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35789">
      <w:pPr>
        <w:pStyle w:val="4"/>
        <w:numPr>
          <w:ilvl w:val="0"/>
          <w:numId w:val="0"/>
        </w:numPr>
        <w:ind w:leftChars="0"/>
        <w:jc w:val="both"/>
        <w:rPr>
          <w:rFonts w:hint="default" w:eastAsia="宋体"/>
          <w:lang w:val="en-US" w:eastAsia="zh-CN"/>
        </w:rPr>
      </w:pPr>
      <w:bookmarkStart w:id="0" w:name="_Toc15474"/>
      <w:r>
        <w:rPr>
          <w:rFonts w:hint="eastAsia"/>
          <w:lang w:val="en-US" w:eastAsia="zh-CN"/>
        </w:rPr>
        <w:t>附件：采购需求</w:t>
      </w:r>
    </w:p>
    <w:p w14:paraId="5846B3B8">
      <w:pPr>
        <w:pStyle w:val="4"/>
        <w:rPr>
          <w:rFonts w:hint="eastAsia"/>
        </w:rPr>
      </w:pPr>
      <w:r>
        <w:rPr>
          <w:rFonts w:hint="eastAsia"/>
        </w:rPr>
        <w:t>项目概况</w:t>
      </w:r>
      <w:bookmarkEnd w:id="0"/>
    </w:p>
    <w:p w14:paraId="76C49E90">
      <w:pPr>
        <w:pStyle w:val="5"/>
        <w:rPr>
          <w:rFonts w:hint="eastAsia"/>
        </w:rPr>
      </w:pPr>
      <w:bookmarkStart w:id="1" w:name="_Toc16749"/>
      <w:r>
        <w:rPr>
          <w:rFonts w:hint="eastAsia"/>
        </w:rPr>
        <w:t>项目名称</w:t>
      </w:r>
      <w:bookmarkEnd w:id="1"/>
    </w:p>
    <w:p w14:paraId="63E122BF">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大丰区城市运行管理服务平台项目</w:t>
      </w:r>
    </w:p>
    <w:p w14:paraId="4C4363AB">
      <w:pPr>
        <w:pStyle w:val="5"/>
        <w:rPr>
          <w:rFonts w:hint="eastAsia"/>
        </w:rPr>
      </w:pPr>
      <w:bookmarkStart w:id="2" w:name="_Toc21502"/>
      <w:bookmarkStart w:id="3" w:name="_Toc18526"/>
      <w:r>
        <w:rPr>
          <w:rFonts w:hint="eastAsia"/>
        </w:rPr>
        <w:t>编制依据</w:t>
      </w:r>
      <w:bookmarkEnd w:id="2"/>
      <w:bookmarkEnd w:id="3"/>
    </w:p>
    <w:p w14:paraId="6170C273">
      <w:pPr>
        <w:pStyle w:val="7"/>
        <w:spacing w:line="420" w:lineRule="auto"/>
        <w:rPr>
          <w:rFonts w:hint="eastAsia" w:ascii="宋体" w:hAnsi="宋体" w:eastAsia="宋体" w:cs="宋体"/>
          <w:b/>
          <w:bCs/>
        </w:rPr>
      </w:pPr>
      <w:bookmarkStart w:id="4" w:name="_Toc24842"/>
      <w:r>
        <w:rPr>
          <w:rFonts w:hint="eastAsia" w:ascii="宋体" w:hAnsi="宋体" w:eastAsia="宋体" w:cs="宋体"/>
          <w:b/>
          <w:bCs/>
        </w:rPr>
        <w:t>政策法规</w:t>
      </w:r>
      <w:bookmarkEnd w:id="4"/>
    </w:p>
    <w:p w14:paraId="751FBAB0">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《住房和城乡建设部办公厅关于全面加快建设城市运行管理服务平台的通知》（建办督〔2021〕54 号）</w:t>
      </w:r>
    </w:p>
    <w:p w14:paraId="38EFC541">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住建部等七部委《关于加快推进新型城市基础设施建设的指导意见》（建改发〔2020〕73 号）</w:t>
      </w:r>
    </w:p>
    <w:p w14:paraId="232BBF31">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《省住房城乡建设厅关于转发（住房和城乡建设部办公厅关于全面加快建设城市运行管理服务平台的通知) 的通知》 (苏建函城管</w:t>
      </w:r>
      <w:r>
        <w:rPr>
          <w:rFonts w:hint="eastAsia" w:ascii="宋体" w:hAnsi="宋体" w:eastAsia="宋体" w:cs="仿宋"/>
          <w:kern w:val="2"/>
          <w:sz w:val="24"/>
          <w:szCs w:val="24"/>
          <w:lang w:val="en-US" w:eastAsia="zh-CN" w:bidi="ar"/>
        </w:rPr>
        <w:t>〔2022〕</w:t>
      </w:r>
      <w:r>
        <w:rPr>
          <w:rFonts w:hint="eastAsia" w:ascii="宋体" w:hAnsi="宋体" w:eastAsia="宋体" w:cs="仿宋"/>
          <w:sz w:val="24"/>
          <w:szCs w:val="24"/>
          <w:lang w:bidi="ar"/>
        </w:rPr>
        <w:t xml:space="preserve"> 55 号)</w:t>
      </w:r>
    </w:p>
    <w:p w14:paraId="27A208C8">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《中华人民共和国数据安全法》</w:t>
      </w:r>
    </w:p>
    <w:p w14:paraId="727AD389">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《中华人民共和国个人信息保护法》</w:t>
      </w:r>
    </w:p>
    <w:p w14:paraId="0BE588BB">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《中华人民共和国网络安全法》</w:t>
      </w:r>
    </w:p>
    <w:p w14:paraId="2F4E5BF3">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中华人民共和国密码法</w:t>
      </w:r>
      <w:r>
        <w:rPr>
          <w:rFonts w:hint="eastAsia" w:ascii="宋体" w:hAnsi="宋体" w:eastAsia="宋体" w:cs="仿宋"/>
          <w:sz w:val="24"/>
          <w:szCs w:val="24"/>
          <w:lang w:eastAsia="zh-CN" w:bidi="ar"/>
        </w:rPr>
        <w:t>》</w:t>
      </w:r>
    </w:p>
    <w:p w14:paraId="7E1430B1">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《关键信息基础设施安全保护条例》</w:t>
      </w:r>
    </w:p>
    <w:p w14:paraId="609B5FAF">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《国家政务信息化项目建设管理办法》（国</w:t>
      </w:r>
      <w:r>
        <w:rPr>
          <w:rFonts w:hint="eastAsia" w:ascii="宋体" w:hAnsi="宋体" w:eastAsia="宋体" w:cs="仿宋"/>
          <w:sz w:val="24"/>
          <w:szCs w:val="24"/>
          <w:lang w:bidi="ar"/>
        </w:rPr>
        <w:t>办发〔2019〕</w:t>
      </w:r>
      <w:r>
        <w:rPr>
          <w:rFonts w:ascii="宋体" w:hAnsi="宋体" w:eastAsia="宋体" w:cs="仿宋"/>
          <w:sz w:val="24"/>
          <w:szCs w:val="24"/>
          <w:lang w:bidi="ar"/>
        </w:rPr>
        <w:t>57号）</w:t>
      </w:r>
    </w:p>
    <w:p w14:paraId="6A6F1E78">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《关于进一步推进城乡生活垃圾分类工作的实施意见》 (苏建城管(2021) 152 号)</w:t>
      </w:r>
    </w:p>
    <w:p w14:paraId="299207C5">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 xml:space="preserve">《江苏省政务信息资源共享管理暂行办法》(苏政发 </w:t>
      </w:r>
      <w:r>
        <w:rPr>
          <w:rFonts w:hint="eastAsia" w:ascii="宋体" w:hAnsi="宋体" w:eastAsia="宋体" w:cs="仿宋"/>
          <w:sz w:val="24"/>
          <w:szCs w:val="24"/>
          <w:lang w:val="en-US" w:eastAsia="zh-CN" w:bidi="ar"/>
        </w:rPr>
        <w:t>〔2017〕</w:t>
      </w:r>
      <w:r>
        <w:rPr>
          <w:rFonts w:hint="eastAsia" w:ascii="宋体" w:hAnsi="宋体" w:eastAsia="宋体" w:cs="仿宋"/>
          <w:sz w:val="24"/>
          <w:szCs w:val="24"/>
          <w:lang w:bidi="ar"/>
        </w:rPr>
        <w:t xml:space="preserve"> 133 号)</w:t>
      </w:r>
    </w:p>
    <w:p w14:paraId="6AD44947">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《中共江苏省委江苏省人民政府关于深入推进美丽江苏建设的意见》</w:t>
      </w:r>
    </w:p>
    <w:p w14:paraId="2070FA13">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《国务院办公厅关于转发国家发展改革委住房城乡建设部生活垃圾分类制度实施方案的通知》（国办发〔2017〕26号）；</w:t>
      </w:r>
    </w:p>
    <w:p w14:paraId="3C892274">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《关于在全国地级及以上城市全面开展生活垃圾分类工作的通知》（国务院〔2019〕56号）</w:t>
      </w:r>
    </w:p>
    <w:p w14:paraId="5F55F227">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《江苏省固体废物污染环境防治条例》（省人大〔2018〕修订版）</w:t>
      </w:r>
    </w:p>
    <w:p w14:paraId="34CAE7D2">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《江苏省城市市容和环境卫生管理条例》（省人大〔2023〕修订版）</w:t>
      </w:r>
    </w:p>
    <w:p w14:paraId="1D7CE640">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《盐城市进一步推进城乡生活垃圾分类工作实施方案（2021-2025年）》（盐政发〔2022〕2号）</w:t>
      </w:r>
    </w:p>
    <w:p w14:paraId="1794201C">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《盐城市生活垃圾分类管理办法》（市城管局〔2024〕）</w:t>
      </w:r>
    </w:p>
    <w:p w14:paraId="1640759E">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《盐城市信息化项目审批“一件事”试点 工作建设指南（</w:t>
      </w:r>
      <w:r>
        <w:rPr>
          <w:rFonts w:ascii="宋体" w:hAnsi="宋体" w:eastAsia="宋体" w:cs="仿宋"/>
          <w:sz w:val="24"/>
          <w:szCs w:val="24"/>
          <w:lang w:bidi="ar"/>
        </w:rPr>
        <w:t>2024</w:t>
      </w:r>
      <w:r>
        <w:rPr>
          <w:rFonts w:hint="eastAsia" w:ascii="宋体" w:hAnsi="宋体" w:eastAsia="宋体" w:cs="仿宋"/>
          <w:sz w:val="24"/>
          <w:szCs w:val="24"/>
          <w:lang w:bidi="ar"/>
        </w:rPr>
        <w:t>）》</w:t>
      </w:r>
    </w:p>
    <w:p w14:paraId="1686C1FC">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《盐城市市级政务信息化项目建设管理办法》</w:t>
      </w:r>
    </w:p>
    <w:p w14:paraId="5DD56691">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val="en-US" w:eastAsia="zh-CN" w:bidi="ar"/>
        </w:rPr>
        <w:t>政务数据共享条例</w:t>
      </w:r>
      <w:r>
        <w:rPr>
          <w:rFonts w:hint="eastAsia" w:ascii="宋体" w:hAnsi="宋体" w:eastAsia="宋体" w:cs="仿宋"/>
          <w:sz w:val="24"/>
          <w:szCs w:val="24"/>
          <w:lang w:eastAsia="zh-CN" w:bidi="ar"/>
        </w:rPr>
        <w:t>》</w:t>
      </w:r>
    </w:p>
    <w:p w14:paraId="68C767F1">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《贯彻落实网络安全等级保护制度和关键信息基础设施安全保护制度的指导意见》</w:t>
      </w:r>
    </w:p>
    <w:p w14:paraId="41923AE0">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关于做好商用密码应用安全性评估工作的通知</w:t>
      </w:r>
      <w:r>
        <w:rPr>
          <w:rFonts w:hint="eastAsia" w:ascii="宋体" w:hAnsi="宋体" w:eastAsia="宋体" w:cs="仿宋"/>
          <w:sz w:val="24"/>
          <w:szCs w:val="24"/>
          <w:lang w:eastAsia="zh-CN" w:bidi="ar"/>
        </w:rPr>
        <w:t>》</w:t>
      </w:r>
      <w:r>
        <w:rPr>
          <w:rFonts w:hint="eastAsia" w:ascii="宋体" w:hAnsi="宋体" w:eastAsia="宋体" w:cs="仿宋"/>
          <w:sz w:val="24"/>
          <w:szCs w:val="24"/>
          <w:lang w:bidi="ar"/>
        </w:rPr>
        <w:t>(盐国密发〔2022〕3 号)</w:t>
      </w:r>
    </w:p>
    <w:p w14:paraId="3120372A">
      <w:pPr>
        <w:pStyle w:val="175"/>
        <w:numPr>
          <w:ilvl w:val="0"/>
          <w:numId w:val="120"/>
        </w:numPr>
        <w:spacing w:line="276" w:lineRule="auto"/>
        <w:ind w:firstLineChars="0"/>
        <w:rPr>
          <w:rFonts w:hint="eastAsia" w:ascii="宋体" w:hAnsi="宋体" w:eastAsia="宋体" w:cs="仿宋"/>
          <w:sz w:val="24"/>
          <w:szCs w:val="24"/>
          <w:lang w:bidi="ar"/>
        </w:rPr>
      </w:pPr>
    </w:p>
    <w:p w14:paraId="6EFDDDC8">
      <w:pPr>
        <w:pStyle w:val="7"/>
        <w:spacing w:line="420" w:lineRule="auto"/>
        <w:rPr>
          <w:rFonts w:hint="eastAsia" w:ascii="宋体" w:hAnsi="宋体" w:eastAsia="宋体" w:cs="宋体"/>
          <w:b/>
          <w:bCs/>
        </w:rPr>
      </w:pPr>
      <w:bookmarkStart w:id="5" w:name="_Toc10444"/>
      <w:r>
        <w:rPr>
          <w:rFonts w:hint="eastAsia" w:ascii="宋体" w:hAnsi="宋体" w:eastAsia="宋体" w:cs="宋体"/>
          <w:b/>
          <w:bCs/>
        </w:rPr>
        <w:t>标准规范</w:t>
      </w:r>
      <w:bookmarkEnd w:id="5"/>
    </w:p>
    <w:p w14:paraId="4067E935">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《城市运行管理服务平台建设指南》</w:t>
      </w:r>
      <w:r>
        <w:rPr>
          <w:rFonts w:ascii="宋体" w:hAnsi="宋体" w:eastAsia="宋体" w:cs="仿宋"/>
          <w:sz w:val="24"/>
          <w:szCs w:val="24"/>
          <w:lang w:bidi="ar"/>
        </w:rPr>
        <w:t>(试行)</w:t>
      </w:r>
    </w:p>
    <w:p w14:paraId="0ACC8D3A">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《城市</w:t>
      </w:r>
      <w:r>
        <w:rPr>
          <w:rFonts w:hint="eastAsia" w:ascii="宋体" w:hAnsi="宋体" w:eastAsia="宋体" w:cs="仿宋"/>
          <w:sz w:val="24"/>
          <w:szCs w:val="24"/>
          <w:lang w:bidi="ar"/>
        </w:rPr>
        <w:t>运行</w:t>
      </w:r>
      <w:r>
        <w:rPr>
          <w:rFonts w:ascii="宋体" w:hAnsi="宋体" w:eastAsia="宋体" w:cs="仿宋"/>
          <w:sz w:val="24"/>
          <w:szCs w:val="24"/>
          <w:lang w:bidi="ar"/>
        </w:rPr>
        <w:t>管理服务平台技术标准》</w:t>
      </w:r>
      <w:r>
        <w:rPr>
          <w:rFonts w:hint="eastAsia" w:ascii="宋体" w:hAnsi="宋体" w:eastAsia="宋体" w:cs="仿宋"/>
          <w:sz w:val="24"/>
          <w:szCs w:val="24"/>
          <w:lang w:bidi="ar"/>
        </w:rPr>
        <w:t>（</w:t>
      </w:r>
      <w:r>
        <w:rPr>
          <w:rFonts w:ascii="宋体" w:hAnsi="宋体" w:eastAsia="宋体" w:cs="仿宋"/>
          <w:sz w:val="24"/>
          <w:szCs w:val="24"/>
          <w:lang w:bidi="ar"/>
        </w:rPr>
        <w:t>CJJ/T312-2021</w:t>
      </w:r>
      <w:r>
        <w:rPr>
          <w:rFonts w:hint="eastAsia" w:ascii="宋体" w:hAnsi="宋体" w:eastAsia="宋体" w:cs="仿宋"/>
          <w:sz w:val="24"/>
          <w:szCs w:val="24"/>
          <w:lang w:bidi="ar"/>
        </w:rPr>
        <w:t>）</w:t>
      </w:r>
    </w:p>
    <w:p w14:paraId="14D12154">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《城市运行管理服务平台数据标准》（</w:t>
      </w:r>
      <w:r>
        <w:rPr>
          <w:rFonts w:ascii="宋体" w:hAnsi="宋体" w:eastAsia="宋体" w:cs="仿宋"/>
          <w:sz w:val="24"/>
          <w:szCs w:val="24"/>
          <w:lang w:bidi="ar"/>
        </w:rPr>
        <w:t>CJ/T545-2021</w:t>
      </w:r>
      <w:r>
        <w:rPr>
          <w:rFonts w:hint="eastAsia" w:ascii="宋体" w:hAnsi="宋体" w:eastAsia="宋体" w:cs="仿宋"/>
          <w:sz w:val="24"/>
          <w:szCs w:val="24"/>
          <w:lang w:bidi="ar"/>
        </w:rPr>
        <w:t>）</w:t>
      </w:r>
    </w:p>
    <w:p w14:paraId="48980BBF">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 管理监督指标及评价标准》（</w:t>
      </w:r>
      <w:r>
        <w:rPr>
          <w:rFonts w:ascii="宋体" w:hAnsi="宋体" w:eastAsia="宋体" w:cs="仿宋"/>
          <w:sz w:val="24"/>
          <w:szCs w:val="24"/>
          <w:lang w:bidi="ar"/>
        </w:rPr>
        <w:t>CJ/T551-2023</w:t>
      </w:r>
      <w:r>
        <w:rPr>
          <w:rFonts w:hint="eastAsia" w:ascii="宋体" w:hAnsi="宋体" w:eastAsia="宋体" w:cs="仿宋"/>
          <w:sz w:val="24"/>
          <w:szCs w:val="24"/>
          <w:lang w:bidi="ar"/>
        </w:rPr>
        <w:t>）</w:t>
      </w:r>
    </w:p>
    <w:p w14:paraId="6EBCBB8C">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 运行监测指标及评价标准》（</w:t>
      </w:r>
      <w:r>
        <w:rPr>
          <w:rFonts w:ascii="宋体" w:hAnsi="宋体" w:eastAsia="宋体" w:cs="仿宋"/>
          <w:sz w:val="24"/>
          <w:szCs w:val="24"/>
          <w:lang w:bidi="ar"/>
        </w:rPr>
        <w:t>CJ/T552-2023</w:t>
      </w:r>
      <w:r>
        <w:rPr>
          <w:rFonts w:hint="eastAsia" w:ascii="宋体" w:hAnsi="宋体" w:eastAsia="宋体" w:cs="仿宋"/>
          <w:sz w:val="24"/>
          <w:szCs w:val="24"/>
          <w:lang w:bidi="ar"/>
        </w:rPr>
        <w:t>）</w:t>
      </w:r>
    </w:p>
    <w:p w14:paraId="68D6840A">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《数字化城市管理信息系统第1部分：单元网格》（GB/T 30428.1-2013）</w:t>
      </w:r>
    </w:p>
    <w:p w14:paraId="1722B500">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《数字化城市管理信息系统第2部分：管理部件和事件》（GB/T 30428.2-2013）</w:t>
      </w:r>
    </w:p>
    <w:p w14:paraId="0767520A">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《数字化城市管理信息系统第3部分：地理编码》（GB/T 30428.3-2016）</w:t>
      </w:r>
    </w:p>
    <w:p w14:paraId="22313FF6">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《数字化城市管理信息系统第4部分：绩效评价》（GB/T 30428.4-2016）</w:t>
      </w:r>
    </w:p>
    <w:p w14:paraId="01F64500">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《数字化城市管理信息系统第5部分：监管数据无线采集设备》（GB/T 30428.5-2017）</w:t>
      </w:r>
    </w:p>
    <w:p w14:paraId="60107D1C">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《数字化城市管理信息系统第6部分：验收》（GB/T 30428.6-2017）</w:t>
      </w:r>
    </w:p>
    <w:p w14:paraId="69E86280">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《数字化城市管理信息系统第7部分：监管信息采集》（GB/T 30428.7-2017）</w:t>
      </w:r>
    </w:p>
    <w:p w14:paraId="2E3346F8">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《数字化城市管理信息系统第8部分：立案、处置和结案》（GB/T 30428.8-2020）</w:t>
      </w:r>
    </w:p>
    <w:p w14:paraId="545819FC">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《计算机软件文档编制规范》（</w:t>
      </w:r>
      <w:r>
        <w:rPr>
          <w:rFonts w:hint="eastAsia" w:ascii="宋体" w:hAnsi="宋体" w:eastAsia="宋体" w:cs="仿宋"/>
          <w:sz w:val="24"/>
          <w:szCs w:val="24"/>
          <w:lang w:bidi="ar"/>
        </w:rPr>
        <w:t xml:space="preserve">GB/T 8567-2006 </w:t>
      </w:r>
      <w:r>
        <w:rPr>
          <w:rFonts w:ascii="宋体" w:hAnsi="宋体" w:eastAsia="宋体" w:cs="仿宋"/>
          <w:sz w:val="24"/>
          <w:szCs w:val="24"/>
          <w:lang w:bidi="ar"/>
        </w:rPr>
        <w:t>）</w:t>
      </w:r>
    </w:p>
    <w:p w14:paraId="6E60367D">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《计算机软件需求规格说明规范》（GB/T9385-2008）</w:t>
      </w:r>
    </w:p>
    <w:p w14:paraId="39318E25">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《计算机软件测试文档编制规范》（GB/T 9386-2008）</w:t>
      </w:r>
    </w:p>
    <w:p w14:paraId="02EA105F">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《信息技术软件生存周期过程》</w:t>
      </w:r>
      <w:r>
        <w:rPr>
          <w:rFonts w:ascii="宋体" w:hAnsi="宋体" w:eastAsia="宋体" w:cs="仿宋"/>
          <w:sz w:val="24"/>
          <w:szCs w:val="24"/>
          <w:lang w:bidi="ar"/>
        </w:rPr>
        <w:t>（</w:t>
      </w:r>
      <w:r>
        <w:rPr>
          <w:rFonts w:hint="eastAsia" w:ascii="宋体" w:hAnsi="宋体" w:eastAsia="宋体" w:cs="仿宋"/>
          <w:sz w:val="24"/>
          <w:szCs w:val="24"/>
          <w:lang w:bidi="ar"/>
        </w:rPr>
        <w:t>GB/T 8566</w:t>
      </w:r>
      <w:r>
        <w:rPr>
          <w:rFonts w:ascii="宋体" w:hAnsi="宋体" w:eastAsia="宋体" w:cs="仿宋"/>
          <w:sz w:val="24"/>
          <w:szCs w:val="24"/>
          <w:lang w:bidi="ar"/>
        </w:rPr>
        <w:t>）</w:t>
      </w:r>
    </w:p>
    <w:p w14:paraId="3F267465">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《计算机软件文档编制规范》（GB/T8567-2006）</w:t>
      </w:r>
    </w:p>
    <w:p w14:paraId="58051B74">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《计算机软件测试文档编制规范》（GB/T9386-2008）</w:t>
      </w:r>
    </w:p>
    <w:p w14:paraId="241FA115">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《计算机软件测试规范》（GB/T15532-2008）</w:t>
      </w:r>
    </w:p>
    <w:p w14:paraId="0328529B">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《计算机软件可靠性和可维护性管理》（GB/T14394-2008）</w:t>
      </w:r>
    </w:p>
    <w:p w14:paraId="2A972860">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《软件系统验收规范》（GB/T 28035-2011）</w:t>
      </w:r>
    </w:p>
    <w:p w14:paraId="072D4304">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江苏省城市运行管理服务平台《数据共享交换规范》（征求意见稿）</w:t>
      </w:r>
    </w:p>
    <w:p w14:paraId="400E5A19">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《电子政务业务流程设计方法通用规范》(GB/T19487)</w:t>
      </w:r>
    </w:p>
    <w:p w14:paraId="25E20FFC">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《公共安全视频监控数字视音频编解码技术要求》（GB/T25724-2017）</w:t>
      </w:r>
    </w:p>
    <w:p w14:paraId="59C109DF">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《公共安全视频监控联网系统信息传输、交换、控制技术要求》（GB/T28181-2022）</w:t>
      </w:r>
    </w:p>
    <w:p w14:paraId="1D9AA3DA">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《面向智慧城市的物联网技术应用指南》(GB/T36620-2018)</w:t>
      </w:r>
    </w:p>
    <w:p w14:paraId="5E1340F9">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《城镇环境卫生设施属性数据采集表及数据库结构》（CJT171-2016）</w:t>
      </w:r>
    </w:p>
    <w:p w14:paraId="0FF7E91B">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《信息安全技术网络安全等级保护安全设计技术要求》（GB/T25070-2019）</w:t>
      </w:r>
    </w:p>
    <w:p w14:paraId="62B58C60">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《信息安全技术信息系统密码应用基本要求》（GB/T39786-2021）；</w:t>
      </w:r>
    </w:p>
    <w:p w14:paraId="05152924">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《信息安全技术网络安全等级保护基本要求》（GB/T22239-2019）；</w:t>
      </w:r>
    </w:p>
    <w:p w14:paraId="1250F808">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《信息安全技术数据库管理系统安全技术要求》（GB/T20273-2019）；</w:t>
      </w:r>
    </w:p>
    <w:p w14:paraId="4179A304">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《信息安全技术网络安全等级保护测评要求》（GBT28448-2019）；</w:t>
      </w:r>
    </w:p>
    <w:p w14:paraId="1C6D3B3F">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《音视频、信息技术和通信技术设备 第1部分：安全要求》（GB4943.1-2022）</w:t>
      </w:r>
    </w:p>
    <w:p w14:paraId="002F4211">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《安全防范工程技术标准》（GB50348-2018）</w:t>
      </w:r>
    </w:p>
    <w:p w14:paraId="1204D034">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《城市容貌标准》(GB50449-2008)</w:t>
      </w:r>
    </w:p>
    <w:p w14:paraId="3F9B2535">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《江苏省城市运行管理服务平台建设工作方案》</w:t>
      </w:r>
    </w:p>
    <w:p w14:paraId="12FC4FD5">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《江苏省城市运行管理服务平台建设技术方案》</w:t>
      </w:r>
    </w:p>
    <w:p w14:paraId="32177FD4">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《江苏省城市运行管理服务平台管理办法》</w:t>
      </w:r>
    </w:p>
    <w:p w14:paraId="11941C98">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《江苏省城市运行管理服务平台验收标准》</w:t>
      </w:r>
    </w:p>
    <w:p w14:paraId="2EB634A7">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《市级政务信息化项目网络安全评审事项清单（试行）》</w:t>
      </w:r>
    </w:p>
    <w:p w14:paraId="07B17459">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《江苏省政府采购履约验收管理办法》</w:t>
      </w:r>
    </w:p>
    <w:p w14:paraId="04D41808">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《盐城市市级政务信息化项目建设全流程管理实施细则》</w:t>
      </w:r>
    </w:p>
    <w:p w14:paraId="689A392D">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江苏省信息安全风险评估管理办法（试行）</w:t>
      </w:r>
      <w:r>
        <w:rPr>
          <w:rFonts w:hint="eastAsia" w:ascii="宋体" w:hAnsi="宋体" w:eastAsia="宋体" w:cs="仿宋"/>
          <w:sz w:val="24"/>
          <w:szCs w:val="24"/>
          <w:lang w:eastAsia="zh-CN" w:bidi="ar"/>
        </w:rPr>
        <w:t>》</w:t>
      </w:r>
    </w:p>
    <w:p w14:paraId="5C2509DD">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《盐城市政务信息化项目建设网络安全管理实施细则》(盐网信委〔2021】3号)</w:t>
      </w:r>
    </w:p>
    <w:p w14:paraId="66D9EDF0">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商用密码管理条例</w:t>
      </w:r>
      <w:r>
        <w:rPr>
          <w:rFonts w:hint="eastAsia" w:ascii="宋体" w:hAnsi="宋体" w:eastAsia="宋体" w:cs="仿宋"/>
          <w:sz w:val="24"/>
          <w:szCs w:val="24"/>
          <w:lang w:eastAsia="zh-CN" w:bidi="ar"/>
        </w:rPr>
        <w:t>》</w:t>
      </w:r>
    </w:p>
    <w:p w14:paraId="633692B8">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《商用密码应用安全性评估管理办法》</w:t>
      </w:r>
    </w:p>
    <w:p w14:paraId="04C16228">
      <w:pPr>
        <w:pStyle w:val="5"/>
        <w:rPr>
          <w:rFonts w:hint="eastAsia"/>
        </w:rPr>
      </w:pPr>
      <w:bookmarkStart w:id="6" w:name="_Toc8010"/>
      <w:r>
        <w:rPr>
          <w:rFonts w:hint="eastAsia"/>
        </w:rPr>
        <w:t>项目建设目标和预期绩效</w:t>
      </w:r>
      <w:bookmarkEnd w:id="6"/>
    </w:p>
    <w:p w14:paraId="239950A2">
      <w:pPr>
        <w:pStyle w:val="7"/>
        <w:spacing w:line="420" w:lineRule="auto"/>
        <w:rPr>
          <w:rFonts w:hint="eastAsia" w:ascii="宋体" w:hAnsi="宋体" w:eastAsia="宋体" w:cs="宋体"/>
          <w:b/>
          <w:bCs/>
        </w:rPr>
      </w:pPr>
      <w:bookmarkStart w:id="7" w:name="_Toc17201"/>
      <w:r>
        <w:rPr>
          <w:rFonts w:hint="eastAsia" w:ascii="宋体" w:hAnsi="宋体" w:eastAsia="宋体" w:cs="宋体"/>
          <w:b/>
          <w:bCs/>
        </w:rPr>
        <w:t>建设目标</w:t>
      </w:r>
      <w:bookmarkEnd w:id="7"/>
    </w:p>
    <w:p w14:paraId="476EDC07">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大丰区城市运行管理服务平台项目将基于盐城市城市运行管理服务平台项目进行本地化部署，行业应用结合大丰区实际规划设计，以城市运行管理“一网统管”为目标，围绕城市运行安全高效健康、城市管理干净整洁有序、为民服务精准精细精致，以物联网、大数据、人工智能、5G移动通信等前沿技术为支撑，整合城市运行管理服务相关信息系统，汇聚共享数据资源，加快现有信息化系统的迭代升级，全面建成城市运管服平台，加强对城市运行管理服务状况的实时监测、动态分析、统筹协调、指挥监督和综合评价，不断增强人民群众的获得感、幸福感、安全感。</w:t>
      </w:r>
    </w:p>
    <w:p w14:paraId="6F1B8EC8">
      <w:pPr>
        <w:pStyle w:val="7"/>
        <w:spacing w:line="420" w:lineRule="auto"/>
        <w:rPr>
          <w:rFonts w:hint="eastAsia" w:ascii="宋体" w:hAnsi="宋体" w:eastAsia="宋体" w:cs="宋体"/>
          <w:b/>
          <w:bCs/>
        </w:rPr>
      </w:pPr>
      <w:bookmarkStart w:id="8" w:name="_Toc12100"/>
      <w:r>
        <w:rPr>
          <w:rFonts w:hint="eastAsia" w:ascii="宋体" w:hAnsi="宋体" w:eastAsia="宋体" w:cs="宋体"/>
          <w:b/>
          <w:bCs/>
        </w:rPr>
        <w:t>预期绩效</w:t>
      </w:r>
      <w:bookmarkEnd w:id="8"/>
    </w:p>
    <w:p w14:paraId="59D0E07C">
      <w:pPr>
        <w:spacing w:line="276" w:lineRule="auto"/>
        <w:ind w:firstLine="420"/>
        <w:rPr>
          <w:rFonts w:hint="eastAsia" w:ascii="宋体" w:hAnsi="宋体" w:eastAsia="宋体"/>
          <w:sz w:val="24"/>
          <w:szCs w:val="24"/>
        </w:rPr>
      </w:pPr>
      <w:r>
        <w:rPr>
          <w:rFonts w:ascii="宋体" w:hAnsi="宋体" w:eastAsia="宋体"/>
          <w:sz w:val="24"/>
          <w:szCs w:val="24"/>
        </w:rPr>
        <w:t>一、业务绩效目标</w:t>
      </w:r>
    </w:p>
    <w:p w14:paraId="386D1347">
      <w:pPr>
        <w:spacing w:line="276" w:lineRule="auto"/>
        <w:ind w:firstLine="420"/>
        <w:rPr>
          <w:rFonts w:hint="eastAsia" w:ascii="宋体" w:hAnsi="宋体" w:eastAsia="宋体"/>
          <w:sz w:val="24"/>
          <w:szCs w:val="24"/>
        </w:rPr>
      </w:pPr>
      <w:r>
        <w:rPr>
          <w:rFonts w:hint="eastAsia" w:ascii="宋体" w:hAnsi="宋体" w:eastAsia="宋体"/>
          <w:sz w:val="24"/>
          <w:szCs w:val="24"/>
        </w:rPr>
        <w:t>通过项目建设，构建 “数据互通、业务协同、上下联动” 的城市运行管理体系，实现城市部件、事件管理全覆盖，提升问题发现、派单、处置、反馈的闭环效率，降低管理成本，增强市民满意度，为城市治理决策提供数据支撑，切实提升城市运行管理精细化和智能化水平</w:t>
      </w:r>
      <w:r>
        <w:rPr>
          <w:rFonts w:ascii="宋体" w:hAnsi="宋体" w:eastAsia="宋体"/>
          <w:sz w:val="24"/>
          <w:szCs w:val="24"/>
        </w:rPr>
        <w:t>。</w:t>
      </w:r>
    </w:p>
    <w:p w14:paraId="08CDA39F">
      <w:pPr>
        <w:spacing w:line="276" w:lineRule="auto"/>
        <w:ind w:firstLine="420"/>
        <w:rPr>
          <w:rFonts w:hint="eastAsia" w:ascii="宋体" w:hAnsi="宋体" w:eastAsia="宋体"/>
          <w:sz w:val="24"/>
          <w:szCs w:val="24"/>
        </w:rPr>
      </w:pPr>
      <w:r>
        <w:rPr>
          <w:rFonts w:ascii="宋体" w:hAnsi="宋体" w:eastAsia="宋体"/>
          <w:sz w:val="24"/>
          <w:szCs w:val="24"/>
        </w:rPr>
        <w:t>二、经济效益</w:t>
      </w:r>
    </w:p>
    <w:p w14:paraId="64D0DD26">
      <w:pPr>
        <w:spacing w:line="276" w:lineRule="auto"/>
        <w:ind w:firstLine="420"/>
        <w:rPr>
          <w:rFonts w:hint="eastAsia" w:ascii="宋体" w:hAnsi="宋体" w:eastAsia="宋体"/>
          <w:sz w:val="24"/>
          <w:szCs w:val="24"/>
        </w:rPr>
      </w:pPr>
      <w:r>
        <w:rPr>
          <w:rFonts w:ascii="宋体" w:hAnsi="宋体" w:eastAsia="宋体"/>
          <w:sz w:val="24"/>
          <w:szCs w:val="24"/>
        </w:rPr>
        <w:t>直接经济价值：</w:t>
      </w:r>
    </w:p>
    <w:p w14:paraId="428A6E6E">
      <w:pPr>
        <w:spacing w:line="276" w:lineRule="auto"/>
        <w:ind w:firstLine="420"/>
        <w:rPr>
          <w:rFonts w:hint="eastAsia" w:ascii="宋体" w:hAnsi="宋体" w:eastAsia="宋体"/>
          <w:sz w:val="24"/>
          <w:szCs w:val="24"/>
        </w:rPr>
      </w:pPr>
      <w:r>
        <w:rPr>
          <w:rFonts w:ascii="宋体" w:hAnsi="宋体" w:eastAsia="宋体"/>
          <w:sz w:val="24"/>
          <w:szCs w:val="24"/>
        </w:rPr>
        <w:t xml:space="preserve"> 1.有利于降低城市日常巡查与管理成本。通过整合补充各类主动、被动以及智能信息采集手段，提升城市运行管理服务中各类问题的发现能力和处置效率。</w:t>
      </w:r>
    </w:p>
    <w:p w14:paraId="68422355">
      <w:pPr>
        <w:spacing w:line="276" w:lineRule="auto"/>
        <w:ind w:firstLine="420"/>
        <w:rPr>
          <w:rFonts w:hint="eastAsia" w:ascii="宋体" w:hAnsi="宋体" w:eastAsia="宋体"/>
          <w:sz w:val="24"/>
          <w:szCs w:val="24"/>
        </w:rPr>
      </w:pPr>
      <w:r>
        <w:rPr>
          <w:rFonts w:hint="eastAsia" w:ascii="宋体" w:hAnsi="宋体" w:eastAsia="宋体"/>
          <w:sz w:val="24"/>
          <w:szCs w:val="24"/>
        </w:rPr>
        <w:t>2.有利于降低城市运行管理服务的事件处理成本</w:t>
      </w:r>
    </w:p>
    <w:p w14:paraId="519C208A">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可以对城市运行管理服务问题进行精准定位和高效派遣，克服了多头处理、重复处理的弊端，使各专业部门的人工费、车辆使用费等事件处理成本大为降低。由于城市部件问题（如井盖丢失）、普通事件和突发事件（如爆管、火灾等）能被及时发现，人员伤亡、资源流失和财产损失将得到有效地降低和控制，直接经济损失会大为减少。</w:t>
      </w:r>
    </w:p>
    <w:p w14:paraId="5AB4F5B7">
      <w:pPr>
        <w:spacing w:line="276" w:lineRule="auto"/>
        <w:ind w:firstLine="420"/>
        <w:rPr>
          <w:rFonts w:hint="eastAsia" w:ascii="宋体" w:hAnsi="宋体" w:eastAsia="宋体"/>
          <w:sz w:val="24"/>
          <w:szCs w:val="24"/>
        </w:rPr>
      </w:pPr>
      <w:r>
        <w:rPr>
          <w:rFonts w:hint="eastAsia" w:ascii="宋体" w:hAnsi="宋体" w:eastAsia="宋体"/>
          <w:sz w:val="24"/>
          <w:szCs w:val="24"/>
        </w:rPr>
        <w:t>3</w:t>
      </w:r>
      <w:r>
        <w:rPr>
          <w:rFonts w:ascii="宋体" w:hAnsi="宋体" w:eastAsia="宋体"/>
          <w:sz w:val="24"/>
          <w:szCs w:val="24"/>
        </w:rPr>
        <w:t>.有利于降低城市运行管理服务数据采集成本。通过基础信息资源的共享与整合，可为城市运行各部门提供信息、数据等共享服务，做到一方建设，多方受益，一次建设，长期使用。</w:t>
      </w:r>
    </w:p>
    <w:p w14:paraId="50F09EAA">
      <w:pPr>
        <w:spacing w:line="276" w:lineRule="auto"/>
        <w:ind w:firstLine="420"/>
        <w:rPr>
          <w:rFonts w:hint="eastAsia" w:ascii="宋体" w:hAnsi="宋体" w:eastAsia="宋体"/>
          <w:sz w:val="24"/>
          <w:szCs w:val="24"/>
        </w:rPr>
      </w:pPr>
      <w:r>
        <w:rPr>
          <w:rFonts w:hint="eastAsia" w:ascii="宋体" w:hAnsi="宋体" w:eastAsia="宋体"/>
          <w:sz w:val="24"/>
          <w:szCs w:val="24"/>
        </w:rPr>
        <w:t>4</w:t>
      </w:r>
      <w:r>
        <w:rPr>
          <w:rFonts w:ascii="宋体" w:hAnsi="宋体" w:eastAsia="宋体"/>
          <w:sz w:val="24"/>
          <w:szCs w:val="24"/>
        </w:rPr>
        <w:t>.有利于减少重复建设，降低建设成本。</w:t>
      </w:r>
      <w:r>
        <w:rPr>
          <w:rFonts w:hint="eastAsia" w:ascii="宋体" w:hAnsi="宋体" w:eastAsia="宋体"/>
          <w:sz w:val="24"/>
          <w:szCs w:val="24"/>
        </w:rPr>
        <w:t>通过使用</w:t>
      </w:r>
      <w:r>
        <w:rPr>
          <w:rFonts w:ascii="宋体" w:hAnsi="宋体" w:eastAsia="宋体"/>
          <w:sz w:val="24"/>
          <w:szCs w:val="24"/>
        </w:rPr>
        <w:t>“市级开发、县区复用”一体化部署模式，为</w:t>
      </w:r>
      <w:r>
        <w:rPr>
          <w:rFonts w:hint="eastAsia" w:ascii="宋体" w:hAnsi="宋体" w:eastAsia="宋体"/>
          <w:sz w:val="24"/>
          <w:szCs w:val="24"/>
        </w:rPr>
        <w:t>大丰</w:t>
      </w:r>
      <w:r>
        <w:rPr>
          <w:rFonts w:ascii="宋体" w:hAnsi="宋体" w:eastAsia="宋体"/>
          <w:sz w:val="24"/>
          <w:szCs w:val="24"/>
        </w:rPr>
        <w:t>提供充分的功能共享，避免</w:t>
      </w:r>
      <w:r>
        <w:rPr>
          <w:rFonts w:hint="eastAsia" w:ascii="宋体" w:hAnsi="宋体" w:eastAsia="宋体"/>
          <w:sz w:val="24"/>
          <w:szCs w:val="24"/>
        </w:rPr>
        <w:t>大丰区</w:t>
      </w:r>
      <w:r>
        <w:rPr>
          <w:rFonts w:ascii="宋体" w:hAnsi="宋体" w:eastAsia="宋体"/>
          <w:sz w:val="24"/>
          <w:szCs w:val="24"/>
        </w:rPr>
        <w:t>投入经费重复建设类似系统，节省了整体建设成本。</w:t>
      </w:r>
    </w:p>
    <w:p w14:paraId="78B1B5EF">
      <w:pPr>
        <w:spacing w:line="276" w:lineRule="auto"/>
        <w:ind w:firstLine="420"/>
        <w:rPr>
          <w:rFonts w:hint="eastAsia" w:ascii="宋体" w:hAnsi="宋体" w:eastAsia="宋体"/>
          <w:sz w:val="24"/>
          <w:szCs w:val="24"/>
        </w:rPr>
      </w:pPr>
      <w:r>
        <w:rPr>
          <w:rFonts w:ascii="宋体" w:hAnsi="宋体" w:eastAsia="宋体"/>
          <w:sz w:val="24"/>
          <w:szCs w:val="24"/>
        </w:rPr>
        <w:t>间接经济拉动：提高城市生活环境水平，优化营商环境，吸引新增市场主体增长，吸引企业开办入驻。</w:t>
      </w:r>
    </w:p>
    <w:p w14:paraId="67126C6A">
      <w:pPr>
        <w:spacing w:line="276" w:lineRule="auto"/>
        <w:ind w:firstLine="420"/>
        <w:rPr>
          <w:rFonts w:hint="eastAsia" w:ascii="宋体" w:hAnsi="宋体" w:eastAsia="宋体"/>
          <w:sz w:val="24"/>
          <w:szCs w:val="24"/>
        </w:rPr>
      </w:pPr>
      <w:r>
        <w:rPr>
          <w:rFonts w:ascii="宋体" w:hAnsi="宋体" w:eastAsia="宋体"/>
          <w:sz w:val="24"/>
          <w:szCs w:val="24"/>
        </w:rPr>
        <w:t>三、社会效益</w:t>
      </w:r>
    </w:p>
    <w:p w14:paraId="2BC856DB">
      <w:pPr>
        <w:spacing w:line="276" w:lineRule="auto"/>
        <w:ind w:firstLine="420"/>
        <w:rPr>
          <w:rFonts w:hint="eastAsia" w:ascii="宋体" w:hAnsi="宋体" w:eastAsia="宋体"/>
          <w:sz w:val="24"/>
          <w:szCs w:val="24"/>
        </w:rPr>
      </w:pPr>
      <w:r>
        <w:rPr>
          <w:rFonts w:hint="eastAsia" w:ascii="宋体" w:hAnsi="宋体" w:eastAsia="宋体"/>
          <w:sz w:val="24"/>
          <w:szCs w:val="24"/>
        </w:rPr>
        <w:t>有利于推进智慧城市、城市运行管理应用体系建设，提高城市管理信息化管理水平。作为构建智慧城市、城市管理中的重要的一环，有利于提升城市管理信息化建设和管理的规范化、精准化、智能化水平，打造高效、科技型的城市管理信息化系统。</w:t>
      </w:r>
    </w:p>
    <w:p w14:paraId="40D55EA4">
      <w:pPr>
        <w:spacing w:line="276" w:lineRule="auto"/>
        <w:ind w:firstLine="420"/>
        <w:rPr>
          <w:rFonts w:hint="eastAsia"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提升城市运行管理服务的智慧化水平</w:t>
      </w:r>
    </w:p>
    <w:p w14:paraId="02DBCF8E">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的建设，将对全区城市管理各职能部门及各方资源进行优化调整，实现管理流程科学再造，打造系统化、网络化、程序化、透明化的城市运行管理服务体系，将管理主体从过去的单线条向多线条转变，推动管理体制的不断深化和改革，提升城市运行管理服务的智慧化和数字化水平。</w:t>
      </w:r>
    </w:p>
    <w:p w14:paraId="4CE45800">
      <w:pPr>
        <w:spacing w:line="276" w:lineRule="auto"/>
        <w:ind w:firstLine="420"/>
        <w:rPr>
          <w:rFonts w:hint="eastAsia"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提高城市运行管理服务联勤联动能力</w:t>
      </w:r>
    </w:p>
    <w:p w14:paraId="7BBA5179">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的建设，将深化城市治理建设，连通各大生产系统，实现对城市多维要素资源的充分掌控，并通过数字化、智能化的手段，快速发现问题并解决问题。同时通对城市治理问题发生规律和源头进行分析，实现对问题的快速处理和有效预防，从源头到流程上优化城市管理机制，提升城市治理运作效率，做到用数据说话、用数据决策、用数据管理、用数据创新，推动城市治理理念和运作效率的提升。</w:t>
      </w:r>
    </w:p>
    <w:p w14:paraId="5DC8C74B">
      <w:pPr>
        <w:spacing w:line="276" w:lineRule="auto"/>
        <w:ind w:firstLine="420"/>
        <w:rPr>
          <w:rFonts w:hint="eastAsia"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提高城市人民生活质量</w:t>
      </w:r>
    </w:p>
    <w:p w14:paraId="32276288">
      <w:pPr>
        <w:spacing w:line="276" w:lineRule="auto"/>
        <w:ind w:firstLine="420"/>
        <w:rPr>
          <w:rFonts w:hint="eastAsia" w:ascii="宋体" w:hAnsi="宋体" w:eastAsia="宋体"/>
          <w:sz w:val="24"/>
          <w:szCs w:val="24"/>
          <w:lang w:eastAsia="zh-CN"/>
        </w:rPr>
      </w:pPr>
      <w:r>
        <w:rPr>
          <w:rFonts w:hint="eastAsia" w:ascii="宋体" w:hAnsi="宋体" w:eastAsia="宋体"/>
          <w:sz w:val="24"/>
          <w:szCs w:val="24"/>
        </w:rPr>
        <w:t>大丰区城市运行管理服务平台的建设，</w:t>
      </w:r>
      <w:r>
        <w:rPr>
          <w:rFonts w:hint="eastAsia" w:ascii="宋体" w:hAnsi="宋体" w:eastAsia="宋体"/>
          <w:sz w:val="24"/>
          <w:szCs w:val="24"/>
          <w:lang w:eastAsia="zh-CN"/>
        </w:rPr>
        <w:t>不仅</w:t>
      </w:r>
      <w:r>
        <w:rPr>
          <w:rFonts w:hint="eastAsia" w:ascii="宋体" w:hAnsi="宋体" w:eastAsia="宋体"/>
          <w:sz w:val="24"/>
          <w:szCs w:val="24"/>
          <w:lang w:val="en-US" w:eastAsia="zh-CN"/>
        </w:rPr>
        <w:t>能够</w:t>
      </w:r>
      <w:r>
        <w:rPr>
          <w:rFonts w:hint="eastAsia" w:ascii="宋体" w:hAnsi="宋体" w:eastAsia="宋体"/>
          <w:sz w:val="24"/>
          <w:szCs w:val="24"/>
          <w:lang w:eastAsia="zh-CN"/>
        </w:rPr>
        <w:t>缩短问题响应时间，更推动城市服务</w:t>
      </w:r>
      <w:r>
        <w:rPr>
          <w:rFonts w:hint="eastAsia" w:ascii="宋体" w:hAnsi="宋体" w:eastAsia="宋体"/>
          <w:sz w:val="24"/>
          <w:szCs w:val="24"/>
          <w:lang w:val="en-US" w:eastAsia="zh-CN"/>
        </w:rPr>
        <w:t>从</w:t>
      </w:r>
      <w:r>
        <w:rPr>
          <w:rFonts w:hint="eastAsia" w:ascii="宋体" w:hAnsi="宋体" w:eastAsia="宋体"/>
          <w:sz w:val="24"/>
          <w:szCs w:val="24"/>
          <w:lang w:eastAsia="zh-CN"/>
        </w:rPr>
        <w:t>“被动应对”向“主动预防”转变，实现对</w:t>
      </w:r>
      <w:r>
        <w:rPr>
          <w:rFonts w:hint="eastAsia" w:ascii="宋体" w:hAnsi="宋体" w:eastAsia="宋体"/>
          <w:sz w:val="24"/>
          <w:szCs w:val="24"/>
          <w:lang w:val="en-US" w:eastAsia="zh-CN"/>
        </w:rPr>
        <w:t>城市管理市容市貌、卫生环境、园林绿化</w:t>
      </w:r>
      <w:r>
        <w:rPr>
          <w:rFonts w:hint="eastAsia" w:ascii="宋体" w:hAnsi="宋体" w:eastAsia="宋体"/>
          <w:sz w:val="24"/>
          <w:szCs w:val="24"/>
          <w:lang w:eastAsia="zh-CN"/>
        </w:rPr>
        <w:t>等城市</w:t>
      </w:r>
      <w:r>
        <w:rPr>
          <w:rFonts w:hint="eastAsia" w:ascii="宋体" w:hAnsi="宋体" w:eastAsia="宋体"/>
          <w:sz w:val="24"/>
          <w:szCs w:val="24"/>
          <w:lang w:val="en-US" w:eastAsia="zh-CN"/>
        </w:rPr>
        <w:t>管理</w:t>
      </w:r>
      <w:r>
        <w:rPr>
          <w:rFonts w:hint="eastAsia" w:ascii="宋体" w:hAnsi="宋体" w:eastAsia="宋体"/>
          <w:sz w:val="24"/>
          <w:szCs w:val="24"/>
          <w:lang w:eastAsia="zh-CN"/>
        </w:rPr>
        <w:t>领域的精准治理，</w:t>
      </w:r>
      <w:r>
        <w:rPr>
          <w:rFonts w:hint="eastAsia" w:ascii="宋体" w:hAnsi="宋体" w:eastAsia="宋体"/>
          <w:sz w:val="24"/>
          <w:szCs w:val="24"/>
          <w:lang w:val="en-US" w:eastAsia="zh-CN"/>
        </w:rPr>
        <w:t>能够</w:t>
      </w:r>
      <w:r>
        <w:rPr>
          <w:rFonts w:hint="eastAsia" w:ascii="宋体" w:hAnsi="宋体" w:eastAsia="宋体"/>
          <w:sz w:val="24"/>
          <w:szCs w:val="24"/>
          <w:lang w:eastAsia="zh-CN"/>
        </w:rPr>
        <w:t>减少资源浪费与社会成本，增强市民的获得感、幸福感与安全感。</w:t>
      </w:r>
    </w:p>
    <w:p w14:paraId="519EBF74">
      <w:pPr>
        <w:pStyle w:val="5"/>
        <w:rPr>
          <w:rFonts w:hint="eastAsia"/>
        </w:rPr>
      </w:pPr>
      <w:bookmarkStart w:id="9" w:name="_Toc23011"/>
      <w:r>
        <w:rPr>
          <w:rFonts w:hint="eastAsia"/>
        </w:rPr>
        <w:t>项目主要建设内容、建设规模、建设地点、建设周期</w:t>
      </w:r>
      <w:bookmarkEnd w:id="9"/>
    </w:p>
    <w:p w14:paraId="7A9CCEA1">
      <w:pPr>
        <w:pStyle w:val="7"/>
        <w:spacing w:line="420" w:lineRule="auto"/>
        <w:rPr>
          <w:rFonts w:hint="eastAsia" w:ascii="宋体" w:hAnsi="宋体" w:eastAsia="宋体" w:cs="宋体"/>
          <w:b/>
          <w:bCs/>
        </w:rPr>
      </w:pPr>
      <w:bookmarkStart w:id="10" w:name="_Toc27373"/>
      <w:r>
        <w:rPr>
          <w:rFonts w:hint="eastAsia" w:ascii="宋体" w:hAnsi="宋体" w:eastAsia="宋体" w:cs="宋体"/>
          <w:b/>
          <w:bCs/>
        </w:rPr>
        <w:t>建设内容</w:t>
      </w:r>
      <w:bookmarkEnd w:id="10"/>
    </w:p>
    <w:p w14:paraId="7F380BA7">
      <w:pPr>
        <w:spacing w:line="276" w:lineRule="auto"/>
        <w:ind w:firstLine="420"/>
        <w:rPr>
          <w:rFonts w:hint="eastAsia" w:ascii="宋体" w:hAnsi="宋体" w:eastAsia="宋体"/>
          <w:sz w:val="24"/>
          <w:szCs w:val="24"/>
        </w:rPr>
      </w:pPr>
      <w:r>
        <w:rPr>
          <w:rFonts w:hint="eastAsia" w:ascii="宋体" w:hAnsi="宋体" w:eastAsia="宋体"/>
          <w:sz w:val="24"/>
          <w:szCs w:val="24"/>
        </w:rPr>
        <w:t>以城市运行管理“一网统管”为目标，依据《城市运行管理服务平台建设指南（试行）》、《城市运行管理服务平台技术标准》（CJJ/T312-2021）、《城市运行管理服务平台数据标准》（CJ/T545-2021），复用盐城市城市运行管理服务平台，实施本地化部署，综合利用我区现有信息化建设成果，进行大丰区城市运行管理服务平台项目建设。</w:t>
      </w:r>
    </w:p>
    <w:p w14:paraId="7C79B05C">
      <w:pPr>
        <w:spacing w:line="276" w:lineRule="auto"/>
        <w:ind w:firstLine="420"/>
        <w:rPr>
          <w:rFonts w:hint="eastAsia" w:ascii="宋体" w:hAnsi="宋体" w:eastAsia="宋体"/>
          <w:sz w:val="24"/>
          <w:szCs w:val="24"/>
        </w:rPr>
      </w:pPr>
      <w:r>
        <w:rPr>
          <w:rFonts w:hint="eastAsia" w:ascii="宋体" w:hAnsi="宋体" w:eastAsia="宋体"/>
          <w:sz w:val="24"/>
          <w:szCs w:val="24"/>
        </w:rPr>
        <w:t>本项目包含数据体系建设、基础环境体系建设、应用体系建设等内容。</w:t>
      </w:r>
      <w:r>
        <w:rPr>
          <w:rFonts w:ascii="宋体" w:hAnsi="宋体" w:eastAsia="宋体"/>
          <w:sz w:val="24"/>
          <w:szCs w:val="24"/>
        </w:rPr>
        <w:t>项目运行后，纵向对接</w:t>
      </w:r>
      <w:r>
        <w:rPr>
          <w:rFonts w:hint="eastAsia" w:ascii="宋体" w:hAnsi="宋体" w:eastAsia="宋体"/>
          <w:sz w:val="24"/>
          <w:szCs w:val="24"/>
        </w:rPr>
        <w:t>市级平台</w:t>
      </w:r>
      <w:r>
        <w:rPr>
          <w:rFonts w:ascii="宋体" w:hAnsi="宋体" w:eastAsia="宋体"/>
          <w:sz w:val="24"/>
          <w:szCs w:val="24"/>
        </w:rPr>
        <w:t>，横向</w:t>
      </w:r>
      <w:r>
        <w:rPr>
          <w:rFonts w:hint="eastAsia" w:ascii="宋体" w:hAnsi="宋体" w:eastAsia="宋体"/>
          <w:sz w:val="24"/>
          <w:szCs w:val="24"/>
        </w:rPr>
        <w:t>对接大丰区共享交换平台，</w:t>
      </w:r>
      <w:r>
        <w:rPr>
          <w:rFonts w:ascii="宋体" w:hAnsi="宋体" w:eastAsia="宋体"/>
          <w:sz w:val="24"/>
          <w:szCs w:val="24"/>
        </w:rPr>
        <w:t>整合共享城市管理相关部门数据资源</w:t>
      </w:r>
      <w:r>
        <w:rPr>
          <w:rFonts w:hint="eastAsia" w:ascii="宋体" w:hAnsi="宋体" w:eastAsia="宋体"/>
          <w:sz w:val="24"/>
          <w:szCs w:val="24"/>
        </w:rPr>
        <w:t>；在现有数字城管基础上升级建设</w:t>
      </w:r>
      <w:r>
        <w:rPr>
          <w:rFonts w:ascii="宋体" w:hAnsi="宋体" w:eastAsia="宋体"/>
          <w:sz w:val="24"/>
          <w:szCs w:val="24"/>
        </w:rPr>
        <w:t>，</w:t>
      </w:r>
      <w:r>
        <w:rPr>
          <w:rFonts w:hint="eastAsia" w:ascii="宋体" w:hAnsi="宋体" w:eastAsia="宋体"/>
          <w:sz w:val="24"/>
          <w:szCs w:val="24"/>
        </w:rPr>
        <w:t>加强对城市管理行业数据、人员、车辆、业务的监管。</w:t>
      </w:r>
    </w:p>
    <w:p w14:paraId="570AD539">
      <w:pPr>
        <w:pStyle w:val="7"/>
        <w:spacing w:line="420" w:lineRule="auto"/>
        <w:rPr>
          <w:rFonts w:hint="eastAsia" w:ascii="宋体" w:hAnsi="宋体" w:eastAsia="宋体" w:cs="宋体"/>
          <w:b/>
          <w:bCs/>
        </w:rPr>
      </w:pPr>
      <w:bookmarkStart w:id="11" w:name="_Toc11469"/>
      <w:r>
        <w:rPr>
          <w:rFonts w:hint="eastAsia" w:ascii="宋体" w:hAnsi="宋体" w:eastAsia="宋体" w:cs="宋体"/>
          <w:b/>
          <w:bCs/>
        </w:rPr>
        <w:t>建设规模</w:t>
      </w:r>
      <w:bookmarkEnd w:id="11"/>
    </w:p>
    <w:p w14:paraId="25F385FE">
      <w:pPr>
        <w:spacing w:line="276" w:lineRule="auto"/>
        <w:ind w:left="420"/>
        <w:rPr>
          <w:rFonts w:hint="eastAsia" w:ascii="宋体" w:hAnsi="宋体" w:eastAsia="宋体"/>
          <w:sz w:val="24"/>
          <w:szCs w:val="24"/>
        </w:rPr>
      </w:pPr>
      <w:r>
        <w:rPr>
          <w:rFonts w:hint="eastAsia" w:ascii="宋体" w:hAnsi="宋体" w:eastAsia="宋体"/>
          <w:sz w:val="24"/>
          <w:szCs w:val="24"/>
        </w:rPr>
        <w:t>建设规模覆盖大丰区建成区范围。</w:t>
      </w:r>
    </w:p>
    <w:p w14:paraId="30ACFE0F">
      <w:pPr>
        <w:pStyle w:val="7"/>
        <w:spacing w:line="420" w:lineRule="auto"/>
        <w:rPr>
          <w:rFonts w:hint="eastAsia" w:ascii="宋体" w:hAnsi="宋体" w:eastAsia="宋体" w:cs="宋体"/>
          <w:b/>
          <w:bCs/>
        </w:rPr>
      </w:pPr>
      <w:bookmarkStart w:id="12" w:name="_Toc20772"/>
      <w:r>
        <w:rPr>
          <w:rFonts w:hint="eastAsia" w:ascii="宋体" w:hAnsi="宋体" w:eastAsia="宋体" w:cs="宋体"/>
          <w:b/>
          <w:bCs/>
        </w:rPr>
        <w:t>建设地点</w:t>
      </w:r>
      <w:bookmarkEnd w:id="12"/>
    </w:p>
    <w:p w14:paraId="2A00D758">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盐城市大丰区。</w:t>
      </w:r>
    </w:p>
    <w:p w14:paraId="263FDC42">
      <w:pPr>
        <w:pStyle w:val="7"/>
        <w:spacing w:line="420" w:lineRule="auto"/>
        <w:rPr>
          <w:rFonts w:hint="eastAsia" w:ascii="宋体" w:hAnsi="宋体" w:eastAsia="宋体" w:cs="宋体"/>
          <w:b/>
          <w:bCs/>
        </w:rPr>
      </w:pPr>
      <w:bookmarkStart w:id="13" w:name="_Toc30512"/>
      <w:r>
        <w:rPr>
          <w:rFonts w:hint="eastAsia" w:ascii="宋体" w:hAnsi="宋体" w:eastAsia="宋体" w:cs="宋体"/>
          <w:b/>
          <w:bCs/>
        </w:rPr>
        <w:t>服务周期</w:t>
      </w:r>
      <w:bookmarkEnd w:id="13"/>
    </w:p>
    <w:p w14:paraId="2A433727">
      <w:pPr>
        <w:spacing w:line="276" w:lineRule="auto"/>
        <w:ind w:firstLine="480" w:firstLineChars="200"/>
        <w:rPr>
          <w:rFonts w:hint="eastAsia" w:ascii="宋体" w:hAnsi="宋体" w:eastAsia="宋体" w:cs="仿宋"/>
          <w:sz w:val="24"/>
          <w:szCs w:val="24"/>
          <w:lang w:bidi="ar"/>
        </w:rPr>
      </w:pPr>
      <w:r>
        <w:rPr>
          <w:rFonts w:ascii="宋体" w:hAnsi="宋体" w:eastAsia="宋体" w:cs="仿宋"/>
          <w:sz w:val="24"/>
          <w:szCs w:val="24"/>
          <w:lang w:bidi="ar"/>
        </w:rPr>
        <w:t>建设期：</w:t>
      </w:r>
      <w:r>
        <w:rPr>
          <w:rFonts w:hint="eastAsia" w:ascii="宋体" w:hAnsi="宋体" w:eastAsia="宋体" w:cs="仿宋"/>
          <w:sz w:val="24"/>
          <w:szCs w:val="24"/>
          <w:lang w:bidi="ar"/>
        </w:rPr>
        <w:t>本次项目采用政府购买服务的方式采购，项目经前期实施后组织初验，项目通过初验后进入服务期，服务期为三年，服务期满后组织项目终验</w:t>
      </w:r>
      <w:r>
        <w:rPr>
          <w:rFonts w:ascii="宋体" w:hAnsi="宋体" w:eastAsia="宋体" w:cs="仿宋"/>
          <w:sz w:val="24"/>
          <w:szCs w:val="24"/>
          <w:lang w:bidi="ar"/>
        </w:rPr>
        <w:t>。</w:t>
      </w:r>
    </w:p>
    <w:p w14:paraId="6827BB06">
      <w:pPr>
        <w:pStyle w:val="5"/>
        <w:rPr>
          <w:rFonts w:hint="eastAsia"/>
        </w:rPr>
      </w:pPr>
      <w:bookmarkStart w:id="14" w:name="_Toc29388"/>
      <w:r>
        <w:rPr>
          <w:rFonts w:hint="eastAsia"/>
        </w:rPr>
        <w:t>项目总投资及资金来源</w:t>
      </w:r>
      <w:bookmarkEnd w:id="14"/>
    </w:p>
    <w:p w14:paraId="209E58F5">
      <w:pPr>
        <w:pStyle w:val="6"/>
        <w:spacing w:line="276" w:lineRule="auto"/>
        <w:rPr>
          <w:rFonts w:hint="eastAsia" w:ascii="宋体" w:hAnsi="宋体"/>
          <w:color w:val="FF0000"/>
        </w:rPr>
      </w:pPr>
      <w:r>
        <w:rPr>
          <w:rFonts w:hint="eastAsia" w:ascii="宋体" w:hAnsi="宋体"/>
          <w:color w:val="FF0000"/>
        </w:rPr>
        <w:t>项目总投资</w:t>
      </w:r>
      <w:r>
        <w:rPr>
          <w:rFonts w:hint="eastAsia" w:ascii="宋体" w:hAnsi="宋体"/>
          <w:color w:val="FF0000"/>
          <w:lang w:val="en-US" w:eastAsia="zh-CN"/>
        </w:rPr>
        <w:t>(</w:t>
      </w:r>
      <w:r>
        <w:rPr>
          <w:rFonts w:hint="eastAsia" w:ascii="宋体" w:hAnsi="宋体"/>
          <w:color w:val="FF0000"/>
        </w:rPr>
        <w:t>平台建设费</w:t>
      </w:r>
      <w:r>
        <w:rPr>
          <w:rFonts w:hint="eastAsia" w:ascii="宋体" w:hAnsi="宋体"/>
          <w:color w:val="FF0000"/>
          <w:lang w:val="en-US" w:eastAsia="zh-CN"/>
        </w:rPr>
        <w:t>):3600300</w:t>
      </w:r>
      <w:r>
        <w:rPr>
          <w:rFonts w:hint="eastAsia" w:ascii="宋体" w:hAnsi="宋体"/>
          <w:color w:val="FF0000"/>
        </w:rPr>
        <w:t>元。全部由区财政解决。</w:t>
      </w:r>
    </w:p>
    <w:p w14:paraId="4914E1EA">
      <w:pPr>
        <w:spacing w:line="276" w:lineRule="auto"/>
        <w:rPr>
          <w:rFonts w:hint="eastAsia" w:ascii="宋体" w:hAnsi="宋体" w:eastAsia="宋体"/>
          <w:sz w:val="24"/>
          <w:szCs w:val="24"/>
        </w:rPr>
      </w:pPr>
    </w:p>
    <w:p w14:paraId="15CB4EA4">
      <w:pPr>
        <w:spacing w:line="276" w:lineRule="auto"/>
        <w:rPr>
          <w:rFonts w:hint="eastAsia" w:ascii="宋体" w:hAnsi="宋体" w:eastAsia="宋体"/>
          <w:sz w:val="24"/>
          <w:szCs w:val="24"/>
        </w:rPr>
      </w:pPr>
    </w:p>
    <w:p w14:paraId="1386C319">
      <w:pPr>
        <w:pStyle w:val="4"/>
        <w:rPr>
          <w:rFonts w:hint="eastAsia"/>
        </w:rPr>
      </w:pPr>
      <w:bookmarkStart w:id="15" w:name="_Toc10422"/>
      <w:r>
        <w:rPr>
          <w:rFonts w:hint="eastAsia"/>
        </w:rPr>
        <w:t>项目建设的必要性</w:t>
      </w:r>
      <w:bookmarkEnd w:id="15"/>
    </w:p>
    <w:p w14:paraId="575AC7B9">
      <w:pPr>
        <w:pStyle w:val="5"/>
        <w:rPr>
          <w:rFonts w:hint="eastAsia"/>
        </w:rPr>
      </w:pPr>
      <w:bookmarkStart w:id="16" w:name="_Toc11125"/>
      <w:r>
        <w:rPr>
          <w:rFonts w:hint="eastAsia"/>
        </w:rPr>
        <w:t>信息化现状分析</w:t>
      </w:r>
      <w:bookmarkEnd w:id="16"/>
    </w:p>
    <w:p w14:paraId="6B0BCE98">
      <w:pPr>
        <w:pStyle w:val="7"/>
        <w:spacing w:line="420" w:lineRule="auto"/>
        <w:rPr>
          <w:rFonts w:hint="eastAsia" w:ascii="宋体" w:hAnsi="宋体" w:eastAsia="宋体" w:cs="宋体"/>
          <w:b/>
          <w:bCs/>
        </w:rPr>
      </w:pPr>
      <w:bookmarkStart w:id="17" w:name="_Toc16816"/>
      <w:r>
        <w:rPr>
          <w:rFonts w:hint="eastAsia" w:ascii="宋体" w:hAnsi="宋体" w:eastAsia="宋体" w:cs="宋体"/>
          <w:b/>
          <w:bCs/>
        </w:rPr>
        <w:t>现有软件平台</w:t>
      </w:r>
      <w:bookmarkEnd w:id="17"/>
    </w:p>
    <w:p w14:paraId="1AC46005">
      <w:pPr>
        <w:pStyle w:val="8"/>
        <w:rPr>
          <w:rFonts w:hint="eastAsia"/>
        </w:rPr>
      </w:pPr>
      <w:r>
        <w:rPr>
          <w:rFonts w:hint="eastAsia"/>
        </w:rPr>
        <w:t>现有软件清单</w:t>
      </w:r>
    </w:p>
    <w:p w14:paraId="7D40D24E">
      <w:pPr>
        <w:spacing w:line="276" w:lineRule="auto"/>
        <w:ind w:left="420"/>
        <w:rPr>
          <w:rFonts w:hint="eastAsia" w:ascii="宋体" w:hAnsi="宋体" w:eastAsia="宋体"/>
          <w:sz w:val="24"/>
          <w:szCs w:val="24"/>
        </w:rPr>
      </w:pPr>
      <w:r>
        <w:rPr>
          <w:rFonts w:hint="eastAsia" w:ascii="宋体" w:hAnsi="宋体" w:eastAsia="宋体"/>
          <w:sz w:val="24"/>
          <w:szCs w:val="24"/>
        </w:rPr>
        <w:t>以下是大丰区城市管理局现有软件平台清单：</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60"/>
        <w:gridCol w:w="1386"/>
        <w:gridCol w:w="1936"/>
        <w:gridCol w:w="1660"/>
        <w:gridCol w:w="1161"/>
      </w:tblGrid>
      <w:tr w14:paraId="2AA1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23181846">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序号</w:t>
            </w:r>
          </w:p>
        </w:tc>
        <w:tc>
          <w:tcPr>
            <w:tcW w:w="974" w:type="pct"/>
            <w:vAlign w:val="center"/>
          </w:tcPr>
          <w:p w14:paraId="2B0DDEBB">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软件平台</w:t>
            </w:r>
            <w:r>
              <w:rPr>
                <w:rFonts w:hint="default" w:ascii="宋体" w:hAnsi="宋体" w:eastAsia="宋体" w:cs="Times New Roman"/>
                <w:szCs w:val="21"/>
              </w:rPr>
              <w:t>名称</w:t>
            </w:r>
          </w:p>
        </w:tc>
        <w:tc>
          <w:tcPr>
            <w:tcW w:w="813" w:type="pct"/>
            <w:vAlign w:val="center"/>
          </w:tcPr>
          <w:p w14:paraId="2D02258E">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建设</w:t>
            </w:r>
            <w:r>
              <w:rPr>
                <w:rFonts w:hint="default" w:ascii="宋体" w:hAnsi="宋体" w:eastAsia="宋体" w:cs="Times New Roman"/>
                <w:szCs w:val="21"/>
              </w:rPr>
              <w:t>日期</w:t>
            </w:r>
          </w:p>
        </w:tc>
        <w:tc>
          <w:tcPr>
            <w:tcW w:w="1136" w:type="pct"/>
            <w:vAlign w:val="center"/>
          </w:tcPr>
          <w:p w14:paraId="0886D28F">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主要内容</w:t>
            </w:r>
          </w:p>
        </w:tc>
        <w:tc>
          <w:tcPr>
            <w:tcW w:w="974" w:type="pct"/>
            <w:vAlign w:val="center"/>
          </w:tcPr>
          <w:p w14:paraId="677BDB90">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和本系统关系</w:t>
            </w:r>
          </w:p>
        </w:tc>
        <w:tc>
          <w:tcPr>
            <w:tcW w:w="681" w:type="pct"/>
            <w:vAlign w:val="center"/>
          </w:tcPr>
          <w:p w14:paraId="72E3F022">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是否利旧</w:t>
            </w:r>
          </w:p>
        </w:tc>
      </w:tr>
      <w:tr w14:paraId="59F9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59BFA752">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1</w:t>
            </w:r>
          </w:p>
        </w:tc>
        <w:tc>
          <w:tcPr>
            <w:tcW w:w="974" w:type="pct"/>
            <w:vAlign w:val="center"/>
          </w:tcPr>
          <w:p w14:paraId="56E468FF">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城管移动执法管理平台</w:t>
            </w:r>
          </w:p>
        </w:tc>
        <w:tc>
          <w:tcPr>
            <w:tcW w:w="813" w:type="pct"/>
            <w:vAlign w:val="center"/>
          </w:tcPr>
          <w:p w14:paraId="25EF8A1D">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2023.12.29</w:t>
            </w:r>
          </w:p>
        </w:tc>
        <w:tc>
          <w:tcPr>
            <w:tcW w:w="1136" w:type="pct"/>
            <w:vAlign w:val="center"/>
          </w:tcPr>
          <w:p w14:paraId="7BD52BD5">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宋体"/>
                <w:kern w:val="0"/>
                <w:szCs w:val="21"/>
              </w:rPr>
              <w:t>将融合通信、移动执法、车辆定位等根据业务场景进行了深度融合和指挥调度，包括执法指挥、执法监督、事件管理、证据管理等功能模块。</w:t>
            </w:r>
          </w:p>
        </w:tc>
        <w:tc>
          <w:tcPr>
            <w:tcW w:w="974" w:type="pct"/>
            <w:vAlign w:val="center"/>
          </w:tcPr>
          <w:p w14:paraId="4F9D15DD">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与综合执法系统进行融合</w:t>
            </w:r>
          </w:p>
        </w:tc>
        <w:tc>
          <w:tcPr>
            <w:tcW w:w="681" w:type="pct"/>
            <w:vAlign w:val="center"/>
          </w:tcPr>
          <w:p w14:paraId="472A7298">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利旧原系统功能</w:t>
            </w:r>
          </w:p>
        </w:tc>
      </w:tr>
      <w:tr w14:paraId="0D6D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1E226B0D">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w:t>
            </w:r>
          </w:p>
        </w:tc>
        <w:tc>
          <w:tcPr>
            <w:tcW w:w="974" w:type="pct"/>
            <w:vAlign w:val="center"/>
          </w:tcPr>
          <w:p w14:paraId="78D1D70A">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数字化城市管理监督指挥系统</w:t>
            </w:r>
          </w:p>
        </w:tc>
        <w:tc>
          <w:tcPr>
            <w:tcW w:w="813" w:type="pct"/>
            <w:vAlign w:val="center"/>
          </w:tcPr>
          <w:p w14:paraId="5A7D24C2">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2012</w:t>
            </w:r>
          </w:p>
        </w:tc>
        <w:tc>
          <w:tcPr>
            <w:tcW w:w="1136" w:type="pct"/>
            <w:vAlign w:val="center"/>
          </w:tcPr>
          <w:p w14:paraId="017F4FE1">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用于全区城市管理相关的事部件监督采集、派发、处置、办结闭环。</w:t>
            </w:r>
          </w:p>
        </w:tc>
        <w:tc>
          <w:tcPr>
            <w:tcW w:w="974" w:type="pct"/>
            <w:vAlign w:val="center"/>
          </w:tcPr>
          <w:p w14:paraId="791F1000">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 xml:space="preserve">升级改造为本项目的指挥协调系统 </w:t>
            </w:r>
          </w:p>
        </w:tc>
        <w:tc>
          <w:tcPr>
            <w:tcW w:w="681" w:type="pct"/>
            <w:vAlign w:val="center"/>
          </w:tcPr>
          <w:p w14:paraId="5FF3DBBE">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利旧原有历史数据</w:t>
            </w:r>
          </w:p>
        </w:tc>
      </w:tr>
      <w:tr w14:paraId="13EE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4FBB58D5">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3</w:t>
            </w:r>
          </w:p>
        </w:tc>
        <w:tc>
          <w:tcPr>
            <w:tcW w:w="974" w:type="pct"/>
            <w:vAlign w:val="center"/>
          </w:tcPr>
          <w:p w14:paraId="693F8CAF">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大丰城管公众号便民服务</w:t>
            </w:r>
          </w:p>
        </w:tc>
        <w:tc>
          <w:tcPr>
            <w:tcW w:w="813" w:type="pct"/>
            <w:vAlign w:val="center"/>
          </w:tcPr>
          <w:p w14:paraId="139BD8B7">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2023.12.29</w:t>
            </w:r>
          </w:p>
        </w:tc>
        <w:tc>
          <w:tcPr>
            <w:tcW w:w="1136" w:type="pct"/>
            <w:vAlign w:val="center"/>
          </w:tcPr>
          <w:p w14:paraId="437CE82D">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宋体"/>
                <w:kern w:val="0"/>
                <w:szCs w:val="21"/>
              </w:rPr>
              <w:t>公共自行车站点、公厕、公园游园定位查询、导航、电子地图展示。</w:t>
            </w:r>
          </w:p>
        </w:tc>
        <w:tc>
          <w:tcPr>
            <w:tcW w:w="974" w:type="pct"/>
            <w:vAlign w:val="center"/>
          </w:tcPr>
          <w:p w14:paraId="6DD74A11">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与公众服务系统进行融合</w:t>
            </w:r>
          </w:p>
        </w:tc>
        <w:tc>
          <w:tcPr>
            <w:tcW w:w="681" w:type="pct"/>
            <w:vAlign w:val="center"/>
          </w:tcPr>
          <w:p w14:paraId="666740AA">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利旧原系统功能</w:t>
            </w:r>
          </w:p>
        </w:tc>
      </w:tr>
    </w:tbl>
    <w:p w14:paraId="798CAC75">
      <w:pPr>
        <w:spacing w:line="276" w:lineRule="auto"/>
        <w:ind w:left="420"/>
        <w:rPr>
          <w:rFonts w:hint="eastAsia" w:ascii="宋体" w:hAnsi="宋体" w:eastAsia="宋体"/>
          <w:sz w:val="24"/>
          <w:szCs w:val="24"/>
        </w:rPr>
      </w:pPr>
    </w:p>
    <w:p w14:paraId="2B55AB0F">
      <w:pPr>
        <w:spacing w:line="276" w:lineRule="auto"/>
        <w:ind w:left="420"/>
        <w:rPr>
          <w:rFonts w:hint="eastAsia" w:ascii="宋体" w:hAnsi="宋体" w:eastAsia="宋体"/>
          <w:sz w:val="24"/>
          <w:szCs w:val="24"/>
        </w:rPr>
      </w:pPr>
    </w:p>
    <w:p w14:paraId="356AFE4E">
      <w:pPr>
        <w:spacing w:line="276" w:lineRule="auto"/>
        <w:ind w:left="420"/>
        <w:rPr>
          <w:rFonts w:hint="eastAsia" w:ascii="宋体" w:hAnsi="宋体" w:eastAsia="宋体"/>
          <w:sz w:val="24"/>
          <w:szCs w:val="24"/>
        </w:rPr>
      </w:pP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60"/>
        <w:gridCol w:w="1386"/>
        <w:gridCol w:w="1936"/>
        <w:gridCol w:w="1660"/>
        <w:gridCol w:w="1161"/>
      </w:tblGrid>
      <w:tr w14:paraId="1E68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7E82B2DA">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序号</w:t>
            </w:r>
          </w:p>
        </w:tc>
        <w:tc>
          <w:tcPr>
            <w:tcW w:w="974" w:type="pct"/>
            <w:vAlign w:val="center"/>
          </w:tcPr>
          <w:p w14:paraId="2B065A28">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名称</w:t>
            </w:r>
          </w:p>
        </w:tc>
        <w:tc>
          <w:tcPr>
            <w:tcW w:w="813" w:type="pct"/>
            <w:vAlign w:val="center"/>
          </w:tcPr>
          <w:p w14:paraId="6FBF0755">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合同日期</w:t>
            </w:r>
          </w:p>
        </w:tc>
        <w:tc>
          <w:tcPr>
            <w:tcW w:w="1136" w:type="pct"/>
            <w:vAlign w:val="center"/>
          </w:tcPr>
          <w:p w14:paraId="5546AB01">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主要内容</w:t>
            </w:r>
          </w:p>
        </w:tc>
        <w:tc>
          <w:tcPr>
            <w:tcW w:w="974" w:type="pct"/>
            <w:vAlign w:val="center"/>
          </w:tcPr>
          <w:p w14:paraId="209D8E5D">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和本系统关系</w:t>
            </w:r>
          </w:p>
        </w:tc>
        <w:tc>
          <w:tcPr>
            <w:tcW w:w="681" w:type="pct"/>
            <w:vAlign w:val="center"/>
          </w:tcPr>
          <w:p w14:paraId="1A176F3B">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能否复用</w:t>
            </w:r>
          </w:p>
        </w:tc>
      </w:tr>
      <w:tr w14:paraId="5692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2C5F4EB2">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1</w:t>
            </w:r>
          </w:p>
        </w:tc>
        <w:tc>
          <w:tcPr>
            <w:tcW w:w="974" w:type="pct"/>
            <w:vAlign w:val="center"/>
          </w:tcPr>
          <w:p w14:paraId="0F59C767">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大丰区居民小区生活垃圾“四分类”、“两定一撤”市场化运作项目</w:t>
            </w:r>
          </w:p>
        </w:tc>
        <w:tc>
          <w:tcPr>
            <w:tcW w:w="813" w:type="pct"/>
            <w:vAlign w:val="center"/>
          </w:tcPr>
          <w:p w14:paraId="3F7DCA1A">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2021.6</w:t>
            </w:r>
          </w:p>
        </w:tc>
        <w:tc>
          <w:tcPr>
            <w:tcW w:w="1136" w:type="pct"/>
            <w:vAlign w:val="center"/>
          </w:tcPr>
          <w:p w14:paraId="732F8A21">
            <w:pPr>
              <w:keepNext w:val="0"/>
              <w:keepLines w:val="0"/>
              <w:suppressLineNumbers w:val="0"/>
              <w:spacing w:before="0" w:beforeAutospacing="0" w:after="0" w:afterAutospacing="0" w:line="276" w:lineRule="auto"/>
              <w:ind w:left="0" w:right="0"/>
              <w:jc w:val="center"/>
              <w:rPr>
                <w:rFonts w:hint="eastAsia" w:ascii="宋体" w:hAnsi="宋体" w:eastAsia="宋体" w:cs="宋体"/>
                <w:kern w:val="0"/>
                <w:szCs w:val="21"/>
              </w:rPr>
            </w:pPr>
            <w:r>
              <w:rPr>
                <w:rFonts w:hint="eastAsia" w:ascii="宋体" w:hAnsi="宋体" w:eastAsia="宋体" w:cs="宋体"/>
                <w:kern w:val="0"/>
                <w:szCs w:val="21"/>
              </w:rPr>
              <w:t>居民小区垃圾分类设备安装、垃圾分类宣传活动开展、可回收物有害垃圾清运、小区垃圾分类宣传阵地打造等</w:t>
            </w:r>
          </w:p>
        </w:tc>
        <w:tc>
          <w:tcPr>
            <w:tcW w:w="974" w:type="pct"/>
            <w:vAlign w:val="center"/>
          </w:tcPr>
          <w:p w14:paraId="6CAE269B">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本项目新建垃圾分类系统对现有垃圾分类硬件设备进行对接</w:t>
            </w:r>
          </w:p>
        </w:tc>
        <w:tc>
          <w:tcPr>
            <w:tcW w:w="681" w:type="pct"/>
            <w:vAlign w:val="center"/>
          </w:tcPr>
          <w:p w14:paraId="0874BF72">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复用硬件</w:t>
            </w:r>
          </w:p>
        </w:tc>
      </w:tr>
      <w:tr w14:paraId="5CED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11CED0DE">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w:t>
            </w:r>
          </w:p>
        </w:tc>
        <w:tc>
          <w:tcPr>
            <w:tcW w:w="974" w:type="pct"/>
            <w:vAlign w:val="center"/>
          </w:tcPr>
          <w:p w14:paraId="6FDC6C57">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2025年环卫车辆智能监管服务（含设备租赁）</w:t>
            </w:r>
          </w:p>
        </w:tc>
        <w:tc>
          <w:tcPr>
            <w:tcW w:w="813" w:type="pct"/>
            <w:vAlign w:val="center"/>
          </w:tcPr>
          <w:p w14:paraId="5074D38C">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2025.3.20</w:t>
            </w:r>
          </w:p>
        </w:tc>
        <w:tc>
          <w:tcPr>
            <w:tcW w:w="1136" w:type="pct"/>
            <w:vAlign w:val="center"/>
          </w:tcPr>
          <w:p w14:paraId="491C2841">
            <w:pPr>
              <w:keepNext w:val="0"/>
              <w:keepLines w:val="0"/>
              <w:suppressLineNumbers w:val="0"/>
              <w:spacing w:before="0" w:beforeAutospacing="0" w:after="0" w:afterAutospacing="0" w:line="276" w:lineRule="auto"/>
              <w:ind w:left="0" w:right="0"/>
              <w:jc w:val="center"/>
              <w:rPr>
                <w:rFonts w:hint="eastAsia" w:ascii="宋体" w:hAnsi="宋体" w:eastAsia="宋体" w:cs="宋体"/>
                <w:kern w:val="0"/>
                <w:szCs w:val="21"/>
              </w:rPr>
            </w:pPr>
            <w:r>
              <w:rPr>
                <w:rFonts w:hint="eastAsia" w:ascii="宋体" w:hAnsi="宋体" w:eastAsia="宋体" w:cs="Times New Roman"/>
                <w:kern w:val="0"/>
                <w:szCs w:val="21"/>
                <w:lang w:bidi="ar"/>
              </w:rPr>
              <w:t>主要包括</w:t>
            </w:r>
            <w:r>
              <w:rPr>
                <w:rFonts w:hint="default" w:ascii="宋体" w:hAnsi="宋体" w:eastAsia="宋体" w:cs="Times New Roman"/>
                <w:kern w:val="0"/>
                <w:szCs w:val="21"/>
                <w:lang w:bidi="ar"/>
              </w:rPr>
              <w:t>VGA</w:t>
            </w:r>
            <w:r>
              <w:rPr>
                <w:rFonts w:hint="eastAsia" w:ascii="宋体" w:hAnsi="宋体" w:eastAsia="宋体" w:cs="宋体"/>
                <w:kern w:val="0"/>
                <w:szCs w:val="21"/>
                <w:lang w:bidi="ar"/>
              </w:rPr>
              <w:t>显示屏、声光报警器、拾音器、</w:t>
            </w:r>
            <w:r>
              <w:rPr>
                <w:rFonts w:hint="default" w:ascii="宋体" w:hAnsi="宋体" w:eastAsia="宋体" w:cs="Times New Roman"/>
                <w:kern w:val="0"/>
                <w:szCs w:val="21"/>
                <w:lang w:bidi="ar"/>
              </w:rPr>
              <w:t>TTS</w:t>
            </w:r>
            <w:r>
              <w:rPr>
                <w:rFonts w:hint="eastAsia" w:ascii="宋体" w:hAnsi="宋体" w:eastAsia="宋体" w:cs="宋体"/>
                <w:kern w:val="0"/>
                <w:szCs w:val="21"/>
                <w:lang w:bidi="ar"/>
              </w:rPr>
              <w:t>喇叭、</w:t>
            </w:r>
            <w:r>
              <w:rPr>
                <w:rFonts w:hint="default" w:ascii="宋体" w:hAnsi="宋体" w:eastAsia="宋体" w:cs="Times New Roman"/>
                <w:kern w:val="0"/>
                <w:szCs w:val="21"/>
                <w:lang w:bidi="ar"/>
              </w:rPr>
              <w:t>DSM</w:t>
            </w:r>
            <w:r>
              <w:rPr>
                <w:rFonts w:hint="eastAsia" w:ascii="宋体" w:hAnsi="宋体" w:eastAsia="宋体" w:cs="宋体"/>
                <w:kern w:val="0"/>
                <w:szCs w:val="21"/>
                <w:lang w:bidi="ar"/>
              </w:rPr>
              <w:t>摄像头、</w:t>
            </w:r>
            <w:r>
              <w:rPr>
                <w:rFonts w:hint="default" w:ascii="宋体" w:hAnsi="宋体" w:eastAsia="宋体" w:cs="Times New Roman"/>
                <w:kern w:val="0"/>
                <w:szCs w:val="21"/>
                <w:lang w:bidi="ar"/>
              </w:rPr>
              <w:t>ADAS</w:t>
            </w:r>
            <w:r>
              <w:rPr>
                <w:rFonts w:hint="eastAsia" w:ascii="宋体" w:hAnsi="宋体" w:eastAsia="宋体" w:cs="宋体"/>
                <w:kern w:val="0"/>
                <w:szCs w:val="21"/>
                <w:lang w:bidi="ar"/>
              </w:rPr>
              <w:t>摄像头、室外摄像头、车载视频监控终端等车载设备的租赁并提供相应服务</w:t>
            </w:r>
          </w:p>
        </w:tc>
        <w:tc>
          <w:tcPr>
            <w:tcW w:w="974" w:type="pct"/>
            <w:vAlign w:val="center"/>
          </w:tcPr>
          <w:p w14:paraId="24AC23A9">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后期嵌入本系统中作为业务模块</w:t>
            </w:r>
          </w:p>
        </w:tc>
        <w:tc>
          <w:tcPr>
            <w:tcW w:w="681" w:type="pct"/>
            <w:vAlign w:val="center"/>
          </w:tcPr>
          <w:p w14:paraId="407164F7">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否；本项目为租赁服务方式进行，资产不归属城管局</w:t>
            </w:r>
          </w:p>
        </w:tc>
      </w:tr>
    </w:tbl>
    <w:p w14:paraId="0601B496">
      <w:pPr>
        <w:spacing w:line="276" w:lineRule="auto"/>
        <w:rPr>
          <w:rFonts w:hint="eastAsia" w:ascii="宋体" w:hAnsi="宋体" w:eastAsia="宋体"/>
          <w:sz w:val="24"/>
          <w:szCs w:val="24"/>
        </w:rPr>
      </w:pPr>
    </w:p>
    <w:p w14:paraId="4FCCC3F3">
      <w:pPr>
        <w:pStyle w:val="8"/>
        <w:rPr>
          <w:rFonts w:hint="eastAsia"/>
        </w:rPr>
      </w:pPr>
      <w:r>
        <w:rPr>
          <w:rFonts w:hint="eastAsia"/>
        </w:rPr>
        <w:t>现有平台使用情况</w:t>
      </w:r>
    </w:p>
    <w:p w14:paraId="5D6982BA">
      <w:pPr>
        <w:pStyle w:val="14"/>
        <w:ind w:left="0" w:firstLine="0"/>
        <w:rPr>
          <w:rFonts w:hint="eastAsia"/>
        </w:rPr>
      </w:pPr>
      <w:r>
        <w:t>数字化城市管理监督指挥系统</w:t>
      </w:r>
    </w:p>
    <w:p w14:paraId="150BA19E">
      <w:pPr>
        <w:pStyle w:val="6"/>
        <w:spacing w:line="276" w:lineRule="auto"/>
        <w:rPr>
          <w:rFonts w:hint="eastAsia" w:ascii="宋体" w:hAnsi="宋体"/>
        </w:rPr>
      </w:pPr>
      <w:r>
        <w:rPr>
          <w:rFonts w:ascii="宋体" w:hAnsi="宋体"/>
        </w:rPr>
        <w:t>大丰城管</w:t>
      </w:r>
      <w:r>
        <w:rPr>
          <w:rFonts w:hint="eastAsia" w:ascii="宋体" w:hAnsi="宋体"/>
        </w:rPr>
        <w:t>建设的数字化城市管理监督指挥系统（</w:t>
      </w:r>
      <w:r>
        <w:rPr>
          <w:rFonts w:ascii="宋体" w:hAnsi="宋体"/>
        </w:rPr>
        <w:t>数字城管</w:t>
      </w:r>
      <w:r>
        <w:rPr>
          <w:rFonts w:hint="eastAsia" w:ascii="宋体" w:hAnsi="宋体"/>
        </w:rPr>
        <w:t>）自从建设以来，</w:t>
      </w:r>
      <w:r>
        <w:rPr>
          <w:rFonts w:ascii="宋体" w:hAnsi="宋体"/>
        </w:rPr>
        <w:t>积极回应市民关切，在城市管理领域取得了显著成效</w:t>
      </w:r>
      <w:r>
        <w:rPr>
          <w:rFonts w:hint="eastAsia" w:ascii="宋体" w:hAnsi="宋体"/>
        </w:rPr>
        <w:t>。目前数字城管案件涵盖</w:t>
      </w:r>
      <w:r>
        <w:rPr>
          <w:rFonts w:ascii="宋体" w:hAnsi="宋体"/>
        </w:rPr>
        <w:t>市容秩序、市政设施、园林绿化、水域通信等诸多领域</w:t>
      </w:r>
      <w:r>
        <w:rPr>
          <w:rFonts w:hint="eastAsia" w:ascii="宋体" w:hAnsi="宋体"/>
        </w:rPr>
        <w:t>，案件立案率、处置率等均达到95%以上，受到了群众的一致好评，提高了城市管理效能和服务质量。</w:t>
      </w:r>
    </w:p>
    <w:p w14:paraId="33F76FFA">
      <w:pPr>
        <w:pStyle w:val="14"/>
        <w:ind w:left="0" w:firstLine="0"/>
        <w:rPr>
          <w:rFonts w:hint="eastAsia"/>
        </w:rPr>
      </w:pPr>
      <w:r>
        <w:rPr>
          <w:rFonts w:hint="eastAsia"/>
        </w:rPr>
        <w:t>城管移动执法管理平台</w:t>
      </w:r>
    </w:p>
    <w:p w14:paraId="79B4F441">
      <w:pPr>
        <w:pStyle w:val="6"/>
        <w:spacing w:line="276" w:lineRule="auto"/>
        <w:rPr>
          <w:rFonts w:hint="eastAsia" w:ascii="宋体" w:hAnsi="宋体"/>
        </w:rPr>
      </w:pPr>
      <w:r>
        <w:rPr>
          <w:rFonts w:hint="eastAsia" w:ascii="宋体" w:hAnsi="宋体"/>
        </w:rPr>
        <w:t>2023年，</w:t>
      </w:r>
      <w:r>
        <w:rPr>
          <w:rFonts w:ascii="宋体" w:hAnsi="宋体"/>
        </w:rPr>
        <w:t>开展数字化城市管理平台运维及数据采集服务升级工作</w:t>
      </w:r>
      <w:r>
        <w:rPr>
          <w:rFonts w:hint="eastAsia" w:ascii="宋体" w:hAnsi="宋体"/>
        </w:rPr>
        <w:t>，</w:t>
      </w:r>
      <w:r>
        <w:rPr>
          <w:rFonts w:ascii="宋体" w:hAnsi="宋体"/>
        </w:rPr>
        <w:t>并依托大数据、云监控、数字分析等技术，建设</w:t>
      </w:r>
      <w:r>
        <w:rPr>
          <w:rFonts w:hint="eastAsia" w:ascii="宋体" w:hAnsi="宋体"/>
        </w:rPr>
        <w:t>完成</w:t>
      </w:r>
      <w:r>
        <w:rPr>
          <w:rFonts w:ascii="宋体" w:hAnsi="宋体"/>
        </w:rPr>
        <w:t>城管移动执法管理平台，实现了执法全过程的智能化监管，</w:t>
      </w:r>
      <w:r>
        <w:rPr>
          <w:rFonts w:hint="eastAsia" w:ascii="宋体" w:hAnsi="宋体"/>
        </w:rPr>
        <w:t>同时</w:t>
      </w:r>
      <w:r>
        <w:rPr>
          <w:rFonts w:ascii="宋体" w:hAnsi="宋体"/>
        </w:rPr>
        <w:t>对大厅及机房进行升级改造，配备160套执法记录设备、20套移动执法车车载系统以及20个道路监控探头。</w:t>
      </w:r>
    </w:p>
    <w:p w14:paraId="151380EF">
      <w:pPr>
        <w:pStyle w:val="14"/>
        <w:ind w:left="0" w:firstLine="0"/>
        <w:rPr>
          <w:rFonts w:hint="eastAsia"/>
        </w:rPr>
      </w:pPr>
      <w:r>
        <w:rPr>
          <w:rFonts w:hint="eastAsia"/>
        </w:rPr>
        <w:t>大丰城管公众号便民服务</w:t>
      </w:r>
    </w:p>
    <w:p w14:paraId="2BDF8755">
      <w:pPr>
        <w:pStyle w:val="6"/>
        <w:spacing w:line="276" w:lineRule="auto"/>
        <w:rPr>
          <w:rFonts w:hint="eastAsia" w:ascii="宋体" w:hAnsi="宋体"/>
        </w:rPr>
      </w:pPr>
      <w:r>
        <w:rPr>
          <w:rFonts w:ascii="宋体" w:hAnsi="宋体"/>
        </w:rPr>
        <w:t>在便民服务方面，“大丰城管”公众号新增公共自行车站点、公厕、公园和小游园电子地图等功能，推动“数字城管”向“智慧城管”加速转变。</w:t>
      </w:r>
    </w:p>
    <w:p w14:paraId="51B521D9">
      <w:pPr>
        <w:pStyle w:val="6"/>
        <w:spacing w:line="276" w:lineRule="auto"/>
        <w:rPr>
          <w:rFonts w:hint="eastAsia" w:ascii="宋体" w:hAnsi="宋体"/>
        </w:rPr>
      </w:pPr>
      <w:r>
        <w:rPr>
          <w:rFonts w:ascii="宋体" w:hAnsi="宋体"/>
        </w:rPr>
        <w:t>在这一高效的管理模式下，大丰区城市管理成绩斐然。系统上报案件5389件，立案率高达100%，综合指标得分99.87分，达到省住建厅A类标准。案件涵盖了市容秩序、市政设施、园林绿化、水域通信等诸多领域，且处置率、结案率均达100%，城市变得更加宜业宜居。</w:t>
      </w:r>
    </w:p>
    <w:p w14:paraId="78D31D34">
      <w:pPr>
        <w:pStyle w:val="7"/>
        <w:spacing w:line="420" w:lineRule="auto"/>
        <w:rPr>
          <w:rFonts w:hint="eastAsia" w:ascii="宋体" w:hAnsi="宋体" w:eastAsia="宋体" w:cs="宋体"/>
          <w:b/>
          <w:bCs/>
        </w:rPr>
      </w:pPr>
      <w:bookmarkStart w:id="18" w:name="_Toc28517"/>
      <w:r>
        <w:rPr>
          <w:rFonts w:hint="eastAsia" w:ascii="宋体" w:hAnsi="宋体" w:eastAsia="宋体" w:cs="宋体"/>
          <w:b/>
          <w:bCs/>
        </w:rPr>
        <w:t>现有硬件设备</w:t>
      </w:r>
      <w:bookmarkEnd w:id="18"/>
    </w:p>
    <w:p w14:paraId="012533F1">
      <w:pPr>
        <w:pStyle w:val="6"/>
        <w:spacing w:line="276" w:lineRule="auto"/>
        <w:rPr>
          <w:rFonts w:hint="eastAsia" w:ascii="宋体" w:hAnsi="宋体"/>
        </w:rPr>
      </w:pPr>
      <w:r>
        <w:rPr>
          <w:rFonts w:hint="eastAsia" w:ascii="宋体" w:hAnsi="宋体"/>
        </w:rPr>
        <w:t>当前大丰区城市管理局历年来通过项目建设，配套具备了一批硬件设备</w:t>
      </w:r>
      <w:r>
        <w:rPr>
          <w:rFonts w:hint="eastAsia" w:ascii="宋体" w:hAnsi="宋体"/>
          <w:lang w:eastAsia="zh-CN"/>
        </w:rPr>
        <w:t>，</w:t>
      </w:r>
      <w:r>
        <w:rPr>
          <w:rFonts w:hint="eastAsia" w:ascii="宋体" w:hAnsi="宋体"/>
          <w:lang w:val="en-US" w:eastAsia="zh-CN"/>
        </w:rPr>
        <w:t>如下：</w:t>
      </w:r>
    </w:p>
    <w:p w14:paraId="4C04C0EC">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ascii="宋体" w:hAnsi="宋体" w:eastAsia="宋体" w:cstheme="majorBidi"/>
          <w:b/>
          <w:bCs/>
          <w:kern w:val="2"/>
          <w:sz w:val="24"/>
          <w:szCs w:val="24"/>
          <w:lang w:val="en-US" w:eastAsia="zh-CN" w:bidi="ar-SA"/>
        </w:rPr>
        <w:t>数字化城市管理平台运维及数据采集服务升级</w:t>
      </w:r>
      <w:r>
        <w:rPr>
          <w:rFonts w:hint="eastAsia" w:ascii="宋体" w:hAnsi="宋体" w:eastAsia="宋体" w:cstheme="majorBidi"/>
          <w:b/>
          <w:bCs/>
          <w:kern w:val="2"/>
          <w:sz w:val="24"/>
          <w:szCs w:val="24"/>
          <w:lang w:val="en-US" w:eastAsia="zh-CN" w:bidi="ar-SA"/>
        </w:rPr>
        <w:t>项目</w:t>
      </w:r>
    </w:p>
    <w:p w14:paraId="0B94F6D3">
      <w:pPr>
        <w:pStyle w:val="6"/>
        <w:spacing w:line="276" w:lineRule="auto"/>
        <w:rPr>
          <w:rFonts w:hint="eastAsia" w:ascii="宋体" w:hAnsi="宋体"/>
        </w:rPr>
      </w:pPr>
      <w:r>
        <w:rPr>
          <w:rFonts w:hint="eastAsia" w:ascii="宋体" w:hAnsi="宋体"/>
        </w:rPr>
        <w:t>以下是我区城市管理局在</w:t>
      </w:r>
      <w:r>
        <w:rPr>
          <w:rFonts w:ascii="宋体" w:hAnsi="宋体"/>
        </w:rPr>
        <w:t>数字化城市管理平台运维及数据采集服务升级</w:t>
      </w:r>
      <w:r>
        <w:rPr>
          <w:rFonts w:hint="eastAsia" w:ascii="宋体" w:hAnsi="宋体"/>
        </w:rPr>
        <w:t>项目涉及的硬件设备，具体清单如下：</w:t>
      </w:r>
    </w:p>
    <w:tbl>
      <w:tblPr>
        <w:tblStyle w:val="90"/>
        <w:tblW w:w="43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2073"/>
        <w:gridCol w:w="1363"/>
        <w:gridCol w:w="886"/>
        <w:gridCol w:w="886"/>
        <w:gridCol w:w="884"/>
      </w:tblGrid>
      <w:tr w14:paraId="5BDB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1504BC9B">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序号</w:t>
            </w:r>
          </w:p>
        </w:tc>
        <w:tc>
          <w:tcPr>
            <w:tcW w:w="1390" w:type="pct"/>
            <w:vAlign w:val="center"/>
          </w:tcPr>
          <w:p w14:paraId="5BBF75F2">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名称</w:t>
            </w:r>
          </w:p>
        </w:tc>
        <w:tc>
          <w:tcPr>
            <w:tcW w:w="914" w:type="pct"/>
            <w:vAlign w:val="center"/>
          </w:tcPr>
          <w:p w14:paraId="0E7A0645">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品牌</w:t>
            </w:r>
          </w:p>
        </w:tc>
        <w:tc>
          <w:tcPr>
            <w:tcW w:w="594" w:type="pct"/>
            <w:vAlign w:val="center"/>
          </w:tcPr>
          <w:p w14:paraId="714ADF23">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单位</w:t>
            </w:r>
          </w:p>
        </w:tc>
        <w:tc>
          <w:tcPr>
            <w:tcW w:w="594" w:type="pct"/>
            <w:vAlign w:val="center"/>
          </w:tcPr>
          <w:p w14:paraId="66E743ED">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数量</w:t>
            </w:r>
          </w:p>
        </w:tc>
        <w:tc>
          <w:tcPr>
            <w:tcW w:w="594" w:type="pct"/>
          </w:tcPr>
          <w:p w14:paraId="38F8F6F2">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利旧情况</w:t>
            </w:r>
          </w:p>
        </w:tc>
      </w:tr>
      <w:tr w14:paraId="1DF7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0A638EF0">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w:t>
            </w:r>
          </w:p>
        </w:tc>
        <w:tc>
          <w:tcPr>
            <w:tcW w:w="1390" w:type="pct"/>
            <w:vAlign w:val="center"/>
          </w:tcPr>
          <w:p w14:paraId="3C1435A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4G执法记录仪</w:t>
            </w:r>
          </w:p>
        </w:tc>
        <w:tc>
          <w:tcPr>
            <w:tcW w:w="914" w:type="pct"/>
            <w:vAlign w:val="center"/>
          </w:tcPr>
          <w:p w14:paraId="6CCB872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14:paraId="2F4732C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2DF0F6A8">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160</w:t>
            </w:r>
          </w:p>
        </w:tc>
        <w:tc>
          <w:tcPr>
            <w:tcW w:w="594" w:type="pct"/>
          </w:tcPr>
          <w:p w14:paraId="63355033">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1494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096A90D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2</w:t>
            </w:r>
          </w:p>
        </w:tc>
        <w:tc>
          <w:tcPr>
            <w:tcW w:w="1390" w:type="pct"/>
            <w:vAlign w:val="center"/>
          </w:tcPr>
          <w:p w14:paraId="50C8BF4C">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采集站管理主机</w:t>
            </w:r>
          </w:p>
        </w:tc>
        <w:tc>
          <w:tcPr>
            <w:tcW w:w="914" w:type="pct"/>
            <w:vAlign w:val="center"/>
          </w:tcPr>
          <w:p w14:paraId="140E79E0">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14:paraId="3A0357A2">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75F722C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6</w:t>
            </w:r>
          </w:p>
        </w:tc>
        <w:tc>
          <w:tcPr>
            <w:tcW w:w="594" w:type="pct"/>
          </w:tcPr>
          <w:p w14:paraId="1B1DE611">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4B4C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45C5CF9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3</w:t>
            </w:r>
          </w:p>
        </w:tc>
        <w:tc>
          <w:tcPr>
            <w:tcW w:w="1390" w:type="pct"/>
            <w:vAlign w:val="center"/>
          </w:tcPr>
          <w:p w14:paraId="5C9595D0">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采集站挂机</w:t>
            </w:r>
          </w:p>
        </w:tc>
        <w:tc>
          <w:tcPr>
            <w:tcW w:w="914" w:type="pct"/>
            <w:vAlign w:val="center"/>
          </w:tcPr>
          <w:p w14:paraId="70728B46">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14:paraId="1BFBB22F">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4B08B30B">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20</w:t>
            </w:r>
          </w:p>
        </w:tc>
        <w:tc>
          <w:tcPr>
            <w:tcW w:w="594" w:type="pct"/>
          </w:tcPr>
          <w:p w14:paraId="359FCFDD">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7F22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7E0E9555">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4</w:t>
            </w:r>
          </w:p>
        </w:tc>
        <w:tc>
          <w:tcPr>
            <w:tcW w:w="1390" w:type="pct"/>
            <w:vAlign w:val="center"/>
          </w:tcPr>
          <w:p w14:paraId="2DD97C6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硬盘</w:t>
            </w:r>
          </w:p>
        </w:tc>
        <w:tc>
          <w:tcPr>
            <w:tcW w:w="914" w:type="pct"/>
            <w:vAlign w:val="center"/>
          </w:tcPr>
          <w:p w14:paraId="3485C3D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希捷</w:t>
            </w:r>
          </w:p>
        </w:tc>
        <w:tc>
          <w:tcPr>
            <w:tcW w:w="594" w:type="pct"/>
            <w:vAlign w:val="center"/>
          </w:tcPr>
          <w:p w14:paraId="5B34EA63">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块</w:t>
            </w:r>
          </w:p>
        </w:tc>
        <w:tc>
          <w:tcPr>
            <w:tcW w:w="594" w:type="pct"/>
            <w:vAlign w:val="center"/>
          </w:tcPr>
          <w:p w14:paraId="192964B2">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20</w:t>
            </w:r>
          </w:p>
        </w:tc>
        <w:tc>
          <w:tcPr>
            <w:tcW w:w="594" w:type="pct"/>
          </w:tcPr>
          <w:p w14:paraId="1FC9C4E3">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2B10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35D4EAFF">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5</w:t>
            </w:r>
          </w:p>
        </w:tc>
        <w:tc>
          <w:tcPr>
            <w:tcW w:w="1390" w:type="pct"/>
            <w:vAlign w:val="center"/>
          </w:tcPr>
          <w:p w14:paraId="63004615">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车辆定位终端</w:t>
            </w:r>
          </w:p>
        </w:tc>
        <w:tc>
          <w:tcPr>
            <w:tcW w:w="914" w:type="pct"/>
            <w:vAlign w:val="center"/>
          </w:tcPr>
          <w:p w14:paraId="4F11BF58">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14:paraId="7865700C">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1F841A3A">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20</w:t>
            </w:r>
          </w:p>
        </w:tc>
        <w:tc>
          <w:tcPr>
            <w:tcW w:w="594" w:type="pct"/>
          </w:tcPr>
          <w:p w14:paraId="62E5BFA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1F68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131D9DF1">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6</w:t>
            </w:r>
          </w:p>
        </w:tc>
        <w:tc>
          <w:tcPr>
            <w:tcW w:w="1390" w:type="pct"/>
            <w:vAlign w:val="center"/>
          </w:tcPr>
          <w:p w14:paraId="2A620322">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机房空调</w:t>
            </w:r>
          </w:p>
        </w:tc>
        <w:tc>
          <w:tcPr>
            <w:tcW w:w="914" w:type="pct"/>
            <w:vAlign w:val="center"/>
          </w:tcPr>
          <w:p w14:paraId="53F16BD1">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海悟</w:t>
            </w:r>
          </w:p>
        </w:tc>
        <w:tc>
          <w:tcPr>
            <w:tcW w:w="594" w:type="pct"/>
            <w:vAlign w:val="center"/>
          </w:tcPr>
          <w:p w14:paraId="56FBCA11">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468EC86B">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w:t>
            </w:r>
          </w:p>
        </w:tc>
        <w:tc>
          <w:tcPr>
            <w:tcW w:w="594" w:type="pct"/>
          </w:tcPr>
          <w:p w14:paraId="2989844D">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27AD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1B7F05A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7</w:t>
            </w:r>
          </w:p>
        </w:tc>
        <w:tc>
          <w:tcPr>
            <w:tcW w:w="1390" w:type="pct"/>
            <w:vAlign w:val="center"/>
          </w:tcPr>
          <w:p w14:paraId="53A82071">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工作站</w:t>
            </w:r>
          </w:p>
        </w:tc>
        <w:tc>
          <w:tcPr>
            <w:tcW w:w="914" w:type="pct"/>
            <w:vAlign w:val="center"/>
          </w:tcPr>
          <w:p w14:paraId="0720BCF0">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清华同方</w:t>
            </w:r>
          </w:p>
        </w:tc>
        <w:tc>
          <w:tcPr>
            <w:tcW w:w="594" w:type="pct"/>
            <w:vAlign w:val="center"/>
          </w:tcPr>
          <w:p w14:paraId="31ADDA1C">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39F9480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10</w:t>
            </w:r>
          </w:p>
        </w:tc>
        <w:tc>
          <w:tcPr>
            <w:tcW w:w="594" w:type="pct"/>
          </w:tcPr>
          <w:p w14:paraId="7175C6E5">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688B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0E1C0EA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8</w:t>
            </w:r>
          </w:p>
        </w:tc>
        <w:tc>
          <w:tcPr>
            <w:tcW w:w="1390" w:type="pct"/>
            <w:vAlign w:val="center"/>
          </w:tcPr>
          <w:p w14:paraId="5AD95CE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三层交换机</w:t>
            </w:r>
          </w:p>
        </w:tc>
        <w:tc>
          <w:tcPr>
            <w:tcW w:w="914" w:type="pct"/>
            <w:vAlign w:val="center"/>
          </w:tcPr>
          <w:p w14:paraId="331365AC">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博达</w:t>
            </w:r>
          </w:p>
        </w:tc>
        <w:tc>
          <w:tcPr>
            <w:tcW w:w="594" w:type="pct"/>
            <w:vAlign w:val="center"/>
          </w:tcPr>
          <w:p w14:paraId="2C27C5B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4D6AF64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w:t>
            </w:r>
          </w:p>
        </w:tc>
        <w:tc>
          <w:tcPr>
            <w:tcW w:w="594" w:type="pct"/>
          </w:tcPr>
          <w:p w14:paraId="44BF473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69D4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2896F57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9</w:t>
            </w:r>
          </w:p>
        </w:tc>
        <w:tc>
          <w:tcPr>
            <w:tcW w:w="1390" w:type="pct"/>
            <w:vAlign w:val="center"/>
          </w:tcPr>
          <w:p w14:paraId="3C49964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打印机</w:t>
            </w:r>
          </w:p>
        </w:tc>
        <w:tc>
          <w:tcPr>
            <w:tcW w:w="914" w:type="pct"/>
            <w:vAlign w:val="center"/>
          </w:tcPr>
          <w:p w14:paraId="55000A62">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惠普</w:t>
            </w:r>
          </w:p>
        </w:tc>
        <w:tc>
          <w:tcPr>
            <w:tcW w:w="594" w:type="pct"/>
            <w:vAlign w:val="center"/>
          </w:tcPr>
          <w:p w14:paraId="3C39774F">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0B17C54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w:t>
            </w:r>
          </w:p>
        </w:tc>
        <w:tc>
          <w:tcPr>
            <w:tcW w:w="594" w:type="pct"/>
          </w:tcPr>
          <w:p w14:paraId="00211B30">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bl>
    <w:p w14:paraId="78D02037">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大丰区居民小区生活垃圾“四分类”、“两定一撤”市场化运作项目</w:t>
      </w:r>
    </w:p>
    <w:p w14:paraId="767DFC97">
      <w:pPr>
        <w:pStyle w:val="14"/>
        <w:ind w:left="0" w:firstLine="0"/>
        <w:rPr>
          <w:rFonts w:hint="eastAsia"/>
        </w:rPr>
      </w:pPr>
      <w:r>
        <w:rPr>
          <w:rFonts w:hint="eastAsia"/>
        </w:rPr>
        <w:t>点位清单</w:t>
      </w:r>
    </w:p>
    <w:p w14:paraId="3E0FD409">
      <w:pPr>
        <w:pStyle w:val="6"/>
        <w:spacing w:line="276" w:lineRule="auto"/>
        <w:rPr>
          <w:rFonts w:hint="eastAsia" w:ascii="宋体" w:hAnsi="宋体"/>
        </w:rPr>
      </w:pPr>
      <w:r>
        <w:rPr>
          <w:rFonts w:hint="eastAsia" w:ascii="宋体" w:hAnsi="宋体"/>
        </w:rPr>
        <w:t>大丰区现共300处环保小屋，其中286处为固定点位，其余为移动点位，以下是固定环保小屋点位清单：</w:t>
      </w:r>
    </w:p>
    <w:tbl>
      <w:tblPr>
        <w:tblStyle w:val="90"/>
        <w:tblW w:w="5000" w:type="pct"/>
        <w:tblInd w:w="0" w:type="dxa"/>
        <w:tblLayout w:type="autofit"/>
        <w:tblCellMar>
          <w:top w:w="0" w:type="dxa"/>
          <w:left w:w="108" w:type="dxa"/>
          <w:bottom w:w="0" w:type="dxa"/>
          <w:right w:w="108" w:type="dxa"/>
        </w:tblCellMar>
      </w:tblPr>
      <w:tblGrid>
        <w:gridCol w:w="1065"/>
        <w:gridCol w:w="1070"/>
        <w:gridCol w:w="1700"/>
        <w:gridCol w:w="1282"/>
        <w:gridCol w:w="2334"/>
        <w:gridCol w:w="1071"/>
      </w:tblGrid>
      <w:tr w14:paraId="228002C9">
        <w:trPr>
          <w:trHeight w:val="315" w:hRule="atLeast"/>
        </w:trPr>
        <w:tc>
          <w:tcPr>
            <w:tcW w:w="625"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0189124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街道</w:t>
            </w:r>
          </w:p>
        </w:tc>
        <w:tc>
          <w:tcPr>
            <w:tcW w:w="628" w:type="pct"/>
            <w:tcBorders>
              <w:top w:val="single" w:color="auto" w:sz="4" w:space="0"/>
              <w:left w:val="nil"/>
              <w:bottom w:val="single" w:color="auto" w:sz="4" w:space="0"/>
              <w:right w:val="single" w:color="auto" w:sz="4" w:space="0"/>
            </w:tcBorders>
            <w:shd w:val="clear" w:color="000000" w:fill="FFFFFF"/>
            <w:noWrap/>
            <w:vAlign w:val="center"/>
          </w:tcPr>
          <w:p w14:paraId="33B6C42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小区数量</w:t>
            </w:r>
          </w:p>
        </w:tc>
        <w:tc>
          <w:tcPr>
            <w:tcW w:w="997" w:type="pct"/>
            <w:tcBorders>
              <w:top w:val="single" w:color="auto" w:sz="4" w:space="0"/>
              <w:left w:val="nil"/>
              <w:bottom w:val="single" w:color="auto" w:sz="4" w:space="0"/>
              <w:right w:val="single" w:color="auto" w:sz="4" w:space="0"/>
            </w:tcBorders>
            <w:shd w:val="clear" w:color="000000" w:fill="FFFFFF"/>
            <w:noWrap/>
            <w:vAlign w:val="center"/>
          </w:tcPr>
          <w:p w14:paraId="2EDFDC6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小区名称</w:t>
            </w:r>
          </w:p>
        </w:tc>
        <w:tc>
          <w:tcPr>
            <w:tcW w:w="752" w:type="pct"/>
            <w:tcBorders>
              <w:top w:val="single" w:color="auto" w:sz="4" w:space="0"/>
              <w:left w:val="nil"/>
              <w:bottom w:val="single" w:color="auto" w:sz="4" w:space="0"/>
              <w:right w:val="single" w:color="auto" w:sz="4" w:space="0"/>
            </w:tcBorders>
            <w:shd w:val="clear" w:color="000000" w:fill="FFFFFF"/>
            <w:noWrap/>
            <w:vAlign w:val="center"/>
          </w:tcPr>
          <w:p w14:paraId="68964CB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投放点数量</w:t>
            </w:r>
          </w:p>
        </w:tc>
        <w:tc>
          <w:tcPr>
            <w:tcW w:w="1369" w:type="pct"/>
            <w:tcBorders>
              <w:top w:val="single" w:color="auto" w:sz="4" w:space="0"/>
              <w:left w:val="nil"/>
              <w:bottom w:val="single" w:color="auto" w:sz="4" w:space="0"/>
              <w:right w:val="single" w:color="auto" w:sz="4" w:space="0"/>
            </w:tcBorders>
            <w:shd w:val="clear" w:color="000000" w:fill="FFFFFF"/>
            <w:noWrap/>
            <w:vAlign w:val="center"/>
          </w:tcPr>
          <w:p w14:paraId="7677FCB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硬件设备</w:t>
            </w:r>
          </w:p>
        </w:tc>
        <w:tc>
          <w:tcPr>
            <w:tcW w:w="628" w:type="pct"/>
            <w:tcBorders>
              <w:top w:val="single" w:color="auto" w:sz="4" w:space="0"/>
              <w:left w:val="nil"/>
              <w:bottom w:val="single" w:color="auto" w:sz="4" w:space="0"/>
              <w:right w:val="single" w:color="auto" w:sz="4" w:space="0"/>
            </w:tcBorders>
            <w:shd w:val="clear" w:color="000000" w:fill="FFFFFF"/>
            <w:noWrap/>
            <w:vAlign w:val="center"/>
          </w:tcPr>
          <w:p w14:paraId="4FC16D7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利旧情况</w:t>
            </w:r>
          </w:p>
        </w:tc>
      </w:tr>
      <w:tr w14:paraId="21BD9382">
        <w:tblPrEx>
          <w:tblCellMar>
            <w:top w:w="0" w:type="dxa"/>
            <w:left w:w="108" w:type="dxa"/>
            <w:bottom w:w="0" w:type="dxa"/>
            <w:right w:w="108" w:type="dxa"/>
          </w:tblCellMar>
        </w:tblPrEx>
        <w:trPr>
          <w:trHeight w:val="315" w:hRule="atLeast"/>
        </w:trPr>
        <w:tc>
          <w:tcPr>
            <w:tcW w:w="625" w:type="pct"/>
            <w:vMerge w:val="restart"/>
            <w:tcBorders>
              <w:top w:val="nil"/>
              <w:left w:val="single" w:color="auto" w:sz="4" w:space="0"/>
              <w:bottom w:val="single" w:color="auto" w:sz="4" w:space="0"/>
              <w:right w:val="single" w:color="auto" w:sz="4" w:space="0"/>
            </w:tcBorders>
            <w:shd w:val="clear" w:color="000000" w:fill="FFFFFF"/>
            <w:noWrap/>
            <w:vAlign w:val="center"/>
          </w:tcPr>
          <w:p w14:paraId="2713B986">
            <w:pPr>
              <w:keepNext w:val="0"/>
              <w:keepLines w:val="0"/>
              <w:widowControl/>
              <w:suppressLineNumbers w:val="0"/>
              <w:spacing w:before="0" w:beforeAutospacing="0" w:after="0" w:afterAutospacing="0" w:line="276" w:lineRule="auto"/>
              <w:ind w:left="0" w:right="0"/>
              <w:rPr>
                <w:rFonts w:hint="eastAsia" w:ascii="宋体" w:hAnsi="宋体" w:eastAsia="宋体" w:cs="宋体"/>
                <w:szCs w:val="21"/>
              </w:rPr>
            </w:pPr>
            <w:r>
              <w:rPr>
                <w:rFonts w:hint="eastAsia" w:ascii="宋体" w:hAnsi="宋体" w:eastAsia="宋体" w:cs="宋体"/>
                <w:szCs w:val="21"/>
              </w:rPr>
              <w:t>丰华街道</w:t>
            </w:r>
          </w:p>
        </w:tc>
        <w:tc>
          <w:tcPr>
            <w:tcW w:w="628" w:type="pct"/>
            <w:tcBorders>
              <w:top w:val="nil"/>
              <w:left w:val="nil"/>
              <w:bottom w:val="single" w:color="auto" w:sz="4" w:space="0"/>
              <w:right w:val="single" w:color="auto" w:sz="4" w:space="0"/>
            </w:tcBorders>
            <w:shd w:val="clear" w:color="000000" w:fill="FFFFFF"/>
            <w:noWrap/>
            <w:vAlign w:val="center"/>
          </w:tcPr>
          <w:p w14:paraId="1EBA023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997" w:type="pct"/>
            <w:tcBorders>
              <w:top w:val="nil"/>
              <w:left w:val="nil"/>
              <w:bottom w:val="single" w:color="auto" w:sz="4" w:space="0"/>
              <w:right w:val="single" w:color="auto" w:sz="4" w:space="0"/>
            </w:tcBorders>
            <w:shd w:val="clear" w:color="000000" w:fill="FFFFFF"/>
            <w:noWrap/>
            <w:vAlign w:val="center"/>
          </w:tcPr>
          <w:p w14:paraId="54CA343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人才公寓</w:t>
            </w:r>
          </w:p>
        </w:tc>
        <w:tc>
          <w:tcPr>
            <w:tcW w:w="752" w:type="pct"/>
            <w:tcBorders>
              <w:top w:val="nil"/>
              <w:left w:val="nil"/>
              <w:bottom w:val="single" w:color="auto" w:sz="4" w:space="0"/>
              <w:right w:val="single" w:color="auto" w:sz="4" w:space="0"/>
            </w:tcBorders>
            <w:shd w:val="clear" w:color="000000" w:fill="FFFFFF"/>
            <w:noWrap/>
            <w:vAlign w:val="center"/>
          </w:tcPr>
          <w:p w14:paraId="1EF502F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3A4A18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4082A5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F814D9C">
        <w:tblPrEx>
          <w:tblCellMar>
            <w:top w:w="0" w:type="dxa"/>
            <w:left w:w="108" w:type="dxa"/>
            <w:bottom w:w="0" w:type="dxa"/>
            <w:right w:w="108" w:type="dxa"/>
          </w:tblCellMar>
        </w:tblPrEx>
        <w:trPr>
          <w:trHeight w:val="90" w:hRule="atLeast"/>
        </w:trPr>
        <w:tc>
          <w:tcPr>
            <w:tcW w:w="625" w:type="pct"/>
            <w:vMerge w:val="continue"/>
            <w:tcBorders>
              <w:top w:val="nil"/>
              <w:left w:val="single" w:color="auto" w:sz="4" w:space="0"/>
              <w:bottom w:val="single" w:color="auto" w:sz="4" w:space="0"/>
              <w:right w:val="single" w:color="auto" w:sz="4" w:space="0"/>
            </w:tcBorders>
            <w:vAlign w:val="center"/>
          </w:tcPr>
          <w:p w14:paraId="393ABE8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05EB1C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997" w:type="pct"/>
            <w:tcBorders>
              <w:top w:val="nil"/>
              <w:left w:val="nil"/>
              <w:bottom w:val="single" w:color="auto" w:sz="4" w:space="0"/>
              <w:right w:val="single" w:color="auto" w:sz="4" w:space="0"/>
            </w:tcBorders>
            <w:shd w:val="clear" w:color="000000" w:fill="FFFFFF"/>
            <w:noWrap/>
            <w:vAlign w:val="center"/>
          </w:tcPr>
          <w:p w14:paraId="3A47534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莱茵城</w:t>
            </w:r>
          </w:p>
        </w:tc>
        <w:tc>
          <w:tcPr>
            <w:tcW w:w="752" w:type="pct"/>
            <w:tcBorders>
              <w:top w:val="nil"/>
              <w:left w:val="nil"/>
              <w:bottom w:val="single" w:color="auto" w:sz="4" w:space="0"/>
              <w:right w:val="single" w:color="auto" w:sz="4" w:space="0"/>
            </w:tcBorders>
            <w:shd w:val="clear" w:color="000000" w:fill="FFFFFF"/>
            <w:noWrap/>
            <w:vAlign w:val="center"/>
          </w:tcPr>
          <w:p w14:paraId="050C52A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2528D5F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D49380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8FB6B4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AE6D5E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2C7F17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997" w:type="pct"/>
            <w:tcBorders>
              <w:top w:val="nil"/>
              <w:left w:val="nil"/>
              <w:bottom w:val="single" w:color="auto" w:sz="4" w:space="0"/>
              <w:right w:val="single" w:color="auto" w:sz="4" w:space="0"/>
            </w:tcBorders>
            <w:shd w:val="clear" w:color="000000" w:fill="FFFFFF"/>
            <w:noWrap/>
            <w:vAlign w:val="center"/>
          </w:tcPr>
          <w:p w14:paraId="225F2B0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星河名苑</w:t>
            </w:r>
          </w:p>
        </w:tc>
        <w:tc>
          <w:tcPr>
            <w:tcW w:w="752" w:type="pct"/>
            <w:tcBorders>
              <w:top w:val="nil"/>
              <w:left w:val="nil"/>
              <w:bottom w:val="single" w:color="auto" w:sz="4" w:space="0"/>
              <w:right w:val="single" w:color="auto" w:sz="4" w:space="0"/>
            </w:tcBorders>
            <w:shd w:val="clear" w:color="000000" w:fill="FFFFFF"/>
            <w:noWrap/>
            <w:vAlign w:val="center"/>
          </w:tcPr>
          <w:p w14:paraId="4FE945A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6AC260B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DBB97E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EDC139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41B50D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783D31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997" w:type="pct"/>
            <w:tcBorders>
              <w:top w:val="nil"/>
              <w:left w:val="nil"/>
              <w:bottom w:val="single" w:color="auto" w:sz="4" w:space="0"/>
              <w:right w:val="single" w:color="auto" w:sz="4" w:space="0"/>
            </w:tcBorders>
            <w:shd w:val="clear" w:color="000000" w:fill="FFFFFF"/>
            <w:noWrap/>
            <w:vAlign w:val="center"/>
          </w:tcPr>
          <w:p w14:paraId="0A611C0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大中家园</w:t>
            </w:r>
          </w:p>
        </w:tc>
        <w:tc>
          <w:tcPr>
            <w:tcW w:w="752" w:type="pct"/>
            <w:tcBorders>
              <w:top w:val="nil"/>
              <w:left w:val="nil"/>
              <w:bottom w:val="single" w:color="auto" w:sz="4" w:space="0"/>
              <w:right w:val="single" w:color="auto" w:sz="4" w:space="0"/>
            </w:tcBorders>
            <w:shd w:val="clear" w:color="000000" w:fill="FFFFFF"/>
            <w:noWrap/>
            <w:vAlign w:val="center"/>
          </w:tcPr>
          <w:p w14:paraId="352AF00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7E43C9A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843599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29B7CD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751045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AE6638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997" w:type="pct"/>
            <w:tcBorders>
              <w:top w:val="nil"/>
              <w:left w:val="nil"/>
              <w:bottom w:val="single" w:color="auto" w:sz="4" w:space="0"/>
              <w:right w:val="single" w:color="auto" w:sz="4" w:space="0"/>
            </w:tcBorders>
            <w:shd w:val="clear" w:color="000000" w:fill="FFFFFF"/>
            <w:noWrap/>
            <w:vAlign w:val="center"/>
          </w:tcPr>
          <w:p w14:paraId="4D80652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碧桂园一期</w:t>
            </w:r>
          </w:p>
        </w:tc>
        <w:tc>
          <w:tcPr>
            <w:tcW w:w="752" w:type="pct"/>
            <w:tcBorders>
              <w:top w:val="nil"/>
              <w:left w:val="nil"/>
              <w:bottom w:val="single" w:color="auto" w:sz="4" w:space="0"/>
              <w:right w:val="single" w:color="auto" w:sz="4" w:space="0"/>
            </w:tcBorders>
            <w:shd w:val="clear" w:color="000000" w:fill="FFFFFF"/>
            <w:noWrap/>
            <w:vAlign w:val="center"/>
          </w:tcPr>
          <w:p w14:paraId="4BDF6B6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2B773C2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218A4B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ED8327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6E7919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E54959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6</w:t>
            </w:r>
          </w:p>
        </w:tc>
        <w:tc>
          <w:tcPr>
            <w:tcW w:w="997" w:type="pct"/>
            <w:tcBorders>
              <w:top w:val="nil"/>
              <w:left w:val="nil"/>
              <w:bottom w:val="single" w:color="auto" w:sz="4" w:space="0"/>
              <w:right w:val="single" w:color="auto" w:sz="4" w:space="0"/>
            </w:tcBorders>
            <w:shd w:val="clear" w:color="000000" w:fill="FFFFFF"/>
            <w:noWrap/>
            <w:vAlign w:val="center"/>
          </w:tcPr>
          <w:p w14:paraId="26A7AE3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万和花园</w:t>
            </w:r>
          </w:p>
        </w:tc>
        <w:tc>
          <w:tcPr>
            <w:tcW w:w="752" w:type="pct"/>
            <w:tcBorders>
              <w:top w:val="nil"/>
              <w:left w:val="nil"/>
              <w:bottom w:val="single" w:color="auto" w:sz="4" w:space="0"/>
              <w:right w:val="single" w:color="auto" w:sz="4" w:space="0"/>
            </w:tcBorders>
            <w:shd w:val="clear" w:color="000000" w:fill="FFFFFF"/>
            <w:noWrap/>
            <w:vAlign w:val="center"/>
          </w:tcPr>
          <w:p w14:paraId="6700F01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5C430A1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7B6F33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60B24F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AF77DC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167597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7</w:t>
            </w:r>
          </w:p>
        </w:tc>
        <w:tc>
          <w:tcPr>
            <w:tcW w:w="997" w:type="pct"/>
            <w:tcBorders>
              <w:top w:val="nil"/>
              <w:left w:val="nil"/>
              <w:bottom w:val="single" w:color="auto" w:sz="4" w:space="0"/>
              <w:right w:val="single" w:color="auto" w:sz="4" w:space="0"/>
            </w:tcBorders>
            <w:shd w:val="clear" w:color="000000" w:fill="FFFFFF"/>
            <w:noWrap/>
            <w:vAlign w:val="center"/>
          </w:tcPr>
          <w:p w14:paraId="4655355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香榭丽花园</w:t>
            </w:r>
          </w:p>
        </w:tc>
        <w:tc>
          <w:tcPr>
            <w:tcW w:w="752" w:type="pct"/>
            <w:tcBorders>
              <w:top w:val="nil"/>
              <w:left w:val="nil"/>
              <w:bottom w:val="single" w:color="auto" w:sz="4" w:space="0"/>
              <w:right w:val="single" w:color="auto" w:sz="4" w:space="0"/>
            </w:tcBorders>
            <w:shd w:val="clear" w:color="000000" w:fill="FFFFFF"/>
            <w:noWrap/>
            <w:vAlign w:val="center"/>
          </w:tcPr>
          <w:p w14:paraId="0F3168B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52F6A5B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250E03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060CFA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858AC2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4C86F0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8</w:t>
            </w:r>
          </w:p>
        </w:tc>
        <w:tc>
          <w:tcPr>
            <w:tcW w:w="997" w:type="pct"/>
            <w:tcBorders>
              <w:top w:val="nil"/>
              <w:left w:val="nil"/>
              <w:bottom w:val="single" w:color="auto" w:sz="4" w:space="0"/>
              <w:right w:val="single" w:color="auto" w:sz="4" w:space="0"/>
            </w:tcBorders>
            <w:shd w:val="clear" w:color="000000" w:fill="FFFFFF"/>
            <w:noWrap/>
            <w:vAlign w:val="center"/>
          </w:tcPr>
          <w:p w14:paraId="797FB67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海棠花园</w:t>
            </w:r>
          </w:p>
        </w:tc>
        <w:tc>
          <w:tcPr>
            <w:tcW w:w="752" w:type="pct"/>
            <w:tcBorders>
              <w:top w:val="nil"/>
              <w:left w:val="nil"/>
              <w:bottom w:val="single" w:color="auto" w:sz="4" w:space="0"/>
              <w:right w:val="single" w:color="auto" w:sz="4" w:space="0"/>
            </w:tcBorders>
            <w:shd w:val="clear" w:color="000000" w:fill="FFFFFF"/>
            <w:noWrap/>
            <w:vAlign w:val="center"/>
          </w:tcPr>
          <w:p w14:paraId="2AE18D6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37DC8F4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22F3D1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64F5E6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1B80E3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706013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9</w:t>
            </w:r>
          </w:p>
        </w:tc>
        <w:tc>
          <w:tcPr>
            <w:tcW w:w="997" w:type="pct"/>
            <w:tcBorders>
              <w:top w:val="nil"/>
              <w:left w:val="nil"/>
              <w:bottom w:val="single" w:color="auto" w:sz="4" w:space="0"/>
              <w:right w:val="single" w:color="auto" w:sz="4" w:space="0"/>
            </w:tcBorders>
            <w:shd w:val="clear" w:color="000000" w:fill="FFFFFF"/>
            <w:noWrap/>
            <w:vAlign w:val="center"/>
          </w:tcPr>
          <w:p w14:paraId="7DADE35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三纺厂宿舍</w:t>
            </w:r>
          </w:p>
        </w:tc>
        <w:tc>
          <w:tcPr>
            <w:tcW w:w="752" w:type="pct"/>
            <w:tcBorders>
              <w:top w:val="nil"/>
              <w:left w:val="nil"/>
              <w:bottom w:val="single" w:color="auto" w:sz="4" w:space="0"/>
              <w:right w:val="single" w:color="auto" w:sz="4" w:space="0"/>
            </w:tcBorders>
            <w:shd w:val="clear" w:color="000000" w:fill="FFFFFF"/>
            <w:noWrap/>
            <w:vAlign w:val="center"/>
          </w:tcPr>
          <w:p w14:paraId="0A3CE32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6E7E59B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F98BE4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829697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150B71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C8F7AA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w:t>
            </w:r>
          </w:p>
        </w:tc>
        <w:tc>
          <w:tcPr>
            <w:tcW w:w="997" w:type="pct"/>
            <w:tcBorders>
              <w:top w:val="nil"/>
              <w:left w:val="nil"/>
              <w:bottom w:val="single" w:color="auto" w:sz="4" w:space="0"/>
              <w:right w:val="single" w:color="auto" w:sz="4" w:space="0"/>
            </w:tcBorders>
            <w:shd w:val="clear" w:color="000000" w:fill="FFFFFF"/>
            <w:noWrap/>
            <w:vAlign w:val="center"/>
          </w:tcPr>
          <w:p w14:paraId="67E2809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东方汇贤居</w:t>
            </w:r>
          </w:p>
        </w:tc>
        <w:tc>
          <w:tcPr>
            <w:tcW w:w="752" w:type="pct"/>
            <w:tcBorders>
              <w:top w:val="nil"/>
              <w:left w:val="nil"/>
              <w:bottom w:val="single" w:color="auto" w:sz="4" w:space="0"/>
              <w:right w:val="single" w:color="auto" w:sz="4" w:space="0"/>
            </w:tcBorders>
            <w:shd w:val="clear" w:color="000000" w:fill="FFFFFF"/>
            <w:noWrap/>
            <w:vAlign w:val="center"/>
          </w:tcPr>
          <w:p w14:paraId="0AD8AEC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6B1E1B3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8D85AC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A02557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963E40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8C68B9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11</w:t>
            </w:r>
          </w:p>
        </w:tc>
        <w:tc>
          <w:tcPr>
            <w:tcW w:w="997" w:type="pct"/>
            <w:tcBorders>
              <w:top w:val="nil"/>
              <w:left w:val="nil"/>
              <w:bottom w:val="single" w:color="auto" w:sz="4" w:space="0"/>
              <w:right w:val="single" w:color="auto" w:sz="4" w:space="0"/>
            </w:tcBorders>
            <w:shd w:val="clear" w:color="000000" w:fill="FFFFFF"/>
            <w:noWrap/>
            <w:vAlign w:val="center"/>
          </w:tcPr>
          <w:p w14:paraId="005DC76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聚丰家园</w:t>
            </w:r>
          </w:p>
        </w:tc>
        <w:tc>
          <w:tcPr>
            <w:tcW w:w="752" w:type="pct"/>
            <w:tcBorders>
              <w:top w:val="nil"/>
              <w:left w:val="nil"/>
              <w:bottom w:val="single" w:color="auto" w:sz="4" w:space="0"/>
              <w:right w:val="single" w:color="auto" w:sz="4" w:space="0"/>
            </w:tcBorders>
            <w:shd w:val="clear" w:color="000000" w:fill="FFFFFF"/>
            <w:noWrap/>
            <w:vAlign w:val="center"/>
          </w:tcPr>
          <w:p w14:paraId="3B390B5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4FBA770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797E07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CAB636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548E54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A1715E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12</w:t>
            </w:r>
          </w:p>
        </w:tc>
        <w:tc>
          <w:tcPr>
            <w:tcW w:w="997" w:type="pct"/>
            <w:tcBorders>
              <w:top w:val="nil"/>
              <w:left w:val="nil"/>
              <w:bottom w:val="single" w:color="auto" w:sz="4" w:space="0"/>
              <w:right w:val="single" w:color="auto" w:sz="4" w:space="0"/>
            </w:tcBorders>
            <w:shd w:val="clear" w:color="000000" w:fill="FFFFFF"/>
            <w:noWrap/>
            <w:vAlign w:val="center"/>
          </w:tcPr>
          <w:p w14:paraId="7635A3F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荣润理想城</w:t>
            </w:r>
          </w:p>
        </w:tc>
        <w:tc>
          <w:tcPr>
            <w:tcW w:w="752" w:type="pct"/>
            <w:tcBorders>
              <w:top w:val="nil"/>
              <w:left w:val="nil"/>
              <w:bottom w:val="single" w:color="auto" w:sz="4" w:space="0"/>
              <w:right w:val="single" w:color="auto" w:sz="4" w:space="0"/>
            </w:tcBorders>
            <w:shd w:val="clear" w:color="000000" w:fill="FFFFFF"/>
            <w:noWrap/>
            <w:vAlign w:val="center"/>
          </w:tcPr>
          <w:p w14:paraId="6036159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519787F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039FCD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30148E4">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35121B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AB1283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13</w:t>
            </w:r>
          </w:p>
        </w:tc>
        <w:tc>
          <w:tcPr>
            <w:tcW w:w="997" w:type="pct"/>
            <w:tcBorders>
              <w:top w:val="nil"/>
              <w:left w:val="nil"/>
              <w:bottom w:val="single" w:color="auto" w:sz="4" w:space="0"/>
              <w:right w:val="single" w:color="auto" w:sz="4" w:space="0"/>
            </w:tcBorders>
            <w:shd w:val="clear" w:color="000000" w:fill="FFFFFF"/>
            <w:noWrap/>
            <w:vAlign w:val="center"/>
          </w:tcPr>
          <w:p w14:paraId="3756ED9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新东苑</w:t>
            </w:r>
          </w:p>
        </w:tc>
        <w:tc>
          <w:tcPr>
            <w:tcW w:w="752" w:type="pct"/>
            <w:tcBorders>
              <w:top w:val="nil"/>
              <w:left w:val="nil"/>
              <w:bottom w:val="single" w:color="auto" w:sz="4" w:space="0"/>
              <w:right w:val="single" w:color="auto" w:sz="4" w:space="0"/>
            </w:tcBorders>
            <w:shd w:val="clear" w:color="000000" w:fill="FFFFFF"/>
            <w:noWrap/>
            <w:vAlign w:val="center"/>
          </w:tcPr>
          <w:p w14:paraId="7A14F01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9</w:t>
            </w:r>
          </w:p>
        </w:tc>
        <w:tc>
          <w:tcPr>
            <w:tcW w:w="1369" w:type="pct"/>
            <w:tcBorders>
              <w:top w:val="nil"/>
              <w:left w:val="nil"/>
              <w:bottom w:val="single" w:color="auto" w:sz="4" w:space="0"/>
              <w:right w:val="single" w:color="auto" w:sz="4" w:space="0"/>
            </w:tcBorders>
            <w:shd w:val="clear" w:color="000000" w:fill="FFFFFF"/>
            <w:noWrap/>
            <w:vAlign w:val="center"/>
          </w:tcPr>
          <w:p w14:paraId="41267ED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83FAA3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F3F9E5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EA47ED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46F5F3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14</w:t>
            </w:r>
          </w:p>
        </w:tc>
        <w:tc>
          <w:tcPr>
            <w:tcW w:w="997" w:type="pct"/>
            <w:tcBorders>
              <w:top w:val="nil"/>
              <w:left w:val="nil"/>
              <w:bottom w:val="single" w:color="auto" w:sz="4" w:space="0"/>
              <w:right w:val="single" w:color="auto" w:sz="4" w:space="0"/>
            </w:tcBorders>
            <w:shd w:val="clear" w:color="000000" w:fill="FFFFFF"/>
            <w:noWrap/>
            <w:vAlign w:val="center"/>
          </w:tcPr>
          <w:p w14:paraId="23122F9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阜丰小区</w:t>
            </w:r>
          </w:p>
        </w:tc>
        <w:tc>
          <w:tcPr>
            <w:tcW w:w="752" w:type="pct"/>
            <w:tcBorders>
              <w:top w:val="nil"/>
              <w:left w:val="nil"/>
              <w:bottom w:val="single" w:color="auto" w:sz="4" w:space="0"/>
              <w:right w:val="single" w:color="auto" w:sz="4" w:space="0"/>
            </w:tcBorders>
            <w:shd w:val="clear" w:color="000000" w:fill="FFFFFF"/>
            <w:noWrap/>
            <w:vAlign w:val="center"/>
          </w:tcPr>
          <w:p w14:paraId="46C5099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70F4857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8A502D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E306A5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BD8EDE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019FAA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15</w:t>
            </w:r>
          </w:p>
        </w:tc>
        <w:tc>
          <w:tcPr>
            <w:tcW w:w="997" w:type="pct"/>
            <w:tcBorders>
              <w:top w:val="nil"/>
              <w:left w:val="nil"/>
              <w:bottom w:val="single" w:color="auto" w:sz="4" w:space="0"/>
              <w:right w:val="single" w:color="auto" w:sz="4" w:space="0"/>
            </w:tcBorders>
            <w:shd w:val="clear" w:color="000000" w:fill="FFFFFF"/>
            <w:noWrap/>
            <w:vAlign w:val="center"/>
          </w:tcPr>
          <w:p w14:paraId="14D8CB1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翡翠东郡</w:t>
            </w:r>
          </w:p>
        </w:tc>
        <w:tc>
          <w:tcPr>
            <w:tcW w:w="752" w:type="pct"/>
            <w:tcBorders>
              <w:top w:val="nil"/>
              <w:left w:val="nil"/>
              <w:bottom w:val="single" w:color="auto" w:sz="4" w:space="0"/>
              <w:right w:val="single" w:color="auto" w:sz="4" w:space="0"/>
            </w:tcBorders>
            <w:shd w:val="clear" w:color="000000" w:fill="FFFFFF"/>
            <w:noWrap/>
            <w:vAlign w:val="center"/>
          </w:tcPr>
          <w:p w14:paraId="75FD8FE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727CF50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F5CF23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38E16C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299B15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DD1392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16</w:t>
            </w:r>
          </w:p>
        </w:tc>
        <w:tc>
          <w:tcPr>
            <w:tcW w:w="997" w:type="pct"/>
            <w:tcBorders>
              <w:top w:val="nil"/>
              <w:left w:val="nil"/>
              <w:bottom w:val="single" w:color="auto" w:sz="4" w:space="0"/>
              <w:right w:val="single" w:color="auto" w:sz="4" w:space="0"/>
            </w:tcBorders>
            <w:shd w:val="clear" w:color="000000" w:fill="FFFFFF"/>
            <w:noWrap/>
            <w:vAlign w:val="center"/>
          </w:tcPr>
          <w:p w14:paraId="1648F25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紫云城</w:t>
            </w:r>
          </w:p>
        </w:tc>
        <w:tc>
          <w:tcPr>
            <w:tcW w:w="752" w:type="pct"/>
            <w:tcBorders>
              <w:top w:val="nil"/>
              <w:left w:val="nil"/>
              <w:bottom w:val="single" w:color="auto" w:sz="4" w:space="0"/>
              <w:right w:val="single" w:color="auto" w:sz="4" w:space="0"/>
            </w:tcBorders>
            <w:shd w:val="clear" w:color="000000" w:fill="FFFFFF"/>
            <w:noWrap/>
            <w:vAlign w:val="center"/>
          </w:tcPr>
          <w:p w14:paraId="3AD2B5A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4682693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466065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C3A436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457C21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56E95B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17</w:t>
            </w:r>
          </w:p>
        </w:tc>
        <w:tc>
          <w:tcPr>
            <w:tcW w:w="997" w:type="pct"/>
            <w:tcBorders>
              <w:top w:val="nil"/>
              <w:left w:val="nil"/>
              <w:bottom w:val="single" w:color="auto" w:sz="4" w:space="0"/>
              <w:right w:val="single" w:color="auto" w:sz="4" w:space="0"/>
            </w:tcBorders>
            <w:shd w:val="clear" w:color="000000" w:fill="FFFFFF"/>
            <w:noWrap/>
            <w:vAlign w:val="center"/>
          </w:tcPr>
          <w:p w14:paraId="03127F6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碧水豪庭</w:t>
            </w:r>
          </w:p>
        </w:tc>
        <w:tc>
          <w:tcPr>
            <w:tcW w:w="752" w:type="pct"/>
            <w:tcBorders>
              <w:top w:val="nil"/>
              <w:left w:val="nil"/>
              <w:bottom w:val="single" w:color="auto" w:sz="4" w:space="0"/>
              <w:right w:val="single" w:color="auto" w:sz="4" w:space="0"/>
            </w:tcBorders>
            <w:shd w:val="clear" w:color="000000" w:fill="FFFFFF"/>
            <w:noWrap/>
            <w:vAlign w:val="center"/>
          </w:tcPr>
          <w:p w14:paraId="33015FE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1907C7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536F7F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E6D486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B62824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3D0323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18</w:t>
            </w:r>
          </w:p>
        </w:tc>
        <w:tc>
          <w:tcPr>
            <w:tcW w:w="997" w:type="pct"/>
            <w:tcBorders>
              <w:top w:val="nil"/>
              <w:left w:val="nil"/>
              <w:bottom w:val="single" w:color="auto" w:sz="4" w:space="0"/>
              <w:right w:val="single" w:color="auto" w:sz="4" w:space="0"/>
            </w:tcBorders>
            <w:shd w:val="clear" w:color="000000" w:fill="FFFFFF"/>
            <w:noWrap/>
            <w:vAlign w:val="center"/>
          </w:tcPr>
          <w:p w14:paraId="5F651A3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东方一号</w:t>
            </w:r>
          </w:p>
        </w:tc>
        <w:tc>
          <w:tcPr>
            <w:tcW w:w="752" w:type="pct"/>
            <w:tcBorders>
              <w:top w:val="nil"/>
              <w:left w:val="nil"/>
              <w:bottom w:val="single" w:color="auto" w:sz="4" w:space="0"/>
              <w:right w:val="single" w:color="auto" w:sz="4" w:space="0"/>
            </w:tcBorders>
            <w:shd w:val="clear" w:color="000000" w:fill="FFFFFF"/>
            <w:noWrap/>
            <w:vAlign w:val="center"/>
          </w:tcPr>
          <w:p w14:paraId="5ADFB64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2B5541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EC4AA5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A18091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A34128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B9B71D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19</w:t>
            </w:r>
          </w:p>
        </w:tc>
        <w:tc>
          <w:tcPr>
            <w:tcW w:w="997" w:type="pct"/>
            <w:tcBorders>
              <w:top w:val="nil"/>
              <w:left w:val="nil"/>
              <w:bottom w:val="single" w:color="auto" w:sz="4" w:space="0"/>
              <w:right w:val="single" w:color="auto" w:sz="4" w:space="0"/>
            </w:tcBorders>
            <w:shd w:val="clear" w:color="000000" w:fill="FFFFFF"/>
            <w:noWrap/>
            <w:vAlign w:val="center"/>
          </w:tcPr>
          <w:p w14:paraId="3915742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翰林华府</w:t>
            </w:r>
          </w:p>
        </w:tc>
        <w:tc>
          <w:tcPr>
            <w:tcW w:w="752" w:type="pct"/>
            <w:tcBorders>
              <w:top w:val="nil"/>
              <w:left w:val="nil"/>
              <w:bottom w:val="single" w:color="auto" w:sz="4" w:space="0"/>
              <w:right w:val="single" w:color="auto" w:sz="4" w:space="0"/>
            </w:tcBorders>
            <w:shd w:val="clear" w:color="000000" w:fill="FFFFFF"/>
            <w:noWrap/>
            <w:vAlign w:val="center"/>
          </w:tcPr>
          <w:p w14:paraId="5A58BB4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5D1718C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652AD4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623D16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9A0742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357785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20</w:t>
            </w:r>
          </w:p>
        </w:tc>
        <w:tc>
          <w:tcPr>
            <w:tcW w:w="997" w:type="pct"/>
            <w:tcBorders>
              <w:top w:val="nil"/>
              <w:left w:val="nil"/>
              <w:bottom w:val="single" w:color="auto" w:sz="4" w:space="0"/>
              <w:right w:val="single" w:color="auto" w:sz="4" w:space="0"/>
            </w:tcBorders>
            <w:shd w:val="clear" w:color="000000" w:fill="FFFFFF"/>
            <w:noWrap/>
            <w:vAlign w:val="center"/>
          </w:tcPr>
          <w:p w14:paraId="5A0344E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康桥花园</w:t>
            </w:r>
          </w:p>
        </w:tc>
        <w:tc>
          <w:tcPr>
            <w:tcW w:w="752" w:type="pct"/>
            <w:tcBorders>
              <w:top w:val="nil"/>
              <w:left w:val="nil"/>
              <w:bottom w:val="single" w:color="auto" w:sz="4" w:space="0"/>
              <w:right w:val="single" w:color="auto" w:sz="4" w:space="0"/>
            </w:tcBorders>
            <w:shd w:val="clear" w:color="000000" w:fill="FFFFFF"/>
            <w:noWrap/>
            <w:vAlign w:val="center"/>
          </w:tcPr>
          <w:p w14:paraId="67D8C3B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3A937EB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C8FC7F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56B306C">
        <w:tblPrEx>
          <w:tblCellMar>
            <w:top w:w="0" w:type="dxa"/>
            <w:left w:w="108" w:type="dxa"/>
            <w:bottom w:w="0" w:type="dxa"/>
            <w:right w:w="108" w:type="dxa"/>
          </w:tblCellMar>
        </w:tblPrEx>
        <w:trPr>
          <w:trHeight w:val="315" w:hRule="atLeast"/>
        </w:trPr>
        <w:tc>
          <w:tcPr>
            <w:tcW w:w="625" w:type="pct"/>
            <w:vMerge w:val="restart"/>
            <w:tcBorders>
              <w:top w:val="nil"/>
              <w:left w:val="single" w:color="auto" w:sz="4" w:space="0"/>
              <w:bottom w:val="single" w:color="auto" w:sz="4" w:space="0"/>
              <w:right w:val="single" w:color="auto" w:sz="4" w:space="0"/>
            </w:tcBorders>
            <w:shd w:val="clear" w:color="000000" w:fill="FFFFFF"/>
            <w:noWrap/>
            <w:vAlign w:val="center"/>
          </w:tcPr>
          <w:p w14:paraId="4C328B3F">
            <w:pPr>
              <w:keepNext w:val="0"/>
              <w:keepLines w:val="0"/>
              <w:widowControl/>
              <w:suppressLineNumbers w:val="0"/>
              <w:spacing w:before="0" w:beforeAutospacing="0" w:after="0" w:afterAutospacing="0" w:line="276" w:lineRule="auto"/>
              <w:ind w:left="0" w:right="0"/>
              <w:rPr>
                <w:rFonts w:hint="eastAsia" w:ascii="宋体" w:hAnsi="宋体" w:eastAsia="宋体" w:cs="宋体"/>
                <w:szCs w:val="21"/>
              </w:rPr>
            </w:pPr>
            <w:r>
              <w:rPr>
                <w:rFonts w:hint="eastAsia" w:ascii="宋体" w:hAnsi="宋体" w:eastAsia="宋体" w:cs="宋体"/>
                <w:szCs w:val="21"/>
              </w:rPr>
              <w:t>大中街道</w:t>
            </w:r>
          </w:p>
        </w:tc>
        <w:tc>
          <w:tcPr>
            <w:tcW w:w="628" w:type="pct"/>
            <w:tcBorders>
              <w:top w:val="nil"/>
              <w:left w:val="nil"/>
              <w:bottom w:val="single" w:color="auto" w:sz="4" w:space="0"/>
              <w:right w:val="single" w:color="auto" w:sz="4" w:space="0"/>
            </w:tcBorders>
            <w:shd w:val="clear" w:color="000000" w:fill="FFFFFF"/>
            <w:noWrap/>
            <w:vAlign w:val="center"/>
          </w:tcPr>
          <w:p w14:paraId="72A51CE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21</w:t>
            </w:r>
          </w:p>
        </w:tc>
        <w:tc>
          <w:tcPr>
            <w:tcW w:w="997" w:type="pct"/>
            <w:tcBorders>
              <w:top w:val="nil"/>
              <w:left w:val="nil"/>
              <w:bottom w:val="single" w:color="auto" w:sz="4" w:space="0"/>
              <w:right w:val="single" w:color="auto" w:sz="4" w:space="0"/>
            </w:tcBorders>
            <w:shd w:val="clear" w:color="000000" w:fill="FFFFFF"/>
            <w:noWrap/>
            <w:vAlign w:val="center"/>
          </w:tcPr>
          <w:p w14:paraId="6D4E27F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亚丰小区</w:t>
            </w:r>
          </w:p>
        </w:tc>
        <w:tc>
          <w:tcPr>
            <w:tcW w:w="752" w:type="pct"/>
            <w:tcBorders>
              <w:top w:val="nil"/>
              <w:left w:val="nil"/>
              <w:bottom w:val="single" w:color="auto" w:sz="4" w:space="0"/>
              <w:right w:val="single" w:color="auto" w:sz="4" w:space="0"/>
            </w:tcBorders>
            <w:shd w:val="clear" w:color="000000" w:fill="FFFFFF"/>
            <w:noWrap/>
            <w:vAlign w:val="center"/>
          </w:tcPr>
          <w:p w14:paraId="28248F0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8F99D5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CA5DFA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61C1D9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82B1CD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D38E04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22</w:t>
            </w:r>
          </w:p>
        </w:tc>
        <w:tc>
          <w:tcPr>
            <w:tcW w:w="997" w:type="pct"/>
            <w:tcBorders>
              <w:top w:val="nil"/>
              <w:left w:val="nil"/>
              <w:bottom w:val="single" w:color="auto" w:sz="4" w:space="0"/>
              <w:right w:val="single" w:color="auto" w:sz="4" w:space="0"/>
            </w:tcBorders>
            <w:shd w:val="clear" w:color="000000" w:fill="FFFFFF"/>
            <w:noWrap/>
            <w:vAlign w:val="center"/>
          </w:tcPr>
          <w:p w14:paraId="4EE26B8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四中教师公寓</w:t>
            </w:r>
          </w:p>
        </w:tc>
        <w:tc>
          <w:tcPr>
            <w:tcW w:w="752" w:type="pct"/>
            <w:tcBorders>
              <w:top w:val="nil"/>
              <w:left w:val="nil"/>
              <w:bottom w:val="single" w:color="auto" w:sz="4" w:space="0"/>
              <w:right w:val="single" w:color="auto" w:sz="4" w:space="0"/>
            </w:tcBorders>
            <w:shd w:val="clear" w:color="000000" w:fill="FFFFFF"/>
            <w:noWrap/>
            <w:vAlign w:val="center"/>
          </w:tcPr>
          <w:p w14:paraId="3F5B393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72706AB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86CA9A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398E10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28F8F4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9D0FC8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23</w:t>
            </w:r>
          </w:p>
        </w:tc>
        <w:tc>
          <w:tcPr>
            <w:tcW w:w="997" w:type="pct"/>
            <w:tcBorders>
              <w:top w:val="nil"/>
              <w:left w:val="nil"/>
              <w:bottom w:val="single" w:color="auto" w:sz="4" w:space="0"/>
              <w:right w:val="single" w:color="auto" w:sz="4" w:space="0"/>
            </w:tcBorders>
            <w:shd w:val="clear" w:color="000000" w:fill="FFFFFF"/>
            <w:noWrap/>
            <w:vAlign w:val="center"/>
          </w:tcPr>
          <w:p w14:paraId="39379AC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银泰华城</w:t>
            </w:r>
          </w:p>
        </w:tc>
        <w:tc>
          <w:tcPr>
            <w:tcW w:w="752" w:type="pct"/>
            <w:tcBorders>
              <w:top w:val="nil"/>
              <w:left w:val="nil"/>
              <w:bottom w:val="single" w:color="auto" w:sz="4" w:space="0"/>
              <w:right w:val="single" w:color="auto" w:sz="4" w:space="0"/>
            </w:tcBorders>
            <w:shd w:val="clear" w:color="000000" w:fill="FFFFFF"/>
            <w:noWrap/>
            <w:vAlign w:val="center"/>
          </w:tcPr>
          <w:p w14:paraId="46188C9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2FDC7D6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517584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48C314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1BC3BA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70EEFA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24</w:t>
            </w:r>
          </w:p>
        </w:tc>
        <w:tc>
          <w:tcPr>
            <w:tcW w:w="997" w:type="pct"/>
            <w:tcBorders>
              <w:top w:val="nil"/>
              <w:left w:val="nil"/>
              <w:bottom w:val="single" w:color="auto" w:sz="4" w:space="0"/>
              <w:right w:val="single" w:color="auto" w:sz="4" w:space="0"/>
            </w:tcBorders>
            <w:shd w:val="clear" w:color="000000" w:fill="FFFFFF"/>
            <w:noWrap/>
            <w:vAlign w:val="center"/>
          </w:tcPr>
          <w:p w14:paraId="752C5B1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御景嘉园</w:t>
            </w:r>
          </w:p>
        </w:tc>
        <w:tc>
          <w:tcPr>
            <w:tcW w:w="752" w:type="pct"/>
            <w:tcBorders>
              <w:top w:val="nil"/>
              <w:left w:val="nil"/>
              <w:bottom w:val="single" w:color="auto" w:sz="4" w:space="0"/>
              <w:right w:val="single" w:color="auto" w:sz="4" w:space="0"/>
            </w:tcBorders>
            <w:shd w:val="clear" w:color="000000" w:fill="FFFFFF"/>
            <w:noWrap/>
            <w:vAlign w:val="center"/>
          </w:tcPr>
          <w:p w14:paraId="72A314B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183B3E2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E08F2F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49E3A0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730A27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D73D45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25</w:t>
            </w:r>
          </w:p>
        </w:tc>
        <w:tc>
          <w:tcPr>
            <w:tcW w:w="997" w:type="pct"/>
            <w:tcBorders>
              <w:top w:val="nil"/>
              <w:left w:val="nil"/>
              <w:bottom w:val="single" w:color="auto" w:sz="4" w:space="0"/>
              <w:right w:val="single" w:color="auto" w:sz="4" w:space="0"/>
            </w:tcBorders>
            <w:shd w:val="clear" w:color="000000" w:fill="FFFFFF"/>
            <w:noWrap/>
            <w:vAlign w:val="center"/>
          </w:tcPr>
          <w:p w14:paraId="02444BF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金丰小区</w:t>
            </w:r>
          </w:p>
        </w:tc>
        <w:tc>
          <w:tcPr>
            <w:tcW w:w="752" w:type="pct"/>
            <w:tcBorders>
              <w:top w:val="nil"/>
              <w:left w:val="nil"/>
              <w:bottom w:val="single" w:color="auto" w:sz="4" w:space="0"/>
              <w:right w:val="single" w:color="auto" w:sz="4" w:space="0"/>
            </w:tcBorders>
            <w:shd w:val="clear" w:color="000000" w:fill="FFFFFF"/>
            <w:noWrap/>
            <w:vAlign w:val="center"/>
          </w:tcPr>
          <w:p w14:paraId="0CDEB77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24313DF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CEC812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BD4367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DFDC9E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3F2E89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26</w:t>
            </w:r>
          </w:p>
        </w:tc>
        <w:tc>
          <w:tcPr>
            <w:tcW w:w="997" w:type="pct"/>
            <w:tcBorders>
              <w:top w:val="nil"/>
              <w:left w:val="nil"/>
              <w:bottom w:val="single" w:color="auto" w:sz="4" w:space="0"/>
              <w:right w:val="single" w:color="auto" w:sz="4" w:space="0"/>
            </w:tcBorders>
            <w:shd w:val="clear" w:color="000000" w:fill="FFFFFF"/>
            <w:noWrap/>
            <w:vAlign w:val="center"/>
          </w:tcPr>
          <w:p w14:paraId="7E601A8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状元楼</w:t>
            </w:r>
          </w:p>
        </w:tc>
        <w:tc>
          <w:tcPr>
            <w:tcW w:w="752" w:type="pct"/>
            <w:tcBorders>
              <w:top w:val="nil"/>
              <w:left w:val="nil"/>
              <w:bottom w:val="single" w:color="auto" w:sz="4" w:space="0"/>
              <w:right w:val="single" w:color="auto" w:sz="4" w:space="0"/>
            </w:tcBorders>
            <w:shd w:val="clear" w:color="000000" w:fill="FFFFFF"/>
            <w:noWrap/>
            <w:vAlign w:val="center"/>
          </w:tcPr>
          <w:p w14:paraId="4A6963D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3790E01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02C9E5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FC65E3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2F1A33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1B4BE7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27</w:t>
            </w:r>
          </w:p>
        </w:tc>
        <w:tc>
          <w:tcPr>
            <w:tcW w:w="997" w:type="pct"/>
            <w:tcBorders>
              <w:top w:val="nil"/>
              <w:left w:val="nil"/>
              <w:bottom w:val="single" w:color="auto" w:sz="4" w:space="0"/>
              <w:right w:val="single" w:color="auto" w:sz="4" w:space="0"/>
            </w:tcBorders>
            <w:shd w:val="clear" w:color="000000" w:fill="FFFFFF"/>
            <w:noWrap/>
            <w:vAlign w:val="center"/>
          </w:tcPr>
          <w:p w14:paraId="7605500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三水嘉苑</w:t>
            </w:r>
          </w:p>
        </w:tc>
        <w:tc>
          <w:tcPr>
            <w:tcW w:w="752" w:type="pct"/>
            <w:tcBorders>
              <w:top w:val="nil"/>
              <w:left w:val="nil"/>
              <w:bottom w:val="single" w:color="auto" w:sz="4" w:space="0"/>
              <w:right w:val="single" w:color="auto" w:sz="4" w:space="0"/>
            </w:tcBorders>
            <w:shd w:val="clear" w:color="000000" w:fill="FFFFFF"/>
            <w:noWrap/>
            <w:vAlign w:val="center"/>
          </w:tcPr>
          <w:p w14:paraId="2FF7BE4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46417E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1BB43C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481965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210EB9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E35A5A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28</w:t>
            </w:r>
          </w:p>
        </w:tc>
        <w:tc>
          <w:tcPr>
            <w:tcW w:w="997" w:type="pct"/>
            <w:tcBorders>
              <w:top w:val="nil"/>
              <w:left w:val="nil"/>
              <w:bottom w:val="single" w:color="auto" w:sz="4" w:space="0"/>
              <w:right w:val="single" w:color="auto" w:sz="4" w:space="0"/>
            </w:tcBorders>
            <w:shd w:val="clear" w:color="000000" w:fill="FFFFFF"/>
            <w:noWrap/>
            <w:vAlign w:val="center"/>
          </w:tcPr>
          <w:p w14:paraId="7995B40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幸福小区</w:t>
            </w:r>
          </w:p>
        </w:tc>
        <w:tc>
          <w:tcPr>
            <w:tcW w:w="752" w:type="pct"/>
            <w:tcBorders>
              <w:top w:val="nil"/>
              <w:left w:val="nil"/>
              <w:bottom w:val="single" w:color="auto" w:sz="4" w:space="0"/>
              <w:right w:val="single" w:color="auto" w:sz="4" w:space="0"/>
            </w:tcBorders>
            <w:shd w:val="clear" w:color="000000" w:fill="FFFFFF"/>
            <w:noWrap/>
            <w:vAlign w:val="center"/>
          </w:tcPr>
          <w:p w14:paraId="4704859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68FCC2C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56A75F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0A1363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F7FF69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4BD3E7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29</w:t>
            </w:r>
          </w:p>
        </w:tc>
        <w:tc>
          <w:tcPr>
            <w:tcW w:w="997" w:type="pct"/>
            <w:tcBorders>
              <w:top w:val="nil"/>
              <w:left w:val="nil"/>
              <w:bottom w:val="single" w:color="auto" w:sz="4" w:space="0"/>
              <w:right w:val="single" w:color="auto" w:sz="4" w:space="0"/>
            </w:tcBorders>
            <w:shd w:val="clear" w:color="000000" w:fill="FFFFFF"/>
            <w:noWrap/>
            <w:vAlign w:val="center"/>
          </w:tcPr>
          <w:p w14:paraId="6DD541C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清华园</w:t>
            </w:r>
          </w:p>
        </w:tc>
        <w:tc>
          <w:tcPr>
            <w:tcW w:w="752" w:type="pct"/>
            <w:tcBorders>
              <w:top w:val="nil"/>
              <w:left w:val="nil"/>
              <w:bottom w:val="single" w:color="auto" w:sz="4" w:space="0"/>
              <w:right w:val="single" w:color="auto" w:sz="4" w:space="0"/>
            </w:tcBorders>
            <w:shd w:val="clear" w:color="000000" w:fill="FFFFFF"/>
            <w:noWrap/>
            <w:vAlign w:val="center"/>
          </w:tcPr>
          <w:p w14:paraId="7B32878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F5E863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A39D0E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625F33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7FCA8C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9BC278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30</w:t>
            </w:r>
          </w:p>
        </w:tc>
        <w:tc>
          <w:tcPr>
            <w:tcW w:w="997" w:type="pct"/>
            <w:tcBorders>
              <w:top w:val="nil"/>
              <w:left w:val="nil"/>
              <w:bottom w:val="single" w:color="auto" w:sz="4" w:space="0"/>
              <w:right w:val="single" w:color="auto" w:sz="4" w:space="0"/>
            </w:tcBorders>
            <w:shd w:val="clear" w:color="000000" w:fill="FFFFFF"/>
            <w:noWrap/>
            <w:vAlign w:val="center"/>
          </w:tcPr>
          <w:p w14:paraId="39019FA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瀚华苑</w:t>
            </w:r>
          </w:p>
        </w:tc>
        <w:tc>
          <w:tcPr>
            <w:tcW w:w="752" w:type="pct"/>
            <w:tcBorders>
              <w:top w:val="nil"/>
              <w:left w:val="nil"/>
              <w:bottom w:val="single" w:color="auto" w:sz="4" w:space="0"/>
              <w:right w:val="single" w:color="auto" w:sz="4" w:space="0"/>
            </w:tcBorders>
            <w:shd w:val="clear" w:color="000000" w:fill="FFFFFF"/>
            <w:noWrap/>
            <w:vAlign w:val="center"/>
          </w:tcPr>
          <w:p w14:paraId="4132B52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2E42B08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4298B6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18BCA1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C51ABC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23423A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31</w:t>
            </w:r>
          </w:p>
        </w:tc>
        <w:tc>
          <w:tcPr>
            <w:tcW w:w="997" w:type="pct"/>
            <w:tcBorders>
              <w:top w:val="nil"/>
              <w:left w:val="nil"/>
              <w:bottom w:val="single" w:color="auto" w:sz="4" w:space="0"/>
              <w:right w:val="single" w:color="auto" w:sz="4" w:space="0"/>
            </w:tcBorders>
            <w:shd w:val="clear" w:color="000000" w:fill="FFFFFF"/>
            <w:noWrap/>
            <w:vAlign w:val="center"/>
          </w:tcPr>
          <w:p w14:paraId="4F7608A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名校嘉园</w:t>
            </w:r>
          </w:p>
        </w:tc>
        <w:tc>
          <w:tcPr>
            <w:tcW w:w="752" w:type="pct"/>
            <w:tcBorders>
              <w:top w:val="nil"/>
              <w:left w:val="nil"/>
              <w:bottom w:val="single" w:color="auto" w:sz="4" w:space="0"/>
              <w:right w:val="single" w:color="auto" w:sz="4" w:space="0"/>
            </w:tcBorders>
            <w:shd w:val="clear" w:color="000000" w:fill="FFFFFF"/>
            <w:noWrap/>
            <w:vAlign w:val="center"/>
          </w:tcPr>
          <w:p w14:paraId="30D3454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4EDBAB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B1BE4B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0DE3AF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5CDB66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8119B8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32</w:t>
            </w:r>
          </w:p>
        </w:tc>
        <w:tc>
          <w:tcPr>
            <w:tcW w:w="997" w:type="pct"/>
            <w:tcBorders>
              <w:top w:val="nil"/>
              <w:left w:val="nil"/>
              <w:bottom w:val="single" w:color="auto" w:sz="4" w:space="0"/>
              <w:right w:val="single" w:color="auto" w:sz="4" w:space="0"/>
            </w:tcBorders>
            <w:shd w:val="clear" w:color="000000" w:fill="FFFFFF"/>
            <w:noWrap/>
            <w:vAlign w:val="center"/>
          </w:tcPr>
          <w:p w14:paraId="15D80E8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康平小区</w:t>
            </w:r>
          </w:p>
        </w:tc>
        <w:tc>
          <w:tcPr>
            <w:tcW w:w="752" w:type="pct"/>
            <w:tcBorders>
              <w:top w:val="nil"/>
              <w:left w:val="nil"/>
              <w:bottom w:val="single" w:color="auto" w:sz="4" w:space="0"/>
              <w:right w:val="single" w:color="auto" w:sz="4" w:space="0"/>
            </w:tcBorders>
            <w:shd w:val="clear" w:color="000000" w:fill="FFFFFF"/>
            <w:noWrap/>
            <w:vAlign w:val="center"/>
          </w:tcPr>
          <w:p w14:paraId="1A98A98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4B0B788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E4A124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47E12B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0CAEC0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FA855C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33</w:t>
            </w:r>
          </w:p>
        </w:tc>
        <w:tc>
          <w:tcPr>
            <w:tcW w:w="997" w:type="pct"/>
            <w:tcBorders>
              <w:top w:val="nil"/>
              <w:left w:val="nil"/>
              <w:bottom w:val="single" w:color="auto" w:sz="4" w:space="0"/>
              <w:right w:val="single" w:color="auto" w:sz="4" w:space="0"/>
            </w:tcBorders>
            <w:shd w:val="clear" w:color="000000" w:fill="FFFFFF"/>
            <w:noWrap/>
            <w:vAlign w:val="center"/>
          </w:tcPr>
          <w:p w14:paraId="182E5E2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工农二村</w:t>
            </w:r>
          </w:p>
        </w:tc>
        <w:tc>
          <w:tcPr>
            <w:tcW w:w="752" w:type="pct"/>
            <w:tcBorders>
              <w:top w:val="nil"/>
              <w:left w:val="nil"/>
              <w:bottom w:val="single" w:color="auto" w:sz="4" w:space="0"/>
              <w:right w:val="single" w:color="auto" w:sz="4" w:space="0"/>
            </w:tcBorders>
            <w:shd w:val="clear" w:color="000000" w:fill="FFFFFF"/>
            <w:noWrap/>
            <w:vAlign w:val="center"/>
          </w:tcPr>
          <w:p w14:paraId="061BCDE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458B9F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C891EB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FB261D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7F8EB3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9B845C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34</w:t>
            </w:r>
          </w:p>
        </w:tc>
        <w:tc>
          <w:tcPr>
            <w:tcW w:w="997" w:type="pct"/>
            <w:tcBorders>
              <w:top w:val="nil"/>
              <w:left w:val="nil"/>
              <w:bottom w:val="single" w:color="auto" w:sz="4" w:space="0"/>
              <w:right w:val="single" w:color="auto" w:sz="4" w:space="0"/>
            </w:tcBorders>
            <w:shd w:val="clear" w:color="000000" w:fill="FFFFFF"/>
            <w:noWrap/>
            <w:vAlign w:val="center"/>
          </w:tcPr>
          <w:p w14:paraId="4158150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名都小区</w:t>
            </w:r>
          </w:p>
        </w:tc>
        <w:tc>
          <w:tcPr>
            <w:tcW w:w="752" w:type="pct"/>
            <w:tcBorders>
              <w:top w:val="nil"/>
              <w:left w:val="nil"/>
              <w:bottom w:val="single" w:color="auto" w:sz="4" w:space="0"/>
              <w:right w:val="single" w:color="auto" w:sz="4" w:space="0"/>
            </w:tcBorders>
            <w:shd w:val="clear" w:color="000000" w:fill="FFFFFF"/>
            <w:noWrap/>
            <w:vAlign w:val="center"/>
          </w:tcPr>
          <w:p w14:paraId="5DE64F3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DE2B84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8E6FD2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F704F94">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5017FB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C6DFE6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35</w:t>
            </w:r>
          </w:p>
        </w:tc>
        <w:tc>
          <w:tcPr>
            <w:tcW w:w="997" w:type="pct"/>
            <w:tcBorders>
              <w:top w:val="nil"/>
              <w:left w:val="nil"/>
              <w:bottom w:val="single" w:color="auto" w:sz="4" w:space="0"/>
              <w:right w:val="single" w:color="auto" w:sz="4" w:space="0"/>
            </w:tcBorders>
            <w:shd w:val="clear" w:color="000000" w:fill="FFFFFF"/>
            <w:noWrap/>
            <w:vAlign w:val="center"/>
          </w:tcPr>
          <w:p w14:paraId="502FE49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锦绣北城</w:t>
            </w:r>
          </w:p>
        </w:tc>
        <w:tc>
          <w:tcPr>
            <w:tcW w:w="752" w:type="pct"/>
            <w:tcBorders>
              <w:top w:val="nil"/>
              <w:left w:val="nil"/>
              <w:bottom w:val="single" w:color="auto" w:sz="4" w:space="0"/>
              <w:right w:val="single" w:color="auto" w:sz="4" w:space="0"/>
            </w:tcBorders>
            <w:shd w:val="clear" w:color="000000" w:fill="FFFFFF"/>
            <w:noWrap/>
            <w:vAlign w:val="center"/>
          </w:tcPr>
          <w:p w14:paraId="0CE75D0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6229E8C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40510F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76807E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374A56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A25D42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36</w:t>
            </w:r>
          </w:p>
        </w:tc>
        <w:tc>
          <w:tcPr>
            <w:tcW w:w="997" w:type="pct"/>
            <w:tcBorders>
              <w:top w:val="nil"/>
              <w:left w:val="nil"/>
              <w:bottom w:val="single" w:color="auto" w:sz="4" w:space="0"/>
              <w:right w:val="single" w:color="auto" w:sz="4" w:space="0"/>
            </w:tcBorders>
            <w:shd w:val="clear" w:color="000000" w:fill="FFFFFF"/>
            <w:noWrap/>
            <w:vAlign w:val="center"/>
          </w:tcPr>
          <w:p w14:paraId="7068106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同福花园</w:t>
            </w:r>
          </w:p>
        </w:tc>
        <w:tc>
          <w:tcPr>
            <w:tcW w:w="752" w:type="pct"/>
            <w:tcBorders>
              <w:top w:val="nil"/>
              <w:left w:val="nil"/>
              <w:bottom w:val="single" w:color="auto" w:sz="4" w:space="0"/>
              <w:right w:val="single" w:color="auto" w:sz="4" w:space="0"/>
            </w:tcBorders>
            <w:shd w:val="clear" w:color="000000" w:fill="FFFFFF"/>
            <w:noWrap/>
            <w:vAlign w:val="center"/>
          </w:tcPr>
          <w:p w14:paraId="1E9F3A1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4C04D9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145886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38B447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904FA7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5AFB91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37</w:t>
            </w:r>
          </w:p>
        </w:tc>
        <w:tc>
          <w:tcPr>
            <w:tcW w:w="997" w:type="pct"/>
            <w:tcBorders>
              <w:top w:val="nil"/>
              <w:left w:val="nil"/>
              <w:bottom w:val="single" w:color="auto" w:sz="4" w:space="0"/>
              <w:right w:val="single" w:color="auto" w:sz="4" w:space="0"/>
            </w:tcBorders>
            <w:shd w:val="clear" w:color="000000" w:fill="FFFFFF"/>
            <w:noWrap/>
            <w:vAlign w:val="center"/>
          </w:tcPr>
          <w:p w14:paraId="7D7943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华惠花园</w:t>
            </w:r>
          </w:p>
        </w:tc>
        <w:tc>
          <w:tcPr>
            <w:tcW w:w="752" w:type="pct"/>
            <w:tcBorders>
              <w:top w:val="nil"/>
              <w:left w:val="nil"/>
              <w:bottom w:val="single" w:color="auto" w:sz="4" w:space="0"/>
              <w:right w:val="single" w:color="auto" w:sz="4" w:space="0"/>
            </w:tcBorders>
            <w:shd w:val="clear" w:color="000000" w:fill="FFFFFF"/>
            <w:noWrap/>
            <w:vAlign w:val="center"/>
          </w:tcPr>
          <w:p w14:paraId="0C8BA0A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6272C2F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5ACFAE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F0AB43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BDA85A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BAD40D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38</w:t>
            </w:r>
          </w:p>
        </w:tc>
        <w:tc>
          <w:tcPr>
            <w:tcW w:w="997" w:type="pct"/>
            <w:tcBorders>
              <w:top w:val="nil"/>
              <w:left w:val="nil"/>
              <w:bottom w:val="single" w:color="auto" w:sz="4" w:space="0"/>
              <w:right w:val="single" w:color="auto" w:sz="4" w:space="0"/>
            </w:tcBorders>
            <w:shd w:val="clear" w:color="000000" w:fill="FFFFFF"/>
            <w:noWrap/>
            <w:vAlign w:val="center"/>
          </w:tcPr>
          <w:p w14:paraId="0F2B40A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长新小区</w:t>
            </w:r>
          </w:p>
        </w:tc>
        <w:tc>
          <w:tcPr>
            <w:tcW w:w="752" w:type="pct"/>
            <w:tcBorders>
              <w:top w:val="nil"/>
              <w:left w:val="nil"/>
              <w:bottom w:val="single" w:color="auto" w:sz="4" w:space="0"/>
              <w:right w:val="single" w:color="auto" w:sz="4" w:space="0"/>
            </w:tcBorders>
            <w:shd w:val="clear" w:color="000000" w:fill="FFFFFF"/>
            <w:noWrap/>
            <w:vAlign w:val="center"/>
          </w:tcPr>
          <w:p w14:paraId="759E34E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294F9D7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64FA5B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221EE17">
        <w:tblPrEx>
          <w:tblCellMar>
            <w:top w:w="0" w:type="dxa"/>
            <w:left w:w="108" w:type="dxa"/>
            <w:bottom w:w="0" w:type="dxa"/>
            <w:right w:w="108" w:type="dxa"/>
          </w:tblCellMar>
        </w:tblPrEx>
        <w:trPr>
          <w:trHeight w:val="90" w:hRule="atLeast"/>
        </w:trPr>
        <w:tc>
          <w:tcPr>
            <w:tcW w:w="625" w:type="pct"/>
            <w:vMerge w:val="continue"/>
            <w:tcBorders>
              <w:top w:val="nil"/>
              <w:left w:val="single" w:color="auto" w:sz="4" w:space="0"/>
              <w:bottom w:val="single" w:color="auto" w:sz="4" w:space="0"/>
              <w:right w:val="single" w:color="auto" w:sz="4" w:space="0"/>
            </w:tcBorders>
            <w:vAlign w:val="center"/>
          </w:tcPr>
          <w:p w14:paraId="7F989DB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A5E4D0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39</w:t>
            </w:r>
          </w:p>
        </w:tc>
        <w:tc>
          <w:tcPr>
            <w:tcW w:w="997" w:type="pct"/>
            <w:tcBorders>
              <w:top w:val="nil"/>
              <w:left w:val="nil"/>
              <w:bottom w:val="single" w:color="auto" w:sz="4" w:space="0"/>
              <w:right w:val="single" w:color="auto" w:sz="4" w:space="0"/>
            </w:tcBorders>
            <w:shd w:val="clear" w:color="000000" w:fill="FFFFFF"/>
            <w:noWrap/>
            <w:vAlign w:val="center"/>
          </w:tcPr>
          <w:p w14:paraId="044DB4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丰尚国际</w:t>
            </w:r>
          </w:p>
        </w:tc>
        <w:tc>
          <w:tcPr>
            <w:tcW w:w="752" w:type="pct"/>
            <w:tcBorders>
              <w:top w:val="nil"/>
              <w:left w:val="nil"/>
              <w:bottom w:val="single" w:color="auto" w:sz="4" w:space="0"/>
              <w:right w:val="single" w:color="auto" w:sz="4" w:space="0"/>
            </w:tcBorders>
            <w:shd w:val="clear" w:color="000000" w:fill="FFFFFF"/>
            <w:noWrap/>
            <w:vAlign w:val="center"/>
          </w:tcPr>
          <w:p w14:paraId="7E44F03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6BFE05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E0DC6B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A518F1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BA865E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D62DD2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40</w:t>
            </w:r>
          </w:p>
        </w:tc>
        <w:tc>
          <w:tcPr>
            <w:tcW w:w="997" w:type="pct"/>
            <w:tcBorders>
              <w:top w:val="nil"/>
              <w:left w:val="nil"/>
              <w:bottom w:val="single" w:color="auto" w:sz="4" w:space="0"/>
              <w:right w:val="single" w:color="auto" w:sz="4" w:space="0"/>
            </w:tcBorders>
            <w:shd w:val="clear" w:color="000000" w:fill="FFFFFF"/>
            <w:noWrap/>
            <w:vAlign w:val="center"/>
          </w:tcPr>
          <w:p w14:paraId="0B6CCAA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丰中教师公寓</w:t>
            </w:r>
          </w:p>
        </w:tc>
        <w:tc>
          <w:tcPr>
            <w:tcW w:w="752" w:type="pct"/>
            <w:tcBorders>
              <w:top w:val="nil"/>
              <w:left w:val="nil"/>
              <w:bottom w:val="single" w:color="auto" w:sz="4" w:space="0"/>
              <w:right w:val="single" w:color="auto" w:sz="4" w:space="0"/>
            </w:tcBorders>
            <w:shd w:val="clear" w:color="000000" w:fill="FFFFFF"/>
            <w:noWrap/>
            <w:vAlign w:val="center"/>
          </w:tcPr>
          <w:p w14:paraId="6CFA92B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69BB785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5701C0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F56245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19709B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6D8E6D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41</w:t>
            </w:r>
          </w:p>
        </w:tc>
        <w:tc>
          <w:tcPr>
            <w:tcW w:w="997" w:type="pct"/>
            <w:tcBorders>
              <w:top w:val="nil"/>
              <w:left w:val="nil"/>
              <w:bottom w:val="single" w:color="auto" w:sz="4" w:space="0"/>
              <w:right w:val="single" w:color="auto" w:sz="4" w:space="0"/>
            </w:tcBorders>
            <w:shd w:val="clear" w:color="000000" w:fill="FFFFFF"/>
            <w:noWrap/>
            <w:vAlign w:val="center"/>
          </w:tcPr>
          <w:p w14:paraId="01620FC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今日小区</w:t>
            </w:r>
          </w:p>
        </w:tc>
        <w:tc>
          <w:tcPr>
            <w:tcW w:w="752" w:type="pct"/>
            <w:tcBorders>
              <w:top w:val="nil"/>
              <w:left w:val="nil"/>
              <w:bottom w:val="single" w:color="auto" w:sz="4" w:space="0"/>
              <w:right w:val="single" w:color="auto" w:sz="4" w:space="0"/>
            </w:tcBorders>
            <w:shd w:val="clear" w:color="000000" w:fill="FFFFFF"/>
            <w:noWrap/>
            <w:vAlign w:val="center"/>
          </w:tcPr>
          <w:p w14:paraId="51B343D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5F526D1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12802E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9E4EFF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8FF4E1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BA503D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42</w:t>
            </w:r>
          </w:p>
        </w:tc>
        <w:tc>
          <w:tcPr>
            <w:tcW w:w="997" w:type="pct"/>
            <w:tcBorders>
              <w:top w:val="nil"/>
              <w:left w:val="nil"/>
              <w:bottom w:val="single" w:color="auto" w:sz="4" w:space="0"/>
              <w:right w:val="single" w:color="auto" w:sz="4" w:space="0"/>
            </w:tcBorders>
            <w:shd w:val="clear" w:color="000000" w:fill="FFFFFF"/>
            <w:noWrap/>
            <w:vAlign w:val="center"/>
          </w:tcPr>
          <w:p w14:paraId="642FC10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淮二新村</w:t>
            </w:r>
          </w:p>
        </w:tc>
        <w:tc>
          <w:tcPr>
            <w:tcW w:w="752" w:type="pct"/>
            <w:tcBorders>
              <w:top w:val="nil"/>
              <w:left w:val="nil"/>
              <w:bottom w:val="single" w:color="auto" w:sz="4" w:space="0"/>
              <w:right w:val="single" w:color="auto" w:sz="4" w:space="0"/>
            </w:tcBorders>
            <w:shd w:val="clear" w:color="000000" w:fill="FFFFFF"/>
            <w:noWrap/>
            <w:vAlign w:val="center"/>
          </w:tcPr>
          <w:p w14:paraId="38F968C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5C594F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8938F1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E811A6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203E04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B899C1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43</w:t>
            </w:r>
          </w:p>
        </w:tc>
        <w:tc>
          <w:tcPr>
            <w:tcW w:w="997" w:type="pct"/>
            <w:tcBorders>
              <w:top w:val="nil"/>
              <w:left w:val="nil"/>
              <w:bottom w:val="single" w:color="auto" w:sz="4" w:space="0"/>
              <w:right w:val="single" w:color="auto" w:sz="4" w:space="0"/>
            </w:tcBorders>
            <w:shd w:val="clear" w:color="000000" w:fill="FFFFFF"/>
            <w:noWrap/>
            <w:vAlign w:val="center"/>
          </w:tcPr>
          <w:p w14:paraId="2627DF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海聚汽配城</w:t>
            </w:r>
          </w:p>
        </w:tc>
        <w:tc>
          <w:tcPr>
            <w:tcW w:w="752" w:type="pct"/>
            <w:tcBorders>
              <w:top w:val="nil"/>
              <w:left w:val="nil"/>
              <w:bottom w:val="single" w:color="auto" w:sz="4" w:space="0"/>
              <w:right w:val="single" w:color="auto" w:sz="4" w:space="0"/>
            </w:tcBorders>
            <w:shd w:val="clear" w:color="000000" w:fill="FFFFFF"/>
            <w:noWrap/>
            <w:vAlign w:val="center"/>
          </w:tcPr>
          <w:p w14:paraId="6E1C043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A34F2F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A74D0A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154CFF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6F52D7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A5D7C2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44</w:t>
            </w:r>
          </w:p>
        </w:tc>
        <w:tc>
          <w:tcPr>
            <w:tcW w:w="997" w:type="pct"/>
            <w:tcBorders>
              <w:top w:val="nil"/>
              <w:left w:val="nil"/>
              <w:bottom w:val="single" w:color="auto" w:sz="4" w:space="0"/>
              <w:right w:val="single" w:color="auto" w:sz="4" w:space="0"/>
            </w:tcBorders>
            <w:shd w:val="clear" w:color="000000" w:fill="FFFFFF"/>
            <w:noWrap/>
            <w:vAlign w:val="center"/>
          </w:tcPr>
          <w:p w14:paraId="4390416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木材公寓</w:t>
            </w:r>
          </w:p>
        </w:tc>
        <w:tc>
          <w:tcPr>
            <w:tcW w:w="752" w:type="pct"/>
            <w:tcBorders>
              <w:top w:val="nil"/>
              <w:left w:val="nil"/>
              <w:bottom w:val="single" w:color="auto" w:sz="4" w:space="0"/>
              <w:right w:val="single" w:color="auto" w:sz="4" w:space="0"/>
            </w:tcBorders>
            <w:shd w:val="clear" w:color="000000" w:fill="FFFFFF"/>
            <w:noWrap/>
            <w:vAlign w:val="center"/>
          </w:tcPr>
          <w:p w14:paraId="3AD5260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5B19558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90312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ED72AD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6F2404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234949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45</w:t>
            </w:r>
          </w:p>
        </w:tc>
        <w:tc>
          <w:tcPr>
            <w:tcW w:w="997" w:type="pct"/>
            <w:tcBorders>
              <w:top w:val="nil"/>
              <w:left w:val="nil"/>
              <w:bottom w:val="single" w:color="auto" w:sz="4" w:space="0"/>
              <w:right w:val="single" w:color="auto" w:sz="4" w:space="0"/>
            </w:tcBorders>
            <w:shd w:val="clear" w:color="000000" w:fill="FFFFFF"/>
            <w:noWrap/>
            <w:vAlign w:val="center"/>
          </w:tcPr>
          <w:p w14:paraId="33B7A7C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德惠花园</w:t>
            </w:r>
          </w:p>
        </w:tc>
        <w:tc>
          <w:tcPr>
            <w:tcW w:w="752" w:type="pct"/>
            <w:tcBorders>
              <w:top w:val="nil"/>
              <w:left w:val="nil"/>
              <w:bottom w:val="single" w:color="auto" w:sz="4" w:space="0"/>
              <w:right w:val="single" w:color="auto" w:sz="4" w:space="0"/>
            </w:tcBorders>
            <w:shd w:val="clear" w:color="000000" w:fill="FFFFFF"/>
            <w:noWrap/>
            <w:vAlign w:val="center"/>
          </w:tcPr>
          <w:p w14:paraId="649FE56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78522AA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FE3A7B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46EE5C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A9919E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B02CD3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46</w:t>
            </w:r>
          </w:p>
        </w:tc>
        <w:tc>
          <w:tcPr>
            <w:tcW w:w="997" w:type="pct"/>
            <w:tcBorders>
              <w:top w:val="nil"/>
              <w:left w:val="nil"/>
              <w:bottom w:val="single" w:color="auto" w:sz="4" w:space="0"/>
              <w:right w:val="single" w:color="auto" w:sz="4" w:space="0"/>
            </w:tcBorders>
            <w:shd w:val="clear" w:color="000000" w:fill="FFFFFF"/>
            <w:noWrap/>
            <w:vAlign w:val="center"/>
          </w:tcPr>
          <w:p w14:paraId="0F26B54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悦城华府</w:t>
            </w:r>
          </w:p>
        </w:tc>
        <w:tc>
          <w:tcPr>
            <w:tcW w:w="752" w:type="pct"/>
            <w:tcBorders>
              <w:top w:val="nil"/>
              <w:left w:val="nil"/>
              <w:bottom w:val="single" w:color="auto" w:sz="4" w:space="0"/>
              <w:right w:val="single" w:color="auto" w:sz="4" w:space="0"/>
            </w:tcBorders>
            <w:shd w:val="clear" w:color="000000" w:fill="FFFFFF"/>
            <w:noWrap/>
            <w:vAlign w:val="center"/>
          </w:tcPr>
          <w:p w14:paraId="7828C04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6AA1E70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127C05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28A3D8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0CCD6C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E9E30D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47</w:t>
            </w:r>
          </w:p>
        </w:tc>
        <w:tc>
          <w:tcPr>
            <w:tcW w:w="997" w:type="pct"/>
            <w:tcBorders>
              <w:top w:val="nil"/>
              <w:left w:val="nil"/>
              <w:bottom w:val="single" w:color="auto" w:sz="4" w:space="0"/>
              <w:right w:val="single" w:color="auto" w:sz="4" w:space="0"/>
            </w:tcBorders>
            <w:shd w:val="clear" w:color="000000" w:fill="FFFFFF"/>
            <w:noWrap/>
            <w:vAlign w:val="center"/>
          </w:tcPr>
          <w:p w14:paraId="117B54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同惠花园</w:t>
            </w:r>
          </w:p>
        </w:tc>
        <w:tc>
          <w:tcPr>
            <w:tcW w:w="752" w:type="pct"/>
            <w:tcBorders>
              <w:top w:val="nil"/>
              <w:left w:val="nil"/>
              <w:bottom w:val="single" w:color="auto" w:sz="4" w:space="0"/>
              <w:right w:val="single" w:color="auto" w:sz="4" w:space="0"/>
            </w:tcBorders>
            <w:shd w:val="clear" w:color="000000" w:fill="FFFFFF"/>
            <w:noWrap/>
            <w:vAlign w:val="center"/>
          </w:tcPr>
          <w:p w14:paraId="5498DD6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315587F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EE527C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D7225F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C6A0E2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3CB601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48</w:t>
            </w:r>
          </w:p>
        </w:tc>
        <w:tc>
          <w:tcPr>
            <w:tcW w:w="997" w:type="pct"/>
            <w:tcBorders>
              <w:top w:val="nil"/>
              <w:left w:val="nil"/>
              <w:bottom w:val="single" w:color="auto" w:sz="4" w:space="0"/>
              <w:right w:val="single" w:color="auto" w:sz="4" w:space="0"/>
            </w:tcBorders>
            <w:shd w:val="clear" w:color="000000" w:fill="FFFFFF"/>
            <w:noWrap/>
            <w:vAlign w:val="center"/>
          </w:tcPr>
          <w:p w14:paraId="5B387EA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光明小区</w:t>
            </w:r>
          </w:p>
        </w:tc>
        <w:tc>
          <w:tcPr>
            <w:tcW w:w="752" w:type="pct"/>
            <w:tcBorders>
              <w:top w:val="nil"/>
              <w:left w:val="nil"/>
              <w:bottom w:val="single" w:color="auto" w:sz="4" w:space="0"/>
              <w:right w:val="single" w:color="auto" w:sz="4" w:space="0"/>
            </w:tcBorders>
            <w:shd w:val="clear" w:color="000000" w:fill="FFFFFF"/>
            <w:noWrap/>
            <w:vAlign w:val="center"/>
          </w:tcPr>
          <w:p w14:paraId="647ABE6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2FB1368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16F7BB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0E1A53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E5E9D4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7021D2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49</w:t>
            </w:r>
          </w:p>
        </w:tc>
        <w:tc>
          <w:tcPr>
            <w:tcW w:w="997" w:type="pct"/>
            <w:tcBorders>
              <w:top w:val="nil"/>
              <w:left w:val="nil"/>
              <w:bottom w:val="single" w:color="auto" w:sz="4" w:space="0"/>
              <w:right w:val="single" w:color="auto" w:sz="4" w:space="0"/>
            </w:tcBorders>
            <w:shd w:val="clear" w:color="000000" w:fill="FFFFFF"/>
            <w:noWrap/>
            <w:vAlign w:val="center"/>
          </w:tcPr>
          <w:p w14:paraId="742B128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学苑公寓</w:t>
            </w:r>
          </w:p>
        </w:tc>
        <w:tc>
          <w:tcPr>
            <w:tcW w:w="752" w:type="pct"/>
            <w:tcBorders>
              <w:top w:val="nil"/>
              <w:left w:val="nil"/>
              <w:bottom w:val="single" w:color="auto" w:sz="4" w:space="0"/>
              <w:right w:val="single" w:color="auto" w:sz="4" w:space="0"/>
            </w:tcBorders>
            <w:shd w:val="clear" w:color="000000" w:fill="FFFFFF"/>
            <w:noWrap/>
            <w:vAlign w:val="center"/>
          </w:tcPr>
          <w:p w14:paraId="2DB04F5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4DEE20F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9A170D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0FDE6B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C7B85A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3BA96D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50</w:t>
            </w:r>
          </w:p>
        </w:tc>
        <w:tc>
          <w:tcPr>
            <w:tcW w:w="997" w:type="pct"/>
            <w:tcBorders>
              <w:top w:val="nil"/>
              <w:left w:val="nil"/>
              <w:bottom w:val="single" w:color="auto" w:sz="4" w:space="0"/>
              <w:right w:val="single" w:color="auto" w:sz="4" w:space="0"/>
            </w:tcBorders>
            <w:shd w:val="clear" w:color="000000" w:fill="FFFFFF"/>
            <w:noWrap/>
            <w:vAlign w:val="center"/>
          </w:tcPr>
          <w:p w14:paraId="2D63F11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健康小区</w:t>
            </w:r>
          </w:p>
        </w:tc>
        <w:tc>
          <w:tcPr>
            <w:tcW w:w="752" w:type="pct"/>
            <w:tcBorders>
              <w:top w:val="nil"/>
              <w:left w:val="nil"/>
              <w:bottom w:val="single" w:color="auto" w:sz="4" w:space="0"/>
              <w:right w:val="single" w:color="auto" w:sz="4" w:space="0"/>
            </w:tcBorders>
            <w:shd w:val="clear" w:color="000000" w:fill="FFFFFF"/>
            <w:noWrap/>
            <w:vAlign w:val="center"/>
          </w:tcPr>
          <w:p w14:paraId="1004B2B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74ED393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558C39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A2DB5A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ED008D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1A327A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51</w:t>
            </w:r>
          </w:p>
        </w:tc>
        <w:tc>
          <w:tcPr>
            <w:tcW w:w="997" w:type="pct"/>
            <w:tcBorders>
              <w:top w:val="nil"/>
              <w:left w:val="nil"/>
              <w:bottom w:val="single" w:color="auto" w:sz="4" w:space="0"/>
              <w:right w:val="single" w:color="auto" w:sz="4" w:space="0"/>
            </w:tcBorders>
            <w:shd w:val="clear" w:color="000000" w:fill="FFFFFF"/>
            <w:noWrap/>
            <w:vAlign w:val="center"/>
          </w:tcPr>
          <w:p w14:paraId="0B1D3B5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康宁小区</w:t>
            </w:r>
          </w:p>
        </w:tc>
        <w:tc>
          <w:tcPr>
            <w:tcW w:w="752" w:type="pct"/>
            <w:tcBorders>
              <w:top w:val="nil"/>
              <w:left w:val="nil"/>
              <w:bottom w:val="single" w:color="auto" w:sz="4" w:space="0"/>
              <w:right w:val="single" w:color="auto" w:sz="4" w:space="0"/>
            </w:tcBorders>
            <w:shd w:val="clear" w:color="000000" w:fill="FFFFFF"/>
            <w:noWrap/>
            <w:vAlign w:val="center"/>
          </w:tcPr>
          <w:p w14:paraId="50BB37D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8</w:t>
            </w:r>
          </w:p>
        </w:tc>
        <w:tc>
          <w:tcPr>
            <w:tcW w:w="1369" w:type="pct"/>
            <w:tcBorders>
              <w:top w:val="nil"/>
              <w:left w:val="nil"/>
              <w:bottom w:val="single" w:color="auto" w:sz="4" w:space="0"/>
              <w:right w:val="single" w:color="auto" w:sz="4" w:space="0"/>
            </w:tcBorders>
            <w:shd w:val="clear" w:color="000000" w:fill="FFFFFF"/>
            <w:noWrap/>
            <w:vAlign w:val="center"/>
          </w:tcPr>
          <w:p w14:paraId="5D2B5D9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EE88A6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50548E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B113CC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758FB8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52</w:t>
            </w:r>
          </w:p>
        </w:tc>
        <w:tc>
          <w:tcPr>
            <w:tcW w:w="997" w:type="pct"/>
            <w:tcBorders>
              <w:top w:val="nil"/>
              <w:left w:val="nil"/>
              <w:bottom w:val="single" w:color="auto" w:sz="4" w:space="0"/>
              <w:right w:val="single" w:color="auto" w:sz="4" w:space="0"/>
            </w:tcBorders>
            <w:shd w:val="clear" w:color="000000" w:fill="FFFFFF"/>
            <w:noWrap/>
            <w:vAlign w:val="center"/>
          </w:tcPr>
          <w:p w14:paraId="0413988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嘉英阳光</w:t>
            </w:r>
          </w:p>
        </w:tc>
        <w:tc>
          <w:tcPr>
            <w:tcW w:w="752" w:type="pct"/>
            <w:tcBorders>
              <w:top w:val="nil"/>
              <w:left w:val="nil"/>
              <w:bottom w:val="single" w:color="auto" w:sz="4" w:space="0"/>
              <w:right w:val="single" w:color="auto" w:sz="4" w:space="0"/>
            </w:tcBorders>
            <w:shd w:val="clear" w:color="000000" w:fill="FFFFFF"/>
            <w:noWrap/>
            <w:vAlign w:val="center"/>
          </w:tcPr>
          <w:p w14:paraId="13B9DA7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248A03E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54D9E3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91A7C2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6E2BEF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A47D2C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53</w:t>
            </w:r>
          </w:p>
        </w:tc>
        <w:tc>
          <w:tcPr>
            <w:tcW w:w="997" w:type="pct"/>
            <w:tcBorders>
              <w:top w:val="nil"/>
              <w:left w:val="nil"/>
              <w:bottom w:val="single" w:color="auto" w:sz="4" w:space="0"/>
              <w:right w:val="single" w:color="auto" w:sz="4" w:space="0"/>
            </w:tcBorders>
            <w:shd w:val="clear" w:color="000000" w:fill="FFFFFF"/>
            <w:noWrap/>
            <w:vAlign w:val="center"/>
          </w:tcPr>
          <w:p w14:paraId="76BB05C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永泰花园</w:t>
            </w:r>
          </w:p>
        </w:tc>
        <w:tc>
          <w:tcPr>
            <w:tcW w:w="752" w:type="pct"/>
            <w:tcBorders>
              <w:top w:val="nil"/>
              <w:left w:val="nil"/>
              <w:bottom w:val="single" w:color="auto" w:sz="4" w:space="0"/>
              <w:right w:val="single" w:color="auto" w:sz="4" w:space="0"/>
            </w:tcBorders>
            <w:shd w:val="clear" w:color="000000" w:fill="FFFFFF"/>
            <w:noWrap/>
            <w:vAlign w:val="center"/>
          </w:tcPr>
          <w:p w14:paraId="313ECEC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00009EE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C6156B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CE121E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DE8128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9EB3F1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54</w:t>
            </w:r>
          </w:p>
        </w:tc>
        <w:tc>
          <w:tcPr>
            <w:tcW w:w="997" w:type="pct"/>
            <w:tcBorders>
              <w:top w:val="nil"/>
              <w:left w:val="nil"/>
              <w:bottom w:val="single" w:color="auto" w:sz="4" w:space="0"/>
              <w:right w:val="single" w:color="auto" w:sz="4" w:space="0"/>
            </w:tcBorders>
            <w:shd w:val="clear" w:color="000000" w:fill="FFFFFF"/>
            <w:noWrap/>
            <w:vAlign w:val="center"/>
          </w:tcPr>
          <w:p w14:paraId="57516AB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欧蓓莎</w:t>
            </w:r>
          </w:p>
        </w:tc>
        <w:tc>
          <w:tcPr>
            <w:tcW w:w="752" w:type="pct"/>
            <w:tcBorders>
              <w:top w:val="nil"/>
              <w:left w:val="nil"/>
              <w:bottom w:val="single" w:color="auto" w:sz="4" w:space="0"/>
              <w:right w:val="single" w:color="auto" w:sz="4" w:space="0"/>
            </w:tcBorders>
            <w:shd w:val="clear" w:color="000000" w:fill="FFFFFF"/>
            <w:noWrap/>
            <w:vAlign w:val="center"/>
          </w:tcPr>
          <w:p w14:paraId="4ED1F9C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9D9447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D505A0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0724F4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E1099D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DE91BE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55</w:t>
            </w:r>
          </w:p>
        </w:tc>
        <w:tc>
          <w:tcPr>
            <w:tcW w:w="997" w:type="pct"/>
            <w:tcBorders>
              <w:top w:val="nil"/>
              <w:left w:val="nil"/>
              <w:bottom w:val="single" w:color="auto" w:sz="4" w:space="0"/>
              <w:right w:val="single" w:color="auto" w:sz="4" w:space="0"/>
            </w:tcBorders>
            <w:shd w:val="clear" w:color="000000" w:fill="FFFFFF"/>
            <w:noWrap/>
            <w:vAlign w:val="center"/>
          </w:tcPr>
          <w:p w14:paraId="7A6A276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丰中名邸</w:t>
            </w:r>
          </w:p>
        </w:tc>
        <w:tc>
          <w:tcPr>
            <w:tcW w:w="752" w:type="pct"/>
            <w:tcBorders>
              <w:top w:val="nil"/>
              <w:left w:val="nil"/>
              <w:bottom w:val="single" w:color="auto" w:sz="4" w:space="0"/>
              <w:right w:val="single" w:color="auto" w:sz="4" w:space="0"/>
            </w:tcBorders>
            <w:shd w:val="clear" w:color="000000" w:fill="FFFFFF"/>
            <w:noWrap/>
            <w:vAlign w:val="center"/>
          </w:tcPr>
          <w:p w14:paraId="72DD6CE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2A36171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B6B258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E52DDD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3BF9D8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F81A01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56</w:t>
            </w:r>
          </w:p>
        </w:tc>
        <w:tc>
          <w:tcPr>
            <w:tcW w:w="997" w:type="pct"/>
            <w:tcBorders>
              <w:top w:val="nil"/>
              <w:left w:val="nil"/>
              <w:bottom w:val="single" w:color="auto" w:sz="4" w:space="0"/>
              <w:right w:val="single" w:color="auto" w:sz="4" w:space="0"/>
            </w:tcBorders>
            <w:shd w:val="clear" w:color="000000" w:fill="FFFFFF"/>
            <w:noWrap/>
            <w:vAlign w:val="center"/>
          </w:tcPr>
          <w:p w14:paraId="1F0A03B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飞轮厂教师公寓</w:t>
            </w:r>
          </w:p>
        </w:tc>
        <w:tc>
          <w:tcPr>
            <w:tcW w:w="752" w:type="pct"/>
            <w:tcBorders>
              <w:top w:val="nil"/>
              <w:left w:val="nil"/>
              <w:bottom w:val="single" w:color="auto" w:sz="4" w:space="0"/>
              <w:right w:val="single" w:color="auto" w:sz="4" w:space="0"/>
            </w:tcBorders>
            <w:shd w:val="clear" w:color="000000" w:fill="FFFFFF"/>
            <w:noWrap/>
            <w:vAlign w:val="center"/>
          </w:tcPr>
          <w:p w14:paraId="1B1C32F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2EA4E9B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DDDD48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1192C4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3DACBE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840184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57</w:t>
            </w:r>
          </w:p>
        </w:tc>
        <w:tc>
          <w:tcPr>
            <w:tcW w:w="997" w:type="pct"/>
            <w:tcBorders>
              <w:top w:val="nil"/>
              <w:left w:val="nil"/>
              <w:bottom w:val="single" w:color="auto" w:sz="4" w:space="0"/>
              <w:right w:val="single" w:color="auto" w:sz="4" w:space="0"/>
            </w:tcBorders>
            <w:shd w:val="clear" w:color="000000" w:fill="FFFFFF"/>
            <w:noWrap/>
            <w:vAlign w:val="center"/>
          </w:tcPr>
          <w:p w14:paraId="769E6C7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鸿基新村</w:t>
            </w:r>
          </w:p>
        </w:tc>
        <w:tc>
          <w:tcPr>
            <w:tcW w:w="752" w:type="pct"/>
            <w:tcBorders>
              <w:top w:val="nil"/>
              <w:left w:val="nil"/>
              <w:bottom w:val="single" w:color="auto" w:sz="4" w:space="0"/>
              <w:right w:val="single" w:color="auto" w:sz="4" w:space="0"/>
            </w:tcBorders>
            <w:shd w:val="clear" w:color="000000" w:fill="FFFFFF"/>
            <w:noWrap/>
            <w:vAlign w:val="center"/>
          </w:tcPr>
          <w:p w14:paraId="7E4F25F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93D1CC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80EC6F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348AF6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9E3EBF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6C45EE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58</w:t>
            </w:r>
          </w:p>
        </w:tc>
        <w:tc>
          <w:tcPr>
            <w:tcW w:w="997" w:type="pct"/>
            <w:tcBorders>
              <w:top w:val="nil"/>
              <w:left w:val="nil"/>
              <w:bottom w:val="single" w:color="auto" w:sz="4" w:space="0"/>
              <w:right w:val="single" w:color="auto" w:sz="4" w:space="0"/>
            </w:tcBorders>
            <w:shd w:val="clear" w:color="000000" w:fill="FFFFFF"/>
            <w:noWrap/>
            <w:vAlign w:val="center"/>
          </w:tcPr>
          <w:p w14:paraId="02FCFB2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长乐小区</w:t>
            </w:r>
          </w:p>
        </w:tc>
        <w:tc>
          <w:tcPr>
            <w:tcW w:w="752" w:type="pct"/>
            <w:tcBorders>
              <w:top w:val="nil"/>
              <w:left w:val="nil"/>
              <w:bottom w:val="single" w:color="auto" w:sz="4" w:space="0"/>
              <w:right w:val="single" w:color="auto" w:sz="4" w:space="0"/>
            </w:tcBorders>
            <w:shd w:val="clear" w:color="000000" w:fill="FFFFFF"/>
            <w:noWrap/>
            <w:vAlign w:val="center"/>
          </w:tcPr>
          <w:p w14:paraId="086D0AB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804FB2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C4C7F1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0FEA97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50832D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2B78B2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59</w:t>
            </w:r>
          </w:p>
        </w:tc>
        <w:tc>
          <w:tcPr>
            <w:tcW w:w="997" w:type="pct"/>
            <w:tcBorders>
              <w:top w:val="nil"/>
              <w:left w:val="nil"/>
              <w:bottom w:val="single" w:color="auto" w:sz="4" w:space="0"/>
              <w:right w:val="single" w:color="auto" w:sz="4" w:space="0"/>
            </w:tcBorders>
            <w:shd w:val="clear" w:color="000000" w:fill="FFFFFF"/>
            <w:noWrap/>
            <w:vAlign w:val="center"/>
          </w:tcPr>
          <w:p w14:paraId="23B6B5D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石油小区</w:t>
            </w:r>
          </w:p>
        </w:tc>
        <w:tc>
          <w:tcPr>
            <w:tcW w:w="752" w:type="pct"/>
            <w:tcBorders>
              <w:top w:val="nil"/>
              <w:left w:val="nil"/>
              <w:bottom w:val="single" w:color="auto" w:sz="4" w:space="0"/>
              <w:right w:val="single" w:color="auto" w:sz="4" w:space="0"/>
            </w:tcBorders>
            <w:shd w:val="clear" w:color="000000" w:fill="FFFFFF"/>
            <w:noWrap/>
            <w:vAlign w:val="center"/>
          </w:tcPr>
          <w:p w14:paraId="0AB8C72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0A3F1D9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7368B6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4F57A7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CA75E7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5B700A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60</w:t>
            </w:r>
          </w:p>
        </w:tc>
        <w:tc>
          <w:tcPr>
            <w:tcW w:w="997" w:type="pct"/>
            <w:tcBorders>
              <w:top w:val="nil"/>
              <w:left w:val="nil"/>
              <w:bottom w:val="single" w:color="auto" w:sz="4" w:space="0"/>
              <w:right w:val="single" w:color="auto" w:sz="4" w:space="0"/>
            </w:tcBorders>
            <w:shd w:val="clear" w:color="000000" w:fill="FFFFFF"/>
            <w:noWrap/>
            <w:vAlign w:val="center"/>
          </w:tcPr>
          <w:p w14:paraId="097FD97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建邺小区</w:t>
            </w:r>
          </w:p>
        </w:tc>
        <w:tc>
          <w:tcPr>
            <w:tcW w:w="752" w:type="pct"/>
            <w:tcBorders>
              <w:top w:val="nil"/>
              <w:left w:val="nil"/>
              <w:bottom w:val="single" w:color="auto" w:sz="4" w:space="0"/>
              <w:right w:val="single" w:color="auto" w:sz="4" w:space="0"/>
            </w:tcBorders>
            <w:shd w:val="clear" w:color="000000" w:fill="FFFFFF"/>
            <w:noWrap/>
            <w:vAlign w:val="center"/>
          </w:tcPr>
          <w:p w14:paraId="50F3FD2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A6D26E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29149B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47492F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3B6EF3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299DB5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61</w:t>
            </w:r>
          </w:p>
        </w:tc>
        <w:tc>
          <w:tcPr>
            <w:tcW w:w="997" w:type="pct"/>
            <w:tcBorders>
              <w:top w:val="nil"/>
              <w:left w:val="nil"/>
              <w:bottom w:val="single" w:color="auto" w:sz="4" w:space="0"/>
              <w:right w:val="single" w:color="auto" w:sz="4" w:space="0"/>
            </w:tcBorders>
            <w:shd w:val="clear" w:color="000000" w:fill="FFFFFF"/>
            <w:noWrap/>
            <w:vAlign w:val="center"/>
          </w:tcPr>
          <w:p w14:paraId="5AD9613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同德农民公寓</w:t>
            </w:r>
          </w:p>
        </w:tc>
        <w:tc>
          <w:tcPr>
            <w:tcW w:w="752" w:type="pct"/>
            <w:tcBorders>
              <w:top w:val="nil"/>
              <w:left w:val="nil"/>
              <w:bottom w:val="single" w:color="auto" w:sz="4" w:space="0"/>
              <w:right w:val="single" w:color="auto" w:sz="4" w:space="0"/>
            </w:tcBorders>
            <w:shd w:val="clear" w:color="000000" w:fill="FFFFFF"/>
            <w:noWrap/>
            <w:vAlign w:val="center"/>
          </w:tcPr>
          <w:p w14:paraId="39F4C73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255552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C908BF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2E0E7E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079926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75D24C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62</w:t>
            </w:r>
          </w:p>
        </w:tc>
        <w:tc>
          <w:tcPr>
            <w:tcW w:w="997" w:type="pct"/>
            <w:tcBorders>
              <w:top w:val="nil"/>
              <w:left w:val="nil"/>
              <w:bottom w:val="single" w:color="auto" w:sz="4" w:space="0"/>
              <w:right w:val="single" w:color="auto" w:sz="4" w:space="0"/>
            </w:tcBorders>
            <w:shd w:val="clear" w:color="000000" w:fill="FFFFFF"/>
            <w:noWrap/>
            <w:vAlign w:val="center"/>
          </w:tcPr>
          <w:p w14:paraId="4BB5018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润丰嘉园</w:t>
            </w:r>
          </w:p>
        </w:tc>
        <w:tc>
          <w:tcPr>
            <w:tcW w:w="752" w:type="pct"/>
            <w:tcBorders>
              <w:top w:val="nil"/>
              <w:left w:val="nil"/>
              <w:bottom w:val="single" w:color="auto" w:sz="4" w:space="0"/>
              <w:right w:val="single" w:color="auto" w:sz="4" w:space="0"/>
            </w:tcBorders>
            <w:shd w:val="clear" w:color="000000" w:fill="FFFFFF"/>
            <w:noWrap/>
            <w:vAlign w:val="center"/>
          </w:tcPr>
          <w:p w14:paraId="18929EB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724544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BF737E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CC98DB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DCE738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71C0AD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63</w:t>
            </w:r>
          </w:p>
        </w:tc>
        <w:tc>
          <w:tcPr>
            <w:tcW w:w="997" w:type="pct"/>
            <w:tcBorders>
              <w:top w:val="nil"/>
              <w:left w:val="nil"/>
              <w:bottom w:val="single" w:color="auto" w:sz="4" w:space="0"/>
              <w:right w:val="single" w:color="auto" w:sz="4" w:space="0"/>
            </w:tcBorders>
            <w:shd w:val="clear" w:color="000000" w:fill="FFFFFF"/>
            <w:noWrap/>
            <w:vAlign w:val="center"/>
          </w:tcPr>
          <w:p w14:paraId="0CB34FA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东风小区</w:t>
            </w:r>
          </w:p>
        </w:tc>
        <w:tc>
          <w:tcPr>
            <w:tcW w:w="752" w:type="pct"/>
            <w:tcBorders>
              <w:top w:val="nil"/>
              <w:left w:val="nil"/>
              <w:bottom w:val="single" w:color="auto" w:sz="4" w:space="0"/>
              <w:right w:val="single" w:color="auto" w:sz="4" w:space="0"/>
            </w:tcBorders>
            <w:shd w:val="clear" w:color="000000" w:fill="FFFFFF"/>
            <w:noWrap/>
            <w:vAlign w:val="center"/>
          </w:tcPr>
          <w:p w14:paraId="144C407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2B8C25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8AEF8F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47F210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7D5090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A4D7DF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64</w:t>
            </w:r>
          </w:p>
        </w:tc>
        <w:tc>
          <w:tcPr>
            <w:tcW w:w="997" w:type="pct"/>
            <w:tcBorders>
              <w:top w:val="nil"/>
              <w:left w:val="nil"/>
              <w:bottom w:val="single" w:color="auto" w:sz="4" w:space="0"/>
              <w:right w:val="single" w:color="auto" w:sz="4" w:space="0"/>
            </w:tcBorders>
            <w:shd w:val="clear" w:color="000000" w:fill="FFFFFF"/>
            <w:noWrap/>
            <w:vAlign w:val="center"/>
          </w:tcPr>
          <w:p w14:paraId="32BC3CE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花园小区</w:t>
            </w:r>
          </w:p>
        </w:tc>
        <w:tc>
          <w:tcPr>
            <w:tcW w:w="752" w:type="pct"/>
            <w:tcBorders>
              <w:top w:val="nil"/>
              <w:left w:val="nil"/>
              <w:bottom w:val="single" w:color="auto" w:sz="4" w:space="0"/>
              <w:right w:val="single" w:color="auto" w:sz="4" w:space="0"/>
            </w:tcBorders>
            <w:shd w:val="clear" w:color="000000" w:fill="FFFFFF"/>
            <w:noWrap/>
            <w:vAlign w:val="center"/>
          </w:tcPr>
          <w:p w14:paraId="0E56364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87544C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943D98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3C092B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2B9C6D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915CF4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65</w:t>
            </w:r>
          </w:p>
        </w:tc>
        <w:tc>
          <w:tcPr>
            <w:tcW w:w="997" w:type="pct"/>
            <w:tcBorders>
              <w:top w:val="nil"/>
              <w:left w:val="nil"/>
              <w:bottom w:val="single" w:color="auto" w:sz="4" w:space="0"/>
              <w:right w:val="single" w:color="auto" w:sz="4" w:space="0"/>
            </w:tcBorders>
            <w:shd w:val="clear" w:color="000000" w:fill="FFFFFF"/>
            <w:noWrap/>
            <w:vAlign w:val="center"/>
          </w:tcPr>
          <w:p w14:paraId="3D624B3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恒生小区</w:t>
            </w:r>
          </w:p>
        </w:tc>
        <w:tc>
          <w:tcPr>
            <w:tcW w:w="752" w:type="pct"/>
            <w:tcBorders>
              <w:top w:val="nil"/>
              <w:left w:val="nil"/>
              <w:bottom w:val="single" w:color="auto" w:sz="4" w:space="0"/>
              <w:right w:val="single" w:color="auto" w:sz="4" w:space="0"/>
            </w:tcBorders>
            <w:shd w:val="clear" w:color="000000" w:fill="FFFFFF"/>
            <w:noWrap/>
            <w:vAlign w:val="center"/>
          </w:tcPr>
          <w:p w14:paraId="0CBFF9F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F002D9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8F6B5F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55ACEE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E93E80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5C8817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66</w:t>
            </w:r>
          </w:p>
        </w:tc>
        <w:tc>
          <w:tcPr>
            <w:tcW w:w="997" w:type="pct"/>
            <w:tcBorders>
              <w:top w:val="nil"/>
              <w:left w:val="nil"/>
              <w:bottom w:val="single" w:color="auto" w:sz="4" w:space="0"/>
              <w:right w:val="single" w:color="auto" w:sz="4" w:space="0"/>
            </w:tcBorders>
            <w:shd w:val="clear" w:color="000000" w:fill="FFFFFF"/>
            <w:noWrap/>
            <w:vAlign w:val="center"/>
          </w:tcPr>
          <w:p w14:paraId="1EAF219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汇豪雅苑</w:t>
            </w:r>
          </w:p>
        </w:tc>
        <w:tc>
          <w:tcPr>
            <w:tcW w:w="752" w:type="pct"/>
            <w:tcBorders>
              <w:top w:val="nil"/>
              <w:left w:val="nil"/>
              <w:bottom w:val="single" w:color="auto" w:sz="4" w:space="0"/>
              <w:right w:val="single" w:color="auto" w:sz="4" w:space="0"/>
            </w:tcBorders>
            <w:shd w:val="clear" w:color="000000" w:fill="FFFFFF"/>
            <w:noWrap/>
            <w:vAlign w:val="center"/>
          </w:tcPr>
          <w:p w14:paraId="4503F43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2ED640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5ECE1B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F05D044">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ACCF10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2D4B67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67</w:t>
            </w:r>
          </w:p>
        </w:tc>
        <w:tc>
          <w:tcPr>
            <w:tcW w:w="997" w:type="pct"/>
            <w:tcBorders>
              <w:top w:val="nil"/>
              <w:left w:val="nil"/>
              <w:bottom w:val="single" w:color="auto" w:sz="4" w:space="0"/>
              <w:right w:val="single" w:color="auto" w:sz="4" w:space="0"/>
            </w:tcBorders>
            <w:shd w:val="clear" w:color="000000" w:fill="FFFFFF"/>
            <w:noWrap/>
            <w:vAlign w:val="center"/>
          </w:tcPr>
          <w:p w14:paraId="18571E7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金都贸易城</w:t>
            </w:r>
          </w:p>
        </w:tc>
        <w:tc>
          <w:tcPr>
            <w:tcW w:w="752" w:type="pct"/>
            <w:tcBorders>
              <w:top w:val="nil"/>
              <w:left w:val="nil"/>
              <w:bottom w:val="single" w:color="auto" w:sz="4" w:space="0"/>
              <w:right w:val="single" w:color="auto" w:sz="4" w:space="0"/>
            </w:tcBorders>
            <w:shd w:val="clear" w:color="000000" w:fill="FFFFFF"/>
            <w:noWrap/>
            <w:vAlign w:val="center"/>
          </w:tcPr>
          <w:p w14:paraId="4F50F9A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9CB59F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914067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30EF3F4">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F8A784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B4DDFF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68</w:t>
            </w:r>
          </w:p>
        </w:tc>
        <w:tc>
          <w:tcPr>
            <w:tcW w:w="997" w:type="pct"/>
            <w:tcBorders>
              <w:top w:val="nil"/>
              <w:left w:val="nil"/>
              <w:bottom w:val="single" w:color="auto" w:sz="4" w:space="0"/>
              <w:right w:val="single" w:color="auto" w:sz="4" w:space="0"/>
            </w:tcBorders>
            <w:shd w:val="clear" w:color="000000" w:fill="FFFFFF"/>
            <w:noWrap/>
            <w:vAlign w:val="center"/>
          </w:tcPr>
          <w:p w14:paraId="33A8D2C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龙腾一品佳苑</w:t>
            </w:r>
          </w:p>
        </w:tc>
        <w:tc>
          <w:tcPr>
            <w:tcW w:w="752" w:type="pct"/>
            <w:tcBorders>
              <w:top w:val="nil"/>
              <w:left w:val="nil"/>
              <w:bottom w:val="single" w:color="auto" w:sz="4" w:space="0"/>
              <w:right w:val="single" w:color="auto" w:sz="4" w:space="0"/>
            </w:tcBorders>
            <w:shd w:val="clear" w:color="000000" w:fill="FFFFFF"/>
            <w:noWrap/>
            <w:vAlign w:val="center"/>
          </w:tcPr>
          <w:p w14:paraId="74083F6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C3D426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1F784D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536EC64">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49B641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C076E3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69</w:t>
            </w:r>
          </w:p>
        </w:tc>
        <w:tc>
          <w:tcPr>
            <w:tcW w:w="997" w:type="pct"/>
            <w:tcBorders>
              <w:top w:val="nil"/>
              <w:left w:val="nil"/>
              <w:bottom w:val="single" w:color="auto" w:sz="4" w:space="0"/>
              <w:right w:val="single" w:color="auto" w:sz="4" w:space="0"/>
            </w:tcBorders>
            <w:shd w:val="clear" w:color="000000" w:fill="FFFFFF"/>
            <w:noWrap/>
            <w:vAlign w:val="center"/>
          </w:tcPr>
          <w:p w14:paraId="3C3F88E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恒达世纪新城</w:t>
            </w:r>
          </w:p>
        </w:tc>
        <w:tc>
          <w:tcPr>
            <w:tcW w:w="752" w:type="pct"/>
            <w:tcBorders>
              <w:top w:val="nil"/>
              <w:left w:val="nil"/>
              <w:bottom w:val="single" w:color="auto" w:sz="4" w:space="0"/>
              <w:right w:val="single" w:color="auto" w:sz="4" w:space="0"/>
            </w:tcBorders>
            <w:shd w:val="clear" w:color="000000" w:fill="FFFFFF"/>
            <w:noWrap/>
            <w:vAlign w:val="center"/>
          </w:tcPr>
          <w:p w14:paraId="1BB3344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7E2E1AD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5E1F57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44CB74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17C82E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87B878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70</w:t>
            </w:r>
          </w:p>
        </w:tc>
        <w:tc>
          <w:tcPr>
            <w:tcW w:w="997" w:type="pct"/>
            <w:tcBorders>
              <w:top w:val="nil"/>
              <w:left w:val="nil"/>
              <w:bottom w:val="single" w:color="auto" w:sz="4" w:space="0"/>
              <w:right w:val="single" w:color="auto" w:sz="4" w:space="0"/>
            </w:tcBorders>
            <w:shd w:val="clear" w:color="000000" w:fill="FFFFFF"/>
            <w:noWrap/>
            <w:vAlign w:val="center"/>
          </w:tcPr>
          <w:p w14:paraId="16AED0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香颂园</w:t>
            </w:r>
          </w:p>
        </w:tc>
        <w:tc>
          <w:tcPr>
            <w:tcW w:w="752" w:type="pct"/>
            <w:tcBorders>
              <w:top w:val="nil"/>
              <w:left w:val="nil"/>
              <w:bottom w:val="single" w:color="auto" w:sz="4" w:space="0"/>
              <w:right w:val="single" w:color="auto" w:sz="4" w:space="0"/>
            </w:tcBorders>
            <w:shd w:val="clear" w:color="000000" w:fill="FFFFFF"/>
            <w:noWrap/>
            <w:vAlign w:val="center"/>
          </w:tcPr>
          <w:p w14:paraId="40C6CA4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DFF6A5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51E24E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4EBCA7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F9613D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19478B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71</w:t>
            </w:r>
          </w:p>
        </w:tc>
        <w:tc>
          <w:tcPr>
            <w:tcW w:w="997" w:type="pct"/>
            <w:tcBorders>
              <w:top w:val="nil"/>
              <w:left w:val="nil"/>
              <w:bottom w:val="single" w:color="auto" w:sz="4" w:space="0"/>
              <w:right w:val="single" w:color="auto" w:sz="4" w:space="0"/>
            </w:tcBorders>
            <w:shd w:val="clear" w:color="000000" w:fill="FFFFFF"/>
            <w:noWrap/>
            <w:vAlign w:val="center"/>
          </w:tcPr>
          <w:p w14:paraId="146DE27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益民小区</w:t>
            </w:r>
          </w:p>
        </w:tc>
        <w:tc>
          <w:tcPr>
            <w:tcW w:w="752" w:type="pct"/>
            <w:tcBorders>
              <w:top w:val="nil"/>
              <w:left w:val="nil"/>
              <w:bottom w:val="single" w:color="auto" w:sz="4" w:space="0"/>
              <w:right w:val="single" w:color="auto" w:sz="4" w:space="0"/>
            </w:tcBorders>
            <w:shd w:val="clear" w:color="000000" w:fill="FFFFFF"/>
            <w:noWrap/>
            <w:vAlign w:val="center"/>
          </w:tcPr>
          <w:p w14:paraId="5890E93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089D068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0BEB1E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401CF54">
        <w:tblPrEx>
          <w:tblCellMar>
            <w:top w:w="0" w:type="dxa"/>
            <w:left w:w="108" w:type="dxa"/>
            <w:bottom w:w="0" w:type="dxa"/>
            <w:right w:w="108" w:type="dxa"/>
          </w:tblCellMar>
        </w:tblPrEx>
        <w:trPr>
          <w:trHeight w:val="432" w:hRule="atLeast"/>
        </w:trPr>
        <w:tc>
          <w:tcPr>
            <w:tcW w:w="625" w:type="pct"/>
            <w:vMerge w:val="continue"/>
            <w:tcBorders>
              <w:top w:val="nil"/>
              <w:left w:val="single" w:color="auto" w:sz="4" w:space="0"/>
              <w:bottom w:val="single" w:color="auto" w:sz="4" w:space="0"/>
              <w:right w:val="single" w:color="auto" w:sz="4" w:space="0"/>
            </w:tcBorders>
            <w:vAlign w:val="center"/>
          </w:tcPr>
          <w:p w14:paraId="55DA157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8312D0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72</w:t>
            </w:r>
          </w:p>
        </w:tc>
        <w:tc>
          <w:tcPr>
            <w:tcW w:w="997" w:type="pct"/>
            <w:tcBorders>
              <w:top w:val="nil"/>
              <w:left w:val="nil"/>
              <w:bottom w:val="single" w:color="auto" w:sz="4" w:space="0"/>
              <w:right w:val="single" w:color="auto" w:sz="4" w:space="0"/>
            </w:tcBorders>
            <w:shd w:val="clear" w:color="000000" w:fill="FFFFFF"/>
            <w:noWrap/>
            <w:vAlign w:val="center"/>
          </w:tcPr>
          <w:p w14:paraId="38BD758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天居上尚城</w:t>
            </w:r>
          </w:p>
        </w:tc>
        <w:tc>
          <w:tcPr>
            <w:tcW w:w="752" w:type="pct"/>
            <w:tcBorders>
              <w:top w:val="nil"/>
              <w:left w:val="nil"/>
              <w:bottom w:val="single" w:color="auto" w:sz="4" w:space="0"/>
              <w:right w:val="single" w:color="auto" w:sz="4" w:space="0"/>
            </w:tcBorders>
            <w:shd w:val="clear" w:color="000000" w:fill="FFFFFF"/>
            <w:noWrap/>
            <w:vAlign w:val="center"/>
          </w:tcPr>
          <w:p w14:paraId="3A5FA09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7</w:t>
            </w:r>
          </w:p>
        </w:tc>
        <w:tc>
          <w:tcPr>
            <w:tcW w:w="1369" w:type="pct"/>
            <w:tcBorders>
              <w:top w:val="nil"/>
              <w:left w:val="nil"/>
              <w:bottom w:val="single" w:color="auto" w:sz="4" w:space="0"/>
              <w:right w:val="single" w:color="auto" w:sz="4" w:space="0"/>
            </w:tcBorders>
            <w:shd w:val="clear" w:color="000000" w:fill="FFFFFF"/>
            <w:noWrap/>
            <w:vAlign w:val="center"/>
          </w:tcPr>
          <w:p w14:paraId="58AE5E5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091E12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B4C1DC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F6AB99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D081CC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73</w:t>
            </w:r>
          </w:p>
        </w:tc>
        <w:tc>
          <w:tcPr>
            <w:tcW w:w="997" w:type="pct"/>
            <w:tcBorders>
              <w:top w:val="nil"/>
              <w:left w:val="nil"/>
              <w:bottom w:val="single" w:color="auto" w:sz="4" w:space="0"/>
              <w:right w:val="single" w:color="auto" w:sz="4" w:space="0"/>
            </w:tcBorders>
            <w:shd w:val="clear" w:color="000000" w:fill="FFFFFF"/>
            <w:noWrap/>
            <w:vAlign w:val="center"/>
          </w:tcPr>
          <w:p w14:paraId="33EEE92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朝阳景都</w:t>
            </w:r>
          </w:p>
        </w:tc>
        <w:tc>
          <w:tcPr>
            <w:tcW w:w="752" w:type="pct"/>
            <w:tcBorders>
              <w:top w:val="nil"/>
              <w:left w:val="nil"/>
              <w:bottom w:val="single" w:color="auto" w:sz="4" w:space="0"/>
              <w:right w:val="single" w:color="auto" w:sz="4" w:space="0"/>
            </w:tcBorders>
            <w:shd w:val="clear" w:color="000000" w:fill="FFFFFF"/>
            <w:noWrap/>
            <w:vAlign w:val="center"/>
          </w:tcPr>
          <w:p w14:paraId="7A4C693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7</w:t>
            </w:r>
          </w:p>
        </w:tc>
        <w:tc>
          <w:tcPr>
            <w:tcW w:w="1369" w:type="pct"/>
            <w:tcBorders>
              <w:top w:val="nil"/>
              <w:left w:val="nil"/>
              <w:bottom w:val="single" w:color="auto" w:sz="4" w:space="0"/>
              <w:right w:val="single" w:color="auto" w:sz="4" w:space="0"/>
            </w:tcBorders>
            <w:shd w:val="clear" w:color="000000" w:fill="FFFFFF"/>
            <w:noWrap/>
            <w:vAlign w:val="center"/>
          </w:tcPr>
          <w:p w14:paraId="7DEC1F0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E5A75D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DADA68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3E7958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F7B815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74</w:t>
            </w:r>
          </w:p>
        </w:tc>
        <w:tc>
          <w:tcPr>
            <w:tcW w:w="997" w:type="pct"/>
            <w:tcBorders>
              <w:top w:val="nil"/>
              <w:left w:val="nil"/>
              <w:bottom w:val="single" w:color="auto" w:sz="4" w:space="0"/>
              <w:right w:val="single" w:color="auto" w:sz="4" w:space="0"/>
            </w:tcBorders>
            <w:shd w:val="clear" w:color="000000" w:fill="FFFFFF"/>
            <w:noWrap/>
            <w:vAlign w:val="center"/>
          </w:tcPr>
          <w:p w14:paraId="39BD1D4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丰和丽都</w:t>
            </w:r>
          </w:p>
        </w:tc>
        <w:tc>
          <w:tcPr>
            <w:tcW w:w="752" w:type="pct"/>
            <w:tcBorders>
              <w:top w:val="nil"/>
              <w:left w:val="nil"/>
              <w:bottom w:val="single" w:color="auto" w:sz="4" w:space="0"/>
              <w:right w:val="single" w:color="auto" w:sz="4" w:space="0"/>
            </w:tcBorders>
            <w:shd w:val="clear" w:color="000000" w:fill="FFFFFF"/>
            <w:noWrap/>
            <w:vAlign w:val="center"/>
          </w:tcPr>
          <w:p w14:paraId="2D67F8F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66C75E8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68F060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D1058B7">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106449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A0457B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75</w:t>
            </w:r>
          </w:p>
        </w:tc>
        <w:tc>
          <w:tcPr>
            <w:tcW w:w="997" w:type="pct"/>
            <w:tcBorders>
              <w:top w:val="nil"/>
              <w:left w:val="nil"/>
              <w:bottom w:val="single" w:color="auto" w:sz="4" w:space="0"/>
              <w:right w:val="single" w:color="auto" w:sz="4" w:space="0"/>
            </w:tcBorders>
            <w:shd w:val="clear" w:color="000000" w:fill="FFFFFF"/>
            <w:noWrap/>
            <w:vAlign w:val="center"/>
          </w:tcPr>
          <w:p w14:paraId="76D0629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金宇景苑</w:t>
            </w:r>
          </w:p>
        </w:tc>
        <w:tc>
          <w:tcPr>
            <w:tcW w:w="752" w:type="pct"/>
            <w:tcBorders>
              <w:top w:val="nil"/>
              <w:left w:val="nil"/>
              <w:bottom w:val="single" w:color="auto" w:sz="4" w:space="0"/>
              <w:right w:val="single" w:color="auto" w:sz="4" w:space="0"/>
            </w:tcBorders>
            <w:shd w:val="clear" w:color="000000" w:fill="FFFFFF"/>
            <w:noWrap/>
            <w:vAlign w:val="center"/>
          </w:tcPr>
          <w:p w14:paraId="4152F59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14C9C11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705ECC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B6F0EA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116339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8B519A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76</w:t>
            </w:r>
          </w:p>
        </w:tc>
        <w:tc>
          <w:tcPr>
            <w:tcW w:w="997" w:type="pct"/>
            <w:tcBorders>
              <w:top w:val="nil"/>
              <w:left w:val="nil"/>
              <w:bottom w:val="single" w:color="auto" w:sz="4" w:space="0"/>
              <w:right w:val="single" w:color="auto" w:sz="4" w:space="0"/>
            </w:tcBorders>
            <w:shd w:val="clear" w:color="000000" w:fill="FFFFFF"/>
            <w:noWrap/>
            <w:vAlign w:val="center"/>
          </w:tcPr>
          <w:p w14:paraId="62DC78F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育红小区</w:t>
            </w:r>
          </w:p>
        </w:tc>
        <w:tc>
          <w:tcPr>
            <w:tcW w:w="752" w:type="pct"/>
            <w:tcBorders>
              <w:top w:val="nil"/>
              <w:left w:val="nil"/>
              <w:bottom w:val="single" w:color="auto" w:sz="4" w:space="0"/>
              <w:right w:val="single" w:color="auto" w:sz="4" w:space="0"/>
            </w:tcBorders>
            <w:shd w:val="clear" w:color="000000" w:fill="FFFFFF"/>
            <w:noWrap/>
            <w:vAlign w:val="center"/>
          </w:tcPr>
          <w:p w14:paraId="31BA309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46F5C75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00006F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F509E8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51CA65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8605D5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77</w:t>
            </w:r>
          </w:p>
        </w:tc>
        <w:tc>
          <w:tcPr>
            <w:tcW w:w="997" w:type="pct"/>
            <w:tcBorders>
              <w:top w:val="nil"/>
              <w:left w:val="nil"/>
              <w:bottom w:val="single" w:color="auto" w:sz="4" w:space="0"/>
              <w:right w:val="single" w:color="auto" w:sz="4" w:space="0"/>
            </w:tcBorders>
            <w:shd w:val="clear" w:color="000000" w:fill="FFFFFF"/>
            <w:noWrap/>
            <w:vAlign w:val="center"/>
          </w:tcPr>
          <w:p w14:paraId="4EC54CE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城南家园</w:t>
            </w:r>
          </w:p>
        </w:tc>
        <w:tc>
          <w:tcPr>
            <w:tcW w:w="752" w:type="pct"/>
            <w:tcBorders>
              <w:top w:val="nil"/>
              <w:left w:val="nil"/>
              <w:bottom w:val="single" w:color="auto" w:sz="4" w:space="0"/>
              <w:right w:val="single" w:color="auto" w:sz="4" w:space="0"/>
            </w:tcBorders>
            <w:shd w:val="clear" w:color="000000" w:fill="FFFFFF"/>
            <w:noWrap/>
            <w:vAlign w:val="center"/>
          </w:tcPr>
          <w:p w14:paraId="62C1FB4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607CC5F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AD1091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FC9637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CB03CB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0A7EBE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78</w:t>
            </w:r>
          </w:p>
        </w:tc>
        <w:tc>
          <w:tcPr>
            <w:tcW w:w="997" w:type="pct"/>
            <w:tcBorders>
              <w:top w:val="nil"/>
              <w:left w:val="nil"/>
              <w:bottom w:val="single" w:color="auto" w:sz="4" w:space="0"/>
              <w:right w:val="single" w:color="auto" w:sz="4" w:space="0"/>
            </w:tcBorders>
            <w:shd w:val="clear" w:color="000000" w:fill="FFFFFF"/>
            <w:noWrap/>
            <w:vAlign w:val="center"/>
          </w:tcPr>
          <w:p w14:paraId="3A06A33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润富花园</w:t>
            </w:r>
          </w:p>
        </w:tc>
        <w:tc>
          <w:tcPr>
            <w:tcW w:w="752" w:type="pct"/>
            <w:tcBorders>
              <w:top w:val="nil"/>
              <w:left w:val="nil"/>
              <w:bottom w:val="single" w:color="auto" w:sz="4" w:space="0"/>
              <w:right w:val="single" w:color="auto" w:sz="4" w:space="0"/>
            </w:tcBorders>
            <w:shd w:val="clear" w:color="000000" w:fill="FFFFFF"/>
            <w:noWrap/>
            <w:vAlign w:val="center"/>
          </w:tcPr>
          <w:p w14:paraId="142383A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6C10B9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DA93AE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9E1FDF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72F572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EEAF99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79</w:t>
            </w:r>
          </w:p>
        </w:tc>
        <w:tc>
          <w:tcPr>
            <w:tcW w:w="997" w:type="pct"/>
            <w:tcBorders>
              <w:top w:val="nil"/>
              <w:left w:val="nil"/>
              <w:bottom w:val="single" w:color="auto" w:sz="4" w:space="0"/>
              <w:right w:val="single" w:color="auto" w:sz="4" w:space="0"/>
            </w:tcBorders>
            <w:shd w:val="clear" w:color="000000" w:fill="FFFFFF"/>
            <w:noWrap/>
            <w:vAlign w:val="center"/>
          </w:tcPr>
          <w:p w14:paraId="032502C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中凯银杏湖</w:t>
            </w:r>
          </w:p>
        </w:tc>
        <w:tc>
          <w:tcPr>
            <w:tcW w:w="752" w:type="pct"/>
            <w:tcBorders>
              <w:top w:val="nil"/>
              <w:left w:val="nil"/>
              <w:bottom w:val="single" w:color="auto" w:sz="4" w:space="0"/>
              <w:right w:val="single" w:color="auto" w:sz="4" w:space="0"/>
            </w:tcBorders>
            <w:shd w:val="clear" w:color="000000" w:fill="FFFFFF"/>
            <w:noWrap/>
            <w:vAlign w:val="center"/>
          </w:tcPr>
          <w:p w14:paraId="15644BC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7FF786F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006F52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BF4E42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68DE82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D2F934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80</w:t>
            </w:r>
          </w:p>
        </w:tc>
        <w:tc>
          <w:tcPr>
            <w:tcW w:w="997" w:type="pct"/>
            <w:tcBorders>
              <w:top w:val="nil"/>
              <w:left w:val="nil"/>
              <w:bottom w:val="single" w:color="auto" w:sz="4" w:space="0"/>
              <w:right w:val="single" w:color="auto" w:sz="4" w:space="0"/>
            </w:tcBorders>
            <w:shd w:val="clear" w:color="000000" w:fill="FFFFFF"/>
            <w:noWrap/>
            <w:vAlign w:val="center"/>
          </w:tcPr>
          <w:p w14:paraId="3E06EEF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大阪城</w:t>
            </w:r>
          </w:p>
        </w:tc>
        <w:tc>
          <w:tcPr>
            <w:tcW w:w="752" w:type="pct"/>
            <w:tcBorders>
              <w:top w:val="nil"/>
              <w:left w:val="nil"/>
              <w:bottom w:val="single" w:color="auto" w:sz="4" w:space="0"/>
              <w:right w:val="single" w:color="auto" w:sz="4" w:space="0"/>
            </w:tcBorders>
            <w:shd w:val="clear" w:color="000000" w:fill="FFFFFF"/>
            <w:noWrap/>
            <w:vAlign w:val="center"/>
          </w:tcPr>
          <w:p w14:paraId="6AEC08A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0B055A2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0079F6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38ED62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7AF7DC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884C6C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81</w:t>
            </w:r>
          </w:p>
        </w:tc>
        <w:tc>
          <w:tcPr>
            <w:tcW w:w="997" w:type="pct"/>
            <w:tcBorders>
              <w:top w:val="nil"/>
              <w:left w:val="nil"/>
              <w:bottom w:val="single" w:color="auto" w:sz="4" w:space="0"/>
              <w:right w:val="single" w:color="auto" w:sz="4" w:space="0"/>
            </w:tcBorders>
            <w:shd w:val="clear" w:color="000000" w:fill="FFFFFF"/>
            <w:noWrap/>
            <w:vAlign w:val="center"/>
          </w:tcPr>
          <w:p w14:paraId="21538E1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国泰花园</w:t>
            </w:r>
          </w:p>
        </w:tc>
        <w:tc>
          <w:tcPr>
            <w:tcW w:w="752" w:type="pct"/>
            <w:tcBorders>
              <w:top w:val="nil"/>
              <w:left w:val="nil"/>
              <w:bottom w:val="single" w:color="auto" w:sz="4" w:space="0"/>
              <w:right w:val="single" w:color="auto" w:sz="4" w:space="0"/>
            </w:tcBorders>
            <w:shd w:val="clear" w:color="000000" w:fill="FFFFFF"/>
            <w:noWrap/>
            <w:vAlign w:val="center"/>
          </w:tcPr>
          <w:p w14:paraId="7B86DE8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02B7E7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E13023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9ADCB6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92CAC2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FB045F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82</w:t>
            </w:r>
          </w:p>
        </w:tc>
        <w:tc>
          <w:tcPr>
            <w:tcW w:w="997" w:type="pct"/>
            <w:tcBorders>
              <w:top w:val="nil"/>
              <w:left w:val="nil"/>
              <w:bottom w:val="single" w:color="auto" w:sz="4" w:space="0"/>
              <w:right w:val="single" w:color="auto" w:sz="4" w:space="0"/>
            </w:tcBorders>
            <w:shd w:val="clear" w:color="000000" w:fill="FFFFFF"/>
            <w:noWrap/>
            <w:vAlign w:val="center"/>
          </w:tcPr>
          <w:p w14:paraId="235C424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中央名府</w:t>
            </w:r>
          </w:p>
        </w:tc>
        <w:tc>
          <w:tcPr>
            <w:tcW w:w="752" w:type="pct"/>
            <w:tcBorders>
              <w:top w:val="nil"/>
              <w:left w:val="nil"/>
              <w:bottom w:val="single" w:color="auto" w:sz="4" w:space="0"/>
              <w:right w:val="single" w:color="auto" w:sz="4" w:space="0"/>
            </w:tcBorders>
            <w:shd w:val="clear" w:color="000000" w:fill="FFFFFF"/>
            <w:noWrap/>
            <w:vAlign w:val="center"/>
          </w:tcPr>
          <w:p w14:paraId="1E4A391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54C08E6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0B57E7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E6D8B8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678801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F291FC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83</w:t>
            </w:r>
          </w:p>
        </w:tc>
        <w:tc>
          <w:tcPr>
            <w:tcW w:w="997" w:type="pct"/>
            <w:tcBorders>
              <w:top w:val="nil"/>
              <w:left w:val="nil"/>
              <w:bottom w:val="single" w:color="auto" w:sz="4" w:space="0"/>
              <w:right w:val="single" w:color="auto" w:sz="4" w:space="0"/>
            </w:tcBorders>
            <w:shd w:val="clear" w:color="000000" w:fill="FFFFFF"/>
            <w:noWrap/>
            <w:vAlign w:val="center"/>
          </w:tcPr>
          <w:p w14:paraId="10DF238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锦绣南城</w:t>
            </w:r>
          </w:p>
        </w:tc>
        <w:tc>
          <w:tcPr>
            <w:tcW w:w="752" w:type="pct"/>
            <w:tcBorders>
              <w:top w:val="nil"/>
              <w:left w:val="nil"/>
              <w:bottom w:val="single" w:color="auto" w:sz="4" w:space="0"/>
              <w:right w:val="single" w:color="auto" w:sz="4" w:space="0"/>
            </w:tcBorders>
            <w:shd w:val="clear" w:color="000000" w:fill="FFFFFF"/>
            <w:noWrap/>
            <w:vAlign w:val="center"/>
          </w:tcPr>
          <w:p w14:paraId="77E5364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08178B7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117D93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9E718A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BD85E5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9A9A12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84</w:t>
            </w:r>
          </w:p>
        </w:tc>
        <w:tc>
          <w:tcPr>
            <w:tcW w:w="997" w:type="pct"/>
            <w:tcBorders>
              <w:top w:val="nil"/>
              <w:left w:val="nil"/>
              <w:bottom w:val="single" w:color="auto" w:sz="4" w:space="0"/>
              <w:right w:val="single" w:color="auto" w:sz="4" w:space="0"/>
            </w:tcBorders>
            <w:shd w:val="clear" w:color="000000" w:fill="FFFFFF"/>
            <w:noWrap/>
            <w:vAlign w:val="center"/>
          </w:tcPr>
          <w:p w14:paraId="74D0083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丰和名都</w:t>
            </w:r>
          </w:p>
        </w:tc>
        <w:tc>
          <w:tcPr>
            <w:tcW w:w="752" w:type="pct"/>
            <w:tcBorders>
              <w:top w:val="nil"/>
              <w:left w:val="nil"/>
              <w:bottom w:val="single" w:color="auto" w:sz="4" w:space="0"/>
              <w:right w:val="single" w:color="auto" w:sz="4" w:space="0"/>
            </w:tcBorders>
            <w:shd w:val="clear" w:color="000000" w:fill="FFFFFF"/>
            <w:noWrap/>
            <w:vAlign w:val="center"/>
          </w:tcPr>
          <w:p w14:paraId="3877B56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0D4AE36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3698F3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91AE54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7AF2AF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87634F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85</w:t>
            </w:r>
          </w:p>
        </w:tc>
        <w:tc>
          <w:tcPr>
            <w:tcW w:w="997" w:type="pct"/>
            <w:tcBorders>
              <w:top w:val="nil"/>
              <w:left w:val="nil"/>
              <w:bottom w:val="single" w:color="auto" w:sz="4" w:space="0"/>
              <w:right w:val="single" w:color="auto" w:sz="4" w:space="0"/>
            </w:tcBorders>
            <w:shd w:val="clear" w:color="000000" w:fill="FFFFFF"/>
            <w:noWrap/>
            <w:vAlign w:val="center"/>
          </w:tcPr>
          <w:p w14:paraId="565A669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金丰华庭</w:t>
            </w:r>
          </w:p>
        </w:tc>
        <w:tc>
          <w:tcPr>
            <w:tcW w:w="752" w:type="pct"/>
            <w:tcBorders>
              <w:top w:val="nil"/>
              <w:left w:val="nil"/>
              <w:bottom w:val="single" w:color="auto" w:sz="4" w:space="0"/>
              <w:right w:val="single" w:color="auto" w:sz="4" w:space="0"/>
            </w:tcBorders>
            <w:shd w:val="clear" w:color="000000" w:fill="FFFFFF"/>
            <w:noWrap/>
            <w:vAlign w:val="center"/>
          </w:tcPr>
          <w:p w14:paraId="1F4A990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77F1C1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02A988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6C55DF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4447E8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386A39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86</w:t>
            </w:r>
          </w:p>
        </w:tc>
        <w:tc>
          <w:tcPr>
            <w:tcW w:w="997" w:type="pct"/>
            <w:tcBorders>
              <w:top w:val="nil"/>
              <w:left w:val="nil"/>
              <w:bottom w:val="single" w:color="auto" w:sz="4" w:space="0"/>
              <w:right w:val="single" w:color="auto" w:sz="4" w:space="0"/>
            </w:tcBorders>
            <w:shd w:val="clear" w:color="000000" w:fill="FFFFFF"/>
            <w:noWrap/>
            <w:vAlign w:val="center"/>
          </w:tcPr>
          <w:p w14:paraId="5C912E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大中教师公寓</w:t>
            </w:r>
          </w:p>
        </w:tc>
        <w:tc>
          <w:tcPr>
            <w:tcW w:w="752" w:type="pct"/>
            <w:tcBorders>
              <w:top w:val="nil"/>
              <w:left w:val="nil"/>
              <w:bottom w:val="single" w:color="auto" w:sz="4" w:space="0"/>
              <w:right w:val="single" w:color="auto" w:sz="4" w:space="0"/>
            </w:tcBorders>
            <w:shd w:val="clear" w:color="000000" w:fill="FFFFFF"/>
            <w:noWrap/>
            <w:vAlign w:val="center"/>
          </w:tcPr>
          <w:p w14:paraId="2B8A8BD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364B503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6FDBCC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68D7AC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3DAE62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366C4F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87</w:t>
            </w:r>
          </w:p>
        </w:tc>
        <w:tc>
          <w:tcPr>
            <w:tcW w:w="997" w:type="pct"/>
            <w:tcBorders>
              <w:top w:val="nil"/>
              <w:left w:val="nil"/>
              <w:bottom w:val="single" w:color="auto" w:sz="4" w:space="0"/>
              <w:right w:val="single" w:color="auto" w:sz="4" w:space="0"/>
            </w:tcBorders>
            <w:shd w:val="clear" w:color="000000" w:fill="FFFFFF"/>
            <w:noWrap/>
            <w:vAlign w:val="center"/>
          </w:tcPr>
          <w:p w14:paraId="7F2F4A5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种子公司宿舍</w:t>
            </w:r>
          </w:p>
        </w:tc>
        <w:tc>
          <w:tcPr>
            <w:tcW w:w="752" w:type="pct"/>
            <w:tcBorders>
              <w:top w:val="nil"/>
              <w:left w:val="nil"/>
              <w:bottom w:val="single" w:color="auto" w:sz="4" w:space="0"/>
              <w:right w:val="single" w:color="auto" w:sz="4" w:space="0"/>
            </w:tcBorders>
            <w:shd w:val="clear" w:color="000000" w:fill="FFFFFF"/>
            <w:noWrap/>
            <w:vAlign w:val="center"/>
          </w:tcPr>
          <w:p w14:paraId="6D3D5E9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02CC40D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885753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03F256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DE269B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412DFA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88</w:t>
            </w:r>
          </w:p>
        </w:tc>
        <w:tc>
          <w:tcPr>
            <w:tcW w:w="997" w:type="pct"/>
            <w:tcBorders>
              <w:top w:val="nil"/>
              <w:left w:val="nil"/>
              <w:bottom w:val="single" w:color="auto" w:sz="4" w:space="0"/>
              <w:right w:val="single" w:color="auto" w:sz="4" w:space="0"/>
            </w:tcBorders>
            <w:shd w:val="clear" w:color="000000" w:fill="FFFFFF"/>
            <w:noWrap/>
            <w:vAlign w:val="center"/>
          </w:tcPr>
          <w:p w14:paraId="7B46BE3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城南派出所</w:t>
            </w:r>
          </w:p>
        </w:tc>
        <w:tc>
          <w:tcPr>
            <w:tcW w:w="752" w:type="pct"/>
            <w:tcBorders>
              <w:top w:val="nil"/>
              <w:left w:val="nil"/>
              <w:bottom w:val="single" w:color="auto" w:sz="4" w:space="0"/>
              <w:right w:val="single" w:color="auto" w:sz="4" w:space="0"/>
            </w:tcBorders>
            <w:shd w:val="clear" w:color="000000" w:fill="FFFFFF"/>
            <w:noWrap/>
            <w:vAlign w:val="center"/>
          </w:tcPr>
          <w:p w14:paraId="1941B8A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552C1BB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1DEE12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23ACA5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1A3C5E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1E749D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89</w:t>
            </w:r>
          </w:p>
        </w:tc>
        <w:tc>
          <w:tcPr>
            <w:tcW w:w="997" w:type="pct"/>
            <w:tcBorders>
              <w:top w:val="nil"/>
              <w:left w:val="nil"/>
              <w:bottom w:val="single" w:color="auto" w:sz="4" w:space="0"/>
              <w:right w:val="single" w:color="auto" w:sz="4" w:space="0"/>
            </w:tcBorders>
            <w:shd w:val="clear" w:color="000000" w:fill="FFFFFF"/>
            <w:noWrap/>
            <w:vAlign w:val="center"/>
          </w:tcPr>
          <w:p w14:paraId="6432E0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交通小区</w:t>
            </w:r>
          </w:p>
        </w:tc>
        <w:tc>
          <w:tcPr>
            <w:tcW w:w="752" w:type="pct"/>
            <w:tcBorders>
              <w:top w:val="nil"/>
              <w:left w:val="nil"/>
              <w:bottom w:val="single" w:color="auto" w:sz="4" w:space="0"/>
              <w:right w:val="single" w:color="auto" w:sz="4" w:space="0"/>
            </w:tcBorders>
            <w:shd w:val="clear" w:color="000000" w:fill="FFFFFF"/>
            <w:noWrap/>
            <w:vAlign w:val="center"/>
          </w:tcPr>
          <w:p w14:paraId="0009934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338D7FB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7B95D8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BFBD1A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14CA11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1440CA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90</w:t>
            </w:r>
          </w:p>
        </w:tc>
        <w:tc>
          <w:tcPr>
            <w:tcW w:w="997" w:type="pct"/>
            <w:tcBorders>
              <w:top w:val="nil"/>
              <w:left w:val="nil"/>
              <w:bottom w:val="single" w:color="auto" w:sz="4" w:space="0"/>
              <w:right w:val="single" w:color="auto" w:sz="4" w:space="0"/>
            </w:tcBorders>
            <w:shd w:val="clear" w:color="000000" w:fill="FFFFFF"/>
            <w:noWrap/>
            <w:vAlign w:val="center"/>
          </w:tcPr>
          <w:p w14:paraId="7614A0B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丰城小区</w:t>
            </w:r>
          </w:p>
        </w:tc>
        <w:tc>
          <w:tcPr>
            <w:tcW w:w="752" w:type="pct"/>
            <w:tcBorders>
              <w:top w:val="nil"/>
              <w:left w:val="nil"/>
              <w:bottom w:val="single" w:color="auto" w:sz="4" w:space="0"/>
              <w:right w:val="single" w:color="auto" w:sz="4" w:space="0"/>
            </w:tcBorders>
            <w:shd w:val="clear" w:color="000000" w:fill="FFFFFF"/>
            <w:noWrap/>
            <w:vAlign w:val="center"/>
          </w:tcPr>
          <w:p w14:paraId="6C1533F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0585012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BB4589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9AEBDF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FE075F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69C0A5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91</w:t>
            </w:r>
          </w:p>
        </w:tc>
        <w:tc>
          <w:tcPr>
            <w:tcW w:w="997" w:type="pct"/>
            <w:tcBorders>
              <w:top w:val="nil"/>
              <w:left w:val="nil"/>
              <w:bottom w:val="single" w:color="auto" w:sz="4" w:space="0"/>
              <w:right w:val="single" w:color="auto" w:sz="4" w:space="0"/>
            </w:tcBorders>
            <w:shd w:val="clear" w:color="000000" w:fill="FFFFFF"/>
            <w:noWrap/>
            <w:vAlign w:val="center"/>
          </w:tcPr>
          <w:p w14:paraId="1F88BFB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中交美庐城</w:t>
            </w:r>
          </w:p>
        </w:tc>
        <w:tc>
          <w:tcPr>
            <w:tcW w:w="752" w:type="pct"/>
            <w:tcBorders>
              <w:top w:val="nil"/>
              <w:left w:val="nil"/>
              <w:bottom w:val="single" w:color="auto" w:sz="4" w:space="0"/>
              <w:right w:val="single" w:color="auto" w:sz="4" w:space="0"/>
            </w:tcBorders>
            <w:shd w:val="clear" w:color="000000" w:fill="FFFFFF"/>
            <w:noWrap/>
            <w:vAlign w:val="center"/>
          </w:tcPr>
          <w:p w14:paraId="00CAACE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32CD045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A4F232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167BD7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329B57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9F1AEF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92</w:t>
            </w:r>
          </w:p>
        </w:tc>
        <w:tc>
          <w:tcPr>
            <w:tcW w:w="997" w:type="pct"/>
            <w:tcBorders>
              <w:top w:val="nil"/>
              <w:left w:val="nil"/>
              <w:bottom w:val="single" w:color="auto" w:sz="4" w:space="0"/>
              <w:right w:val="single" w:color="auto" w:sz="4" w:space="0"/>
            </w:tcBorders>
            <w:shd w:val="clear" w:color="000000" w:fill="FFFFFF"/>
            <w:noWrap/>
            <w:vAlign w:val="center"/>
          </w:tcPr>
          <w:p w14:paraId="7CB52D1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恒生南苑、北苑</w:t>
            </w:r>
          </w:p>
        </w:tc>
        <w:tc>
          <w:tcPr>
            <w:tcW w:w="752" w:type="pct"/>
            <w:tcBorders>
              <w:top w:val="nil"/>
              <w:left w:val="nil"/>
              <w:bottom w:val="single" w:color="auto" w:sz="4" w:space="0"/>
              <w:right w:val="single" w:color="auto" w:sz="4" w:space="0"/>
            </w:tcBorders>
            <w:shd w:val="clear" w:color="000000" w:fill="FFFFFF"/>
            <w:noWrap/>
            <w:vAlign w:val="center"/>
          </w:tcPr>
          <w:p w14:paraId="6D361E4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06B1CD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09FF9D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039905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1D2EE1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3E68C7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93</w:t>
            </w:r>
          </w:p>
        </w:tc>
        <w:tc>
          <w:tcPr>
            <w:tcW w:w="997" w:type="pct"/>
            <w:tcBorders>
              <w:top w:val="nil"/>
              <w:left w:val="nil"/>
              <w:bottom w:val="single" w:color="auto" w:sz="4" w:space="0"/>
              <w:right w:val="single" w:color="auto" w:sz="4" w:space="0"/>
            </w:tcBorders>
            <w:shd w:val="clear" w:color="000000" w:fill="FFFFFF"/>
            <w:noWrap/>
            <w:vAlign w:val="center"/>
          </w:tcPr>
          <w:p w14:paraId="2913747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品尚雅居</w:t>
            </w:r>
          </w:p>
        </w:tc>
        <w:tc>
          <w:tcPr>
            <w:tcW w:w="752" w:type="pct"/>
            <w:tcBorders>
              <w:top w:val="nil"/>
              <w:left w:val="nil"/>
              <w:bottom w:val="single" w:color="auto" w:sz="4" w:space="0"/>
              <w:right w:val="single" w:color="auto" w:sz="4" w:space="0"/>
            </w:tcBorders>
            <w:shd w:val="clear" w:color="000000" w:fill="FFFFFF"/>
            <w:noWrap/>
            <w:vAlign w:val="center"/>
          </w:tcPr>
          <w:p w14:paraId="3A01C4C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5216AD5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30A040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9378594">
        <w:tblPrEx>
          <w:tblCellMar>
            <w:top w:w="0" w:type="dxa"/>
            <w:left w:w="108" w:type="dxa"/>
            <w:bottom w:w="0" w:type="dxa"/>
            <w:right w:w="108" w:type="dxa"/>
          </w:tblCellMar>
        </w:tblPrEx>
        <w:trPr>
          <w:trHeight w:val="415" w:hRule="atLeast"/>
        </w:trPr>
        <w:tc>
          <w:tcPr>
            <w:tcW w:w="625" w:type="pct"/>
            <w:vMerge w:val="continue"/>
            <w:tcBorders>
              <w:top w:val="nil"/>
              <w:left w:val="single" w:color="auto" w:sz="4" w:space="0"/>
              <w:bottom w:val="single" w:color="auto" w:sz="4" w:space="0"/>
              <w:right w:val="single" w:color="auto" w:sz="4" w:space="0"/>
            </w:tcBorders>
            <w:vAlign w:val="center"/>
          </w:tcPr>
          <w:p w14:paraId="331E032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E17284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94</w:t>
            </w:r>
          </w:p>
        </w:tc>
        <w:tc>
          <w:tcPr>
            <w:tcW w:w="997" w:type="pct"/>
            <w:tcBorders>
              <w:top w:val="nil"/>
              <w:left w:val="nil"/>
              <w:bottom w:val="single" w:color="auto" w:sz="4" w:space="0"/>
              <w:right w:val="single" w:color="auto" w:sz="4" w:space="0"/>
            </w:tcBorders>
            <w:shd w:val="clear" w:color="000000" w:fill="FFFFFF"/>
            <w:noWrap/>
            <w:vAlign w:val="center"/>
          </w:tcPr>
          <w:p w14:paraId="61CF3FE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鸿基豪庭</w:t>
            </w:r>
          </w:p>
        </w:tc>
        <w:tc>
          <w:tcPr>
            <w:tcW w:w="752" w:type="pct"/>
            <w:tcBorders>
              <w:top w:val="nil"/>
              <w:left w:val="nil"/>
              <w:bottom w:val="single" w:color="auto" w:sz="4" w:space="0"/>
              <w:right w:val="single" w:color="auto" w:sz="4" w:space="0"/>
            </w:tcBorders>
            <w:shd w:val="clear" w:color="000000" w:fill="FFFFFF"/>
            <w:noWrap/>
            <w:vAlign w:val="center"/>
          </w:tcPr>
          <w:p w14:paraId="1F71F4F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7F508B3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FAA5A8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79C6CC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48DACE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BE9485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95</w:t>
            </w:r>
          </w:p>
        </w:tc>
        <w:tc>
          <w:tcPr>
            <w:tcW w:w="997" w:type="pct"/>
            <w:tcBorders>
              <w:top w:val="nil"/>
              <w:left w:val="nil"/>
              <w:bottom w:val="single" w:color="auto" w:sz="4" w:space="0"/>
              <w:right w:val="single" w:color="auto" w:sz="4" w:space="0"/>
            </w:tcBorders>
            <w:shd w:val="clear" w:color="000000" w:fill="FFFFFF"/>
            <w:noWrap/>
            <w:vAlign w:val="center"/>
          </w:tcPr>
          <w:p w14:paraId="08EEEC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维罗纳</w:t>
            </w:r>
          </w:p>
        </w:tc>
        <w:tc>
          <w:tcPr>
            <w:tcW w:w="752" w:type="pct"/>
            <w:tcBorders>
              <w:top w:val="nil"/>
              <w:left w:val="nil"/>
              <w:bottom w:val="single" w:color="auto" w:sz="4" w:space="0"/>
              <w:right w:val="single" w:color="auto" w:sz="4" w:space="0"/>
            </w:tcBorders>
            <w:shd w:val="clear" w:color="000000" w:fill="FFFFFF"/>
            <w:noWrap/>
            <w:vAlign w:val="center"/>
          </w:tcPr>
          <w:p w14:paraId="3661C3D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4850300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696FCA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D4D581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61F12F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F30CB7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96</w:t>
            </w:r>
          </w:p>
        </w:tc>
        <w:tc>
          <w:tcPr>
            <w:tcW w:w="997" w:type="pct"/>
            <w:tcBorders>
              <w:top w:val="nil"/>
              <w:left w:val="nil"/>
              <w:bottom w:val="single" w:color="auto" w:sz="4" w:space="0"/>
              <w:right w:val="single" w:color="auto" w:sz="4" w:space="0"/>
            </w:tcBorders>
            <w:shd w:val="clear" w:color="000000" w:fill="FFFFFF"/>
            <w:noWrap/>
            <w:vAlign w:val="center"/>
          </w:tcPr>
          <w:p w14:paraId="41DD6A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安置小区</w:t>
            </w:r>
          </w:p>
        </w:tc>
        <w:tc>
          <w:tcPr>
            <w:tcW w:w="752" w:type="pct"/>
            <w:tcBorders>
              <w:top w:val="nil"/>
              <w:left w:val="nil"/>
              <w:bottom w:val="single" w:color="auto" w:sz="4" w:space="0"/>
              <w:right w:val="single" w:color="auto" w:sz="4" w:space="0"/>
            </w:tcBorders>
            <w:shd w:val="clear" w:color="000000" w:fill="FFFFFF"/>
            <w:noWrap/>
            <w:vAlign w:val="center"/>
          </w:tcPr>
          <w:p w14:paraId="6D55529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23220D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7A1DC4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1DC2FF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8095DD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66B85C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97</w:t>
            </w:r>
          </w:p>
        </w:tc>
        <w:tc>
          <w:tcPr>
            <w:tcW w:w="997" w:type="pct"/>
            <w:tcBorders>
              <w:top w:val="nil"/>
              <w:left w:val="nil"/>
              <w:bottom w:val="single" w:color="auto" w:sz="4" w:space="0"/>
              <w:right w:val="single" w:color="auto" w:sz="4" w:space="0"/>
            </w:tcBorders>
            <w:shd w:val="clear" w:color="000000" w:fill="FFFFFF"/>
            <w:noWrap/>
            <w:vAlign w:val="center"/>
          </w:tcPr>
          <w:p w14:paraId="77D504B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金润嘉园</w:t>
            </w:r>
          </w:p>
        </w:tc>
        <w:tc>
          <w:tcPr>
            <w:tcW w:w="752" w:type="pct"/>
            <w:tcBorders>
              <w:top w:val="nil"/>
              <w:left w:val="nil"/>
              <w:bottom w:val="single" w:color="auto" w:sz="4" w:space="0"/>
              <w:right w:val="single" w:color="auto" w:sz="4" w:space="0"/>
            </w:tcBorders>
            <w:shd w:val="clear" w:color="000000" w:fill="FFFFFF"/>
            <w:noWrap/>
            <w:vAlign w:val="center"/>
          </w:tcPr>
          <w:p w14:paraId="6F08010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7FFAFE8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56119A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E2F65B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1D24AC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39A1E7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98</w:t>
            </w:r>
          </w:p>
        </w:tc>
        <w:tc>
          <w:tcPr>
            <w:tcW w:w="997" w:type="pct"/>
            <w:tcBorders>
              <w:top w:val="nil"/>
              <w:left w:val="nil"/>
              <w:bottom w:val="single" w:color="auto" w:sz="4" w:space="0"/>
              <w:right w:val="single" w:color="auto" w:sz="4" w:space="0"/>
            </w:tcBorders>
            <w:shd w:val="clear" w:color="000000" w:fill="FFFFFF"/>
            <w:noWrap/>
            <w:vAlign w:val="center"/>
          </w:tcPr>
          <w:p w14:paraId="3B07560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香堤雅郡</w:t>
            </w:r>
          </w:p>
        </w:tc>
        <w:tc>
          <w:tcPr>
            <w:tcW w:w="752" w:type="pct"/>
            <w:tcBorders>
              <w:top w:val="nil"/>
              <w:left w:val="nil"/>
              <w:bottom w:val="single" w:color="auto" w:sz="4" w:space="0"/>
              <w:right w:val="single" w:color="auto" w:sz="4" w:space="0"/>
            </w:tcBorders>
            <w:shd w:val="clear" w:color="000000" w:fill="FFFFFF"/>
            <w:noWrap/>
            <w:vAlign w:val="center"/>
          </w:tcPr>
          <w:p w14:paraId="6556F85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6A35AC2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4596FC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7985762">
        <w:tblPrEx>
          <w:tblCellMar>
            <w:top w:w="0" w:type="dxa"/>
            <w:left w:w="108" w:type="dxa"/>
            <w:bottom w:w="0" w:type="dxa"/>
            <w:right w:w="108" w:type="dxa"/>
          </w:tblCellMar>
        </w:tblPrEx>
        <w:trPr>
          <w:trHeight w:val="315" w:hRule="atLeast"/>
        </w:trPr>
        <w:tc>
          <w:tcPr>
            <w:tcW w:w="625" w:type="pct"/>
            <w:vMerge w:val="restart"/>
            <w:tcBorders>
              <w:top w:val="nil"/>
              <w:left w:val="single" w:color="auto" w:sz="4" w:space="0"/>
              <w:bottom w:val="single" w:color="auto" w:sz="4" w:space="0"/>
              <w:right w:val="single" w:color="auto" w:sz="4" w:space="0"/>
            </w:tcBorders>
            <w:shd w:val="clear" w:color="000000" w:fill="FFFFFF"/>
            <w:noWrap/>
            <w:vAlign w:val="center"/>
          </w:tcPr>
          <w:p w14:paraId="28548D5E">
            <w:pPr>
              <w:keepNext w:val="0"/>
              <w:keepLines w:val="0"/>
              <w:widowControl/>
              <w:suppressLineNumbers w:val="0"/>
              <w:spacing w:before="0" w:beforeAutospacing="0" w:after="0" w:afterAutospacing="0" w:line="276" w:lineRule="auto"/>
              <w:ind w:left="0" w:right="0"/>
              <w:rPr>
                <w:rFonts w:hint="eastAsia" w:ascii="宋体" w:hAnsi="宋体" w:eastAsia="宋体" w:cs="宋体"/>
                <w:szCs w:val="21"/>
              </w:rPr>
            </w:pPr>
            <w:r>
              <w:rPr>
                <w:rFonts w:hint="eastAsia" w:ascii="宋体" w:hAnsi="宋体" w:eastAsia="宋体" w:cs="宋体"/>
                <w:szCs w:val="21"/>
              </w:rPr>
              <w:t>开发区</w:t>
            </w:r>
          </w:p>
        </w:tc>
        <w:tc>
          <w:tcPr>
            <w:tcW w:w="628" w:type="pct"/>
            <w:tcBorders>
              <w:top w:val="nil"/>
              <w:left w:val="nil"/>
              <w:bottom w:val="single" w:color="auto" w:sz="4" w:space="0"/>
              <w:right w:val="single" w:color="auto" w:sz="4" w:space="0"/>
            </w:tcBorders>
            <w:shd w:val="clear" w:color="000000" w:fill="FFFFFF"/>
            <w:noWrap/>
            <w:vAlign w:val="center"/>
          </w:tcPr>
          <w:p w14:paraId="3693E6F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99</w:t>
            </w:r>
          </w:p>
        </w:tc>
        <w:tc>
          <w:tcPr>
            <w:tcW w:w="997" w:type="pct"/>
            <w:tcBorders>
              <w:top w:val="nil"/>
              <w:left w:val="nil"/>
              <w:bottom w:val="single" w:color="auto" w:sz="4" w:space="0"/>
              <w:right w:val="single" w:color="auto" w:sz="4" w:space="0"/>
            </w:tcBorders>
            <w:shd w:val="clear" w:color="000000" w:fill="FFFFFF"/>
            <w:noWrap/>
            <w:vAlign w:val="center"/>
          </w:tcPr>
          <w:p w14:paraId="1D8ED71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书香名府</w:t>
            </w:r>
          </w:p>
        </w:tc>
        <w:tc>
          <w:tcPr>
            <w:tcW w:w="752" w:type="pct"/>
            <w:tcBorders>
              <w:top w:val="nil"/>
              <w:left w:val="nil"/>
              <w:bottom w:val="single" w:color="auto" w:sz="4" w:space="0"/>
              <w:right w:val="single" w:color="auto" w:sz="4" w:space="0"/>
            </w:tcBorders>
            <w:shd w:val="clear" w:color="000000" w:fill="FFFFFF"/>
            <w:noWrap/>
            <w:vAlign w:val="center"/>
          </w:tcPr>
          <w:p w14:paraId="615AA02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2850BC9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57EC11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C1F13D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6AC02B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29C3D4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100</w:t>
            </w:r>
          </w:p>
        </w:tc>
        <w:tc>
          <w:tcPr>
            <w:tcW w:w="997" w:type="pct"/>
            <w:tcBorders>
              <w:top w:val="nil"/>
              <w:left w:val="nil"/>
              <w:bottom w:val="single" w:color="auto" w:sz="4" w:space="0"/>
              <w:right w:val="single" w:color="auto" w:sz="4" w:space="0"/>
            </w:tcBorders>
            <w:shd w:val="clear" w:color="000000" w:fill="FFFFFF"/>
            <w:noWrap/>
            <w:vAlign w:val="center"/>
          </w:tcPr>
          <w:p w14:paraId="2B409DD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富贵园</w:t>
            </w:r>
          </w:p>
        </w:tc>
        <w:tc>
          <w:tcPr>
            <w:tcW w:w="752" w:type="pct"/>
            <w:tcBorders>
              <w:top w:val="nil"/>
              <w:left w:val="nil"/>
              <w:bottom w:val="single" w:color="auto" w:sz="4" w:space="0"/>
              <w:right w:val="single" w:color="auto" w:sz="4" w:space="0"/>
            </w:tcBorders>
            <w:shd w:val="clear" w:color="000000" w:fill="FFFFFF"/>
            <w:noWrap/>
            <w:vAlign w:val="center"/>
          </w:tcPr>
          <w:p w14:paraId="17AA081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50CDBCF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44EE8E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DCCF50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C41DF8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447CD9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101</w:t>
            </w:r>
          </w:p>
        </w:tc>
        <w:tc>
          <w:tcPr>
            <w:tcW w:w="997" w:type="pct"/>
            <w:tcBorders>
              <w:top w:val="nil"/>
              <w:left w:val="nil"/>
              <w:bottom w:val="single" w:color="auto" w:sz="4" w:space="0"/>
              <w:right w:val="single" w:color="auto" w:sz="4" w:space="0"/>
            </w:tcBorders>
            <w:shd w:val="clear" w:color="000000" w:fill="FFFFFF"/>
            <w:noWrap/>
            <w:vAlign w:val="center"/>
          </w:tcPr>
          <w:p w14:paraId="746975E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海州花园</w:t>
            </w:r>
          </w:p>
        </w:tc>
        <w:tc>
          <w:tcPr>
            <w:tcW w:w="752" w:type="pct"/>
            <w:tcBorders>
              <w:top w:val="nil"/>
              <w:left w:val="nil"/>
              <w:bottom w:val="single" w:color="auto" w:sz="4" w:space="0"/>
              <w:right w:val="single" w:color="auto" w:sz="4" w:space="0"/>
            </w:tcBorders>
            <w:shd w:val="clear" w:color="000000" w:fill="FFFFFF"/>
            <w:noWrap/>
            <w:vAlign w:val="center"/>
          </w:tcPr>
          <w:p w14:paraId="29982E6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6359CD3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FD3C6E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C6ED6A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81EDC8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AF9ED7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102</w:t>
            </w:r>
          </w:p>
        </w:tc>
        <w:tc>
          <w:tcPr>
            <w:tcW w:w="997" w:type="pct"/>
            <w:tcBorders>
              <w:top w:val="nil"/>
              <w:left w:val="nil"/>
              <w:bottom w:val="single" w:color="auto" w:sz="4" w:space="0"/>
              <w:right w:val="single" w:color="auto" w:sz="4" w:space="0"/>
            </w:tcBorders>
            <w:shd w:val="clear" w:color="000000" w:fill="FFFFFF"/>
            <w:noWrap/>
            <w:vAlign w:val="center"/>
          </w:tcPr>
          <w:p w14:paraId="2DAF68B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银河花园</w:t>
            </w:r>
          </w:p>
        </w:tc>
        <w:tc>
          <w:tcPr>
            <w:tcW w:w="752" w:type="pct"/>
            <w:tcBorders>
              <w:top w:val="nil"/>
              <w:left w:val="nil"/>
              <w:bottom w:val="single" w:color="auto" w:sz="4" w:space="0"/>
              <w:right w:val="single" w:color="auto" w:sz="4" w:space="0"/>
            </w:tcBorders>
            <w:shd w:val="clear" w:color="000000" w:fill="FFFFFF"/>
            <w:noWrap/>
            <w:vAlign w:val="center"/>
          </w:tcPr>
          <w:p w14:paraId="688C7D9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3DBD3AC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F0E19D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0A0A75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491340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E0F12A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103</w:t>
            </w:r>
          </w:p>
        </w:tc>
        <w:tc>
          <w:tcPr>
            <w:tcW w:w="997" w:type="pct"/>
            <w:tcBorders>
              <w:top w:val="nil"/>
              <w:left w:val="nil"/>
              <w:bottom w:val="single" w:color="auto" w:sz="4" w:space="0"/>
              <w:right w:val="single" w:color="auto" w:sz="4" w:space="0"/>
            </w:tcBorders>
            <w:shd w:val="clear" w:color="000000" w:fill="FFFFFF"/>
            <w:noWrap/>
            <w:vAlign w:val="center"/>
          </w:tcPr>
          <w:p w14:paraId="176EA1C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上城一号</w:t>
            </w:r>
          </w:p>
        </w:tc>
        <w:tc>
          <w:tcPr>
            <w:tcW w:w="752" w:type="pct"/>
            <w:tcBorders>
              <w:top w:val="nil"/>
              <w:left w:val="nil"/>
              <w:bottom w:val="single" w:color="auto" w:sz="4" w:space="0"/>
              <w:right w:val="single" w:color="auto" w:sz="4" w:space="0"/>
            </w:tcBorders>
            <w:shd w:val="clear" w:color="000000" w:fill="FFFFFF"/>
            <w:noWrap/>
            <w:vAlign w:val="center"/>
          </w:tcPr>
          <w:p w14:paraId="47D90AD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45875FE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C5384B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295326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1EFD20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E724E2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104</w:t>
            </w:r>
          </w:p>
        </w:tc>
        <w:tc>
          <w:tcPr>
            <w:tcW w:w="997" w:type="pct"/>
            <w:tcBorders>
              <w:top w:val="nil"/>
              <w:left w:val="nil"/>
              <w:bottom w:val="single" w:color="auto" w:sz="4" w:space="0"/>
              <w:right w:val="single" w:color="auto" w:sz="4" w:space="0"/>
            </w:tcBorders>
            <w:shd w:val="clear" w:color="000000" w:fill="FFFFFF"/>
            <w:noWrap/>
            <w:vAlign w:val="center"/>
          </w:tcPr>
          <w:p w14:paraId="7A36468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新民南小区</w:t>
            </w:r>
          </w:p>
        </w:tc>
        <w:tc>
          <w:tcPr>
            <w:tcW w:w="752" w:type="pct"/>
            <w:tcBorders>
              <w:top w:val="nil"/>
              <w:left w:val="nil"/>
              <w:bottom w:val="single" w:color="auto" w:sz="4" w:space="0"/>
              <w:right w:val="single" w:color="auto" w:sz="4" w:space="0"/>
            </w:tcBorders>
            <w:shd w:val="clear" w:color="000000" w:fill="FFFFFF"/>
            <w:noWrap/>
            <w:vAlign w:val="center"/>
          </w:tcPr>
          <w:p w14:paraId="69AC74F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6372A4F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11801B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445D20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264B35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E78F5A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105</w:t>
            </w:r>
          </w:p>
        </w:tc>
        <w:tc>
          <w:tcPr>
            <w:tcW w:w="997" w:type="pct"/>
            <w:tcBorders>
              <w:top w:val="nil"/>
              <w:left w:val="nil"/>
              <w:bottom w:val="single" w:color="auto" w:sz="4" w:space="0"/>
              <w:right w:val="single" w:color="auto" w:sz="4" w:space="0"/>
            </w:tcBorders>
            <w:shd w:val="clear" w:color="000000" w:fill="FFFFFF"/>
            <w:noWrap/>
            <w:vAlign w:val="center"/>
          </w:tcPr>
          <w:p w14:paraId="3ADD783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新民北</w:t>
            </w:r>
          </w:p>
        </w:tc>
        <w:tc>
          <w:tcPr>
            <w:tcW w:w="752" w:type="pct"/>
            <w:tcBorders>
              <w:top w:val="nil"/>
              <w:left w:val="nil"/>
              <w:bottom w:val="single" w:color="auto" w:sz="4" w:space="0"/>
              <w:right w:val="single" w:color="auto" w:sz="4" w:space="0"/>
            </w:tcBorders>
            <w:shd w:val="clear" w:color="000000" w:fill="FFFFFF"/>
            <w:noWrap/>
            <w:vAlign w:val="center"/>
          </w:tcPr>
          <w:p w14:paraId="6A3B0F0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F73D69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180FC5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7B9D2E7">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1A37A8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16D055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106</w:t>
            </w:r>
          </w:p>
        </w:tc>
        <w:tc>
          <w:tcPr>
            <w:tcW w:w="997" w:type="pct"/>
            <w:tcBorders>
              <w:top w:val="nil"/>
              <w:left w:val="nil"/>
              <w:bottom w:val="single" w:color="auto" w:sz="4" w:space="0"/>
              <w:right w:val="single" w:color="auto" w:sz="4" w:space="0"/>
            </w:tcBorders>
            <w:shd w:val="clear" w:color="000000" w:fill="FFFFFF"/>
            <w:noWrap/>
            <w:vAlign w:val="center"/>
          </w:tcPr>
          <w:p w14:paraId="74718D4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蝴蝶湾</w:t>
            </w:r>
          </w:p>
        </w:tc>
        <w:tc>
          <w:tcPr>
            <w:tcW w:w="752" w:type="pct"/>
            <w:tcBorders>
              <w:top w:val="nil"/>
              <w:left w:val="nil"/>
              <w:bottom w:val="single" w:color="auto" w:sz="4" w:space="0"/>
              <w:right w:val="single" w:color="auto" w:sz="4" w:space="0"/>
            </w:tcBorders>
            <w:shd w:val="clear" w:color="000000" w:fill="FFFFFF"/>
            <w:noWrap/>
            <w:vAlign w:val="center"/>
          </w:tcPr>
          <w:p w14:paraId="17BAF02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8</w:t>
            </w:r>
          </w:p>
        </w:tc>
        <w:tc>
          <w:tcPr>
            <w:tcW w:w="1369" w:type="pct"/>
            <w:tcBorders>
              <w:top w:val="nil"/>
              <w:left w:val="nil"/>
              <w:bottom w:val="single" w:color="auto" w:sz="4" w:space="0"/>
              <w:right w:val="single" w:color="auto" w:sz="4" w:space="0"/>
            </w:tcBorders>
            <w:shd w:val="clear" w:color="000000" w:fill="FFFFFF"/>
            <w:noWrap/>
            <w:vAlign w:val="center"/>
          </w:tcPr>
          <w:p w14:paraId="0D78DDC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087386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EF237B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65643D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CE8B39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107</w:t>
            </w:r>
          </w:p>
        </w:tc>
        <w:tc>
          <w:tcPr>
            <w:tcW w:w="997" w:type="pct"/>
            <w:tcBorders>
              <w:top w:val="nil"/>
              <w:left w:val="nil"/>
              <w:bottom w:val="single" w:color="auto" w:sz="4" w:space="0"/>
              <w:right w:val="single" w:color="auto" w:sz="4" w:space="0"/>
            </w:tcBorders>
            <w:shd w:val="clear" w:color="000000" w:fill="FFFFFF"/>
            <w:noWrap/>
            <w:vAlign w:val="center"/>
          </w:tcPr>
          <w:p w14:paraId="35B7C8C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瑞丰花园</w:t>
            </w:r>
          </w:p>
        </w:tc>
        <w:tc>
          <w:tcPr>
            <w:tcW w:w="752" w:type="pct"/>
            <w:tcBorders>
              <w:top w:val="nil"/>
              <w:left w:val="nil"/>
              <w:bottom w:val="single" w:color="auto" w:sz="4" w:space="0"/>
              <w:right w:val="single" w:color="auto" w:sz="4" w:space="0"/>
            </w:tcBorders>
            <w:shd w:val="clear" w:color="000000" w:fill="FFFFFF"/>
            <w:noWrap/>
            <w:vAlign w:val="center"/>
          </w:tcPr>
          <w:p w14:paraId="640FEF1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3C1E8CF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E60538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67C679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0C200E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58B269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108</w:t>
            </w:r>
          </w:p>
        </w:tc>
        <w:tc>
          <w:tcPr>
            <w:tcW w:w="997" w:type="pct"/>
            <w:tcBorders>
              <w:top w:val="nil"/>
              <w:left w:val="nil"/>
              <w:bottom w:val="single" w:color="auto" w:sz="4" w:space="0"/>
              <w:right w:val="single" w:color="auto" w:sz="4" w:space="0"/>
            </w:tcBorders>
            <w:shd w:val="clear" w:color="000000" w:fill="FFFFFF"/>
            <w:noWrap/>
            <w:vAlign w:val="center"/>
          </w:tcPr>
          <w:p w14:paraId="374B11C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上海花园</w:t>
            </w:r>
          </w:p>
        </w:tc>
        <w:tc>
          <w:tcPr>
            <w:tcW w:w="752" w:type="pct"/>
            <w:tcBorders>
              <w:top w:val="nil"/>
              <w:left w:val="nil"/>
              <w:bottom w:val="single" w:color="auto" w:sz="4" w:space="0"/>
              <w:right w:val="single" w:color="auto" w:sz="4" w:space="0"/>
            </w:tcBorders>
            <w:shd w:val="clear" w:color="000000" w:fill="FFFFFF"/>
            <w:noWrap/>
            <w:vAlign w:val="center"/>
          </w:tcPr>
          <w:p w14:paraId="43160E6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6</w:t>
            </w:r>
          </w:p>
        </w:tc>
        <w:tc>
          <w:tcPr>
            <w:tcW w:w="1369" w:type="pct"/>
            <w:tcBorders>
              <w:top w:val="nil"/>
              <w:left w:val="nil"/>
              <w:bottom w:val="single" w:color="auto" w:sz="4" w:space="0"/>
              <w:right w:val="single" w:color="auto" w:sz="4" w:space="0"/>
            </w:tcBorders>
            <w:shd w:val="clear" w:color="000000" w:fill="FFFFFF"/>
            <w:noWrap/>
            <w:vAlign w:val="center"/>
          </w:tcPr>
          <w:p w14:paraId="748F190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1CA32B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CC8F62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C930D9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4A589F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109</w:t>
            </w:r>
          </w:p>
        </w:tc>
        <w:tc>
          <w:tcPr>
            <w:tcW w:w="997" w:type="pct"/>
            <w:tcBorders>
              <w:top w:val="nil"/>
              <w:left w:val="nil"/>
              <w:bottom w:val="single" w:color="auto" w:sz="4" w:space="0"/>
              <w:right w:val="single" w:color="auto" w:sz="4" w:space="0"/>
            </w:tcBorders>
            <w:shd w:val="clear" w:color="000000" w:fill="FFFFFF"/>
            <w:noWrap/>
            <w:vAlign w:val="center"/>
          </w:tcPr>
          <w:p w14:paraId="73B0F32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聚龙苑</w:t>
            </w:r>
          </w:p>
        </w:tc>
        <w:tc>
          <w:tcPr>
            <w:tcW w:w="752" w:type="pct"/>
            <w:tcBorders>
              <w:top w:val="nil"/>
              <w:left w:val="nil"/>
              <w:bottom w:val="single" w:color="auto" w:sz="4" w:space="0"/>
              <w:right w:val="single" w:color="auto" w:sz="4" w:space="0"/>
            </w:tcBorders>
            <w:shd w:val="clear" w:color="000000" w:fill="FFFFFF"/>
            <w:noWrap/>
            <w:vAlign w:val="center"/>
          </w:tcPr>
          <w:p w14:paraId="0F98BCD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28E0021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2D665A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619725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95D976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3AF08F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110</w:t>
            </w:r>
          </w:p>
        </w:tc>
        <w:tc>
          <w:tcPr>
            <w:tcW w:w="997" w:type="pct"/>
            <w:tcBorders>
              <w:top w:val="nil"/>
              <w:left w:val="nil"/>
              <w:bottom w:val="single" w:color="auto" w:sz="4" w:space="0"/>
              <w:right w:val="single" w:color="auto" w:sz="4" w:space="0"/>
            </w:tcBorders>
            <w:shd w:val="clear" w:color="000000" w:fill="FFFFFF"/>
            <w:noWrap/>
            <w:vAlign w:val="center"/>
          </w:tcPr>
          <w:p w14:paraId="1D2A510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学府名城</w:t>
            </w:r>
          </w:p>
        </w:tc>
        <w:tc>
          <w:tcPr>
            <w:tcW w:w="752" w:type="pct"/>
            <w:tcBorders>
              <w:top w:val="nil"/>
              <w:left w:val="nil"/>
              <w:bottom w:val="single" w:color="auto" w:sz="4" w:space="0"/>
              <w:right w:val="single" w:color="auto" w:sz="4" w:space="0"/>
            </w:tcBorders>
            <w:shd w:val="clear" w:color="000000" w:fill="FFFFFF"/>
            <w:noWrap/>
            <w:vAlign w:val="center"/>
          </w:tcPr>
          <w:p w14:paraId="64EA46D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5AD85B8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1F83B2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003F65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65D862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43BF1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111</w:t>
            </w:r>
          </w:p>
        </w:tc>
        <w:tc>
          <w:tcPr>
            <w:tcW w:w="997" w:type="pct"/>
            <w:tcBorders>
              <w:top w:val="nil"/>
              <w:left w:val="nil"/>
              <w:bottom w:val="single" w:color="auto" w:sz="4" w:space="0"/>
              <w:right w:val="single" w:color="auto" w:sz="4" w:space="0"/>
            </w:tcBorders>
            <w:shd w:val="clear" w:color="000000" w:fill="FFFFFF"/>
            <w:noWrap/>
            <w:vAlign w:val="center"/>
          </w:tcPr>
          <w:p w14:paraId="3D7B0E7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百富达</w:t>
            </w:r>
          </w:p>
        </w:tc>
        <w:tc>
          <w:tcPr>
            <w:tcW w:w="752" w:type="pct"/>
            <w:tcBorders>
              <w:top w:val="nil"/>
              <w:left w:val="nil"/>
              <w:bottom w:val="single" w:color="auto" w:sz="4" w:space="0"/>
              <w:right w:val="single" w:color="auto" w:sz="4" w:space="0"/>
            </w:tcBorders>
            <w:shd w:val="clear" w:color="000000" w:fill="FFFFFF"/>
            <w:noWrap/>
            <w:vAlign w:val="center"/>
          </w:tcPr>
          <w:p w14:paraId="756A4C4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543B334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48BC12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C77FE34">
        <w:tblPrEx>
          <w:tblCellMar>
            <w:top w:w="0" w:type="dxa"/>
            <w:left w:w="108" w:type="dxa"/>
            <w:bottom w:w="0" w:type="dxa"/>
            <w:right w:w="108" w:type="dxa"/>
          </w:tblCellMar>
        </w:tblPrEx>
        <w:trPr>
          <w:trHeight w:val="315" w:hRule="atLeast"/>
        </w:trPr>
        <w:tc>
          <w:tcPr>
            <w:tcW w:w="2250" w:type="pct"/>
            <w:gridSpan w:val="3"/>
            <w:tcBorders>
              <w:top w:val="nil"/>
              <w:left w:val="single" w:color="auto" w:sz="4" w:space="0"/>
              <w:bottom w:val="single" w:color="auto" w:sz="4" w:space="0"/>
              <w:right w:val="single" w:color="auto" w:sz="4" w:space="0"/>
            </w:tcBorders>
            <w:shd w:val="clear" w:color="000000" w:fill="FFFFFF"/>
            <w:noWrap/>
            <w:vAlign w:val="center"/>
          </w:tcPr>
          <w:p w14:paraId="144A29F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合计</w:t>
            </w:r>
          </w:p>
        </w:tc>
        <w:tc>
          <w:tcPr>
            <w:tcW w:w="752" w:type="pct"/>
            <w:tcBorders>
              <w:top w:val="nil"/>
              <w:left w:val="nil"/>
              <w:bottom w:val="single" w:color="auto" w:sz="4" w:space="0"/>
              <w:right w:val="single" w:color="auto" w:sz="4" w:space="0"/>
            </w:tcBorders>
            <w:shd w:val="clear" w:color="000000" w:fill="FFFFFF"/>
            <w:noWrap/>
            <w:vAlign w:val="center"/>
          </w:tcPr>
          <w:p w14:paraId="1C3F499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286</w:t>
            </w:r>
          </w:p>
        </w:tc>
        <w:tc>
          <w:tcPr>
            <w:tcW w:w="1369" w:type="pct"/>
            <w:tcBorders>
              <w:top w:val="nil"/>
              <w:left w:val="nil"/>
              <w:bottom w:val="single" w:color="auto" w:sz="4" w:space="0"/>
              <w:right w:val="single" w:color="auto" w:sz="4" w:space="0"/>
            </w:tcBorders>
            <w:shd w:val="clear" w:color="000000" w:fill="FFFFFF"/>
            <w:noWrap/>
            <w:vAlign w:val="center"/>
          </w:tcPr>
          <w:p w14:paraId="38E0414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C6CA00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p>
        </w:tc>
      </w:tr>
    </w:tbl>
    <w:p w14:paraId="25312E27">
      <w:pPr>
        <w:pStyle w:val="7"/>
        <w:bidi w:val="0"/>
        <w:rPr>
          <w:rFonts w:hint="eastAsia"/>
        </w:rPr>
      </w:pPr>
      <w:bookmarkStart w:id="19" w:name="_Toc30918"/>
      <w:r>
        <w:rPr>
          <w:rFonts w:hint="eastAsia"/>
        </w:rPr>
        <w:t>现有数据情况</w:t>
      </w:r>
      <w:bookmarkEnd w:id="19"/>
    </w:p>
    <w:p w14:paraId="3836EF0C">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部件</w:t>
      </w:r>
      <w:r>
        <w:rPr>
          <w:rFonts w:hint="eastAsia" w:ascii="宋体" w:hAnsi="宋体" w:eastAsia="宋体" w:cs="仿宋"/>
          <w:b/>
          <w:bCs/>
          <w:kern w:val="2"/>
          <w:sz w:val="24"/>
          <w:szCs w:val="24"/>
          <w:lang w:val="en-US" w:eastAsia="zh-CN" w:bidi="ar"/>
        </w:rPr>
        <w:t>数据现状</w:t>
      </w:r>
    </w:p>
    <w:p w14:paraId="07DFFB19">
      <w:pPr>
        <w:spacing w:line="276" w:lineRule="auto"/>
        <w:ind w:firstLine="420"/>
        <w:rPr>
          <w:rFonts w:hint="eastAsia" w:ascii="宋体" w:hAnsi="宋体" w:eastAsia="宋体" w:cs="仿宋"/>
          <w:sz w:val="24"/>
          <w:szCs w:val="24"/>
          <w:highlight w:val="none"/>
          <w:lang w:bidi="ar"/>
        </w:rPr>
      </w:pPr>
      <w:r>
        <w:rPr>
          <w:rFonts w:hint="eastAsia" w:ascii="宋体" w:hAnsi="宋体" w:eastAsia="宋体" w:cs="仿宋"/>
          <w:sz w:val="24"/>
          <w:szCs w:val="24"/>
          <w:highlight w:val="none"/>
          <w:lang w:bidi="ar"/>
        </w:rPr>
        <w:t>当前数字城管系统中具有大丰区建成区部件数据，包括公</w:t>
      </w:r>
      <w:r>
        <w:rPr>
          <w:rFonts w:hint="eastAsia" w:ascii="宋体" w:hAnsi="宋体" w:eastAsia="宋体" w:cs="仿宋"/>
          <w:sz w:val="24"/>
          <w:szCs w:val="24"/>
          <w:highlight w:val="none"/>
          <w:lang w:val="en-US" w:eastAsia="zh-CN" w:bidi="ar"/>
        </w:rPr>
        <w:t>用</w:t>
      </w:r>
      <w:r>
        <w:rPr>
          <w:rFonts w:hint="eastAsia" w:ascii="宋体" w:hAnsi="宋体" w:eastAsia="宋体" w:cs="仿宋"/>
          <w:sz w:val="24"/>
          <w:szCs w:val="24"/>
          <w:highlight w:val="none"/>
          <w:lang w:bidi="ar"/>
        </w:rPr>
        <w:t>设施</w:t>
      </w:r>
      <w:r>
        <w:rPr>
          <w:rFonts w:hint="eastAsia" w:ascii="宋体" w:hAnsi="宋体" w:eastAsia="宋体" w:cs="仿宋"/>
          <w:sz w:val="24"/>
          <w:szCs w:val="24"/>
          <w:highlight w:val="none"/>
          <w:lang w:val="en-US" w:eastAsia="zh-CN" w:bidi="ar"/>
        </w:rPr>
        <w:t>90498个</w:t>
      </w:r>
      <w:r>
        <w:rPr>
          <w:rFonts w:hint="eastAsia" w:ascii="宋体" w:hAnsi="宋体" w:eastAsia="宋体" w:cs="仿宋"/>
          <w:sz w:val="24"/>
          <w:szCs w:val="24"/>
          <w:highlight w:val="none"/>
          <w:lang w:bidi="ar"/>
        </w:rPr>
        <w:t>、</w:t>
      </w:r>
      <w:r>
        <w:rPr>
          <w:rFonts w:hint="eastAsia" w:ascii="宋体" w:hAnsi="宋体" w:eastAsia="宋体" w:cs="仿宋"/>
          <w:sz w:val="24"/>
          <w:szCs w:val="24"/>
          <w:highlight w:val="none"/>
          <w:lang w:val="en-US" w:eastAsia="zh-CN" w:bidi="ar"/>
        </w:rPr>
        <w:t>交通设施6787个</w:t>
      </w:r>
      <w:r>
        <w:rPr>
          <w:rFonts w:hint="eastAsia" w:ascii="宋体" w:hAnsi="宋体" w:eastAsia="宋体" w:cs="仿宋"/>
          <w:sz w:val="24"/>
          <w:szCs w:val="24"/>
          <w:highlight w:val="none"/>
          <w:lang w:bidi="ar"/>
        </w:rPr>
        <w:t>、市容环境</w:t>
      </w:r>
      <w:r>
        <w:rPr>
          <w:rFonts w:hint="eastAsia" w:ascii="宋体" w:hAnsi="宋体" w:eastAsia="宋体" w:cs="仿宋"/>
          <w:sz w:val="24"/>
          <w:szCs w:val="24"/>
          <w:highlight w:val="none"/>
          <w:lang w:val="en-US" w:eastAsia="zh-CN" w:bidi="ar"/>
        </w:rPr>
        <w:t>设施5716个</w:t>
      </w:r>
      <w:r>
        <w:rPr>
          <w:rFonts w:hint="eastAsia" w:ascii="宋体" w:hAnsi="宋体" w:eastAsia="宋体" w:cs="仿宋"/>
          <w:sz w:val="24"/>
          <w:szCs w:val="24"/>
          <w:highlight w:val="none"/>
          <w:lang w:bidi="ar"/>
        </w:rPr>
        <w:t>、</w:t>
      </w:r>
      <w:r>
        <w:rPr>
          <w:rFonts w:hint="eastAsia" w:ascii="宋体" w:hAnsi="宋体" w:eastAsia="宋体" w:cs="仿宋"/>
          <w:sz w:val="24"/>
          <w:szCs w:val="24"/>
          <w:highlight w:val="none"/>
          <w:lang w:val="en-US" w:eastAsia="zh-CN" w:bidi="ar"/>
        </w:rPr>
        <w:t>园林绿化设施26485个、</w:t>
      </w:r>
      <w:r>
        <w:rPr>
          <w:rFonts w:hint="eastAsia" w:ascii="宋体" w:hAnsi="宋体" w:eastAsia="宋体" w:cs="仿宋"/>
          <w:sz w:val="24"/>
          <w:szCs w:val="24"/>
          <w:highlight w:val="none"/>
          <w:lang w:bidi="ar"/>
        </w:rPr>
        <w:t>其他</w:t>
      </w:r>
      <w:r>
        <w:rPr>
          <w:rFonts w:hint="eastAsia" w:ascii="宋体" w:hAnsi="宋体" w:eastAsia="宋体" w:cs="仿宋"/>
          <w:sz w:val="24"/>
          <w:szCs w:val="24"/>
          <w:highlight w:val="none"/>
          <w:lang w:val="en-US" w:eastAsia="zh-CN" w:bidi="ar"/>
        </w:rPr>
        <w:t>部件</w:t>
      </w:r>
      <w:r>
        <w:rPr>
          <w:rFonts w:hint="eastAsia" w:ascii="宋体" w:hAnsi="宋体" w:eastAsia="宋体" w:cs="仿宋"/>
          <w:sz w:val="24"/>
          <w:szCs w:val="24"/>
          <w:highlight w:val="none"/>
          <w:lang w:bidi="ar"/>
        </w:rPr>
        <w:t>2</w:t>
      </w:r>
      <w:r>
        <w:rPr>
          <w:rFonts w:hint="eastAsia" w:ascii="宋体" w:hAnsi="宋体" w:eastAsia="宋体" w:cs="仿宋"/>
          <w:sz w:val="24"/>
          <w:szCs w:val="24"/>
          <w:highlight w:val="none"/>
          <w:lang w:val="en-US" w:eastAsia="zh-CN" w:bidi="ar"/>
        </w:rPr>
        <w:t>79个、扩展部件8897个</w:t>
      </w:r>
      <w:r>
        <w:rPr>
          <w:rFonts w:hint="eastAsia" w:ascii="宋体" w:hAnsi="宋体" w:eastAsia="宋体" w:cs="仿宋"/>
          <w:sz w:val="24"/>
          <w:szCs w:val="24"/>
          <w:highlight w:val="none"/>
          <w:lang w:bidi="ar"/>
        </w:rPr>
        <w:t>，城市部件共计</w:t>
      </w:r>
      <w:r>
        <w:rPr>
          <w:rFonts w:hint="eastAsia" w:ascii="宋体" w:hAnsi="宋体" w:eastAsia="宋体" w:cs="仿宋"/>
          <w:sz w:val="24"/>
          <w:szCs w:val="24"/>
          <w:highlight w:val="none"/>
          <w:lang w:val="en-US" w:eastAsia="zh-CN" w:bidi="ar"/>
        </w:rPr>
        <w:t>138662</w:t>
      </w:r>
      <w:r>
        <w:rPr>
          <w:rFonts w:hint="eastAsia" w:ascii="宋体" w:hAnsi="宋体" w:eastAsia="宋体" w:cs="仿宋"/>
          <w:sz w:val="24"/>
          <w:szCs w:val="24"/>
          <w:highlight w:val="none"/>
          <w:lang w:bidi="ar"/>
        </w:rPr>
        <w:t>个。此数据可利旧到本次项目建设的指挥协调系统中。</w:t>
      </w:r>
    </w:p>
    <w:p w14:paraId="0872EF93">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行业应用数据现状</w:t>
      </w:r>
    </w:p>
    <w:p w14:paraId="5930E360">
      <w:pPr>
        <w:pStyle w:val="6"/>
        <w:spacing w:line="276" w:lineRule="auto"/>
        <w:rPr>
          <w:rFonts w:hint="eastAsia" w:ascii="宋体" w:hAnsi="宋体"/>
        </w:rPr>
      </w:pPr>
      <w:r>
        <w:rPr>
          <w:rFonts w:hint="eastAsia" w:ascii="宋体" w:hAnsi="宋体"/>
        </w:rPr>
        <w:t>垃圾分类业务包括垃圾分类小区、垃圾分类设施、垃圾分类投放点位置、小区宣教设施、垃圾收运车辆、垃圾收运企业、垃圾转运站等信息。大丰区垃圾分类原先共有5个标段的垃圾分类运营服务，目前已全部到期，共计对286个点位进行运营服务，各投放点现场配备视频监控设备但由于使用时间较长及前期维护等问题，目前多数视频监控设备已无法正常使用。垃圾收运车辆48台，配有车载</w:t>
      </w:r>
      <w:r>
        <w:rPr>
          <w:rFonts w:hint="eastAsia" w:ascii="宋体" w:hAnsi="宋体"/>
          <w:lang w:val="en-US" w:eastAsia="zh-CN"/>
        </w:rPr>
        <w:t>定位</w:t>
      </w:r>
      <w:r>
        <w:rPr>
          <w:rFonts w:hint="eastAsia" w:ascii="宋体" w:hAnsi="宋体"/>
        </w:rPr>
        <w:t>设备；现有垃圾转运站4个，现场配备视频监控设备。</w:t>
      </w:r>
    </w:p>
    <w:p w14:paraId="214160C4">
      <w:pPr>
        <w:pStyle w:val="6"/>
        <w:spacing w:line="276" w:lineRule="auto"/>
        <w:rPr>
          <w:rFonts w:hint="eastAsia" w:ascii="宋体" w:hAnsi="宋体"/>
        </w:rPr>
      </w:pPr>
      <w:r>
        <w:rPr>
          <w:rFonts w:hint="eastAsia" w:ascii="宋体" w:hAnsi="宋体"/>
        </w:rPr>
        <w:t>建筑垃圾业务包括源头工地、源头工地设备、源头工地出土许可、运输企业、运输车辆、运输车辆运输许可、垃圾消纳点、垃圾消纳点处置许可等信息。大丰区现有建筑垃圾工地33个；现有运输企业9个，配套运输车辆157台，已安装车载定位设备，已备案建筑垃圾运输许可车辆157台；垃圾消纳点5个，已全部备案。</w:t>
      </w:r>
    </w:p>
    <w:p w14:paraId="43E89234">
      <w:pPr>
        <w:pStyle w:val="6"/>
        <w:spacing w:line="276" w:lineRule="auto"/>
        <w:rPr>
          <w:rFonts w:hint="eastAsia" w:ascii="宋体" w:hAnsi="宋体"/>
        </w:rPr>
      </w:pPr>
      <w:r>
        <w:rPr>
          <w:rFonts w:hint="eastAsia" w:ascii="宋体" w:hAnsi="宋体"/>
        </w:rPr>
        <w:t>综合执法业务包括执法案件上报信息、执法案件处置信息、执法案件结案信息、执法案件处罚金额信息等。大丰区目前平均月执法案件达7件，平均月度结案率72.6%，平均月度执法案件处罚金额达358044元，现有执法人员87人，执法车辆8台。</w:t>
      </w:r>
    </w:p>
    <w:p w14:paraId="1FBEA343">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20" w:name="_Toc14867"/>
      <w:r>
        <w:rPr>
          <w:rFonts w:hint="eastAsia" w:ascii="宋体" w:hAnsi="宋体" w:eastAsia="宋体" w:cstheme="majorBidi"/>
          <w:b/>
          <w:bCs/>
          <w:kern w:val="2"/>
          <w:sz w:val="28"/>
          <w:szCs w:val="28"/>
          <w:lang w:val="en-US" w:eastAsia="zh-CN" w:bidi="ar-SA"/>
        </w:rPr>
        <w:t>存在的具体问题和差距</w:t>
      </w:r>
      <w:bookmarkEnd w:id="20"/>
    </w:p>
    <w:p w14:paraId="2C6BB7FD">
      <w:pPr>
        <w:pStyle w:val="7"/>
        <w:rPr>
          <w:rFonts w:hint="eastAsia"/>
        </w:rPr>
      </w:pPr>
      <w:bookmarkStart w:id="21" w:name="_Toc24337"/>
      <w:r>
        <w:rPr>
          <w:rFonts w:hint="eastAsia"/>
        </w:rPr>
        <w:t>垃圾分类业务</w:t>
      </w:r>
      <w:bookmarkEnd w:id="21"/>
    </w:p>
    <w:p w14:paraId="1ECB310D">
      <w:pPr>
        <w:rPr>
          <w:rFonts w:hint="eastAsia"/>
        </w:rPr>
      </w:pPr>
      <w:r>
        <w:rPr>
          <w:rFonts w:hint="eastAsia" w:ascii="宋体" w:hAnsi="宋体" w:eastAsia="宋体"/>
          <w:sz w:val="24"/>
          <w:szCs w:val="24"/>
        </w:rPr>
        <w:t>通过对我区垃圾分类业务的调研，针对目前业务现状存在以下问题：</w:t>
      </w:r>
    </w:p>
    <w:p w14:paraId="3E34DE25">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垃圾分类基础设施的快速建设带来基础设施设备管理压力</w:t>
      </w:r>
    </w:p>
    <w:p w14:paraId="414889DF">
      <w:pPr>
        <w:spacing w:line="276" w:lineRule="auto"/>
        <w:ind w:firstLine="420"/>
        <w:rPr>
          <w:rFonts w:hint="eastAsia" w:ascii="宋体" w:hAnsi="宋体" w:eastAsia="宋体"/>
          <w:sz w:val="24"/>
          <w:szCs w:val="24"/>
        </w:rPr>
      </w:pPr>
      <w:r>
        <w:rPr>
          <w:rFonts w:hint="eastAsia" w:ascii="宋体" w:hAnsi="宋体" w:eastAsia="宋体"/>
          <w:sz w:val="24"/>
          <w:szCs w:val="24"/>
        </w:rPr>
        <w:t>当前我区对垃圾分类运营服务投入越来越多，垃圾分类基础设施建设飞速发展，同时也给管理带来了较大的压力，主要表现在以下几方面：</w:t>
      </w:r>
    </w:p>
    <w:p w14:paraId="19F8D106">
      <w:pPr>
        <w:spacing w:line="276" w:lineRule="auto"/>
        <w:ind w:firstLine="420"/>
        <w:rPr>
          <w:rFonts w:hint="eastAsia" w:ascii="宋体" w:hAnsi="宋体" w:eastAsia="宋体"/>
          <w:sz w:val="24"/>
          <w:szCs w:val="24"/>
        </w:rPr>
      </w:pPr>
      <w:r>
        <w:rPr>
          <w:rFonts w:hint="eastAsia" w:ascii="宋体" w:hAnsi="宋体" w:eastAsia="宋体"/>
          <w:sz w:val="24"/>
          <w:szCs w:val="24"/>
        </w:rPr>
        <w:t>基础设施台账数据滞后，我区现有5家垃圾分类第三方运营公司，垃圾分类数据台账定期上报管理模式已无法适应快速发展的基础建设，目前区级无智能化监管手段，无法及时上报数据，市级数据滞后，因此在基础设施建设决策时可能会因为信息偏差导致决策失误。</w:t>
      </w:r>
    </w:p>
    <w:p w14:paraId="57E98F15">
      <w:pPr>
        <w:spacing w:line="276" w:lineRule="auto"/>
        <w:ind w:firstLine="420"/>
        <w:rPr>
          <w:rFonts w:hint="eastAsia" w:ascii="宋体" w:hAnsi="宋体" w:eastAsia="宋体"/>
          <w:sz w:val="24"/>
          <w:szCs w:val="24"/>
        </w:rPr>
      </w:pPr>
      <w:r>
        <w:rPr>
          <w:rFonts w:hint="eastAsia" w:ascii="宋体" w:hAnsi="宋体" w:eastAsia="宋体"/>
          <w:sz w:val="24"/>
          <w:szCs w:val="24"/>
        </w:rPr>
        <w:t>静态数据难以服务于基础建设决策，当前的台账数据停留在静态数据阶段，对于基础设施的服务范围、基础设施的实时状态都无法及时了解，导致基础设施服务质量不高。</w:t>
      </w:r>
      <w:bookmarkStart w:id="22" w:name="_Toc54205145"/>
    </w:p>
    <w:p w14:paraId="79999B6C">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缺乏垃圾分类全过程监管体系</w:t>
      </w:r>
    </w:p>
    <w:bookmarkEnd w:id="22"/>
    <w:p w14:paraId="36611087">
      <w:pPr>
        <w:spacing w:line="276" w:lineRule="auto"/>
        <w:ind w:firstLine="420"/>
        <w:rPr>
          <w:rFonts w:hint="eastAsia" w:ascii="宋体" w:hAnsi="宋体" w:eastAsia="宋体"/>
          <w:sz w:val="24"/>
          <w:szCs w:val="24"/>
        </w:rPr>
      </w:pPr>
      <w:r>
        <w:rPr>
          <w:rFonts w:hint="eastAsia" w:ascii="宋体" w:hAnsi="宋体" w:eastAsia="宋体"/>
          <w:sz w:val="24"/>
          <w:szCs w:val="24"/>
        </w:rPr>
        <w:t>垃圾分类业务是一个系统性的工程，投放、收集、转运、处置任何一个环节出现问题都会导致分类整体效果大打折扣，建立贯穿整个业务流程的监管体系是垃圾分类业务监管的核心。全流程业务监管面临着以下挑战：</w:t>
      </w:r>
    </w:p>
    <w:p w14:paraId="57E35772">
      <w:pPr>
        <w:spacing w:line="276" w:lineRule="auto"/>
        <w:ind w:firstLine="420"/>
        <w:rPr>
          <w:rFonts w:hint="eastAsia" w:ascii="宋体" w:hAnsi="宋体" w:eastAsia="宋体"/>
          <w:sz w:val="24"/>
          <w:szCs w:val="24"/>
        </w:rPr>
      </w:pPr>
      <w:r>
        <w:rPr>
          <w:rFonts w:hint="eastAsia" w:ascii="宋体" w:hAnsi="宋体" w:eastAsia="宋体"/>
          <w:sz w:val="24"/>
          <w:szCs w:val="24"/>
        </w:rPr>
        <w:t>当前我区虽然已对垃圾宣教、投放、收运、处置开展各自的监管工作，但由于各环节数据未打通，导致缺少对垃圾分类产、收、处的横向比对分析，垃圾分类源头减量等工作缺少数据依据；</w:t>
      </w:r>
    </w:p>
    <w:p w14:paraId="6CBB0035">
      <w:pPr>
        <w:spacing w:line="276" w:lineRule="auto"/>
        <w:ind w:firstLine="420"/>
        <w:rPr>
          <w:rFonts w:hint="eastAsia" w:ascii="宋体" w:hAnsi="宋体" w:eastAsia="宋体"/>
          <w:sz w:val="24"/>
          <w:szCs w:val="24"/>
        </w:rPr>
      </w:pPr>
      <w:r>
        <w:rPr>
          <w:rFonts w:hint="eastAsia" w:ascii="宋体" w:hAnsi="宋体" w:eastAsia="宋体"/>
          <w:sz w:val="24"/>
          <w:szCs w:val="24"/>
        </w:rPr>
        <w:t>缺乏统一数据标准，由于垃圾分类投、收、运、处涉及到全区所有的镇街以及大量社会服务企业和业务系统，然而各运营服务单位的管理标准又不尽相同，缺乏统一的数据标准，给全区垃圾分类统筹管理带来了不小的挑战。</w:t>
      </w:r>
      <w:bookmarkStart w:id="23" w:name="_Toc54205153"/>
    </w:p>
    <w:p w14:paraId="54D897FC">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垃圾分类宏观进程难掌握，业务进展缺乏系统的展现</w:t>
      </w:r>
    </w:p>
    <w:bookmarkEnd w:id="23"/>
    <w:p w14:paraId="0FBCCA53">
      <w:pPr>
        <w:spacing w:line="276" w:lineRule="auto"/>
        <w:ind w:firstLine="420"/>
        <w:rPr>
          <w:rFonts w:hint="eastAsia" w:ascii="宋体" w:hAnsi="宋体" w:eastAsia="宋体"/>
          <w:sz w:val="24"/>
          <w:szCs w:val="24"/>
        </w:rPr>
      </w:pPr>
      <w:r>
        <w:rPr>
          <w:rFonts w:hint="eastAsia" w:ascii="宋体" w:hAnsi="宋体" w:eastAsia="宋体"/>
          <w:sz w:val="24"/>
          <w:szCs w:val="24"/>
        </w:rPr>
        <w:t>垃圾分类宏观进程主要包括：基础设施建设、分类收集覆盖面、宣教工作覆盖面、分类处置能力建设、分类指标完成度、分类效果等数据，当前文档记录、数据逐级上报的管理模式缺乏对分类工作完成情况的提炼和总结，不利于决策者宏观掌握城市垃圾分类进程，难以为城市垃圾分类决策起到辅助作用。</w:t>
      </w:r>
      <w:bookmarkStart w:id="24" w:name="_Toc54205154"/>
    </w:p>
    <w:p w14:paraId="70B50D0C">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分类数据价值的应用能力提升问题</w:t>
      </w:r>
    </w:p>
    <w:bookmarkEnd w:id="24"/>
    <w:p w14:paraId="0B47EB7C">
      <w:pPr>
        <w:spacing w:line="276" w:lineRule="auto"/>
        <w:ind w:firstLine="420"/>
        <w:rPr>
          <w:rFonts w:hint="eastAsia" w:ascii="宋体" w:hAnsi="宋体" w:eastAsia="宋体"/>
          <w:sz w:val="24"/>
          <w:szCs w:val="24"/>
        </w:rPr>
      </w:pPr>
      <w:r>
        <w:rPr>
          <w:rFonts w:hint="eastAsia" w:ascii="宋体" w:hAnsi="宋体" w:eastAsia="宋体"/>
          <w:sz w:val="24"/>
          <w:szCs w:val="24"/>
        </w:rPr>
        <w:t>垃圾分类处理过程中会产生海量数据，目前的数据处理工作大部分停留在数据采集、汇总和简单的因果分析层面，对数据进行精细化、全面化缺乏处理，忽视垃圾分类影响因素相关分析，是对数据资源的浪费。如何基于数据分析为垃圾分类未来的发展方向和推进重点、分类的短板做定向指导、构建高效的垃圾分类物流体系是现阶段提高数据价值应用能力的难点。</w:t>
      </w:r>
    </w:p>
    <w:p w14:paraId="0FAC30A2">
      <w:pPr>
        <w:pStyle w:val="7"/>
        <w:rPr>
          <w:rFonts w:hint="eastAsia"/>
        </w:rPr>
      </w:pPr>
      <w:bookmarkStart w:id="25" w:name="_Toc29146"/>
      <w:r>
        <w:rPr>
          <w:rFonts w:hint="eastAsia"/>
        </w:rPr>
        <w:t>建筑垃圾业务</w:t>
      </w:r>
      <w:bookmarkEnd w:id="25"/>
    </w:p>
    <w:p w14:paraId="6041BA99">
      <w:pPr>
        <w:spacing w:line="276" w:lineRule="auto"/>
        <w:ind w:firstLine="420"/>
        <w:rPr>
          <w:rFonts w:hint="eastAsia" w:ascii="宋体" w:hAnsi="宋体" w:eastAsia="宋体"/>
          <w:sz w:val="24"/>
          <w:szCs w:val="24"/>
        </w:rPr>
      </w:pPr>
      <w:bookmarkStart w:id="26" w:name="_Toc194522843"/>
      <w:r>
        <w:rPr>
          <w:rFonts w:hint="eastAsia" w:ascii="宋体" w:hAnsi="宋体" w:eastAsia="宋体"/>
          <w:sz w:val="24"/>
          <w:szCs w:val="24"/>
        </w:rPr>
        <w:t>通过对我区建筑垃圾业务调研，总结以下建筑垃圾业务监管问题：</w:t>
      </w:r>
    </w:p>
    <w:p w14:paraId="5537440A">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责任主体分散、产生数据难以溯源</w:t>
      </w:r>
    </w:p>
    <w:bookmarkEnd w:id="26"/>
    <w:p w14:paraId="10FF3087">
      <w:pPr>
        <w:spacing w:line="276" w:lineRule="auto"/>
        <w:ind w:firstLine="420"/>
        <w:rPr>
          <w:rFonts w:hint="eastAsia" w:ascii="宋体" w:hAnsi="宋体" w:eastAsia="宋体"/>
          <w:sz w:val="24"/>
          <w:szCs w:val="24"/>
        </w:rPr>
      </w:pPr>
      <w:r>
        <w:rPr>
          <w:rFonts w:hint="eastAsia" w:ascii="宋体" w:hAnsi="宋体" w:eastAsia="宋体"/>
          <w:sz w:val="24"/>
          <w:szCs w:val="24"/>
        </w:rPr>
        <w:t>在建筑垃圾产生源、运输单位、处置终端“三级联单”管理的趋势下，由于产生源头分散且成分复杂，监管部门难以对建筑垃圾的产生源、产生数量、分类质量进行精准把控，源头乱堆放问题也难以得到有效解决。</w:t>
      </w:r>
    </w:p>
    <w:p w14:paraId="29A115DB">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运营企业资质审批繁琐低效，市场秩序混乱</w:t>
      </w:r>
    </w:p>
    <w:p w14:paraId="29DAE111">
      <w:pPr>
        <w:spacing w:line="276" w:lineRule="auto"/>
        <w:ind w:firstLine="420"/>
        <w:rPr>
          <w:rFonts w:hint="eastAsia" w:ascii="宋体" w:hAnsi="宋体" w:eastAsia="宋体"/>
          <w:sz w:val="24"/>
          <w:szCs w:val="24"/>
        </w:rPr>
      </w:pPr>
      <w:r>
        <w:rPr>
          <w:rFonts w:hint="eastAsia" w:ascii="宋体" w:hAnsi="宋体" w:eastAsia="宋体"/>
          <w:sz w:val="24"/>
          <w:szCs w:val="24"/>
        </w:rPr>
        <w:t>建筑垃圾随着市场机制的健全，逐渐形成包括收集、运输、分拣、处置各个流程市场化运营体系，其中涉及多个业务主体的资质申报与管理，传统的审批手段不但耗时耗力，在归档后更是难以查找，对整个审批过程无法做到精细化的管理。同时，市场上也充斥着部分没有资质的运输车辆，车辆本身未达到密封化要求，私拉偷排等行为在影响道路安全和市容卫生水平的同时，扰乱了垃圾清运处置市场。</w:t>
      </w:r>
    </w:p>
    <w:p w14:paraId="4A87C81F">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偷到乱倒现象严重，影响城市环境卫生水平</w:t>
      </w:r>
    </w:p>
    <w:p w14:paraId="4B3460AC">
      <w:pPr>
        <w:spacing w:line="276" w:lineRule="auto"/>
        <w:ind w:firstLine="420"/>
        <w:rPr>
          <w:rFonts w:hint="eastAsia" w:ascii="宋体" w:hAnsi="宋体" w:eastAsia="宋体"/>
          <w:sz w:val="24"/>
          <w:szCs w:val="24"/>
        </w:rPr>
      </w:pPr>
      <w:r>
        <w:rPr>
          <w:rFonts w:hint="eastAsia" w:ascii="宋体" w:hAnsi="宋体" w:eastAsia="宋体"/>
          <w:sz w:val="24"/>
          <w:szCs w:val="24"/>
        </w:rPr>
        <w:t>部分装修垃圾排放者将大件垃圾随意堆放在城市主次干道两侧、楼道口、垃圾桶旁或绿化内，不围挡、不及时清运，既影响了街道卫生环境，影响了其他居民的出行，还会造成火灾等安全隐患。偷排的无主垃圾成为影响城市环境的重要问题，如何对该问题有效管理，成为主管部门的焦点问题。</w:t>
      </w:r>
    </w:p>
    <w:p w14:paraId="7D54B77B">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运输车辆缺少实时监管，难以约束收运行为</w:t>
      </w:r>
    </w:p>
    <w:p w14:paraId="337EBE81">
      <w:pPr>
        <w:spacing w:line="276" w:lineRule="auto"/>
        <w:ind w:firstLine="420"/>
        <w:rPr>
          <w:rFonts w:hint="eastAsia" w:ascii="宋体" w:hAnsi="宋体" w:eastAsia="宋体"/>
          <w:sz w:val="24"/>
          <w:szCs w:val="24"/>
        </w:rPr>
      </w:pPr>
      <w:r>
        <w:rPr>
          <w:rFonts w:hint="eastAsia" w:ascii="宋体" w:hAnsi="宋体" w:eastAsia="宋体"/>
          <w:sz w:val="24"/>
          <w:szCs w:val="24"/>
        </w:rPr>
        <w:t>建筑垃圾收运需要清运资质，且对于车辆密闭等运输车辆安全有一定标准规范，在市场化单位逐利的驱动下，利用监管漏洞，运输企业用不符合运输标准和资质的“黑车”收运，使得非法运营不受管控，且在运输过程中的车辆未密封、未按规定路线行驶、超高过载等行为也无法实时获知，对造成的抛洒滴漏，影响交通安全，引发交通事故等现象无法有效规避，对市民的生活造成了恶劣的影响，同时给稽查人员带来了较大的工作量与工作难度。</w:t>
      </w:r>
    </w:p>
    <w:p w14:paraId="4BB674D0">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资源化利用数据难掌握，处置过程缺少监管</w:t>
      </w:r>
    </w:p>
    <w:p w14:paraId="4979151E">
      <w:pPr>
        <w:spacing w:line="276" w:lineRule="auto"/>
        <w:ind w:firstLine="420"/>
        <w:rPr>
          <w:rFonts w:hint="eastAsia" w:ascii="宋体" w:hAnsi="宋体" w:eastAsia="宋体"/>
          <w:sz w:val="24"/>
          <w:szCs w:val="24"/>
        </w:rPr>
      </w:pPr>
      <w:r>
        <w:rPr>
          <w:rFonts w:hint="eastAsia" w:ascii="宋体" w:hAnsi="宋体" w:eastAsia="宋体"/>
          <w:sz w:val="24"/>
          <w:szCs w:val="24"/>
        </w:rPr>
        <w:t>建筑垃圾的中混合大量的有毒有害物质，石膏等和生活垃圾混合在一起有可能会造成严重的二次污染，同时建筑垃圾的资源化价值也较高，建筑垃圾资源化利用数据是评估城市建筑垃圾处理现状和发展趋势的重要指标，管理部门对处置终端进厂数据、处置工艺以及产物数据的监管追踪缺少工具，对于扬尘、噪声等污染排放超标情况也无法实时获知，使得管理部门无法对资源化建筑垃圾的资源化利用进程和规范性进行有效监管。</w:t>
      </w:r>
    </w:p>
    <w:p w14:paraId="0FE7AB71">
      <w:pPr>
        <w:pStyle w:val="7"/>
        <w:rPr>
          <w:rFonts w:hint="eastAsia"/>
        </w:rPr>
      </w:pPr>
      <w:bookmarkStart w:id="27" w:name="_Toc16101"/>
      <w:r>
        <w:rPr>
          <w:rFonts w:hint="eastAsia"/>
        </w:rPr>
        <w:t>数字化城管业务</w:t>
      </w:r>
      <w:bookmarkEnd w:id="27"/>
    </w:p>
    <w:p w14:paraId="1DA80F88">
      <w:pPr>
        <w:spacing w:line="276" w:lineRule="auto"/>
        <w:ind w:firstLine="420"/>
        <w:rPr>
          <w:rFonts w:hint="eastAsia" w:ascii="宋体" w:hAnsi="宋体" w:eastAsia="宋体" w:cs="仿宋"/>
          <w:sz w:val="24"/>
          <w:szCs w:val="24"/>
          <w:lang w:bidi="ar"/>
        </w:rPr>
      </w:pPr>
      <w:r>
        <w:rPr>
          <w:rFonts w:hint="eastAsia" w:ascii="宋体" w:hAnsi="宋体" w:eastAsia="宋体" w:cs="仿宋"/>
          <w:sz w:val="24"/>
          <w:szCs w:val="24"/>
          <w:lang w:bidi="ar"/>
        </w:rPr>
        <w:t>虽然大丰区城管信息化系统及基础环境建设工作取得了一定的成绩，但由于建设时间较早投入过少，相对于目前国家、省级部门新标准、新要求和新时期城市运行管理服务工作的发展而言，仍存在着一些差距和不足。大丰区离城市运行管理服务平台系统要求相差甚远，行业应用场景十分欠缺，无法提升城市精细化管理的需要。</w:t>
      </w:r>
    </w:p>
    <w:p w14:paraId="4520BA01">
      <w:pPr>
        <w:spacing w:line="276" w:lineRule="auto"/>
        <w:rPr>
          <w:rFonts w:hint="eastAsia" w:ascii="宋体" w:hAnsi="宋体" w:eastAsia="宋体"/>
          <w:sz w:val="24"/>
          <w:szCs w:val="24"/>
        </w:rPr>
      </w:pPr>
    </w:p>
    <w:p w14:paraId="2F0D9A11">
      <w:pPr>
        <w:rPr>
          <w:rFonts w:hint="eastAsia"/>
        </w:rPr>
      </w:pPr>
      <w:bookmarkStart w:id="28" w:name="_Toc3471"/>
      <w:r>
        <w:rPr>
          <w:rFonts w:hint="eastAsia"/>
        </w:rPr>
        <w:br w:type="page"/>
      </w:r>
    </w:p>
    <w:p w14:paraId="7DC98853">
      <w:pPr>
        <w:pStyle w:val="4"/>
        <w:rPr>
          <w:rFonts w:hint="eastAsia"/>
        </w:rPr>
      </w:pPr>
      <w:r>
        <w:rPr>
          <w:rFonts w:hint="eastAsia"/>
        </w:rPr>
        <w:t>需求分析</w:t>
      </w:r>
      <w:bookmarkEnd w:id="28"/>
    </w:p>
    <w:p w14:paraId="06955B8A">
      <w:pPr>
        <w:pStyle w:val="5"/>
        <w:rPr>
          <w:rFonts w:hint="eastAsia"/>
        </w:rPr>
      </w:pPr>
      <w:bookmarkStart w:id="29" w:name="_Toc23305"/>
      <w:r>
        <w:rPr>
          <w:rFonts w:hint="eastAsia"/>
        </w:rPr>
        <w:t>与政务职能相关的社会问题和政务目标分析</w:t>
      </w:r>
      <w:bookmarkEnd w:id="29"/>
    </w:p>
    <w:p w14:paraId="7CAC7EAC">
      <w:pPr>
        <w:pStyle w:val="7"/>
        <w:rPr>
          <w:rFonts w:hint="eastAsia"/>
        </w:rPr>
      </w:pPr>
      <w:bookmarkStart w:id="30" w:name="_Toc12470"/>
      <w:r>
        <w:rPr>
          <w:rFonts w:hint="eastAsia"/>
        </w:rPr>
        <w:t>与政务职能相关的社会问题</w:t>
      </w:r>
      <w:bookmarkEnd w:id="30"/>
    </w:p>
    <w:p w14:paraId="7ECB59FC">
      <w:pPr>
        <w:pStyle w:val="8"/>
        <w:rPr>
          <w:rFonts w:hint="eastAsia"/>
        </w:rPr>
      </w:pPr>
      <w:r>
        <w:rPr>
          <w:rFonts w:hint="eastAsia"/>
        </w:rPr>
        <w:t>提升城市精细化管理水平</w:t>
      </w:r>
    </w:p>
    <w:p w14:paraId="2FFABD09">
      <w:pPr>
        <w:spacing w:line="276" w:lineRule="auto"/>
        <w:ind w:firstLine="420"/>
        <w:rPr>
          <w:rFonts w:hint="eastAsia" w:ascii="宋体" w:hAnsi="宋体" w:eastAsia="宋体"/>
          <w:sz w:val="24"/>
          <w:szCs w:val="24"/>
        </w:rPr>
      </w:pPr>
      <w:r>
        <w:rPr>
          <w:rFonts w:hint="eastAsia" w:ascii="宋体" w:hAnsi="宋体" w:eastAsia="宋体"/>
          <w:sz w:val="24"/>
          <w:szCs w:val="24"/>
        </w:rPr>
        <w:t>在新一轮城市发展中，城市管理既要保障大规模建设的顺利推进，更要服务于城市功能的整体提升。一方面，大建设所提供高质量物质基础和载体，将对城市管理提出新的更高要求。另一方面，现有城市基础设施的优化运作，将要求城市管理手段不断更新。随着基础设施容量的不断扩大，市民对城市交通、环境、居住等质量要求日趋增强，城市管理快速反应和动态调控的需求也越来越高，进一步拓展问题发展方式，利用智能化手段提高管理效率，加强部门间业务协同是城市管理发展的必然趋势。城市运行管理服务平台将促进管理从定性变为定量、静态变为动态、单一变为综合，从而发挥现有基础设施的最佳效能，进一步提高城市的运行效率，不断满足城市生产和人民生活的需要。</w:t>
      </w:r>
    </w:p>
    <w:p w14:paraId="25C60D4C">
      <w:pPr>
        <w:pStyle w:val="8"/>
        <w:rPr>
          <w:rFonts w:hint="eastAsia"/>
        </w:rPr>
      </w:pPr>
      <w:r>
        <w:rPr>
          <w:rFonts w:hint="eastAsia"/>
        </w:rPr>
        <w:t>提升城市决策分析能力</w:t>
      </w:r>
    </w:p>
    <w:p w14:paraId="1E548A87">
      <w:pPr>
        <w:spacing w:line="276" w:lineRule="auto"/>
        <w:ind w:firstLine="420"/>
        <w:rPr>
          <w:rFonts w:hint="eastAsia" w:ascii="宋体" w:hAnsi="宋体" w:eastAsia="宋体"/>
          <w:sz w:val="24"/>
          <w:szCs w:val="24"/>
        </w:rPr>
      </w:pPr>
      <w:r>
        <w:rPr>
          <w:rFonts w:hint="eastAsia" w:ascii="宋体" w:hAnsi="宋体" w:eastAsia="宋体"/>
          <w:sz w:val="24"/>
          <w:szCs w:val="24"/>
        </w:rPr>
        <w:t>现有城市管理部门众多，存在职能重叠、多头管理、多头不管的情况，间接导致城市管理决策者越来越难以完整及时的获得有关信息，直接影响了领导决策的客观性和准确性；此外，绝大部分的城市管理工作仍旧偏向于事后行为，城市管理有关事件、问题上还没有建立起完善的分析、预测机制，对于事前的预防工作较为薄弱，一定程度上某些城市管理行为是在做重复功与无用功，没有做到从源头着手、长效治理。通过城市运行管理服务平台通过分析城市管理问题发生的规律，找出其中本质的原因，从根本上加以预防，提高决策的科学性和管理的水平，极大地降低政府城市管理成本。同时，建立“用数据说话、用数据决策、用数据管理、用数据创新”的管理机制，实现基于数据的科学决策，将推动政府管理理念和社会治理模式进步。</w:t>
      </w:r>
    </w:p>
    <w:p w14:paraId="206C132C">
      <w:pPr>
        <w:pStyle w:val="8"/>
        <w:rPr>
          <w:rFonts w:hint="eastAsia"/>
        </w:rPr>
      </w:pPr>
      <w:r>
        <w:rPr>
          <w:rFonts w:hint="eastAsia"/>
        </w:rPr>
        <w:t>提升公众服务能力</w:t>
      </w:r>
    </w:p>
    <w:p w14:paraId="620EC742">
      <w:pPr>
        <w:spacing w:line="276" w:lineRule="auto"/>
        <w:ind w:firstLine="420"/>
        <w:rPr>
          <w:rFonts w:hint="eastAsia" w:ascii="宋体" w:hAnsi="宋体" w:eastAsia="宋体"/>
          <w:sz w:val="24"/>
          <w:szCs w:val="24"/>
        </w:rPr>
      </w:pPr>
      <w:r>
        <w:rPr>
          <w:rFonts w:hint="eastAsia" w:ascii="宋体" w:hAnsi="宋体" w:eastAsia="宋体"/>
          <w:sz w:val="24"/>
          <w:szCs w:val="24"/>
        </w:rPr>
        <w:t>城管部门的较多职能仍旧依靠传统方式办理，形式单一、效率低下且流程繁琐。此外，城市管理的有关信息资源对市民开放程度不够，使得城市管理社会化服务程度不高，容易加深城市管理工作者与广大群众的矛盾与冲突。“城市运行管理服务平台”的建设，在一定程度上要求实现城市管理有关数据的公开、共享，便捷市民的查询、投诉、建议等需求，只有将政府数据进行有效的、有限度的公开，才能做到市民参与城市管理、配合城市管理，共同推进城市运行管理服务平台建设。此外，城市管理的信息采集需要拓展其采集渠道与方式，鼓励市民主动参与其中，将每一个市民都变成政府的信息采集员，既在很大程度上满足了市民希望参与城市管理、享受政府服务的需求，又能降低政府开支，提高政府信息采集速度和问题处置效率，最终达到“减员增效”的目的，提高市民对政府城市管理工作的满意度。</w:t>
      </w:r>
    </w:p>
    <w:p w14:paraId="05AF5B36">
      <w:pPr>
        <w:pStyle w:val="7"/>
        <w:rPr>
          <w:rFonts w:hint="eastAsia"/>
        </w:rPr>
      </w:pPr>
      <w:bookmarkStart w:id="31" w:name="_Toc26578"/>
      <w:r>
        <w:rPr>
          <w:rFonts w:hint="eastAsia"/>
        </w:rPr>
        <w:t>政务目标分析</w:t>
      </w:r>
      <w:bookmarkEnd w:id="31"/>
    </w:p>
    <w:p w14:paraId="0B1FD6EF">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本次大丰区城市运行管理服务平台项目将基于盐城市城市运行管理服务平台</w:t>
      </w:r>
      <w:r>
        <w:rPr>
          <w:rFonts w:hint="eastAsia" w:ascii="宋体" w:hAnsi="宋体" w:eastAsia="宋体" w:cs="仿宋"/>
          <w:sz w:val="24"/>
          <w:szCs w:val="24"/>
          <w:lang w:val="en-US" w:eastAsia="zh-CN" w:bidi="ar"/>
        </w:rPr>
        <w:t>项目成果</w:t>
      </w:r>
      <w:r>
        <w:rPr>
          <w:rFonts w:hint="eastAsia" w:ascii="宋体" w:hAnsi="宋体" w:eastAsia="宋体" w:cs="仿宋"/>
          <w:sz w:val="24"/>
          <w:szCs w:val="24"/>
          <w:lang w:bidi="ar"/>
        </w:rPr>
        <w:t>进行本地化部署，行业应用结合大丰区实际规划设计，以城市运行管理“一网统管”为目标，围绕城市运行安全高效健康、城市管理干净整洁有序、为民服务精准精细精致，以物联网、大数据、人工智能、5G移动通信等前沿技术为支撑，整合城市运行管理服务相关信息系统，汇聚共享数据资源，加快现有信息化系统的迭代升级，全面建成城市运管服平台，加强对城市运行管理服务状况的实时监测、动态分析、统筹协调、指挥监督和综合评价，不断增强人民群众的获得感、幸福感、安全感。</w:t>
      </w:r>
    </w:p>
    <w:p w14:paraId="44F006FD">
      <w:pPr>
        <w:pStyle w:val="5"/>
        <w:rPr>
          <w:rFonts w:hint="eastAsia"/>
        </w:rPr>
      </w:pPr>
      <w:bookmarkStart w:id="32" w:name="_Toc711"/>
      <w:r>
        <w:rPr>
          <w:rFonts w:hint="eastAsia"/>
        </w:rPr>
        <w:t>业务需求、业务流程</w:t>
      </w:r>
      <w:bookmarkEnd w:id="32"/>
    </w:p>
    <w:p w14:paraId="32E8B65A">
      <w:pPr>
        <w:pStyle w:val="7"/>
        <w:rPr>
          <w:rFonts w:hint="eastAsia"/>
        </w:rPr>
      </w:pPr>
      <w:bookmarkStart w:id="33" w:name="_Toc23480"/>
      <w:r>
        <w:rPr>
          <w:rFonts w:hint="eastAsia"/>
        </w:rPr>
        <w:t>业务需求分析</w:t>
      </w:r>
      <w:bookmarkEnd w:id="33"/>
    </w:p>
    <w:p w14:paraId="5242D7F2">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数据体系需求分析</w:t>
      </w:r>
    </w:p>
    <w:p w14:paraId="6A039FEF">
      <w:pPr>
        <w:pStyle w:val="14"/>
        <w:ind w:left="0" w:firstLine="0"/>
      </w:pPr>
      <w:r>
        <w:rPr>
          <w:rFonts w:hint="eastAsia"/>
          <w:lang w:val="en-US" w:eastAsia="zh-CN"/>
        </w:rPr>
        <w:t>建立综合性城市管理数据库</w:t>
      </w:r>
    </w:p>
    <w:p w14:paraId="1ECF0FE2">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将结合实际，厘清对城管应用所需的各类部事件目录的权责清单，全面摸清城市管理基础数据、运行数据、管理数据、服务数据和综合评价数据等现状，做到底数清、问题清、责任清，并根据运行管理服务平台建设指南的相关要求，建立并完善综合性城市管理数据库，包括城市基础数据、城市运行、管理、服务和综合评价等数据。</w:t>
      </w:r>
    </w:p>
    <w:p w14:paraId="7DECA1E4">
      <w:pPr>
        <w:pStyle w:val="14"/>
        <w:ind w:left="0" w:firstLine="0"/>
        <w:rPr>
          <w:rFonts w:hint="eastAsia"/>
        </w:rPr>
      </w:pPr>
      <w:bookmarkStart w:id="34" w:name="_Toc194522873"/>
      <w:r>
        <w:rPr>
          <w:rFonts w:hint="eastAsia" w:cstheme="minorBidi"/>
          <w:b/>
          <w:bCs/>
          <w:kern w:val="2"/>
          <w:sz w:val="24"/>
          <w:szCs w:val="24"/>
          <w:lang w:val="en-US" w:eastAsia="zh-CN" w:bidi="ar-SA"/>
        </w:rPr>
        <w:t>其他</w:t>
      </w:r>
      <w:r>
        <w:rPr>
          <w:rFonts w:hint="eastAsia"/>
        </w:rPr>
        <w:t>政府部门（单位）的数据共享需求</w:t>
      </w:r>
      <w:bookmarkEnd w:id="34"/>
    </w:p>
    <w:p w14:paraId="43CA9A16">
      <w:pPr>
        <w:spacing w:line="276" w:lineRule="auto"/>
        <w:ind w:firstLine="480"/>
        <w:rPr>
          <w:rFonts w:hint="eastAsia" w:ascii="宋体" w:hAnsi="宋体" w:eastAsia="宋体"/>
          <w:sz w:val="24"/>
          <w:szCs w:val="24"/>
        </w:rPr>
      </w:pPr>
      <w:r>
        <w:rPr>
          <w:rFonts w:hint="eastAsia" w:ascii="宋体" w:hAnsi="宋体" w:eastAsia="宋体"/>
          <w:sz w:val="24"/>
          <w:szCs w:val="24"/>
        </w:rPr>
        <w:t>按照中华人民共和国国务院令(第809号)《政务数据共享条例》和大丰区城市管理实际需求，</w:t>
      </w:r>
      <w:r>
        <w:rPr>
          <w:rFonts w:hint="eastAsia" w:ascii="宋体" w:hAnsi="宋体" w:eastAsia="宋体"/>
          <w:sz w:val="24"/>
          <w:szCs w:val="24"/>
          <w:lang w:eastAsia="zh-CN"/>
        </w:rPr>
        <w:t>经与相关部门沟通，确定</w:t>
      </w:r>
      <w:r>
        <w:rPr>
          <w:rFonts w:hint="eastAsia" w:ascii="宋体" w:hAnsi="宋体" w:eastAsia="宋体"/>
          <w:sz w:val="24"/>
          <w:szCs w:val="24"/>
        </w:rPr>
        <w:t>如下数据需求清单（初步拟定）。</w:t>
      </w:r>
    </w:p>
    <w:p w14:paraId="5533D8CB">
      <w:pPr>
        <w:pStyle w:val="15"/>
        <w:rPr>
          <w:rFonts w:hint="eastAsia" w:ascii="宋体" w:hAnsi="宋体"/>
        </w:rPr>
      </w:pPr>
      <w:bookmarkStart w:id="35" w:name="_Toc138067445"/>
      <w:r>
        <w:rPr>
          <w:rFonts w:hint="eastAsia" w:ascii="宋体" w:hAnsi="宋体"/>
          <w:lang w:val="en-US" w:eastAsia="zh-CN"/>
        </w:rPr>
        <w:t>需要</w:t>
      </w:r>
      <w:bookmarkStart w:id="36" w:name="OLE_LINK1"/>
      <w:r>
        <w:rPr>
          <w:rFonts w:hint="eastAsia" w:ascii="宋体" w:hAnsi="宋体"/>
        </w:rPr>
        <w:t>住建局</w:t>
      </w:r>
      <w:r>
        <w:rPr>
          <w:rFonts w:hint="eastAsia" w:ascii="宋体" w:hAnsi="宋体"/>
          <w:lang w:val="en-US" w:eastAsia="zh-CN"/>
        </w:rPr>
        <w:t>提供</w:t>
      </w:r>
      <w:bookmarkEnd w:id="36"/>
      <w:r>
        <w:rPr>
          <w:rFonts w:hint="eastAsia" w:ascii="宋体" w:hAnsi="宋体"/>
          <w:lang w:val="en-US" w:eastAsia="zh-CN"/>
        </w:rPr>
        <w:t>的相关</w:t>
      </w:r>
      <w:r>
        <w:rPr>
          <w:rFonts w:hint="eastAsia"/>
        </w:rPr>
        <w:t>数据</w:t>
      </w:r>
      <w:bookmarkEnd w:id="35"/>
    </w:p>
    <w:tbl>
      <w:tblPr>
        <w:tblStyle w:val="90"/>
        <w:tblW w:w="5000" w:type="pct"/>
        <w:tblInd w:w="0" w:type="dxa"/>
        <w:tblLayout w:type="autofit"/>
        <w:tblCellMar>
          <w:top w:w="0" w:type="dxa"/>
          <w:left w:w="108" w:type="dxa"/>
          <w:bottom w:w="0" w:type="dxa"/>
          <w:right w:w="108" w:type="dxa"/>
        </w:tblCellMar>
      </w:tblPr>
      <w:tblGrid>
        <w:gridCol w:w="653"/>
        <w:gridCol w:w="1084"/>
        <w:gridCol w:w="4317"/>
        <w:gridCol w:w="1081"/>
        <w:gridCol w:w="1387"/>
      </w:tblGrid>
      <w:tr w14:paraId="5228C1F6">
        <w:tblPrEx>
          <w:tblCellMar>
            <w:top w:w="0" w:type="dxa"/>
            <w:left w:w="108" w:type="dxa"/>
            <w:bottom w:w="0" w:type="dxa"/>
            <w:right w:w="108" w:type="dxa"/>
          </w:tblCellMar>
        </w:tblPrEx>
        <w:trPr>
          <w:trHeight w:val="499" w:hRule="atLeast"/>
        </w:trPr>
        <w:tc>
          <w:tcPr>
            <w:tcW w:w="383" w:type="pct"/>
            <w:tcBorders>
              <w:top w:val="single" w:color="auto" w:sz="4" w:space="0"/>
              <w:left w:val="single" w:color="auto" w:sz="4" w:space="0"/>
              <w:bottom w:val="single" w:color="auto" w:sz="4" w:space="0"/>
              <w:right w:val="single" w:color="auto" w:sz="4" w:space="0"/>
            </w:tcBorders>
            <w:noWrap/>
            <w:vAlign w:val="center"/>
          </w:tcPr>
          <w:p w14:paraId="4CDE1258">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序号</w:t>
            </w:r>
          </w:p>
        </w:tc>
        <w:tc>
          <w:tcPr>
            <w:tcW w:w="636" w:type="pct"/>
            <w:tcBorders>
              <w:top w:val="single" w:color="auto" w:sz="4" w:space="0"/>
              <w:left w:val="nil"/>
              <w:bottom w:val="single" w:color="auto" w:sz="4" w:space="0"/>
              <w:right w:val="single" w:color="auto" w:sz="4" w:space="0"/>
            </w:tcBorders>
            <w:noWrap/>
            <w:vAlign w:val="center"/>
          </w:tcPr>
          <w:p w14:paraId="6C92D865">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需要数据</w:t>
            </w:r>
          </w:p>
        </w:tc>
        <w:tc>
          <w:tcPr>
            <w:tcW w:w="2532" w:type="pct"/>
            <w:tcBorders>
              <w:top w:val="single" w:color="auto" w:sz="4" w:space="0"/>
              <w:left w:val="nil"/>
              <w:bottom w:val="single" w:color="auto" w:sz="4" w:space="0"/>
              <w:right w:val="single" w:color="auto" w:sz="4" w:space="0"/>
            </w:tcBorders>
            <w:noWrap/>
            <w:vAlign w:val="center"/>
          </w:tcPr>
          <w:p w14:paraId="662CB260">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数据内容</w:t>
            </w:r>
          </w:p>
        </w:tc>
        <w:tc>
          <w:tcPr>
            <w:tcW w:w="634" w:type="pct"/>
            <w:tcBorders>
              <w:top w:val="single" w:color="auto" w:sz="4" w:space="0"/>
              <w:left w:val="nil"/>
              <w:bottom w:val="single" w:color="auto" w:sz="4" w:space="0"/>
              <w:right w:val="single" w:color="auto" w:sz="4" w:space="0"/>
            </w:tcBorders>
            <w:noWrap/>
            <w:vAlign w:val="center"/>
          </w:tcPr>
          <w:p w14:paraId="4D26E43C">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已有数据</w:t>
            </w:r>
          </w:p>
        </w:tc>
        <w:tc>
          <w:tcPr>
            <w:tcW w:w="813" w:type="pct"/>
            <w:tcBorders>
              <w:top w:val="single" w:color="auto" w:sz="4" w:space="0"/>
              <w:left w:val="nil"/>
              <w:bottom w:val="single" w:color="auto" w:sz="4" w:space="0"/>
              <w:right w:val="single" w:color="auto" w:sz="4" w:space="0"/>
            </w:tcBorders>
            <w:vAlign w:val="center"/>
          </w:tcPr>
          <w:p w14:paraId="591DFCF6">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缺少数据</w:t>
            </w:r>
          </w:p>
        </w:tc>
      </w:tr>
      <w:tr w14:paraId="3D569727">
        <w:tblPrEx>
          <w:tblCellMar>
            <w:top w:w="0" w:type="dxa"/>
            <w:left w:w="108" w:type="dxa"/>
            <w:bottom w:w="0" w:type="dxa"/>
            <w:right w:w="108" w:type="dxa"/>
          </w:tblCellMar>
        </w:tblPrEx>
        <w:trPr>
          <w:trHeight w:val="1257" w:hRule="atLeast"/>
        </w:trPr>
        <w:tc>
          <w:tcPr>
            <w:tcW w:w="383" w:type="pct"/>
            <w:vMerge w:val="restart"/>
            <w:tcBorders>
              <w:top w:val="nil"/>
              <w:left w:val="single" w:color="auto" w:sz="4" w:space="0"/>
              <w:bottom w:val="single" w:color="auto" w:sz="4" w:space="0"/>
              <w:right w:val="single" w:color="auto" w:sz="4" w:space="0"/>
            </w:tcBorders>
            <w:noWrap/>
            <w:vAlign w:val="center"/>
          </w:tcPr>
          <w:p w14:paraId="1E366D9E">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w:t>
            </w:r>
          </w:p>
        </w:tc>
        <w:tc>
          <w:tcPr>
            <w:tcW w:w="636" w:type="pct"/>
            <w:vMerge w:val="restart"/>
            <w:tcBorders>
              <w:top w:val="nil"/>
              <w:left w:val="single" w:color="auto" w:sz="4" w:space="0"/>
              <w:bottom w:val="single" w:color="auto" w:sz="4" w:space="0"/>
              <w:right w:val="single" w:color="auto" w:sz="4" w:space="0"/>
            </w:tcBorders>
            <w:noWrap/>
            <w:vAlign w:val="center"/>
          </w:tcPr>
          <w:p w14:paraId="78EDCBD2">
            <w:pPr>
              <w:keepNext w:val="0"/>
              <w:keepLines w:val="0"/>
              <w:suppressLineNumbers w:val="0"/>
              <w:spacing w:before="0" w:beforeAutospacing="0" w:after="0" w:afterAutospacing="0" w:line="276" w:lineRule="auto"/>
              <w:ind w:left="0" w:right="0"/>
              <w:jc w:val="center"/>
              <w:rPr>
                <w:rFonts w:hint="eastAsia" w:ascii="宋体" w:hAnsi="宋体" w:eastAsia="宋体" w:cs="宋体"/>
                <w:sz w:val="20"/>
                <w:szCs w:val="20"/>
              </w:rPr>
            </w:pPr>
            <w:r>
              <w:rPr>
                <w:rFonts w:hint="eastAsia" w:ascii="宋体" w:hAnsi="宋体" w:eastAsia="宋体" w:cs="宋体"/>
                <w:sz w:val="20"/>
                <w:szCs w:val="20"/>
              </w:rPr>
              <w:t>市政公用</w:t>
            </w:r>
          </w:p>
        </w:tc>
        <w:tc>
          <w:tcPr>
            <w:tcW w:w="2532" w:type="pct"/>
            <w:tcBorders>
              <w:top w:val="nil"/>
              <w:left w:val="nil"/>
              <w:bottom w:val="single" w:color="auto" w:sz="4" w:space="0"/>
              <w:right w:val="single" w:color="auto" w:sz="4" w:space="0"/>
            </w:tcBorders>
            <w:vAlign w:val="center"/>
          </w:tcPr>
          <w:p w14:paraId="47553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道路：</w:t>
            </w:r>
            <w:r>
              <w:rPr>
                <w:rFonts w:hint="eastAsia" w:ascii="宋体" w:hAnsi="宋体" w:eastAsia="宋体" w:cs="宋体"/>
                <w:sz w:val="17"/>
                <w:szCs w:val="17"/>
              </w:rPr>
              <w:br w:type="textWrapping"/>
            </w:r>
            <w:r>
              <w:rPr>
                <w:rFonts w:hint="eastAsia" w:ascii="宋体" w:hAnsi="宋体" w:eastAsia="宋体" w:cs="宋体"/>
                <w:sz w:val="17"/>
                <w:szCs w:val="17"/>
              </w:rPr>
              <w:t>（1）基础数据：道路名称、道路编码、道路类别、路面类型、道路起点、道路终点、养护等级、荷载等级、道路总长度、车道数</w:t>
            </w:r>
            <w:r>
              <w:rPr>
                <w:rFonts w:hint="eastAsia" w:ascii="宋体" w:hAnsi="宋体" w:eastAsia="宋体" w:cs="宋体"/>
                <w:sz w:val="17"/>
                <w:szCs w:val="17"/>
              </w:rPr>
              <w:br w:type="textWrapping"/>
            </w:r>
            <w:r>
              <w:rPr>
                <w:rFonts w:hint="eastAsia" w:ascii="宋体" w:hAnsi="宋体" w:eastAsia="宋体" w:cs="宋体"/>
                <w:sz w:val="17"/>
                <w:szCs w:val="17"/>
              </w:rPr>
              <w:t>（2）运维数据：养护道路名称、路段编码、起始点、终止点、具体位置、长度、开工时间、计划竣工时间</w:t>
            </w:r>
          </w:p>
        </w:tc>
        <w:tc>
          <w:tcPr>
            <w:tcW w:w="634" w:type="pct"/>
            <w:tcBorders>
              <w:top w:val="nil"/>
              <w:left w:val="nil"/>
              <w:bottom w:val="single" w:color="auto" w:sz="4" w:space="0"/>
              <w:right w:val="single" w:color="auto" w:sz="4" w:space="0"/>
            </w:tcBorders>
            <w:noWrap/>
            <w:vAlign w:val="center"/>
          </w:tcPr>
          <w:p w14:paraId="222130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813" w:type="pct"/>
            <w:tcBorders>
              <w:top w:val="nil"/>
              <w:left w:val="nil"/>
              <w:bottom w:val="single" w:color="auto" w:sz="4" w:space="0"/>
              <w:right w:val="single" w:color="auto" w:sz="4" w:space="0"/>
            </w:tcBorders>
            <w:vAlign w:val="center"/>
          </w:tcPr>
          <w:p w14:paraId="48F5D9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基础数据、运维数据</w:t>
            </w:r>
          </w:p>
        </w:tc>
      </w:tr>
      <w:tr w14:paraId="2FC712E9">
        <w:tblPrEx>
          <w:tblCellMar>
            <w:top w:w="0" w:type="dxa"/>
            <w:left w:w="108" w:type="dxa"/>
            <w:bottom w:w="0" w:type="dxa"/>
            <w:right w:w="108" w:type="dxa"/>
          </w:tblCellMar>
        </w:tblPrEx>
        <w:trPr>
          <w:trHeight w:val="90" w:hRule="atLeast"/>
        </w:trPr>
        <w:tc>
          <w:tcPr>
            <w:tcW w:w="383" w:type="pct"/>
            <w:vMerge w:val="continue"/>
            <w:tcBorders>
              <w:top w:val="nil"/>
              <w:left w:val="single" w:color="auto" w:sz="4" w:space="0"/>
              <w:bottom w:val="single" w:color="auto" w:sz="4" w:space="0"/>
              <w:right w:val="single" w:color="auto" w:sz="4" w:space="0"/>
            </w:tcBorders>
            <w:vAlign w:val="center"/>
          </w:tcPr>
          <w:p w14:paraId="5C262344">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36" w:type="pct"/>
            <w:vMerge w:val="continue"/>
            <w:tcBorders>
              <w:top w:val="nil"/>
              <w:left w:val="single" w:color="auto" w:sz="4" w:space="0"/>
              <w:bottom w:val="single" w:color="auto" w:sz="4" w:space="0"/>
              <w:right w:val="single" w:color="auto" w:sz="4" w:space="0"/>
            </w:tcBorders>
            <w:vAlign w:val="center"/>
          </w:tcPr>
          <w:p w14:paraId="27407D94">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2532" w:type="pct"/>
            <w:tcBorders>
              <w:top w:val="nil"/>
              <w:left w:val="nil"/>
              <w:bottom w:val="single" w:color="auto" w:sz="4" w:space="0"/>
              <w:right w:val="single" w:color="auto" w:sz="4" w:space="0"/>
            </w:tcBorders>
            <w:vAlign w:val="center"/>
          </w:tcPr>
          <w:p w14:paraId="5827DA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桥梁：</w:t>
            </w:r>
            <w:r>
              <w:rPr>
                <w:rFonts w:hint="eastAsia" w:ascii="宋体" w:hAnsi="宋体" w:eastAsia="宋体" w:cs="宋体"/>
                <w:sz w:val="17"/>
                <w:szCs w:val="17"/>
              </w:rPr>
              <w:br w:type="textWrapping"/>
            </w:r>
            <w:r>
              <w:rPr>
                <w:rFonts w:hint="eastAsia" w:ascii="宋体" w:hAnsi="宋体" w:eastAsia="宋体" w:cs="宋体"/>
                <w:sz w:val="17"/>
                <w:szCs w:val="17"/>
              </w:rPr>
              <w:t>（1）基本数据：桥梁编码、桥梁名称、所属区域、所在道路、位置、跨越、桥梁长度、桥梁宽度、桥梁等级</w:t>
            </w:r>
            <w:r>
              <w:rPr>
                <w:rFonts w:hint="eastAsia" w:ascii="宋体" w:hAnsi="宋体" w:eastAsia="宋体" w:cs="宋体"/>
                <w:sz w:val="17"/>
                <w:szCs w:val="17"/>
              </w:rPr>
              <w:br w:type="textWrapping"/>
            </w:r>
            <w:r>
              <w:rPr>
                <w:rFonts w:hint="eastAsia" w:ascii="宋体" w:hAnsi="宋体" w:eastAsia="宋体" w:cs="宋体"/>
                <w:sz w:val="17"/>
                <w:szCs w:val="17"/>
              </w:rPr>
              <w:t>（2）运维数据：桥梁检查开始日期、检查结束日期、检测单位、检测结果</w:t>
            </w:r>
          </w:p>
        </w:tc>
        <w:tc>
          <w:tcPr>
            <w:tcW w:w="634" w:type="pct"/>
            <w:tcBorders>
              <w:top w:val="nil"/>
              <w:left w:val="nil"/>
              <w:bottom w:val="single" w:color="auto" w:sz="4" w:space="0"/>
              <w:right w:val="single" w:color="auto" w:sz="4" w:space="0"/>
            </w:tcBorders>
            <w:vAlign w:val="center"/>
          </w:tcPr>
          <w:p w14:paraId="4CEA8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lang w:eastAsia="zh-CN"/>
              </w:rPr>
            </w:pPr>
            <w:r>
              <w:rPr>
                <w:rFonts w:hint="eastAsia" w:ascii="宋体" w:hAnsi="宋体" w:eastAsia="宋体" w:cs="宋体"/>
                <w:sz w:val="17"/>
                <w:szCs w:val="17"/>
                <w:lang w:eastAsia="zh-CN"/>
              </w:rPr>
              <w:t>无</w:t>
            </w:r>
          </w:p>
        </w:tc>
        <w:tc>
          <w:tcPr>
            <w:tcW w:w="813" w:type="pct"/>
            <w:tcBorders>
              <w:top w:val="nil"/>
              <w:left w:val="nil"/>
              <w:bottom w:val="single" w:color="auto" w:sz="4" w:space="0"/>
              <w:right w:val="single" w:color="auto" w:sz="4" w:space="0"/>
            </w:tcBorders>
            <w:vAlign w:val="center"/>
          </w:tcPr>
          <w:p w14:paraId="46B4E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基础数据：桥梁长度、桥梁宽度、桥梁等级运维数据</w:t>
            </w:r>
          </w:p>
        </w:tc>
      </w:tr>
      <w:tr w14:paraId="13378489">
        <w:tblPrEx>
          <w:tblCellMar>
            <w:top w:w="0" w:type="dxa"/>
            <w:left w:w="108" w:type="dxa"/>
            <w:bottom w:w="0" w:type="dxa"/>
            <w:right w:w="108" w:type="dxa"/>
          </w:tblCellMar>
        </w:tblPrEx>
        <w:trPr>
          <w:trHeight w:val="974" w:hRule="atLeast"/>
        </w:trPr>
        <w:tc>
          <w:tcPr>
            <w:tcW w:w="383" w:type="pct"/>
            <w:vMerge w:val="continue"/>
            <w:tcBorders>
              <w:top w:val="nil"/>
              <w:left w:val="single" w:color="auto" w:sz="4" w:space="0"/>
              <w:bottom w:val="single" w:color="auto" w:sz="4" w:space="0"/>
              <w:right w:val="single" w:color="auto" w:sz="4" w:space="0"/>
            </w:tcBorders>
            <w:vAlign w:val="center"/>
          </w:tcPr>
          <w:p w14:paraId="64E099C7">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36" w:type="pct"/>
            <w:vMerge w:val="continue"/>
            <w:tcBorders>
              <w:top w:val="nil"/>
              <w:left w:val="single" w:color="auto" w:sz="4" w:space="0"/>
              <w:bottom w:val="single" w:color="auto" w:sz="4" w:space="0"/>
              <w:right w:val="single" w:color="auto" w:sz="4" w:space="0"/>
            </w:tcBorders>
            <w:vAlign w:val="center"/>
          </w:tcPr>
          <w:p w14:paraId="1C1EA1A8">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2532" w:type="pct"/>
            <w:tcBorders>
              <w:top w:val="nil"/>
              <w:left w:val="nil"/>
              <w:bottom w:val="single" w:color="auto" w:sz="4" w:space="0"/>
              <w:right w:val="single" w:color="auto" w:sz="4" w:space="0"/>
            </w:tcBorders>
            <w:vAlign w:val="center"/>
          </w:tcPr>
          <w:p w14:paraId="0A2D7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供水（管道）：</w:t>
            </w:r>
            <w:r>
              <w:rPr>
                <w:rFonts w:hint="eastAsia" w:ascii="宋体" w:hAnsi="宋体" w:eastAsia="宋体" w:cs="宋体"/>
                <w:sz w:val="17"/>
                <w:szCs w:val="17"/>
              </w:rPr>
              <w:br w:type="textWrapping"/>
            </w:r>
            <w:r>
              <w:rPr>
                <w:rFonts w:hint="eastAsia" w:ascii="宋体" w:hAnsi="宋体" w:eastAsia="宋体" w:cs="宋体"/>
                <w:sz w:val="17"/>
                <w:szCs w:val="17"/>
              </w:rPr>
              <w:t>（1）基础数据：管道名称、管道编码、管道位置、管道数量、管道长度</w:t>
            </w:r>
            <w:r>
              <w:rPr>
                <w:rFonts w:hint="eastAsia" w:ascii="宋体" w:hAnsi="宋体" w:eastAsia="宋体" w:cs="宋体"/>
                <w:sz w:val="17"/>
                <w:szCs w:val="17"/>
              </w:rPr>
              <w:br w:type="textWrapping"/>
            </w:r>
            <w:r>
              <w:rPr>
                <w:rFonts w:hint="eastAsia" w:ascii="宋体" w:hAnsi="宋体" w:eastAsia="宋体" w:cs="宋体"/>
                <w:sz w:val="17"/>
                <w:szCs w:val="17"/>
              </w:rPr>
              <w:t>（2）运维数据：养护管道名称、管道编码、起始点、终止点、具体位置、长度、养护类别、开工时间、计划竣工时间</w:t>
            </w:r>
            <w:r>
              <w:rPr>
                <w:rFonts w:hint="eastAsia" w:ascii="宋体" w:hAnsi="宋体" w:eastAsia="宋体" w:cs="宋体"/>
                <w:sz w:val="17"/>
                <w:szCs w:val="17"/>
              </w:rPr>
              <w:br w:type="textWrapping"/>
            </w:r>
            <w:r>
              <w:rPr>
                <w:rFonts w:hint="eastAsia" w:ascii="宋体" w:hAnsi="宋体" w:eastAsia="宋体" w:cs="宋体"/>
                <w:sz w:val="17"/>
                <w:szCs w:val="17"/>
              </w:rPr>
              <w:t>（3）监测数据：设备id、具体位置、责任单位、安装时间、监测数据（如水位监测、流量监测）</w:t>
            </w:r>
          </w:p>
        </w:tc>
        <w:tc>
          <w:tcPr>
            <w:tcW w:w="634" w:type="pct"/>
            <w:tcBorders>
              <w:top w:val="nil"/>
              <w:left w:val="nil"/>
              <w:bottom w:val="single" w:color="auto" w:sz="4" w:space="0"/>
              <w:right w:val="single" w:color="auto" w:sz="4" w:space="0"/>
            </w:tcBorders>
            <w:noWrap/>
            <w:vAlign w:val="center"/>
          </w:tcPr>
          <w:p w14:paraId="088CD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813" w:type="pct"/>
            <w:tcBorders>
              <w:top w:val="nil"/>
              <w:left w:val="nil"/>
              <w:bottom w:val="single" w:color="auto" w:sz="4" w:space="0"/>
              <w:right w:val="single" w:color="auto" w:sz="4" w:space="0"/>
            </w:tcBorders>
            <w:vAlign w:val="center"/>
          </w:tcPr>
          <w:p w14:paraId="25E96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基础数据、运维数据、监测数据</w:t>
            </w:r>
          </w:p>
        </w:tc>
      </w:tr>
      <w:tr w14:paraId="31FEEA1E">
        <w:tblPrEx>
          <w:tblCellMar>
            <w:top w:w="0" w:type="dxa"/>
            <w:left w:w="108" w:type="dxa"/>
            <w:bottom w:w="0" w:type="dxa"/>
            <w:right w:w="108" w:type="dxa"/>
          </w:tblCellMar>
        </w:tblPrEx>
        <w:trPr>
          <w:trHeight w:val="90" w:hRule="atLeast"/>
        </w:trPr>
        <w:tc>
          <w:tcPr>
            <w:tcW w:w="383" w:type="pct"/>
            <w:vMerge w:val="continue"/>
            <w:tcBorders>
              <w:top w:val="nil"/>
              <w:left w:val="single" w:color="auto" w:sz="4" w:space="0"/>
              <w:bottom w:val="single" w:color="auto" w:sz="4" w:space="0"/>
              <w:right w:val="single" w:color="auto" w:sz="4" w:space="0"/>
            </w:tcBorders>
            <w:vAlign w:val="center"/>
          </w:tcPr>
          <w:p w14:paraId="40DED53C">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36" w:type="pct"/>
            <w:vMerge w:val="continue"/>
            <w:tcBorders>
              <w:top w:val="nil"/>
              <w:left w:val="single" w:color="auto" w:sz="4" w:space="0"/>
              <w:bottom w:val="single" w:color="auto" w:sz="4" w:space="0"/>
              <w:right w:val="single" w:color="auto" w:sz="4" w:space="0"/>
            </w:tcBorders>
            <w:vAlign w:val="center"/>
          </w:tcPr>
          <w:p w14:paraId="1C1D6240">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2532" w:type="pct"/>
            <w:tcBorders>
              <w:top w:val="nil"/>
              <w:left w:val="nil"/>
              <w:bottom w:val="single" w:color="auto" w:sz="4" w:space="0"/>
              <w:right w:val="single" w:color="auto" w:sz="4" w:space="0"/>
            </w:tcBorders>
            <w:vAlign w:val="center"/>
          </w:tcPr>
          <w:p w14:paraId="2BE43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排水：</w:t>
            </w:r>
            <w:r>
              <w:rPr>
                <w:rFonts w:hint="eastAsia" w:ascii="宋体" w:hAnsi="宋体" w:eastAsia="宋体" w:cs="宋体"/>
                <w:sz w:val="17"/>
                <w:szCs w:val="17"/>
              </w:rPr>
              <w:br w:type="textWrapping"/>
            </w:r>
            <w:r>
              <w:rPr>
                <w:rFonts w:hint="eastAsia" w:ascii="宋体" w:hAnsi="宋体" w:eastAsia="宋体" w:cs="宋体"/>
                <w:sz w:val="17"/>
                <w:szCs w:val="17"/>
              </w:rPr>
              <w:t>（1）基础数据：设施名称、设施编码、设施位置、设施数量（如雨水口、检查井、排水管道、排水沟渠、排放口、泵站、闸门、易涝点等）</w:t>
            </w:r>
            <w:r>
              <w:rPr>
                <w:rFonts w:hint="eastAsia" w:ascii="宋体" w:hAnsi="宋体" w:eastAsia="宋体" w:cs="宋体"/>
                <w:sz w:val="17"/>
                <w:szCs w:val="17"/>
              </w:rPr>
              <w:br w:type="textWrapping"/>
            </w:r>
            <w:r>
              <w:rPr>
                <w:rFonts w:hint="eastAsia" w:ascii="宋体" w:hAnsi="宋体" w:eastAsia="宋体" w:cs="宋体"/>
                <w:sz w:val="17"/>
                <w:szCs w:val="17"/>
              </w:rPr>
              <w:t>（2）运维数据：设施名称、设施编码、起始点（针对管道，下同）、终止点、具体位置、长度、养护类别、开工时间、计划竣工时间</w:t>
            </w:r>
            <w:r>
              <w:rPr>
                <w:rFonts w:hint="eastAsia" w:ascii="宋体" w:hAnsi="宋体" w:eastAsia="宋体" w:cs="宋体"/>
                <w:sz w:val="17"/>
                <w:szCs w:val="17"/>
              </w:rPr>
              <w:br w:type="textWrapping"/>
            </w:r>
            <w:r>
              <w:rPr>
                <w:rFonts w:hint="eastAsia" w:ascii="宋体" w:hAnsi="宋体" w:eastAsia="宋体" w:cs="宋体"/>
                <w:sz w:val="17"/>
                <w:szCs w:val="17"/>
              </w:rPr>
              <w:t>（3）监测数据：设备id、具体位置、责任单位、安装时间、监测数据（如雨量监测、水位监测、流量监测）</w:t>
            </w:r>
          </w:p>
        </w:tc>
        <w:tc>
          <w:tcPr>
            <w:tcW w:w="634" w:type="pct"/>
            <w:tcBorders>
              <w:top w:val="nil"/>
              <w:left w:val="nil"/>
              <w:bottom w:val="single" w:color="auto" w:sz="4" w:space="0"/>
              <w:right w:val="single" w:color="auto" w:sz="4" w:space="0"/>
            </w:tcBorders>
            <w:noWrap/>
            <w:vAlign w:val="center"/>
          </w:tcPr>
          <w:p w14:paraId="2F1FE4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813" w:type="pct"/>
            <w:tcBorders>
              <w:top w:val="nil"/>
              <w:left w:val="nil"/>
              <w:bottom w:val="single" w:color="auto" w:sz="4" w:space="0"/>
              <w:right w:val="single" w:color="auto" w:sz="4" w:space="0"/>
            </w:tcBorders>
            <w:vAlign w:val="center"/>
          </w:tcPr>
          <w:p w14:paraId="5281A1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基础数据、运维数据、监测数据</w:t>
            </w:r>
          </w:p>
        </w:tc>
      </w:tr>
      <w:tr w14:paraId="770E6249">
        <w:tblPrEx>
          <w:tblCellMar>
            <w:top w:w="0" w:type="dxa"/>
            <w:left w:w="108" w:type="dxa"/>
            <w:bottom w:w="0" w:type="dxa"/>
            <w:right w:w="108" w:type="dxa"/>
          </w:tblCellMar>
        </w:tblPrEx>
        <w:trPr>
          <w:trHeight w:val="780" w:hRule="atLeast"/>
        </w:trPr>
        <w:tc>
          <w:tcPr>
            <w:tcW w:w="383" w:type="pct"/>
            <w:tcBorders>
              <w:top w:val="single" w:color="auto" w:sz="4" w:space="0"/>
              <w:left w:val="single" w:color="auto" w:sz="4" w:space="0"/>
              <w:bottom w:val="single" w:color="auto" w:sz="4" w:space="0"/>
              <w:right w:val="single" w:color="auto" w:sz="4" w:space="0"/>
            </w:tcBorders>
            <w:vAlign w:val="center"/>
          </w:tcPr>
          <w:p w14:paraId="7EED012B">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r>
              <w:rPr>
                <w:rFonts w:hint="eastAsia" w:ascii="宋体" w:hAnsi="宋体" w:eastAsia="宋体" w:cs="宋体"/>
                <w:szCs w:val="21"/>
              </w:rPr>
              <w:t>2</w:t>
            </w:r>
          </w:p>
        </w:tc>
        <w:tc>
          <w:tcPr>
            <w:tcW w:w="636" w:type="pct"/>
            <w:tcBorders>
              <w:top w:val="single" w:color="auto" w:sz="4" w:space="0"/>
              <w:left w:val="single" w:color="auto" w:sz="4" w:space="0"/>
              <w:bottom w:val="single" w:color="auto" w:sz="4" w:space="0"/>
              <w:right w:val="single" w:color="auto" w:sz="4" w:space="0"/>
            </w:tcBorders>
            <w:vAlign w:val="center"/>
          </w:tcPr>
          <w:p w14:paraId="788C5C11">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工地数据</w:t>
            </w:r>
          </w:p>
        </w:tc>
        <w:tc>
          <w:tcPr>
            <w:tcW w:w="2532" w:type="pct"/>
            <w:tcBorders>
              <w:top w:val="single" w:color="auto" w:sz="4" w:space="0"/>
              <w:left w:val="nil"/>
              <w:bottom w:val="single" w:color="auto" w:sz="4" w:space="0"/>
              <w:right w:val="single" w:color="auto" w:sz="4" w:space="0"/>
            </w:tcBorders>
            <w:vAlign w:val="center"/>
          </w:tcPr>
          <w:p w14:paraId="780A6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基础数据：工地数量、管理权限、工地状态、工地类型、工地位置、视频监控（含点位）</w:t>
            </w:r>
          </w:p>
          <w:p w14:paraId="2F9C9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告警数据：扬尘告警、车辆未冲洗</w:t>
            </w:r>
          </w:p>
        </w:tc>
        <w:tc>
          <w:tcPr>
            <w:tcW w:w="634" w:type="pct"/>
            <w:tcBorders>
              <w:top w:val="single" w:color="auto" w:sz="4" w:space="0"/>
              <w:left w:val="nil"/>
              <w:bottom w:val="single" w:color="auto" w:sz="4" w:space="0"/>
              <w:right w:val="single" w:color="auto" w:sz="4" w:space="0"/>
            </w:tcBorders>
            <w:noWrap/>
            <w:vAlign w:val="center"/>
          </w:tcPr>
          <w:p w14:paraId="24297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z w:val="17"/>
                <w:szCs w:val="17"/>
                <w:lang w:val="en-US" w:eastAsia="zh-CN"/>
              </w:rPr>
            </w:pPr>
            <w:r>
              <w:rPr>
                <w:rFonts w:hint="eastAsia" w:ascii="宋体" w:hAnsi="宋体" w:eastAsia="宋体" w:cs="宋体"/>
                <w:sz w:val="17"/>
                <w:szCs w:val="17"/>
                <w:lang w:val="en-US" w:eastAsia="zh-CN"/>
              </w:rPr>
              <w:t>基础数据</w:t>
            </w:r>
          </w:p>
        </w:tc>
        <w:tc>
          <w:tcPr>
            <w:tcW w:w="813" w:type="pct"/>
            <w:tcBorders>
              <w:top w:val="single" w:color="auto" w:sz="4" w:space="0"/>
              <w:left w:val="nil"/>
              <w:bottom w:val="single" w:color="auto" w:sz="4" w:space="0"/>
              <w:right w:val="single" w:color="auto" w:sz="4" w:space="0"/>
            </w:tcBorders>
            <w:vAlign w:val="center"/>
          </w:tcPr>
          <w:p w14:paraId="6F514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告警数据</w:t>
            </w:r>
          </w:p>
        </w:tc>
      </w:tr>
    </w:tbl>
    <w:p w14:paraId="67DBEB4E">
      <w:pPr>
        <w:pStyle w:val="15"/>
        <w:rPr>
          <w:rFonts w:hint="eastAsia" w:ascii="宋体" w:hAnsi="宋体"/>
        </w:rPr>
      </w:pPr>
      <w:bookmarkStart w:id="37" w:name="_Toc138067446"/>
      <w:r>
        <w:rPr>
          <w:rFonts w:hint="eastAsia" w:ascii="宋体" w:hAnsi="宋体"/>
          <w:lang w:val="en-US" w:eastAsia="zh-CN"/>
        </w:rPr>
        <w:t>需要</w:t>
      </w:r>
      <w:r>
        <w:rPr>
          <w:rFonts w:hint="eastAsia" w:ascii="宋体" w:hAnsi="宋体"/>
        </w:rPr>
        <w:t>市场监管局</w:t>
      </w:r>
      <w:r>
        <w:rPr>
          <w:rFonts w:hint="eastAsia" w:ascii="宋体" w:hAnsi="宋体"/>
          <w:lang w:val="en-US" w:eastAsia="zh-CN"/>
        </w:rPr>
        <w:t>提供的相关</w:t>
      </w:r>
      <w:r>
        <w:rPr>
          <w:rFonts w:hint="eastAsia" w:ascii="宋体" w:hAnsi="宋体"/>
        </w:rPr>
        <w:t>数据</w:t>
      </w:r>
      <w:bookmarkEnd w:id="37"/>
    </w:p>
    <w:tbl>
      <w:tblPr>
        <w:tblStyle w:val="90"/>
        <w:tblW w:w="5000" w:type="pct"/>
        <w:tblInd w:w="0" w:type="dxa"/>
        <w:tblLayout w:type="fixed"/>
        <w:tblCellMar>
          <w:top w:w="0" w:type="dxa"/>
          <w:left w:w="108" w:type="dxa"/>
          <w:bottom w:w="0" w:type="dxa"/>
          <w:right w:w="108" w:type="dxa"/>
        </w:tblCellMar>
      </w:tblPr>
      <w:tblGrid>
        <w:gridCol w:w="699"/>
        <w:gridCol w:w="1095"/>
        <w:gridCol w:w="1875"/>
        <w:gridCol w:w="1110"/>
        <w:gridCol w:w="3743"/>
      </w:tblGrid>
      <w:tr w14:paraId="1958502A">
        <w:tblPrEx>
          <w:tblCellMar>
            <w:top w:w="0" w:type="dxa"/>
            <w:left w:w="108" w:type="dxa"/>
            <w:bottom w:w="0" w:type="dxa"/>
            <w:right w:w="108" w:type="dxa"/>
          </w:tblCellMar>
        </w:tblPrEx>
        <w:trPr>
          <w:trHeight w:val="499" w:hRule="atLeast"/>
        </w:trPr>
        <w:tc>
          <w:tcPr>
            <w:tcW w:w="410" w:type="pct"/>
            <w:tcBorders>
              <w:top w:val="single" w:color="auto" w:sz="4" w:space="0"/>
              <w:left w:val="single" w:color="auto" w:sz="4" w:space="0"/>
              <w:bottom w:val="single" w:color="auto" w:sz="4" w:space="0"/>
              <w:right w:val="single" w:color="auto" w:sz="4" w:space="0"/>
            </w:tcBorders>
            <w:noWrap/>
            <w:vAlign w:val="center"/>
          </w:tcPr>
          <w:p w14:paraId="25673C98">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序号</w:t>
            </w:r>
          </w:p>
        </w:tc>
        <w:tc>
          <w:tcPr>
            <w:tcW w:w="642" w:type="pct"/>
            <w:tcBorders>
              <w:top w:val="single" w:color="auto" w:sz="4" w:space="0"/>
              <w:left w:val="nil"/>
              <w:bottom w:val="single" w:color="auto" w:sz="4" w:space="0"/>
              <w:right w:val="single" w:color="auto" w:sz="4" w:space="0"/>
            </w:tcBorders>
            <w:noWrap/>
            <w:vAlign w:val="center"/>
          </w:tcPr>
          <w:p w14:paraId="070C33D9">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需要数据</w:t>
            </w:r>
          </w:p>
        </w:tc>
        <w:tc>
          <w:tcPr>
            <w:tcW w:w="1100" w:type="pct"/>
            <w:tcBorders>
              <w:top w:val="single" w:color="auto" w:sz="4" w:space="0"/>
              <w:left w:val="nil"/>
              <w:bottom w:val="single" w:color="auto" w:sz="4" w:space="0"/>
              <w:right w:val="single" w:color="auto" w:sz="4" w:space="0"/>
            </w:tcBorders>
            <w:noWrap/>
            <w:vAlign w:val="center"/>
          </w:tcPr>
          <w:p w14:paraId="4C327A95">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数据内容</w:t>
            </w:r>
          </w:p>
        </w:tc>
        <w:tc>
          <w:tcPr>
            <w:tcW w:w="651" w:type="pct"/>
            <w:tcBorders>
              <w:top w:val="single" w:color="auto" w:sz="4" w:space="0"/>
              <w:left w:val="nil"/>
              <w:bottom w:val="single" w:color="auto" w:sz="4" w:space="0"/>
              <w:right w:val="single" w:color="auto" w:sz="4" w:space="0"/>
            </w:tcBorders>
            <w:noWrap/>
            <w:vAlign w:val="center"/>
          </w:tcPr>
          <w:p w14:paraId="559813A1">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已有数据</w:t>
            </w:r>
          </w:p>
        </w:tc>
        <w:tc>
          <w:tcPr>
            <w:tcW w:w="2196" w:type="pct"/>
            <w:tcBorders>
              <w:top w:val="single" w:color="auto" w:sz="4" w:space="0"/>
              <w:left w:val="nil"/>
              <w:bottom w:val="single" w:color="auto" w:sz="4" w:space="0"/>
              <w:right w:val="single" w:color="auto" w:sz="4" w:space="0"/>
            </w:tcBorders>
            <w:noWrap/>
            <w:vAlign w:val="center"/>
          </w:tcPr>
          <w:p w14:paraId="30AA035B">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缺少数据</w:t>
            </w:r>
          </w:p>
        </w:tc>
      </w:tr>
      <w:tr w14:paraId="1F6964CC">
        <w:tblPrEx>
          <w:tblCellMar>
            <w:top w:w="0" w:type="dxa"/>
            <w:left w:w="108" w:type="dxa"/>
            <w:bottom w:w="0" w:type="dxa"/>
            <w:right w:w="108" w:type="dxa"/>
          </w:tblCellMar>
        </w:tblPrEx>
        <w:trPr>
          <w:trHeight w:val="90" w:hRule="atLeast"/>
        </w:trPr>
        <w:tc>
          <w:tcPr>
            <w:tcW w:w="410" w:type="pct"/>
            <w:vMerge w:val="restart"/>
            <w:tcBorders>
              <w:top w:val="nil"/>
              <w:left w:val="single" w:color="auto" w:sz="4" w:space="0"/>
              <w:bottom w:val="single" w:color="auto" w:sz="4" w:space="0"/>
              <w:right w:val="single" w:color="auto" w:sz="4" w:space="0"/>
            </w:tcBorders>
            <w:noWrap/>
            <w:vAlign w:val="center"/>
          </w:tcPr>
          <w:p w14:paraId="1D89B56F">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w:t>
            </w:r>
          </w:p>
        </w:tc>
        <w:tc>
          <w:tcPr>
            <w:tcW w:w="642" w:type="pct"/>
            <w:vMerge w:val="restart"/>
            <w:tcBorders>
              <w:top w:val="nil"/>
              <w:left w:val="single" w:color="auto" w:sz="4" w:space="0"/>
              <w:bottom w:val="single" w:color="auto" w:sz="4" w:space="0"/>
              <w:right w:val="single" w:color="auto" w:sz="4" w:space="0"/>
            </w:tcBorders>
            <w:noWrap/>
            <w:vAlign w:val="center"/>
          </w:tcPr>
          <w:p w14:paraId="1AFFDE26">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社会主体信息</w:t>
            </w:r>
          </w:p>
        </w:tc>
        <w:tc>
          <w:tcPr>
            <w:tcW w:w="1100" w:type="pct"/>
            <w:vMerge w:val="restart"/>
            <w:tcBorders>
              <w:top w:val="nil"/>
              <w:left w:val="single" w:color="auto" w:sz="4" w:space="0"/>
              <w:bottom w:val="single" w:color="auto" w:sz="4" w:space="0"/>
              <w:right w:val="single" w:color="auto" w:sz="4" w:space="0"/>
            </w:tcBorders>
            <w:vAlign w:val="center"/>
          </w:tcPr>
          <w:p w14:paraId="1A409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主体名称、统一社会信用代码、法定代表人姓名、身份证号、注册地址</w:t>
            </w:r>
          </w:p>
        </w:tc>
        <w:tc>
          <w:tcPr>
            <w:tcW w:w="651" w:type="pct"/>
            <w:tcBorders>
              <w:top w:val="nil"/>
              <w:left w:val="nil"/>
              <w:bottom w:val="single" w:color="auto" w:sz="4" w:space="0"/>
              <w:right w:val="single" w:color="auto" w:sz="4" w:space="0"/>
            </w:tcBorders>
            <w:vAlign w:val="center"/>
          </w:tcPr>
          <w:p w14:paraId="3BDE4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3DF6C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市场监管-企业注册登记信息（2018年开始）：企业类型、电话、管区、法人、地址、企业状态、法人证件号、名称、行业代码、开业时间、统一代码</w:t>
            </w:r>
          </w:p>
        </w:tc>
      </w:tr>
      <w:tr w14:paraId="40EB19AC">
        <w:tblPrEx>
          <w:tblCellMar>
            <w:top w:w="0" w:type="dxa"/>
            <w:left w:w="108" w:type="dxa"/>
            <w:bottom w:w="0" w:type="dxa"/>
            <w:right w:w="108" w:type="dxa"/>
          </w:tblCellMar>
        </w:tblPrEx>
        <w:trPr>
          <w:trHeight w:val="840" w:hRule="atLeast"/>
        </w:trPr>
        <w:tc>
          <w:tcPr>
            <w:tcW w:w="410" w:type="pct"/>
            <w:vMerge w:val="continue"/>
            <w:tcBorders>
              <w:top w:val="nil"/>
              <w:left w:val="single" w:color="auto" w:sz="4" w:space="0"/>
              <w:bottom w:val="single" w:color="auto" w:sz="4" w:space="0"/>
              <w:right w:val="single" w:color="auto" w:sz="4" w:space="0"/>
            </w:tcBorders>
            <w:vAlign w:val="center"/>
          </w:tcPr>
          <w:p w14:paraId="3057C3C7">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42" w:type="pct"/>
            <w:vMerge w:val="continue"/>
            <w:tcBorders>
              <w:top w:val="nil"/>
              <w:left w:val="single" w:color="auto" w:sz="4" w:space="0"/>
              <w:bottom w:val="single" w:color="auto" w:sz="4" w:space="0"/>
              <w:right w:val="single" w:color="auto" w:sz="4" w:space="0"/>
            </w:tcBorders>
            <w:vAlign w:val="center"/>
          </w:tcPr>
          <w:p w14:paraId="430622C9">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1100" w:type="pct"/>
            <w:vMerge w:val="continue"/>
            <w:tcBorders>
              <w:top w:val="nil"/>
              <w:left w:val="single" w:color="auto" w:sz="4" w:space="0"/>
              <w:bottom w:val="single" w:color="auto" w:sz="4" w:space="0"/>
              <w:right w:val="single" w:color="auto" w:sz="4" w:space="0"/>
            </w:tcBorders>
            <w:vAlign w:val="center"/>
          </w:tcPr>
          <w:p w14:paraId="5626D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p>
        </w:tc>
        <w:tc>
          <w:tcPr>
            <w:tcW w:w="651" w:type="pct"/>
            <w:tcBorders>
              <w:top w:val="nil"/>
              <w:left w:val="nil"/>
              <w:bottom w:val="single" w:color="auto" w:sz="4" w:space="0"/>
              <w:right w:val="single" w:color="auto" w:sz="4" w:space="0"/>
            </w:tcBorders>
            <w:vAlign w:val="center"/>
          </w:tcPr>
          <w:p w14:paraId="62563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2CD94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市场监管-综合法人库-个体经营者信息：有效标识、证件号码、字号名称、证件类型、经营者名称、统一社会信用代码</w:t>
            </w:r>
          </w:p>
        </w:tc>
      </w:tr>
      <w:tr w14:paraId="5DFE0F9C">
        <w:tblPrEx>
          <w:tblCellMar>
            <w:top w:w="0" w:type="dxa"/>
            <w:left w:w="108" w:type="dxa"/>
            <w:bottom w:w="0" w:type="dxa"/>
            <w:right w:w="108" w:type="dxa"/>
          </w:tblCellMar>
        </w:tblPrEx>
        <w:trPr>
          <w:trHeight w:val="1635" w:hRule="atLeast"/>
        </w:trPr>
        <w:tc>
          <w:tcPr>
            <w:tcW w:w="410" w:type="pct"/>
            <w:vMerge w:val="continue"/>
            <w:tcBorders>
              <w:top w:val="nil"/>
              <w:left w:val="single" w:color="auto" w:sz="4" w:space="0"/>
              <w:bottom w:val="single" w:color="auto" w:sz="4" w:space="0"/>
              <w:right w:val="single" w:color="auto" w:sz="4" w:space="0"/>
            </w:tcBorders>
            <w:vAlign w:val="center"/>
          </w:tcPr>
          <w:p w14:paraId="3E0B630B">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42" w:type="pct"/>
            <w:vMerge w:val="continue"/>
            <w:tcBorders>
              <w:top w:val="nil"/>
              <w:left w:val="single" w:color="auto" w:sz="4" w:space="0"/>
              <w:bottom w:val="single" w:color="auto" w:sz="4" w:space="0"/>
              <w:right w:val="single" w:color="auto" w:sz="4" w:space="0"/>
            </w:tcBorders>
            <w:vAlign w:val="center"/>
          </w:tcPr>
          <w:p w14:paraId="18A72997">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1100" w:type="pct"/>
            <w:vMerge w:val="continue"/>
            <w:tcBorders>
              <w:top w:val="nil"/>
              <w:left w:val="single" w:color="auto" w:sz="4" w:space="0"/>
              <w:bottom w:val="single" w:color="auto" w:sz="4" w:space="0"/>
              <w:right w:val="single" w:color="auto" w:sz="4" w:space="0"/>
            </w:tcBorders>
            <w:vAlign w:val="center"/>
          </w:tcPr>
          <w:p w14:paraId="4282D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p>
        </w:tc>
        <w:tc>
          <w:tcPr>
            <w:tcW w:w="651" w:type="pct"/>
            <w:tcBorders>
              <w:top w:val="nil"/>
              <w:left w:val="nil"/>
              <w:bottom w:val="single" w:color="auto" w:sz="4" w:space="0"/>
              <w:right w:val="single" w:color="auto" w:sz="4" w:space="0"/>
            </w:tcBorders>
            <w:vAlign w:val="center"/>
          </w:tcPr>
          <w:p w14:paraId="2AAC2A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00EBB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市场主体基本信息：法定代表人（经营者）姓名、法定代表人（经营者）证件号码、住所、统一社会信用代码、企业名称（字号名称）、吊销原因、注册号、吊销日期、经营截止日期、法定代表人（经营者）证件类型、登记状态、核准日期（登记/吊销/注销日期）</w:t>
            </w:r>
          </w:p>
        </w:tc>
      </w:tr>
      <w:tr w14:paraId="48D3C6A5">
        <w:tblPrEx>
          <w:tblCellMar>
            <w:top w:w="0" w:type="dxa"/>
            <w:left w:w="108" w:type="dxa"/>
            <w:bottom w:w="0" w:type="dxa"/>
            <w:right w:w="108" w:type="dxa"/>
          </w:tblCellMar>
        </w:tblPrEx>
        <w:trPr>
          <w:trHeight w:val="1770" w:hRule="atLeast"/>
        </w:trPr>
        <w:tc>
          <w:tcPr>
            <w:tcW w:w="410" w:type="pct"/>
            <w:tcBorders>
              <w:top w:val="nil"/>
              <w:left w:val="single" w:color="auto" w:sz="4" w:space="0"/>
              <w:bottom w:val="single" w:color="auto" w:sz="4" w:space="0"/>
              <w:right w:val="single" w:color="auto" w:sz="4" w:space="0"/>
            </w:tcBorders>
            <w:noWrap/>
            <w:vAlign w:val="center"/>
          </w:tcPr>
          <w:p w14:paraId="1D753170">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w:t>
            </w:r>
          </w:p>
        </w:tc>
        <w:tc>
          <w:tcPr>
            <w:tcW w:w="642" w:type="pct"/>
            <w:tcBorders>
              <w:top w:val="nil"/>
              <w:left w:val="nil"/>
              <w:bottom w:val="single" w:color="auto" w:sz="4" w:space="0"/>
              <w:right w:val="single" w:color="auto" w:sz="4" w:space="0"/>
            </w:tcBorders>
            <w:noWrap/>
            <w:vAlign w:val="center"/>
          </w:tcPr>
          <w:p w14:paraId="49C9DFD9">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社会主体信用</w:t>
            </w:r>
          </w:p>
        </w:tc>
        <w:tc>
          <w:tcPr>
            <w:tcW w:w="1100" w:type="pct"/>
            <w:tcBorders>
              <w:top w:val="nil"/>
              <w:left w:val="nil"/>
              <w:bottom w:val="single" w:color="auto" w:sz="4" w:space="0"/>
              <w:right w:val="single" w:color="auto" w:sz="4" w:space="0"/>
            </w:tcBorders>
            <w:vAlign w:val="center"/>
          </w:tcPr>
          <w:p w14:paraId="50D44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税务登记号、状态、评价（评定）日期、工商登记码、地址、注册地址、企业名称、批次、统一编码、评价（评定）结果、评价（评定）依据等级标准、记录编号、评价（评定）名称、统一社会信用代码</w:t>
            </w:r>
          </w:p>
        </w:tc>
        <w:tc>
          <w:tcPr>
            <w:tcW w:w="651" w:type="pct"/>
            <w:tcBorders>
              <w:top w:val="nil"/>
              <w:left w:val="nil"/>
              <w:bottom w:val="single" w:color="auto" w:sz="4" w:space="0"/>
              <w:right w:val="single" w:color="auto" w:sz="4" w:space="0"/>
            </w:tcBorders>
            <w:vAlign w:val="center"/>
          </w:tcPr>
          <w:p w14:paraId="4F802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502EA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市场监管-综合法人库-行政处罚信息：注册号、统一社会信用代码、行政处罚日期、公示日期、处罚内容、案件名称、行政处罚决定书文号、行政执法部门、企业名称</w:t>
            </w:r>
          </w:p>
        </w:tc>
      </w:tr>
      <w:tr w14:paraId="4A8767C3">
        <w:tblPrEx>
          <w:tblCellMar>
            <w:top w:w="0" w:type="dxa"/>
            <w:left w:w="108" w:type="dxa"/>
            <w:bottom w:w="0" w:type="dxa"/>
            <w:right w:w="108" w:type="dxa"/>
          </w:tblCellMar>
        </w:tblPrEx>
        <w:trPr>
          <w:trHeight w:val="765" w:hRule="atLeast"/>
        </w:trPr>
        <w:tc>
          <w:tcPr>
            <w:tcW w:w="410" w:type="pct"/>
            <w:tcBorders>
              <w:top w:val="nil"/>
              <w:left w:val="single" w:color="auto" w:sz="4" w:space="0"/>
              <w:bottom w:val="single" w:color="auto" w:sz="4" w:space="0"/>
              <w:right w:val="single" w:color="auto" w:sz="4" w:space="0"/>
            </w:tcBorders>
            <w:noWrap/>
            <w:vAlign w:val="center"/>
          </w:tcPr>
          <w:p w14:paraId="19FF0AD6">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w:t>
            </w:r>
          </w:p>
        </w:tc>
        <w:tc>
          <w:tcPr>
            <w:tcW w:w="642" w:type="pct"/>
            <w:tcBorders>
              <w:top w:val="nil"/>
              <w:left w:val="nil"/>
              <w:bottom w:val="single" w:color="auto" w:sz="4" w:space="0"/>
              <w:right w:val="single" w:color="auto" w:sz="4" w:space="0"/>
            </w:tcBorders>
            <w:noWrap/>
            <w:vAlign w:val="center"/>
          </w:tcPr>
          <w:p w14:paraId="50A65EFC">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社会主体资质</w:t>
            </w:r>
          </w:p>
        </w:tc>
        <w:tc>
          <w:tcPr>
            <w:tcW w:w="1100" w:type="pct"/>
            <w:tcBorders>
              <w:top w:val="nil"/>
              <w:left w:val="nil"/>
              <w:bottom w:val="single" w:color="auto" w:sz="4" w:space="0"/>
              <w:right w:val="single" w:color="auto" w:sz="4" w:space="0"/>
            </w:tcBorders>
            <w:vAlign w:val="center"/>
          </w:tcPr>
          <w:p w14:paraId="2B84B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资质等级、证书编码、统一社会信用代码</w:t>
            </w:r>
          </w:p>
        </w:tc>
        <w:tc>
          <w:tcPr>
            <w:tcW w:w="651" w:type="pct"/>
            <w:tcBorders>
              <w:top w:val="nil"/>
              <w:left w:val="nil"/>
              <w:bottom w:val="single" w:color="auto" w:sz="4" w:space="0"/>
              <w:right w:val="single" w:color="auto" w:sz="4" w:space="0"/>
            </w:tcBorders>
            <w:vAlign w:val="center"/>
          </w:tcPr>
          <w:p w14:paraId="4756A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2BD98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市场监管-综合法人库-资质基本信息：有效期至、资质等级、统一社会信用代码、有效期自、发证机关、发证日期、资质名称、资质证书编号</w:t>
            </w:r>
          </w:p>
        </w:tc>
      </w:tr>
      <w:tr w14:paraId="713EA022">
        <w:tblPrEx>
          <w:tblCellMar>
            <w:top w:w="0" w:type="dxa"/>
            <w:left w:w="108" w:type="dxa"/>
            <w:bottom w:w="0" w:type="dxa"/>
            <w:right w:w="108" w:type="dxa"/>
          </w:tblCellMar>
        </w:tblPrEx>
        <w:trPr>
          <w:trHeight w:val="795" w:hRule="atLeast"/>
        </w:trPr>
        <w:tc>
          <w:tcPr>
            <w:tcW w:w="410" w:type="pct"/>
            <w:tcBorders>
              <w:top w:val="nil"/>
              <w:left w:val="single" w:color="auto" w:sz="4" w:space="0"/>
              <w:bottom w:val="single" w:color="auto" w:sz="4" w:space="0"/>
              <w:right w:val="single" w:color="auto" w:sz="4" w:space="0"/>
            </w:tcBorders>
            <w:noWrap/>
            <w:vAlign w:val="center"/>
          </w:tcPr>
          <w:p w14:paraId="56D17D1C">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w:t>
            </w:r>
          </w:p>
        </w:tc>
        <w:tc>
          <w:tcPr>
            <w:tcW w:w="642" w:type="pct"/>
            <w:tcBorders>
              <w:top w:val="nil"/>
              <w:left w:val="nil"/>
              <w:bottom w:val="single" w:color="auto" w:sz="4" w:space="0"/>
              <w:right w:val="single" w:color="auto" w:sz="4" w:space="0"/>
            </w:tcBorders>
            <w:noWrap/>
            <w:vAlign w:val="center"/>
          </w:tcPr>
          <w:p w14:paraId="1C8FB4E2">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社会主体许可</w:t>
            </w:r>
          </w:p>
        </w:tc>
        <w:tc>
          <w:tcPr>
            <w:tcW w:w="1100" w:type="pct"/>
            <w:tcBorders>
              <w:top w:val="nil"/>
              <w:left w:val="nil"/>
              <w:bottom w:val="single" w:color="auto" w:sz="4" w:space="0"/>
              <w:right w:val="single" w:color="auto" w:sz="4" w:space="0"/>
            </w:tcBorders>
            <w:vAlign w:val="center"/>
          </w:tcPr>
          <w:p w14:paraId="06D55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行政许可名称、有效期、经营范围、经营地址</w:t>
            </w:r>
          </w:p>
        </w:tc>
        <w:tc>
          <w:tcPr>
            <w:tcW w:w="651" w:type="pct"/>
            <w:tcBorders>
              <w:top w:val="nil"/>
              <w:left w:val="nil"/>
              <w:bottom w:val="single" w:color="auto" w:sz="4" w:space="0"/>
              <w:right w:val="single" w:color="auto" w:sz="4" w:space="0"/>
            </w:tcBorders>
            <w:vAlign w:val="center"/>
          </w:tcPr>
          <w:p w14:paraId="36D56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45363D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市场监管-综合法人库-许可基本信息：统一社会信用代码、发证机关、有效期至、有效期自、发证日期、许可文件类型、许可内容、许可证编号</w:t>
            </w:r>
          </w:p>
        </w:tc>
      </w:tr>
    </w:tbl>
    <w:p w14:paraId="2587493B">
      <w:pPr>
        <w:pStyle w:val="15"/>
        <w:rPr>
          <w:rFonts w:hint="eastAsia" w:ascii="宋体" w:hAnsi="宋体"/>
          <w:lang w:val="en-US" w:eastAsia="zh-CN"/>
        </w:rPr>
      </w:pPr>
      <w:bookmarkStart w:id="38" w:name="_Toc138067448"/>
      <w:r>
        <w:rPr>
          <w:rFonts w:hint="eastAsia" w:ascii="宋体" w:hAnsi="宋体"/>
          <w:lang w:val="en-US" w:eastAsia="zh-CN"/>
        </w:rPr>
        <w:t>需要自然资源和规划局提供的相关数据</w:t>
      </w:r>
      <w:bookmarkEnd w:id="38"/>
    </w:p>
    <w:tbl>
      <w:tblPr>
        <w:tblStyle w:val="90"/>
        <w:tblW w:w="5000" w:type="pct"/>
        <w:tblInd w:w="0" w:type="dxa"/>
        <w:tblLayout w:type="fixed"/>
        <w:tblCellMar>
          <w:top w:w="0" w:type="dxa"/>
          <w:left w:w="108" w:type="dxa"/>
          <w:bottom w:w="0" w:type="dxa"/>
          <w:right w:w="108" w:type="dxa"/>
        </w:tblCellMar>
      </w:tblPr>
      <w:tblGrid>
        <w:gridCol w:w="730"/>
        <w:gridCol w:w="1065"/>
        <w:gridCol w:w="2654"/>
        <w:gridCol w:w="1155"/>
        <w:gridCol w:w="2918"/>
      </w:tblGrid>
      <w:tr w14:paraId="35D3D299">
        <w:tblPrEx>
          <w:tblCellMar>
            <w:top w:w="0" w:type="dxa"/>
            <w:left w:w="108" w:type="dxa"/>
            <w:bottom w:w="0" w:type="dxa"/>
            <w:right w:w="108" w:type="dxa"/>
          </w:tblCellMar>
        </w:tblPrEx>
        <w:trPr>
          <w:trHeight w:val="499" w:hRule="atLeast"/>
        </w:trPr>
        <w:tc>
          <w:tcPr>
            <w:tcW w:w="428" w:type="pct"/>
            <w:tcBorders>
              <w:top w:val="single" w:color="auto" w:sz="4" w:space="0"/>
              <w:left w:val="single" w:color="auto" w:sz="4" w:space="0"/>
              <w:bottom w:val="single" w:color="auto" w:sz="4" w:space="0"/>
              <w:right w:val="single" w:color="auto" w:sz="4" w:space="0"/>
            </w:tcBorders>
            <w:noWrap/>
            <w:vAlign w:val="center"/>
          </w:tcPr>
          <w:p w14:paraId="73389CF5">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序号</w:t>
            </w:r>
          </w:p>
        </w:tc>
        <w:tc>
          <w:tcPr>
            <w:tcW w:w="624" w:type="pct"/>
            <w:tcBorders>
              <w:top w:val="single" w:color="auto" w:sz="4" w:space="0"/>
              <w:left w:val="nil"/>
              <w:bottom w:val="single" w:color="auto" w:sz="4" w:space="0"/>
              <w:right w:val="single" w:color="auto" w:sz="4" w:space="0"/>
            </w:tcBorders>
            <w:noWrap/>
            <w:vAlign w:val="center"/>
          </w:tcPr>
          <w:p w14:paraId="6074BD7A">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需要数据</w:t>
            </w:r>
          </w:p>
        </w:tc>
        <w:tc>
          <w:tcPr>
            <w:tcW w:w="1557" w:type="pct"/>
            <w:tcBorders>
              <w:top w:val="single" w:color="auto" w:sz="4" w:space="0"/>
              <w:left w:val="nil"/>
              <w:bottom w:val="single" w:color="auto" w:sz="4" w:space="0"/>
              <w:right w:val="single" w:color="auto" w:sz="4" w:space="0"/>
            </w:tcBorders>
            <w:noWrap/>
            <w:vAlign w:val="center"/>
          </w:tcPr>
          <w:p w14:paraId="2417A125">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数据内容</w:t>
            </w:r>
          </w:p>
        </w:tc>
        <w:tc>
          <w:tcPr>
            <w:tcW w:w="677" w:type="pct"/>
            <w:tcBorders>
              <w:top w:val="single" w:color="auto" w:sz="4" w:space="0"/>
              <w:left w:val="nil"/>
              <w:bottom w:val="single" w:color="auto" w:sz="4" w:space="0"/>
              <w:right w:val="single" w:color="auto" w:sz="4" w:space="0"/>
            </w:tcBorders>
            <w:noWrap/>
            <w:vAlign w:val="center"/>
          </w:tcPr>
          <w:p w14:paraId="580C53F4">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已有数据</w:t>
            </w:r>
          </w:p>
        </w:tc>
        <w:tc>
          <w:tcPr>
            <w:tcW w:w="1712" w:type="pct"/>
            <w:tcBorders>
              <w:top w:val="single" w:color="auto" w:sz="4" w:space="0"/>
              <w:left w:val="nil"/>
              <w:bottom w:val="single" w:color="auto" w:sz="4" w:space="0"/>
              <w:right w:val="single" w:color="auto" w:sz="4" w:space="0"/>
            </w:tcBorders>
            <w:noWrap/>
            <w:vAlign w:val="center"/>
          </w:tcPr>
          <w:p w14:paraId="654434FE">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缺少数据</w:t>
            </w:r>
          </w:p>
        </w:tc>
      </w:tr>
      <w:tr w14:paraId="55E69C68">
        <w:tblPrEx>
          <w:tblCellMar>
            <w:top w:w="0" w:type="dxa"/>
            <w:left w:w="108" w:type="dxa"/>
            <w:bottom w:w="0" w:type="dxa"/>
            <w:right w:w="108" w:type="dxa"/>
          </w:tblCellMar>
        </w:tblPrEx>
        <w:trPr>
          <w:trHeight w:val="1265" w:hRule="atLeast"/>
        </w:trPr>
        <w:tc>
          <w:tcPr>
            <w:tcW w:w="428" w:type="pct"/>
            <w:tcBorders>
              <w:top w:val="nil"/>
              <w:left w:val="single" w:color="auto" w:sz="4" w:space="0"/>
              <w:bottom w:val="single" w:color="auto" w:sz="4" w:space="0"/>
              <w:right w:val="single" w:color="auto" w:sz="4" w:space="0"/>
            </w:tcBorders>
            <w:noWrap/>
            <w:vAlign w:val="center"/>
          </w:tcPr>
          <w:p w14:paraId="7CA5C3BA">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w:t>
            </w:r>
          </w:p>
        </w:tc>
        <w:tc>
          <w:tcPr>
            <w:tcW w:w="624" w:type="pct"/>
            <w:tcBorders>
              <w:top w:val="nil"/>
              <w:left w:val="single" w:color="auto" w:sz="4" w:space="0"/>
              <w:bottom w:val="single" w:color="auto" w:sz="4" w:space="0"/>
              <w:right w:val="single" w:color="auto" w:sz="4" w:space="0"/>
            </w:tcBorders>
            <w:noWrap/>
            <w:vAlign w:val="center"/>
          </w:tcPr>
          <w:p w14:paraId="6B5CCE1A">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空间地理</w:t>
            </w:r>
          </w:p>
        </w:tc>
        <w:tc>
          <w:tcPr>
            <w:tcW w:w="1557" w:type="pct"/>
            <w:tcBorders>
              <w:top w:val="nil"/>
              <w:left w:val="nil"/>
              <w:bottom w:val="single" w:color="auto" w:sz="4" w:space="0"/>
              <w:right w:val="single" w:color="auto" w:sz="4" w:space="0"/>
            </w:tcBorders>
            <w:vAlign w:val="center"/>
          </w:tcPr>
          <w:p w14:paraId="3A34B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二维：</w:t>
            </w:r>
            <w:r>
              <w:rPr>
                <w:rFonts w:hint="eastAsia" w:ascii="宋体" w:hAnsi="宋体" w:eastAsia="宋体" w:cs="宋体"/>
                <w:sz w:val="17"/>
                <w:szCs w:val="17"/>
              </w:rPr>
              <w:br w:type="textWrapping"/>
            </w:r>
            <w:r>
              <w:rPr>
                <w:rFonts w:hint="eastAsia" w:ascii="宋体" w:hAnsi="宋体" w:eastAsia="宋体" w:cs="宋体"/>
                <w:sz w:val="17"/>
                <w:szCs w:val="17"/>
              </w:rPr>
              <w:t>(1)提供离线1：500基础地形图。</w:t>
            </w:r>
            <w:r>
              <w:rPr>
                <w:rFonts w:hint="eastAsia" w:ascii="宋体" w:hAnsi="宋体" w:eastAsia="宋体" w:cs="宋体"/>
                <w:sz w:val="17"/>
                <w:szCs w:val="17"/>
              </w:rPr>
              <w:br w:type="textWrapping"/>
            </w:r>
            <w:r>
              <w:rPr>
                <w:rFonts w:hint="eastAsia" w:ascii="宋体" w:hAnsi="宋体" w:eastAsia="宋体" w:cs="宋体"/>
                <w:sz w:val="17"/>
                <w:szCs w:val="17"/>
              </w:rPr>
              <w:t>(2)提供离线道路图层、行政网格图层（社区、街道、区），以shp或geojson格式提供。</w:t>
            </w:r>
            <w:r>
              <w:rPr>
                <w:rFonts w:hint="eastAsia" w:ascii="宋体" w:hAnsi="宋体" w:eastAsia="宋体" w:cs="宋体"/>
                <w:sz w:val="17"/>
                <w:szCs w:val="17"/>
              </w:rPr>
              <w:br w:type="textWrapping"/>
            </w:r>
            <w:r>
              <w:rPr>
                <w:rFonts w:hint="eastAsia" w:ascii="宋体" w:hAnsi="宋体" w:eastAsia="宋体" w:cs="宋体"/>
                <w:sz w:val="17"/>
                <w:szCs w:val="17"/>
              </w:rPr>
              <w:t>(3)地形图服务，需要包含两种风格的基础地形图。一种是浅色版本，一种是深色版本。要求覆盖全市域，比例尺为1：2000。地形图的服务标准满足 OGC中的WMTS标准，提供rest类型地形图服务。</w:t>
            </w:r>
            <w:r>
              <w:rPr>
                <w:rFonts w:hint="eastAsia" w:ascii="宋体" w:hAnsi="宋体" w:eastAsia="宋体" w:cs="宋体"/>
                <w:sz w:val="17"/>
                <w:szCs w:val="17"/>
              </w:rPr>
              <w:br w:type="textWrapping"/>
            </w:r>
            <w:r>
              <w:rPr>
                <w:rFonts w:hint="eastAsia" w:ascii="宋体" w:hAnsi="宋体" w:eastAsia="宋体" w:cs="宋体"/>
                <w:sz w:val="17"/>
                <w:szCs w:val="17"/>
              </w:rPr>
              <w:t>(4)矢量数据服务，满足OGC标准中的 WMS和WFS标准，提供rest类型矢量服务。</w:t>
            </w:r>
            <w:r>
              <w:rPr>
                <w:rFonts w:hint="eastAsia" w:ascii="宋体" w:hAnsi="宋体" w:eastAsia="宋体" w:cs="宋体"/>
                <w:sz w:val="17"/>
                <w:szCs w:val="17"/>
              </w:rPr>
              <w:br w:type="textWrapping"/>
            </w:r>
            <w:r>
              <w:rPr>
                <w:rFonts w:hint="eastAsia" w:ascii="宋体" w:hAnsi="宋体" w:eastAsia="宋体" w:cs="宋体"/>
                <w:sz w:val="17"/>
                <w:szCs w:val="17"/>
              </w:rPr>
              <w:t>(5)地形图服务和矢量数据服务是同一坐标系，建议2000坐标系。</w:t>
            </w:r>
          </w:p>
        </w:tc>
        <w:tc>
          <w:tcPr>
            <w:tcW w:w="677" w:type="pct"/>
            <w:tcBorders>
              <w:top w:val="nil"/>
              <w:left w:val="nil"/>
              <w:bottom w:val="single" w:color="auto" w:sz="4" w:space="0"/>
              <w:right w:val="single" w:color="auto" w:sz="4" w:space="0"/>
            </w:tcBorders>
            <w:vAlign w:val="center"/>
          </w:tcPr>
          <w:p w14:paraId="6A5C5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lang w:val="en-US" w:eastAsia="zh-CN"/>
              </w:rPr>
              <w:t>大丰区</w:t>
            </w:r>
            <w:r>
              <w:rPr>
                <w:rFonts w:hint="eastAsia" w:ascii="宋体" w:hAnsi="宋体" w:eastAsia="宋体" w:cs="宋体"/>
                <w:sz w:val="17"/>
                <w:szCs w:val="17"/>
              </w:rPr>
              <w:t>矢量</w:t>
            </w:r>
            <w:r>
              <w:rPr>
                <w:rFonts w:hint="eastAsia" w:ascii="宋体" w:hAnsi="宋体" w:eastAsia="宋体" w:cs="宋体"/>
                <w:sz w:val="17"/>
                <w:szCs w:val="17"/>
                <w:lang w:val="en-US" w:eastAsia="zh-CN"/>
              </w:rPr>
              <w:t>、大丰区</w:t>
            </w:r>
            <w:r>
              <w:rPr>
                <w:rFonts w:hint="eastAsia" w:ascii="宋体" w:hAnsi="宋体" w:eastAsia="宋体" w:cs="宋体"/>
                <w:sz w:val="17"/>
                <w:szCs w:val="17"/>
              </w:rPr>
              <w:t>市矢量注记、</w:t>
            </w:r>
            <w:r>
              <w:rPr>
                <w:rFonts w:hint="eastAsia" w:ascii="宋体" w:hAnsi="宋体" w:eastAsia="宋体" w:cs="宋体"/>
                <w:sz w:val="17"/>
                <w:szCs w:val="17"/>
                <w:lang w:val="en-US" w:eastAsia="zh-CN"/>
              </w:rPr>
              <w:t>大丰区</w:t>
            </w:r>
            <w:r>
              <w:rPr>
                <w:rFonts w:hint="eastAsia" w:ascii="宋体" w:hAnsi="宋体" w:eastAsia="宋体" w:cs="宋体"/>
                <w:sz w:val="17"/>
                <w:szCs w:val="17"/>
              </w:rPr>
              <w:t>境界</w:t>
            </w:r>
          </w:p>
        </w:tc>
        <w:tc>
          <w:tcPr>
            <w:tcW w:w="1712" w:type="pct"/>
            <w:tcBorders>
              <w:top w:val="nil"/>
              <w:left w:val="nil"/>
              <w:bottom w:val="single" w:color="auto" w:sz="4" w:space="0"/>
              <w:right w:val="single" w:color="auto" w:sz="4" w:space="0"/>
            </w:tcBorders>
            <w:vAlign w:val="center"/>
          </w:tcPr>
          <w:p w14:paraId="4858D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二维：</w:t>
            </w:r>
            <w:r>
              <w:rPr>
                <w:rFonts w:hint="eastAsia" w:ascii="宋体" w:hAnsi="宋体" w:eastAsia="宋体" w:cs="宋体"/>
                <w:sz w:val="17"/>
                <w:szCs w:val="17"/>
              </w:rPr>
              <w:br w:type="textWrapping"/>
            </w:r>
            <w:r>
              <w:rPr>
                <w:rFonts w:hint="eastAsia" w:ascii="宋体" w:hAnsi="宋体" w:eastAsia="宋体" w:cs="宋体"/>
                <w:sz w:val="17"/>
                <w:szCs w:val="17"/>
              </w:rPr>
              <w:t>(1)提供离线1：500基础地形图。</w:t>
            </w:r>
            <w:r>
              <w:rPr>
                <w:rFonts w:hint="eastAsia" w:ascii="宋体" w:hAnsi="宋体" w:eastAsia="宋体" w:cs="宋体"/>
                <w:sz w:val="17"/>
                <w:szCs w:val="17"/>
              </w:rPr>
              <w:br w:type="textWrapping"/>
            </w:r>
            <w:r>
              <w:rPr>
                <w:rFonts w:hint="eastAsia" w:ascii="宋体" w:hAnsi="宋体" w:eastAsia="宋体" w:cs="宋体"/>
                <w:sz w:val="17"/>
                <w:szCs w:val="17"/>
              </w:rPr>
              <w:t>(2)提供离线道路图层、行政网格图层（社区、街道、区），以shp或geojson格式提供。</w:t>
            </w:r>
            <w:r>
              <w:rPr>
                <w:rFonts w:hint="eastAsia" w:ascii="宋体" w:hAnsi="宋体" w:eastAsia="宋体" w:cs="宋体"/>
                <w:sz w:val="17"/>
                <w:szCs w:val="17"/>
              </w:rPr>
              <w:br w:type="textWrapping"/>
            </w:r>
            <w:r>
              <w:rPr>
                <w:rFonts w:hint="eastAsia" w:ascii="宋体" w:hAnsi="宋体" w:eastAsia="宋体" w:cs="宋体"/>
                <w:sz w:val="17"/>
                <w:szCs w:val="17"/>
              </w:rPr>
              <w:t>(3)地形图服务，需要包含两种风格的基础地形图。一种是浅色版本，一种是深色版本。要求覆盖全市域，比例尺为1：2000。地形图的服务标准满足 OGC中的WMTS标准，提供rest类型地形图服务。</w:t>
            </w:r>
            <w:r>
              <w:rPr>
                <w:rFonts w:hint="eastAsia" w:ascii="宋体" w:hAnsi="宋体" w:eastAsia="宋体" w:cs="宋体"/>
                <w:sz w:val="17"/>
                <w:szCs w:val="17"/>
              </w:rPr>
              <w:br w:type="textWrapping"/>
            </w:r>
            <w:r>
              <w:rPr>
                <w:rFonts w:hint="eastAsia" w:ascii="宋体" w:hAnsi="宋体" w:eastAsia="宋体" w:cs="宋体"/>
                <w:sz w:val="17"/>
                <w:szCs w:val="17"/>
              </w:rPr>
              <w:t>(4)矢量数据服务，满足OGC标准中的 WMS和WFS标准，提供rest类型矢量服务。</w:t>
            </w:r>
            <w:r>
              <w:rPr>
                <w:rFonts w:hint="eastAsia" w:ascii="宋体" w:hAnsi="宋体" w:eastAsia="宋体" w:cs="宋体"/>
                <w:sz w:val="17"/>
                <w:szCs w:val="17"/>
              </w:rPr>
              <w:br w:type="textWrapping"/>
            </w:r>
            <w:r>
              <w:rPr>
                <w:rFonts w:hint="eastAsia" w:ascii="宋体" w:hAnsi="宋体" w:eastAsia="宋体" w:cs="宋体"/>
                <w:sz w:val="17"/>
                <w:szCs w:val="17"/>
              </w:rPr>
              <w:t>(5)地形图服务和矢量数据服务是同一坐标系，建议2000坐标系。</w:t>
            </w:r>
          </w:p>
        </w:tc>
      </w:tr>
      <w:tr w14:paraId="1A813951">
        <w:tblPrEx>
          <w:tblCellMar>
            <w:top w:w="0" w:type="dxa"/>
            <w:left w:w="108" w:type="dxa"/>
            <w:bottom w:w="0" w:type="dxa"/>
            <w:right w:w="108" w:type="dxa"/>
          </w:tblCellMar>
        </w:tblPrEx>
        <w:trPr>
          <w:trHeight w:val="992" w:hRule="atLeast"/>
        </w:trPr>
        <w:tc>
          <w:tcPr>
            <w:tcW w:w="428" w:type="pct"/>
            <w:tcBorders>
              <w:top w:val="single" w:color="auto" w:sz="4" w:space="0"/>
              <w:left w:val="single" w:color="auto" w:sz="4" w:space="0"/>
              <w:bottom w:val="single" w:color="auto" w:sz="4" w:space="0"/>
              <w:right w:val="single" w:color="auto" w:sz="4" w:space="0"/>
            </w:tcBorders>
            <w:vAlign w:val="center"/>
          </w:tcPr>
          <w:p w14:paraId="1123AE5C">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r>
              <w:rPr>
                <w:rFonts w:hint="eastAsia" w:ascii="宋体" w:hAnsi="宋体" w:eastAsia="宋体" w:cs="宋体"/>
                <w:szCs w:val="21"/>
              </w:rPr>
              <w:t>2</w:t>
            </w:r>
          </w:p>
        </w:tc>
        <w:tc>
          <w:tcPr>
            <w:tcW w:w="624" w:type="pct"/>
            <w:tcBorders>
              <w:top w:val="single" w:color="auto" w:sz="4" w:space="0"/>
              <w:left w:val="single" w:color="auto" w:sz="4" w:space="0"/>
              <w:bottom w:val="single" w:color="auto" w:sz="4" w:space="0"/>
              <w:right w:val="single" w:color="auto" w:sz="4" w:space="0"/>
            </w:tcBorders>
            <w:vAlign w:val="center"/>
          </w:tcPr>
          <w:p w14:paraId="31141DD6">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建筑用地</w:t>
            </w:r>
          </w:p>
        </w:tc>
        <w:tc>
          <w:tcPr>
            <w:tcW w:w="1557" w:type="pct"/>
            <w:tcBorders>
              <w:top w:val="single" w:color="auto" w:sz="4" w:space="0"/>
              <w:left w:val="nil"/>
              <w:bottom w:val="single" w:color="auto" w:sz="4" w:space="0"/>
              <w:right w:val="single" w:color="auto" w:sz="4" w:space="0"/>
            </w:tcBorders>
            <w:vAlign w:val="center"/>
          </w:tcPr>
          <w:p w14:paraId="3FE7B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用地名称、用地位置、证照名称、建设单位、规划用途、批准面积、证照有效期</w:t>
            </w:r>
          </w:p>
        </w:tc>
        <w:tc>
          <w:tcPr>
            <w:tcW w:w="677" w:type="pct"/>
            <w:tcBorders>
              <w:top w:val="single" w:color="auto" w:sz="4" w:space="0"/>
              <w:left w:val="nil"/>
              <w:bottom w:val="single" w:color="auto" w:sz="4" w:space="0"/>
              <w:right w:val="single" w:color="auto" w:sz="4" w:space="0"/>
            </w:tcBorders>
            <w:noWrap/>
            <w:vAlign w:val="center"/>
          </w:tcPr>
          <w:p w14:paraId="203BCF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lang w:eastAsia="zh-CN"/>
              </w:rPr>
            </w:pPr>
            <w:r>
              <w:rPr>
                <w:rFonts w:hint="eastAsia" w:ascii="宋体" w:hAnsi="宋体" w:eastAsia="宋体" w:cs="宋体"/>
                <w:sz w:val="17"/>
                <w:szCs w:val="17"/>
                <w:lang w:eastAsia="zh-CN"/>
              </w:rPr>
              <w:t>基础数据</w:t>
            </w:r>
          </w:p>
        </w:tc>
        <w:tc>
          <w:tcPr>
            <w:tcW w:w="1712" w:type="pct"/>
            <w:tcBorders>
              <w:top w:val="single" w:color="auto" w:sz="4" w:space="0"/>
              <w:left w:val="nil"/>
              <w:bottom w:val="single" w:color="auto" w:sz="4" w:space="0"/>
              <w:right w:val="single" w:color="auto" w:sz="4" w:space="0"/>
            </w:tcBorders>
            <w:vAlign w:val="center"/>
          </w:tcPr>
          <w:p w14:paraId="08E1B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电子证照库</w:t>
            </w:r>
            <w:r>
              <w:rPr>
                <w:rFonts w:hint="default" w:ascii="宋体" w:hAnsi="宋体" w:eastAsia="宋体" w:cs="宋体"/>
                <w:sz w:val="17"/>
                <w:szCs w:val="17"/>
              </w:rPr>
              <w:t>-建设用地批准书：颁发时间、建设项目名称、用地单位、证照名称、规划用途、批准面积、证照有效期起始、限定开发完成时间</w:t>
            </w:r>
          </w:p>
        </w:tc>
      </w:tr>
    </w:tbl>
    <w:p w14:paraId="0E5EFD7F">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应用体系需求分析</w:t>
      </w:r>
    </w:p>
    <w:p w14:paraId="25A45EEA">
      <w:pPr>
        <w:pStyle w:val="14"/>
        <w:ind w:left="0" w:firstLine="0"/>
        <w:rPr>
          <w:rFonts w:hint="eastAsia"/>
        </w:rPr>
      </w:pPr>
      <w:r>
        <w:rPr>
          <w:rFonts w:hint="eastAsia"/>
        </w:rPr>
        <w:t>业务指导系统</w:t>
      </w:r>
    </w:p>
    <w:p w14:paraId="5973CA3E">
      <w:pPr>
        <w:pStyle w:val="6"/>
        <w:keepNext w:val="0"/>
        <w:keepLines w:val="0"/>
        <w:pageBreakBefore w:val="0"/>
        <w:widowControl w:val="0"/>
        <w:kinsoku/>
        <w:wordWrap/>
        <w:overflowPunct/>
        <w:topLinePunct w:val="0"/>
        <w:autoSpaceDE/>
        <w:autoSpaceDN/>
        <w:bidi w:val="0"/>
        <w:adjustRightInd/>
        <w:snapToGrid/>
        <w:spacing w:line="240" w:lineRule="auto"/>
        <w:ind w:firstLine="420"/>
        <w:textAlignment w:val="auto"/>
      </w:pPr>
      <w:r>
        <w:rPr>
          <w:rFonts w:hint="eastAsia"/>
        </w:rPr>
        <w:t>大丰区城市运行管理服务平台直接使用国家平台的业务指导系统，业务指导系统根据分配的权限直接使用相关功能，查看权限范围内的城市管理业务指导信息。</w:t>
      </w:r>
    </w:p>
    <w:p w14:paraId="5470C8BB">
      <w:pPr>
        <w:pStyle w:val="14"/>
        <w:keepNext/>
        <w:keepLines/>
        <w:pageBreakBefore w:val="0"/>
        <w:widowControl w:val="0"/>
        <w:kinsoku/>
        <w:wordWrap/>
        <w:overflowPunct/>
        <w:topLinePunct w:val="0"/>
        <w:autoSpaceDE/>
        <w:autoSpaceDN/>
        <w:bidi w:val="0"/>
        <w:adjustRightInd/>
        <w:snapToGrid/>
        <w:spacing w:line="240" w:lineRule="auto"/>
        <w:ind w:left="0" w:firstLine="0"/>
        <w:textAlignment w:val="auto"/>
        <w:rPr>
          <w:rFonts w:hint="eastAsia"/>
        </w:rPr>
      </w:pPr>
      <w:r>
        <w:rPr>
          <w:rFonts w:hint="eastAsia"/>
        </w:rPr>
        <w:t>指挥协调系统</w:t>
      </w:r>
    </w:p>
    <w:p w14:paraId="281168B8">
      <w:pPr>
        <w:pStyle w:val="282"/>
        <w:spacing w:line="276" w:lineRule="auto"/>
        <w:rPr>
          <w:rFonts w:hint="eastAsia" w:cs="Times New Roman Regular"/>
        </w:rPr>
      </w:pPr>
      <w:r>
        <w:rPr>
          <w:rFonts w:hint="eastAsia" w:cs="Times New Roman Regular"/>
        </w:rPr>
        <w:t>基于现有大丰区数字城管系统进行升级改造，主要针对分拨、处置效率方面进行提升。通过案件智能去重，系统对案件进行智能分拨、流转，缓解指挥中心人员分拨压力，提升案件分拨、处置效率，减负增效。</w:t>
      </w:r>
    </w:p>
    <w:p w14:paraId="52B1A631">
      <w:pPr>
        <w:pStyle w:val="14"/>
        <w:rPr>
          <w:rFonts w:hint="eastAsia"/>
        </w:rPr>
      </w:pPr>
      <w:r>
        <w:rPr>
          <w:rFonts w:hint="eastAsia"/>
        </w:rPr>
        <w:t>行业应用系统</w:t>
      </w:r>
    </w:p>
    <w:p w14:paraId="5E74F38F">
      <w:pPr>
        <w:pStyle w:val="15"/>
        <w:bidi w:val="0"/>
        <w:rPr>
          <w:rFonts w:hint="eastAsia"/>
        </w:rPr>
      </w:pPr>
      <w:r>
        <w:rPr>
          <w:rFonts w:hint="eastAsia"/>
        </w:rPr>
        <w:t>垃圾分类业务</w:t>
      </w:r>
    </w:p>
    <w:p w14:paraId="2D8BF330">
      <w:pPr>
        <w:pStyle w:val="282"/>
        <w:spacing w:line="276" w:lineRule="auto"/>
        <w:rPr>
          <w:rFonts w:hint="eastAsia" w:cs="Times New Roman Regular"/>
        </w:rPr>
      </w:pPr>
      <w:bookmarkStart w:id="39" w:name="_Toc54205162"/>
      <w:r>
        <w:rPr>
          <w:rFonts w:hint="eastAsia" w:cs="Times New Roman Regular"/>
        </w:rPr>
        <w:t>（1）建立基础数据采集标准和流程</w:t>
      </w:r>
    </w:p>
    <w:p w14:paraId="294D69D4">
      <w:pPr>
        <w:pStyle w:val="282"/>
        <w:spacing w:line="276" w:lineRule="auto"/>
        <w:rPr>
          <w:rFonts w:hint="eastAsia" w:cs="Times New Roman Regular"/>
        </w:rPr>
      </w:pPr>
      <w:r>
        <w:rPr>
          <w:rFonts w:hint="eastAsia" w:cs="Times New Roman Regular"/>
        </w:rPr>
        <w:t>对我区辖区内垃圾分类基础设施数据进行精确采集，保证数据的完整性和及时性。掌握辖区内小区、居民、投放点、转运点、暂存点、处置点、运输车辆、作业人员、督导人员、第三方企业等多类型数据信息，建立分类公众数据库、分类基础设施信息库、分类作业资源数据库。依托GIS系统，实现对辖区内基础设施数据进行集中展示和网格化管理，为后续工作的规划、设计、开展提供有力支撑。</w:t>
      </w:r>
    </w:p>
    <w:p w14:paraId="7D5F5497">
      <w:pPr>
        <w:pStyle w:val="282"/>
        <w:spacing w:line="276" w:lineRule="auto"/>
        <w:rPr>
          <w:rFonts w:hint="eastAsia" w:cs="Times New Roman Regular"/>
        </w:rPr>
      </w:pPr>
      <w:r>
        <w:rPr>
          <w:rFonts w:hint="eastAsia" w:cs="Times New Roman Regular"/>
        </w:rPr>
        <w:t>（2）打通垃圾分类业务，优化各环节的衔接</w:t>
      </w:r>
      <w:bookmarkEnd w:id="39"/>
    </w:p>
    <w:p w14:paraId="7555B407">
      <w:pPr>
        <w:pStyle w:val="282"/>
        <w:spacing w:line="276" w:lineRule="auto"/>
        <w:rPr>
          <w:rFonts w:hint="eastAsia" w:cs="Times New Roman Regular"/>
        </w:rPr>
      </w:pPr>
      <w:r>
        <w:rPr>
          <w:rFonts w:hint="eastAsia" w:cs="Times New Roman Regular"/>
        </w:rPr>
        <w:t>针对垃圾分类投放、分类收集、分类转运、分类处置的各个环节，建立相关监管流程，完善各业务流程。通过物联感知设备实现元素关键指标数据的采集与接入。通过对接各运营公司平台，实现居民垃圾投放溯源管理。</w:t>
      </w:r>
    </w:p>
    <w:p w14:paraId="10B87DC2">
      <w:pPr>
        <w:pStyle w:val="282"/>
        <w:spacing w:line="276" w:lineRule="auto"/>
        <w:rPr>
          <w:rFonts w:hint="eastAsia" w:cs="Times New Roman Regular"/>
        </w:rPr>
      </w:pPr>
      <w:r>
        <w:rPr>
          <w:rFonts w:hint="eastAsia" w:cs="Times New Roman Regular"/>
        </w:rPr>
        <w:t>（3）完善分类考核体系，建立科学全面的考核机制</w:t>
      </w:r>
    </w:p>
    <w:p w14:paraId="022B6031">
      <w:pPr>
        <w:pStyle w:val="282"/>
        <w:spacing w:line="276" w:lineRule="auto"/>
        <w:rPr>
          <w:rFonts w:hint="eastAsia" w:cs="Times New Roman Regular"/>
        </w:rPr>
      </w:pPr>
      <w:r>
        <w:rPr>
          <w:rFonts w:hint="eastAsia" w:cs="Times New Roman Regular"/>
        </w:rPr>
        <w:t>梳理垃圾分类关联业务，结合盐城市、大丰区垃圾分类考核管理标准，建立本区垃圾分类数据标准，同时建立统一的数据交换通道实现各街镇、作业公司的业务数据汇聚，全面采集垃圾分类源头数据形成具有本级特色的垃圾分类数据中心，应用大数据分析手段分析各类数据，形成相关的各类报表和分析结果，服务于城市垃圾分类决策。</w:t>
      </w:r>
      <w:bookmarkStart w:id="40" w:name="_Toc54205168"/>
    </w:p>
    <w:p w14:paraId="52850ACE">
      <w:pPr>
        <w:pStyle w:val="282"/>
        <w:spacing w:line="276" w:lineRule="auto"/>
        <w:rPr>
          <w:rFonts w:hint="eastAsia" w:cs="Times New Roman Regular"/>
        </w:rPr>
      </w:pPr>
      <w:r>
        <w:rPr>
          <w:rFonts w:hint="eastAsia" w:cs="Times New Roman Regular"/>
        </w:rPr>
        <w:t>（4）建立垃圾分类宏观看板，及时掌握垃圾分类业务动态</w:t>
      </w:r>
      <w:bookmarkEnd w:id="40"/>
    </w:p>
    <w:p w14:paraId="67FB1BEE">
      <w:pPr>
        <w:pStyle w:val="282"/>
        <w:spacing w:line="276" w:lineRule="auto"/>
        <w:rPr>
          <w:rFonts w:hint="eastAsia" w:cs="Times New Roman Regular"/>
        </w:rPr>
      </w:pPr>
      <w:r>
        <w:rPr>
          <w:rFonts w:hint="eastAsia" w:cs="Times New Roman Regular"/>
        </w:rPr>
        <w:t>以本区垃圾分类数据为基础，通过大数据分析手段，实时分析垃圾分类的各关键指标，如：垃圾分类覆盖面、源头减量指标、示范区运行情况、生活垃圾回收利用率、垃圾处置能力、重点项目建设进程等。使决策者能够通过一张看板全面了解本市垃圾分类业务开展情况、开展质量等，快速了解各类关键信息，为城市垃圾分类决策提供数据依据。</w:t>
      </w:r>
      <w:bookmarkStart w:id="41" w:name="_Toc54205169"/>
    </w:p>
    <w:p w14:paraId="22E197BE">
      <w:pPr>
        <w:pStyle w:val="282"/>
        <w:spacing w:line="276" w:lineRule="auto"/>
        <w:rPr>
          <w:rFonts w:hint="eastAsia" w:cs="Times New Roman Regular"/>
        </w:rPr>
      </w:pPr>
      <w:r>
        <w:rPr>
          <w:rFonts w:hint="eastAsia" w:cs="Times New Roman Regular"/>
        </w:rPr>
        <w:t>（5）通过大数据分析手段，挖掘业务数据价值</w:t>
      </w:r>
      <w:bookmarkEnd w:id="41"/>
    </w:p>
    <w:p w14:paraId="226FEE94">
      <w:pPr>
        <w:pStyle w:val="282"/>
        <w:spacing w:line="276" w:lineRule="auto"/>
        <w:rPr>
          <w:rFonts w:hint="eastAsia" w:cs="Times New Roman Regular"/>
        </w:rPr>
      </w:pPr>
      <w:r>
        <w:rPr>
          <w:rFonts w:hint="eastAsia" w:cs="Times New Roman Regular"/>
        </w:rPr>
        <w:t>对数据进行精细化、全面化处理。建立分类智脑，剖析分类质量、分类工作短板，指导分类优化工作。具体实现分类数据时空对比，分类指标完成度变化趋势对比；分类考核数据各考核因子短板区域以及定向指导；针对频发的分类问题进行分析，制定相应管理方案；运用热力图查看问题频发地点，进行重点巡查等。</w:t>
      </w:r>
    </w:p>
    <w:p w14:paraId="1177BBE2">
      <w:pPr>
        <w:pStyle w:val="15"/>
        <w:rPr>
          <w:rFonts w:hint="eastAsia"/>
        </w:rPr>
      </w:pPr>
      <w:r>
        <w:rPr>
          <w:rFonts w:hint="eastAsia"/>
        </w:rPr>
        <w:t>建筑垃圾业务</w:t>
      </w:r>
    </w:p>
    <w:p w14:paraId="6A880AD9">
      <w:pPr>
        <w:pStyle w:val="6"/>
        <w:rPr>
          <w:rFonts w:hint="eastAsia" w:cs="Times New Roman"/>
        </w:rPr>
      </w:pPr>
      <w:bookmarkStart w:id="42" w:name="_Toc179561207"/>
      <w:bookmarkStart w:id="43" w:name="_Hlk178346580"/>
      <w:r>
        <w:rPr>
          <w:rFonts w:hint="eastAsia" w:cs="Times New Roman"/>
        </w:rPr>
        <w:t>（1）数据建库：动静态数据更新夯实管理基础</w:t>
      </w:r>
      <w:bookmarkEnd w:id="42"/>
    </w:p>
    <w:p w14:paraId="52B1C0A6">
      <w:pPr>
        <w:pStyle w:val="6"/>
        <w:rPr>
          <w:rFonts w:hint="eastAsia" w:cs="Times New Roman"/>
        </w:rPr>
      </w:pPr>
      <w:r>
        <w:rPr>
          <w:rFonts w:hint="eastAsia" w:cs="Times New Roman"/>
        </w:rPr>
        <w:t>实现建筑垃圾产生、运输、消纳和资源化利用等各个环节信息的汇集与治理，通过整合各类数据资源，统一数据标准和格式，建立建筑垃圾全生命周期数据体系，建设建筑垃圾专题库，为建筑垃圾的规划、管理、执法提供数据基础。</w:t>
      </w:r>
    </w:p>
    <w:bookmarkEnd w:id="43"/>
    <w:p w14:paraId="4490281A">
      <w:pPr>
        <w:pStyle w:val="6"/>
        <w:rPr>
          <w:rFonts w:hint="eastAsia" w:cs="Times New Roman"/>
        </w:rPr>
      </w:pPr>
      <w:bookmarkStart w:id="44" w:name="_Toc179561211"/>
      <w:r>
        <w:rPr>
          <w:rFonts w:hint="eastAsia" w:cs="Times New Roman"/>
        </w:rPr>
        <w:t>（2）产源管理：分类管控严查垃圾进出</w:t>
      </w:r>
      <w:bookmarkEnd w:id="44"/>
    </w:p>
    <w:p w14:paraId="249BEC0D">
      <w:pPr>
        <w:pStyle w:val="6"/>
        <w:rPr>
          <w:rFonts w:hint="eastAsia" w:cs="Times New Roman"/>
        </w:rPr>
      </w:pPr>
      <w:r>
        <w:rPr>
          <w:rFonts w:hint="eastAsia" w:cs="Times New Roman"/>
        </w:rPr>
        <w:t>建设统一的产源管理系统，针对于产生主体的不一，建立工地监管和装修垃圾投放监管子系统。装修垃圾投放监管实现多元预约方式、精准计量付费。</w:t>
      </w:r>
    </w:p>
    <w:p w14:paraId="02937251">
      <w:pPr>
        <w:pStyle w:val="6"/>
        <w:rPr>
          <w:rFonts w:hint="eastAsia" w:cs="Times New Roman"/>
        </w:rPr>
      </w:pPr>
      <w:bookmarkStart w:id="45" w:name="_Toc179561214"/>
      <w:r>
        <w:rPr>
          <w:rFonts w:hint="eastAsia" w:cs="Times New Roman"/>
        </w:rPr>
        <w:t>（3）运输管理：全程透明保障车辆安全合规</w:t>
      </w:r>
      <w:bookmarkEnd w:id="45"/>
    </w:p>
    <w:p w14:paraId="681CDB14">
      <w:pPr>
        <w:pStyle w:val="6"/>
        <w:rPr>
          <w:rFonts w:hint="eastAsia" w:cs="Times New Roman"/>
        </w:rPr>
      </w:pPr>
      <w:r>
        <w:rPr>
          <w:rFonts w:hint="eastAsia" w:cs="Times New Roman"/>
        </w:rPr>
        <w:t>建设统一的车辆运输过程管控系统。平台建立电子联单、多类型电子围栏，基于车辆终端系统，实现车辆运输过程实时监管，在清运过程车辆行驶、是否按照规定的路线进行运输、是否非法倾倒、是否超速、是否外来车辆等进行全方位监管，基于各类身份识别技术、大数据分析技术，自动判别车辆违规行为，出现违规行为时系统及时进行提醒记录，杜绝黑车上路、超速等不规范行为。同时进行车辆考评，量化车辆违规行为，助力规范车辆行为。</w:t>
      </w:r>
    </w:p>
    <w:p w14:paraId="1B34CE74">
      <w:pPr>
        <w:pStyle w:val="6"/>
        <w:rPr>
          <w:rFonts w:hint="eastAsia" w:cs="Times New Roman"/>
        </w:rPr>
      </w:pPr>
      <w:bookmarkStart w:id="46" w:name="_Toc179561233"/>
      <w:r>
        <w:rPr>
          <w:rFonts w:hint="eastAsia" w:cs="Times New Roman"/>
        </w:rPr>
        <w:t>（4）公众服务：深度互动促进居民自治</w:t>
      </w:r>
      <w:bookmarkEnd w:id="46"/>
    </w:p>
    <w:p w14:paraId="31C04FAE">
      <w:pPr>
        <w:pStyle w:val="6"/>
        <w:rPr>
          <w:rFonts w:hint="eastAsia" w:cs="Times New Roman"/>
        </w:rPr>
      </w:pPr>
      <w:r>
        <w:rPr>
          <w:rFonts w:hint="eastAsia" w:cs="Times New Roman"/>
        </w:rPr>
        <w:t>提供建筑垃圾管理服务统一窗口，建立政府管理部门与建筑垃圾相关企业、公众之间的信息联系。公共服务平台包括两种，一是基于网页的门户网站，二是基于微信平台的公众号、微服务，便于不同的用户类型进行各类公共服务的访问。</w:t>
      </w:r>
    </w:p>
    <w:p w14:paraId="7C0F0579">
      <w:pPr>
        <w:pStyle w:val="6"/>
        <w:rPr>
          <w:rFonts w:hint="eastAsia" w:cs="Times New Roman"/>
        </w:rPr>
      </w:pPr>
      <w:r>
        <w:rPr>
          <w:rFonts w:hint="eastAsia" w:cs="Times New Roman"/>
        </w:rPr>
        <w:t>针对于企业单位提供信息公开、证件申报、供/需土需求调剂服务；针对于公众提供信息公开、云上宣教、投诉建议、违规行为曝光台和装修垃圾预约投放服务。</w:t>
      </w:r>
    </w:p>
    <w:p w14:paraId="2438C9E9">
      <w:pPr>
        <w:pStyle w:val="15"/>
        <w:rPr>
          <w:rFonts w:hint="eastAsia"/>
        </w:rPr>
      </w:pPr>
      <w:r>
        <w:rPr>
          <w:rFonts w:hint="eastAsia"/>
        </w:rPr>
        <w:t>综合执法信息管理系统</w:t>
      </w:r>
    </w:p>
    <w:p w14:paraId="4DD8D40E">
      <w:pPr>
        <w:pStyle w:val="6"/>
        <w:rPr>
          <w:rFonts w:hint="eastAsia" w:cs="Times New Roman"/>
        </w:rPr>
      </w:pPr>
      <w:r>
        <w:rPr>
          <w:rFonts w:hint="eastAsia" w:cs="Times New Roman"/>
        </w:rPr>
        <w:t>目前大丰区城管局已建有综合执法系统，能够基于执法记录仪对案件进行上报留痕，同时绑定对应执法视频，极大提升执法案件与视频的联动性，为执法办案工作提供有效数据支撑。为减少政务信息系统成果浪费，本次将对现有的综合执法系统进行集成复用，并再</w:t>
      </w:r>
      <w:r>
        <w:rPr>
          <w:rFonts w:hint="eastAsia" w:cs="Times New Roman"/>
          <w:lang w:val="en-US" w:eastAsia="zh-CN"/>
        </w:rPr>
        <w:t>此</w:t>
      </w:r>
      <w:r>
        <w:rPr>
          <w:rFonts w:hint="eastAsia" w:cs="Times New Roman"/>
        </w:rPr>
        <w:t>基础上建设</w:t>
      </w:r>
      <w:r>
        <w:rPr>
          <w:rFonts w:hint="eastAsia" w:cs="Times New Roman"/>
          <w:lang w:val="en-US" w:eastAsia="zh-CN"/>
        </w:rPr>
        <w:t>综合管理、</w:t>
      </w:r>
      <w:r>
        <w:rPr>
          <w:rFonts w:hint="eastAsia" w:cs="Times New Roman"/>
        </w:rPr>
        <w:t>移动执法、执法办案、商户管理、监督考核等模块，实现执法办案规范化、指挥调度实时化、监督管理高效化、业务数据可视化、业务辅助智能化，有效提高大</w:t>
      </w:r>
      <w:r>
        <w:rPr>
          <w:rFonts w:hint="eastAsia" w:cs="Times New Roman"/>
          <w:lang w:val="en-US" w:eastAsia="zh-CN"/>
        </w:rPr>
        <w:t>丰</w:t>
      </w:r>
      <w:r>
        <w:rPr>
          <w:rFonts w:hint="eastAsia" w:cs="Times New Roman"/>
        </w:rPr>
        <w:t>区城市管理执法水平。</w:t>
      </w:r>
    </w:p>
    <w:p w14:paraId="529474DB">
      <w:pPr>
        <w:pStyle w:val="15"/>
        <w:rPr>
          <w:rFonts w:hint="eastAsia"/>
        </w:rPr>
      </w:pPr>
      <w:r>
        <w:rPr>
          <w:rFonts w:hint="eastAsia"/>
        </w:rPr>
        <w:t>环卫作业管理系统</w:t>
      </w:r>
    </w:p>
    <w:p w14:paraId="329F8D13">
      <w:pPr>
        <w:pStyle w:val="6"/>
      </w:pPr>
      <w:r>
        <w:rPr>
          <w:rFonts w:hint="eastAsia"/>
        </w:rPr>
        <w:t>按照习总书记提出的“城市管理应该像绣花一样精细”的要求，结合全市环卫业务管理需求，进一步提升环卫精细化管理、规范化作业、智能化考核水平。</w:t>
      </w:r>
    </w:p>
    <w:p w14:paraId="670AE7EF">
      <w:pPr>
        <w:pStyle w:val="15"/>
        <w:rPr>
          <w:rFonts w:hint="eastAsia"/>
        </w:rPr>
      </w:pPr>
      <w:r>
        <w:rPr>
          <w:rFonts w:hint="eastAsia"/>
        </w:rPr>
        <w:t>餐厨垃圾处理管理系统</w:t>
      </w:r>
    </w:p>
    <w:p w14:paraId="259E5BDB">
      <w:pPr>
        <w:spacing w:line="276" w:lineRule="auto"/>
        <w:ind w:firstLine="420"/>
        <w:rPr>
          <w:rFonts w:hint="eastAsia" w:ascii="宋体" w:hAnsi="宋体" w:eastAsia="宋体"/>
          <w:sz w:val="24"/>
          <w:szCs w:val="24"/>
        </w:rPr>
      </w:pPr>
      <w:r>
        <w:rPr>
          <w:rFonts w:hint="eastAsia" w:ascii="宋体" w:hAnsi="宋体" w:eastAsia="宋体"/>
          <w:sz w:val="24"/>
          <w:szCs w:val="24"/>
        </w:rPr>
        <w:t>需要通过</w:t>
      </w:r>
      <w:r>
        <w:rPr>
          <w:rFonts w:hint="eastAsia" w:ascii="宋体" w:hAnsi="宋体" w:eastAsia="宋体"/>
          <w:sz w:val="24"/>
          <w:szCs w:val="24"/>
          <w:lang w:val="en-US" w:eastAsia="zh-CN"/>
        </w:rPr>
        <w:t>接入</w:t>
      </w:r>
      <w:r>
        <w:rPr>
          <w:rFonts w:hint="eastAsia" w:ascii="宋体" w:hAnsi="宋体" w:eastAsia="宋体"/>
          <w:sz w:val="24"/>
          <w:szCs w:val="24"/>
        </w:rPr>
        <w:t>车载识别设备</w:t>
      </w:r>
      <w:r>
        <w:rPr>
          <w:rFonts w:hint="eastAsia" w:ascii="宋体" w:hAnsi="宋体" w:eastAsia="宋体"/>
          <w:sz w:val="24"/>
          <w:szCs w:val="24"/>
          <w:lang w:val="en-US" w:eastAsia="zh-CN"/>
        </w:rPr>
        <w:t>获取</w:t>
      </w:r>
      <w:r>
        <w:rPr>
          <w:rFonts w:hint="eastAsia" w:ascii="宋体" w:hAnsi="宋体" w:eastAsia="宋体"/>
          <w:sz w:val="24"/>
          <w:szCs w:val="24"/>
        </w:rPr>
        <w:t>车辆</w:t>
      </w:r>
      <w:r>
        <w:rPr>
          <w:rFonts w:hint="eastAsia" w:ascii="宋体" w:hAnsi="宋体" w:eastAsia="宋体"/>
          <w:sz w:val="24"/>
          <w:szCs w:val="24"/>
          <w:lang w:val="en-US" w:eastAsia="zh-CN"/>
        </w:rPr>
        <w:t>北斗位置定位数据，以及获取</w:t>
      </w:r>
      <w:r>
        <w:rPr>
          <w:rFonts w:hint="eastAsia" w:ascii="宋体" w:hAnsi="宋体" w:eastAsia="宋体"/>
          <w:sz w:val="24"/>
          <w:szCs w:val="24"/>
        </w:rPr>
        <w:t>处置终端地磅系统的数据，实现对餐厨垃圾产生、收运、处置全流程监管，配合发布餐厨相关公告知识，养成商户习惯，帮助监管人员了解餐厨垃圾完成覆盖情况，促进餐厨垃圾全面监管。</w:t>
      </w:r>
    </w:p>
    <w:p w14:paraId="655D4577">
      <w:pPr>
        <w:pStyle w:val="15"/>
        <w:rPr>
          <w:rFonts w:hint="eastAsia"/>
        </w:rPr>
      </w:pPr>
      <w:r>
        <w:rPr>
          <w:rFonts w:hint="eastAsia"/>
        </w:rPr>
        <w:t>广告店招信息管理系统</w:t>
      </w:r>
    </w:p>
    <w:p w14:paraId="17CDA204">
      <w:pPr>
        <w:spacing w:line="276" w:lineRule="auto"/>
        <w:ind w:firstLine="420"/>
        <w:rPr>
          <w:rFonts w:hint="eastAsia" w:ascii="宋体" w:hAnsi="宋体" w:eastAsia="宋体"/>
          <w:sz w:val="24"/>
          <w:szCs w:val="24"/>
        </w:rPr>
      </w:pPr>
      <w:r>
        <w:rPr>
          <w:rFonts w:hint="eastAsia" w:ascii="宋体" w:hAnsi="宋体" w:eastAsia="宋体"/>
          <w:sz w:val="24"/>
          <w:szCs w:val="24"/>
        </w:rPr>
        <w:t>将</w:t>
      </w:r>
      <w:r>
        <w:rPr>
          <w:rFonts w:hint="eastAsia" w:ascii="宋体" w:hAnsi="宋体" w:eastAsia="宋体"/>
          <w:sz w:val="24"/>
          <w:szCs w:val="24"/>
          <w:lang w:val="en-US" w:eastAsia="zh-CN"/>
        </w:rPr>
        <w:t>大丰</w:t>
      </w:r>
      <w:r>
        <w:rPr>
          <w:rFonts w:hint="eastAsia" w:ascii="宋体" w:hAnsi="宋体" w:eastAsia="宋体"/>
          <w:sz w:val="24"/>
          <w:szCs w:val="24"/>
        </w:rPr>
        <w:t>全</w:t>
      </w:r>
      <w:r>
        <w:rPr>
          <w:rFonts w:hint="eastAsia" w:ascii="宋体" w:hAnsi="宋体" w:eastAsia="宋体"/>
          <w:sz w:val="24"/>
          <w:szCs w:val="24"/>
          <w:lang w:val="en-US" w:eastAsia="zh-CN"/>
        </w:rPr>
        <w:t>区</w:t>
      </w:r>
      <w:r>
        <w:rPr>
          <w:rFonts w:hint="eastAsia" w:ascii="宋体" w:hAnsi="宋体" w:eastAsia="宋体"/>
          <w:sz w:val="24"/>
          <w:szCs w:val="24"/>
        </w:rPr>
        <w:t>的户外广告和店招标牌</w:t>
      </w:r>
      <w:r>
        <w:rPr>
          <w:rFonts w:hint="eastAsia" w:ascii="宋体" w:hAnsi="宋体" w:eastAsia="宋体"/>
          <w:sz w:val="24"/>
          <w:szCs w:val="24"/>
          <w:lang w:val="en-US" w:eastAsia="zh-CN"/>
        </w:rPr>
        <w:t>信息</w:t>
      </w:r>
      <w:r>
        <w:rPr>
          <w:rFonts w:hint="eastAsia" w:ascii="宋体" w:hAnsi="宋体" w:eastAsia="宋体"/>
          <w:sz w:val="24"/>
          <w:szCs w:val="24"/>
        </w:rPr>
        <w:t>导入平台，建立电子化信息档案，结合GIS地图形成地图档案，</w:t>
      </w:r>
      <w:r>
        <w:rPr>
          <w:rFonts w:hint="eastAsia" w:ascii="宋体" w:hAnsi="宋体" w:eastAsia="宋体"/>
          <w:sz w:val="24"/>
          <w:szCs w:val="24"/>
          <w:lang w:val="en-US" w:eastAsia="zh-CN"/>
        </w:rPr>
        <w:t>未来支持接入</w:t>
      </w:r>
      <w:r>
        <w:rPr>
          <w:rFonts w:hint="eastAsia" w:ascii="宋体" w:hAnsi="宋体" w:eastAsia="宋体"/>
          <w:sz w:val="24"/>
          <w:szCs w:val="24"/>
        </w:rPr>
        <w:t>户外广告前端监测传感器。实现广告信息管理、广告信息巡查上报、广告倾斜智能监测等功能。</w:t>
      </w:r>
    </w:p>
    <w:p w14:paraId="72AC7432">
      <w:pPr>
        <w:pStyle w:val="15"/>
        <w:rPr>
          <w:rFonts w:hint="eastAsia"/>
        </w:rPr>
      </w:pPr>
      <w:r>
        <w:rPr>
          <w:rFonts w:hint="eastAsia"/>
        </w:rPr>
        <w:t>智能识别分析系统</w:t>
      </w:r>
    </w:p>
    <w:p w14:paraId="6C710F61">
      <w:pPr>
        <w:spacing w:line="276" w:lineRule="auto"/>
        <w:ind w:firstLine="420"/>
        <w:rPr>
          <w:rFonts w:hint="eastAsia" w:ascii="宋体" w:hAnsi="宋体" w:eastAsia="宋体"/>
          <w:sz w:val="24"/>
          <w:szCs w:val="24"/>
        </w:rPr>
      </w:pPr>
      <w:r>
        <w:rPr>
          <w:rFonts w:hint="eastAsia" w:ascii="宋体" w:hAnsi="宋体" w:eastAsia="宋体"/>
          <w:sz w:val="24"/>
          <w:szCs w:val="24"/>
          <w:lang w:val="en-US" w:eastAsia="zh-CN"/>
        </w:rPr>
        <w:t>接入局内各部门自建的</w:t>
      </w:r>
      <w:r>
        <w:rPr>
          <w:rFonts w:hint="eastAsia" w:ascii="宋体" w:hAnsi="宋体" w:eastAsia="宋体"/>
          <w:sz w:val="24"/>
          <w:szCs w:val="24"/>
        </w:rPr>
        <w:t>视频监控、如执法、渣土、环卫、固废</w:t>
      </w:r>
      <w:r>
        <w:rPr>
          <w:rFonts w:hint="eastAsia" w:ascii="宋体" w:hAnsi="宋体" w:eastAsia="宋体"/>
          <w:sz w:val="24"/>
          <w:szCs w:val="24"/>
          <w:lang w:val="en-US" w:eastAsia="zh-CN"/>
        </w:rPr>
        <w:t>等相关</w:t>
      </w:r>
      <w:r>
        <w:rPr>
          <w:rFonts w:hint="eastAsia" w:ascii="宋体" w:hAnsi="宋体" w:eastAsia="宋体"/>
          <w:sz w:val="24"/>
          <w:szCs w:val="24"/>
        </w:rPr>
        <w:t>视频，</w:t>
      </w:r>
      <w:r>
        <w:rPr>
          <w:rFonts w:hint="eastAsia" w:ascii="宋体" w:hAnsi="宋体" w:eastAsia="宋体"/>
          <w:sz w:val="24"/>
          <w:szCs w:val="24"/>
          <w:lang w:val="en-US" w:eastAsia="zh-CN"/>
        </w:rPr>
        <w:t>并</w:t>
      </w:r>
      <w:r>
        <w:rPr>
          <w:rFonts w:hint="eastAsia" w:ascii="宋体" w:hAnsi="宋体" w:eastAsia="宋体"/>
          <w:sz w:val="24"/>
          <w:szCs w:val="24"/>
        </w:rPr>
        <w:t>通过视频+AI，实现城市管理问题的智能发现和处置</w:t>
      </w:r>
      <w:r>
        <w:rPr>
          <w:rFonts w:hint="eastAsia" w:ascii="宋体" w:hAnsi="宋体" w:eastAsia="宋体"/>
          <w:sz w:val="24"/>
          <w:szCs w:val="24"/>
          <w:lang w:val="en-US" w:eastAsia="zh-CN"/>
        </w:rPr>
        <w:t>，</w:t>
      </w:r>
      <w:r>
        <w:rPr>
          <w:rFonts w:hint="eastAsia" w:ascii="宋体" w:hAnsi="宋体" w:eastAsia="宋体"/>
          <w:sz w:val="24"/>
          <w:szCs w:val="24"/>
        </w:rPr>
        <w:t>让城市违规事件发现从被动响应到主动防范，从大量人工处理转为自动发现和半自动处理，从重点区域人工查看到全域自动监看。</w:t>
      </w:r>
    </w:p>
    <w:p w14:paraId="746257EA">
      <w:pPr>
        <w:pStyle w:val="14"/>
        <w:rPr>
          <w:rFonts w:hint="eastAsia"/>
        </w:rPr>
      </w:pPr>
      <w:r>
        <w:rPr>
          <w:rFonts w:hint="eastAsia"/>
        </w:rPr>
        <w:t>公众服务系统</w:t>
      </w:r>
    </w:p>
    <w:p w14:paraId="1B97AC7F">
      <w:pPr>
        <w:spacing w:line="276" w:lineRule="auto"/>
        <w:ind w:firstLine="420"/>
        <w:rPr>
          <w:rFonts w:hint="eastAsia" w:ascii="宋体" w:hAnsi="宋体" w:eastAsia="宋体"/>
          <w:sz w:val="24"/>
          <w:szCs w:val="24"/>
        </w:rPr>
      </w:pPr>
      <w:r>
        <w:rPr>
          <w:rFonts w:hint="eastAsia" w:ascii="宋体" w:hAnsi="宋体" w:eastAsia="宋体"/>
          <w:sz w:val="24"/>
          <w:szCs w:val="24"/>
        </w:rPr>
        <w:t>针对现有“大丰城管”公众号，进一步拓展公众服务能力，收集市民咨询、投诉、建议。在此基础上，公众服务系统加强为市民提供便民服务功能，在“我的盐城”</w:t>
      </w:r>
      <w:r>
        <w:rPr>
          <w:rFonts w:ascii="宋体" w:hAnsi="宋体" w:eastAsia="宋体"/>
          <w:sz w:val="24"/>
          <w:szCs w:val="24"/>
        </w:rPr>
        <w:t>上</w:t>
      </w:r>
      <w:r>
        <w:rPr>
          <w:rFonts w:hint="eastAsia" w:ascii="宋体" w:hAnsi="宋体" w:eastAsia="宋体"/>
          <w:sz w:val="24"/>
          <w:szCs w:val="24"/>
        </w:rPr>
        <w:t>开辟</w:t>
      </w:r>
      <w:r>
        <w:rPr>
          <w:rFonts w:hint="eastAsia" w:ascii="宋体" w:hAnsi="宋体" w:eastAsia="宋体"/>
          <w:sz w:val="24"/>
          <w:szCs w:val="24"/>
          <w:lang w:val="en-US" w:eastAsia="zh-CN"/>
        </w:rPr>
        <w:t>大丰区</w:t>
      </w:r>
      <w:r>
        <w:rPr>
          <w:rFonts w:hint="eastAsia" w:ascii="宋体" w:hAnsi="宋体" w:eastAsia="宋体"/>
          <w:sz w:val="24"/>
          <w:szCs w:val="24"/>
        </w:rPr>
        <w:t>城管专区，为市民提供信息发布、宣传教育、便民查询、在线办事、民意征集等功能。</w:t>
      </w:r>
    </w:p>
    <w:p w14:paraId="65B2BEE7">
      <w:pPr>
        <w:pStyle w:val="14"/>
        <w:rPr>
          <w:rFonts w:hint="eastAsia"/>
        </w:rPr>
      </w:pPr>
      <w:r>
        <w:rPr>
          <w:rFonts w:hint="eastAsia"/>
        </w:rPr>
        <w:t>综合评价系统</w:t>
      </w:r>
    </w:p>
    <w:p w14:paraId="45D223AE">
      <w:pPr>
        <w:spacing w:line="276" w:lineRule="auto"/>
        <w:ind w:firstLine="420"/>
        <w:rPr>
          <w:rFonts w:hint="eastAsia" w:ascii="宋体" w:hAnsi="宋体" w:eastAsia="宋体"/>
          <w:sz w:val="24"/>
          <w:szCs w:val="24"/>
        </w:rPr>
      </w:pPr>
      <w:r>
        <w:rPr>
          <w:rFonts w:hint="eastAsia" w:ascii="宋体" w:hAnsi="宋体" w:eastAsia="宋体"/>
          <w:sz w:val="24"/>
          <w:szCs w:val="24"/>
        </w:rPr>
        <w:t>根据评价工作要求，通过实时监测、平台上报、实地考核、问卷调查等方式获取相关数据，并采用大数据分析、卫星遥感等方法，对城市运行监测和城市管理监督工作开展综合评价。该系统具备评价指标管理、评价任务管理、实地考察评价、评价结果生成及综合分析等功能。根据盐城实际，将综合评价工作向区、县、街道延伸。</w:t>
      </w:r>
    </w:p>
    <w:p w14:paraId="118A5E7E">
      <w:pPr>
        <w:pStyle w:val="14"/>
        <w:rPr>
          <w:rFonts w:hint="eastAsia"/>
        </w:rPr>
      </w:pPr>
      <w:r>
        <w:rPr>
          <w:rFonts w:hint="eastAsia"/>
        </w:rPr>
        <w:t>运行监测系统</w:t>
      </w:r>
    </w:p>
    <w:p w14:paraId="79B92605">
      <w:pPr>
        <w:spacing w:line="276" w:lineRule="auto"/>
        <w:ind w:firstLine="420"/>
        <w:rPr>
          <w:rFonts w:hint="eastAsia" w:ascii="宋体" w:hAnsi="宋体" w:eastAsia="宋体"/>
          <w:sz w:val="24"/>
          <w:szCs w:val="24"/>
          <w:lang w:eastAsia="zh-CN"/>
        </w:rPr>
      </w:pPr>
      <w:r>
        <w:rPr>
          <w:rFonts w:hint="eastAsia" w:ascii="宋体" w:hAnsi="宋体" w:eastAsia="宋体"/>
          <w:sz w:val="24"/>
          <w:szCs w:val="24"/>
          <w:lang w:val="en-US" w:eastAsia="zh-CN"/>
        </w:rPr>
        <w:t>本次需要汇聚大丰区城市管理局将要建设的</w:t>
      </w:r>
      <w:r>
        <w:rPr>
          <w:rFonts w:hint="eastAsia" w:ascii="宋体" w:hAnsi="宋体" w:eastAsia="宋体"/>
          <w:sz w:val="24"/>
          <w:szCs w:val="24"/>
        </w:rPr>
        <w:t>广告</w:t>
      </w:r>
      <w:r>
        <w:rPr>
          <w:rFonts w:hint="eastAsia" w:ascii="宋体" w:hAnsi="宋体" w:eastAsia="宋体"/>
          <w:sz w:val="24"/>
          <w:szCs w:val="24"/>
          <w:lang w:val="en-US" w:eastAsia="zh-CN"/>
        </w:rPr>
        <w:t>预警数据</w:t>
      </w:r>
      <w:r>
        <w:rPr>
          <w:rFonts w:hint="eastAsia" w:ascii="宋体" w:hAnsi="宋体" w:eastAsia="宋体"/>
          <w:sz w:val="24"/>
          <w:szCs w:val="24"/>
        </w:rPr>
        <w:t>、固废处置终端</w:t>
      </w:r>
      <w:r>
        <w:rPr>
          <w:rFonts w:hint="eastAsia" w:ascii="宋体" w:hAnsi="宋体" w:eastAsia="宋体"/>
          <w:sz w:val="24"/>
          <w:szCs w:val="24"/>
          <w:lang w:val="en-US" w:eastAsia="zh-CN"/>
        </w:rPr>
        <w:t>预警数据</w:t>
      </w:r>
      <w:r>
        <w:rPr>
          <w:rFonts w:hint="eastAsia" w:ascii="宋体" w:hAnsi="宋体" w:eastAsia="宋体"/>
          <w:sz w:val="24"/>
          <w:szCs w:val="24"/>
        </w:rPr>
        <w:t>、环卫车辆作业</w:t>
      </w:r>
      <w:r>
        <w:rPr>
          <w:rFonts w:hint="eastAsia" w:ascii="宋体" w:hAnsi="宋体" w:eastAsia="宋体"/>
          <w:sz w:val="24"/>
          <w:szCs w:val="24"/>
          <w:lang w:val="en-US" w:eastAsia="zh-CN"/>
        </w:rPr>
        <w:t>预警数据</w:t>
      </w:r>
      <w:r>
        <w:rPr>
          <w:rFonts w:hint="eastAsia" w:ascii="宋体" w:hAnsi="宋体" w:eastAsia="宋体"/>
          <w:sz w:val="24"/>
          <w:szCs w:val="24"/>
        </w:rPr>
        <w:t>、风险防控管理系统</w:t>
      </w:r>
      <w:r>
        <w:rPr>
          <w:rFonts w:hint="eastAsia" w:ascii="宋体" w:hAnsi="宋体" w:eastAsia="宋体"/>
          <w:sz w:val="24"/>
          <w:szCs w:val="24"/>
          <w:lang w:val="en-US" w:eastAsia="zh-CN"/>
        </w:rPr>
        <w:t>等相关数据，并</w:t>
      </w:r>
      <w:r>
        <w:rPr>
          <w:rFonts w:hint="eastAsia" w:ascii="宋体" w:hAnsi="宋体" w:eastAsia="宋体"/>
          <w:sz w:val="24"/>
          <w:szCs w:val="24"/>
        </w:rPr>
        <w:t>对城市运行风险进行识别、评估、管理、监测、预警、处置，实现</w:t>
      </w:r>
      <w:r>
        <w:rPr>
          <w:rFonts w:hint="eastAsia" w:ascii="宋体" w:hAnsi="宋体" w:eastAsia="宋体"/>
          <w:sz w:val="24"/>
          <w:szCs w:val="24"/>
          <w:lang w:val="en-US" w:eastAsia="zh-CN"/>
        </w:rPr>
        <w:t>城市管理方面的安全运行</w:t>
      </w:r>
      <w:r>
        <w:rPr>
          <w:rFonts w:hint="eastAsia" w:ascii="宋体" w:hAnsi="宋体" w:eastAsia="宋体"/>
          <w:sz w:val="24"/>
          <w:szCs w:val="24"/>
        </w:rPr>
        <w:t>监测管理</w:t>
      </w:r>
      <w:r>
        <w:rPr>
          <w:rFonts w:hint="eastAsia" w:ascii="宋体" w:hAnsi="宋体" w:eastAsia="宋体"/>
          <w:sz w:val="24"/>
          <w:szCs w:val="24"/>
          <w:lang w:eastAsia="zh-CN"/>
        </w:rPr>
        <w:t>。</w:t>
      </w:r>
    </w:p>
    <w:p w14:paraId="40B15595">
      <w:pPr>
        <w:pStyle w:val="14"/>
        <w:rPr>
          <w:rFonts w:hint="eastAsia"/>
        </w:rPr>
      </w:pPr>
      <w:r>
        <w:rPr>
          <w:rFonts w:hint="eastAsia"/>
        </w:rPr>
        <w:t>决策建议系统</w:t>
      </w:r>
    </w:p>
    <w:p w14:paraId="5BE8972C">
      <w:pPr>
        <w:spacing w:line="276" w:lineRule="auto"/>
        <w:ind w:firstLine="420"/>
        <w:rPr>
          <w:rFonts w:hint="eastAsia" w:ascii="宋体" w:hAnsi="宋体" w:eastAsia="宋体"/>
          <w:sz w:val="24"/>
          <w:szCs w:val="24"/>
        </w:rPr>
      </w:pPr>
      <w:r>
        <w:rPr>
          <w:rFonts w:hint="eastAsia" w:ascii="宋体" w:hAnsi="宋体" w:eastAsia="宋体"/>
          <w:sz w:val="24"/>
          <w:szCs w:val="24"/>
        </w:rPr>
        <w:t>基于综合性城市运行管理服务数据库，提炼工作成果，建设运行体征态势感知、智慧环卫分析研判、综合执法调度指挥、餐厨垃圾监管分析研判、垃圾终端处置分析研判、市政公用分析研判、园林绿化分析研判、渣土监管分析研判、重大活动保障指挥和城管领域安全生产应急处置等多种城市管理专题，便于动态掌握城市运行管理服务态势、及时做出处置响应、部署相关工作、开展专项行动、制定相关政策等。</w:t>
      </w:r>
    </w:p>
    <w:p w14:paraId="751D69AE">
      <w:pPr>
        <w:pStyle w:val="14"/>
        <w:rPr>
          <w:rFonts w:hint="eastAsia"/>
        </w:rPr>
      </w:pPr>
      <w:r>
        <w:rPr>
          <w:rFonts w:hint="eastAsia"/>
        </w:rPr>
        <w:t>数据汇聚系统</w:t>
      </w:r>
    </w:p>
    <w:p w14:paraId="519DAB6E">
      <w:pPr>
        <w:spacing w:line="276" w:lineRule="auto"/>
        <w:ind w:firstLine="420"/>
        <w:rPr>
          <w:rFonts w:hint="eastAsia" w:ascii="宋体" w:hAnsi="宋体" w:eastAsia="宋体"/>
          <w:sz w:val="24"/>
          <w:szCs w:val="24"/>
        </w:rPr>
      </w:pPr>
      <w:r>
        <w:rPr>
          <w:rFonts w:hint="eastAsia" w:ascii="宋体" w:hAnsi="宋体" w:eastAsia="宋体"/>
          <w:sz w:val="24"/>
          <w:szCs w:val="24"/>
        </w:rPr>
        <w:t>建设数据汇聚系统，根据城市综合管理工作要求，汇聚城市管理基础数据、城市部件事件监管数据、城市管理行业应用数据、相关行业数据、公众诉求数据等，对各类数据进行清洗、校验、抽取、融合，形成综合性城市管理数据库。</w:t>
      </w:r>
    </w:p>
    <w:p w14:paraId="448F1089">
      <w:pPr>
        <w:pStyle w:val="14"/>
        <w:rPr>
          <w:rFonts w:hint="eastAsia"/>
        </w:rPr>
      </w:pPr>
      <w:r>
        <w:rPr>
          <w:rFonts w:hint="eastAsia"/>
        </w:rPr>
        <w:t>数据交换系统</w:t>
      </w:r>
    </w:p>
    <w:p w14:paraId="6326ABCD">
      <w:pPr>
        <w:spacing w:line="276" w:lineRule="auto"/>
        <w:ind w:firstLine="420"/>
        <w:rPr>
          <w:rFonts w:hint="eastAsia" w:ascii="宋体" w:hAnsi="宋体" w:eastAsia="宋体"/>
          <w:sz w:val="24"/>
          <w:szCs w:val="24"/>
        </w:rPr>
      </w:pPr>
      <w:r>
        <w:rPr>
          <w:rFonts w:hint="eastAsia" w:ascii="宋体" w:hAnsi="宋体" w:eastAsia="宋体"/>
          <w:sz w:val="24"/>
          <w:szCs w:val="24"/>
        </w:rPr>
        <w:t>建设数据交换系统，从指挥协调、行业应用、公众服务、运行监测、综合评价等系统；其他外部系统采集城市基础数据；运行、管理、服务和综合评价等数据；通过数据交换系统向省级平台、市级平台共享。</w:t>
      </w:r>
    </w:p>
    <w:p w14:paraId="5A8A85D8">
      <w:pPr>
        <w:pStyle w:val="14"/>
        <w:rPr>
          <w:rFonts w:hint="eastAsia"/>
        </w:rPr>
      </w:pPr>
      <w:r>
        <w:rPr>
          <w:rFonts w:hint="eastAsia"/>
        </w:rPr>
        <w:t>应用维护系统</w:t>
      </w:r>
    </w:p>
    <w:p w14:paraId="785F65B1">
      <w:pPr>
        <w:spacing w:line="276" w:lineRule="auto"/>
        <w:ind w:firstLine="420"/>
        <w:rPr>
          <w:rFonts w:hint="eastAsia" w:ascii="宋体" w:hAnsi="宋体" w:eastAsia="宋体"/>
          <w:sz w:val="24"/>
          <w:szCs w:val="24"/>
        </w:rPr>
      </w:pPr>
      <w:r>
        <w:rPr>
          <w:rFonts w:hint="eastAsia" w:ascii="宋体" w:hAnsi="宋体" w:eastAsia="宋体"/>
          <w:sz w:val="24"/>
          <w:szCs w:val="24"/>
        </w:rPr>
        <w:t>根据系统运维管理需要，对组织机构、人员权限、业务流程、工作表单、功能参数等事项进行日常管理和维护。该系统具备机构配置、人员配置、权限配置、流程配置、表单配置、统计配置和系统配置等功能。</w:t>
      </w:r>
    </w:p>
    <w:p w14:paraId="53C40F83">
      <w:pPr>
        <w:pStyle w:val="8"/>
        <w:rPr>
          <w:rFonts w:hint="eastAsia"/>
        </w:rPr>
      </w:pPr>
      <w:r>
        <w:rPr>
          <w:rFonts w:hint="eastAsia"/>
        </w:rPr>
        <w:t>基础环境需求分析</w:t>
      </w:r>
    </w:p>
    <w:p w14:paraId="72F33683">
      <w:pPr>
        <w:spacing w:line="276" w:lineRule="auto"/>
        <w:ind w:firstLine="420"/>
        <w:rPr>
          <w:rFonts w:hint="default" w:ascii="宋体" w:hAnsi="宋体" w:eastAsia="宋体"/>
          <w:sz w:val="24"/>
          <w:szCs w:val="24"/>
          <w:lang w:val="en-US" w:eastAsia="zh-CN"/>
        </w:rPr>
      </w:pPr>
      <w:r>
        <w:rPr>
          <w:rFonts w:hint="eastAsia" w:ascii="宋体" w:hAnsi="宋体" w:eastAsia="宋体"/>
          <w:sz w:val="24"/>
          <w:szCs w:val="24"/>
          <w:lang w:val="en-US" w:eastAsia="zh-CN"/>
        </w:rPr>
        <w:t>由于当前大丰区的政务云平台还在规划中，因此本次将先以租用商务云资源的方式实现平台系统的部署，后续等大丰区政务云建成后，必须将平台系统免费迁移至政务云平台中。</w:t>
      </w:r>
    </w:p>
    <w:p w14:paraId="3543126F">
      <w:pPr>
        <w:pStyle w:val="14"/>
        <w:rPr>
          <w:rFonts w:hint="eastAsia"/>
        </w:rPr>
      </w:pPr>
      <w:r>
        <w:rPr>
          <w:rFonts w:hint="eastAsia"/>
        </w:rPr>
        <w:t>系统运行环境分析</w:t>
      </w:r>
    </w:p>
    <w:p w14:paraId="0A1F7861">
      <w:pPr>
        <w:spacing w:line="276" w:lineRule="auto"/>
        <w:ind w:firstLine="420"/>
        <w:rPr>
          <w:rFonts w:hint="eastAsia" w:ascii="宋体" w:hAnsi="宋体" w:eastAsia="宋体"/>
          <w:sz w:val="24"/>
          <w:szCs w:val="24"/>
          <w:lang w:val="en-US" w:eastAsia="zh-CN"/>
        </w:rPr>
      </w:pPr>
      <w:r>
        <w:rPr>
          <w:rFonts w:hint="eastAsia" w:ascii="宋体" w:hAnsi="宋体" w:eastAsia="宋体"/>
          <w:sz w:val="24"/>
          <w:szCs w:val="24"/>
          <w:lang w:val="en-US" w:eastAsia="zh-CN"/>
        </w:rPr>
        <w:t>当前，</w:t>
      </w:r>
      <w:r>
        <w:rPr>
          <w:rFonts w:hint="eastAsia" w:ascii="宋体" w:hAnsi="宋体" w:eastAsia="宋体"/>
          <w:sz w:val="24"/>
          <w:szCs w:val="24"/>
        </w:rPr>
        <w:t>大丰区城市运行管理服务平台</w:t>
      </w:r>
      <w:r>
        <w:rPr>
          <w:rFonts w:hint="eastAsia" w:ascii="宋体" w:hAnsi="宋体" w:eastAsia="宋体"/>
          <w:sz w:val="24"/>
          <w:szCs w:val="24"/>
          <w:lang w:val="en-US" w:eastAsia="zh-CN"/>
        </w:rPr>
        <w:t>将先</w:t>
      </w:r>
      <w:r>
        <w:rPr>
          <w:rFonts w:hint="eastAsia" w:ascii="宋体" w:hAnsi="宋体" w:eastAsia="宋体"/>
          <w:sz w:val="24"/>
          <w:szCs w:val="24"/>
        </w:rPr>
        <w:t>部署在</w:t>
      </w:r>
      <w:r>
        <w:rPr>
          <w:rFonts w:hint="eastAsia" w:ascii="宋体" w:hAnsi="宋体" w:eastAsia="宋体"/>
          <w:sz w:val="24"/>
          <w:szCs w:val="24"/>
          <w:lang w:val="en-US" w:eastAsia="zh-CN"/>
        </w:rPr>
        <w:t>商务</w:t>
      </w:r>
      <w:r>
        <w:rPr>
          <w:rFonts w:hint="eastAsia" w:ascii="宋体" w:hAnsi="宋体" w:eastAsia="宋体"/>
          <w:sz w:val="24"/>
          <w:szCs w:val="24"/>
        </w:rPr>
        <w:t>云平台中，由</w:t>
      </w:r>
      <w:r>
        <w:rPr>
          <w:rFonts w:hint="eastAsia" w:ascii="宋体" w:hAnsi="宋体" w:eastAsia="宋体"/>
          <w:sz w:val="24"/>
          <w:szCs w:val="24"/>
          <w:lang w:val="en-US" w:eastAsia="zh-CN"/>
        </w:rPr>
        <w:t>商务</w:t>
      </w:r>
      <w:r>
        <w:rPr>
          <w:rFonts w:hint="eastAsia" w:ascii="宋体" w:hAnsi="宋体" w:eastAsia="宋体"/>
          <w:sz w:val="24"/>
          <w:szCs w:val="24"/>
        </w:rPr>
        <w:t>云平台提供大丰区城市运行管理服务平台运行所需的网络资源、安全资源、计算资源、存储资源，以及操作系统、数据库等基础软件平台</w:t>
      </w:r>
      <w:r>
        <w:rPr>
          <w:rFonts w:hint="eastAsia" w:ascii="宋体" w:hAnsi="宋体" w:eastAsia="宋体"/>
          <w:sz w:val="24"/>
          <w:szCs w:val="24"/>
          <w:lang w:eastAsia="zh-CN"/>
        </w:rPr>
        <w:t>，</w:t>
      </w:r>
      <w:r>
        <w:rPr>
          <w:rFonts w:hint="eastAsia" w:ascii="宋体" w:hAnsi="宋体" w:eastAsia="宋体"/>
          <w:sz w:val="24"/>
          <w:szCs w:val="24"/>
          <w:lang w:val="en-US" w:eastAsia="zh-CN"/>
        </w:rPr>
        <w:t>后续等大丰区政务云建设完成后，将平台迁移至政务云平台中，再由政务云平台提供</w:t>
      </w:r>
      <w:r>
        <w:rPr>
          <w:rFonts w:hint="eastAsia" w:ascii="宋体" w:hAnsi="宋体" w:eastAsia="宋体"/>
          <w:sz w:val="24"/>
          <w:szCs w:val="24"/>
        </w:rPr>
        <w:t>大丰区城市运行管理服务平台运行所需的网络资源、安全资源、计算资源、存储资源，以及操作系统、数据库等基础软件平台</w:t>
      </w:r>
      <w:r>
        <w:rPr>
          <w:rFonts w:hint="eastAsia" w:ascii="宋体" w:hAnsi="宋体" w:eastAsia="宋体"/>
          <w:sz w:val="24"/>
          <w:szCs w:val="24"/>
          <w:lang w:eastAsia="zh-CN"/>
        </w:rPr>
        <w:t>。</w:t>
      </w:r>
    </w:p>
    <w:p w14:paraId="4220B1B9">
      <w:pPr>
        <w:pStyle w:val="14"/>
        <w:rPr>
          <w:rFonts w:hint="eastAsia"/>
        </w:rPr>
      </w:pPr>
      <w:r>
        <w:rPr>
          <w:rFonts w:hint="eastAsia"/>
        </w:rPr>
        <w:t>服务器资源分析</w:t>
      </w:r>
    </w:p>
    <w:p w14:paraId="4B17A6A8">
      <w:pPr>
        <w:spacing w:line="276" w:lineRule="auto"/>
        <w:ind w:firstLine="420"/>
        <w:rPr>
          <w:rFonts w:hint="default" w:ascii="宋体" w:hAnsi="宋体" w:eastAsia="宋体"/>
          <w:sz w:val="24"/>
          <w:szCs w:val="24"/>
          <w:lang w:val="en-US" w:eastAsia="zh-CN"/>
        </w:rPr>
      </w:pPr>
      <w:r>
        <w:rPr>
          <w:rFonts w:hint="eastAsia" w:ascii="宋体" w:hAnsi="宋体" w:eastAsia="宋体"/>
          <w:sz w:val="24"/>
          <w:szCs w:val="24"/>
          <w:lang w:val="en-US" w:eastAsia="zh-CN"/>
        </w:rPr>
        <w:t>本次项目需要申请的云服务器资源规模如下，在试运行及维保期间，根据实际使用需要，通过CAE技术对相关服务器资源进行动态弹性调配。</w:t>
      </w:r>
    </w:p>
    <w:tbl>
      <w:tblPr>
        <w:tblStyle w:val="90"/>
        <w:tblW w:w="5000" w:type="pct"/>
        <w:tblInd w:w="0" w:type="dxa"/>
        <w:tblLayout w:type="autofit"/>
        <w:tblCellMar>
          <w:top w:w="0" w:type="dxa"/>
          <w:left w:w="108" w:type="dxa"/>
          <w:bottom w:w="0" w:type="dxa"/>
          <w:right w:w="108" w:type="dxa"/>
        </w:tblCellMar>
      </w:tblPr>
      <w:tblGrid>
        <w:gridCol w:w="808"/>
        <w:gridCol w:w="1952"/>
        <w:gridCol w:w="1018"/>
        <w:gridCol w:w="2441"/>
        <w:gridCol w:w="2303"/>
      </w:tblGrid>
      <w:tr w14:paraId="772D51A4">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shd w:val="clear" w:color="000000" w:fill="FFFFFF"/>
            <w:vAlign w:val="center"/>
          </w:tcPr>
          <w:p w14:paraId="35D5533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1145" w:type="pct"/>
            <w:tcBorders>
              <w:top w:val="single" w:color="auto" w:sz="4" w:space="0"/>
              <w:left w:val="nil"/>
              <w:bottom w:val="single" w:color="auto" w:sz="4" w:space="0"/>
              <w:right w:val="single" w:color="auto" w:sz="4" w:space="0"/>
            </w:tcBorders>
            <w:shd w:val="clear" w:color="000000" w:fill="FFFFFF"/>
            <w:vAlign w:val="center"/>
          </w:tcPr>
          <w:p w14:paraId="6EBC8DF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类别</w:t>
            </w:r>
          </w:p>
        </w:tc>
        <w:tc>
          <w:tcPr>
            <w:tcW w:w="597" w:type="pct"/>
            <w:tcBorders>
              <w:top w:val="single" w:color="auto" w:sz="4" w:space="0"/>
              <w:left w:val="nil"/>
              <w:bottom w:val="single" w:color="auto" w:sz="4" w:space="0"/>
              <w:right w:val="single" w:color="auto" w:sz="4" w:space="0"/>
            </w:tcBorders>
            <w:shd w:val="clear" w:color="000000" w:fill="FFFFFF"/>
            <w:vAlign w:val="center"/>
          </w:tcPr>
          <w:p w14:paraId="406A6E6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台数</w:t>
            </w:r>
          </w:p>
        </w:tc>
        <w:tc>
          <w:tcPr>
            <w:tcW w:w="1432" w:type="pct"/>
            <w:tcBorders>
              <w:top w:val="single" w:color="auto" w:sz="4" w:space="0"/>
              <w:left w:val="nil"/>
              <w:bottom w:val="single" w:color="auto" w:sz="4" w:space="0"/>
              <w:right w:val="single" w:color="auto" w:sz="4" w:space="0"/>
            </w:tcBorders>
            <w:shd w:val="clear" w:color="000000" w:fill="FFFFFF"/>
            <w:vAlign w:val="center"/>
          </w:tcPr>
          <w:p w14:paraId="348A0D7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配置信息</w:t>
            </w:r>
          </w:p>
        </w:tc>
        <w:tc>
          <w:tcPr>
            <w:tcW w:w="1351" w:type="pct"/>
            <w:tcBorders>
              <w:top w:val="single" w:color="auto" w:sz="4" w:space="0"/>
              <w:left w:val="nil"/>
              <w:bottom w:val="single" w:color="auto" w:sz="4" w:space="0"/>
              <w:right w:val="single" w:color="auto" w:sz="4" w:space="0"/>
            </w:tcBorders>
            <w:shd w:val="clear" w:color="000000" w:fill="FFFFFF"/>
            <w:vAlign w:val="center"/>
          </w:tcPr>
          <w:p w14:paraId="46A0431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服务器类型</w:t>
            </w:r>
          </w:p>
        </w:tc>
      </w:tr>
      <w:tr w14:paraId="7DF4B0B0">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24A520D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145" w:type="pct"/>
            <w:tcBorders>
              <w:top w:val="single" w:color="auto" w:sz="4" w:space="0"/>
              <w:left w:val="single" w:color="auto" w:sz="4" w:space="0"/>
              <w:bottom w:val="single" w:color="auto" w:sz="4" w:space="0"/>
              <w:right w:val="single" w:color="auto" w:sz="4" w:space="0"/>
            </w:tcBorders>
            <w:vAlign w:val="center"/>
          </w:tcPr>
          <w:p w14:paraId="5B9737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运管服web服务器-1（互联网）</w:t>
            </w:r>
          </w:p>
        </w:tc>
        <w:tc>
          <w:tcPr>
            <w:tcW w:w="597" w:type="pct"/>
            <w:tcBorders>
              <w:top w:val="single" w:color="auto" w:sz="4" w:space="0"/>
              <w:left w:val="single" w:color="auto" w:sz="4" w:space="0"/>
              <w:bottom w:val="single" w:color="auto" w:sz="4" w:space="0"/>
              <w:right w:val="single" w:color="auto" w:sz="4" w:space="0"/>
            </w:tcBorders>
            <w:vAlign w:val="center"/>
          </w:tcPr>
          <w:p w14:paraId="1E0DDDA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32B6C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14:paraId="477DBE7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6877902F">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4B1D2CE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145" w:type="pct"/>
            <w:tcBorders>
              <w:top w:val="single" w:color="auto" w:sz="4" w:space="0"/>
              <w:left w:val="single" w:color="auto" w:sz="4" w:space="0"/>
              <w:bottom w:val="single" w:color="auto" w:sz="4" w:space="0"/>
              <w:right w:val="single" w:color="auto" w:sz="4" w:space="0"/>
            </w:tcBorders>
            <w:vAlign w:val="center"/>
          </w:tcPr>
          <w:p w14:paraId="09BC3C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运管服核心应用服务器-1</w:t>
            </w:r>
          </w:p>
        </w:tc>
        <w:tc>
          <w:tcPr>
            <w:tcW w:w="597" w:type="pct"/>
            <w:tcBorders>
              <w:top w:val="single" w:color="auto" w:sz="4" w:space="0"/>
              <w:left w:val="single" w:color="auto" w:sz="4" w:space="0"/>
              <w:bottom w:val="single" w:color="auto" w:sz="4" w:space="0"/>
              <w:right w:val="single" w:color="auto" w:sz="4" w:space="0"/>
            </w:tcBorders>
            <w:vAlign w:val="center"/>
          </w:tcPr>
          <w:p w14:paraId="3665A21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127B0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6B66985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77E06D54">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407A7EB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145" w:type="pct"/>
            <w:tcBorders>
              <w:top w:val="single" w:color="auto" w:sz="4" w:space="0"/>
              <w:left w:val="single" w:color="auto" w:sz="4" w:space="0"/>
              <w:bottom w:val="single" w:color="auto" w:sz="4" w:space="0"/>
              <w:right w:val="single" w:color="auto" w:sz="4" w:space="0"/>
            </w:tcBorders>
            <w:vAlign w:val="center"/>
          </w:tcPr>
          <w:p w14:paraId="3CF9D7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运管服核心应用服务器-2</w:t>
            </w:r>
          </w:p>
        </w:tc>
        <w:tc>
          <w:tcPr>
            <w:tcW w:w="597" w:type="pct"/>
            <w:tcBorders>
              <w:top w:val="single" w:color="auto" w:sz="4" w:space="0"/>
              <w:left w:val="single" w:color="auto" w:sz="4" w:space="0"/>
              <w:bottom w:val="single" w:color="auto" w:sz="4" w:space="0"/>
              <w:right w:val="single" w:color="auto" w:sz="4" w:space="0"/>
            </w:tcBorders>
            <w:vAlign w:val="center"/>
          </w:tcPr>
          <w:p w14:paraId="6DF19AC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17DB1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6D20194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6006EF46">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5D000EB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1145" w:type="pct"/>
            <w:tcBorders>
              <w:top w:val="single" w:color="auto" w:sz="4" w:space="0"/>
              <w:left w:val="single" w:color="auto" w:sz="4" w:space="0"/>
              <w:bottom w:val="single" w:color="auto" w:sz="4" w:space="0"/>
              <w:right w:val="single" w:color="auto" w:sz="4" w:space="0"/>
            </w:tcBorders>
            <w:vAlign w:val="center"/>
          </w:tcPr>
          <w:p w14:paraId="522E51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综合应用服务器</w:t>
            </w:r>
          </w:p>
        </w:tc>
        <w:tc>
          <w:tcPr>
            <w:tcW w:w="597" w:type="pct"/>
            <w:tcBorders>
              <w:top w:val="single" w:color="auto" w:sz="4" w:space="0"/>
              <w:left w:val="single" w:color="auto" w:sz="4" w:space="0"/>
              <w:bottom w:val="single" w:color="auto" w:sz="4" w:space="0"/>
              <w:right w:val="single" w:color="auto" w:sz="4" w:space="0"/>
            </w:tcBorders>
            <w:vAlign w:val="center"/>
          </w:tcPr>
          <w:p w14:paraId="4140895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3CF95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30FF25D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61388566">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68F1458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1145" w:type="pct"/>
            <w:tcBorders>
              <w:top w:val="single" w:color="auto" w:sz="4" w:space="0"/>
              <w:left w:val="single" w:color="auto" w:sz="4" w:space="0"/>
              <w:bottom w:val="single" w:color="auto" w:sz="4" w:space="0"/>
              <w:right w:val="single" w:color="auto" w:sz="4" w:space="0"/>
            </w:tcBorders>
            <w:vAlign w:val="center"/>
          </w:tcPr>
          <w:p w14:paraId="0515B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运管服中间件服务器-1+缓存服务器</w:t>
            </w:r>
          </w:p>
        </w:tc>
        <w:tc>
          <w:tcPr>
            <w:tcW w:w="597" w:type="pct"/>
            <w:tcBorders>
              <w:top w:val="single" w:color="auto" w:sz="4" w:space="0"/>
              <w:left w:val="single" w:color="auto" w:sz="4" w:space="0"/>
              <w:bottom w:val="single" w:color="auto" w:sz="4" w:space="0"/>
              <w:right w:val="single" w:color="auto" w:sz="4" w:space="0"/>
            </w:tcBorders>
            <w:vAlign w:val="center"/>
          </w:tcPr>
          <w:p w14:paraId="706C17B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0E407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296E481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463EB3BA">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17F4DF5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1145" w:type="pct"/>
            <w:tcBorders>
              <w:top w:val="single" w:color="auto" w:sz="4" w:space="0"/>
              <w:left w:val="single" w:color="auto" w:sz="4" w:space="0"/>
              <w:bottom w:val="single" w:color="auto" w:sz="4" w:space="0"/>
              <w:right w:val="single" w:color="auto" w:sz="4" w:space="0"/>
            </w:tcBorders>
            <w:vAlign w:val="center"/>
          </w:tcPr>
          <w:p w14:paraId="6A7DB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主数据库服务器</w:t>
            </w:r>
          </w:p>
        </w:tc>
        <w:tc>
          <w:tcPr>
            <w:tcW w:w="597" w:type="pct"/>
            <w:tcBorders>
              <w:top w:val="single" w:color="auto" w:sz="4" w:space="0"/>
              <w:left w:val="single" w:color="auto" w:sz="4" w:space="0"/>
              <w:bottom w:val="single" w:color="auto" w:sz="4" w:space="0"/>
              <w:right w:val="single" w:color="auto" w:sz="4" w:space="0"/>
            </w:tcBorders>
            <w:vAlign w:val="center"/>
          </w:tcPr>
          <w:p w14:paraId="7F91999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23C1CA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vCPU:16核心，内存：64G</w:t>
            </w:r>
          </w:p>
        </w:tc>
        <w:tc>
          <w:tcPr>
            <w:tcW w:w="1351" w:type="pct"/>
            <w:tcBorders>
              <w:top w:val="single" w:color="auto" w:sz="4" w:space="0"/>
              <w:left w:val="single" w:color="auto" w:sz="4" w:space="0"/>
              <w:bottom w:val="single" w:color="auto" w:sz="4" w:space="0"/>
              <w:right w:val="single" w:color="auto" w:sz="4" w:space="0"/>
            </w:tcBorders>
            <w:vAlign w:val="center"/>
          </w:tcPr>
          <w:p w14:paraId="4E87FEF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580CD963">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4176604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1145" w:type="pct"/>
            <w:tcBorders>
              <w:top w:val="single" w:color="auto" w:sz="4" w:space="0"/>
              <w:left w:val="single" w:color="auto" w:sz="4" w:space="0"/>
              <w:bottom w:val="single" w:color="auto" w:sz="4" w:space="0"/>
              <w:right w:val="single" w:color="auto" w:sz="4" w:space="0"/>
            </w:tcBorders>
            <w:vAlign w:val="center"/>
          </w:tcPr>
          <w:p w14:paraId="2EEC9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备份数据库服务器+NOSQL文件存储服务器</w:t>
            </w:r>
          </w:p>
        </w:tc>
        <w:tc>
          <w:tcPr>
            <w:tcW w:w="597" w:type="pct"/>
            <w:tcBorders>
              <w:top w:val="single" w:color="auto" w:sz="4" w:space="0"/>
              <w:left w:val="single" w:color="auto" w:sz="4" w:space="0"/>
              <w:bottom w:val="single" w:color="auto" w:sz="4" w:space="0"/>
              <w:right w:val="single" w:color="auto" w:sz="4" w:space="0"/>
            </w:tcBorders>
            <w:vAlign w:val="center"/>
          </w:tcPr>
          <w:p w14:paraId="6EE09A9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6A0AE4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365C470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513F833A">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13F89CE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1145" w:type="pct"/>
            <w:tcBorders>
              <w:top w:val="single" w:color="auto" w:sz="4" w:space="0"/>
              <w:left w:val="single" w:color="auto" w:sz="4" w:space="0"/>
              <w:bottom w:val="single" w:color="auto" w:sz="4" w:space="0"/>
              <w:right w:val="single" w:color="auto" w:sz="4" w:space="0"/>
            </w:tcBorders>
            <w:vAlign w:val="center"/>
          </w:tcPr>
          <w:p w14:paraId="527787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运维跳板机</w:t>
            </w:r>
          </w:p>
        </w:tc>
        <w:tc>
          <w:tcPr>
            <w:tcW w:w="597" w:type="pct"/>
            <w:tcBorders>
              <w:top w:val="single" w:color="auto" w:sz="4" w:space="0"/>
              <w:left w:val="single" w:color="auto" w:sz="4" w:space="0"/>
              <w:bottom w:val="single" w:color="auto" w:sz="4" w:space="0"/>
              <w:right w:val="single" w:color="auto" w:sz="4" w:space="0"/>
            </w:tcBorders>
            <w:vAlign w:val="center"/>
          </w:tcPr>
          <w:p w14:paraId="7D9CF22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000C09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14:paraId="5B30F27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bl>
    <w:p w14:paraId="3BA0780C">
      <w:pPr>
        <w:pStyle w:val="14"/>
        <w:rPr>
          <w:rFonts w:hint="eastAsia"/>
        </w:rPr>
      </w:pPr>
      <w:r>
        <w:rPr>
          <w:rFonts w:hint="eastAsia"/>
        </w:rPr>
        <w:t>网络环境分析</w:t>
      </w:r>
    </w:p>
    <w:p w14:paraId="29D487DE">
      <w:pPr>
        <w:pStyle w:val="6"/>
        <w:rPr>
          <w:rFonts w:hint="default" w:ascii="宋体" w:hAnsi="宋体"/>
          <w:sz w:val="24"/>
          <w:szCs w:val="24"/>
          <w:lang w:val="en-US" w:eastAsia="zh-CN"/>
        </w:rPr>
      </w:pPr>
      <w:r>
        <w:rPr>
          <w:rFonts w:hint="eastAsia" w:ascii="宋体" w:hAnsi="宋体"/>
          <w:sz w:val="24"/>
          <w:szCs w:val="24"/>
          <w:lang w:val="en-US" w:eastAsia="zh-CN"/>
        </w:rPr>
        <w:t>因为</w:t>
      </w:r>
      <w:r>
        <w:rPr>
          <w:rFonts w:hint="eastAsia" w:ascii="宋体" w:hAnsi="宋体" w:eastAsia="宋体"/>
          <w:sz w:val="24"/>
          <w:szCs w:val="24"/>
        </w:rPr>
        <w:t>大丰区城市运行管理服务平台</w:t>
      </w:r>
      <w:r>
        <w:rPr>
          <w:rFonts w:hint="eastAsia" w:ascii="宋体" w:hAnsi="宋体"/>
          <w:sz w:val="24"/>
          <w:szCs w:val="24"/>
          <w:lang w:val="en-US" w:eastAsia="zh-CN"/>
        </w:rPr>
        <w:t>将</w:t>
      </w:r>
      <w:r>
        <w:rPr>
          <w:rFonts w:hint="eastAsia" w:ascii="宋体" w:hAnsi="宋体" w:eastAsia="宋体"/>
          <w:sz w:val="24"/>
          <w:szCs w:val="24"/>
        </w:rPr>
        <w:t>部署在云平台中</w:t>
      </w:r>
      <w:r>
        <w:rPr>
          <w:rFonts w:hint="eastAsia" w:ascii="宋体" w:hAnsi="宋体"/>
          <w:sz w:val="24"/>
          <w:szCs w:val="24"/>
          <w:lang w:eastAsia="zh-CN"/>
        </w:rPr>
        <w:t>，</w:t>
      </w:r>
      <w:r>
        <w:rPr>
          <w:rFonts w:hint="eastAsia" w:ascii="宋体" w:hAnsi="宋体"/>
          <w:sz w:val="24"/>
          <w:szCs w:val="24"/>
          <w:lang w:val="en-US" w:eastAsia="zh-CN"/>
        </w:rPr>
        <w:t>数字城管监督指挥中心需要通过专线访问</w:t>
      </w:r>
      <w:r>
        <w:rPr>
          <w:rFonts w:hint="eastAsia" w:ascii="宋体" w:hAnsi="宋体" w:eastAsia="宋体"/>
          <w:sz w:val="24"/>
          <w:szCs w:val="24"/>
        </w:rPr>
        <w:t>大丰区城市运行管理服务平台</w:t>
      </w:r>
      <w:r>
        <w:rPr>
          <w:rFonts w:hint="eastAsia" w:ascii="宋体" w:hAnsi="宋体"/>
          <w:sz w:val="24"/>
          <w:szCs w:val="24"/>
          <w:lang w:val="en-US" w:eastAsia="zh-CN"/>
        </w:rPr>
        <w:t>系统应用，考虑操作人员的访问、远程视频数据的播放等实际需求，本次需要租用1</w:t>
      </w:r>
      <w:r>
        <w:rPr>
          <w:rFonts w:hint="eastAsia" w:ascii="宋体" w:hAnsi="宋体" w:cs="Times New Roman"/>
          <w:sz w:val="24"/>
          <w:szCs w:val="24"/>
          <w:lang w:val="en-US" w:eastAsia="zh-CN"/>
        </w:rPr>
        <w:t>条从云平台至数字城管监督指挥中心的100M专线链路。</w:t>
      </w:r>
    </w:p>
    <w:p w14:paraId="24E06131">
      <w:pPr>
        <w:pStyle w:val="8"/>
        <w:rPr>
          <w:rFonts w:hint="eastAsia"/>
        </w:rPr>
      </w:pPr>
      <w:r>
        <w:rPr>
          <w:rFonts w:hint="eastAsia"/>
        </w:rPr>
        <w:t>运行维护需求分析</w:t>
      </w:r>
    </w:p>
    <w:p w14:paraId="4C63EBBC">
      <w:pPr>
        <w:pStyle w:val="14"/>
        <w:rPr>
          <w:rFonts w:hint="eastAsia"/>
        </w:rPr>
      </w:pPr>
      <w:r>
        <w:rPr>
          <w:rFonts w:hint="eastAsia"/>
        </w:rPr>
        <w:t>垃圾分类监控点位无法服务的问题</w:t>
      </w:r>
    </w:p>
    <w:p w14:paraId="35B4BF41">
      <w:pPr>
        <w:pStyle w:val="6"/>
        <w:spacing w:line="276" w:lineRule="auto"/>
        <w:rPr>
          <w:rFonts w:hint="eastAsia" w:ascii="宋体" w:hAnsi="宋体"/>
        </w:rPr>
      </w:pPr>
      <w:r>
        <w:rPr>
          <w:rFonts w:ascii="宋体" w:hAnsi="宋体"/>
        </w:rPr>
        <w:t>我区目前共有</w:t>
      </w:r>
      <w:r>
        <w:rPr>
          <w:rFonts w:hint="eastAsia" w:ascii="宋体" w:hAnsi="宋体"/>
        </w:rPr>
        <w:t>286</w:t>
      </w:r>
      <w:r>
        <w:rPr>
          <w:rFonts w:ascii="宋体" w:hAnsi="宋体"/>
        </w:rPr>
        <w:t>个垃圾分类投放点安装视频监控设备，现有5家垃圾分类运营公司，由各运营公司分别建设。因运营期结束，5家垃圾分类运营单位服务终止，大部分监控已损坏且过了质保期。本次通过网络流量配套监控设备的方式将所有视频监控全部替换，接入区运管服平台，便于我区城管局统一管理。可远程调看实时视频监控，全面提升监管效能。</w:t>
      </w:r>
    </w:p>
    <w:p w14:paraId="01A72BF6">
      <w:pPr>
        <w:pStyle w:val="6"/>
        <w:spacing w:line="276" w:lineRule="auto"/>
        <w:rPr>
          <w:rFonts w:hint="eastAsia" w:ascii="宋体" w:hAnsi="宋体"/>
        </w:rPr>
      </w:pPr>
      <w:r>
        <w:rPr>
          <w:rFonts w:ascii="宋体" w:hAnsi="宋体"/>
        </w:rPr>
        <w:t>本次将根据江苏省、盐城市视频监控对接标准规范，建立统一规范的接口，实现与小区垃圾分类投放点视频监控设备接入，满足我区城管局业务监管需要。</w:t>
      </w:r>
    </w:p>
    <w:p w14:paraId="079E4F20">
      <w:pPr>
        <w:pStyle w:val="14"/>
        <w:rPr>
          <w:rFonts w:hint="eastAsia"/>
        </w:rPr>
      </w:pPr>
      <w:r>
        <w:rPr>
          <w:rFonts w:hint="eastAsia"/>
        </w:rPr>
        <w:t>环保小区设备无法服务的问题</w:t>
      </w:r>
    </w:p>
    <w:p w14:paraId="37AF4D33">
      <w:pPr>
        <w:pStyle w:val="6"/>
        <w:spacing w:line="276" w:lineRule="auto"/>
        <w:rPr>
          <w:rFonts w:hint="eastAsia" w:ascii="宋体" w:hAnsi="宋体"/>
        </w:rPr>
      </w:pPr>
      <w:r>
        <w:rPr>
          <w:rFonts w:hint="eastAsia" w:ascii="宋体" w:hAnsi="宋体"/>
        </w:rPr>
        <w:t>我区目前共有5家垃圾分类运营公司，5家垃圾分类运营公司分别配备了垃圾分类运营平台，共计5套垃圾分类运营平台。因运营期结束，5家垃圾分类运营单位平台服务终止。</w:t>
      </w:r>
    </w:p>
    <w:p w14:paraId="1CD99DDE">
      <w:pPr>
        <w:pStyle w:val="6"/>
        <w:spacing w:line="276" w:lineRule="auto"/>
        <w:rPr>
          <w:rFonts w:hint="eastAsia" w:ascii="宋体" w:hAnsi="宋体"/>
        </w:rPr>
      </w:pPr>
      <w:r>
        <w:rPr>
          <w:rFonts w:hint="eastAsia" w:ascii="宋体" w:hAnsi="宋体"/>
        </w:rPr>
        <w:t>因此本次项目建设需要与5家垃圾分类运营公司的垃圾分类运营平台进行合并及整合，获取垃圾分类基础信息及前端投放数据，为垃圾分类业务监管提供数据保障。</w:t>
      </w:r>
    </w:p>
    <w:p w14:paraId="745E297D">
      <w:pPr>
        <w:pStyle w:val="6"/>
        <w:spacing w:line="276" w:lineRule="auto"/>
        <w:rPr>
          <w:rFonts w:hint="eastAsia" w:ascii="宋体" w:hAnsi="宋体"/>
        </w:rPr>
      </w:pPr>
      <w:r>
        <w:rPr>
          <w:rFonts w:hint="eastAsia" w:ascii="宋体" w:hAnsi="宋体"/>
        </w:rPr>
        <w:t>本次将根据江苏省、盐城市硬件设备对接标准规范，建立统一规范的接口，实现垃圾分类全业务管理，满足我区城管局业务监管需要。</w:t>
      </w:r>
    </w:p>
    <w:p w14:paraId="5AA79282">
      <w:pPr>
        <w:pStyle w:val="7"/>
        <w:rPr>
          <w:rFonts w:hint="eastAsia"/>
        </w:rPr>
      </w:pPr>
      <w:bookmarkStart w:id="47" w:name="_Toc31053"/>
      <w:r>
        <w:rPr>
          <w:rFonts w:hint="eastAsia"/>
        </w:rPr>
        <w:t>业务流程分析</w:t>
      </w:r>
      <w:bookmarkEnd w:id="47"/>
    </w:p>
    <w:p w14:paraId="7899A5FC">
      <w:pPr>
        <w:pStyle w:val="8"/>
        <w:rPr>
          <w:rFonts w:hint="eastAsia"/>
        </w:rPr>
      </w:pPr>
      <w:r>
        <w:rPr>
          <w:rFonts w:hint="eastAsia"/>
        </w:rPr>
        <w:t>业务指导流程分析</w:t>
      </w:r>
    </w:p>
    <w:p w14:paraId="1AC9B3FB">
      <w:pPr>
        <w:pStyle w:val="282"/>
        <w:spacing w:line="276" w:lineRule="auto"/>
        <w:rPr>
          <w:rFonts w:hint="eastAsia" w:cs="Times New Roman Regular"/>
        </w:rPr>
      </w:pPr>
      <w:r>
        <w:rPr>
          <w:rFonts w:cs="Times New Roman Regular"/>
        </w:rPr>
        <w:t>业务指导流程：由市级平台按照权限利用国家平台业务指导系统的数据资源，结合</w:t>
      </w:r>
      <w:r>
        <w:rPr>
          <w:rFonts w:hint="eastAsia" w:cs="Times New Roman Regular"/>
        </w:rPr>
        <w:t>盐城市</w:t>
      </w:r>
      <w:r>
        <w:rPr>
          <w:rFonts w:cs="Times New Roman Regular"/>
        </w:rPr>
        <w:t>实际新增知识库等功能搭建市级业务指导系统，用于城市管理经验分享交流，</w:t>
      </w:r>
      <w:r>
        <w:rPr>
          <w:rFonts w:hint="eastAsia" w:cs="Times New Roman Regular"/>
        </w:rPr>
        <w:t>区</w:t>
      </w:r>
      <w:r>
        <w:rPr>
          <w:rFonts w:cs="Times New Roman Regular"/>
        </w:rPr>
        <w:t>级城市</w:t>
      </w:r>
      <w:r>
        <w:rPr>
          <w:rFonts w:hint="eastAsia" w:cs="Times New Roman Regular"/>
        </w:rPr>
        <w:t>运行</w:t>
      </w:r>
      <w:r>
        <w:rPr>
          <w:rFonts w:cs="Times New Roman Regular"/>
        </w:rPr>
        <w:t>管理服务平台及街道与社区通过数据交换系统上传特色管理经验以及地方行政法规，同时相关数据同步存储至业务指导数据库。</w:t>
      </w:r>
    </w:p>
    <w:p w14:paraId="1ACDBFB1">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57800" cy="3919855"/>
            <wp:effectExtent l="0" t="0" r="0" b="0"/>
            <wp:docPr id="636281211" name="图片 63628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81211" name="图片 6362812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57800" cy="3919855"/>
                    </a:xfrm>
                    <a:prstGeom prst="rect">
                      <a:avLst/>
                    </a:prstGeom>
                    <a:noFill/>
                    <a:ln>
                      <a:noFill/>
                    </a:ln>
                  </pic:spPr>
                </pic:pic>
              </a:graphicData>
            </a:graphic>
          </wp:inline>
        </w:drawing>
      </w:r>
    </w:p>
    <w:p w14:paraId="5E034C2A">
      <w:pPr>
        <w:pStyle w:val="8"/>
        <w:rPr>
          <w:rFonts w:hint="eastAsia"/>
        </w:rPr>
      </w:pPr>
      <w:r>
        <w:rPr>
          <w:rFonts w:hint="eastAsia"/>
        </w:rPr>
        <w:t>数字城管业务流程分析</w:t>
      </w:r>
    </w:p>
    <w:p w14:paraId="4D0227B9">
      <w:pPr>
        <w:pStyle w:val="282"/>
        <w:spacing w:line="276" w:lineRule="auto"/>
        <w:rPr>
          <w:rFonts w:hint="eastAsia" w:cs="Times New Roman Regular"/>
        </w:rPr>
      </w:pPr>
      <w:r>
        <w:rPr>
          <w:rFonts w:hint="eastAsia" w:cs="Times New Roman Regular"/>
        </w:rPr>
        <w:t>指挥中心</w:t>
      </w:r>
      <w:r>
        <w:rPr>
          <w:rFonts w:cs="Times New Roman Regular"/>
        </w:rPr>
        <w:t>负责城市运行案件的全过程管理，包括信息采集阶段、案卷建立阶段、任务派遣、</w:t>
      </w:r>
      <w:r>
        <w:rPr>
          <w:rFonts w:hint="eastAsia" w:cs="Times New Roman Regular"/>
        </w:rPr>
        <w:t>任务处置 、处置反馈、</w:t>
      </w:r>
      <w:r>
        <w:rPr>
          <w:rFonts w:cs="Times New Roman Regular"/>
        </w:rPr>
        <w:t>核查结案</w:t>
      </w:r>
      <w:r>
        <w:rPr>
          <w:rFonts w:hint="eastAsia" w:cs="Times New Roman Regular"/>
        </w:rPr>
        <w:t>和</w:t>
      </w:r>
      <w:r>
        <w:rPr>
          <w:rFonts w:cs="Times New Roman Regular"/>
        </w:rPr>
        <w:t>考核</w:t>
      </w:r>
      <w:r>
        <w:rPr>
          <w:rFonts w:hint="eastAsia" w:cs="Times New Roman Regular"/>
        </w:rPr>
        <w:t>评价等在内的闭环业务流程</w:t>
      </w:r>
      <w:r>
        <w:rPr>
          <w:rFonts w:cs="Times New Roman Regular"/>
        </w:rPr>
        <w:t>。对案件进行全流程跟踪、催办督办、统筹协调、指挥派遣、评价考核。</w:t>
      </w:r>
    </w:p>
    <w:p w14:paraId="2537FB66">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6265545"/>
            <wp:effectExtent l="0" t="0" r="2540" b="1905"/>
            <wp:docPr id="429890463" name="图片 42989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0463" name="图片 429890463"/>
                    <pic:cNvPicPr>
                      <a:picLocks noChangeAspect="1"/>
                    </pic:cNvPicPr>
                  </pic:nvPicPr>
                  <pic:blipFill>
                    <a:blip r:embed="rId8"/>
                    <a:stretch>
                      <a:fillRect/>
                    </a:stretch>
                  </pic:blipFill>
                  <pic:spPr>
                    <a:xfrm>
                      <a:off x="0" y="0"/>
                      <a:ext cx="5274310" cy="6265545"/>
                    </a:xfrm>
                    <a:prstGeom prst="rect">
                      <a:avLst/>
                    </a:prstGeom>
                  </pic:spPr>
                </pic:pic>
              </a:graphicData>
            </a:graphic>
          </wp:inline>
        </w:drawing>
      </w:r>
    </w:p>
    <w:p w14:paraId="2827F574">
      <w:pPr>
        <w:pStyle w:val="8"/>
        <w:rPr>
          <w:rFonts w:hint="eastAsia"/>
        </w:rPr>
      </w:pPr>
      <w:r>
        <w:rPr>
          <w:rFonts w:hint="eastAsia"/>
        </w:rPr>
        <w:t>行业监管业务流程分析</w:t>
      </w:r>
    </w:p>
    <w:p w14:paraId="19E4B1DB">
      <w:pPr>
        <w:pStyle w:val="14"/>
        <w:rPr>
          <w:rFonts w:hint="eastAsia"/>
        </w:rPr>
      </w:pPr>
      <w:r>
        <w:rPr>
          <w:rFonts w:hint="eastAsia"/>
        </w:rPr>
        <w:t>垃圾分类业务流程分析</w:t>
      </w:r>
    </w:p>
    <w:p w14:paraId="2E907886">
      <w:pPr>
        <w:pStyle w:val="15"/>
        <w:rPr>
          <w:rFonts w:hint="eastAsia"/>
        </w:rPr>
      </w:pPr>
      <w:r>
        <w:rPr>
          <w:rFonts w:hint="eastAsia"/>
        </w:rPr>
        <w:t>分类投放业务流程</w:t>
      </w:r>
    </w:p>
    <w:p w14:paraId="7654F02E">
      <w:pPr>
        <w:pStyle w:val="282"/>
        <w:spacing w:line="276" w:lineRule="auto"/>
        <w:rPr>
          <w:rFonts w:hint="eastAsia" w:cs="Times New Roman Regular"/>
        </w:rPr>
      </w:pPr>
      <w:r>
        <w:rPr>
          <w:rFonts w:hint="eastAsia" w:cs="Times New Roman Regular"/>
        </w:rPr>
        <w:t>居民在垃圾分类</w:t>
      </w:r>
      <w:r>
        <w:rPr>
          <w:rFonts w:hint="eastAsia" w:cs="Times New Roman Regular"/>
          <w:lang w:val="en-US" w:eastAsia="zh-CN"/>
        </w:rPr>
        <w:t>投放</w:t>
      </w:r>
      <w:r>
        <w:rPr>
          <w:rFonts w:hint="eastAsia" w:cs="Times New Roman Regular"/>
        </w:rPr>
        <w:t>时，</w:t>
      </w:r>
      <w:r>
        <w:rPr>
          <w:rFonts w:hint="eastAsia" w:cs="Times New Roman Regular"/>
          <w:lang w:val="en-US" w:eastAsia="zh-CN"/>
        </w:rPr>
        <w:t>能够</w:t>
      </w:r>
      <w:r>
        <w:rPr>
          <w:rFonts w:hint="eastAsia" w:cs="Times New Roman Regular"/>
        </w:rPr>
        <w:t>通过现有智能垃圾桶获取</w:t>
      </w:r>
      <w:r>
        <w:rPr>
          <w:rFonts w:hint="eastAsia" w:cs="Times New Roman Regular"/>
          <w:lang w:val="en-US" w:eastAsia="zh-CN"/>
        </w:rPr>
        <w:t>居民</w:t>
      </w:r>
      <w:r>
        <w:rPr>
          <w:rFonts w:hint="eastAsia" w:cs="Times New Roman Regular"/>
        </w:rPr>
        <w:t>投放的记录信息，包括投放的计量数据、积分数据等信息；本期通过新增投放行为识别设备对垃圾房投放行为进行全天候智能识别，判断是否存在违规投放行为，发现能够将问题进行智能上报并预警；监管部门可通过现有视频监控摄像头对分类投放点进行远程监管，及时了解现场投放情况。</w:t>
      </w:r>
    </w:p>
    <w:p w14:paraId="6788E0B4">
      <w:pPr>
        <w:pStyle w:val="6"/>
        <w:spacing w:line="276" w:lineRule="auto"/>
        <w:ind w:firstLine="0"/>
        <w:rPr>
          <w:rFonts w:hint="eastAsia" w:ascii="宋体" w:hAnsi="宋体"/>
        </w:rPr>
      </w:pPr>
      <w:r>
        <w:rPr>
          <w:rFonts w:ascii="宋体" w:hAnsi="宋体"/>
        </w:rPr>
        <w:object>
          <v:shape id="_x0000_i1025" o:spt="75" type="#_x0000_t75" style="height:172.7pt;width:415.35pt;" o:ole="t" filled="f" coordsize="21600,21600">
            <v:path/>
            <v:fill on="f" focussize="0,0"/>
            <v:stroke/>
            <v:imagedata r:id="rId10" o:title=""/>
            <o:lock v:ext="edit" aspectratio="t"/>
            <w10:wrap type="none"/>
            <w10:anchorlock/>
          </v:shape>
          <o:OLEObject Type="Embed" ProgID="Visio.Drawing.15" ShapeID="_x0000_i1025" DrawAspect="Content" ObjectID="_1468075725" r:id="rId9">
            <o:LockedField>false</o:LockedField>
          </o:OLEObject>
        </w:object>
      </w:r>
    </w:p>
    <w:p w14:paraId="41830D5D">
      <w:pPr>
        <w:pStyle w:val="15"/>
        <w:rPr>
          <w:rFonts w:hint="eastAsia"/>
        </w:rPr>
      </w:pPr>
      <w:r>
        <w:rPr>
          <w:rFonts w:hint="eastAsia"/>
        </w:rPr>
        <w:t>分类收运业务流程</w:t>
      </w:r>
    </w:p>
    <w:p w14:paraId="623DE223">
      <w:pPr>
        <w:pStyle w:val="282"/>
        <w:spacing w:line="276" w:lineRule="auto"/>
        <w:rPr>
          <w:rFonts w:hint="eastAsia" w:cs="Times New Roman Regular"/>
        </w:rPr>
      </w:pPr>
      <w:r>
        <w:rPr>
          <w:rFonts w:hint="eastAsia" w:cs="Times New Roman Regular"/>
        </w:rPr>
        <w:t>在进行垃圾收运时，首先需要制定收运任务，包括收运路线、收运时间、收运车辆、收运人员、收运频次等，通过对接收运车辆现有车载定位，实现对收运过程的实时监管，及时获取各收集点收运状态数据、收运车辆视频、收集点垃圾计量数据等；通过对以上数据的汇总分析，形成收运看板等，为监管部门宏观掌握收运基本情况提供便利。</w:t>
      </w:r>
    </w:p>
    <w:p w14:paraId="4BAD68E7">
      <w:pPr>
        <w:pStyle w:val="274"/>
        <w:spacing w:line="276" w:lineRule="auto"/>
        <w:ind w:firstLine="0" w:firstLineChars="0"/>
        <w:rPr>
          <w:rFonts w:hint="eastAsia" w:ascii="宋体" w:hAnsi="宋体" w:eastAsia="宋体"/>
        </w:rPr>
      </w:pPr>
      <w:r>
        <w:rPr>
          <w:rFonts w:ascii="宋体" w:hAnsi="宋体" w:eastAsia="宋体"/>
        </w:rPr>
        <w:object>
          <v:shape id="_x0000_i1026" o:spt="75" type="#_x0000_t75" style="height:132.75pt;width:415.75pt;" o:ole="t" filled="f" coordsize="21600,21600">
            <v:path/>
            <v:fill on="f" focussize="0,0"/>
            <v:stroke/>
            <v:imagedata r:id="rId12" o:title=""/>
            <o:lock v:ext="edit" aspectratio="t"/>
            <w10:wrap type="none"/>
            <w10:anchorlock/>
          </v:shape>
          <o:OLEObject Type="Embed" ProgID="Visio.Drawing.15" ShapeID="_x0000_i1026" DrawAspect="Content" ObjectID="_1468075726" r:id="rId11">
            <o:LockedField>false</o:LockedField>
          </o:OLEObject>
        </w:object>
      </w:r>
    </w:p>
    <w:p w14:paraId="49C8847F">
      <w:pPr>
        <w:pStyle w:val="14"/>
        <w:rPr>
          <w:rFonts w:hint="eastAsia"/>
        </w:rPr>
      </w:pPr>
      <w:r>
        <w:rPr>
          <w:rFonts w:hint="eastAsia"/>
        </w:rPr>
        <w:t>建筑垃圾业务流程分析</w:t>
      </w:r>
    </w:p>
    <w:p w14:paraId="0A3306A6">
      <w:pPr>
        <w:pStyle w:val="282"/>
        <w:spacing w:line="276" w:lineRule="auto"/>
        <w:rPr>
          <w:rFonts w:hint="eastAsia" w:cs="Times New Roman Regular"/>
        </w:rPr>
      </w:pPr>
      <w:r>
        <w:rPr>
          <w:rFonts w:hint="eastAsia" w:cs="Times New Roman Regular"/>
        </w:rPr>
        <w:t>针对建筑垃圾缺乏信息化监管手段，导致实际开展工作较为困难，通过本次项目建设，对建筑垃圾源头工地监管、收运过程监管、末端处置监管和统计分析。</w:t>
      </w:r>
    </w:p>
    <w:p w14:paraId="19900C1F">
      <w:pPr>
        <w:pStyle w:val="282"/>
        <w:spacing w:line="276" w:lineRule="auto"/>
        <w:rPr>
          <w:rFonts w:hint="eastAsia" w:cs="Times New Roman Regular"/>
        </w:rPr>
      </w:pPr>
      <w:r>
        <w:rPr>
          <w:rFonts w:hint="eastAsia" w:cs="Times New Roman Regular"/>
        </w:rPr>
        <w:t>通过前端智能检测设备，实现对工地、车辆、资源化厂的实时监测与预警，保障业务规范性；结合车辆监测设备获取车辆实时位置，结合电子围栏，识别闯禁等违规行为，规范车辆运输行为；打通末端进场管控及计量系统，对超载等情况进行报警；汇聚前端工地到后端处置的全流程监测数据，建设多类型分析专题，辅助决策分析，指导建筑垃圾管理。</w:t>
      </w:r>
    </w:p>
    <w:p w14:paraId="7CDAEC60">
      <w:pPr>
        <w:spacing w:line="276" w:lineRule="auto"/>
        <w:jc w:val="center"/>
        <w:rPr>
          <w:rFonts w:hint="eastAsia" w:ascii="宋体" w:hAnsi="宋体" w:eastAsia="宋体" w:cs="方正黑体_GBK"/>
          <w:spacing w:val="8"/>
          <w:sz w:val="24"/>
          <w:szCs w:val="24"/>
        </w:rPr>
      </w:pPr>
      <w:r>
        <w:rPr>
          <w:rFonts w:ascii="宋体" w:hAnsi="宋体" w:eastAsia="宋体"/>
          <w:sz w:val="24"/>
          <w:szCs w:val="24"/>
        </w:rPr>
        <w:drawing>
          <wp:inline distT="0" distB="0" distL="0" distR="0">
            <wp:extent cx="5274310" cy="3329305"/>
            <wp:effectExtent l="0" t="0" r="2540" b="4445"/>
            <wp:docPr id="31318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8664" name="图片 1"/>
                    <pic:cNvPicPr>
                      <a:picLocks noChangeAspect="1"/>
                    </pic:cNvPicPr>
                  </pic:nvPicPr>
                  <pic:blipFill>
                    <a:blip r:embed="rId13"/>
                    <a:stretch>
                      <a:fillRect/>
                    </a:stretch>
                  </pic:blipFill>
                  <pic:spPr>
                    <a:xfrm>
                      <a:off x="0" y="0"/>
                      <a:ext cx="5274310" cy="3329305"/>
                    </a:xfrm>
                    <a:prstGeom prst="rect">
                      <a:avLst/>
                    </a:prstGeom>
                  </pic:spPr>
                </pic:pic>
              </a:graphicData>
            </a:graphic>
          </wp:inline>
        </w:drawing>
      </w:r>
    </w:p>
    <w:p w14:paraId="6AFCE330">
      <w:pPr>
        <w:pStyle w:val="8"/>
        <w:rPr>
          <w:rFonts w:hint="eastAsia"/>
        </w:rPr>
      </w:pPr>
      <w:r>
        <w:rPr>
          <w:rFonts w:hint="eastAsia"/>
        </w:rPr>
        <w:t>公众服务业务流程分析</w:t>
      </w:r>
    </w:p>
    <w:p w14:paraId="628CDA27">
      <w:pPr>
        <w:pStyle w:val="282"/>
        <w:spacing w:line="276" w:lineRule="auto"/>
        <w:rPr>
          <w:rFonts w:hint="eastAsia" w:cs="Times New Roman Regular"/>
        </w:rPr>
      </w:pPr>
      <w:r>
        <w:rPr>
          <w:rFonts w:cs="Times New Roman Regular"/>
        </w:rPr>
        <w:t>（1）公众根据发现的问题填写描述信息，完成采集后进行问题上报。</w:t>
      </w:r>
    </w:p>
    <w:p w14:paraId="015D9A97">
      <w:pPr>
        <w:pStyle w:val="282"/>
        <w:spacing w:line="276" w:lineRule="auto"/>
        <w:rPr>
          <w:rFonts w:hint="eastAsia" w:cs="Times New Roman Regular"/>
        </w:rPr>
      </w:pPr>
      <w:r>
        <w:rPr>
          <w:rFonts w:cs="Times New Roman Regular"/>
        </w:rPr>
        <w:t>（2）平台对上报的问题进行预受理，对数据城市管理相关的问题予以受理、对重复问题进行归并，并根据问题的情况通过平台分配至</w:t>
      </w:r>
      <w:r>
        <w:rPr>
          <w:rFonts w:hint="eastAsia" w:cs="Times New Roman Regular"/>
        </w:rPr>
        <w:t>区直属部门</w:t>
      </w:r>
      <w:r>
        <w:rPr>
          <w:rFonts w:cs="Times New Roman Regular"/>
        </w:rPr>
        <w:t>或</w:t>
      </w:r>
      <w:r>
        <w:rPr>
          <w:rFonts w:hint="eastAsia" w:cs="Times New Roman Regular"/>
        </w:rPr>
        <w:t>乡镇处理</w:t>
      </w:r>
      <w:r>
        <w:rPr>
          <w:rFonts w:cs="Times New Roman Regular"/>
        </w:rPr>
        <w:t>。</w:t>
      </w:r>
    </w:p>
    <w:p w14:paraId="5604DC0C">
      <w:pPr>
        <w:pStyle w:val="282"/>
        <w:spacing w:line="276" w:lineRule="auto"/>
        <w:rPr>
          <w:rFonts w:hint="eastAsia" w:cs="Times New Roman Regular"/>
        </w:rPr>
      </w:pPr>
      <w:r>
        <w:rPr>
          <w:rFonts w:cs="Times New Roman Regular"/>
        </w:rPr>
        <w:t>（3）</w:t>
      </w:r>
      <w:r>
        <w:rPr>
          <w:rFonts w:hint="eastAsia" w:cs="Times New Roman Regular"/>
        </w:rPr>
        <w:t>区</w:t>
      </w:r>
      <w:r>
        <w:rPr>
          <w:rFonts w:cs="Times New Roman Regular"/>
        </w:rPr>
        <w:t>级平台对问题进行审核，未审核通过的问题将原因反馈至问题上报人，审核通过的问题，由</w:t>
      </w:r>
      <w:r>
        <w:rPr>
          <w:rFonts w:hint="eastAsia" w:cs="Times New Roman Regular"/>
        </w:rPr>
        <w:t>区</w:t>
      </w:r>
      <w:r>
        <w:rPr>
          <w:rFonts w:cs="Times New Roman Regular"/>
        </w:rPr>
        <w:t xml:space="preserve">级平台立案并完成问题处置。 </w:t>
      </w:r>
    </w:p>
    <w:p w14:paraId="4ABDCAB9">
      <w:pPr>
        <w:pStyle w:val="282"/>
        <w:spacing w:line="276" w:lineRule="auto"/>
        <w:rPr>
          <w:rFonts w:hint="eastAsia" w:cs="Times New Roman Regular"/>
        </w:rPr>
      </w:pPr>
      <w:r>
        <w:rPr>
          <w:rFonts w:cs="Times New Roman Regular"/>
        </w:rPr>
        <w:t>（</w:t>
      </w:r>
      <w:r>
        <w:rPr>
          <w:rFonts w:hint="eastAsia" w:cs="Times New Roman Regular"/>
        </w:rPr>
        <w:t>4</w:t>
      </w:r>
      <w:r>
        <w:rPr>
          <w:rFonts w:cs="Times New Roman Regular"/>
        </w:rPr>
        <w:t>）通过对公众采集上报的问题进行分析，甄别上报行为，对提供有效上报问题的市民提供积分累计，对恶意上报行为进行标记，并将行为数据作为个人诚信数据记录利用。</w:t>
      </w:r>
    </w:p>
    <w:p w14:paraId="3DF1BD68">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4732655"/>
            <wp:effectExtent l="0" t="0" r="2540" b="0"/>
            <wp:docPr id="1729476942" name="图片 17294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76942" name="图片 17294769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4732655"/>
                    </a:xfrm>
                    <a:prstGeom prst="rect">
                      <a:avLst/>
                    </a:prstGeom>
                    <a:noFill/>
                    <a:ln>
                      <a:noFill/>
                    </a:ln>
                  </pic:spPr>
                </pic:pic>
              </a:graphicData>
            </a:graphic>
          </wp:inline>
        </w:drawing>
      </w:r>
    </w:p>
    <w:p w14:paraId="6627ACEF">
      <w:pPr>
        <w:pStyle w:val="8"/>
        <w:rPr>
          <w:rFonts w:hint="eastAsia"/>
        </w:rPr>
      </w:pPr>
      <w:r>
        <w:rPr>
          <w:rFonts w:hint="eastAsia"/>
        </w:rPr>
        <w:t>综合评价业务流程分析</w:t>
      </w:r>
    </w:p>
    <w:p w14:paraId="198EE6F9">
      <w:pPr>
        <w:pStyle w:val="282"/>
        <w:spacing w:line="276" w:lineRule="auto"/>
        <w:rPr>
          <w:rFonts w:hint="eastAsia" w:cs="Times New Roman Regular"/>
        </w:rPr>
      </w:pPr>
      <w:r>
        <w:rPr>
          <w:rFonts w:cs="Times New Roman Regular"/>
        </w:rPr>
        <w:t>综合评价系统设定任务指标、建立评价模型，然后下发考评任务，同时接收市级平台下发的任务，被考核对象根据考评分类体系填报城市管理的各类运行指标数据，包括城市基础数据和各个相关行业的管理数据，用于评价城市</w:t>
      </w:r>
      <w:r>
        <w:rPr>
          <w:rFonts w:hint="eastAsia" w:cs="Times New Roman Regular"/>
        </w:rPr>
        <w:t>运行</w:t>
      </w:r>
      <w:r>
        <w:rPr>
          <w:rFonts w:cs="Times New Roman Regular"/>
        </w:rPr>
        <w:t>管理服务水平，最后根据填报的指标数据和平台搜集的统计数据通过模型给出评价结果并通报展示，街道及社区对评价结果进行查看。</w:t>
      </w:r>
    </w:p>
    <w:p w14:paraId="17A4F8CD">
      <w:pPr>
        <w:spacing w:line="276" w:lineRule="auto"/>
        <w:jc w:val="center"/>
        <w:rPr>
          <w:rFonts w:hint="eastAsia" w:ascii="宋体" w:hAnsi="宋体" w:eastAsia="宋体"/>
          <w:sz w:val="24"/>
          <w:szCs w:val="24"/>
        </w:rPr>
      </w:pPr>
      <w:r>
        <w:rPr>
          <w:rFonts w:ascii="宋体" w:hAnsi="宋体" w:eastAsia="宋体"/>
          <w:sz w:val="24"/>
          <w:szCs w:val="24"/>
        </w:rPr>
        <w:drawing>
          <wp:inline distT="0" distB="0" distL="0" distR="0">
            <wp:extent cx="5262880" cy="3872230"/>
            <wp:effectExtent l="0" t="0" r="0" b="0"/>
            <wp:docPr id="442654880" name="图片 44265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54880" name="图片 442654880"/>
                    <pic:cNvPicPr>
                      <a:picLocks noChangeAspect="1" noChangeArrowheads="1"/>
                    </pic:cNvPicPr>
                  </pic:nvPicPr>
                  <pic:blipFill>
                    <a:blip r:embed="rId15">
                      <a:extLst>
                        <a:ext uri="{28A0092B-C50C-407E-A947-70E740481C1C}">
                          <a14:useLocalDpi xmlns:a14="http://schemas.microsoft.com/office/drawing/2010/main" val="0"/>
                        </a:ext>
                      </a:extLst>
                    </a:blip>
                    <a:srcRect r="2206"/>
                    <a:stretch>
                      <a:fillRect/>
                    </a:stretch>
                  </pic:blipFill>
                  <pic:spPr>
                    <a:xfrm>
                      <a:off x="0" y="0"/>
                      <a:ext cx="5262880" cy="3872230"/>
                    </a:xfrm>
                    <a:prstGeom prst="rect">
                      <a:avLst/>
                    </a:prstGeom>
                    <a:noFill/>
                    <a:ln>
                      <a:noFill/>
                    </a:ln>
                  </pic:spPr>
                </pic:pic>
              </a:graphicData>
            </a:graphic>
          </wp:inline>
        </w:drawing>
      </w:r>
    </w:p>
    <w:p w14:paraId="1A9C12E5">
      <w:pPr>
        <w:pStyle w:val="5"/>
        <w:rPr>
          <w:rFonts w:hint="eastAsia"/>
        </w:rPr>
      </w:pPr>
      <w:bookmarkStart w:id="48" w:name="_Toc2813"/>
      <w:r>
        <w:rPr>
          <w:rFonts w:hint="eastAsia"/>
        </w:rPr>
        <w:t>信息传输量和存储量分析与预测</w:t>
      </w:r>
      <w:bookmarkEnd w:id="48"/>
    </w:p>
    <w:p w14:paraId="202584D2">
      <w:pPr>
        <w:pStyle w:val="7"/>
        <w:rPr>
          <w:rFonts w:hint="eastAsia"/>
        </w:rPr>
      </w:pPr>
      <w:bookmarkStart w:id="49" w:name="_Toc11186"/>
      <w:r>
        <w:rPr>
          <w:rFonts w:hint="eastAsia"/>
        </w:rPr>
        <w:t>信息传输量分析与预测</w:t>
      </w:r>
      <w:bookmarkEnd w:id="49"/>
    </w:p>
    <w:p w14:paraId="2252C7CB">
      <w:pPr>
        <w:pStyle w:val="8"/>
        <w:rPr>
          <w:rFonts w:hint="eastAsia"/>
        </w:rPr>
      </w:pPr>
      <w:r>
        <w:rPr>
          <w:rFonts w:hint="eastAsia"/>
        </w:rPr>
        <w:t>信息量分析</w:t>
      </w:r>
    </w:p>
    <w:p w14:paraId="3C894FFA">
      <w:pPr>
        <w:pStyle w:val="14"/>
        <w:rPr>
          <w:rFonts w:hint="eastAsia"/>
        </w:rPr>
      </w:pPr>
      <w:r>
        <w:rPr>
          <w:rFonts w:hint="eastAsia"/>
        </w:rPr>
        <w:t>业务信息量估算</w:t>
      </w:r>
    </w:p>
    <w:p w14:paraId="1171E972">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大丰区</w:t>
      </w:r>
      <w:r>
        <w:rPr>
          <w:rFonts w:ascii="宋体" w:hAnsi="宋体" w:eastAsia="宋体" w:cs="仿宋"/>
          <w:sz w:val="24"/>
          <w:szCs w:val="24"/>
          <w:lang w:bidi="ar"/>
        </w:rPr>
        <w:t>城市运行管理服务平台业务信息数据主要包括指挥协调系统、</w:t>
      </w:r>
      <w:r>
        <w:rPr>
          <w:rFonts w:hint="eastAsia" w:ascii="宋体" w:hAnsi="宋体" w:eastAsia="宋体" w:cs="仿宋"/>
          <w:sz w:val="24"/>
          <w:szCs w:val="24"/>
          <w:lang w:bidi="ar"/>
        </w:rPr>
        <w:t>行业系统</w:t>
      </w:r>
      <w:r>
        <w:rPr>
          <w:rFonts w:ascii="宋体" w:hAnsi="宋体" w:eastAsia="宋体" w:cs="仿宋"/>
          <w:sz w:val="24"/>
          <w:szCs w:val="24"/>
          <w:lang w:bidi="ar"/>
        </w:rPr>
        <w:t>、</w:t>
      </w:r>
      <w:r>
        <w:rPr>
          <w:rFonts w:hint="eastAsia" w:ascii="宋体" w:hAnsi="宋体" w:eastAsia="宋体" w:cs="仿宋"/>
          <w:sz w:val="24"/>
          <w:szCs w:val="24"/>
          <w:lang w:bidi="ar"/>
        </w:rPr>
        <w:t>运行监测系统、</w:t>
      </w:r>
      <w:r>
        <w:rPr>
          <w:rFonts w:ascii="宋体" w:hAnsi="宋体" w:eastAsia="宋体" w:cs="仿宋"/>
          <w:sz w:val="24"/>
          <w:szCs w:val="24"/>
          <w:lang w:bidi="ar"/>
        </w:rPr>
        <w:t>公众服务系统运行中产生的事案件业务、处置情况等数据。</w:t>
      </w:r>
    </w:p>
    <w:p w14:paraId="357EFFDD">
      <w:pPr>
        <w:spacing w:line="276" w:lineRule="auto"/>
        <w:ind w:firstLine="480" w:firstLineChars="200"/>
        <w:rPr>
          <w:rFonts w:hint="eastAsia" w:ascii="宋体" w:hAnsi="宋体" w:eastAsia="宋体" w:cs="仿宋"/>
          <w:sz w:val="24"/>
          <w:szCs w:val="24"/>
          <w:lang w:bidi="ar"/>
        </w:rPr>
      </w:pPr>
      <w:r>
        <w:rPr>
          <w:rFonts w:ascii="宋体" w:hAnsi="宋体" w:eastAsia="宋体" w:cs="仿宋"/>
          <w:sz w:val="24"/>
          <w:szCs w:val="24"/>
          <w:lang w:bidi="ar"/>
        </w:rPr>
        <w:t>平台指挥协调系统业务产生量综合估算，根据目前平均业务量，每日产生的事案件业务数据</w:t>
      </w:r>
      <w:r>
        <w:rPr>
          <w:rFonts w:hint="eastAsia" w:ascii="宋体" w:hAnsi="宋体" w:eastAsia="宋体" w:cs="仿宋"/>
          <w:sz w:val="24"/>
          <w:szCs w:val="24"/>
          <w:lang w:bidi="ar"/>
        </w:rPr>
        <w:t>约</w:t>
      </w:r>
      <w:r>
        <w:rPr>
          <w:rFonts w:ascii="宋体" w:hAnsi="宋体" w:eastAsia="宋体" w:cs="仿宋"/>
          <w:sz w:val="24"/>
          <w:szCs w:val="24"/>
          <w:lang w:bidi="ar"/>
        </w:rPr>
        <w:t>100条（包含照片、录音</w:t>
      </w:r>
      <w:r>
        <w:rPr>
          <w:rFonts w:hint="eastAsia" w:ascii="宋体" w:hAnsi="宋体" w:eastAsia="宋体" w:cs="仿宋"/>
          <w:sz w:val="24"/>
          <w:szCs w:val="24"/>
          <w:lang w:val="en-US" w:eastAsia="zh-CN" w:bidi="ar"/>
        </w:rPr>
        <w:t>等</w:t>
      </w:r>
      <w:r>
        <w:rPr>
          <w:rFonts w:ascii="宋体" w:hAnsi="宋体" w:eastAsia="宋体" w:cs="仿宋"/>
          <w:sz w:val="24"/>
          <w:szCs w:val="24"/>
          <w:lang w:bidi="ar"/>
        </w:rPr>
        <w:t>），每月30天，每条大约1MB。每年总数据量约为100*1MB*30*12=36GB，按未来规划3年计算，约为108GB。</w:t>
      </w:r>
    </w:p>
    <w:p w14:paraId="667F8A02">
      <w:pPr>
        <w:pStyle w:val="14"/>
        <w:rPr>
          <w:rFonts w:hint="eastAsia"/>
        </w:rPr>
      </w:pPr>
      <w:r>
        <w:rPr>
          <w:rFonts w:hint="eastAsia"/>
        </w:rPr>
        <w:t>基础业务数据估算</w:t>
      </w:r>
    </w:p>
    <w:p w14:paraId="1FFB80AD">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大丰区</w:t>
      </w:r>
      <w:r>
        <w:rPr>
          <w:rFonts w:ascii="宋体" w:hAnsi="宋体" w:eastAsia="宋体" w:cs="仿宋"/>
          <w:sz w:val="24"/>
          <w:szCs w:val="24"/>
          <w:lang w:bidi="ar"/>
        </w:rPr>
        <w:t>城市运行管理服务平台建设的基础数据城市部件数据、网格划分、地理编码、基础人员信息等，总数据量约为</w:t>
      </w:r>
      <w:r>
        <w:rPr>
          <w:rFonts w:hint="eastAsia" w:ascii="宋体" w:hAnsi="宋体" w:eastAsia="宋体" w:cs="仿宋"/>
          <w:sz w:val="24"/>
          <w:szCs w:val="24"/>
          <w:lang w:bidi="ar"/>
        </w:rPr>
        <w:t>1100G</w:t>
      </w:r>
      <w:r>
        <w:rPr>
          <w:rFonts w:ascii="宋体" w:hAnsi="宋体" w:eastAsia="宋体" w:cs="仿宋"/>
          <w:sz w:val="24"/>
          <w:szCs w:val="24"/>
          <w:lang w:bidi="ar"/>
        </w:rPr>
        <w:t>B。</w:t>
      </w:r>
    </w:p>
    <w:p w14:paraId="0EC65748">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此外，大丰其他业务系统垃圾分类、餐厨垃圾处理管理系统、环卫作业管理等业务数据共2000GB，执法系统业务数据500GB。</w:t>
      </w:r>
    </w:p>
    <w:p w14:paraId="627F4EF5">
      <w:pPr>
        <w:spacing w:line="276" w:lineRule="auto"/>
        <w:ind w:firstLine="480" w:firstLineChars="200"/>
        <w:rPr>
          <w:rFonts w:hint="eastAsia" w:ascii="宋体" w:hAnsi="宋体" w:eastAsia="宋体" w:cs="仿宋"/>
          <w:sz w:val="24"/>
          <w:szCs w:val="24"/>
          <w:lang w:eastAsia="zh-CN" w:bidi="ar"/>
        </w:rPr>
      </w:pPr>
      <w:r>
        <w:rPr>
          <w:rFonts w:ascii="宋体" w:hAnsi="宋体" w:eastAsia="宋体" w:cs="仿宋"/>
          <w:sz w:val="24"/>
          <w:szCs w:val="24"/>
          <w:lang w:bidi="ar"/>
        </w:rPr>
        <w:t>总共平台的存储量预估约为：</w:t>
      </w:r>
      <w:r>
        <w:rPr>
          <w:rFonts w:hint="eastAsia" w:ascii="宋体" w:hAnsi="宋体" w:eastAsia="宋体" w:cs="仿宋"/>
          <w:sz w:val="24"/>
          <w:szCs w:val="24"/>
          <w:lang w:bidi="ar"/>
        </w:rPr>
        <w:t>1100GB+2000GB+500G</w:t>
      </w:r>
      <w:r>
        <w:rPr>
          <w:rFonts w:ascii="宋体" w:hAnsi="宋体" w:eastAsia="宋体" w:cs="仿宋"/>
          <w:sz w:val="24"/>
          <w:szCs w:val="24"/>
          <w:lang w:bidi="ar"/>
        </w:rPr>
        <w:t>B+</w:t>
      </w:r>
      <w:r>
        <w:rPr>
          <w:rFonts w:hint="eastAsia" w:ascii="宋体" w:hAnsi="宋体" w:eastAsia="宋体" w:cs="仿宋"/>
          <w:sz w:val="24"/>
          <w:szCs w:val="24"/>
          <w:lang w:bidi="ar"/>
        </w:rPr>
        <w:t>108G</w:t>
      </w:r>
      <w:r>
        <w:rPr>
          <w:rFonts w:ascii="宋体" w:hAnsi="宋体" w:eastAsia="宋体" w:cs="仿宋"/>
          <w:sz w:val="24"/>
          <w:szCs w:val="24"/>
          <w:lang w:bidi="ar"/>
        </w:rPr>
        <w:t>B=</w:t>
      </w:r>
      <w:r>
        <w:rPr>
          <w:rFonts w:hint="eastAsia" w:ascii="宋体" w:hAnsi="宋体" w:eastAsia="宋体" w:cs="仿宋"/>
          <w:sz w:val="24"/>
          <w:szCs w:val="24"/>
          <w:lang w:bidi="ar"/>
        </w:rPr>
        <w:t>3700GB</w:t>
      </w:r>
      <w:r>
        <w:rPr>
          <w:rFonts w:hint="eastAsia" w:ascii="宋体" w:hAnsi="宋体" w:eastAsia="宋体" w:cs="仿宋"/>
          <w:sz w:val="24"/>
          <w:szCs w:val="24"/>
          <w:lang w:eastAsia="zh-CN" w:bidi="ar"/>
        </w:rPr>
        <w:t>。</w:t>
      </w:r>
    </w:p>
    <w:p w14:paraId="54A8127F">
      <w:pPr>
        <w:pStyle w:val="7"/>
        <w:rPr>
          <w:rFonts w:hint="eastAsia"/>
        </w:rPr>
      </w:pPr>
      <w:bookmarkStart w:id="50" w:name="_Toc10551"/>
      <w:r>
        <w:rPr>
          <w:rFonts w:hint="eastAsia"/>
        </w:rPr>
        <w:t>存储量分析与预测</w:t>
      </w:r>
      <w:bookmarkEnd w:id="50"/>
    </w:p>
    <w:p w14:paraId="6DC959EB">
      <w:pPr>
        <w:spacing w:line="276" w:lineRule="auto"/>
        <w:ind w:firstLine="480" w:firstLineChars="200"/>
        <w:rPr>
          <w:rFonts w:hint="eastAsia" w:ascii="宋体" w:hAnsi="宋体" w:eastAsia="宋体" w:cs="仿宋"/>
          <w:sz w:val="24"/>
          <w:szCs w:val="24"/>
          <w:lang w:val="en-US" w:bidi="ar"/>
        </w:rPr>
      </w:pPr>
      <w:r>
        <w:rPr>
          <w:rFonts w:hint="eastAsia" w:ascii="宋体" w:hAnsi="宋体" w:eastAsia="宋体" w:cs="仿宋"/>
          <w:sz w:val="24"/>
          <w:szCs w:val="24"/>
          <w:lang w:val="en-US" w:eastAsia="zh-CN" w:bidi="ar"/>
        </w:rPr>
        <w:t>对于存储系统的设计，必须考虑到3年乃至更长时间的数据增长量。随着城管应用的全面展开，数据量肯定更大。</w:t>
      </w:r>
    </w:p>
    <w:p w14:paraId="6877778E">
      <w:pPr>
        <w:spacing w:line="276" w:lineRule="auto"/>
        <w:ind w:firstLine="480" w:firstLineChars="200"/>
        <w:rPr>
          <w:rFonts w:hint="eastAsia" w:ascii="宋体" w:hAnsi="宋体" w:eastAsia="宋体" w:cs="仿宋"/>
          <w:sz w:val="24"/>
          <w:szCs w:val="24"/>
          <w:lang w:val="en-US" w:bidi="ar"/>
        </w:rPr>
      </w:pPr>
      <w:r>
        <w:rPr>
          <w:rFonts w:hint="eastAsia" w:ascii="宋体" w:hAnsi="宋体" w:eastAsia="宋体" w:cs="仿宋"/>
          <w:sz w:val="24"/>
          <w:szCs w:val="24"/>
          <w:lang w:val="en-US" w:eastAsia="zh-CN" w:bidi="ar"/>
        </w:rPr>
        <w:t>大丰区城市运行管理服务平台存储业务系统容量设计应≥3.6T。</w:t>
      </w:r>
    </w:p>
    <w:p w14:paraId="454CDFF3">
      <w:pPr>
        <w:pStyle w:val="5"/>
        <w:rPr>
          <w:rFonts w:hint="eastAsia"/>
        </w:rPr>
      </w:pPr>
      <w:bookmarkStart w:id="51" w:name="_Toc12009"/>
      <w:r>
        <w:rPr>
          <w:rFonts w:hint="eastAsia"/>
        </w:rPr>
        <w:t>多跨协同需求分析</w:t>
      </w:r>
      <w:bookmarkEnd w:id="51"/>
    </w:p>
    <w:p w14:paraId="029AC74F">
      <w:pPr>
        <w:spacing w:line="276" w:lineRule="auto"/>
        <w:ind w:firstLine="420"/>
        <w:rPr>
          <w:rFonts w:hint="eastAsia" w:ascii="宋体" w:hAnsi="宋体" w:eastAsia="宋体"/>
          <w:sz w:val="24"/>
          <w:szCs w:val="24"/>
        </w:rPr>
      </w:pPr>
      <w:r>
        <w:rPr>
          <w:rFonts w:hint="eastAsia" w:ascii="宋体" w:hAnsi="宋体" w:eastAsia="宋体"/>
          <w:sz w:val="24"/>
          <w:szCs w:val="24"/>
        </w:rPr>
        <w:t>本次项目涉及垃圾分类、建筑垃圾等多跨协同业务，未来将由大丰区城市管理局向大丰区数据局提交申请，并通过对接政务云中心数据交换平台获取如下数据：</w:t>
      </w:r>
    </w:p>
    <w:p w14:paraId="0BC7CD43">
      <w:pPr>
        <w:spacing w:line="276" w:lineRule="auto"/>
        <w:ind w:firstLine="420"/>
        <w:rPr>
          <w:rFonts w:hint="eastAsia" w:ascii="宋体" w:hAnsi="宋体" w:eastAsia="宋体"/>
          <w:sz w:val="24"/>
          <w:szCs w:val="24"/>
        </w:rPr>
      </w:pPr>
    </w:p>
    <w:tbl>
      <w:tblPr>
        <w:tblStyle w:val="90"/>
        <w:tblW w:w="5000" w:type="pct"/>
        <w:tblInd w:w="0" w:type="dxa"/>
        <w:tblLayout w:type="autofit"/>
        <w:tblCellMar>
          <w:top w:w="0" w:type="dxa"/>
          <w:left w:w="108" w:type="dxa"/>
          <w:bottom w:w="0" w:type="dxa"/>
          <w:right w:w="108" w:type="dxa"/>
        </w:tblCellMar>
      </w:tblPr>
      <w:tblGrid>
        <w:gridCol w:w="723"/>
        <w:gridCol w:w="1312"/>
        <w:gridCol w:w="2915"/>
        <w:gridCol w:w="3572"/>
      </w:tblGrid>
      <w:tr w14:paraId="09E190A6">
        <w:tblPrEx>
          <w:tblCellMar>
            <w:top w:w="0" w:type="dxa"/>
            <w:left w:w="108" w:type="dxa"/>
            <w:bottom w:w="0" w:type="dxa"/>
            <w:right w:w="108" w:type="dxa"/>
          </w:tblCellMar>
        </w:tblPrEx>
        <w:trPr>
          <w:trHeight w:val="400" w:hRule="atLeast"/>
        </w:trPr>
        <w:tc>
          <w:tcPr>
            <w:tcW w:w="424" w:type="pct"/>
            <w:tcBorders>
              <w:top w:val="single" w:color="auto" w:sz="4" w:space="0"/>
              <w:left w:val="single" w:color="auto" w:sz="4" w:space="0"/>
              <w:bottom w:val="single" w:color="auto" w:sz="4" w:space="0"/>
              <w:right w:val="single" w:color="auto" w:sz="4" w:space="0"/>
            </w:tcBorders>
            <w:vAlign w:val="center"/>
          </w:tcPr>
          <w:p w14:paraId="7FA87CC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770" w:type="pct"/>
            <w:tcBorders>
              <w:top w:val="single" w:color="auto" w:sz="4" w:space="0"/>
              <w:left w:val="nil"/>
              <w:bottom w:val="single" w:color="auto" w:sz="4" w:space="0"/>
              <w:right w:val="single" w:color="auto" w:sz="4" w:space="0"/>
            </w:tcBorders>
            <w:vAlign w:val="center"/>
          </w:tcPr>
          <w:p w14:paraId="4691175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多跨部门</w:t>
            </w:r>
          </w:p>
        </w:tc>
        <w:tc>
          <w:tcPr>
            <w:tcW w:w="1710" w:type="pct"/>
            <w:tcBorders>
              <w:top w:val="single" w:color="auto" w:sz="4" w:space="0"/>
              <w:left w:val="nil"/>
              <w:bottom w:val="single" w:color="auto" w:sz="4" w:space="0"/>
              <w:right w:val="single" w:color="auto" w:sz="4" w:space="0"/>
            </w:tcBorders>
            <w:vAlign w:val="center"/>
          </w:tcPr>
          <w:p w14:paraId="01C995E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协同需求</w:t>
            </w:r>
          </w:p>
        </w:tc>
        <w:tc>
          <w:tcPr>
            <w:tcW w:w="2096" w:type="pct"/>
            <w:tcBorders>
              <w:top w:val="single" w:color="auto" w:sz="4" w:space="0"/>
              <w:left w:val="nil"/>
              <w:bottom w:val="single" w:color="auto" w:sz="4" w:space="0"/>
              <w:right w:val="single" w:color="auto" w:sz="4" w:space="0"/>
            </w:tcBorders>
            <w:vAlign w:val="center"/>
          </w:tcPr>
          <w:p w14:paraId="1E46206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数据类型</w:t>
            </w:r>
          </w:p>
        </w:tc>
      </w:tr>
      <w:tr w14:paraId="62746667">
        <w:tblPrEx>
          <w:tblCellMar>
            <w:top w:w="0" w:type="dxa"/>
            <w:left w:w="108" w:type="dxa"/>
            <w:bottom w:w="0" w:type="dxa"/>
            <w:right w:w="108" w:type="dxa"/>
          </w:tblCellMar>
        </w:tblPrEx>
        <w:trPr>
          <w:trHeight w:val="400" w:hRule="atLeast"/>
        </w:trPr>
        <w:tc>
          <w:tcPr>
            <w:tcW w:w="424" w:type="pct"/>
            <w:tcBorders>
              <w:top w:val="single" w:color="auto" w:sz="4" w:space="0"/>
              <w:left w:val="single" w:color="auto" w:sz="4" w:space="0"/>
              <w:bottom w:val="single" w:color="auto" w:sz="4" w:space="0"/>
              <w:right w:val="single" w:color="auto" w:sz="4" w:space="0"/>
            </w:tcBorders>
            <w:vAlign w:val="center"/>
          </w:tcPr>
          <w:p w14:paraId="7B778A9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70" w:type="pct"/>
            <w:tcBorders>
              <w:top w:val="single" w:color="auto" w:sz="4" w:space="0"/>
              <w:left w:val="nil"/>
              <w:bottom w:val="single" w:color="auto" w:sz="4" w:space="0"/>
              <w:right w:val="single" w:color="auto" w:sz="4" w:space="0"/>
            </w:tcBorders>
            <w:vAlign w:val="center"/>
          </w:tcPr>
          <w:p w14:paraId="2624A83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商务局</w:t>
            </w:r>
          </w:p>
        </w:tc>
        <w:tc>
          <w:tcPr>
            <w:tcW w:w="1710" w:type="pct"/>
            <w:tcBorders>
              <w:top w:val="single" w:color="auto" w:sz="4" w:space="0"/>
              <w:left w:val="nil"/>
              <w:bottom w:val="single" w:color="auto" w:sz="4" w:space="0"/>
              <w:right w:val="single" w:color="auto" w:sz="4" w:space="0"/>
            </w:tcBorders>
            <w:vAlign w:val="center"/>
          </w:tcPr>
          <w:p w14:paraId="69B87DA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可回收物数据</w:t>
            </w:r>
          </w:p>
        </w:tc>
        <w:tc>
          <w:tcPr>
            <w:tcW w:w="2096" w:type="pct"/>
            <w:tcBorders>
              <w:top w:val="single" w:color="auto" w:sz="4" w:space="0"/>
              <w:left w:val="nil"/>
              <w:bottom w:val="single" w:color="auto" w:sz="4" w:space="0"/>
              <w:right w:val="single" w:color="auto" w:sz="4" w:space="0"/>
            </w:tcBorders>
            <w:vAlign w:val="center"/>
          </w:tcPr>
          <w:p w14:paraId="778D4C8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可回收物产量数据</w:t>
            </w:r>
          </w:p>
        </w:tc>
      </w:tr>
      <w:tr w14:paraId="5DDCBD31">
        <w:tblPrEx>
          <w:tblCellMar>
            <w:top w:w="0" w:type="dxa"/>
            <w:left w:w="108" w:type="dxa"/>
            <w:bottom w:w="0" w:type="dxa"/>
            <w:right w:w="108" w:type="dxa"/>
          </w:tblCellMar>
        </w:tblPrEx>
        <w:trPr>
          <w:trHeight w:val="400" w:hRule="atLeast"/>
        </w:trPr>
        <w:tc>
          <w:tcPr>
            <w:tcW w:w="424" w:type="pct"/>
            <w:tcBorders>
              <w:top w:val="nil"/>
              <w:left w:val="single" w:color="auto" w:sz="4" w:space="0"/>
              <w:bottom w:val="single" w:color="auto" w:sz="4" w:space="0"/>
              <w:right w:val="single" w:color="auto" w:sz="4" w:space="0"/>
            </w:tcBorders>
            <w:vAlign w:val="center"/>
          </w:tcPr>
          <w:p w14:paraId="7529A55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70" w:type="pct"/>
            <w:tcBorders>
              <w:top w:val="nil"/>
              <w:left w:val="nil"/>
              <w:bottom w:val="single" w:color="auto" w:sz="4" w:space="0"/>
              <w:right w:val="single" w:color="auto" w:sz="4" w:space="0"/>
            </w:tcBorders>
            <w:vAlign w:val="center"/>
          </w:tcPr>
          <w:p w14:paraId="4FB14CC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住建局</w:t>
            </w:r>
          </w:p>
        </w:tc>
        <w:tc>
          <w:tcPr>
            <w:tcW w:w="1710" w:type="pct"/>
            <w:tcBorders>
              <w:top w:val="nil"/>
              <w:left w:val="nil"/>
              <w:bottom w:val="single" w:color="auto" w:sz="4" w:space="0"/>
              <w:right w:val="single" w:color="auto" w:sz="4" w:space="0"/>
            </w:tcBorders>
            <w:vAlign w:val="center"/>
          </w:tcPr>
          <w:p w14:paraId="3F5E5B6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建筑工地信息（备案、未备案）、施工许可证、工地视频</w:t>
            </w:r>
          </w:p>
        </w:tc>
        <w:tc>
          <w:tcPr>
            <w:tcW w:w="2096" w:type="pct"/>
            <w:tcBorders>
              <w:top w:val="nil"/>
              <w:left w:val="nil"/>
              <w:bottom w:val="single" w:color="auto" w:sz="4" w:space="0"/>
              <w:right w:val="single" w:color="auto" w:sz="4" w:space="0"/>
            </w:tcBorders>
            <w:vAlign w:val="center"/>
          </w:tcPr>
          <w:p w14:paraId="633CA09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全市工地基础数据、工地施工信息及现场视频数据</w:t>
            </w:r>
          </w:p>
        </w:tc>
      </w:tr>
      <w:tr w14:paraId="3398FF07">
        <w:tblPrEx>
          <w:tblCellMar>
            <w:top w:w="0" w:type="dxa"/>
            <w:left w:w="108" w:type="dxa"/>
            <w:bottom w:w="0" w:type="dxa"/>
            <w:right w:w="108" w:type="dxa"/>
          </w:tblCellMar>
        </w:tblPrEx>
        <w:trPr>
          <w:trHeight w:val="400" w:hRule="atLeast"/>
        </w:trPr>
        <w:tc>
          <w:tcPr>
            <w:tcW w:w="424" w:type="pct"/>
            <w:tcBorders>
              <w:top w:val="nil"/>
              <w:left w:val="single" w:color="auto" w:sz="4" w:space="0"/>
              <w:bottom w:val="single" w:color="auto" w:sz="4" w:space="0"/>
              <w:right w:val="single" w:color="auto" w:sz="4" w:space="0"/>
            </w:tcBorders>
            <w:vAlign w:val="center"/>
          </w:tcPr>
          <w:p w14:paraId="1413DE3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70" w:type="pct"/>
            <w:tcBorders>
              <w:top w:val="nil"/>
              <w:left w:val="nil"/>
              <w:bottom w:val="single" w:color="auto" w:sz="4" w:space="0"/>
              <w:right w:val="single" w:color="auto" w:sz="4" w:space="0"/>
            </w:tcBorders>
            <w:vAlign w:val="center"/>
          </w:tcPr>
          <w:p w14:paraId="2C31DFF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数据局</w:t>
            </w:r>
          </w:p>
        </w:tc>
        <w:tc>
          <w:tcPr>
            <w:tcW w:w="1710" w:type="pct"/>
            <w:tcBorders>
              <w:top w:val="nil"/>
              <w:left w:val="nil"/>
              <w:bottom w:val="single" w:color="auto" w:sz="4" w:space="0"/>
              <w:right w:val="single" w:color="auto" w:sz="4" w:space="0"/>
            </w:tcBorders>
            <w:vAlign w:val="center"/>
          </w:tcPr>
          <w:p w14:paraId="137A80E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各类许可</w:t>
            </w:r>
          </w:p>
        </w:tc>
        <w:tc>
          <w:tcPr>
            <w:tcW w:w="2096" w:type="pct"/>
            <w:tcBorders>
              <w:top w:val="nil"/>
              <w:left w:val="nil"/>
              <w:bottom w:val="single" w:color="auto" w:sz="4" w:space="0"/>
              <w:right w:val="single" w:color="auto" w:sz="4" w:space="0"/>
            </w:tcBorders>
            <w:vAlign w:val="center"/>
          </w:tcPr>
          <w:p w14:paraId="2FC1D35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施工等许可信息</w:t>
            </w:r>
          </w:p>
        </w:tc>
      </w:tr>
      <w:tr w14:paraId="600E77D4">
        <w:tblPrEx>
          <w:tblCellMar>
            <w:top w:w="0" w:type="dxa"/>
            <w:left w:w="108" w:type="dxa"/>
            <w:bottom w:w="0" w:type="dxa"/>
            <w:right w:w="108" w:type="dxa"/>
          </w:tblCellMar>
        </w:tblPrEx>
        <w:trPr>
          <w:trHeight w:val="400" w:hRule="atLeast"/>
        </w:trPr>
        <w:tc>
          <w:tcPr>
            <w:tcW w:w="424" w:type="pct"/>
            <w:tcBorders>
              <w:top w:val="nil"/>
              <w:left w:val="single" w:color="auto" w:sz="4" w:space="0"/>
              <w:bottom w:val="single" w:color="auto" w:sz="4" w:space="0"/>
              <w:right w:val="single" w:color="auto" w:sz="4" w:space="0"/>
            </w:tcBorders>
            <w:vAlign w:val="center"/>
          </w:tcPr>
          <w:p w14:paraId="38C15D3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70" w:type="pct"/>
            <w:tcBorders>
              <w:top w:val="nil"/>
              <w:left w:val="nil"/>
              <w:bottom w:val="single" w:color="auto" w:sz="4" w:space="0"/>
              <w:right w:val="single" w:color="auto" w:sz="4" w:space="0"/>
            </w:tcBorders>
            <w:vAlign w:val="center"/>
          </w:tcPr>
          <w:p w14:paraId="6A64FA9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资规局</w:t>
            </w:r>
          </w:p>
        </w:tc>
        <w:tc>
          <w:tcPr>
            <w:tcW w:w="1710" w:type="pct"/>
            <w:tcBorders>
              <w:top w:val="nil"/>
              <w:left w:val="nil"/>
              <w:bottom w:val="single" w:color="auto" w:sz="4" w:space="0"/>
              <w:right w:val="single" w:color="auto" w:sz="4" w:space="0"/>
            </w:tcBorders>
            <w:vAlign w:val="center"/>
          </w:tcPr>
          <w:p w14:paraId="6E54537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选址规划信息</w:t>
            </w:r>
          </w:p>
        </w:tc>
        <w:tc>
          <w:tcPr>
            <w:tcW w:w="2096" w:type="pct"/>
            <w:tcBorders>
              <w:top w:val="nil"/>
              <w:left w:val="nil"/>
              <w:bottom w:val="single" w:color="auto" w:sz="4" w:space="0"/>
              <w:right w:val="single" w:color="auto" w:sz="4" w:space="0"/>
            </w:tcBorders>
            <w:vAlign w:val="center"/>
          </w:tcPr>
          <w:p w14:paraId="3D78A6D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各类建筑垃圾基础设施选址规划信息</w:t>
            </w:r>
          </w:p>
        </w:tc>
      </w:tr>
    </w:tbl>
    <w:p w14:paraId="69B2003B">
      <w:pPr>
        <w:spacing w:line="276" w:lineRule="auto"/>
        <w:rPr>
          <w:rFonts w:hint="eastAsia" w:ascii="宋体" w:hAnsi="宋体" w:eastAsia="宋体"/>
          <w:sz w:val="24"/>
          <w:szCs w:val="24"/>
        </w:rPr>
      </w:pPr>
    </w:p>
    <w:p w14:paraId="6D3CBC09">
      <w:pPr>
        <w:pStyle w:val="5"/>
        <w:rPr>
          <w:rFonts w:hint="eastAsia"/>
        </w:rPr>
      </w:pPr>
      <w:bookmarkStart w:id="52" w:name="_Toc2949"/>
      <w:r>
        <w:rPr>
          <w:rFonts w:hint="eastAsia"/>
        </w:rPr>
        <w:t>系统功能、性能和网络安全需求分析</w:t>
      </w:r>
      <w:bookmarkEnd w:id="52"/>
    </w:p>
    <w:p w14:paraId="42E009E0">
      <w:pPr>
        <w:pStyle w:val="7"/>
        <w:rPr>
          <w:rFonts w:hint="eastAsia"/>
        </w:rPr>
      </w:pPr>
      <w:bookmarkStart w:id="53" w:name="_Toc13132"/>
      <w:bookmarkStart w:id="54" w:name="_Toc131523398"/>
      <w:bookmarkStart w:id="55" w:name="_Toc194522868"/>
      <w:r>
        <w:rPr>
          <w:rFonts w:hint="eastAsia"/>
        </w:rPr>
        <w:t>系统功能和性能需求分析</w:t>
      </w:r>
      <w:bookmarkEnd w:id="53"/>
      <w:bookmarkEnd w:id="54"/>
      <w:bookmarkEnd w:id="55"/>
    </w:p>
    <w:p w14:paraId="76A2BFC7">
      <w:pPr>
        <w:pStyle w:val="8"/>
        <w:rPr>
          <w:rFonts w:hint="eastAsia"/>
        </w:rPr>
      </w:pPr>
      <w:bookmarkStart w:id="56" w:name="_Toc131523399"/>
      <w:bookmarkStart w:id="57" w:name="_Toc106641127"/>
      <w:bookmarkStart w:id="58" w:name="_Toc194522869"/>
      <w:r>
        <w:rPr>
          <w:rFonts w:hint="eastAsia"/>
        </w:rPr>
        <w:t>响应时间指标</w:t>
      </w:r>
    </w:p>
    <w:p w14:paraId="419C07F4">
      <w:pPr>
        <w:spacing w:line="276" w:lineRule="auto"/>
        <w:ind w:firstLine="420"/>
        <w:rPr>
          <w:rFonts w:hint="eastAsia" w:ascii="宋体" w:hAnsi="宋体" w:eastAsia="宋体"/>
          <w:sz w:val="24"/>
          <w:szCs w:val="24"/>
        </w:rPr>
      </w:pPr>
      <w:r>
        <w:rPr>
          <w:rFonts w:hint="eastAsia" w:ascii="宋体" w:hAnsi="宋体" w:eastAsia="宋体"/>
          <w:sz w:val="24"/>
          <w:szCs w:val="24"/>
        </w:rPr>
        <w:t>简单操作（录入、修改、删除、查看记录等）平均响应时间≤1秒、峰值响应时间≤3秒；</w:t>
      </w:r>
    </w:p>
    <w:p w14:paraId="1FF13CFB">
      <w:pPr>
        <w:spacing w:line="276" w:lineRule="auto"/>
        <w:ind w:firstLine="420"/>
        <w:rPr>
          <w:rFonts w:hint="eastAsia" w:ascii="宋体" w:hAnsi="宋体" w:eastAsia="宋体"/>
          <w:sz w:val="24"/>
          <w:szCs w:val="24"/>
        </w:rPr>
      </w:pPr>
      <w:r>
        <w:rPr>
          <w:rFonts w:hint="eastAsia" w:ascii="宋体" w:hAnsi="宋体" w:eastAsia="宋体"/>
          <w:sz w:val="24"/>
          <w:szCs w:val="24"/>
        </w:rPr>
        <w:t>复杂操作（多条件检索、多维数据集分析等）平均响应时间≤2秒、峰值响应时间≤3秒；</w:t>
      </w:r>
    </w:p>
    <w:p w14:paraId="7F0B1F44">
      <w:pPr>
        <w:spacing w:line="276" w:lineRule="auto"/>
        <w:ind w:firstLine="420"/>
        <w:rPr>
          <w:rFonts w:hint="eastAsia" w:ascii="宋体" w:hAnsi="宋体" w:eastAsia="宋体"/>
          <w:sz w:val="24"/>
          <w:szCs w:val="24"/>
        </w:rPr>
      </w:pPr>
      <w:r>
        <w:rPr>
          <w:rFonts w:hint="eastAsia" w:ascii="宋体" w:hAnsi="宋体" w:eastAsia="宋体"/>
          <w:sz w:val="24"/>
          <w:szCs w:val="24"/>
        </w:rPr>
        <w:t>统计报表（数据统计、生成图表、打印输出等）平均响应时间≤2秒、峰值响应时间≤3秒；</w:t>
      </w:r>
    </w:p>
    <w:p w14:paraId="58E8F774">
      <w:pPr>
        <w:spacing w:line="276" w:lineRule="auto"/>
        <w:ind w:firstLine="420"/>
        <w:rPr>
          <w:rFonts w:hint="eastAsia" w:ascii="宋体" w:hAnsi="宋体" w:eastAsia="宋体"/>
          <w:sz w:val="24"/>
          <w:szCs w:val="24"/>
        </w:rPr>
      </w:pPr>
      <w:r>
        <w:rPr>
          <w:rFonts w:hint="eastAsia" w:ascii="宋体" w:hAnsi="宋体" w:eastAsia="宋体"/>
          <w:sz w:val="24"/>
          <w:szCs w:val="24"/>
        </w:rPr>
        <w:t>地图查询定位时间≤3秒；</w:t>
      </w:r>
    </w:p>
    <w:p w14:paraId="104DEE11">
      <w:pPr>
        <w:spacing w:line="276" w:lineRule="auto"/>
        <w:ind w:firstLine="420"/>
        <w:rPr>
          <w:rFonts w:hint="eastAsia" w:ascii="宋体" w:hAnsi="宋体" w:eastAsia="宋体"/>
          <w:sz w:val="24"/>
          <w:szCs w:val="24"/>
        </w:rPr>
      </w:pPr>
      <w:r>
        <w:rPr>
          <w:rFonts w:hint="eastAsia" w:ascii="宋体" w:hAnsi="宋体" w:eastAsia="宋体"/>
          <w:sz w:val="24"/>
          <w:szCs w:val="24"/>
        </w:rPr>
        <w:t>城市运行管理服务中心接收移动终端问题时间≤3秒；</w:t>
      </w:r>
    </w:p>
    <w:p w14:paraId="07FAC3E7">
      <w:pPr>
        <w:spacing w:line="276" w:lineRule="auto"/>
        <w:ind w:firstLine="420"/>
        <w:rPr>
          <w:rFonts w:hint="eastAsia" w:ascii="宋体" w:hAnsi="宋体" w:eastAsia="宋体"/>
          <w:sz w:val="24"/>
          <w:szCs w:val="24"/>
        </w:rPr>
      </w:pPr>
      <w:r>
        <w:rPr>
          <w:rFonts w:hint="eastAsia" w:ascii="宋体" w:hAnsi="宋体" w:eastAsia="宋体"/>
          <w:sz w:val="24"/>
          <w:szCs w:val="24"/>
        </w:rPr>
        <w:t>城市运行管理服务中心向移动终端发送任务时间≤3秒</w:t>
      </w:r>
    </w:p>
    <w:p w14:paraId="1F6B190B">
      <w:pPr>
        <w:pStyle w:val="8"/>
        <w:rPr>
          <w:rFonts w:hint="eastAsia"/>
        </w:rPr>
      </w:pPr>
      <w:r>
        <w:rPr>
          <w:rFonts w:hint="eastAsia"/>
        </w:rPr>
        <w:t>并发性指标</w:t>
      </w:r>
    </w:p>
    <w:p w14:paraId="3E663067">
      <w:pPr>
        <w:spacing w:line="276" w:lineRule="auto"/>
        <w:ind w:firstLine="420"/>
        <w:rPr>
          <w:rFonts w:hint="eastAsia" w:ascii="宋体" w:hAnsi="宋体" w:eastAsia="宋体"/>
          <w:sz w:val="24"/>
          <w:szCs w:val="24"/>
        </w:rPr>
      </w:pPr>
      <w:r>
        <w:rPr>
          <w:rFonts w:hint="eastAsia" w:ascii="宋体" w:hAnsi="宋体" w:eastAsia="宋体"/>
          <w:sz w:val="24"/>
          <w:szCs w:val="24"/>
        </w:rPr>
        <w:t>用户对象主要为大丰城市管理局相关领导、监督指挥中心工作人员、部门业务人员、执法人员、巡检操作人员、第三方运营公司人员等，用户数按1000人进行估算，当项目建成后，根据5:5原则，跨系统每天最大在线用户数按照50%计算则有500人，其中处理同一事务，即最大并发数按照在线用户的10%进行估算，即系统最大并发数为50人。</w:t>
      </w:r>
    </w:p>
    <w:p w14:paraId="7C3F042C">
      <w:pPr>
        <w:pStyle w:val="8"/>
        <w:rPr>
          <w:rFonts w:hint="eastAsia"/>
        </w:rPr>
      </w:pPr>
      <w:r>
        <w:rPr>
          <w:rFonts w:hint="eastAsia"/>
        </w:rPr>
        <w:t>可靠性、可用性指标</w:t>
      </w:r>
    </w:p>
    <w:p w14:paraId="5DE47ECF">
      <w:pPr>
        <w:spacing w:line="276" w:lineRule="auto"/>
        <w:ind w:firstLine="420"/>
        <w:rPr>
          <w:rFonts w:hint="eastAsia" w:ascii="宋体" w:hAnsi="宋体" w:eastAsia="宋体"/>
          <w:sz w:val="24"/>
          <w:szCs w:val="24"/>
        </w:rPr>
      </w:pPr>
      <w:r>
        <w:rPr>
          <w:rFonts w:hint="eastAsia" w:ascii="Calibri" w:hAnsi="Calibri" w:eastAsia="宋体" w:cs="Times New Roman"/>
          <w:sz w:val="24"/>
          <w:szCs w:val="24"/>
        </w:rPr>
        <w:t>本项</w:t>
      </w:r>
      <w:r>
        <w:rPr>
          <w:rFonts w:hint="eastAsia" w:ascii="宋体" w:hAnsi="宋体" w:eastAsia="宋体"/>
          <w:sz w:val="24"/>
          <w:szCs w:val="24"/>
        </w:rPr>
        <w:t>目软件开发需采用先进的技术架构及成熟的组件。软件系统可实现很高的可靠性和稳定性，平台全年7*24小时无间断运行，系统平均无故障时间（MTBF）大于99.9%。</w:t>
      </w:r>
    </w:p>
    <w:p w14:paraId="000E2FA9">
      <w:pPr>
        <w:spacing w:line="276" w:lineRule="auto"/>
        <w:ind w:firstLine="420"/>
        <w:rPr>
          <w:rFonts w:hint="eastAsia" w:ascii="宋体" w:hAnsi="宋体" w:eastAsia="宋体"/>
          <w:sz w:val="24"/>
          <w:szCs w:val="24"/>
        </w:rPr>
      </w:pPr>
      <w:r>
        <w:rPr>
          <w:rFonts w:hint="eastAsia" w:ascii="宋体" w:hAnsi="宋体" w:eastAsia="宋体"/>
          <w:sz w:val="24"/>
          <w:szCs w:val="24"/>
        </w:rPr>
        <w:t>降低对客户端CPU和内存等计算资源的消耗，CPU占用率不能超过60%。客户端操作结束后，能及时释放所占用的资源，保证工作人员利用电脑顺利进行其他的工作。</w:t>
      </w:r>
    </w:p>
    <w:p w14:paraId="0AB47260">
      <w:pPr>
        <w:spacing w:line="276" w:lineRule="auto"/>
        <w:ind w:firstLine="420"/>
        <w:rPr>
          <w:rFonts w:hint="eastAsia" w:ascii="宋体" w:hAnsi="宋体" w:eastAsia="宋体"/>
          <w:sz w:val="24"/>
          <w:szCs w:val="24"/>
        </w:rPr>
      </w:pPr>
      <w:r>
        <w:rPr>
          <w:rFonts w:hint="eastAsia" w:ascii="宋体" w:hAnsi="宋体" w:eastAsia="宋体"/>
          <w:sz w:val="24"/>
          <w:szCs w:val="24"/>
        </w:rPr>
        <w:t>系统能够完成所要求的所有功能操作，同时具有良好的运行速度，有较高的数据承载能力。系统要保证在正常和极端情况下业务逻辑的正确性，具体指标如下：</w:t>
      </w:r>
    </w:p>
    <w:p w14:paraId="1A83B155">
      <w:pPr>
        <w:spacing w:line="276" w:lineRule="auto"/>
        <w:ind w:firstLine="420"/>
        <w:rPr>
          <w:rFonts w:hint="eastAsia" w:ascii="宋体" w:hAnsi="宋体" w:eastAsia="宋体"/>
          <w:sz w:val="24"/>
          <w:szCs w:val="24"/>
        </w:rPr>
      </w:pPr>
      <w:r>
        <w:rPr>
          <w:rFonts w:hint="eastAsia" w:ascii="宋体" w:hAnsi="宋体" w:eastAsia="宋体"/>
          <w:sz w:val="24"/>
          <w:szCs w:val="24"/>
        </w:rPr>
        <w:t>无单点故障，即系统应不受任何单点故障的影响；</w:t>
      </w:r>
    </w:p>
    <w:p w14:paraId="5B777899">
      <w:pPr>
        <w:spacing w:line="276" w:lineRule="auto"/>
        <w:ind w:firstLine="420"/>
        <w:rPr>
          <w:rFonts w:hint="eastAsia" w:ascii="宋体" w:hAnsi="宋体" w:eastAsia="宋体"/>
          <w:sz w:val="24"/>
          <w:szCs w:val="24"/>
        </w:rPr>
      </w:pPr>
      <w:r>
        <w:rPr>
          <w:rFonts w:hint="eastAsia" w:ascii="宋体" w:hAnsi="宋体" w:eastAsia="宋体"/>
          <w:sz w:val="24"/>
          <w:szCs w:val="24"/>
        </w:rPr>
        <w:t>故障恢复时间不超过半个小时，即系统应能够在半个小时内从任何故障中恢复；</w:t>
      </w:r>
    </w:p>
    <w:p w14:paraId="22E5A23E">
      <w:pPr>
        <w:spacing w:line="276" w:lineRule="auto"/>
        <w:ind w:firstLine="420"/>
        <w:rPr>
          <w:rFonts w:hint="eastAsia" w:ascii="宋体" w:hAnsi="宋体" w:eastAsia="宋体"/>
          <w:sz w:val="24"/>
          <w:szCs w:val="24"/>
        </w:rPr>
      </w:pPr>
      <w:r>
        <w:rPr>
          <w:rFonts w:hint="eastAsia" w:ascii="宋体" w:hAnsi="宋体" w:eastAsia="宋体"/>
          <w:sz w:val="24"/>
          <w:szCs w:val="24"/>
        </w:rPr>
        <w:t>灾难恢复不超过2个小时，即核心系统能应在2个小时内恢复。</w:t>
      </w:r>
    </w:p>
    <w:p w14:paraId="35532A65">
      <w:pPr>
        <w:pStyle w:val="7"/>
        <w:rPr>
          <w:rFonts w:hint="eastAsia"/>
        </w:rPr>
      </w:pPr>
      <w:bookmarkStart w:id="59" w:name="_Toc12056"/>
      <w:r>
        <w:rPr>
          <w:rFonts w:hint="eastAsia"/>
        </w:rPr>
        <w:t>系统网络安全需求分析</w:t>
      </w:r>
      <w:bookmarkEnd w:id="56"/>
      <w:bookmarkEnd w:id="57"/>
      <w:bookmarkEnd w:id="58"/>
      <w:bookmarkEnd w:id="59"/>
    </w:p>
    <w:p w14:paraId="656CA9E1">
      <w:pPr>
        <w:spacing w:line="276" w:lineRule="auto"/>
        <w:ind w:firstLine="420"/>
        <w:rPr>
          <w:rFonts w:hint="eastAsia" w:ascii="宋体" w:hAnsi="宋体" w:eastAsia="宋体"/>
          <w:sz w:val="24"/>
          <w:szCs w:val="24"/>
          <w:lang w:eastAsia="zh-CN"/>
        </w:rPr>
      </w:pPr>
      <w:r>
        <w:rPr>
          <w:rFonts w:hint="eastAsia" w:ascii="宋体" w:hAnsi="宋体" w:eastAsia="宋体"/>
          <w:sz w:val="24"/>
          <w:szCs w:val="24"/>
        </w:rPr>
        <w:t>本项目依托</w:t>
      </w:r>
      <w:r>
        <w:rPr>
          <w:rFonts w:hint="eastAsia" w:ascii="宋体" w:hAnsi="宋体" w:eastAsia="宋体"/>
          <w:sz w:val="24"/>
          <w:szCs w:val="24"/>
          <w:lang w:val="en-US" w:eastAsia="zh-CN"/>
        </w:rPr>
        <w:t>盐城市大丰区</w:t>
      </w:r>
      <w:r>
        <w:rPr>
          <w:rFonts w:hint="eastAsia" w:ascii="宋体" w:hAnsi="宋体" w:eastAsia="宋体"/>
          <w:sz w:val="24"/>
          <w:szCs w:val="24"/>
        </w:rPr>
        <w:t>政务外网网络通信服务。</w:t>
      </w:r>
      <w:r>
        <w:rPr>
          <w:rFonts w:hint="eastAsia" w:ascii="宋体" w:hAnsi="宋体" w:eastAsia="宋体"/>
          <w:sz w:val="24"/>
          <w:szCs w:val="24"/>
          <w:lang w:val="en-US" w:eastAsia="zh-CN"/>
        </w:rPr>
        <w:t>云平台</w:t>
      </w:r>
      <w:r>
        <w:rPr>
          <w:rFonts w:hint="eastAsia" w:ascii="宋体" w:hAnsi="宋体" w:eastAsia="宋体"/>
          <w:sz w:val="24"/>
          <w:szCs w:val="24"/>
        </w:rPr>
        <w:t>实现资源池区承载的业务流量、存储流量以及管理流量等流量之间的隔离。组网交换机支持虚拟化技术，业务网络链路要求万兆以上网络，并满足数据共享及相关人员运维、管理工作需求</w:t>
      </w:r>
      <w:r>
        <w:rPr>
          <w:rFonts w:hint="eastAsia" w:ascii="宋体" w:hAnsi="宋体" w:eastAsia="宋体"/>
          <w:sz w:val="24"/>
          <w:szCs w:val="24"/>
          <w:lang w:eastAsia="zh-CN"/>
        </w:rPr>
        <w:t>。</w:t>
      </w:r>
    </w:p>
    <w:p w14:paraId="7976944F">
      <w:pPr>
        <w:pStyle w:val="5"/>
        <w:rPr>
          <w:rFonts w:hint="eastAsia"/>
        </w:rPr>
      </w:pPr>
      <w:bookmarkStart w:id="60" w:name="_Toc7806"/>
      <w:r>
        <w:rPr>
          <w:rFonts w:hint="eastAsia"/>
        </w:rPr>
        <w:t>项目网络安全情况分析</w:t>
      </w:r>
      <w:bookmarkEnd w:id="60"/>
    </w:p>
    <w:p w14:paraId="0CCF3666">
      <w:pPr>
        <w:pStyle w:val="188"/>
        <w:spacing w:line="276" w:lineRule="auto"/>
        <w:rPr>
          <w:rFonts w:hint="eastAsia" w:ascii="宋体" w:hAnsi="宋体"/>
        </w:rPr>
      </w:pPr>
      <w:r>
        <w:rPr>
          <w:rFonts w:hint="eastAsia" w:ascii="宋体" w:hAnsi="宋体"/>
        </w:rPr>
        <w:t>网络安全主要关注的方面包括网络结构、网络边界以及网络设备自身安全等。具体有：结构安全、访问控制、安全审计、边界完整性检查、入侵防范、网络设备防护等。对网络处理能力增加了“优先级”的考虑，保证重要主机能够在网络拥堵时仍能够正常运行；网络边界的访问控制扩展到应用层，网络边界的其他防护措施进一步增强，不仅能够被动的防护，还应能主动发出一些动作，如报警、阻断等。根据上述技术要求，本次项目建设中信息系统网络安全主要实现边界的访问控制、日志安全审计、边界完整性检查、入侵防范、恶意代码防范和网络设备防护。</w:t>
      </w:r>
    </w:p>
    <w:p w14:paraId="210F5E69">
      <w:pPr>
        <w:pStyle w:val="188"/>
        <w:spacing w:line="276" w:lineRule="auto"/>
        <w:rPr>
          <w:rFonts w:hint="eastAsia" w:ascii="宋体" w:hAnsi="宋体"/>
          <w:lang w:val="en-US" w:eastAsia="zh-CN"/>
        </w:rPr>
      </w:pPr>
      <w:r>
        <w:rPr>
          <w:rFonts w:hint="eastAsia" w:ascii="宋体" w:hAnsi="宋体"/>
        </w:rPr>
        <w:t>由于本次</w:t>
      </w:r>
      <w:r>
        <w:rPr>
          <w:rFonts w:hint="eastAsia" w:ascii="宋体" w:hAnsi="宋体"/>
          <w:lang w:val="en-US" w:eastAsia="zh-CN"/>
        </w:rPr>
        <w:t>项目</w:t>
      </w:r>
      <w:r>
        <w:rPr>
          <w:rFonts w:hint="eastAsia" w:ascii="宋体" w:hAnsi="宋体" w:eastAsia="宋体"/>
          <w:sz w:val="24"/>
          <w:szCs w:val="24"/>
        </w:rPr>
        <w:t>丰区城市运行管理服务平台</w:t>
      </w:r>
      <w:r>
        <w:rPr>
          <w:rFonts w:hint="eastAsia" w:ascii="宋体" w:hAnsi="宋体" w:eastAsia="宋体"/>
          <w:sz w:val="24"/>
          <w:szCs w:val="24"/>
          <w:lang w:val="en-US" w:eastAsia="zh-CN"/>
        </w:rPr>
        <w:t>将先</w:t>
      </w:r>
      <w:r>
        <w:rPr>
          <w:rFonts w:hint="eastAsia" w:ascii="宋体" w:hAnsi="宋体" w:eastAsia="宋体"/>
          <w:sz w:val="24"/>
          <w:szCs w:val="24"/>
        </w:rPr>
        <w:t>部署在</w:t>
      </w:r>
      <w:r>
        <w:rPr>
          <w:rFonts w:hint="eastAsia" w:ascii="宋体" w:hAnsi="宋体" w:eastAsia="宋体"/>
          <w:sz w:val="24"/>
          <w:szCs w:val="24"/>
          <w:lang w:val="en-US" w:eastAsia="zh-CN"/>
        </w:rPr>
        <w:t>商务</w:t>
      </w:r>
      <w:r>
        <w:rPr>
          <w:rFonts w:hint="eastAsia" w:ascii="宋体" w:hAnsi="宋体" w:eastAsia="宋体"/>
          <w:sz w:val="24"/>
          <w:szCs w:val="24"/>
        </w:rPr>
        <w:t>云平台中</w:t>
      </w:r>
      <w:r>
        <w:rPr>
          <w:rFonts w:hint="eastAsia" w:ascii="宋体" w:hAnsi="宋体"/>
          <w:sz w:val="24"/>
          <w:szCs w:val="24"/>
          <w:lang w:eastAsia="zh-CN"/>
        </w:rPr>
        <w:t>，</w:t>
      </w:r>
      <w:r>
        <w:rPr>
          <w:rFonts w:hint="eastAsia" w:ascii="宋体" w:hAnsi="宋体"/>
          <w:sz w:val="24"/>
          <w:szCs w:val="24"/>
          <w:lang w:val="en-US" w:eastAsia="zh-CN"/>
        </w:rPr>
        <w:t>商务云有</w:t>
      </w:r>
      <w:r>
        <w:rPr>
          <w:rFonts w:hint="eastAsia" w:ascii="宋体" w:hAnsi="宋体"/>
        </w:rPr>
        <w:t>有成熟且完整的网络安全防护方案</w:t>
      </w:r>
      <w:r>
        <w:rPr>
          <w:rFonts w:hint="eastAsia" w:ascii="宋体" w:hAnsi="宋体"/>
          <w:lang w:eastAsia="zh-CN"/>
        </w:rPr>
        <w:t>，</w:t>
      </w:r>
      <w:r>
        <w:rPr>
          <w:rFonts w:hint="eastAsia" w:ascii="宋体" w:hAnsi="宋体"/>
          <w:lang w:val="en-US" w:eastAsia="zh-CN"/>
        </w:rPr>
        <w:t>因此本次将直接采购相关安全服务能力，以便满足平台对网络安全方面的要求。</w:t>
      </w:r>
    </w:p>
    <w:p w14:paraId="26759763">
      <w:pPr>
        <w:pStyle w:val="188"/>
        <w:spacing w:line="276" w:lineRule="auto"/>
        <w:rPr>
          <w:rFonts w:hint="default" w:ascii="宋体" w:hAnsi="宋体"/>
          <w:lang w:val="en-US" w:eastAsia="zh-CN"/>
        </w:rPr>
      </w:pPr>
      <w:r>
        <w:rPr>
          <w:rFonts w:hint="eastAsia" w:ascii="宋体" w:hAnsi="宋体" w:eastAsia="宋体"/>
          <w:sz w:val="24"/>
          <w:szCs w:val="24"/>
          <w:lang w:val="en-US" w:eastAsia="zh-CN"/>
        </w:rPr>
        <w:t>后续等大丰区政务云建设完成后</w:t>
      </w:r>
      <w:r>
        <w:rPr>
          <w:rFonts w:hint="eastAsia" w:ascii="宋体" w:hAnsi="宋体"/>
          <w:sz w:val="24"/>
          <w:szCs w:val="24"/>
          <w:lang w:val="en-US" w:eastAsia="zh-CN"/>
        </w:rPr>
        <w:t>，系统迁移至大丰政务云平台中，将由大丰区城市管理局向大丰区数据局申</w:t>
      </w:r>
      <w:r>
        <w:rPr>
          <w:rFonts w:hint="eastAsia" w:ascii="宋体" w:hAnsi="宋体" w:eastAsia="宋体" w:cs="Times New Roman"/>
          <w:sz w:val="24"/>
          <w:szCs w:val="24"/>
          <w:lang w:val="en-US" w:eastAsia="zh-CN"/>
        </w:rPr>
        <w:t>请</w:t>
      </w:r>
      <w:r>
        <w:rPr>
          <w:rFonts w:hint="eastAsia" w:ascii="宋体" w:hAnsi="宋体" w:cs="Times New Roman"/>
          <w:sz w:val="24"/>
          <w:szCs w:val="24"/>
          <w:lang w:val="en-US" w:eastAsia="zh-CN"/>
        </w:rPr>
        <w:t>由政务提供相应的</w:t>
      </w:r>
      <w:r>
        <w:rPr>
          <w:rFonts w:hint="eastAsia" w:ascii="宋体" w:hAnsi="宋体" w:eastAsia="宋体" w:cs="Times New Roman"/>
          <w:sz w:val="24"/>
          <w:szCs w:val="24"/>
          <w:lang w:val="en-US" w:eastAsia="zh-CN"/>
        </w:rPr>
        <w:t>信息安全防护</w:t>
      </w:r>
      <w:r>
        <w:rPr>
          <w:rFonts w:hint="eastAsia" w:ascii="宋体" w:hAnsi="宋体" w:cs="Times New Roman"/>
          <w:sz w:val="24"/>
          <w:szCs w:val="24"/>
          <w:lang w:val="en-US" w:eastAsia="zh-CN"/>
        </w:rPr>
        <w:t>服务。</w:t>
      </w:r>
    </w:p>
    <w:p w14:paraId="726B971D">
      <w:pPr>
        <w:pStyle w:val="7"/>
        <w:rPr>
          <w:rFonts w:hint="eastAsia"/>
        </w:rPr>
      </w:pPr>
      <w:bookmarkStart w:id="61" w:name="_Toc13144"/>
      <w:r>
        <w:rPr>
          <w:rFonts w:hint="eastAsia"/>
        </w:rPr>
        <w:t>物理环境安全分析</w:t>
      </w:r>
      <w:bookmarkEnd w:id="61"/>
    </w:p>
    <w:p w14:paraId="23ED83BE">
      <w:pPr>
        <w:pStyle w:val="188"/>
        <w:spacing w:line="276" w:lineRule="auto"/>
        <w:rPr>
          <w:rFonts w:hint="default" w:ascii="宋体" w:hAnsi="宋体" w:eastAsia="宋体"/>
          <w:lang w:val="en-US" w:eastAsia="zh-CN"/>
        </w:rPr>
      </w:pPr>
      <w:r>
        <w:rPr>
          <w:rFonts w:hint="eastAsia" w:ascii="宋体" w:hAnsi="宋体"/>
        </w:rPr>
        <w:t>大丰区</w:t>
      </w:r>
      <w:r>
        <w:rPr>
          <w:rFonts w:ascii="宋体" w:hAnsi="宋体"/>
        </w:rPr>
        <w:t>运行管理服务平台</w:t>
      </w:r>
      <w:r>
        <w:rPr>
          <w:rFonts w:hint="eastAsia" w:ascii="宋体" w:hAnsi="宋体"/>
          <w:lang w:val="en-US" w:eastAsia="zh-CN"/>
        </w:rPr>
        <w:t>前期</w:t>
      </w:r>
      <w:r>
        <w:rPr>
          <w:rFonts w:hint="eastAsia" w:ascii="宋体" w:hAnsi="宋体"/>
        </w:rPr>
        <w:t>部署在</w:t>
      </w:r>
      <w:r>
        <w:rPr>
          <w:rFonts w:hint="eastAsia" w:ascii="宋体" w:hAnsi="宋体"/>
          <w:lang w:val="en-US" w:eastAsia="zh-CN"/>
        </w:rPr>
        <w:t>商务</w:t>
      </w:r>
      <w:r>
        <w:rPr>
          <w:rFonts w:hint="eastAsia" w:ascii="宋体" w:hAnsi="宋体"/>
        </w:rPr>
        <w:t>云机房</w:t>
      </w:r>
      <w:r>
        <w:rPr>
          <w:rFonts w:ascii="宋体" w:hAnsi="宋体"/>
        </w:rPr>
        <w:t>，已由</w:t>
      </w:r>
      <w:r>
        <w:rPr>
          <w:rFonts w:hint="eastAsia" w:ascii="宋体" w:hAnsi="宋体"/>
        </w:rPr>
        <w:t>云</w:t>
      </w:r>
      <w:r>
        <w:rPr>
          <w:rFonts w:hint="eastAsia" w:ascii="宋体" w:hAnsi="宋体"/>
          <w:lang w:val="en-US" w:eastAsia="zh-CN"/>
        </w:rPr>
        <w:t>平台</w:t>
      </w:r>
      <w:r>
        <w:rPr>
          <w:rFonts w:hint="eastAsia" w:ascii="宋体" w:hAnsi="宋体"/>
        </w:rPr>
        <w:t>运营单位</w:t>
      </w:r>
      <w:r>
        <w:rPr>
          <w:rFonts w:ascii="宋体" w:hAnsi="宋体"/>
        </w:rPr>
        <w:t>按照标准对网络安全进行了防护，</w:t>
      </w:r>
      <w:r>
        <w:rPr>
          <w:rFonts w:hint="eastAsia" w:ascii="宋体" w:hAnsi="宋体"/>
        </w:rPr>
        <w:t>该机房物理和环境安全由云</w:t>
      </w:r>
      <w:r>
        <w:rPr>
          <w:rFonts w:hint="eastAsia" w:ascii="宋体" w:hAnsi="宋体"/>
          <w:lang w:val="en-US" w:eastAsia="zh-CN"/>
        </w:rPr>
        <w:t>平台</w:t>
      </w:r>
      <w:r>
        <w:rPr>
          <w:rFonts w:hint="eastAsia" w:ascii="宋体" w:hAnsi="宋体"/>
        </w:rPr>
        <w:t>运营单位统一负责，物理和环境安全层面不存在安全风险。</w:t>
      </w:r>
      <w:r>
        <w:rPr>
          <w:rFonts w:hint="eastAsia" w:ascii="宋体" w:hAnsi="宋体"/>
          <w:lang w:val="en-US" w:eastAsia="zh-CN"/>
        </w:rPr>
        <w:t>后期</w:t>
      </w:r>
      <w:r>
        <w:rPr>
          <w:rFonts w:hint="eastAsia" w:ascii="宋体" w:hAnsi="宋体" w:eastAsia="宋体"/>
          <w:sz w:val="24"/>
          <w:szCs w:val="24"/>
          <w:lang w:val="en-US" w:eastAsia="zh-CN"/>
        </w:rPr>
        <w:t>等大丰区政务云建设完成后</w:t>
      </w:r>
      <w:r>
        <w:rPr>
          <w:rFonts w:hint="eastAsia" w:ascii="宋体" w:hAnsi="宋体"/>
          <w:sz w:val="24"/>
          <w:szCs w:val="24"/>
          <w:lang w:val="en-US" w:eastAsia="zh-CN"/>
        </w:rPr>
        <w:t>，系统迁移至大丰政务云平台中，将由政务云运营单位统一提供相关安全服务。</w:t>
      </w:r>
    </w:p>
    <w:p w14:paraId="6C0B3A86">
      <w:pPr>
        <w:pStyle w:val="7"/>
        <w:rPr>
          <w:rFonts w:hint="eastAsia"/>
        </w:rPr>
      </w:pPr>
      <w:bookmarkStart w:id="62" w:name="_Toc26968"/>
      <w:r>
        <w:rPr>
          <w:rFonts w:hint="eastAsia"/>
        </w:rPr>
        <w:t>通信网络（传输）安全分析</w:t>
      </w:r>
      <w:bookmarkEnd w:id="62"/>
    </w:p>
    <w:p w14:paraId="343EACF4">
      <w:pPr>
        <w:pStyle w:val="188"/>
        <w:spacing w:line="276" w:lineRule="auto"/>
        <w:rPr>
          <w:rFonts w:hint="eastAsia" w:ascii="宋体" w:hAnsi="宋体"/>
        </w:rPr>
      </w:pPr>
      <w:r>
        <w:rPr>
          <w:rFonts w:ascii="宋体" w:hAnsi="宋体"/>
        </w:rPr>
        <w:t>应</w:t>
      </w:r>
      <w:r>
        <w:rPr>
          <w:rFonts w:hint="eastAsia" w:ascii="宋体" w:hAnsi="宋体"/>
        </w:rPr>
        <w:t>通过加密技术、安全协议（如 TLS）及访问控制策略实现传输通道防护确保符合 GB/T 39786-2021 等标准要求，形成覆盖传输全生命周期的安全防护与持续监测能力。</w:t>
      </w:r>
    </w:p>
    <w:p w14:paraId="6E42E23F">
      <w:pPr>
        <w:pStyle w:val="7"/>
        <w:rPr>
          <w:rFonts w:hint="eastAsia"/>
        </w:rPr>
      </w:pPr>
      <w:bookmarkStart w:id="63" w:name="_Toc20639"/>
      <w:r>
        <w:rPr>
          <w:rFonts w:hint="eastAsia"/>
        </w:rPr>
        <w:t>边界安全分析</w:t>
      </w:r>
      <w:bookmarkEnd w:id="63"/>
    </w:p>
    <w:p w14:paraId="1FF4286F">
      <w:pPr>
        <w:pStyle w:val="188"/>
        <w:spacing w:line="276" w:lineRule="auto"/>
        <w:rPr>
          <w:rFonts w:hint="eastAsia" w:ascii="宋体" w:hAnsi="宋体" w:eastAsia="宋体"/>
          <w:lang w:eastAsia="zh-CN"/>
        </w:rPr>
      </w:pPr>
      <w:r>
        <w:rPr>
          <w:rFonts w:hint="eastAsia" w:ascii="宋体" w:hAnsi="宋体"/>
        </w:rPr>
        <w:t>应在网络边界或区域之间根据访问控制策略设置访问控制规则，默认情况下除允许通信外受控接口</w:t>
      </w:r>
      <w:r>
        <w:rPr>
          <w:rFonts w:ascii="宋体" w:hAnsi="宋体"/>
        </w:rPr>
        <w:t>拒</w:t>
      </w:r>
      <w:r>
        <w:rPr>
          <w:rFonts w:hint="eastAsia" w:ascii="宋体" w:hAnsi="宋体"/>
        </w:rPr>
        <w:t>绝所有通信</w:t>
      </w:r>
      <w:r>
        <w:rPr>
          <w:rFonts w:hint="eastAsia" w:ascii="宋体" w:hAnsi="宋体"/>
          <w:lang w:eastAsia="zh-CN"/>
        </w:rPr>
        <w:t>。</w:t>
      </w:r>
    </w:p>
    <w:p w14:paraId="3B3EA04F">
      <w:pPr>
        <w:pStyle w:val="7"/>
        <w:rPr>
          <w:rFonts w:hint="eastAsia"/>
        </w:rPr>
      </w:pPr>
      <w:bookmarkStart w:id="64" w:name="_Toc2592"/>
      <w:r>
        <w:rPr>
          <w:rFonts w:hint="eastAsia"/>
        </w:rPr>
        <w:t>系统安全分析</w:t>
      </w:r>
      <w:bookmarkEnd w:id="64"/>
    </w:p>
    <w:p w14:paraId="064511AF">
      <w:pPr>
        <w:pStyle w:val="188"/>
        <w:spacing w:line="276" w:lineRule="auto"/>
        <w:rPr>
          <w:rFonts w:hint="eastAsia" w:ascii="宋体" w:hAnsi="宋体"/>
        </w:rPr>
      </w:pPr>
      <w:r>
        <w:rPr>
          <w:rFonts w:ascii="宋体" w:hAnsi="宋体"/>
        </w:rPr>
        <w:t>应</w:t>
      </w:r>
      <w:r>
        <w:rPr>
          <w:rFonts w:hint="eastAsia" w:ascii="宋体" w:hAnsi="宋体"/>
        </w:rPr>
        <w:t>通过双因素认证与动态授权实现业务身份鉴别及细粒度访问控制；建立全业务链路安全审计日志，采用</w:t>
      </w:r>
      <w:r>
        <w:rPr>
          <w:rFonts w:ascii="宋体" w:hAnsi="宋体"/>
        </w:rPr>
        <w:t>统一身份认证平台对用户信息进行认证</w:t>
      </w:r>
      <w:r>
        <w:rPr>
          <w:rFonts w:hint="eastAsia" w:ascii="宋体" w:hAnsi="宋体"/>
        </w:rPr>
        <w:t>；制定分级备份策略确保核心业务流程数据可快速恢复；同时需遵循《个人信息保护法》及 GB/T 39786-2021 要求，建立用户信息生命周期保护机制，并通过渗透测试与业务连续性演练持续优化安全策略，形成覆盖业务身份、访问控制、攻击防御、数 据保护、业务恢复及合规治理的全</w:t>
      </w:r>
      <w:r>
        <w:rPr>
          <w:rFonts w:ascii="宋体" w:hAnsi="宋体"/>
        </w:rPr>
        <w:t>栈</w:t>
      </w:r>
      <w:r>
        <w:rPr>
          <w:rFonts w:hint="eastAsia" w:ascii="宋体" w:hAnsi="宋体"/>
        </w:rPr>
        <w:t>安全闭环。</w:t>
      </w:r>
    </w:p>
    <w:p w14:paraId="3CC3D080">
      <w:pPr>
        <w:pStyle w:val="7"/>
        <w:rPr>
          <w:rFonts w:hint="eastAsia"/>
        </w:rPr>
      </w:pPr>
      <w:bookmarkStart w:id="65" w:name="_Toc177133081"/>
      <w:bookmarkStart w:id="66" w:name="_Toc11791"/>
      <w:r>
        <w:rPr>
          <w:rFonts w:hint="eastAsia"/>
        </w:rPr>
        <w:t>入侵检测</w:t>
      </w:r>
      <w:bookmarkEnd w:id="65"/>
      <w:r>
        <w:rPr>
          <w:rFonts w:hint="eastAsia"/>
        </w:rPr>
        <w:t>（</w:t>
      </w:r>
      <w:r>
        <w:rPr>
          <w:rFonts w:hint="eastAsia" w:ascii="宋体" w:hAnsi="宋体"/>
        </w:rPr>
        <w:t>云</w:t>
      </w:r>
      <w:r>
        <w:rPr>
          <w:rFonts w:hint="eastAsia"/>
          <w:lang w:val="en-US" w:eastAsia="zh-CN"/>
        </w:rPr>
        <w:t>平台提供相应服务</w:t>
      </w:r>
      <w:r>
        <w:rPr>
          <w:rFonts w:hint="eastAsia"/>
        </w:rPr>
        <w:t>）</w:t>
      </w:r>
      <w:bookmarkEnd w:id="66"/>
    </w:p>
    <w:p w14:paraId="143AD4BA">
      <w:pPr>
        <w:pStyle w:val="188"/>
        <w:spacing w:line="276" w:lineRule="auto"/>
        <w:rPr>
          <w:rFonts w:hint="eastAsia" w:ascii="宋体" w:hAnsi="宋体"/>
        </w:rPr>
      </w:pPr>
      <w:r>
        <w:rPr>
          <w:rFonts w:hint="eastAsia" w:ascii="宋体" w:hAnsi="宋体"/>
        </w:rPr>
        <w:t>入侵监测需要包括入侵检测和服务</w:t>
      </w:r>
      <w:r>
        <w:rPr>
          <w:rFonts w:hint="eastAsia" w:ascii="宋体" w:hAnsi="宋体" w:cs="仿宋_GB2312"/>
          <w:kern w:val="0"/>
        </w:rPr>
        <w:t>拒绝型攻击探测引擎，可以自动识别各种入侵模式，在对网络数据进行分析时与这些模式进行匹配，一旦发现某些入侵的企图，就会进行报警。</w:t>
      </w:r>
    </w:p>
    <w:p w14:paraId="358D12C1">
      <w:pPr>
        <w:pStyle w:val="7"/>
        <w:rPr>
          <w:rFonts w:hint="eastAsia"/>
        </w:rPr>
      </w:pPr>
      <w:bookmarkStart w:id="67" w:name="_Toc177133082"/>
      <w:bookmarkStart w:id="68" w:name="_Toc13725"/>
      <w:r>
        <w:rPr>
          <w:rFonts w:hint="eastAsia"/>
        </w:rPr>
        <w:t>审计系统</w:t>
      </w:r>
      <w:bookmarkEnd w:id="67"/>
      <w:r>
        <w:rPr>
          <w:rFonts w:hint="eastAsia"/>
        </w:rPr>
        <w:t>（</w:t>
      </w:r>
      <w:r>
        <w:rPr>
          <w:rFonts w:hint="eastAsia" w:ascii="宋体" w:hAnsi="宋体"/>
        </w:rPr>
        <w:t>云</w:t>
      </w:r>
      <w:r>
        <w:rPr>
          <w:rFonts w:hint="eastAsia"/>
          <w:lang w:val="en-US" w:eastAsia="zh-CN"/>
        </w:rPr>
        <w:t>平台提供相应服务</w:t>
      </w:r>
      <w:r>
        <w:rPr>
          <w:rFonts w:hint="eastAsia"/>
        </w:rPr>
        <w:t>）</w:t>
      </w:r>
      <w:bookmarkEnd w:id="68"/>
    </w:p>
    <w:p w14:paraId="5A077B6B">
      <w:pPr>
        <w:pStyle w:val="188"/>
        <w:spacing w:line="276" w:lineRule="auto"/>
        <w:rPr>
          <w:rFonts w:hint="eastAsia" w:ascii="宋体" w:hAnsi="宋体"/>
        </w:rPr>
      </w:pPr>
      <w:r>
        <w:rPr>
          <w:rFonts w:hint="eastAsia" w:ascii="宋体" w:hAnsi="宋体" w:cs="仿宋_GB2312"/>
          <w:kern w:val="0"/>
        </w:rPr>
        <w:t>要</w:t>
      </w:r>
      <w:r>
        <w:rPr>
          <w:rFonts w:ascii="宋体" w:hAnsi="宋体" w:cs="仿宋_GB2312"/>
          <w:kern w:val="0"/>
        </w:rPr>
        <w:t>加强</w:t>
      </w:r>
      <w:r>
        <w:rPr>
          <w:rFonts w:hint="eastAsia" w:ascii="宋体" w:hAnsi="宋体" w:cs="仿宋_GB2312"/>
          <w:kern w:val="0"/>
        </w:rPr>
        <w:t>对用户访问网络、用户主机及</w:t>
      </w:r>
      <w:r>
        <w:rPr>
          <w:rFonts w:ascii="宋体" w:hAnsi="宋体" w:cs="仿宋_GB2312"/>
          <w:kern w:val="0"/>
        </w:rPr>
        <w:t>数据库的日志和审计策略：设定产生详细的日志信息并定期审核，查看是否有</w:t>
      </w:r>
      <w:r>
        <w:rPr>
          <w:rFonts w:hint="eastAsia" w:ascii="宋体" w:hAnsi="宋体" w:cs="仿宋_GB2312"/>
          <w:kern w:val="0"/>
        </w:rPr>
        <w:t>非正常</w:t>
      </w:r>
      <w:r>
        <w:rPr>
          <w:rFonts w:ascii="宋体" w:hAnsi="宋体" w:cs="仿宋_GB2312"/>
          <w:kern w:val="0"/>
        </w:rPr>
        <w:t>的活动和行为。</w:t>
      </w:r>
      <w:r>
        <w:rPr>
          <w:rFonts w:hint="eastAsia" w:ascii="宋体" w:hAnsi="宋体" w:cs="仿宋_GB2312"/>
          <w:kern w:val="0"/>
        </w:rPr>
        <w:t>本次网络建设复用金华市政务云的审计系统，审计记录需要包括对数据库服务器访问行为内容，包括查询、插入、创建、更新、删除、变更、事务操作等的记录；对网络访问历史记录的审计功能；对主机系统的审计功能。</w:t>
      </w:r>
    </w:p>
    <w:p w14:paraId="2983CC57">
      <w:pPr>
        <w:pStyle w:val="7"/>
        <w:rPr>
          <w:rFonts w:hint="eastAsia"/>
        </w:rPr>
      </w:pPr>
      <w:bookmarkStart w:id="69" w:name="_Toc177133083"/>
      <w:bookmarkStart w:id="70" w:name="_Toc22224"/>
      <w:r>
        <w:rPr>
          <w:rFonts w:hint="eastAsia"/>
        </w:rPr>
        <w:t>漏洞扫描</w:t>
      </w:r>
      <w:bookmarkEnd w:id="69"/>
      <w:r>
        <w:rPr>
          <w:rFonts w:hint="eastAsia"/>
        </w:rPr>
        <w:t>（</w:t>
      </w:r>
      <w:r>
        <w:rPr>
          <w:rFonts w:hint="eastAsia" w:ascii="宋体" w:hAnsi="宋体"/>
        </w:rPr>
        <w:t>云</w:t>
      </w:r>
      <w:r>
        <w:rPr>
          <w:rFonts w:hint="eastAsia"/>
          <w:lang w:val="en-US" w:eastAsia="zh-CN"/>
        </w:rPr>
        <w:t>平台提供相应服务</w:t>
      </w:r>
      <w:r>
        <w:rPr>
          <w:rFonts w:hint="eastAsia"/>
        </w:rPr>
        <w:t>）</w:t>
      </w:r>
      <w:bookmarkEnd w:id="70"/>
    </w:p>
    <w:p w14:paraId="57273259">
      <w:pPr>
        <w:pStyle w:val="188"/>
        <w:spacing w:line="276" w:lineRule="auto"/>
        <w:rPr>
          <w:rFonts w:hint="eastAsia" w:ascii="宋体" w:hAnsi="宋体" w:cs="仿宋_GB2312"/>
          <w:kern w:val="0"/>
        </w:rPr>
      </w:pPr>
      <w:r>
        <w:rPr>
          <w:rFonts w:hint="eastAsia" w:ascii="宋体" w:hAnsi="宋体"/>
        </w:rPr>
        <w:t>漏洞扫描需要复用政务云的漏洞扫描方案，包括</w:t>
      </w:r>
      <w:r>
        <w:rPr>
          <w:rFonts w:hint="eastAsia" w:ascii="宋体" w:hAnsi="宋体" w:cs="仿宋_GB2312"/>
          <w:kern w:val="0"/>
        </w:rPr>
        <w:t>被动式策略和主动式策略。所谓被动式策略就是基于主机之上，对系统中不合适的设置，脆弱的口令以及其他同安全规则抵触的对象进行检查；而主动式策略是基于网络的，它通过执行一些脚本文件模拟对系统进行攻击的行为并记录系统的反应，从而发现其中的漏洞。利用被动式策略扫描称为系统安全扫描，利用主动式策略扫描称为网络安全扫描。</w:t>
      </w:r>
    </w:p>
    <w:p w14:paraId="36D67FD7">
      <w:pPr>
        <w:pStyle w:val="7"/>
        <w:rPr>
          <w:rFonts w:hint="eastAsia"/>
        </w:rPr>
      </w:pPr>
      <w:bookmarkStart w:id="71" w:name="_Toc177133084"/>
      <w:bookmarkStart w:id="72" w:name="_Toc21968"/>
      <w:r>
        <w:rPr>
          <w:rFonts w:hint="eastAsia"/>
        </w:rPr>
        <w:t>终端安全软件</w:t>
      </w:r>
      <w:bookmarkEnd w:id="71"/>
      <w:r>
        <w:rPr>
          <w:rFonts w:hint="eastAsia"/>
        </w:rPr>
        <w:t>（</w:t>
      </w:r>
      <w:r>
        <w:rPr>
          <w:rFonts w:hint="eastAsia"/>
          <w:lang w:val="en-US" w:eastAsia="zh-CN"/>
        </w:rPr>
        <w:t>云平台提供相应服务</w:t>
      </w:r>
      <w:r>
        <w:rPr>
          <w:rFonts w:hint="eastAsia"/>
        </w:rPr>
        <w:t>）</w:t>
      </w:r>
      <w:bookmarkEnd w:id="72"/>
    </w:p>
    <w:p w14:paraId="726C1EDD">
      <w:pPr>
        <w:pStyle w:val="188"/>
        <w:spacing w:line="276" w:lineRule="auto"/>
        <w:rPr>
          <w:rFonts w:hint="eastAsia" w:ascii="宋体" w:hAnsi="宋体" w:cs="仿宋_GB2312"/>
          <w:kern w:val="0"/>
        </w:rPr>
      </w:pPr>
      <w:r>
        <w:rPr>
          <w:rFonts w:hint="eastAsia" w:ascii="宋体" w:hAnsi="宋体" w:cs="仿宋_GB2312"/>
          <w:kern w:val="0"/>
        </w:rPr>
        <w:t>网络安全除了被动应对各种外部威胁，最主要的工作在与主动对接入网络终端进行管理，只有加强了终端管理，才能够积极主动的防范新的不断涌现安全威胁，日益肆虐的病毒和蠕虫，确保整个网络的安全、高效运行。</w:t>
      </w:r>
    </w:p>
    <w:p w14:paraId="312EA336">
      <w:pPr>
        <w:pStyle w:val="4"/>
        <w:rPr>
          <w:rFonts w:hint="eastAsia" w:ascii="宋体" w:hAnsi="宋体" w:eastAsia="宋体" w:cstheme="minorBidi"/>
          <w:b/>
          <w:bCs/>
          <w:kern w:val="44"/>
          <w:sz w:val="32"/>
          <w:szCs w:val="32"/>
          <w:lang w:val="en-US" w:eastAsia="zh-CN" w:bidi="ar-SA"/>
        </w:rPr>
      </w:pPr>
      <w:bookmarkStart w:id="73" w:name="_Toc21108"/>
      <w:r>
        <w:rPr>
          <w:rFonts w:hint="eastAsia" w:cstheme="minorBidi"/>
          <w:b/>
          <w:bCs/>
          <w:kern w:val="44"/>
          <w:sz w:val="32"/>
          <w:szCs w:val="32"/>
          <w:lang w:val="en-US" w:eastAsia="zh-CN" w:bidi="ar-SA"/>
        </w:rPr>
        <w:t>系统数据资源需求</w:t>
      </w:r>
      <w:bookmarkEnd w:id="73"/>
    </w:p>
    <w:p w14:paraId="277295ED">
      <w:pPr>
        <w:pStyle w:val="5"/>
        <w:rPr>
          <w:rFonts w:hint="eastAsia" w:ascii="宋体" w:hAnsi="宋体" w:eastAsia="宋体" w:cstheme="minorBidi"/>
          <w:b/>
          <w:bCs/>
          <w:kern w:val="2"/>
          <w:sz w:val="24"/>
          <w:szCs w:val="24"/>
          <w:lang w:val="en-US" w:eastAsia="zh-CN" w:bidi="ar-SA"/>
        </w:rPr>
      </w:pPr>
      <w:bookmarkStart w:id="74" w:name="_Toc19279"/>
      <w:r>
        <w:rPr>
          <w:rFonts w:hint="eastAsia" w:cstheme="minorBidi"/>
          <w:b/>
          <w:bCs/>
          <w:kern w:val="2"/>
          <w:sz w:val="24"/>
          <w:szCs w:val="24"/>
          <w:lang w:val="en-US" w:eastAsia="zh-CN" w:bidi="ar-SA"/>
        </w:rPr>
        <w:t>共享开放数据目录</w:t>
      </w:r>
      <w:bookmarkEnd w:id="74"/>
    </w:p>
    <w:p w14:paraId="2134A1C6">
      <w:pPr>
        <w:spacing w:line="276" w:lineRule="auto"/>
        <w:ind w:left="420"/>
        <w:rPr>
          <w:rFonts w:hint="eastAsia" w:ascii="宋体" w:hAnsi="宋体" w:eastAsia="宋体"/>
          <w:sz w:val="24"/>
          <w:szCs w:val="24"/>
        </w:rPr>
      </w:pPr>
      <w:r>
        <w:rPr>
          <w:rFonts w:hint="eastAsia" w:ascii="宋体" w:hAnsi="宋体" w:eastAsia="宋体"/>
          <w:sz w:val="24"/>
          <w:szCs w:val="24"/>
        </w:rPr>
        <w:t>以下是本次项目建设完成后可共享给其他局办的数据资源信息，详见附件3：</w:t>
      </w:r>
    </w:p>
    <w:tbl>
      <w:tblPr>
        <w:tblStyle w:val="90"/>
        <w:tblW w:w="0" w:type="auto"/>
        <w:tblInd w:w="0" w:type="dxa"/>
        <w:tblLayout w:type="autofit"/>
        <w:tblCellMar>
          <w:top w:w="0" w:type="dxa"/>
          <w:left w:w="108" w:type="dxa"/>
          <w:bottom w:w="0" w:type="dxa"/>
          <w:right w:w="108" w:type="dxa"/>
        </w:tblCellMar>
      </w:tblPr>
      <w:tblGrid>
        <w:gridCol w:w="685"/>
        <w:gridCol w:w="1371"/>
        <w:gridCol w:w="2051"/>
        <w:gridCol w:w="4415"/>
      </w:tblGrid>
      <w:tr w14:paraId="79ADB6F9">
        <w:tblPrEx>
          <w:tblCellMar>
            <w:top w:w="0" w:type="dxa"/>
            <w:left w:w="108" w:type="dxa"/>
            <w:bottom w:w="0" w:type="dxa"/>
            <w:right w:w="108" w:type="dxa"/>
          </w:tblCellMar>
        </w:tblPrEx>
        <w:trPr>
          <w:trHeight w:val="345" w:hRule="atLeast"/>
        </w:trPr>
        <w:tc>
          <w:tcPr>
            <w:tcW w:w="704" w:type="dxa"/>
            <w:tcBorders>
              <w:top w:val="single" w:color="auto" w:sz="4" w:space="0"/>
              <w:left w:val="single" w:color="auto" w:sz="4" w:space="0"/>
              <w:bottom w:val="single" w:color="auto" w:sz="4" w:space="0"/>
              <w:right w:val="single" w:color="auto" w:sz="4" w:space="0"/>
            </w:tcBorders>
            <w:vAlign w:val="center"/>
          </w:tcPr>
          <w:p w14:paraId="6C5EDFB4">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序号</w:t>
            </w:r>
          </w:p>
        </w:tc>
        <w:tc>
          <w:tcPr>
            <w:tcW w:w="1418" w:type="dxa"/>
            <w:tcBorders>
              <w:top w:val="single" w:color="auto" w:sz="4" w:space="0"/>
              <w:left w:val="nil"/>
              <w:bottom w:val="single" w:color="auto" w:sz="4" w:space="0"/>
              <w:right w:val="single" w:color="auto" w:sz="4" w:space="0"/>
            </w:tcBorders>
            <w:vAlign w:val="center"/>
          </w:tcPr>
          <w:p w14:paraId="22E0BD8C">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一级分类</w:t>
            </w:r>
          </w:p>
        </w:tc>
        <w:tc>
          <w:tcPr>
            <w:tcW w:w="2126" w:type="dxa"/>
            <w:tcBorders>
              <w:top w:val="single" w:color="auto" w:sz="4" w:space="0"/>
              <w:left w:val="nil"/>
              <w:bottom w:val="single" w:color="auto" w:sz="4" w:space="0"/>
              <w:right w:val="single" w:color="auto" w:sz="4" w:space="0"/>
            </w:tcBorders>
            <w:vAlign w:val="center"/>
          </w:tcPr>
          <w:p w14:paraId="6882DC5A">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二级分类</w:t>
            </w:r>
          </w:p>
        </w:tc>
        <w:tc>
          <w:tcPr>
            <w:tcW w:w="4586" w:type="dxa"/>
            <w:tcBorders>
              <w:top w:val="single" w:color="auto" w:sz="4" w:space="0"/>
              <w:left w:val="nil"/>
              <w:bottom w:val="single" w:color="auto" w:sz="4" w:space="0"/>
              <w:right w:val="single" w:color="auto" w:sz="4" w:space="0"/>
            </w:tcBorders>
            <w:vAlign w:val="center"/>
          </w:tcPr>
          <w:p w14:paraId="65FABB78">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解释说明</w:t>
            </w:r>
          </w:p>
        </w:tc>
      </w:tr>
      <w:tr w14:paraId="48AA4BD0">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21760E42">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w:t>
            </w:r>
          </w:p>
        </w:tc>
        <w:tc>
          <w:tcPr>
            <w:tcW w:w="1418" w:type="dxa"/>
            <w:vMerge w:val="restart"/>
            <w:tcBorders>
              <w:top w:val="nil"/>
              <w:left w:val="single" w:color="auto" w:sz="4" w:space="0"/>
              <w:bottom w:val="single" w:color="000000" w:sz="4" w:space="0"/>
              <w:right w:val="single" w:color="auto" w:sz="4" w:space="0"/>
            </w:tcBorders>
            <w:noWrap/>
            <w:vAlign w:val="center"/>
          </w:tcPr>
          <w:p w14:paraId="61C9D524">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城市管理基础数据</w:t>
            </w:r>
          </w:p>
        </w:tc>
        <w:tc>
          <w:tcPr>
            <w:tcW w:w="2126" w:type="dxa"/>
            <w:tcBorders>
              <w:top w:val="nil"/>
              <w:left w:val="nil"/>
              <w:bottom w:val="single" w:color="auto" w:sz="4" w:space="0"/>
              <w:right w:val="single" w:color="auto" w:sz="4" w:space="0"/>
            </w:tcBorders>
            <w:noWrap/>
            <w:vAlign w:val="center"/>
          </w:tcPr>
          <w:p w14:paraId="1C1C5278">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地理数据普查数据</w:t>
            </w:r>
          </w:p>
        </w:tc>
        <w:tc>
          <w:tcPr>
            <w:tcW w:w="4586" w:type="dxa"/>
            <w:tcBorders>
              <w:top w:val="nil"/>
              <w:left w:val="nil"/>
              <w:bottom w:val="single" w:color="auto" w:sz="4" w:space="0"/>
              <w:right w:val="single" w:color="auto" w:sz="4" w:space="0"/>
            </w:tcBorders>
            <w:vAlign w:val="center"/>
          </w:tcPr>
          <w:p w14:paraId="3E610EDC">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城管局地理普查数据，包括责任网格数据等。</w:t>
            </w:r>
          </w:p>
        </w:tc>
      </w:tr>
      <w:tr w14:paraId="34821ECA">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5AC4F731">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2</w:t>
            </w:r>
          </w:p>
        </w:tc>
        <w:tc>
          <w:tcPr>
            <w:tcW w:w="1418" w:type="dxa"/>
            <w:vMerge w:val="continue"/>
            <w:tcBorders>
              <w:top w:val="nil"/>
              <w:left w:val="single" w:color="auto" w:sz="4" w:space="0"/>
              <w:bottom w:val="single" w:color="000000" w:sz="4" w:space="0"/>
              <w:right w:val="single" w:color="auto" w:sz="4" w:space="0"/>
            </w:tcBorders>
            <w:vAlign w:val="center"/>
          </w:tcPr>
          <w:p w14:paraId="550E795C">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16FB7823">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视频数据</w:t>
            </w:r>
          </w:p>
        </w:tc>
        <w:tc>
          <w:tcPr>
            <w:tcW w:w="4586" w:type="dxa"/>
            <w:tcBorders>
              <w:top w:val="nil"/>
              <w:left w:val="nil"/>
              <w:bottom w:val="single" w:color="auto" w:sz="4" w:space="0"/>
              <w:right w:val="single" w:color="auto" w:sz="4" w:space="0"/>
            </w:tcBorders>
            <w:vAlign w:val="center"/>
          </w:tcPr>
          <w:p w14:paraId="068A2F18">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城管自建视频监控</w:t>
            </w:r>
          </w:p>
        </w:tc>
      </w:tr>
      <w:tr w14:paraId="5800D1A5">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696660B9">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3</w:t>
            </w:r>
          </w:p>
        </w:tc>
        <w:tc>
          <w:tcPr>
            <w:tcW w:w="1418" w:type="dxa"/>
            <w:vMerge w:val="restart"/>
            <w:tcBorders>
              <w:top w:val="nil"/>
              <w:left w:val="single" w:color="auto" w:sz="4" w:space="0"/>
              <w:bottom w:val="single" w:color="000000" w:sz="4" w:space="0"/>
              <w:right w:val="single" w:color="auto" w:sz="4" w:space="0"/>
            </w:tcBorders>
            <w:noWrap/>
            <w:vAlign w:val="center"/>
          </w:tcPr>
          <w:p w14:paraId="1FE84E99">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城市部件事件监管数据</w:t>
            </w:r>
          </w:p>
        </w:tc>
        <w:tc>
          <w:tcPr>
            <w:tcW w:w="2126" w:type="dxa"/>
            <w:tcBorders>
              <w:top w:val="nil"/>
              <w:left w:val="nil"/>
              <w:bottom w:val="single" w:color="auto" w:sz="4" w:space="0"/>
              <w:right w:val="single" w:color="auto" w:sz="4" w:space="0"/>
            </w:tcBorders>
            <w:noWrap/>
            <w:vAlign w:val="center"/>
          </w:tcPr>
          <w:p w14:paraId="1238C885">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部件数据</w:t>
            </w:r>
          </w:p>
        </w:tc>
        <w:tc>
          <w:tcPr>
            <w:tcW w:w="4586" w:type="dxa"/>
            <w:tcBorders>
              <w:top w:val="nil"/>
              <w:left w:val="nil"/>
              <w:bottom w:val="single" w:color="auto" w:sz="4" w:space="0"/>
              <w:right w:val="single" w:color="auto" w:sz="4" w:space="0"/>
            </w:tcBorders>
            <w:vAlign w:val="center"/>
          </w:tcPr>
          <w:p w14:paraId="5D9C543E">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大丰区城市管理部件数据，包括名称、主管部门、养护单位等。</w:t>
            </w:r>
          </w:p>
        </w:tc>
      </w:tr>
      <w:tr w14:paraId="340C6ECE">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477AAA8B">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4</w:t>
            </w:r>
          </w:p>
        </w:tc>
        <w:tc>
          <w:tcPr>
            <w:tcW w:w="1418" w:type="dxa"/>
            <w:vMerge w:val="continue"/>
            <w:tcBorders>
              <w:top w:val="nil"/>
              <w:left w:val="single" w:color="auto" w:sz="4" w:space="0"/>
              <w:bottom w:val="single" w:color="000000" w:sz="4" w:space="0"/>
              <w:right w:val="single" w:color="auto" w:sz="4" w:space="0"/>
            </w:tcBorders>
            <w:vAlign w:val="center"/>
          </w:tcPr>
          <w:p w14:paraId="7E7057C5">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5C9EDC2A">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业务运行数据</w:t>
            </w:r>
          </w:p>
        </w:tc>
        <w:tc>
          <w:tcPr>
            <w:tcW w:w="4586" w:type="dxa"/>
            <w:tcBorders>
              <w:top w:val="nil"/>
              <w:left w:val="nil"/>
              <w:bottom w:val="single" w:color="auto" w:sz="4" w:space="0"/>
              <w:right w:val="single" w:color="auto" w:sz="4" w:space="0"/>
            </w:tcBorders>
            <w:vAlign w:val="bottom"/>
          </w:tcPr>
          <w:p w14:paraId="16360E08">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案件数据、人员活动数据、车辆运行数据等。</w:t>
            </w:r>
          </w:p>
        </w:tc>
      </w:tr>
      <w:tr w14:paraId="65A5B42B">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523DF660">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5</w:t>
            </w:r>
          </w:p>
        </w:tc>
        <w:tc>
          <w:tcPr>
            <w:tcW w:w="1418" w:type="dxa"/>
            <w:vMerge w:val="continue"/>
            <w:tcBorders>
              <w:top w:val="nil"/>
              <w:left w:val="single" w:color="auto" w:sz="4" w:space="0"/>
              <w:bottom w:val="single" w:color="000000" w:sz="4" w:space="0"/>
              <w:right w:val="single" w:color="auto" w:sz="4" w:space="0"/>
            </w:tcBorders>
            <w:vAlign w:val="center"/>
          </w:tcPr>
          <w:p w14:paraId="11DE856A">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32EA2F84">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统计数据</w:t>
            </w:r>
          </w:p>
        </w:tc>
        <w:tc>
          <w:tcPr>
            <w:tcW w:w="4586" w:type="dxa"/>
            <w:tcBorders>
              <w:top w:val="nil"/>
              <w:left w:val="nil"/>
              <w:bottom w:val="single" w:color="auto" w:sz="4" w:space="0"/>
              <w:right w:val="single" w:color="auto" w:sz="4" w:space="0"/>
            </w:tcBorders>
            <w:vAlign w:val="bottom"/>
          </w:tcPr>
          <w:p w14:paraId="0D9480D0">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包括区域、部件、网格、部门、人员以及问题来源、问题类别和问题状态等统计数据。</w:t>
            </w:r>
          </w:p>
        </w:tc>
      </w:tr>
      <w:tr w14:paraId="5A17BC94">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00FAD602">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6</w:t>
            </w:r>
          </w:p>
        </w:tc>
        <w:tc>
          <w:tcPr>
            <w:tcW w:w="1418" w:type="dxa"/>
            <w:vMerge w:val="continue"/>
            <w:tcBorders>
              <w:top w:val="nil"/>
              <w:left w:val="single" w:color="auto" w:sz="4" w:space="0"/>
              <w:bottom w:val="single" w:color="000000" w:sz="4" w:space="0"/>
              <w:right w:val="single" w:color="auto" w:sz="4" w:space="0"/>
            </w:tcBorders>
            <w:vAlign w:val="center"/>
          </w:tcPr>
          <w:p w14:paraId="4A1D7EE9">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52F87524">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市容环卫数据</w:t>
            </w:r>
          </w:p>
        </w:tc>
        <w:tc>
          <w:tcPr>
            <w:tcW w:w="4586" w:type="dxa"/>
            <w:tcBorders>
              <w:top w:val="nil"/>
              <w:left w:val="nil"/>
              <w:bottom w:val="single" w:color="auto" w:sz="4" w:space="0"/>
              <w:right w:val="single" w:color="auto" w:sz="4" w:space="0"/>
            </w:tcBorders>
            <w:noWrap/>
            <w:vAlign w:val="center"/>
          </w:tcPr>
          <w:p w14:paraId="390C03EA">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环卫相关的人员、车辆、公厕、垃圾中转站等。</w:t>
            </w:r>
          </w:p>
        </w:tc>
      </w:tr>
      <w:tr w14:paraId="028064F1">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7F535FA5">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7</w:t>
            </w:r>
          </w:p>
        </w:tc>
        <w:tc>
          <w:tcPr>
            <w:tcW w:w="1418" w:type="dxa"/>
            <w:vMerge w:val="continue"/>
            <w:tcBorders>
              <w:top w:val="nil"/>
              <w:left w:val="single" w:color="auto" w:sz="4" w:space="0"/>
              <w:bottom w:val="single" w:color="000000" w:sz="4" w:space="0"/>
              <w:right w:val="single" w:color="auto" w:sz="4" w:space="0"/>
            </w:tcBorders>
            <w:vAlign w:val="center"/>
          </w:tcPr>
          <w:p w14:paraId="0E479A4A">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2C575050">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综合执法数据</w:t>
            </w:r>
          </w:p>
        </w:tc>
        <w:tc>
          <w:tcPr>
            <w:tcW w:w="4586" w:type="dxa"/>
            <w:tcBorders>
              <w:top w:val="nil"/>
              <w:left w:val="nil"/>
              <w:bottom w:val="single" w:color="auto" w:sz="4" w:space="0"/>
              <w:right w:val="single" w:color="auto" w:sz="4" w:space="0"/>
            </w:tcBorders>
            <w:noWrap/>
            <w:vAlign w:val="center"/>
          </w:tcPr>
          <w:p w14:paraId="352C18BF">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执法案件和执法案由等。</w:t>
            </w:r>
          </w:p>
        </w:tc>
      </w:tr>
      <w:tr w14:paraId="131B23A9">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2432F94F">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8</w:t>
            </w:r>
          </w:p>
        </w:tc>
        <w:tc>
          <w:tcPr>
            <w:tcW w:w="1418" w:type="dxa"/>
            <w:vMerge w:val="continue"/>
            <w:tcBorders>
              <w:top w:val="nil"/>
              <w:left w:val="single" w:color="auto" w:sz="4" w:space="0"/>
              <w:bottom w:val="single" w:color="000000" w:sz="4" w:space="0"/>
              <w:right w:val="single" w:color="auto" w:sz="4" w:space="0"/>
            </w:tcBorders>
            <w:vAlign w:val="center"/>
          </w:tcPr>
          <w:p w14:paraId="44DAEEA0">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597B1ACA">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渣土监管数据</w:t>
            </w:r>
          </w:p>
        </w:tc>
        <w:tc>
          <w:tcPr>
            <w:tcW w:w="4586" w:type="dxa"/>
            <w:tcBorders>
              <w:top w:val="nil"/>
              <w:left w:val="nil"/>
              <w:bottom w:val="single" w:color="auto" w:sz="4" w:space="0"/>
              <w:right w:val="single" w:color="auto" w:sz="4" w:space="0"/>
            </w:tcBorders>
            <w:noWrap/>
            <w:vAlign w:val="center"/>
          </w:tcPr>
          <w:p w14:paraId="5342C158">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渣土相关的车辆信息、车载视频、运输公司、审批数据等。</w:t>
            </w:r>
          </w:p>
        </w:tc>
      </w:tr>
      <w:tr w14:paraId="4975E1A3">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79CF5489">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9</w:t>
            </w:r>
          </w:p>
        </w:tc>
        <w:tc>
          <w:tcPr>
            <w:tcW w:w="1418" w:type="dxa"/>
            <w:vMerge w:val="continue"/>
            <w:tcBorders>
              <w:top w:val="nil"/>
              <w:left w:val="single" w:color="auto" w:sz="4" w:space="0"/>
              <w:bottom w:val="single" w:color="000000" w:sz="4" w:space="0"/>
              <w:right w:val="single" w:color="auto" w:sz="4" w:space="0"/>
            </w:tcBorders>
            <w:vAlign w:val="center"/>
          </w:tcPr>
          <w:p w14:paraId="5A049574">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7B572A63">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楼宇亮化数据</w:t>
            </w:r>
          </w:p>
        </w:tc>
        <w:tc>
          <w:tcPr>
            <w:tcW w:w="4586" w:type="dxa"/>
            <w:tcBorders>
              <w:top w:val="nil"/>
              <w:left w:val="nil"/>
              <w:bottom w:val="single" w:color="auto" w:sz="4" w:space="0"/>
              <w:right w:val="single" w:color="auto" w:sz="4" w:space="0"/>
            </w:tcBorders>
            <w:noWrap/>
            <w:vAlign w:val="center"/>
          </w:tcPr>
          <w:p w14:paraId="07383658">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设备总数、在线设备、离线设备、在线率等。</w:t>
            </w:r>
          </w:p>
        </w:tc>
      </w:tr>
      <w:tr w14:paraId="210EBD52">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378072E9">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10</w:t>
            </w:r>
          </w:p>
        </w:tc>
        <w:tc>
          <w:tcPr>
            <w:tcW w:w="1418" w:type="dxa"/>
            <w:vMerge w:val="continue"/>
            <w:tcBorders>
              <w:top w:val="nil"/>
              <w:left w:val="single" w:color="auto" w:sz="4" w:space="0"/>
              <w:bottom w:val="single" w:color="000000" w:sz="4" w:space="0"/>
              <w:right w:val="single" w:color="auto" w:sz="4" w:space="0"/>
            </w:tcBorders>
            <w:vAlign w:val="center"/>
          </w:tcPr>
          <w:p w14:paraId="6E579166">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2E636B92">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固废监管数据</w:t>
            </w:r>
          </w:p>
        </w:tc>
        <w:tc>
          <w:tcPr>
            <w:tcW w:w="4586" w:type="dxa"/>
            <w:tcBorders>
              <w:top w:val="nil"/>
              <w:left w:val="nil"/>
              <w:bottom w:val="single" w:color="auto" w:sz="4" w:space="0"/>
              <w:right w:val="single" w:color="auto" w:sz="4" w:space="0"/>
            </w:tcBorders>
            <w:noWrap/>
            <w:vAlign w:val="center"/>
          </w:tcPr>
          <w:p w14:paraId="30B4ECC4">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摄像头监控、地磅称重数据等。</w:t>
            </w:r>
          </w:p>
        </w:tc>
      </w:tr>
      <w:tr w14:paraId="15A35F21">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5AF6EF49">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11</w:t>
            </w:r>
          </w:p>
        </w:tc>
        <w:tc>
          <w:tcPr>
            <w:tcW w:w="1418" w:type="dxa"/>
            <w:vMerge w:val="continue"/>
            <w:tcBorders>
              <w:top w:val="nil"/>
              <w:left w:val="single" w:color="auto" w:sz="4" w:space="0"/>
              <w:bottom w:val="single" w:color="000000" w:sz="4" w:space="0"/>
              <w:right w:val="single" w:color="auto" w:sz="4" w:space="0"/>
            </w:tcBorders>
            <w:vAlign w:val="center"/>
          </w:tcPr>
          <w:p w14:paraId="05FF5F3C">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7CED67ED">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餐厨垃圾数据</w:t>
            </w:r>
          </w:p>
        </w:tc>
        <w:tc>
          <w:tcPr>
            <w:tcW w:w="4586" w:type="dxa"/>
            <w:tcBorders>
              <w:top w:val="nil"/>
              <w:left w:val="nil"/>
              <w:bottom w:val="single" w:color="auto" w:sz="4" w:space="0"/>
              <w:right w:val="single" w:color="auto" w:sz="4" w:space="0"/>
            </w:tcBorders>
            <w:vAlign w:val="bottom"/>
          </w:tcPr>
          <w:p w14:paraId="5BEA8E28">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日周月的垃圾收运数据、车辆运行轨迹数据等。</w:t>
            </w:r>
          </w:p>
        </w:tc>
      </w:tr>
    </w:tbl>
    <w:p w14:paraId="5E4FA59F">
      <w:pPr>
        <w:spacing w:line="276" w:lineRule="auto"/>
        <w:rPr>
          <w:rFonts w:hint="eastAsia" w:ascii="宋体" w:hAnsi="宋体" w:eastAsia="宋体"/>
          <w:sz w:val="24"/>
          <w:szCs w:val="24"/>
        </w:rPr>
      </w:pPr>
    </w:p>
    <w:p w14:paraId="46C31B80">
      <w:pPr>
        <w:pStyle w:val="4"/>
        <w:rPr>
          <w:rFonts w:hint="eastAsia"/>
        </w:rPr>
      </w:pPr>
      <w:bookmarkStart w:id="75" w:name="_Toc16729"/>
      <w:r>
        <w:rPr>
          <w:rFonts w:hint="eastAsia"/>
        </w:rPr>
        <w:t>项目建设方案</w:t>
      </w:r>
      <w:bookmarkEnd w:id="75"/>
    </w:p>
    <w:p w14:paraId="405C8623">
      <w:pPr>
        <w:pStyle w:val="5"/>
        <w:rPr>
          <w:rFonts w:hint="eastAsia"/>
        </w:rPr>
      </w:pPr>
      <w:bookmarkStart w:id="76" w:name="_Toc30358"/>
      <w:r>
        <w:rPr>
          <w:rFonts w:hint="eastAsia"/>
        </w:rPr>
        <w:t>总体思路</w:t>
      </w:r>
      <w:bookmarkEnd w:id="76"/>
    </w:p>
    <w:p w14:paraId="5DD437E4">
      <w:pPr>
        <w:pStyle w:val="7"/>
        <w:rPr>
          <w:rFonts w:hint="eastAsia"/>
        </w:rPr>
      </w:pPr>
      <w:bookmarkStart w:id="77" w:name="_Toc9537"/>
      <w:r>
        <w:rPr>
          <w:rFonts w:hint="eastAsia"/>
        </w:rPr>
        <w:t>总体建设思路</w:t>
      </w:r>
      <w:bookmarkEnd w:id="77"/>
    </w:p>
    <w:p w14:paraId="04B075AE">
      <w:pPr>
        <w:spacing w:line="276" w:lineRule="auto"/>
        <w:ind w:firstLine="420"/>
        <w:rPr>
          <w:rFonts w:hint="eastAsia" w:ascii="宋体" w:hAnsi="宋体" w:eastAsia="宋体"/>
          <w:sz w:val="24"/>
          <w:szCs w:val="24"/>
        </w:rPr>
      </w:pPr>
      <w:r>
        <w:rPr>
          <w:rFonts w:hint="eastAsia" w:ascii="宋体" w:hAnsi="宋体" w:eastAsia="宋体"/>
          <w:sz w:val="24"/>
          <w:szCs w:val="24"/>
        </w:rPr>
        <w:t>本次大丰区城市运行管理服务平台将基于盐城市城市运行管理服务平台进行本地化部署，运管服平台整体框架按照盐城市平台框架进行规划，其中业务应用将根据大丰区实际进行规划设计，本次大丰区主要业务应用将重点对垃圾分类、建筑垃圾业务进行拓展，复用现有数字城管、综合执法等系统，且由于盐城市已建设建筑垃圾监管平台，本次大丰区将开通账号直接复用盐城市建筑垃圾监管平台，为大丰区城市运行管理服务平台进行业务赋能和数据赋能。</w:t>
      </w:r>
    </w:p>
    <w:p w14:paraId="2365E428">
      <w:pPr>
        <w:pStyle w:val="7"/>
        <w:rPr>
          <w:rFonts w:hint="eastAsia"/>
        </w:rPr>
      </w:pPr>
      <w:bookmarkStart w:id="78" w:name="_Toc12492"/>
      <w:r>
        <w:rPr>
          <w:rFonts w:hint="eastAsia"/>
        </w:rPr>
        <w:t>总体设计</w:t>
      </w:r>
      <w:bookmarkEnd w:id="78"/>
    </w:p>
    <w:p w14:paraId="450E60DD">
      <w:pPr>
        <w:pStyle w:val="8"/>
        <w:rPr>
          <w:rFonts w:hint="eastAsia"/>
        </w:rPr>
      </w:pPr>
      <w:bookmarkStart w:id="79" w:name="_Toc148386099"/>
      <w:r>
        <w:rPr>
          <w:rFonts w:hint="eastAsia"/>
        </w:rPr>
        <w:t>统一领导，精心筹划</w:t>
      </w:r>
      <w:bookmarkEnd w:id="79"/>
    </w:p>
    <w:p w14:paraId="45F6A1D8">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是一项复杂的系统性工程，涉及城市管理业务监管工作的方方面面，必须有强有力的领导和组织机制，有效地协调好项目建设中的各项事务。精心筹划主要体现在对系统的建设需求进行详尽的调研、方案设计及实施过程力求精益求精，避免系统开发浮于表面，流于形式，与实际需求衔接不紧甚至脱节。</w:t>
      </w:r>
    </w:p>
    <w:p w14:paraId="41696F10">
      <w:pPr>
        <w:pStyle w:val="8"/>
        <w:rPr>
          <w:rFonts w:hint="eastAsia"/>
        </w:rPr>
      </w:pPr>
      <w:bookmarkStart w:id="80" w:name="_Toc148386100"/>
      <w:r>
        <w:rPr>
          <w:rFonts w:hint="eastAsia"/>
        </w:rPr>
        <w:t>统一标准、统一规范</w:t>
      </w:r>
      <w:bookmarkEnd w:id="80"/>
    </w:p>
    <w:p w14:paraId="2267E543">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大丰区城市运行管理服务平台项目的建设必须坚持统筹规划、有序发展的原则，克服无序、无规划的盲目发展，以及无标准、低水平的重复建设，按照统一标准与规范进行设计和建设。</w:t>
      </w:r>
    </w:p>
    <w:p w14:paraId="32660073">
      <w:pPr>
        <w:spacing w:line="276" w:lineRule="auto"/>
        <w:ind w:firstLine="420"/>
        <w:rPr>
          <w:rFonts w:hint="eastAsia" w:ascii="宋体" w:hAnsi="宋体" w:eastAsia="宋体"/>
          <w:sz w:val="24"/>
          <w:szCs w:val="24"/>
        </w:rPr>
      </w:pPr>
      <w:r>
        <w:rPr>
          <w:rFonts w:hint="eastAsia" w:ascii="宋体" w:hAnsi="宋体" w:eastAsia="宋体"/>
          <w:sz w:val="24"/>
          <w:szCs w:val="24"/>
        </w:rPr>
        <w:t>根据住建部“一指南四标准”设计建设，编制我区城市运行管理服务管理规范及行机制，包括但不局限于平台运行管理制度、高效处置机制、考评管理机制、运行监测机制、公众服务机制等。</w:t>
      </w:r>
    </w:p>
    <w:p w14:paraId="1F376C41">
      <w:pPr>
        <w:pStyle w:val="8"/>
        <w:rPr>
          <w:rFonts w:hint="eastAsia"/>
        </w:rPr>
      </w:pPr>
      <w:bookmarkStart w:id="81" w:name="_Toc148386101"/>
      <w:r>
        <w:rPr>
          <w:rFonts w:hint="eastAsia"/>
        </w:rPr>
        <w:t>内容全面，重点突出</w:t>
      </w:r>
      <w:bookmarkEnd w:id="81"/>
    </w:p>
    <w:p w14:paraId="29ADDE4D">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规划方案必须站在全局、整体的角度，充分考虑项目建设工作的方方面面，不能有所遗漏。面对大系统建设的各项工作，还须突出重点，抓住主要矛盾，做到纲举目张，从局部的重点出发，最终覆盖到整体。</w:t>
      </w:r>
    </w:p>
    <w:p w14:paraId="5658A768">
      <w:pPr>
        <w:pStyle w:val="8"/>
        <w:rPr>
          <w:rFonts w:hint="eastAsia"/>
        </w:rPr>
      </w:pPr>
      <w:bookmarkStart w:id="82" w:name="_Toc148386102"/>
      <w:r>
        <w:rPr>
          <w:rFonts w:hint="eastAsia"/>
        </w:rPr>
        <w:t>技术先进，架构合理</w:t>
      </w:r>
      <w:bookmarkEnd w:id="82"/>
    </w:p>
    <w:p w14:paraId="3255CD32">
      <w:pPr>
        <w:spacing w:line="276" w:lineRule="auto"/>
        <w:ind w:firstLine="420"/>
        <w:rPr>
          <w:rFonts w:hint="eastAsia" w:ascii="宋体" w:hAnsi="宋体" w:eastAsia="宋体"/>
          <w:sz w:val="24"/>
          <w:szCs w:val="24"/>
        </w:rPr>
      </w:pPr>
      <w:r>
        <w:rPr>
          <w:rFonts w:hint="eastAsia" w:ascii="宋体" w:hAnsi="宋体" w:eastAsia="宋体"/>
          <w:sz w:val="24"/>
          <w:szCs w:val="24"/>
        </w:rPr>
        <w:t>近年来信息技术及通讯技术有着显著发展，因此系统的建设一方面应借鉴成功案例，另一方面将物联网、GIS、5</w:t>
      </w:r>
      <w:r>
        <w:rPr>
          <w:rFonts w:ascii="宋体" w:hAnsi="宋体" w:eastAsia="宋体"/>
          <w:sz w:val="24"/>
          <w:szCs w:val="24"/>
        </w:rPr>
        <w:t>G/</w:t>
      </w:r>
      <w:r>
        <w:rPr>
          <w:rFonts w:hint="eastAsia" w:ascii="宋体" w:hAnsi="宋体" w:eastAsia="宋体"/>
          <w:sz w:val="24"/>
          <w:szCs w:val="24"/>
        </w:rPr>
        <w:t xml:space="preserve">4G 通讯、数据挖掘等技术应用到项目中，使项目建设的技术水平再上一个台阶。系统的技术框架必须具有良好的可扩展性，在一定时期内能保持技术的先进性，同时后续建设的系统必须是统一技术框架内的一部分，避免重复建设和资源浪费。 </w:t>
      </w:r>
    </w:p>
    <w:p w14:paraId="33D80DDB">
      <w:pPr>
        <w:pStyle w:val="8"/>
        <w:rPr>
          <w:rFonts w:hint="eastAsia"/>
        </w:rPr>
      </w:pPr>
      <w:bookmarkStart w:id="83" w:name="_Toc148386103"/>
      <w:r>
        <w:rPr>
          <w:rFonts w:hint="eastAsia"/>
        </w:rPr>
        <w:t>资源整合，注重创新</w:t>
      </w:r>
      <w:bookmarkEnd w:id="83"/>
    </w:p>
    <w:p w14:paraId="0E151325">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大丰区城市运行管理服务平台项目的建设必须立足已有基础，充分利用现有资源，在充分利用数据资源和应用的基础上，总结原有的经验和教训，大力进行创新，既保护原有的投资，又适应新形势发展的要求。</w:t>
      </w:r>
    </w:p>
    <w:p w14:paraId="70A67774">
      <w:pPr>
        <w:pStyle w:val="8"/>
        <w:rPr>
          <w:rFonts w:hint="eastAsia"/>
        </w:rPr>
      </w:pPr>
      <w:bookmarkStart w:id="84" w:name="_Toc148386104"/>
      <w:r>
        <w:rPr>
          <w:rFonts w:hint="eastAsia"/>
        </w:rPr>
        <w:t>实用建设，智慧智能</w:t>
      </w:r>
      <w:bookmarkEnd w:id="84"/>
    </w:p>
    <w:p w14:paraId="71374500">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大丰区城市运行管理服务平台项目的建设应该是一个自动化、标准化、智慧化的改造过程，子系统建设的目的也是不断减轻管理压力，补齐工作短板，减轻工作负担。完成自动采集，自动分析的智能化体现。</w:t>
      </w:r>
    </w:p>
    <w:p w14:paraId="0894F1BB">
      <w:pPr>
        <w:pStyle w:val="8"/>
        <w:rPr>
          <w:rFonts w:hint="eastAsia"/>
        </w:rPr>
      </w:pPr>
      <w:bookmarkStart w:id="85" w:name="_Toc148386105"/>
      <w:r>
        <w:rPr>
          <w:rFonts w:hint="eastAsia"/>
        </w:rPr>
        <w:t>个性定制，因地制宜</w:t>
      </w:r>
      <w:bookmarkEnd w:id="85"/>
    </w:p>
    <w:p w14:paraId="6130FF63">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大丰区城市运行管理服务平台项目的建设应该结合本地实际特色和管理实际管理需求，因地制宜，因材施教，在保证功能的完整性情况下，突出城市的特色亮点和管理的特点，最大程度展现出个性化措施。</w:t>
      </w:r>
    </w:p>
    <w:p w14:paraId="04B5978C">
      <w:pPr>
        <w:pStyle w:val="7"/>
        <w:rPr>
          <w:rFonts w:hint="eastAsia"/>
        </w:rPr>
      </w:pPr>
      <w:bookmarkStart w:id="86" w:name="_Toc32629"/>
      <w:r>
        <w:rPr>
          <w:rFonts w:hint="eastAsia"/>
        </w:rPr>
        <w:t>总体架构</w:t>
      </w:r>
      <w:bookmarkEnd w:id="86"/>
    </w:p>
    <w:p w14:paraId="5C853341">
      <w:pPr>
        <w:pStyle w:val="8"/>
        <w:rPr>
          <w:rFonts w:hint="eastAsia"/>
        </w:rPr>
      </w:pPr>
      <w:r>
        <w:rPr>
          <w:rFonts w:hint="eastAsia"/>
        </w:rPr>
        <w:t>系统架构设计</w:t>
      </w:r>
    </w:p>
    <w:p w14:paraId="0E023847">
      <w:pPr>
        <w:spacing w:line="276" w:lineRule="auto"/>
        <w:ind w:firstLine="420"/>
        <w:rPr>
          <w:rFonts w:hint="default" w:ascii="宋体" w:hAnsi="宋体" w:eastAsia="宋体"/>
          <w:sz w:val="24"/>
          <w:szCs w:val="24"/>
          <w:lang w:val="en-US"/>
        </w:rPr>
      </w:pPr>
      <w:r>
        <w:rPr>
          <w:rFonts w:hint="eastAsia" w:ascii="宋体" w:hAnsi="宋体" w:eastAsia="宋体"/>
          <w:sz w:val="24"/>
          <w:szCs w:val="24"/>
          <w:lang w:val="en-US" w:eastAsia="zh-CN"/>
        </w:rPr>
        <w:t>大丰区城市运行管理服务平台的建设，是基于智慧城市建设的大方向，从城市运行管理服务平台的角度进行突破，通过融入环卫、市政、园林、执法等多方向内容，实现大丰区城市运行管理服务平台以物联网、大数据、</w:t>
      </w:r>
      <w:r>
        <w:rPr>
          <w:rFonts w:hint="default" w:ascii="宋体" w:hAnsi="宋体" w:eastAsia="宋体"/>
          <w:sz w:val="24"/>
          <w:szCs w:val="24"/>
          <w:lang w:val="en-US" w:eastAsia="zh-CN"/>
        </w:rPr>
        <w:t>5G</w:t>
      </w:r>
      <w:r>
        <w:rPr>
          <w:rFonts w:hint="eastAsia" w:ascii="宋体" w:hAnsi="宋体" w:eastAsia="宋体"/>
          <w:sz w:val="24"/>
          <w:szCs w:val="24"/>
          <w:lang w:val="en-US" w:eastAsia="zh-CN"/>
        </w:rPr>
        <w:t>移动通信等前沿技术为支撑，具有统筹协调、指挥调度、监测预警、监督考核和综合评价等功能的信息化平台，是运用数字技术推动城市管理手段、管理模式、管理理念创新的重要载体。</w:t>
      </w:r>
    </w:p>
    <w:p w14:paraId="75BEB764">
      <w:pPr>
        <w:spacing w:line="276" w:lineRule="auto"/>
        <w:ind w:firstLine="420"/>
        <w:rPr>
          <w:rFonts w:hint="eastAsia" w:ascii="宋体" w:hAnsi="宋体"/>
        </w:rPr>
      </w:pPr>
      <w:r>
        <w:rPr>
          <w:rFonts w:hint="eastAsia" w:ascii="宋体" w:hAnsi="宋体" w:eastAsia="宋体"/>
          <w:sz w:val="24"/>
          <w:szCs w:val="24"/>
          <w:lang w:val="en-US" w:eastAsia="zh-CN"/>
        </w:rPr>
        <w:t>为进一步整合资源，有效提升城市综合管理能力、公共服务能力，按照“统一规划设计、统一技术标准、统一受理交互、统一服务支撑”的要求，建设大丰区城市运行管理服务平台</w:t>
      </w:r>
      <w:r>
        <w:rPr>
          <w:rFonts w:hint="eastAsia" w:ascii="宋体" w:hAnsi="宋体"/>
        </w:rPr>
        <w:t>。</w:t>
      </w:r>
    </w:p>
    <w:p w14:paraId="66AD5919">
      <w:pPr>
        <w:keepNext w:val="0"/>
        <w:keepLines w:val="0"/>
        <w:pageBreakBefore w:val="0"/>
        <w:widowControl w:val="0"/>
        <w:kinsoku/>
        <w:wordWrap/>
        <w:overflowPunct/>
        <w:topLinePunct w:val="0"/>
        <w:autoSpaceDE/>
        <w:autoSpaceDN/>
        <w:bidi w:val="0"/>
        <w:adjustRightInd/>
        <w:snapToGrid/>
        <w:spacing w:line="276" w:lineRule="auto"/>
        <w:ind w:firstLine="0"/>
        <w:textAlignment w:val="auto"/>
        <w:rPr>
          <w:rFonts w:hint="eastAsia" w:ascii="宋体" w:hAnsi="宋体"/>
        </w:rPr>
      </w:pPr>
      <w:r>
        <w:drawing>
          <wp:inline distT="0" distB="0" distL="114300" distR="114300">
            <wp:extent cx="5300345" cy="2529205"/>
            <wp:effectExtent l="0" t="0" r="825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300345" cy="2529205"/>
                    </a:xfrm>
                    <a:prstGeom prst="rect">
                      <a:avLst/>
                    </a:prstGeom>
                  </pic:spPr>
                </pic:pic>
              </a:graphicData>
            </a:graphic>
          </wp:inline>
        </w:drawing>
      </w:r>
    </w:p>
    <w:p w14:paraId="334E2981">
      <w:pPr>
        <w:spacing w:line="276" w:lineRule="auto"/>
        <w:rPr>
          <w:rFonts w:hint="eastAsia" w:ascii="宋体" w:hAnsi="宋体" w:eastAsia="宋体"/>
          <w:sz w:val="24"/>
          <w:szCs w:val="24"/>
        </w:rPr>
      </w:pPr>
    </w:p>
    <w:p w14:paraId="557C5831">
      <w:pPr>
        <w:pStyle w:val="326"/>
        <w:spacing w:line="276" w:lineRule="auto"/>
        <w:rPr>
          <w:rFonts w:hint="eastAsia" w:ascii="宋体" w:hAnsi="宋体"/>
        </w:rPr>
      </w:pPr>
      <w:r>
        <w:rPr>
          <w:rFonts w:hint="eastAsia" w:ascii="宋体" w:hAnsi="宋体"/>
        </w:rPr>
        <w:t xml:space="preserve">依据上图所示，大丰区城市运行管理服务平台软件系统架构采用物理层、数据层、支撑层、应用层、用户层“五层”结构。 </w:t>
      </w:r>
    </w:p>
    <w:p w14:paraId="0E9309B8">
      <w:pPr>
        <w:pStyle w:val="326"/>
        <w:spacing w:line="276" w:lineRule="auto"/>
        <w:rPr>
          <w:rFonts w:hint="eastAsia" w:ascii="宋体" w:hAnsi="宋体"/>
        </w:rPr>
      </w:pPr>
      <w:r>
        <w:rPr>
          <w:rFonts w:hint="eastAsia" w:ascii="宋体" w:hAnsi="宋体"/>
        </w:rPr>
        <w:t>物理层：包括系统部署所需计算资源、存储资源、安全资源、网络资源；物联感知设备包括视频监控、车载一体机、智能垃圾投放箱等；</w:t>
      </w:r>
    </w:p>
    <w:p w14:paraId="463FDCFB">
      <w:pPr>
        <w:pStyle w:val="326"/>
        <w:spacing w:line="276" w:lineRule="auto"/>
        <w:rPr>
          <w:rFonts w:hint="eastAsia" w:ascii="宋体" w:hAnsi="宋体"/>
        </w:rPr>
      </w:pPr>
      <w:r>
        <w:rPr>
          <w:rFonts w:hint="eastAsia" w:ascii="宋体" w:hAnsi="宋体"/>
        </w:rPr>
        <w:t xml:space="preserve">数据层：通过对接现有信息化系统、物联设备及数据普查数据，进行建档建库，形成城市运行管理服务数据库，为应用层业务进行数据赋能； </w:t>
      </w:r>
    </w:p>
    <w:p w14:paraId="4FDFD01B">
      <w:pPr>
        <w:pStyle w:val="326"/>
        <w:spacing w:line="276" w:lineRule="auto"/>
        <w:rPr>
          <w:rFonts w:hint="eastAsia" w:ascii="宋体" w:hAnsi="宋体"/>
        </w:rPr>
      </w:pPr>
      <w:r>
        <w:rPr>
          <w:rFonts w:hint="eastAsia" w:ascii="宋体" w:hAnsi="宋体"/>
        </w:rPr>
        <w:t>支撑层：包括公共服务能力及I</w:t>
      </w:r>
      <w:r>
        <w:rPr>
          <w:rFonts w:ascii="宋体" w:hAnsi="宋体"/>
        </w:rPr>
        <w:t>CT</w:t>
      </w:r>
      <w:r>
        <w:rPr>
          <w:rFonts w:hint="eastAsia" w:ascii="宋体" w:hAnsi="宋体"/>
        </w:rPr>
        <w:t xml:space="preserve">能力。 </w:t>
      </w:r>
    </w:p>
    <w:p w14:paraId="3EDF3A7D">
      <w:pPr>
        <w:pStyle w:val="326"/>
        <w:spacing w:line="276" w:lineRule="auto"/>
        <w:rPr>
          <w:rFonts w:hint="eastAsia" w:ascii="宋体" w:hAnsi="宋体"/>
        </w:rPr>
      </w:pPr>
      <w:r>
        <w:rPr>
          <w:rFonts w:hint="eastAsia" w:ascii="宋体" w:hAnsi="宋体"/>
        </w:rPr>
        <w:t xml:space="preserve">应用层：包括业务指导系统、指挥协调系统、行业应用系统（垃圾分类、建筑垃圾）、公众服务系统、综合评价系统、运行监测系统、决策建议系统、数据汇聚系统、数据交换系统、应用维护系统。 </w:t>
      </w:r>
    </w:p>
    <w:p w14:paraId="5295A696">
      <w:pPr>
        <w:pStyle w:val="326"/>
        <w:spacing w:line="276" w:lineRule="auto"/>
        <w:rPr>
          <w:rFonts w:hint="eastAsia" w:ascii="宋体" w:hAnsi="宋体"/>
        </w:rPr>
      </w:pPr>
      <w:r>
        <w:rPr>
          <w:rFonts w:hint="eastAsia" w:ascii="宋体" w:hAnsi="宋体"/>
        </w:rPr>
        <w:t>用户层：满足管理单位、运营公司、管理人员、公众等用户群体，通过 PC 端、移动端、指挥中心大屏等使用系统提供的功能。</w:t>
      </w:r>
    </w:p>
    <w:p w14:paraId="64885C3A">
      <w:pPr>
        <w:pStyle w:val="326"/>
        <w:spacing w:line="276" w:lineRule="auto"/>
        <w:rPr>
          <w:rFonts w:hint="eastAsia" w:ascii="宋体" w:hAnsi="宋体"/>
        </w:rPr>
      </w:pPr>
      <w:r>
        <w:rPr>
          <w:rFonts w:hint="eastAsia" w:ascii="宋体" w:hAnsi="宋体"/>
        </w:rPr>
        <w:t xml:space="preserve">标准规范及安全保障体系：为平台建设和运行提供标准规范、运行维护及安全保障服务。 </w:t>
      </w:r>
    </w:p>
    <w:p w14:paraId="4575BC52">
      <w:pPr>
        <w:pStyle w:val="326"/>
        <w:spacing w:line="276" w:lineRule="auto"/>
        <w:rPr>
          <w:rFonts w:hint="eastAsia" w:ascii="宋体" w:hAnsi="宋体"/>
        </w:rPr>
      </w:pPr>
      <w:r>
        <w:rPr>
          <w:rFonts w:hint="eastAsia" w:ascii="宋体" w:hAnsi="宋体"/>
        </w:rPr>
        <w:t>街道一体化：丰华街道、大中街道、开发区等。</w:t>
      </w:r>
    </w:p>
    <w:p w14:paraId="5702B278">
      <w:pPr>
        <w:pStyle w:val="326"/>
        <w:spacing w:line="276" w:lineRule="auto"/>
        <w:rPr>
          <w:rFonts w:hint="eastAsia" w:ascii="宋体" w:hAnsi="宋体"/>
        </w:rPr>
      </w:pPr>
      <w:r>
        <w:rPr>
          <w:rFonts w:hint="eastAsia" w:ascii="宋体" w:hAnsi="宋体"/>
        </w:rPr>
        <w:t>跨部门协同：区住建局、区商务局等部门实现数据共享共用，为业务协同提供数据保障。</w:t>
      </w:r>
    </w:p>
    <w:p w14:paraId="5B80080A">
      <w:pPr>
        <w:pStyle w:val="326"/>
        <w:spacing w:line="276" w:lineRule="auto"/>
        <w:rPr>
          <w:rFonts w:hint="eastAsia" w:ascii="宋体" w:hAnsi="宋体"/>
        </w:rPr>
      </w:pPr>
      <w:r>
        <w:rPr>
          <w:rFonts w:hint="eastAsia" w:ascii="宋体" w:hAnsi="宋体"/>
        </w:rPr>
        <w:t>市级共享协同：与盐城市城市运行管理服务平台进行协同共享，为市级平台业务赋能及数据赋能。</w:t>
      </w:r>
    </w:p>
    <w:p w14:paraId="41860DBE">
      <w:pPr>
        <w:pStyle w:val="8"/>
        <w:rPr>
          <w:rFonts w:hint="eastAsia"/>
        </w:rPr>
      </w:pPr>
      <w:r>
        <w:rPr>
          <w:rFonts w:hint="eastAsia"/>
        </w:rPr>
        <w:t>业务架构设计</w:t>
      </w:r>
    </w:p>
    <w:p w14:paraId="36121542">
      <w:pPr>
        <w:pStyle w:val="326"/>
        <w:spacing w:line="276" w:lineRule="auto"/>
        <w:rPr>
          <w:rFonts w:hint="eastAsia" w:ascii="宋体" w:hAnsi="宋体"/>
        </w:rPr>
      </w:pPr>
      <w:r>
        <w:rPr>
          <w:rFonts w:hint="eastAsia" w:ascii="宋体" w:hAnsi="宋体"/>
        </w:rPr>
        <w:t>本次项目建设基于大丰区城市运行管理服务平台整体框架，建设内容包括业务指导系统、指挥协调系统、行业系统（垃圾分类、建筑垃圾等）、公众服务系统、综合评价系统、运行监测系统及决策建议系统，上述业务应用能够调用大丰区城市运行管理服务平台的数据中心及基础支撑能力。</w:t>
      </w:r>
    </w:p>
    <w:p w14:paraId="3CDE87D3">
      <w:pPr>
        <w:pStyle w:val="326"/>
        <w:spacing w:line="276" w:lineRule="auto"/>
        <w:ind w:firstLine="0" w:firstLineChars="0"/>
        <w:rPr>
          <w:rFonts w:hint="eastAsia" w:ascii="宋体" w:hAnsi="宋体"/>
        </w:rPr>
      </w:pPr>
      <w:r>
        <w:rPr>
          <w:rFonts w:ascii="宋体" w:hAnsi="宋体"/>
        </w:rPr>
        <w:drawing>
          <wp:inline distT="0" distB="0" distL="0" distR="0">
            <wp:extent cx="5274310" cy="2867025"/>
            <wp:effectExtent l="0" t="0" r="2540" b="9525"/>
            <wp:docPr id="286809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9799" name="图片 1"/>
                    <pic:cNvPicPr>
                      <a:picLocks noChangeAspect="1"/>
                    </pic:cNvPicPr>
                  </pic:nvPicPr>
                  <pic:blipFill>
                    <a:blip r:embed="rId17"/>
                    <a:stretch>
                      <a:fillRect/>
                    </a:stretch>
                  </pic:blipFill>
                  <pic:spPr>
                    <a:xfrm>
                      <a:off x="0" y="0"/>
                      <a:ext cx="5274310" cy="2867025"/>
                    </a:xfrm>
                    <a:prstGeom prst="rect">
                      <a:avLst/>
                    </a:prstGeom>
                  </pic:spPr>
                </pic:pic>
              </a:graphicData>
            </a:graphic>
          </wp:inline>
        </w:drawing>
      </w:r>
    </w:p>
    <w:p w14:paraId="5918B08B">
      <w:pPr>
        <w:pStyle w:val="8"/>
        <w:rPr>
          <w:rFonts w:hint="eastAsia"/>
        </w:rPr>
      </w:pPr>
      <w:r>
        <w:rPr>
          <w:rFonts w:hint="eastAsia"/>
        </w:rPr>
        <w:t>应用架构设计</w:t>
      </w:r>
    </w:p>
    <w:p w14:paraId="180F694D">
      <w:pPr>
        <w:pStyle w:val="326"/>
        <w:spacing w:line="276" w:lineRule="auto"/>
        <w:rPr>
          <w:rFonts w:hint="eastAsia" w:ascii="宋体" w:hAnsi="宋体"/>
        </w:rPr>
      </w:pPr>
      <w:r>
        <w:rPr>
          <w:rFonts w:hint="eastAsia" w:ascii="宋体" w:hAnsi="宋体"/>
        </w:rPr>
        <w:t>以下是本次项目的逻辑架构图，按照住建部要求，搭建国家、省、市、区四级架构的城市运行管理服务平台，实现四级联动，数据共享共用，全面</w:t>
      </w:r>
      <w:r>
        <w:rPr>
          <w:rFonts w:hint="eastAsia" w:ascii="宋体" w:hAnsi="宋体"/>
          <w:lang w:val="en-US" w:eastAsia="zh-CN"/>
        </w:rPr>
        <w:t>提升</w:t>
      </w:r>
      <w:r>
        <w:rPr>
          <w:rFonts w:hint="eastAsia" w:ascii="宋体" w:hAnsi="宋体"/>
        </w:rPr>
        <w:t>我区城市管理及服务水平。</w:t>
      </w:r>
    </w:p>
    <w:p w14:paraId="251AA501">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4034790"/>
            <wp:effectExtent l="0" t="0" r="2540" b="3810"/>
            <wp:docPr id="1298096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96398" name="图片 1"/>
                    <pic:cNvPicPr>
                      <a:picLocks noChangeAspect="1"/>
                    </pic:cNvPicPr>
                  </pic:nvPicPr>
                  <pic:blipFill>
                    <a:blip r:embed="rId18"/>
                    <a:stretch>
                      <a:fillRect/>
                    </a:stretch>
                  </pic:blipFill>
                  <pic:spPr>
                    <a:xfrm>
                      <a:off x="0" y="0"/>
                      <a:ext cx="5274310" cy="4034790"/>
                    </a:xfrm>
                    <a:prstGeom prst="rect">
                      <a:avLst/>
                    </a:prstGeom>
                  </pic:spPr>
                </pic:pic>
              </a:graphicData>
            </a:graphic>
          </wp:inline>
        </w:drawing>
      </w:r>
    </w:p>
    <w:p w14:paraId="73435A17">
      <w:pPr>
        <w:pStyle w:val="8"/>
        <w:rPr>
          <w:rFonts w:hint="eastAsia"/>
        </w:rPr>
      </w:pPr>
      <w:r>
        <w:rPr>
          <w:rFonts w:hint="eastAsia"/>
        </w:rPr>
        <w:t>数据流向设计</w:t>
      </w:r>
    </w:p>
    <w:p w14:paraId="05F931F2">
      <w:pPr>
        <w:pStyle w:val="326"/>
        <w:spacing w:line="276" w:lineRule="auto"/>
        <w:rPr>
          <w:rFonts w:hint="eastAsia" w:ascii="宋体" w:hAnsi="宋体"/>
        </w:rPr>
      </w:pPr>
      <w:r>
        <w:rPr>
          <w:rFonts w:hint="eastAsia" w:ascii="宋体" w:hAnsi="宋体"/>
        </w:rPr>
        <w:t>以下是本次项目的数据流向图，包括现有企业、政府相关系统数据的接入，以及本次相关车辆定位、视频等数据的接入，内部各系统之间数据的流向。</w:t>
      </w:r>
    </w:p>
    <w:p w14:paraId="205523F4">
      <w:pPr>
        <w:spacing w:line="276" w:lineRule="auto"/>
        <w:rPr>
          <w:rFonts w:hint="eastAsia" w:ascii="宋体" w:hAnsi="宋体" w:eastAsia="宋体"/>
          <w:sz w:val="24"/>
          <w:szCs w:val="24"/>
        </w:rPr>
      </w:pPr>
      <w:r>
        <w:drawing>
          <wp:inline distT="0" distB="0" distL="0" distR="0">
            <wp:extent cx="5274310" cy="2679700"/>
            <wp:effectExtent l="0" t="0" r="254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679700"/>
                    </a:xfrm>
                    <a:prstGeom prst="rect">
                      <a:avLst/>
                    </a:prstGeom>
                    <a:noFill/>
                  </pic:spPr>
                </pic:pic>
              </a:graphicData>
            </a:graphic>
          </wp:inline>
        </w:drawing>
      </w:r>
    </w:p>
    <w:p w14:paraId="16279F58">
      <w:pPr>
        <w:spacing w:line="276" w:lineRule="auto"/>
        <w:rPr>
          <w:rFonts w:hint="eastAsia" w:ascii="宋体" w:hAnsi="宋体" w:eastAsia="宋体"/>
          <w:sz w:val="24"/>
          <w:szCs w:val="24"/>
        </w:rPr>
      </w:pPr>
    </w:p>
    <w:p w14:paraId="28EE29FF">
      <w:pPr>
        <w:pStyle w:val="8"/>
        <w:rPr>
          <w:rFonts w:hint="eastAsia"/>
        </w:rPr>
      </w:pPr>
      <w:r>
        <w:rPr>
          <w:rFonts w:hint="eastAsia"/>
        </w:rPr>
        <w:t>技术架构设计</w:t>
      </w:r>
    </w:p>
    <w:p w14:paraId="36931EFC">
      <w:pPr>
        <w:spacing w:line="276" w:lineRule="auto"/>
        <w:ind w:firstLine="420"/>
        <w:rPr>
          <w:rFonts w:hint="eastAsia" w:ascii="宋体" w:hAnsi="宋体" w:eastAsia="宋体"/>
          <w:sz w:val="24"/>
          <w:szCs w:val="24"/>
        </w:rPr>
      </w:pPr>
      <w:r>
        <w:rPr>
          <w:rFonts w:hint="eastAsia" w:ascii="宋体" w:hAnsi="宋体" w:eastAsia="宋体"/>
          <w:sz w:val="24"/>
          <w:szCs w:val="24"/>
        </w:rPr>
        <w:t>以下是本次项目涉及的技术架构图：</w:t>
      </w:r>
    </w:p>
    <w:p w14:paraId="0A6FA514">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3067685"/>
            <wp:effectExtent l="0" t="0" r="2540" b="0"/>
            <wp:docPr id="1975776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76816" name="图片 1"/>
                    <pic:cNvPicPr>
                      <a:picLocks noChangeAspect="1"/>
                    </pic:cNvPicPr>
                  </pic:nvPicPr>
                  <pic:blipFill>
                    <a:blip r:embed="rId20"/>
                    <a:stretch>
                      <a:fillRect/>
                    </a:stretch>
                  </pic:blipFill>
                  <pic:spPr>
                    <a:xfrm>
                      <a:off x="0" y="0"/>
                      <a:ext cx="5274310" cy="3067685"/>
                    </a:xfrm>
                    <a:prstGeom prst="rect">
                      <a:avLst/>
                    </a:prstGeom>
                  </pic:spPr>
                </pic:pic>
              </a:graphicData>
            </a:graphic>
          </wp:inline>
        </w:drawing>
      </w:r>
    </w:p>
    <w:p w14:paraId="0B01D95D">
      <w:pPr>
        <w:pStyle w:val="8"/>
        <w:rPr>
          <w:rFonts w:hint="eastAsia"/>
        </w:rPr>
      </w:pPr>
      <w:r>
        <w:rPr>
          <w:rFonts w:hint="eastAsia"/>
        </w:rPr>
        <w:t>软硬件网络拓扑图</w:t>
      </w:r>
    </w:p>
    <w:p w14:paraId="0197AE4B">
      <w:pPr>
        <w:spacing w:line="276" w:lineRule="auto"/>
        <w:ind w:firstLine="420"/>
        <w:rPr>
          <w:rFonts w:hint="eastAsia" w:ascii="宋体" w:hAnsi="宋体" w:eastAsia="宋体"/>
          <w:sz w:val="24"/>
          <w:szCs w:val="24"/>
        </w:rPr>
      </w:pPr>
      <w:r>
        <w:rPr>
          <w:rFonts w:hint="eastAsia" w:ascii="宋体" w:hAnsi="宋体" w:eastAsia="宋体"/>
          <w:sz w:val="24"/>
          <w:szCs w:val="24"/>
        </w:rPr>
        <w:t>以下是本次项目的软硬件网络拓扑图，软件平台部署于云服务器，硬件设备通过互联网进行数据传输。</w:t>
      </w:r>
    </w:p>
    <w:p w14:paraId="2647F2EA">
      <w:pPr>
        <w:spacing w:line="276" w:lineRule="auto"/>
        <w:rPr>
          <w:rFonts w:hint="eastAsia" w:ascii="宋体" w:hAnsi="宋体" w:eastAsia="宋体"/>
          <w:sz w:val="24"/>
          <w:szCs w:val="24"/>
        </w:rPr>
      </w:pPr>
      <w:r>
        <w:rPr>
          <w:rFonts w:hint="eastAsia" w:ascii="宋体" w:hAnsi="宋体" w:eastAsia="宋体"/>
          <w:sz w:val="24"/>
          <w:szCs w:val="24"/>
        </w:rPr>
        <w:drawing>
          <wp:inline distT="0" distB="0" distL="114300" distR="114300">
            <wp:extent cx="5273675" cy="2951480"/>
            <wp:effectExtent l="0" t="0" r="14605" b="5080"/>
            <wp:docPr id="2" name="图片 2" descr="f378af8e-3282-4aca-8fc2-5f6c9af51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378af8e-3282-4aca-8fc2-5f6c9af515e6"/>
                    <pic:cNvPicPr>
                      <a:picLocks noChangeAspect="1"/>
                    </pic:cNvPicPr>
                  </pic:nvPicPr>
                  <pic:blipFill>
                    <a:blip r:embed="rId21"/>
                    <a:stretch>
                      <a:fillRect/>
                    </a:stretch>
                  </pic:blipFill>
                  <pic:spPr>
                    <a:xfrm>
                      <a:off x="0" y="0"/>
                      <a:ext cx="5273675" cy="2951480"/>
                    </a:xfrm>
                    <a:prstGeom prst="rect">
                      <a:avLst/>
                    </a:prstGeom>
                  </pic:spPr>
                </pic:pic>
              </a:graphicData>
            </a:graphic>
          </wp:inline>
        </w:drawing>
      </w:r>
      <w:r>
        <w:rPr>
          <w:rFonts w:ascii="宋体" w:hAnsi="宋体" w:eastAsia="宋体"/>
          <w:sz w:val="24"/>
          <w:szCs w:val="24"/>
        </w:rPr>
        <mc:AlternateContent>
          <mc:Choice Requires="wps">
            <w:drawing>
              <wp:anchor distT="0" distB="0" distL="114300" distR="114300" simplePos="0" relativeHeight="251660288" behindDoc="0" locked="0" layoutInCell="1" allowOverlap="1">
                <wp:simplePos x="0" y="0"/>
                <wp:positionH relativeFrom="column">
                  <wp:posOffset>4549775</wp:posOffset>
                </wp:positionH>
                <wp:positionV relativeFrom="paragraph">
                  <wp:posOffset>2243455</wp:posOffset>
                </wp:positionV>
                <wp:extent cx="535305" cy="611505"/>
                <wp:effectExtent l="0" t="0" r="13335" b="13335"/>
                <wp:wrapNone/>
                <wp:docPr id="4" name="矩形 4"/>
                <wp:cNvGraphicFramePr/>
                <a:graphic xmlns:a="http://schemas.openxmlformats.org/drawingml/2006/main">
                  <a:graphicData uri="http://schemas.microsoft.com/office/word/2010/wordprocessingShape">
                    <wps:wsp>
                      <wps:cNvSpPr/>
                      <wps:spPr>
                        <a:xfrm>
                          <a:off x="5761990" y="3192145"/>
                          <a:ext cx="535305" cy="611505"/>
                        </a:xfrm>
                        <a:prstGeom prst="rect">
                          <a:avLst/>
                        </a:prstGeom>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9AE6308">
                            <w:pPr>
                              <w:jc w:val="center"/>
                              <w:rPr>
                                <w:rFonts w:hint="eastAsia"/>
                                <w:sz w:val="15"/>
                                <w:szCs w:val="16"/>
                              </w:rPr>
                            </w:pPr>
                            <w:r>
                              <w:rPr>
                                <w:rFonts w:hint="eastAsia"/>
                                <w:sz w:val="15"/>
                                <w:szCs w:val="16"/>
                              </w:rPr>
                              <w:t>数据库审计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25pt;margin-top:176.65pt;height:48.15pt;width:42.15pt;z-index:251660288;v-text-anchor:middle;mso-width-relative:page;mso-height-relative:page;" fillcolor="#4472C4 [3204]" filled="t" stroked="f" coordsize="21600,21600" o:gfxdata="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rKcHl3AAAAAsBAAAPAAAAAAAA&#10;AAEAIAAAACIAAABkcnMvZG93bnJldi54bWxQSwECFAAUAAAACACHTuJAyWM5yYACAADhBAAADgAA&#10;AAAAAAABACAAAAArAQAAZHJzL2Uyb0RvYy54bWxQSwUGAAAAAAYABgBZAQAAHQYAAAAA&#10;">
                <v:fill on="t" focussize="0,0"/>
                <v:stroke on="f" weight="1pt" miterlimit="8" joinstyle="miter"/>
                <v:imagedata o:title=""/>
                <o:lock v:ext="edit" aspectratio="f"/>
                <v:textbox>
                  <w:txbxContent>
                    <w:p w14:paraId="79AE6308">
                      <w:pPr>
                        <w:jc w:val="center"/>
                        <w:rPr>
                          <w:rFonts w:hint="eastAsia"/>
                          <w:sz w:val="15"/>
                          <w:szCs w:val="16"/>
                        </w:rPr>
                      </w:pPr>
                      <w:r>
                        <w:rPr>
                          <w:rFonts w:hint="eastAsia"/>
                          <w:sz w:val="15"/>
                          <w:szCs w:val="16"/>
                        </w:rPr>
                        <w:t>数据库审计</w:t>
                      </w:r>
                    </w:p>
                  </w:txbxContent>
                </v:textbox>
              </v:rect>
            </w:pict>
          </mc:Fallback>
        </mc:AlternateContent>
      </w:r>
    </w:p>
    <w:p w14:paraId="5F884FF2">
      <w:pPr>
        <w:pStyle w:val="7"/>
        <w:rPr>
          <w:rFonts w:hint="eastAsia"/>
        </w:rPr>
      </w:pPr>
      <w:bookmarkStart w:id="87" w:name="_Toc22480"/>
      <w:r>
        <w:rPr>
          <w:rFonts w:hint="eastAsia"/>
        </w:rPr>
        <w:t>项目建设的技术路线</w:t>
      </w:r>
      <w:bookmarkEnd w:id="87"/>
    </w:p>
    <w:p w14:paraId="28DF5DE5">
      <w:pPr>
        <w:pStyle w:val="8"/>
        <w:rPr>
          <w:rFonts w:hint="eastAsia" w:cstheme="minorBidi"/>
        </w:rPr>
      </w:pPr>
      <w:r>
        <w:rPr>
          <w:rFonts w:cstheme="minorBidi"/>
        </w:rPr>
        <w:t>HTML5微页面技术</w:t>
      </w:r>
    </w:p>
    <w:p w14:paraId="4178EFA6">
      <w:pPr>
        <w:pStyle w:val="6"/>
      </w:pPr>
      <w:r>
        <w:t>HTML5手机应用的最大优势就是可以在网页上直接调试和修改。现在HTML5的应用已经相当广泛，未来移动互联网都需要用到HTML5开发应用。HTML5赋予网页更好的意义和结构。更加丰富的标签将随着对微数据与微格式等方面的支持，构建对程序、对用户都更有价值的数据驱动的Web。</w:t>
      </w:r>
    </w:p>
    <w:p w14:paraId="38A10671">
      <w:pPr>
        <w:pStyle w:val="8"/>
        <w:rPr>
          <w:rFonts w:hint="eastAsia" w:cstheme="minorBidi"/>
        </w:rPr>
      </w:pPr>
      <w:r>
        <w:rPr>
          <w:rFonts w:hint="eastAsia" w:cstheme="minorBidi"/>
        </w:rPr>
        <w:t>分布式数据库技术</w:t>
      </w:r>
    </w:p>
    <w:p w14:paraId="3C00C2C8">
      <w:pPr>
        <w:pStyle w:val="6"/>
      </w:pPr>
      <w:r>
        <w:rPr>
          <w:rFonts w:hint="eastAsia"/>
        </w:rPr>
        <w:t>分布式数据库是指利用高速计算机网络将物理上分散的多个数据存储单元连接起来组成一个逻辑上统一的数据库。分布式数据库的基本思想是将原来集中式数据库中的数据分散存储到多个通过网络连接的数据存储节点上，以获取更大的存储容量和更高的并发访问量。</w:t>
      </w:r>
    </w:p>
    <w:p w14:paraId="798EA29C">
      <w:pPr>
        <w:pStyle w:val="8"/>
        <w:rPr>
          <w:rFonts w:hint="eastAsia" w:cstheme="minorBidi"/>
        </w:rPr>
      </w:pPr>
      <w:r>
        <w:rPr>
          <w:rFonts w:cstheme="minorBidi"/>
        </w:rPr>
        <w:t>Openstack技术</w:t>
      </w:r>
    </w:p>
    <w:p w14:paraId="15A627A2">
      <w:pPr>
        <w:pStyle w:val="6"/>
      </w:pPr>
      <w:r>
        <w:t>OpenStack是一个开源的云计算管理平台项目，由几个主要的组件组合起来完成具体工作。OpenStack支持几乎所有类型的云环境，项目目标是提供实施简单、可大规模扩展、丰富、标准统一的云计算管理平台。OpenStack通过各种互补的服务提供了基础设施即服务（IaaS）的解决方案，每个服务提供API以进行集成。</w:t>
      </w:r>
    </w:p>
    <w:p w14:paraId="2C381177">
      <w:pPr>
        <w:pStyle w:val="8"/>
        <w:rPr>
          <w:rFonts w:hint="eastAsia" w:cstheme="minorBidi"/>
        </w:rPr>
      </w:pPr>
      <w:r>
        <w:rPr>
          <w:rFonts w:cstheme="minorBidi"/>
        </w:rPr>
        <w:t>云计算及虚拟化技术</w:t>
      </w:r>
    </w:p>
    <w:p w14:paraId="74534345">
      <w:pPr>
        <w:pStyle w:val="6"/>
      </w:pPr>
      <w:r>
        <w:rPr>
          <w:rFonts w:hint="eastAsia"/>
        </w:rPr>
        <w:t>在云计算中，它主要指平台虚拟化，或者是从使用资源的人和应用程序对物理</w:t>
      </w:r>
      <w:r>
        <w:t xml:space="preserve"> IT 资源的抽象作用。虚拟化允许将服务器、存储设备和其他硬件视为一个资源池，而不是离散系统，这样就可以根据需要来分配这些资源。准虚拟化将单个服务器视为多个虚拟服务器和群集，这样就可以把多个服务器视为单个服务器。作为一种物理资源封装手段，虚拟化技术解决数据中心面对的若干核心难题，并产生具体优势。</w:t>
      </w:r>
    </w:p>
    <w:p w14:paraId="2A3CA760">
      <w:pPr>
        <w:pStyle w:val="8"/>
        <w:rPr>
          <w:rFonts w:hint="eastAsia" w:cstheme="minorBidi"/>
        </w:rPr>
      </w:pPr>
      <w:r>
        <w:rPr>
          <w:rFonts w:hint="eastAsia" w:cstheme="minorBidi"/>
        </w:rPr>
        <w:t>消息队列技术</w:t>
      </w:r>
    </w:p>
    <w:p w14:paraId="20623C6A">
      <w:pPr>
        <w:pStyle w:val="6"/>
      </w:pPr>
      <w:r>
        <w:rPr>
          <w:rFonts w:hint="eastAsia"/>
        </w:rPr>
        <w:t>消息队列是在消息的传输过程中保存消息的容器，消息队列管理器在将消息从它的源中继到它的目标时充当中间人。队列的主要目的是提供路由并保证消息的传递；如果发送消息时接收者不可用，消息队列会保留消息，直到可以成功地传递它。</w:t>
      </w:r>
    </w:p>
    <w:p w14:paraId="3484BF2D">
      <w:pPr>
        <w:pStyle w:val="8"/>
        <w:rPr>
          <w:rFonts w:hint="eastAsia" w:cstheme="minorBidi"/>
        </w:rPr>
      </w:pPr>
      <w:r>
        <w:rPr>
          <w:rFonts w:cstheme="minorBidi"/>
        </w:rPr>
        <w:t>移动通信技术</w:t>
      </w:r>
    </w:p>
    <w:p w14:paraId="22A25178">
      <w:pPr>
        <w:pStyle w:val="6"/>
      </w:pPr>
      <w:r>
        <w:rPr>
          <w:rFonts w:hint="eastAsia"/>
        </w:rPr>
        <w:t>依托3G/4</w:t>
      </w:r>
      <w:r>
        <w:t>G/5G移动通信网络，建立移动终端与监督指挥中心的无线互连，实现语音、数据、短信、定位等业务协同运作。基于移动通信网络环境，监督员可利用智能移动终端方便快捷地实现与监督指挥中心的数据通信和语音通信。基于移动通信网络环境，并结合</w:t>
      </w:r>
      <w:r>
        <w:rPr>
          <w:rFonts w:hint="eastAsia"/>
        </w:rPr>
        <w:t>北斗等</w:t>
      </w:r>
      <w:r>
        <w:t>定位技术和LBS技术，可以对城市管理监督员在规定区域内的工作状况进行有效监督，实现对监督员的科学管理。</w:t>
      </w:r>
    </w:p>
    <w:p w14:paraId="43992604">
      <w:pPr>
        <w:pStyle w:val="8"/>
        <w:rPr>
          <w:rFonts w:hint="eastAsia" w:cstheme="minorBidi"/>
        </w:rPr>
      </w:pPr>
      <w:r>
        <w:rPr>
          <w:rFonts w:cstheme="minorBidi"/>
        </w:rPr>
        <w:t>信息集成技术</w:t>
      </w:r>
    </w:p>
    <w:p w14:paraId="74E4FC24">
      <w:pPr>
        <w:pStyle w:val="6"/>
      </w:pPr>
      <w:r>
        <w:rPr>
          <w:rFonts w:hint="eastAsia"/>
        </w:rPr>
        <w:t>信息集成技术集呼叫处理、语音处理、网络通信等各项新技术于一体，采用“统一接入、分级处理、逻辑集中、物理分离”的模式，全面处理来自语音、传真、</w:t>
      </w:r>
      <w:r>
        <w:t>E-mail、VOIP、手机短信等多渠道信息。通过电话接驳、移动通信、三方通话和多方会议等功能，实现市、区和相关部门的协调指挥。</w:t>
      </w:r>
    </w:p>
    <w:p w14:paraId="433FCD11">
      <w:pPr>
        <w:pStyle w:val="8"/>
        <w:rPr>
          <w:rFonts w:hint="eastAsia" w:cstheme="minorBidi"/>
        </w:rPr>
      </w:pPr>
      <w:r>
        <w:rPr>
          <w:rFonts w:cstheme="minorBidi"/>
        </w:rPr>
        <w:t>空间信息技术</w:t>
      </w:r>
    </w:p>
    <w:p w14:paraId="002CB195">
      <w:pPr>
        <w:pStyle w:val="6"/>
      </w:pPr>
      <w:r>
        <w:rPr>
          <w:rFonts w:hint="eastAsia"/>
        </w:rPr>
        <w:t>空间信息技术是指以地理信息系统（</w:t>
      </w:r>
      <w:r>
        <w:t>GIS）、</w:t>
      </w:r>
      <w:r>
        <w:rPr>
          <w:rFonts w:hint="eastAsia"/>
        </w:rPr>
        <w:t>北斗</w:t>
      </w:r>
      <w:r>
        <w:rPr>
          <w:rFonts w:hint="eastAsia"/>
          <w:lang w:val="en-US" w:eastAsia="zh-CN"/>
        </w:rPr>
        <w:t>定位</w:t>
      </w:r>
      <w:r>
        <w:t>、遥感（RS）等为代表的处理地理空间位置相关数据的信息技术。</w:t>
      </w:r>
    </w:p>
    <w:p w14:paraId="3236A37C">
      <w:pPr>
        <w:pStyle w:val="8"/>
        <w:rPr>
          <w:rFonts w:hint="eastAsia" w:cstheme="minorBidi"/>
        </w:rPr>
      </w:pPr>
      <w:r>
        <w:rPr>
          <w:rFonts w:cstheme="minorBidi"/>
        </w:rPr>
        <w:t>城市部件和事件管理技术</w:t>
      </w:r>
    </w:p>
    <w:p w14:paraId="3656C03F">
      <w:pPr>
        <w:pStyle w:val="6"/>
      </w:pPr>
      <w:r>
        <w:rPr>
          <w:rFonts w:hint="eastAsia"/>
        </w:rPr>
        <w:t>城市部件管理法是指运用分类编码技术，将所有城市部件按照地理坐标定位到单元网格中，明确各部件的管理职责，通过网格化城市管理信息平台对其进行分类管理的方法。实施城市部件管理法，可以实现由粗放到精确，由人工管理到信息管理的转变。</w:t>
      </w:r>
    </w:p>
    <w:p w14:paraId="404BC0A3">
      <w:pPr>
        <w:pStyle w:val="8"/>
        <w:rPr>
          <w:rFonts w:hint="eastAsia" w:cstheme="minorBidi"/>
        </w:rPr>
      </w:pPr>
      <w:r>
        <w:rPr>
          <w:rFonts w:cstheme="minorBidi"/>
        </w:rPr>
        <w:t>数据库技术</w:t>
      </w:r>
    </w:p>
    <w:p w14:paraId="13FED8B8">
      <w:pPr>
        <w:pStyle w:val="6"/>
        <w:rPr>
          <w:rFonts w:hint="default" w:eastAsia="宋体"/>
          <w:lang w:val="en-US" w:eastAsia="zh-CN"/>
        </w:rPr>
      </w:pPr>
      <w:r>
        <w:rPr>
          <w:rFonts w:hint="eastAsia"/>
        </w:rPr>
        <w:t>城市运行管理服务平台的建设必然需要借助于数据库技术特别是数据库新技术。</w:t>
      </w:r>
      <w:r>
        <w:rPr>
          <w:rFonts w:hint="eastAsia"/>
          <w:lang w:val="en-US" w:eastAsia="zh-CN"/>
        </w:rPr>
        <w:t>本次将采用分布式数据库技术和数据仓库技术。</w:t>
      </w:r>
    </w:p>
    <w:p w14:paraId="63C5962F">
      <w:pPr>
        <w:pStyle w:val="8"/>
        <w:rPr>
          <w:rFonts w:hint="eastAsia" w:cstheme="minorBidi"/>
        </w:rPr>
      </w:pPr>
      <w:r>
        <w:rPr>
          <w:rFonts w:cstheme="minorBidi"/>
        </w:rPr>
        <w:t>数据共享与交换技术</w:t>
      </w:r>
    </w:p>
    <w:p w14:paraId="29049A6B">
      <w:pPr>
        <w:pStyle w:val="6"/>
      </w:pPr>
      <w:r>
        <w:rPr>
          <w:rFonts w:hint="eastAsia"/>
        </w:rPr>
        <w:t>城市运行管理服务平台的建设最终走向城市管理的“大城管化”，因此必然涉及到行政和信息资源整合，利用数据共享与交换技术能很好整合挖掘政务资源信息，达到各个部门数据的交互访问及使用。</w:t>
      </w:r>
    </w:p>
    <w:p w14:paraId="2ED2EC0E">
      <w:pPr>
        <w:pStyle w:val="8"/>
        <w:rPr>
          <w:rFonts w:hint="eastAsia" w:cstheme="minorBidi"/>
        </w:rPr>
      </w:pPr>
      <w:r>
        <w:rPr>
          <w:rFonts w:cstheme="minorBidi"/>
        </w:rPr>
        <w:t>数据融合与挖掘技术</w:t>
      </w:r>
    </w:p>
    <w:p w14:paraId="3B909FD2">
      <w:pPr>
        <w:pStyle w:val="6"/>
      </w:pPr>
      <w:r>
        <w:rPr>
          <w:rFonts w:hint="eastAsia"/>
        </w:rPr>
        <w:t>城市运行管理服务平台的建设有必要大力引入数据融合与挖掘技术。利用数据融合与挖掘技术，可以将城市管理对象按照不同时期、不同重点任意分类、组合，实现城市管理对象的专项普查信息的处理和城市管理评价体系的智慧化，并提高数据和信息的应用层次。</w:t>
      </w:r>
    </w:p>
    <w:p w14:paraId="3BCDADC6">
      <w:pPr>
        <w:pStyle w:val="7"/>
        <w:rPr>
          <w:rFonts w:hint="eastAsia"/>
        </w:rPr>
      </w:pPr>
      <w:bookmarkStart w:id="88" w:name="_Toc31019"/>
      <w:r>
        <w:rPr>
          <w:rFonts w:hint="eastAsia"/>
        </w:rPr>
        <w:t>部署方案</w:t>
      </w:r>
      <w:bookmarkEnd w:id="88"/>
    </w:p>
    <w:p w14:paraId="3743D01D">
      <w:pPr>
        <w:pStyle w:val="8"/>
        <w:rPr>
          <w:rFonts w:hint="eastAsia"/>
        </w:rPr>
      </w:pPr>
      <w:r>
        <w:rPr>
          <w:rFonts w:hint="eastAsia"/>
        </w:rPr>
        <w:t>系统部署</w:t>
      </w:r>
    </w:p>
    <w:p w14:paraId="5DBBD329">
      <w:pPr>
        <w:spacing w:line="276" w:lineRule="auto"/>
        <w:ind w:firstLine="420"/>
        <w:rPr>
          <w:rFonts w:hint="eastAsia" w:ascii="宋体" w:hAnsi="宋体" w:eastAsia="宋体"/>
          <w:sz w:val="24"/>
          <w:szCs w:val="24"/>
        </w:rPr>
      </w:pPr>
      <w:r>
        <w:rPr>
          <w:rFonts w:hint="eastAsia" w:ascii="宋体" w:hAnsi="宋体" w:eastAsia="宋体"/>
          <w:sz w:val="24"/>
          <w:szCs w:val="24"/>
        </w:rPr>
        <w:t>本次大丰区城市运行管理服务平台部署于云平台，其中涉及大丰区城市管理局相关应用部署于政务外网，涉及公众便民服务等（“大丰城管”公众号）部署于互联网，移动端应用也可通过互联网访问。</w:t>
      </w:r>
    </w:p>
    <w:p w14:paraId="69F0716D">
      <w:pPr>
        <w:pStyle w:val="8"/>
        <w:rPr>
          <w:rFonts w:hint="eastAsia"/>
        </w:rPr>
      </w:pPr>
      <w:r>
        <w:rPr>
          <w:rFonts w:hint="eastAsia"/>
        </w:rPr>
        <w:t>云服务器资源</w:t>
      </w:r>
    </w:p>
    <w:p w14:paraId="5E4A85B0">
      <w:pPr>
        <w:spacing w:line="276" w:lineRule="auto"/>
        <w:ind w:firstLine="420"/>
        <w:rPr>
          <w:rFonts w:hint="eastAsia" w:ascii="宋体" w:hAnsi="宋体" w:eastAsia="宋体"/>
          <w:sz w:val="24"/>
          <w:szCs w:val="24"/>
        </w:rPr>
      </w:pPr>
      <w:r>
        <w:rPr>
          <w:rFonts w:hint="eastAsia" w:ascii="宋体" w:hAnsi="宋体" w:eastAsia="宋体"/>
          <w:sz w:val="24"/>
          <w:szCs w:val="24"/>
        </w:rPr>
        <w:t>以下是本次项目的云服务器资源配置要求：</w:t>
      </w:r>
    </w:p>
    <w:tbl>
      <w:tblPr>
        <w:tblStyle w:val="90"/>
        <w:tblW w:w="5000" w:type="pct"/>
        <w:tblInd w:w="0" w:type="dxa"/>
        <w:tblLayout w:type="autofit"/>
        <w:tblCellMar>
          <w:top w:w="0" w:type="dxa"/>
          <w:left w:w="108" w:type="dxa"/>
          <w:bottom w:w="0" w:type="dxa"/>
          <w:right w:w="108" w:type="dxa"/>
        </w:tblCellMar>
      </w:tblPr>
      <w:tblGrid>
        <w:gridCol w:w="808"/>
        <w:gridCol w:w="1952"/>
        <w:gridCol w:w="1018"/>
        <w:gridCol w:w="2441"/>
        <w:gridCol w:w="2303"/>
      </w:tblGrid>
      <w:tr w14:paraId="062CBF27">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shd w:val="clear" w:color="000000" w:fill="FFFFFF"/>
            <w:vAlign w:val="center"/>
          </w:tcPr>
          <w:p w14:paraId="5DCC3A4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1145" w:type="pct"/>
            <w:tcBorders>
              <w:top w:val="single" w:color="auto" w:sz="4" w:space="0"/>
              <w:left w:val="nil"/>
              <w:bottom w:val="single" w:color="auto" w:sz="4" w:space="0"/>
              <w:right w:val="single" w:color="auto" w:sz="4" w:space="0"/>
            </w:tcBorders>
            <w:shd w:val="clear" w:color="000000" w:fill="FFFFFF"/>
            <w:vAlign w:val="center"/>
          </w:tcPr>
          <w:p w14:paraId="0DB81B2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类别</w:t>
            </w:r>
          </w:p>
        </w:tc>
        <w:tc>
          <w:tcPr>
            <w:tcW w:w="597" w:type="pct"/>
            <w:tcBorders>
              <w:top w:val="single" w:color="auto" w:sz="4" w:space="0"/>
              <w:left w:val="nil"/>
              <w:bottom w:val="single" w:color="auto" w:sz="4" w:space="0"/>
              <w:right w:val="single" w:color="auto" w:sz="4" w:space="0"/>
            </w:tcBorders>
            <w:shd w:val="clear" w:color="000000" w:fill="FFFFFF"/>
            <w:vAlign w:val="center"/>
          </w:tcPr>
          <w:p w14:paraId="53644A2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台数</w:t>
            </w:r>
          </w:p>
        </w:tc>
        <w:tc>
          <w:tcPr>
            <w:tcW w:w="1432" w:type="pct"/>
            <w:tcBorders>
              <w:top w:val="single" w:color="auto" w:sz="4" w:space="0"/>
              <w:left w:val="nil"/>
              <w:bottom w:val="single" w:color="auto" w:sz="4" w:space="0"/>
              <w:right w:val="single" w:color="auto" w:sz="4" w:space="0"/>
            </w:tcBorders>
            <w:shd w:val="clear" w:color="000000" w:fill="FFFFFF"/>
            <w:vAlign w:val="center"/>
          </w:tcPr>
          <w:p w14:paraId="1C6EBE3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配置信息</w:t>
            </w:r>
          </w:p>
        </w:tc>
        <w:tc>
          <w:tcPr>
            <w:tcW w:w="1351" w:type="pct"/>
            <w:tcBorders>
              <w:top w:val="single" w:color="auto" w:sz="4" w:space="0"/>
              <w:left w:val="nil"/>
              <w:bottom w:val="single" w:color="auto" w:sz="4" w:space="0"/>
              <w:right w:val="single" w:color="auto" w:sz="4" w:space="0"/>
            </w:tcBorders>
            <w:shd w:val="clear" w:color="000000" w:fill="FFFFFF"/>
            <w:vAlign w:val="center"/>
          </w:tcPr>
          <w:p w14:paraId="2A07D09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服务器类型</w:t>
            </w:r>
          </w:p>
        </w:tc>
      </w:tr>
      <w:tr w14:paraId="26E994BC">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7D3A893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145" w:type="pct"/>
            <w:tcBorders>
              <w:top w:val="single" w:color="auto" w:sz="4" w:space="0"/>
              <w:left w:val="single" w:color="auto" w:sz="4" w:space="0"/>
              <w:bottom w:val="single" w:color="auto" w:sz="4" w:space="0"/>
              <w:right w:val="single" w:color="auto" w:sz="4" w:space="0"/>
            </w:tcBorders>
            <w:vAlign w:val="center"/>
          </w:tcPr>
          <w:p w14:paraId="5EAF7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运管服web服务器-1（互联网）</w:t>
            </w:r>
          </w:p>
        </w:tc>
        <w:tc>
          <w:tcPr>
            <w:tcW w:w="597" w:type="pct"/>
            <w:tcBorders>
              <w:top w:val="single" w:color="auto" w:sz="4" w:space="0"/>
              <w:left w:val="single" w:color="auto" w:sz="4" w:space="0"/>
              <w:bottom w:val="single" w:color="auto" w:sz="4" w:space="0"/>
              <w:right w:val="single" w:color="auto" w:sz="4" w:space="0"/>
            </w:tcBorders>
            <w:vAlign w:val="center"/>
          </w:tcPr>
          <w:p w14:paraId="640C2A0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07F37C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14:paraId="7BC1725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6B5E8646">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643F88E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145" w:type="pct"/>
            <w:tcBorders>
              <w:top w:val="single" w:color="auto" w:sz="4" w:space="0"/>
              <w:left w:val="single" w:color="auto" w:sz="4" w:space="0"/>
              <w:bottom w:val="single" w:color="auto" w:sz="4" w:space="0"/>
              <w:right w:val="single" w:color="auto" w:sz="4" w:space="0"/>
            </w:tcBorders>
            <w:vAlign w:val="center"/>
          </w:tcPr>
          <w:p w14:paraId="38B421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运管服核心应用服务器-1</w:t>
            </w:r>
          </w:p>
        </w:tc>
        <w:tc>
          <w:tcPr>
            <w:tcW w:w="597" w:type="pct"/>
            <w:tcBorders>
              <w:top w:val="single" w:color="auto" w:sz="4" w:space="0"/>
              <w:left w:val="single" w:color="auto" w:sz="4" w:space="0"/>
              <w:bottom w:val="single" w:color="auto" w:sz="4" w:space="0"/>
              <w:right w:val="single" w:color="auto" w:sz="4" w:space="0"/>
            </w:tcBorders>
            <w:vAlign w:val="center"/>
          </w:tcPr>
          <w:p w14:paraId="1F66CA8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34D1D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53E4CEF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061ECE79">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7CDE25F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145" w:type="pct"/>
            <w:tcBorders>
              <w:top w:val="single" w:color="auto" w:sz="4" w:space="0"/>
              <w:left w:val="single" w:color="auto" w:sz="4" w:space="0"/>
              <w:bottom w:val="single" w:color="auto" w:sz="4" w:space="0"/>
              <w:right w:val="single" w:color="auto" w:sz="4" w:space="0"/>
            </w:tcBorders>
            <w:vAlign w:val="center"/>
          </w:tcPr>
          <w:p w14:paraId="0EA468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运管服核心应用服务器-2</w:t>
            </w:r>
          </w:p>
        </w:tc>
        <w:tc>
          <w:tcPr>
            <w:tcW w:w="597" w:type="pct"/>
            <w:tcBorders>
              <w:top w:val="single" w:color="auto" w:sz="4" w:space="0"/>
              <w:left w:val="single" w:color="auto" w:sz="4" w:space="0"/>
              <w:bottom w:val="single" w:color="auto" w:sz="4" w:space="0"/>
              <w:right w:val="single" w:color="auto" w:sz="4" w:space="0"/>
            </w:tcBorders>
            <w:vAlign w:val="center"/>
          </w:tcPr>
          <w:p w14:paraId="0CC852D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210ADE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743D843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4449EAE7">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0699620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145" w:type="pct"/>
            <w:tcBorders>
              <w:top w:val="single" w:color="auto" w:sz="4" w:space="0"/>
              <w:left w:val="single" w:color="auto" w:sz="4" w:space="0"/>
              <w:bottom w:val="single" w:color="auto" w:sz="4" w:space="0"/>
              <w:right w:val="single" w:color="auto" w:sz="4" w:space="0"/>
            </w:tcBorders>
            <w:vAlign w:val="center"/>
          </w:tcPr>
          <w:p w14:paraId="341EF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综合应用服务器</w:t>
            </w:r>
          </w:p>
        </w:tc>
        <w:tc>
          <w:tcPr>
            <w:tcW w:w="597" w:type="pct"/>
            <w:tcBorders>
              <w:top w:val="single" w:color="auto" w:sz="4" w:space="0"/>
              <w:left w:val="single" w:color="auto" w:sz="4" w:space="0"/>
              <w:bottom w:val="single" w:color="auto" w:sz="4" w:space="0"/>
              <w:right w:val="single" w:color="auto" w:sz="4" w:space="0"/>
            </w:tcBorders>
            <w:vAlign w:val="center"/>
          </w:tcPr>
          <w:p w14:paraId="4087233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41E3B2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3909862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1A86CF5B">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5F14881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1145" w:type="pct"/>
            <w:tcBorders>
              <w:top w:val="single" w:color="auto" w:sz="4" w:space="0"/>
              <w:left w:val="single" w:color="auto" w:sz="4" w:space="0"/>
              <w:bottom w:val="single" w:color="auto" w:sz="4" w:space="0"/>
              <w:right w:val="single" w:color="auto" w:sz="4" w:space="0"/>
            </w:tcBorders>
            <w:vAlign w:val="center"/>
          </w:tcPr>
          <w:p w14:paraId="5BA28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运管服中间件服务器-1+缓存服务器</w:t>
            </w:r>
          </w:p>
        </w:tc>
        <w:tc>
          <w:tcPr>
            <w:tcW w:w="597" w:type="pct"/>
            <w:tcBorders>
              <w:top w:val="single" w:color="auto" w:sz="4" w:space="0"/>
              <w:left w:val="single" w:color="auto" w:sz="4" w:space="0"/>
              <w:bottom w:val="single" w:color="auto" w:sz="4" w:space="0"/>
              <w:right w:val="single" w:color="auto" w:sz="4" w:space="0"/>
            </w:tcBorders>
            <w:vAlign w:val="center"/>
          </w:tcPr>
          <w:p w14:paraId="547B403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330C41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425098A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63A68B5C">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60A8856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1145" w:type="pct"/>
            <w:tcBorders>
              <w:top w:val="single" w:color="auto" w:sz="4" w:space="0"/>
              <w:left w:val="single" w:color="auto" w:sz="4" w:space="0"/>
              <w:bottom w:val="single" w:color="auto" w:sz="4" w:space="0"/>
              <w:right w:val="single" w:color="auto" w:sz="4" w:space="0"/>
            </w:tcBorders>
            <w:vAlign w:val="center"/>
          </w:tcPr>
          <w:p w14:paraId="23FBC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主数据库服务器</w:t>
            </w:r>
          </w:p>
        </w:tc>
        <w:tc>
          <w:tcPr>
            <w:tcW w:w="597" w:type="pct"/>
            <w:tcBorders>
              <w:top w:val="single" w:color="auto" w:sz="4" w:space="0"/>
              <w:left w:val="single" w:color="auto" w:sz="4" w:space="0"/>
              <w:bottom w:val="single" w:color="auto" w:sz="4" w:space="0"/>
              <w:right w:val="single" w:color="auto" w:sz="4" w:space="0"/>
            </w:tcBorders>
            <w:vAlign w:val="center"/>
          </w:tcPr>
          <w:p w14:paraId="77D987E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02E5D0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vCPU:16核心，内存：64G</w:t>
            </w:r>
          </w:p>
        </w:tc>
        <w:tc>
          <w:tcPr>
            <w:tcW w:w="1351" w:type="pct"/>
            <w:tcBorders>
              <w:top w:val="single" w:color="auto" w:sz="4" w:space="0"/>
              <w:left w:val="single" w:color="auto" w:sz="4" w:space="0"/>
              <w:bottom w:val="single" w:color="auto" w:sz="4" w:space="0"/>
              <w:right w:val="single" w:color="auto" w:sz="4" w:space="0"/>
            </w:tcBorders>
            <w:vAlign w:val="center"/>
          </w:tcPr>
          <w:p w14:paraId="655D3E6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5D41C97C">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2B932AE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1145" w:type="pct"/>
            <w:tcBorders>
              <w:top w:val="single" w:color="auto" w:sz="4" w:space="0"/>
              <w:left w:val="single" w:color="auto" w:sz="4" w:space="0"/>
              <w:bottom w:val="single" w:color="auto" w:sz="4" w:space="0"/>
              <w:right w:val="single" w:color="auto" w:sz="4" w:space="0"/>
            </w:tcBorders>
            <w:vAlign w:val="center"/>
          </w:tcPr>
          <w:p w14:paraId="1FD2AF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备份数据库服务器+NOSQL文件存储服务器</w:t>
            </w:r>
          </w:p>
        </w:tc>
        <w:tc>
          <w:tcPr>
            <w:tcW w:w="597" w:type="pct"/>
            <w:tcBorders>
              <w:top w:val="single" w:color="auto" w:sz="4" w:space="0"/>
              <w:left w:val="single" w:color="auto" w:sz="4" w:space="0"/>
              <w:bottom w:val="single" w:color="auto" w:sz="4" w:space="0"/>
              <w:right w:val="single" w:color="auto" w:sz="4" w:space="0"/>
            </w:tcBorders>
            <w:vAlign w:val="center"/>
          </w:tcPr>
          <w:p w14:paraId="4A9E452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0552BA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10E74C7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23C8AAFD">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36769D0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1145" w:type="pct"/>
            <w:tcBorders>
              <w:top w:val="single" w:color="auto" w:sz="4" w:space="0"/>
              <w:left w:val="single" w:color="auto" w:sz="4" w:space="0"/>
              <w:bottom w:val="single" w:color="auto" w:sz="4" w:space="0"/>
              <w:right w:val="single" w:color="auto" w:sz="4" w:space="0"/>
            </w:tcBorders>
            <w:vAlign w:val="center"/>
          </w:tcPr>
          <w:p w14:paraId="47A5C8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运维跳板机</w:t>
            </w:r>
          </w:p>
        </w:tc>
        <w:tc>
          <w:tcPr>
            <w:tcW w:w="597" w:type="pct"/>
            <w:tcBorders>
              <w:top w:val="single" w:color="auto" w:sz="4" w:space="0"/>
              <w:left w:val="single" w:color="auto" w:sz="4" w:space="0"/>
              <w:bottom w:val="single" w:color="auto" w:sz="4" w:space="0"/>
              <w:right w:val="single" w:color="auto" w:sz="4" w:space="0"/>
            </w:tcBorders>
            <w:vAlign w:val="center"/>
          </w:tcPr>
          <w:p w14:paraId="275E733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333DDD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14:paraId="52540D2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bl>
    <w:p w14:paraId="3B822F16">
      <w:pPr>
        <w:spacing w:line="276" w:lineRule="auto"/>
        <w:rPr>
          <w:rFonts w:hint="eastAsia" w:ascii="宋体" w:hAnsi="宋体" w:eastAsia="宋体"/>
          <w:sz w:val="24"/>
          <w:szCs w:val="24"/>
        </w:rPr>
      </w:pPr>
    </w:p>
    <w:p w14:paraId="4D73A79B">
      <w:pPr>
        <w:pStyle w:val="8"/>
        <w:rPr>
          <w:rFonts w:hint="eastAsia"/>
        </w:rPr>
      </w:pPr>
      <w:r>
        <w:rPr>
          <w:rFonts w:hint="eastAsia"/>
        </w:rPr>
        <w:t>安全防护</w:t>
      </w:r>
    </w:p>
    <w:p w14:paraId="1D0F51DA">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政务云平台自带网络边界入侵检测和防御、平台主机安全策略检测、入侵检测及防御、平台威胁态势感知和分析、安全防护策略调优、安全运维支持。可提供DDOS清洗/检测、入侵检测、防火墙、日志审计（云审计，云日志，云监控）等能力。</w:t>
      </w:r>
    </w:p>
    <w:p w14:paraId="5831D81C">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因此，本次项目需要基于政务云的安全能力清单如下：</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1212"/>
        <w:gridCol w:w="1096"/>
        <w:gridCol w:w="3454"/>
      </w:tblGrid>
      <w:tr w14:paraId="7365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7CAE7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Web应用防火墙</w:t>
            </w:r>
          </w:p>
        </w:tc>
        <w:tc>
          <w:tcPr>
            <w:tcW w:w="711" w:type="pct"/>
            <w:vAlign w:val="center"/>
          </w:tcPr>
          <w:p w14:paraId="4F911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0D9491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44A0E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云WAF-Web应用防火墙W1标准型</w:t>
            </w:r>
          </w:p>
        </w:tc>
      </w:tr>
      <w:tr w14:paraId="02EC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589BC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主机安全</w:t>
            </w:r>
          </w:p>
        </w:tc>
        <w:tc>
          <w:tcPr>
            <w:tcW w:w="711" w:type="pct"/>
            <w:vAlign w:val="center"/>
          </w:tcPr>
          <w:p w14:paraId="3AB286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00765E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0817D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主机安全服务（资产管理、漏洞管理、基线检查、入侵检测）</w:t>
            </w:r>
          </w:p>
        </w:tc>
      </w:tr>
      <w:tr w14:paraId="11E1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3460E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数据库安全</w:t>
            </w:r>
          </w:p>
        </w:tc>
        <w:tc>
          <w:tcPr>
            <w:tcW w:w="711" w:type="pct"/>
            <w:vAlign w:val="center"/>
          </w:tcPr>
          <w:p w14:paraId="646A79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0506C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5C344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数据库审计服务C1标准版</w:t>
            </w:r>
          </w:p>
        </w:tc>
      </w:tr>
      <w:tr w14:paraId="7615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44739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堡垒机</w:t>
            </w:r>
          </w:p>
        </w:tc>
        <w:tc>
          <w:tcPr>
            <w:tcW w:w="711" w:type="pct"/>
            <w:vAlign w:val="center"/>
          </w:tcPr>
          <w:p w14:paraId="723B77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5B07A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27013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云堡垒机5资产</w:t>
            </w:r>
          </w:p>
        </w:tc>
      </w:tr>
      <w:tr w14:paraId="50E1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2C300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安全日志审计</w:t>
            </w:r>
          </w:p>
        </w:tc>
        <w:tc>
          <w:tcPr>
            <w:tcW w:w="711" w:type="pct"/>
            <w:vAlign w:val="center"/>
          </w:tcPr>
          <w:p w14:paraId="70BB0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1C560C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297F6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安全日志审计</w:t>
            </w:r>
          </w:p>
        </w:tc>
      </w:tr>
      <w:tr w14:paraId="4FE8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45B17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密码安全服务</w:t>
            </w:r>
          </w:p>
        </w:tc>
        <w:tc>
          <w:tcPr>
            <w:tcW w:w="711" w:type="pct"/>
            <w:vAlign w:val="center"/>
          </w:tcPr>
          <w:p w14:paraId="79CEC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496D8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0B4B23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密码安全服务实例，包含一个通用密码服务实例，客户可根据需求自己进行实例配置，实例种类包含如下10 类(1.协同签名服务 2.动态令牌认证服务 3.签名验签服务 4.数据加解密服务 5.数据库加密服务 6.文件加密服务 7.SSLVPN 服务 8.电子签章服务 9.时间戳服务10.密钥管理服务)</w:t>
            </w:r>
          </w:p>
        </w:tc>
      </w:tr>
    </w:tbl>
    <w:p w14:paraId="799F0E6F">
      <w:pPr>
        <w:pStyle w:val="8"/>
        <w:rPr>
          <w:rFonts w:hint="eastAsia"/>
        </w:rPr>
      </w:pPr>
      <w:r>
        <w:rPr>
          <w:rFonts w:hint="eastAsia"/>
        </w:rPr>
        <w:t>系统运行环境</w:t>
      </w:r>
    </w:p>
    <w:p w14:paraId="01421FE6">
      <w:pPr>
        <w:spacing w:line="276" w:lineRule="auto"/>
        <w:ind w:firstLine="420"/>
        <w:rPr>
          <w:rFonts w:hint="eastAsia" w:ascii="宋体" w:hAnsi="宋体" w:eastAsia="宋体"/>
          <w:sz w:val="24"/>
          <w:szCs w:val="24"/>
        </w:rPr>
      </w:pPr>
      <w:r>
        <w:rPr>
          <w:rFonts w:hint="eastAsia" w:ascii="宋体" w:hAnsi="宋体" w:eastAsia="宋体"/>
          <w:sz w:val="24"/>
          <w:szCs w:val="24"/>
        </w:rPr>
        <w:t>本次系统运行软件环境均为满足信创要求的国产化环境，具体包括操作系统、数据库、中间件等。</w:t>
      </w:r>
    </w:p>
    <w:p w14:paraId="77949009">
      <w:pPr>
        <w:pStyle w:val="14"/>
        <w:rPr>
          <w:rFonts w:hint="eastAsia"/>
        </w:rPr>
      </w:pPr>
      <w:r>
        <w:rPr>
          <w:rFonts w:hint="eastAsia"/>
        </w:rPr>
        <w:t>操作系统</w:t>
      </w:r>
    </w:p>
    <w:p w14:paraId="5F3DEEC5">
      <w:pPr>
        <w:spacing w:line="276" w:lineRule="auto"/>
        <w:ind w:firstLine="420"/>
        <w:rPr>
          <w:rFonts w:hint="eastAsia" w:ascii="宋体" w:hAnsi="宋体" w:eastAsia="宋体"/>
          <w:sz w:val="24"/>
          <w:szCs w:val="24"/>
        </w:rPr>
      </w:pPr>
      <w:r>
        <w:rPr>
          <w:rFonts w:hint="eastAsia" w:ascii="宋体" w:hAnsi="宋体" w:eastAsia="宋体"/>
          <w:sz w:val="24"/>
          <w:szCs w:val="24"/>
        </w:rPr>
        <w:t>结合深化信创改造要求，国产化操作系统提供长期稳定的升级服务以确保用户业务系统、数据中心的稳定持续运行的特性，本期建议</w:t>
      </w:r>
      <w:r>
        <w:rPr>
          <w:rFonts w:hint="eastAsia" w:ascii="宋体" w:hAnsi="宋体" w:eastAsia="宋体"/>
          <w:sz w:val="24"/>
          <w:szCs w:val="24"/>
          <w:lang w:val="en-US" w:eastAsia="zh-CN"/>
        </w:rPr>
        <w:t>使用国产操作系统</w:t>
      </w:r>
      <w:r>
        <w:rPr>
          <w:rFonts w:hint="eastAsia" w:ascii="宋体" w:hAnsi="宋体" w:eastAsia="宋体"/>
          <w:sz w:val="24"/>
          <w:szCs w:val="24"/>
        </w:rPr>
        <w:t>作为应用服务器、接入网关服务器使用，操作系统数据中心建设的基础，确保本项目满足政府信创要求。</w:t>
      </w:r>
    </w:p>
    <w:p w14:paraId="54C2890F">
      <w:pPr>
        <w:pStyle w:val="14"/>
        <w:rPr>
          <w:rFonts w:hint="eastAsia"/>
        </w:rPr>
      </w:pPr>
      <w:r>
        <w:rPr>
          <w:rFonts w:hint="eastAsia"/>
        </w:rPr>
        <w:t>数据库</w:t>
      </w:r>
    </w:p>
    <w:p w14:paraId="4A891F33">
      <w:pPr>
        <w:spacing w:line="276" w:lineRule="auto"/>
        <w:ind w:firstLine="420"/>
        <w:rPr>
          <w:rFonts w:hint="eastAsia" w:ascii="宋体" w:hAnsi="宋体" w:eastAsia="宋体"/>
          <w:sz w:val="24"/>
          <w:szCs w:val="24"/>
        </w:rPr>
      </w:pPr>
      <w:r>
        <w:rPr>
          <w:rFonts w:hint="eastAsia" w:ascii="宋体" w:hAnsi="宋体" w:eastAsia="宋体"/>
          <w:sz w:val="24"/>
          <w:szCs w:val="24"/>
        </w:rPr>
        <w:t>本期项目建议使用国产主流数据库，系统中所有涉及与数据库之间的交互操作功能，比如数据库连接方式、数据库表建立与存取、SQL语句表达、视图、触发器、存储过程调用等，都需要根据安全可靠要求进行适配，迁移工作包括分析、设计、开发、调试、压力测试等工作。</w:t>
      </w:r>
    </w:p>
    <w:p w14:paraId="102022E0">
      <w:pPr>
        <w:pStyle w:val="5"/>
        <w:rPr>
          <w:rFonts w:hint="eastAsia"/>
        </w:rPr>
      </w:pPr>
      <w:bookmarkStart w:id="89" w:name="_Toc28553"/>
      <w:r>
        <w:rPr>
          <w:rFonts w:hint="eastAsia"/>
        </w:rPr>
        <w:t>建设目标</w:t>
      </w:r>
      <w:bookmarkEnd w:id="89"/>
    </w:p>
    <w:p w14:paraId="7205AF3F">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大丰区城市运行管理服务平台项目将基于盐城市城市运行管理服务平台项目进行本地化部署，行业应用结合大丰区实际规划设计，以城市运行管理“一网统管”为目标，围绕城市运行安全高效健康、城市管理干净整洁有序、为民服务精准精细精致，以物联网、大数据、人工智能、5G移动通信等前沿技术为支撑，整合城市运行管理服务相关信息系统，汇聚共享数据资源，加快现有信息化系统的迭代升级，全面建成城市运管服平台，加强对城市运行管理服务状况的实时监测、动态分析、统筹协调、指挥监督和综合评价，不断增强人民群众的获得感、幸福感、安全感。</w:t>
      </w:r>
    </w:p>
    <w:p w14:paraId="018B53ED">
      <w:pPr>
        <w:pStyle w:val="5"/>
        <w:rPr>
          <w:rFonts w:hint="eastAsia"/>
        </w:rPr>
      </w:pPr>
      <w:bookmarkStart w:id="90" w:name="_Toc12304"/>
      <w:r>
        <w:rPr>
          <w:rFonts w:hint="eastAsia"/>
        </w:rPr>
        <w:t>标准规范建设方案</w:t>
      </w:r>
      <w:bookmarkEnd w:id="90"/>
    </w:p>
    <w:p w14:paraId="22A84874">
      <w:pPr>
        <w:spacing w:line="276" w:lineRule="auto"/>
        <w:ind w:firstLine="420"/>
        <w:rPr>
          <w:rFonts w:hint="eastAsia" w:ascii="宋体" w:hAnsi="宋体" w:eastAsia="宋体"/>
          <w:sz w:val="24"/>
          <w:szCs w:val="24"/>
        </w:rPr>
      </w:pPr>
      <w:r>
        <w:rPr>
          <w:rFonts w:hint="eastAsia" w:ascii="宋体" w:hAnsi="宋体" w:eastAsia="宋体"/>
          <w:sz w:val="24"/>
          <w:szCs w:val="24"/>
        </w:rPr>
        <w:t>本次项目建设主要涵盖城市运行管理服务平台相关业务，包括垃圾分类、建筑垃圾等业务，大丰区本级不会单独编写相关标准规范，将统一沿用盐城市相关业务方向的政策及标准规范，以满足市级考核、管理要求。</w:t>
      </w:r>
    </w:p>
    <w:p w14:paraId="30BCA0B0">
      <w:pPr>
        <w:pStyle w:val="5"/>
        <w:rPr>
          <w:rFonts w:hint="eastAsia"/>
        </w:rPr>
      </w:pPr>
      <w:bookmarkStart w:id="91" w:name="_Toc10953"/>
      <w:r>
        <w:rPr>
          <w:rFonts w:hint="eastAsia"/>
        </w:rPr>
        <w:t>应用系统设计方案</w:t>
      </w:r>
      <w:bookmarkEnd w:id="91"/>
    </w:p>
    <w:p w14:paraId="6267E110">
      <w:pPr>
        <w:pStyle w:val="7"/>
        <w:rPr>
          <w:rFonts w:hint="eastAsia"/>
        </w:rPr>
      </w:pPr>
      <w:bookmarkStart w:id="92" w:name="_Toc51782100"/>
      <w:bookmarkStart w:id="93" w:name="_Toc61694033"/>
      <w:bookmarkStart w:id="94" w:name="_Toc51782317"/>
      <w:bookmarkStart w:id="95" w:name="_Toc51781890"/>
      <w:bookmarkStart w:id="96" w:name="_Toc20511"/>
      <w:bookmarkStart w:id="97" w:name="_Toc45117725"/>
      <w:bookmarkStart w:id="98" w:name="_Toc42506235"/>
      <w:bookmarkStart w:id="99" w:name="_Toc62840962"/>
      <w:bookmarkStart w:id="100" w:name="_Toc58504748"/>
      <w:bookmarkStart w:id="101" w:name="_Toc64887217"/>
      <w:bookmarkStart w:id="102" w:name="_Toc138067457"/>
      <w:r>
        <w:rPr>
          <w:rFonts w:hint="eastAsia"/>
        </w:rPr>
        <w:t>业务指导系统</w:t>
      </w:r>
      <w:bookmarkEnd w:id="92"/>
      <w:bookmarkEnd w:id="93"/>
      <w:bookmarkEnd w:id="94"/>
      <w:bookmarkEnd w:id="95"/>
      <w:bookmarkEnd w:id="96"/>
      <w:bookmarkEnd w:id="97"/>
      <w:bookmarkEnd w:id="98"/>
      <w:bookmarkEnd w:id="99"/>
      <w:bookmarkEnd w:id="100"/>
      <w:bookmarkEnd w:id="101"/>
      <w:bookmarkEnd w:id="102"/>
    </w:p>
    <w:p w14:paraId="0B9C2922">
      <w:pPr>
        <w:spacing w:line="276" w:lineRule="auto"/>
        <w:ind w:firstLine="480"/>
        <w:rPr>
          <w:rFonts w:hint="eastAsia" w:ascii="宋体" w:hAnsi="宋体" w:eastAsia="宋体"/>
          <w:sz w:val="24"/>
          <w:szCs w:val="24"/>
        </w:rPr>
      </w:pPr>
      <w:r>
        <w:rPr>
          <w:rFonts w:hint="eastAsia" w:ascii="宋体" w:hAnsi="宋体" w:eastAsia="宋体"/>
          <w:sz w:val="24"/>
          <w:szCs w:val="24"/>
        </w:rPr>
        <w:t>业务指导系统共用国家平台的业务指导系统，包括政策法规模块、行业动态模块和经验交流模块。将国家平台业务指导系统连接至盐城市城市运行管理服务平台，登录我市运行管理服务平台可进入国家平台的业务指导系统。</w:t>
      </w:r>
    </w:p>
    <w:p w14:paraId="41A36ABF">
      <w:pPr>
        <w:spacing w:line="276" w:lineRule="auto"/>
        <w:ind w:firstLine="480"/>
        <w:rPr>
          <w:rFonts w:hint="eastAsia" w:ascii="宋体" w:hAnsi="宋体" w:eastAsia="宋体"/>
          <w:sz w:val="24"/>
          <w:szCs w:val="24"/>
        </w:rPr>
      </w:pPr>
      <w:r>
        <w:rPr>
          <w:rFonts w:hint="eastAsia" w:ascii="宋体" w:hAnsi="宋体" w:eastAsia="宋体"/>
          <w:sz w:val="24"/>
          <w:szCs w:val="24"/>
        </w:rPr>
        <w:t>政策法规模块</w:t>
      </w:r>
      <w:bookmarkStart w:id="103" w:name="_Hlk67327943"/>
      <w:r>
        <w:rPr>
          <w:rFonts w:hint="eastAsia" w:ascii="宋体" w:hAnsi="宋体" w:eastAsia="宋体"/>
          <w:sz w:val="24"/>
          <w:szCs w:val="24"/>
        </w:rPr>
        <w:t>具备汇聚、共享和展示城市管理领域法律、法规、规章、规范性文件以及标准规范功能。</w:t>
      </w:r>
      <w:bookmarkEnd w:id="103"/>
    </w:p>
    <w:p w14:paraId="4DD8C329">
      <w:pPr>
        <w:spacing w:line="276" w:lineRule="auto"/>
        <w:ind w:firstLine="480"/>
        <w:rPr>
          <w:rFonts w:hint="eastAsia" w:ascii="宋体" w:hAnsi="宋体" w:eastAsia="宋体"/>
          <w:sz w:val="24"/>
          <w:szCs w:val="24"/>
        </w:rPr>
      </w:pPr>
      <w:r>
        <w:rPr>
          <w:rFonts w:hint="eastAsia" w:ascii="宋体" w:hAnsi="宋体" w:eastAsia="宋体"/>
          <w:sz w:val="24"/>
          <w:szCs w:val="24"/>
        </w:rPr>
        <w:t>行业动态模块具备汇聚、共享和展示城市管理机构设置、队伍建设、执法保障、信息化应用、改革进展、专项行动和重点任务落实情况功能。</w:t>
      </w:r>
    </w:p>
    <w:p w14:paraId="557C3144">
      <w:pPr>
        <w:spacing w:line="276" w:lineRule="auto"/>
        <w:ind w:firstLine="480"/>
        <w:rPr>
          <w:rFonts w:hint="eastAsia" w:ascii="宋体" w:hAnsi="宋体" w:eastAsia="宋体"/>
          <w:sz w:val="24"/>
          <w:szCs w:val="24"/>
        </w:rPr>
      </w:pPr>
      <w:r>
        <w:rPr>
          <w:rFonts w:hint="eastAsia" w:ascii="宋体" w:hAnsi="宋体" w:eastAsia="宋体"/>
          <w:sz w:val="24"/>
          <w:szCs w:val="24"/>
        </w:rPr>
        <w:t>经验交流模块具备接受、共享和交流城市管理经验功能。</w:t>
      </w:r>
    </w:p>
    <w:p w14:paraId="045646DF">
      <w:pPr>
        <w:spacing w:line="276" w:lineRule="auto"/>
        <w:ind w:firstLine="480"/>
        <w:rPr>
          <w:rFonts w:hint="eastAsia" w:ascii="宋体" w:hAnsi="宋体" w:eastAsia="宋体"/>
          <w:sz w:val="24"/>
          <w:szCs w:val="24"/>
        </w:rPr>
      </w:pPr>
      <w:r>
        <w:rPr>
          <w:rFonts w:hint="eastAsia" w:ascii="宋体" w:hAnsi="宋体" w:eastAsia="宋体"/>
          <w:sz w:val="24"/>
          <w:szCs w:val="24"/>
        </w:rPr>
        <w:t>盐城市市级的业务指导系统提交的信息要依次经过省级和国家级平台的审核，审核通过后对外发布。</w:t>
      </w:r>
    </w:p>
    <w:p w14:paraId="75F17C44">
      <w:pPr>
        <w:pStyle w:val="7"/>
        <w:rPr>
          <w:rFonts w:hint="eastAsia"/>
        </w:rPr>
      </w:pPr>
      <w:bookmarkStart w:id="104" w:name="_Toc138067458"/>
      <w:bookmarkStart w:id="105" w:name="_Toc58504749"/>
      <w:bookmarkStart w:id="106" w:name="_Toc51782318"/>
      <w:bookmarkStart w:id="107" w:name="_Toc62840963"/>
      <w:bookmarkStart w:id="108" w:name="_Toc45117731"/>
      <w:bookmarkStart w:id="109" w:name="_Toc51781891"/>
      <w:bookmarkStart w:id="110" w:name="_Toc75"/>
      <w:bookmarkStart w:id="111" w:name="_Toc64887218"/>
      <w:bookmarkStart w:id="112" w:name="_Toc51782101"/>
      <w:bookmarkStart w:id="113" w:name="_Toc61694034"/>
      <w:r>
        <w:rPr>
          <w:rFonts w:hint="eastAsia"/>
        </w:rPr>
        <w:t>指挥协调系统</w:t>
      </w:r>
      <w:bookmarkEnd w:id="104"/>
      <w:bookmarkEnd w:id="105"/>
      <w:bookmarkEnd w:id="106"/>
      <w:bookmarkEnd w:id="107"/>
      <w:bookmarkEnd w:id="108"/>
      <w:bookmarkEnd w:id="109"/>
      <w:bookmarkEnd w:id="110"/>
      <w:bookmarkEnd w:id="111"/>
      <w:bookmarkEnd w:id="112"/>
      <w:bookmarkEnd w:id="113"/>
    </w:p>
    <w:p w14:paraId="03C853F9">
      <w:pPr>
        <w:spacing w:line="276" w:lineRule="auto"/>
        <w:ind w:firstLine="480"/>
        <w:rPr>
          <w:rFonts w:hint="eastAsia" w:ascii="宋体" w:hAnsi="宋体" w:eastAsia="宋体"/>
          <w:sz w:val="24"/>
          <w:szCs w:val="24"/>
        </w:rPr>
      </w:pPr>
      <w:r>
        <w:rPr>
          <w:rFonts w:hint="eastAsia" w:ascii="宋体" w:hAnsi="宋体" w:eastAsia="宋体"/>
          <w:sz w:val="24"/>
          <w:szCs w:val="24"/>
        </w:rPr>
        <w:t>根据住建部《城市运行管理服务平台建设指南》（试行）（</w:t>
      </w:r>
      <w:r>
        <w:rPr>
          <w:rFonts w:ascii="宋体" w:hAnsi="宋体" w:eastAsia="宋体"/>
          <w:sz w:val="24"/>
          <w:szCs w:val="24"/>
        </w:rPr>
        <w:t>2021.12）、《城市运行管理服务平台技术标准》（CJJ/T312-2021）、《城市运行管理服务平台数据标准》（CJ/T545-2021）、《城市运行管理服务平台管理监督指标及评价标准》（征求意见稿）、《城市运行管理服务平台运行监测指标及评价标准（征求意见稿）》要求，</w:t>
      </w:r>
      <w:r>
        <w:rPr>
          <w:rFonts w:hint="eastAsia" w:ascii="宋体" w:hAnsi="宋体" w:eastAsia="宋体"/>
          <w:sz w:val="24"/>
          <w:szCs w:val="24"/>
        </w:rPr>
        <w:t>结合盐城“十没有、二十有”精细化标准和城管局业务需求，对原有数字城管的九大标准子系统进行了升级改造。</w:t>
      </w:r>
    </w:p>
    <w:p w14:paraId="2DC1D75F">
      <w:pPr>
        <w:pStyle w:val="8"/>
        <w:rPr>
          <w:rFonts w:hint="eastAsia"/>
        </w:rPr>
      </w:pPr>
      <w:bookmarkStart w:id="114" w:name="_Toc138067459"/>
      <w:r>
        <w:rPr>
          <w:rFonts w:hint="eastAsia"/>
        </w:rPr>
        <w:t>监管数据无线采集子系统</w:t>
      </w:r>
      <w:bookmarkEnd w:id="114"/>
    </w:p>
    <w:p w14:paraId="672626AB">
      <w:pPr>
        <w:pStyle w:val="14"/>
        <w:rPr>
          <w:rFonts w:hint="eastAsia"/>
        </w:rPr>
      </w:pPr>
      <w:r>
        <w:rPr>
          <w:rFonts w:hint="eastAsia"/>
        </w:rPr>
        <w:t>系统概述</w:t>
      </w:r>
    </w:p>
    <w:p w14:paraId="71980534">
      <w:pPr>
        <w:spacing w:line="276" w:lineRule="auto"/>
        <w:ind w:firstLine="480"/>
        <w:rPr>
          <w:rFonts w:hint="eastAsia" w:ascii="宋体" w:hAnsi="宋体" w:eastAsia="宋体"/>
          <w:sz w:val="24"/>
          <w:szCs w:val="24"/>
        </w:rPr>
      </w:pPr>
      <w:r>
        <w:rPr>
          <w:rFonts w:hint="eastAsia" w:ascii="宋体" w:hAnsi="宋体" w:eastAsia="宋体"/>
          <w:sz w:val="24"/>
          <w:szCs w:val="24"/>
        </w:rPr>
        <w:t>监管数据无线采集子系统主要用于监督员向监督指挥中心上报在管理范围内通过巡查所发现的城市管理相关问题信息，接受中心分派的任务指令并反馈。该系统依托移动设备，采用无线网络传输技术，通过城市部件和事件分类编码体系、地理编码体系，完成城市管理问题文本、图像、声音和位置信息实时传递。</w:t>
      </w:r>
    </w:p>
    <w:p w14:paraId="4A9E0A87">
      <w:pPr>
        <w:pStyle w:val="14"/>
        <w:rPr>
          <w:rFonts w:hint="eastAsia"/>
        </w:rPr>
      </w:pPr>
      <w:bookmarkStart w:id="115" w:name="_Hlk67239659"/>
      <w:r>
        <w:rPr>
          <w:rFonts w:hint="eastAsia"/>
        </w:rPr>
        <w:t>功能需求</w:t>
      </w:r>
    </w:p>
    <w:p w14:paraId="56B80BFA">
      <w:pPr>
        <w:pStyle w:val="175"/>
        <w:spacing w:line="276" w:lineRule="auto"/>
        <w:ind w:firstLine="480"/>
        <w:rPr>
          <w:rFonts w:hint="eastAsia" w:ascii="宋体" w:hAnsi="宋体" w:eastAsia="宋体"/>
          <w:sz w:val="24"/>
          <w:szCs w:val="24"/>
        </w:rPr>
      </w:pPr>
      <w:bookmarkStart w:id="116" w:name="_Hlk49728333"/>
      <w:r>
        <w:rPr>
          <w:rFonts w:hint="eastAsia" w:ascii="宋体" w:hAnsi="宋体" w:eastAsia="宋体"/>
          <w:sz w:val="24"/>
          <w:szCs w:val="24"/>
        </w:rPr>
        <w:t>a.自行处置上报</w:t>
      </w:r>
    </w:p>
    <w:p w14:paraId="149B5FC8">
      <w:pPr>
        <w:spacing w:line="276" w:lineRule="auto"/>
        <w:ind w:firstLine="480"/>
        <w:rPr>
          <w:rFonts w:hint="eastAsia" w:ascii="宋体" w:hAnsi="宋体" w:eastAsia="宋体"/>
          <w:sz w:val="24"/>
          <w:szCs w:val="24"/>
        </w:rPr>
      </w:pPr>
      <w:r>
        <w:rPr>
          <w:rFonts w:hint="eastAsia" w:ascii="宋体" w:hAnsi="宋体" w:eastAsia="宋体"/>
          <w:sz w:val="24"/>
          <w:szCs w:val="24"/>
        </w:rPr>
        <w:t>对于监督员可以随手处理的案件，提供了自行处置上报功能，和问题上报相似，需要上传案件类型、问题类型、位置描述、案件描述、安全问题标签，以及处置前和处置后的多媒体信息，便于此类案件的归类统计。</w:t>
      </w:r>
    </w:p>
    <w:p w14:paraId="064294A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b.历史记录</w:t>
      </w:r>
    </w:p>
    <w:p w14:paraId="11614432">
      <w:pPr>
        <w:spacing w:line="276" w:lineRule="auto"/>
        <w:ind w:firstLine="480"/>
        <w:rPr>
          <w:rFonts w:hint="eastAsia" w:ascii="宋体" w:hAnsi="宋体" w:eastAsia="宋体"/>
          <w:sz w:val="24"/>
          <w:szCs w:val="24"/>
        </w:rPr>
      </w:pPr>
      <w:r>
        <w:rPr>
          <w:rFonts w:hint="eastAsia" w:ascii="宋体" w:hAnsi="宋体" w:eastAsia="宋体"/>
          <w:sz w:val="24"/>
          <w:szCs w:val="24"/>
        </w:rPr>
        <w:t>历史记录模块记载了最近提交的上报问题和最近回复的核查或核实任务。用不同颜色标记发送成功和发送失败的记录，用户可以浏览这些记录或者发送这些记录。通过地图浏览，选中某一部件，可直接查询属性信息。</w:t>
      </w:r>
    </w:p>
    <w:p w14:paraId="72485B7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c.今日提示</w:t>
      </w:r>
    </w:p>
    <w:p w14:paraId="6CF37BB3">
      <w:pPr>
        <w:spacing w:line="276" w:lineRule="auto"/>
        <w:ind w:firstLine="480"/>
        <w:rPr>
          <w:rFonts w:hint="eastAsia" w:ascii="宋体" w:hAnsi="宋体" w:eastAsia="宋体"/>
          <w:sz w:val="24"/>
          <w:szCs w:val="24"/>
        </w:rPr>
      </w:pPr>
      <w:r>
        <w:rPr>
          <w:rFonts w:hint="eastAsia" w:ascii="宋体" w:hAnsi="宋体" w:eastAsia="宋体"/>
          <w:sz w:val="24"/>
          <w:szCs w:val="24"/>
        </w:rPr>
        <w:t>今日提示模块显示中心发送给每个监督员的消息。系统会将消息发送到每个手机</w:t>
      </w:r>
      <w:r>
        <w:rPr>
          <w:rFonts w:hint="eastAsia" w:ascii="宋体" w:hAnsi="宋体" w:eastAsia="宋体"/>
          <w:sz w:val="24"/>
          <w:szCs w:val="24"/>
          <w:lang w:val="en-US" w:eastAsia="zh-CN"/>
        </w:rPr>
        <w:t>端上</w:t>
      </w:r>
      <w:r>
        <w:rPr>
          <w:rFonts w:hint="eastAsia" w:ascii="宋体" w:hAnsi="宋体" w:eastAsia="宋体"/>
          <w:sz w:val="24"/>
          <w:szCs w:val="24"/>
        </w:rPr>
        <w:t>，提醒用户进行相关操作。</w:t>
      </w:r>
    </w:p>
    <w:p w14:paraId="7A74D4C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d.地图浏览</w:t>
      </w:r>
    </w:p>
    <w:p w14:paraId="0724273F">
      <w:pPr>
        <w:spacing w:line="276" w:lineRule="auto"/>
        <w:ind w:firstLine="480"/>
        <w:rPr>
          <w:rFonts w:hint="eastAsia" w:ascii="宋体" w:hAnsi="宋体" w:eastAsia="宋体"/>
          <w:sz w:val="24"/>
          <w:szCs w:val="24"/>
        </w:rPr>
      </w:pPr>
      <w:r>
        <w:rPr>
          <w:rFonts w:hint="eastAsia" w:ascii="宋体" w:hAnsi="宋体" w:eastAsia="宋体"/>
          <w:sz w:val="24"/>
          <w:szCs w:val="24"/>
        </w:rPr>
        <w:t>该模块用于查询地图信息，确定某一事件发生位置，定位到某一网格区域内。根据城管通当前所处的位置，装载该地区的地图，可对地图执行放大、缩小、漫游、全图显示等地图浏览基本操作。能够根据属性或位置查询城市部件和事件的信息，并自动进行定位。</w:t>
      </w:r>
    </w:p>
    <w:p w14:paraId="274CEB0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e.数据更新</w:t>
      </w:r>
    </w:p>
    <w:p w14:paraId="3F4B886E">
      <w:pPr>
        <w:spacing w:line="276" w:lineRule="auto"/>
        <w:ind w:firstLine="480"/>
        <w:rPr>
          <w:rFonts w:hint="eastAsia" w:ascii="宋体" w:hAnsi="宋体" w:eastAsia="宋体"/>
          <w:sz w:val="24"/>
          <w:szCs w:val="24"/>
        </w:rPr>
      </w:pPr>
      <w:r>
        <w:rPr>
          <w:rFonts w:hint="eastAsia" w:ascii="宋体" w:hAnsi="宋体" w:eastAsia="宋体"/>
          <w:sz w:val="24"/>
          <w:szCs w:val="24"/>
        </w:rPr>
        <w:t>该模块支持如大小类、责任网格等本机数据的更新和管理，当平台端数据改变后，进行本机数据的更新。</w:t>
      </w:r>
    </w:p>
    <w:p w14:paraId="62F6C24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f.功能设置</w:t>
      </w:r>
    </w:p>
    <w:p w14:paraId="5B92CE62">
      <w:pPr>
        <w:spacing w:line="276" w:lineRule="auto"/>
        <w:ind w:firstLine="480"/>
        <w:rPr>
          <w:rFonts w:hint="eastAsia" w:ascii="宋体" w:hAnsi="宋体" w:eastAsia="宋体"/>
          <w:sz w:val="24"/>
          <w:szCs w:val="24"/>
        </w:rPr>
      </w:pPr>
      <w:r>
        <w:rPr>
          <w:rFonts w:hint="eastAsia" w:ascii="宋体" w:hAnsi="宋体" w:eastAsia="宋体"/>
          <w:sz w:val="24"/>
          <w:szCs w:val="24"/>
        </w:rPr>
        <w:t>该模块支持对部分功能参数进行设置，如案卷提醒设置、惯用语设置、上报历史保留天数设置设置。</w:t>
      </w:r>
    </w:p>
    <w:p w14:paraId="3742E402">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j.登录管理</w:t>
      </w:r>
    </w:p>
    <w:p w14:paraId="4BE3B979">
      <w:pPr>
        <w:spacing w:line="276" w:lineRule="auto"/>
        <w:ind w:firstLine="480"/>
        <w:rPr>
          <w:rFonts w:hint="eastAsia" w:ascii="宋体" w:hAnsi="宋体" w:eastAsia="宋体"/>
          <w:sz w:val="24"/>
          <w:szCs w:val="24"/>
        </w:rPr>
      </w:pPr>
      <w:r>
        <w:rPr>
          <w:rFonts w:hint="eastAsia" w:ascii="宋体" w:hAnsi="宋体" w:eastAsia="宋体"/>
          <w:sz w:val="24"/>
          <w:szCs w:val="24"/>
        </w:rPr>
        <w:t>复用“盐政通”相关功能，支持用户名、密码记忆功能，可以根据上次登录时的用户名和密码直接进入系统。</w:t>
      </w:r>
    </w:p>
    <w:p w14:paraId="6EBF6842">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k.问题上报</w:t>
      </w:r>
    </w:p>
    <w:p w14:paraId="3CA95A25">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监督员上报城市管理相关的各种问题，将问题的文字内容（问题类型、问题描述、位置选择）、多媒体内容（图片、录音、录像）和拓展信息（立案条件、道路名称、安全问题标签等）直接上传到监督指挥中心进行问题处置。</w:t>
      </w:r>
    </w:p>
    <w:p w14:paraId="24B74EE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l.任务管理</w:t>
      </w:r>
    </w:p>
    <w:p w14:paraId="6A37AC5A">
      <w:pPr>
        <w:spacing w:line="276" w:lineRule="auto"/>
        <w:ind w:firstLine="480"/>
        <w:rPr>
          <w:rFonts w:hint="eastAsia" w:ascii="宋体" w:hAnsi="宋体" w:eastAsia="宋体"/>
          <w:sz w:val="24"/>
          <w:szCs w:val="24"/>
        </w:rPr>
      </w:pPr>
      <w:r>
        <w:rPr>
          <w:rFonts w:hint="eastAsia" w:ascii="宋体" w:hAnsi="宋体" w:eastAsia="宋体"/>
          <w:sz w:val="24"/>
          <w:szCs w:val="24"/>
        </w:rPr>
        <w:t>该模块用于管理与记录监督指挥中心下发的任务。可查看任务列表和案件详细信息，针对不同任务可以进行相应操作。</w:t>
      </w:r>
    </w:p>
    <w:p w14:paraId="5851FDE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m.通用查询</w:t>
      </w:r>
    </w:p>
    <w:p w14:paraId="4ABF5D18">
      <w:pPr>
        <w:spacing w:line="276" w:lineRule="auto"/>
        <w:ind w:firstLine="480"/>
        <w:rPr>
          <w:rFonts w:hint="eastAsia" w:ascii="宋体" w:hAnsi="宋体" w:eastAsia="宋体"/>
          <w:sz w:val="24"/>
          <w:szCs w:val="24"/>
        </w:rPr>
      </w:pPr>
      <w:r>
        <w:rPr>
          <w:rFonts w:hint="eastAsia" w:ascii="宋体" w:hAnsi="宋体" w:eastAsia="宋体"/>
          <w:sz w:val="24"/>
          <w:szCs w:val="24"/>
        </w:rPr>
        <w:t>该模块支持多条件查询自己上报的案件信息。</w:t>
      </w:r>
    </w:p>
    <w:p w14:paraId="3659E0D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n.跨网格智能提醒</w:t>
      </w:r>
    </w:p>
    <w:p w14:paraId="6955538B">
      <w:pPr>
        <w:spacing w:line="276" w:lineRule="auto"/>
        <w:ind w:firstLine="480"/>
        <w:rPr>
          <w:rFonts w:hint="eastAsia" w:ascii="宋体" w:hAnsi="宋体" w:eastAsia="宋体"/>
          <w:sz w:val="24"/>
          <w:szCs w:val="24"/>
        </w:rPr>
      </w:pPr>
      <w:r>
        <w:rPr>
          <w:rFonts w:hint="eastAsia" w:ascii="宋体" w:hAnsi="宋体" w:eastAsia="宋体"/>
          <w:sz w:val="24"/>
          <w:szCs w:val="24"/>
        </w:rPr>
        <w:t>当监督员上报问题时，如果上报的问题超出自己的责任网格，系统自动进行“跨网格”智能提示。</w:t>
      </w:r>
    </w:p>
    <w:p w14:paraId="4E1ED33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o.位置定位</w:t>
      </w:r>
    </w:p>
    <w:p w14:paraId="4B2E8B94">
      <w:pPr>
        <w:spacing w:line="276" w:lineRule="auto"/>
        <w:ind w:firstLine="480"/>
        <w:rPr>
          <w:rFonts w:hint="eastAsia" w:ascii="宋体" w:hAnsi="宋体" w:eastAsia="宋体"/>
          <w:sz w:val="24"/>
          <w:szCs w:val="24"/>
        </w:rPr>
      </w:pPr>
      <w:r>
        <w:rPr>
          <w:rFonts w:hint="eastAsia" w:ascii="宋体" w:hAnsi="宋体" w:eastAsia="宋体"/>
          <w:sz w:val="24"/>
          <w:szCs w:val="24"/>
        </w:rPr>
        <w:t>该模块复用“盐政通”相关功能，利用手机内置定位，同时条件允许的话也需支持北斗定位。通过实时定位监督员位置，在后台自动上传坐标。</w:t>
      </w:r>
    </w:p>
    <w:p w14:paraId="36C2A81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p.个人信息</w:t>
      </w:r>
    </w:p>
    <w:p w14:paraId="66624567">
      <w:pPr>
        <w:spacing w:line="276" w:lineRule="auto"/>
        <w:ind w:firstLine="480"/>
        <w:rPr>
          <w:rFonts w:hint="eastAsia" w:ascii="宋体" w:hAnsi="宋体" w:eastAsia="宋体"/>
          <w:sz w:val="24"/>
          <w:szCs w:val="24"/>
        </w:rPr>
      </w:pPr>
      <w:r>
        <w:rPr>
          <w:rFonts w:hint="eastAsia" w:ascii="宋体" w:hAnsi="宋体" w:eastAsia="宋体"/>
          <w:sz w:val="24"/>
          <w:szCs w:val="24"/>
        </w:rPr>
        <w:t>该模块复用“盐政通”相关功能，包含基础信息与个人主页。</w:t>
      </w:r>
    </w:p>
    <w:p w14:paraId="51238A2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q.近景远景</w:t>
      </w:r>
    </w:p>
    <w:p w14:paraId="2C1480B8">
      <w:pPr>
        <w:spacing w:line="276" w:lineRule="auto"/>
        <w:ind w:firstLine="480"/>
        <w:rPr>
          <w:rFonts w:hint="eastAsia" w:ascii="宋体" w:hAnsi="宋体" w:eastAsia="宋体"/>
          <w:sz w:val="24"/>
          <w:szCs w:val="24"/>
        </w:rPr>
      </w:pPr>
      <w:r>
        <w:rPr>
          <w:rFonts w:hint="eastAsia" w:ascii="宋体" w:hAnsi="宋体" w:eastAsia="宋体"/>
          <w:sz w:val="24"/>
          <w:szCs w:val="24"/>
        </w:rPr>
        <w:t>为准确把握上报问题的周边信息，规范问题采集时的拍照入口，保证上报问题质量，提升受理员的审核效率。可定制问题上报近景远景功能，给出近景、远景、参照物三个拍照入口以及示例。</w:t>
      </w:r>
    </w:p>
    <w:p w14:paraId="7EEA242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r.补采上报</w:t>
      </w:r>
    </w:p>
    <w:p w14:paraId="43FACBE1">
      <w:pPr>
        <w:spacing w:line="276" w:lineRule="auto"/>
        <w:ind w:firstLine="480"/>
        <w:rPr>
          <w:rFonts w:hint="eastAsia" w:ascii="宋体" w:hAnsi="宋体" w:eastAsia="宋体"/>
          <w:sz w:val="24"/>
          <w:szCs w:val="24"/>
        </w:rPr>
      </w:pPr>
      <w:r>
        <w:rPr>
          <w:rFonts w:hint="eastAsia" w:ascii="宋体" w:hAnsi="宋体" w:eastAsia="宋体"/>
          <w:sz w:val="24"/>
          <w:szCs w:val="24"/>
        </w:rPr>
        <w:t>部分案件上报信息不清晰，增加案件补采上报功能，由监督指挥中心向监督员下发补采任务，需要监督员重新补充采集问题现场的情况；监督员接到任务后，进行补采上报。</w:t>
      </w:r>
    </w:p>
    <w:p w14:paraId="06BF0D7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s.相似案件提示</w:t>
      </w:r>
    </w:p>
    <w:p w14:paraId="6E10045A">
      <w:pPr>
        <w:spacing w:line="276" w:lineRule="auto"/>
        <w:ind w:firstLine="480"/>
        <w:rPr>
          <w:rFonts w:hint="eastAsia" w:ascii="宋体" w:hAnsi="宋体" w:eastAsia="宋体"/>
          <w:sz w:val="24"/>
          <w:szCs w:val="24"/>
        </w:rPr>
      </w:pPr>
      <w:r>
        <w:rPr>
          <w:rFonts w:hint="eastAsia" w:ascii="宋体" w:hAnsi="宋体" w:eastAsia="宋体"/>
          <w:sz w:val="24"/>
          <w:szCs w:val="24"/>
        </w:rPr>
        <w:t>在案件上报时进行相似案卷提示。监督员上报案件时，系统首先根据上报的时间、地点来判断该案件是否已被上报、立案或处置，如果该案件已被上报、立案或处置，则认为该案件为相似案件，做出相似案卷提示。</w:t>
      </w:r>
    </w:p>
    <w:bookmarkEnd w:id="115"/>
    <w:bookmarkEnd w:id="116"/>
    <w:p w14:paraId="5634F43E">
      <w:pPr>
        <w:pStyle w:val="8"/>
        <w:rPr>
          <w:rFonts w:hint="eastAsia"/>
        </w:rPr>
      </w:pPr>
      <w:bookmarkStart w:id="117" w:name="_Toc138067460"/>
      <w:r>
        <w:rPr>
          <w:rFonts w:hint="eastAsia"/>
        </w:rPr>
        <w:t>监督指挥受理子系统</w:t>
      </w:r>
      <w:bookmarkEnd w:id="117"/>
    </w:p>
    <w:p w14:paraId="06C88328">
      <w:pPr>
        <w:pStyle w:val="14"/>
        <w:rPr>
          <w:rFonts w:hint="eastAsia"/>
        </w:rPr>
      </w:pPr>
      <w:r>
        <w:rPr>
          <w:rFonts w:hint="eastAsia"/>
        </w:rPr>
        <w:t>系统概述</w:t>
      </w:r>
    </w:p>
    <w:p w14:paraId="6164BB61">
      <w:pPr>
        <w:spacing w:line="276" w:lineRule="auto"/>
        <w:ind w:firstLine="480"/>
        <w:rPr>
          <w:rFonts w:hint="eastAsia" w:ascii="宋体" w:hAnsi="宋体" w:eastAsia="宋体"/>
          <w:sz w:val="24"/>
          <w:szCs w:val="24"/>
        </w:rPr>
      </w:pPr>
      <w:r>
        <w:rPr>
          <w:rFonts w:hint="eastAsia" w:ascii="宋体" w:hAnsi="宋体" w:eastAsia="宋体"/>
          <w:sz w:val="24"/>
          <w:szCs w:val="24"/>
        </w:rPr>
        <w:t>监督指挥受理子系统是数字化城市管理监督指挥中心下设的联系内外各单位、各处（科室）和社会公众的窗口。监督指挥受理子系统的主要工作是受理来自城市管理监督员和社会公众的城市管理问题报告或举报，然后对他们所反映问题进行核实，并对问题发生地点进行地图定位，经登记立案后批转给处置部门办理。处置完毕之后，受理派遣员再发送核查指令给监督员进行核查，核查通过则进行结案处理。</w:t>
      </w:r>
    </w:p>
    <w:p w14:paraId="574461DD">
      <w:pPr>
        <w:pStyle w:val="14"/>
        <w:rPr>
          <w:rFonts w:hint="eastAsia"/>
        </w:rPr>
      </w:pPr>
      <w:r>
        <w:rPr>
          <w:rFonts w:hint="eastAsia"/>
        </w:rPr>
        <w:t>功能需求</w:t>
      </w:r>
    </w:p>
    <w:p w14:paraId="68BAED8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a.受理监督员上报</w:t>
      </w:r>
    </w:p>
    <w:p w14:paraId="0D5A92B4">
      <w:pPr>
        <w:spacing w:line="276" w:lineRule="auto"/>
        <w:ind w:firstLine="480"/>
        <w:rPr>
          <w:rFonts w:hint="eastAsia" w:ascii="宋体" w:hAnsi="宋体" w:eastAsia="宋体"/>
          <w:sz w:val="24"/>
          <w:szCs w:val="24"/>
        </w:rPr>
      </w:pPr>
      <w:r>
        <w:rPr>
          <w:rFonts w:hint="eastAsia" w:ascii="宋体" w:hAnsi="宋体" w:eastAsia="宋体"/>
          <w:sz w:val="24"/>
          <w:szCs w:val="24"/>
        </w:rPr>
        <w:t>该模块用于接收监督员通过系统上报的城市管理问题。监督员上报的城市管理问题，在系统中以列表的形式展示，默认按照上报时间顺序排列。受理员对新上报的案件做初步判断，符合案件上报的基本标准，则对该案件做“办理”处理，即受理该案件。</w:t>
      </w:r>
    </w:p>
    <w:p w14:paraId="6E703A82">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b.受理自行处置</w:t>
      </w:r>
    </w:p>
    <w:p w14:paraId="73C9E434">
      <w:pPr>
        <w:spacing w:line="276" w:lineRule="auto"/>
        <w:ind w:firstLine="480"/>
        <w:rPr>
          <w:rFonts w:hint="eastAsia" w:ascii="宋体" w:hAnsi="宋体" w:eastAsia="宋体"/>
          <w:sz w:val="24"/>
          <w:szCs w:val="24"/>
        </w:rPr>
      </w:pPr>
      <w:r>
        <w:rPr>
          <w:rFonts w:hint="eastAsia" w:ascii="宋体" w:hAnsi="宋体" w:eastAsia="宋体"/>
          <w:sz w:val="24"/>
          <w:szCs w:val="24"/>
        </w:rPr>
        <w:t>该模块用于受理监督员通过自行处置上报的案件，提供单独的案件栏存放监督员上报的自行处置案件，受理员可以直接归档审核，作为后续对监督员的工作考核指标。</w:t>
      </w:r>
    </w:p>
    <w:p w14:paraId="66C7422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c.案件不受理</w:t>
      </w:r>
    </w:p>
    <w:p w14:paraId="4190054A">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该模块用于对不符合受理条件的案件，进行【不受理】操作。</w:t>
      </w:r>
    </w:p>
    <w:p w14:paraId="5A37A337">
      <w:pPr>
        <w:spacing w:line="276" w:lineRule="auto"/>
        <w:ind w:firstLine="480"/>
        <w:rPr>
          <w:rFonts w:hint="eastAsia" w:ascii="宋体" w:hAnsi="宋体" w:eastAsia="宋体"/>
          <w:sz w:val="24"/>
          <w:szCs w:val="24"/>
        </w:rPr>
      </w:pPr>
      <w:r>
        <w:rPr>
          <w:rFonts w:hint="eastAsia" w:ascii="宋体" w:hAnsi="宋体" w:eastAsia="宋体"/>
          <w:sz w:val="24"/>
          <w:szCs w:val="24"/>
        </w:rPr>
        <w:t>对于监督员上报的案件以及通过平台登记的案件，如果该案件不符合受理条件，监督员有权对该案件进行不受理操作。</w:t>
      </w:r>
    </w:p>
    <w:p w14:paraId="359197DC">
      <w:pPr>
        <w:spacing w:line="276" w:lineRule="auto"/>
        <w:ind w:firstLine="480"/>
        <w:rPr>
          <w:rFonts w:hint="eastAsia" w:ascii="宋体" w:hAnsi="宋体" w:eastAsia="宋体"/>
          <w:sz w:val="24"/>
          <w:szCs w:val="24"/>
        </w:rPr>
      </w:pPr>
      <w:r>
        <w:rPr>
          <w:rFonts w:hint="eastAsia" w:ascii="宋体" w:hAnsi="宋体" w:eastAsia="宋体"/>
          <w:sz w:val="24"/>
          <w:szCs w:val="24"/>
        </w:rPr>
        <w:t>按要求填写不受理原因和不受理意见后，案件转到不受理栏，做存档处理。同时系统支持对该不受理案件做恢复处理，防止因为误操作，导致该案件不能得到正确处理。</w:t>
      </w:r>
    </w:p>
    <w:p w14:paraId="62436FF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d.案件核实</w:t>
      </w:r>
    </w:p>
    <w:p w14:paraId="54451A84">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填写的任务受理信息进行核实。对于需要核实确认的案件，由受理派遣员发起“核实”操作，通过填写相关核实要求，选择核实人员，对该案件进行核实，确认该案件是否属实。现场人员对该案件进行核实后，如果该案件属实，则向监督指挥中心上报，监督指挥中心可对该案件做立案处理；如果不属实，则做销案处理。</w:t>
      </w:r>
    </w:p>
    <w:p w14:paraId="1B37466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e.案件立案</w:t>
      </w:r>
    </w:p>
    <w:p w14:paraId="40C97E8F">
      <w:pPr>
        <w:spacing w:line="276" w:lineRule="auto"/>
        <w:ind w:firstLine="480"/>
        <w:rPr>
          <w:rFonts w:hint="eastAsia" w:ascii="宋体" w:hAnsi="宋体" w:eastAsia="宋体"/>
          <w:sz w:val="24"/>
          <w:szCs w:val="24"/>
        </w:rPr>
      </w:pPr>
      <w:r>
        <w:rPr>
          <w:rFonts w:hint="eastAsia" w:ascii="宋体" w:hAnsi="宋体" w:eastAsia="宋体"/>
          <w:sz w:val="24"/>
          <w:szCs w:val="24"/>
        </w:rPr>
        <w:t>问题经过甄别后进行立案操作，受理派遣员可直接在受理平台页面中对问题进行立案操作。受理派遣员可以对某一案件单独进行立案操作也可以对多个案件同步进行立案操作。</w:t>
      </w:r>
    </w:p>
    <w:p w14:paraId="63D2B50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f.案件不立案</w:t>
      </w:r>
    </w:p>
    <w:p w14:paraId="31995BA8">
      <w:pPr>
        <w:spacing w:line="276" w:lineRule="auto"/>
        <w:ind w:firstLine="480"/>
        <w:rPr>
          <w:rFonts w:hint="eastAsia" w:ascii="宋体" w:hAnsi="宋体" w:eastAsia="宋体"/>
          <w:sz w:val="24"/>
          <w:szCs w:val="24"/>
        </w:rPr>
      </w:pPr>
      <w:r>
        <w:rPr>
          <w:rFonts w:hint="eastAsia" w:ascii="宋体" w:hAnsi="宋体" w:eastAsia="宋体"/>
          <w:sz w:val="24"/>
          <w:szCs w:val="24"/>
        </w:rPr>
        <w:t>对于监督员反馈的核实案件，不符合立案条件的，不予立案。</w:t>
      </w:r>
    </w:p>
    <w:p w14:paraId="5DF542A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g.问题核查</w:t>
      </w:r>
    </w:p>
    <w:p w14:paraId="6988CBA0">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该模块用于对问题处理完毕后的核查，对于核查未处理完毕的案件，值班长将案件发回协同工作子系统重新派遣。</w:t>
      </w:r>
    </w:p>
    <w:p w14:paraId="319CBBB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h.案件结案</w:t>
      </w:r>
    </w:p>
    <w:p w14:paraId="38CCECF9">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该模块用于对核查反馈通过的案件进行结案操作。</w:t>
      </w:r>
    </w:p>
    <w:p w14:paraId="0CF3641D">
      <w:pPr>
        <w:spacing w:line="276" w:lineRule="auto"/>
        <w:ind w:firstLine="480"/>
        <w:rPr>
          <w:rFonts w:hint="eastAsia" w:ascii="宋体" w:hAnsi="宋体" w:eastAsia="宋体"/>
          <w:sz w:val="24"/>
          <w:szCs w:val="24"/>
        </w:rPr>
      </w:pPr>
      <w:r>
        <w:rPr>
          <w:rFonts w:hint="eastAsia" w:ascii="宋体" w:hAnsi="宋体" w:eastAsia="宋体"/>
          <w:sz w:val="24"/>
          <w:szCs w:val="24"/>
        </w:rPr>
        <w:t>系统支持在结案时，填写结案意见，是否同意结案；同时还支持是否需要给相关人员发送短信通知，如该案件是群众举报案件，通过在各关键环节给举报人短信通知，使群众能够实时了解案件的处置情况。案件办结后，系统自动将案件流转到“办结案件”栏，通过列表的形式直观展示。</w:t>
      </w:r>
    </w:p>
    <w:p w14:paraId="5CED8BC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i.案件返工</w:t>
      </w:r>
    </w:p>
    <w:p w14:paraId="33B1A16A">
      <w:pPr>
        <w:spacing w:line="276" w:lineRule="auto"/>
        <w:ind w:firstLine="480"/>
        <w:rPr>
          <w:rFonts w:hint="eastAsia" w:ascii="宋体" w:hAnsi="宋体" w:eastAsia="宋体"/>
          <w:sz w:val="24"/>
          <w:szCs w:val="24"/>
        </w:rPr>
      </w:pPr>
      <w:r>
        <w:rPr>
          <w:rFonts w:hint="eastAsia" w:ascii="宋体" w:hAnsi="宋体" w:eastAsia="宋体"/>
          <w:sz w:val="24"/>
          <w:szCs w:val="24"/>
        </w:rPr>
        <w:t>当案件不符合结案条件时，系统支持对该案件进行返工操作。</w:t>
      </w:r>
    </w:p>
    <w:p w14:paraId="7A2E4449">
      <w:pPr>
        <w:spacing w:line="276" w:lineRule="auto"/>
        <w:ind w:firstLine="480"/>
        <w:rPr>
          <w:rFonts w:hint="eastAsia" w:ascii="宋体" w:hAnsi="宋体" w:eastAsia="宋体"/>
          <w:sz w:val="24"/>
          <w:szCs w:val="24"/>
        </w:rPr>
      </w:pPr>
      <w:r>
        <w:rPr>
          <w:rFonts w:hint="eastAsia" w:ascii="宋体" w:hAnsi="宋体" w:eastAsia="宋体"/>
          <w:sz w:val="24"/>
          <w:szCs w:val="24"/>
        </w:rPr>
        <w:t>如果经过监督员核查后发现问题处置不到位或者不符合标准，则需要将该案件重新批转到监督指挥中心，由受理派遣员重新将该案件派遣到相关人员再次处置。</w:t>
      </w:r>
    </w:p>
    <w:p w14:paraId="57F0D50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j.今日提示</w:t>
      </w:r>
    </w:p>
    <w:p w14:paraId="615F99CA">
      <w:pPr>
        <w:spacing w:line="276" w:lineRule="auto"/>
        <w:ind w:firstLine="480"/>
        <w:rPr>
          <w:rFonts w:hint="eastAsia" w:ascii="宋体" w:hAnsi="宋体" w:eastAsia="宋体"/>
          <w:sz w:val="24"/>
          <w:szCs w:val="24"/>
        </w:rPr>
      </w:pPr>
      <w:r>
        <w:rPr>
          <w:rFonts w:hint="eastAsia" w:ascii="宋体" w:hAnsi="宋体" w:eastAsia="宋体"/>
          <w:sz w:val="24"/>
          <w:szCs w:val="24"/>
        </w:rPr>
        <w:t>该模块用于以文字加附件形式向指定人员发送提示信息（包括主题、内容和附件），并提供短信提醒与查询下载功能。</w:t>
      </w:r>
    </w:p>
    <w:p w14:paraId="30E5720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k.小类助手</w:t>
      </w:r>
    </w:p>
    <w:p w14:paraId="75A88228">
      <w:pPr>
        <w:spacing w:line="276" w:lineRule="auto"/>
        <w:ind w:firstLine="480"/>
        <w:rPr>
          <w:rFonts w:hint="eastAsia" w:ascii="宋体" w:hAnsi="宋体" w:eastAsia="宋体"/>
          <w:sz w:val="24"/>
          <w:szCs w:val="24"/>
        </w:rPr>
      </w:pPr>
      <w:r>
        <w:rPr>
          <w:rFonts w:hint="eastAsia" w:ascii="宋体" w:hAnsi="宋体" w:eastAsia="宋体"/>
          <w:sz w:val="24"/>
          <w:szCs w:val="24"/>
        </w:rPr>
        <w:t>该模块用于以分类树状模式显示所有问题的分类，具有问题分类查询以及在案件登记时的小类回填功能。通过小类助手，可以为监督指挥中心以及监督员在开展工作时，提供各种便利。</w:t>
      </w:r>
    </w:p>
    <w:p w14:paraId="2B27DF2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l.页面布局</w:t>
      </w:r>
    </w:p>
    <w:p w14:paraId="5F42C1D3">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该模块主要用于页面布局情况的调整，可修改登录的跳转页面，可以隐藏或打开“地图窗口”、案卷相关信息窗口，设置全屏模式、窗口模式等，并在此基础上延伸布局。</w:t>
      </w:r>
    </w:p>
    <w:p w14:paraId="516BDC4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m.案件详情</w:t>
      </w:r>
    </w:p>
    <w:p w14:paraId="0C2AA215">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查看案卷的详细信息，包括任务号、问题来源、问题类型、大类小类、问题描述、位置描述和监督员上报图片、声音等相关信息；案件不同阶段附件信息；案件详情包括案件任务号，大小类等基本属性信息；案件办理时间，经办人，操作动作等办理经过；发送核实核查消息记录；案件追加的补充信息等。系统支持按照管理权限，配置各环节、各人员所能查看的案件详情。</w:t>
      </w:r>
    </w:p>
    <w:p w14:paraId="6372828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n.案件登记</w:t>
      </w:r>
    </w:p>
    <w:p w14:paraId="1786706F">
      <w:pPr>
        <w:spacing w:line="276" w:lineRule="auto"/>
        <w:ind w:firstLine="480"/>
        <w:rPr>
          <w:rFonts w:hint="eastAsia" w:ascii="宋体" w:hAnsi="宋体" w:eastAsia="宋体"/>
          <w:sz w:val="24"/>
          <w:szCs w:val="24"/>
        </w:rPr>
      </w:pPr>
      <w:r>
        <w:rPr>
          <w:rFonts w:hint="eastAsia" w:ascii="宋体" w:hAnsi="宋体" w:eastAsia="宋体"/>
          <w:sz w:val="24"/>
          <w:szCs w:val="24"/>
        </w:rPr>
        <w:t>该模块用于记录社会公众通过各种方式向城市管理监督指挥中心上报的问题。受理派遣员在登记社会公众举报的城市管理问题时，系统支持对举报人的信息进行填写并根据社会公众举报的实际问题，录入案件的相关信息。主要包括问题描述、问题发生的位置、问题来源、案件等级、问题的类型、立结案条件、事发网格、计时区域、案件回访、处置时限、截止时间。</w:t>
      </w:r>
    </w:p>
    <w:p w14:paraId="6D64735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o.案件立案修正</w:t>
      </w:r>
    </w:p>
    <w:p w14:paraId="28BE5137">
      <w:pPr>
        <w:spacing w:line="276" w:lineRule="auto"/>
        <w:ind w:firstLine="480"/>
        <w:rPr>
          <w:rFonts w:hint="eastAsia" w:ascii="宋体" w:hAnsi="宋体" w:eastAsia="宋体"/>
          <w:sz w:val="24"/>
          <w:szCs w:val="24"/>
        </w:rPr>
      </w:pPr>
      <w:r>
        <w:rPr>
          <w:rFonts w:hint="eastAsia" w:ascii="宋体" w:hAnsi="宋体" w:eastAsia="宋体"/>
          <w:sz w:val="24"/>
          <w:szCs w:val="24"/>
        </w:rPr>
        <w:t>系统支持对立案有问题的案件，由值班长进行修正。通过对修改权限进行控制，可查看修改记录。</w:t>
      </w:r>
    </w:p>
    <w:p w14:paraId="2F93226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p.核查提醒</w:t>
      </w:r>
    </w:p>
    <w:p w14:paraId="286A0AE9">
      <w:pPr>
        <w:spacing w:line="276" w:lineRule="auto"/>
        <w:ind w:firstLine="480"/>
        <w:rPr>
          <w:rFonts w:hint="eastAsia" w:ascii="宋体" w:hAnsi="宋体" w:eastAsia="宋体"/>
          <w:sz w:val="24"/>
          <w:szCs w:val="24"/>
        </w:rPr>
      </w:pPr>
      <w:r>
        <w:rPr>
          <w:rFonts w:hint="eastAsia" w:ascii="宋体" w:hAnsi="宋体" w:eastAsia="宋体"/>
          <w:sz w:val="24"/>
          <w:szCs w:val="24"/>
        </w:rPr>
        <w:t>系统支持提供多种方式的案件核查提醒，包括声音提醒、标记提醒等。</w:t>
      </w:r>
    </w:p>
    <w:p w14:paraId="4023E27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q.</w:t>
      </w:r>
      <w:bookmarkStart w:id="118" w:name="_Hlk76313327"/>
      <w:r>
        <w:rPr>
          <w:rFonts w:hint="eastAsia" w:ascii="宋体" w:hAnsi="宋体" w:eastAsia="宋体"/>
          <w:sz w:val="24"/>
          <w:szCs w:val="24"/>
        </w:rPr>
        <w:t>受理来源分类</w:t>
      </w:r>
    </w:p>
    <w:p w14:paraId="3C41013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案件来源分为主动发现、被动发现和智能发现。</w:t>
      </w:r>
    </w:p>
    <w:p w14:paraId="7BFFFBD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主动发现有：监督员上报、专项排查等。</w:t>
      </w:r>
    </w:p>
    <w:p w14:paraId="2AFA8DD1">
      <w:pPr>
        <w:spacing w:line="276" w:lineRule="auto"/>
        <w:ind w:firstLine="480"/>
        <w:rPr>
          <w:rFonts w:hint="eastAsia" w:ascii="宋体" w:hAnsi="宋体" w:eastAsia="宋体"/>
          <w:sz w:val="24"/>
          <w:szCs w:val="24"/>
        </w:rPr>
      </w:pPr>
      <w:r>
        <w:rPr>
          <w:rFonts w:hint="eastAsia" w:ascii="宋体" w:hAnsi="宋体" w:eastAsia="宋体"/>
          <w:sz w:val="24"/>
          <w:szCs w:val="24"/>
        </w:rPr>
        <w:t>被动发现有：国家、省级平台下发、领导交办、1</w:t>
      </w:r>
      <w:r>
        <w:rPr>
          <w:rFonts w:ascii="宋体" w:hAnsi="宋体" w:eastAsia="宋体"/>
          <w:sz w:val="24"/>
          <w:szCs w:val="24"/>
        </w:rPr>
        <w:t>2345</w:t>
      </w:r>
      <w:r>
        <w:rPr>
          <w:rFonts w:hint="eastAsia" w:ascii="宋体" w:hAnsi="宋体" w:eastAsia="宋体"/>
          <w:sz w:val="24"/>
          <w:szCs w:val="24"/>
        </w:rPr>
        <w:t>转派、其他委办局交办等。</w:t>
      </w:r>
    </w:p>
    <w:p w14:paraId="2A920B6F">
      <w:pPr>
        <w:spacing w:line="276" w:lineRule="auto"/>
        <w:ind w:firstLine="480"/>
        <w:rPr>
          <w:rFonts w:hint="eastAsia" w:ascii="宋体" w:hAnsi="宋体" w:eastAsia="宋体"/>
          <w:sz w:val="24"/>
          <w:szCs w:val="24"/>
        </w:rPr>
      </w:pPr>
      <w:r>
        <w:rPr>
          <w:rFonts w:hint="eastAsia" w:ascii="宋体" w:hAnsi="宋体" w:eastAsia="宋体"/>
          <w:sz w:val="24"/>
          <w:szCs w:val="24"/>
        </w:rPr>
        <w:t>智能发现：视频智能识别分析发现（车载、固定）。</w:t>
      </w:r>
    </w:p>
    <w:bookmarkEnd w:id="118"/>
    <w:p w14:paraId="4EA2348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r.相似案卷智能分析</w:t>
      </w:r>
    </w:p>
    <w:p w14:paraId="09BD7180">
      <w:pPr>
        <w:spacing w:line="276" w:lineRule="auto"/>
        <w:ind w:firstLine="480"/>
        <w:rPr>
          <w:rFonts w:hint="eastAsia" w:ascii="宋体" w:hAnsi="宋体" w:eastAsia="宋体"/>
          <w:sz w:val="24"/>
          <w:szCs w:val="24"/>
        </w:rPr>
      </w:pPr>
      <w:r>
        <w:rPr>
          <w:rFonts w:hint="eastAsia" w:ascii="宋体" w:hAnsi="宋体" w:eastAsia="宋体"/>
          <w:sz w:val="24"/>
          <w:szCs w:val="24"/>
        </w:rPr>
        <w:t>通过在立案环节系统自动进行相似案卷提示，可以大大提高案件的办理效率。系统需按照一定的规则，如根据案件大小类、案件发生范围、案件发生时间等条件，来判断该案件是否与之前的案件属于同一重复案件。</w:t>
      </w:r>
    </w:p>
    <w:p w14:paraId="63D0FF9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s.自动发送核查</w:t>
      </w:r>
    </w:p>
    <w:p w14:paraId="369003C5">
      <w:pPr>
        <w:spacing w:line="276" w:lineRule="auto"/>
        <w:ind w:firstLine="480"/>
        <w:rPr>
          <w:rFonts w:hint="eastAsia" w:ascii="宋体" w:hAnsi="宋体" w:eastAsia="宋体"/>
          <w:sz w:val="24"/>
          <w:szCs w:val="24"/>
        </w:rPr>
      </w:pPr>
      <w:r>
        <w:rPr>
          <w:rFonts w:hint="eastAsia" w:ascii="宋体" w:hAnsi="宋体" w:eastAsia="宋体"/>
          <w:sz w:val="24"/>
          <w:szCs w:val="24"/>
        </w:rPr>
        <w:t>大丰区为每一个责任网格都配备了一个专门的监督员，对于处置部门处置反馈的案件，系统可以直接针对该责任网格的监督员自动发送核查，降低受理派遣员的工作量。</w:t>
      </w:r>
    </w:p>
    <w:p w14:paraId="605DD6E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t.发送补采信息</w:t>
      </w:r>
    </w:p>
    <w:p w14:paraId="74711BB6">
      <w:pPr>
        <w:spacing w:line="276" w:lineRule="auto"/>
        <w:ind w:firstLine="480"/>
        <w:rPr>
          <w:rFonts w:hint="eastAsia" w:ascii="宋体" w:hAnsi="宋体" w:eastAsia="宋体"/>
          <w:sz w:val="24"/>
          <w:szCs w:val="24"/>
        </w:rPr>
      </w:pPr>
      <w:r>
        <w:rPr>
          <w:rFonts w:hint="eastAsia" w:ascii="宋体" w:hAnsi="宋体" w:eastAsia="宋体"/>
          <w:sz w:val="24"/>
          <w:szCs w:val="24"/>
        </w:rPr>
        <w:t>由监督指挥中心向监督员下发补采任务，需要监督员重新补充采集问题现场的情况；监督员接到任务后，进行补采上报。</w:t>
      </w:r>
    </w:p>
    <w:p w14:paraId="7225D77C">
      <w:pPr>
        <w:pStyle w:val="8"/>
        <w:rPr>
          <w:rFonts w:hint="eastAsia"/>
        </w:rPr>
      </w:pPr>
      <w:bookmarkStart w:id="119" w:name="_Toc64887221"/>
      <w:bookmarkStart w:id="120" w:name="_Toc138067461"/>
      <w:bookmarkStart w:id="121" w:name="_Toc45117734"/>
      <w:r>
        <w:rPr>
          <w:rFonts w:hint="eastAsia"/>
        </w:rPr>
        <w:t>协同工作子系统</w:t>
      </w:r>
      <w:bookmarkEnd w:id="119"/>
      <w:bookmarkEnd w:id="120"/>
      <w:bookmarkEnd w:id="121"/>
    </w:p>
    <w:p w14:paraId="6B1F826F">
      <w:pPr>
        <w:pStyle w:val="14"/>
        <w:rPr>
          <w:rFonts w:hint="eastAsia"/>
        </w:rPr>
      </w:pPr>
      <w:r>
        <w:rPr>
          <w:rFonts w:hint="eastAsia"/>
        </w:rPr>
        <w:t>系统概述</w:t>
      </w:r>
    </w:p>
    <w:p w14:paraId="6B53D80A">
      <w:pPr>
        <w:spacing w:line="276" w:lineRule="auto"/>
        <w:ind w:firstLine="480"/>
        <w:rPr>
          <w:rFonts w:hint="eastAsia" w:ascii="宋体" w:hAnsi="宋体" w:eastAsia="宋体"/>
          <w:sz w:val="24"/>
          <w:szCs w:val="24"/>
        </w:rPr>
      </w:pPr>
      <w:r>
        <w:rPr>
          <w:rFonts w:hint="eastAsia" w:ascii="宋体" w:hAnsi="宋体" w:eastAsia="宋体"/>
          <w:sz w:val="24"/>
          <w:szCs w:val="24"/>
        </w:rPr>
        <w:t>协同工作子系统是供受理派遣员、值班长、处置部门等对城市管理问题立案后进行处置的应用子系统。通过该系统可对案件进行派遣、回退，还可对处置中所有案件进行督办；处置部门可对处置后的问题进行处置反馈。同时，系统提供案件回退、延期、挂账、授权等必要的业务功能。</w:t>
      </w:r>
    </w:p>
    <w:p w14:paraId="79F2A737">
      <w:pPr>
        <w:pStyle w:val="14"/>
        <w:rPr>
          <w:rFonts w:hint="eastAsia"/>
        </w:rPr>
      </w:pPr>
      <w:r>
        <w:rPr>
          <w:rFonts w:hint="eastAsia"/>
        </w:rPr>
        <w:t>功能需求</w:t>
      </w:r>
    </w:p>
    <w:p w14:paraId="5F45561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b.案件派遣</w:t>
      </w:r>
    </w:p>
    <w:p w14:paraId="5407DDAD">
      <w:pPr>
        <w:spacing w:line="276" w:lineRule="auto"/>
        <w:ind w:firstLine="480"/>
        <w:rPr>
          <w:rFonts w:hint="eastAsia" w:ascii="宋体" w:hAnsi="宋体" w:eastAsia="宋体"/>
          <w:sz w:val="24"/>
          <w:szCs w:val="24"/>
        </w:rPr>
      </w:pPr>
      <w:r>
        <w:rPr>
          <w:rFonts w:hint="eastAsia" w:ascii="宋体" w:hAnsi="宋体" w:eastAsia="宋体"/>
          <w:sz w:val="24"/>
          <w:szCs w:val="24"/>
        </w:rPr>
        <w:t>该模块用于准确、及时的把立案的案件派遣到处置部门。系统根据监督指挥手册划定的权责关系，明确各类问题的处置部门、处置时限、处置标准等。派遣员在派遣案件时，根据监督指挥手册，将案件派遣至相关处置部门。</w:t>
      </w:r>
    </w:p>
    <w:p w14:paraId="7949880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c.处置反馈</w:t>
      </w:r>
    </w:p>
    <w:p w14:paraId="2A88EB3C">
      <w:pPr>
        <w:spacing w:line="276" w:lineRule="auto"/>
        <w:ind w:firstLine="480"/>
        <w:rPr>
          <w:rFonts w:hint="eastAsia" w:ascii="宋体" w:hAnsi="宋体" w:eastAsia="宋体"/>
          <w:sz w:val="24"/>
          <w:szCs w:val="24"/>
        </w:rPr>
      </w:pPr>
      <w:r>
        <w:rPr>
          <w:rFonts w:hint="eastAsia" w:ascii="宋体" w:hAnsi="宋体" w:eastAsia="宋体"/>
          <w:sz w:val="24"/>
          <w:szCs w:val="24"/>
        </w:rPr>
        <w:t>该模块用于反馈处置信息给监督指挥中心。专业部门收到属于本部门处理范围的案件后，在处置截止时间之前处理完成并反馈给监督指挥中心。可以要求处置部门处置完成上传处置图片，不用再核查，就可以直接审核结案。不符合结案要求的则提示不允许反馈批转。、</w:t>
      </w:r>
    </w:p>
    <w:p w14:paraId="04F0494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d.案件回退</w:t>
      </w:r>
    </w:p>
    <w:p w14:paraId="37719D0B">
      <w:pPr>
        <w:spacing w:line="276" w:lineRule="auto"/>
        <w:ind w:firstLine="480"/>
        <w:rPr>
          <w:rFonts w:hint="eastAsia" w:ascii="宋体" w:hAnsi="宋体" w:eastAsia="宋体"/>
          <w:sz w:val="24"/>
          <w:szCs w:val="24"/>
        </w:rPr>
      </w:pPr>
      <w:r>
        <w:rPr>
          <w:rFonts w:hint="eastAsia" w:ascii="宋体" w:hAnsi="宋体" w:eastAsia="宋体"/>
          <w:sz w:val="24"/>
          <w:szCs w:val="24"/>
        </w:rPr>
        <w:t>该模块允许当前处理部门（岗位、人员）将案件回退到上一阶段的部门（岗位、人员）。并提供可配置的限制条件，限制某些案件进行回退。一般情况下，针对不属于该处置部门或个人的案件，允许该部门和个人将该类案件进行回退到监督指挥中心，由值班长进一步核实后，将该案件重新进行派遣。案件回退后，以列表的形式单独展示。</w:t>
      </w:r>
    </w:p>
    <w:p w14:paraId="7B99495C">
      <w:pPr>
        <w:spacing w:line="276" w:lineRule="auto"/>
        <w:ind w:firstLine="480"/>
        <w:rPr>
          <w:rFonts w:hint="eastAsia" w:ascii="宋体" w:hAnsi="宋体" w:eastAsia="宋体"/>
          <w:sz w:val="24"/>
          <w:szCs w:val="24"/>
        </w:rPr>
      </w:pPr>
      <w:r>
        <w:rPr>
          <w:rFonts w:hint="eastAsia" w:ascii="宋体" w:hAnsi="宋体" w:eastAsia="宋体"/>
          <w:sz w:val="24"/>
          <w:szCs w:val="24"/>
        </w:rPr>
        <w:t>对于某些特殊的案件，通过设置权限，禁止回退。包括超时案件、强制派遣案件等。</w:t>
      </w:r>
    </w:p>
    <w:p w14:paraId="21CDC92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e.申请延期</w:t>
      </w:r>
    </w:p>
    <w:p w14:paraId="4358D5B8">
      <w:pPr>
        <w:spacing w:line="276" w:lineRule="auto"/>
        <w:ind w:firstLine="480"/>
        <w:rPr>
          <w:rFonts w:hint="eastAsia" w:ascii="宋体" w:hAnsi="宋体" w:eastAsia="宋体"/>
          <w:sz w:val="24"/>
          <w:szCs w:val="24"/>
        </w:rPr>
      </w:pPr>
      <w:r>
        <w:rPr>
          <w:rFonts w:hint="eastAsia" w:ascii="宋体" w:hAnsi="宋体" w:eastAsia="宋体"/>
          <w:sz w:val="24"/>
          <w:szCs w:val="24"/>
        </w:rPr>
        <w:t>该模块用于申请案件的延期处置。在案件处理过程中，由于特殊情况，导致案件无法按期处置完成的，可以向中心申请延期处置，需要说明延期理由，如有必要，可以上传附件说明。</w:t>
      </w:r>
    </w:p>
    <w:p w14:paraId="7E4101B5">
      <w:pPr>
        <w:spacing w:line="276" w:lineRule="auto"/>
        <w:ind w:firstLine="480"/>
        <w:rPr>
          <w:rFonts w:hint="eastAsia" w:ascii="宋体" w:hAnsi="宋体" w:eastAsia="宋体"/>
          <w:sz w:val="24"/>
          <w:szCs w:val="24"/>
        </w:rPr>
      </w:pPr>
      <w:r>
        <w:rPr>
          <w:rFonts w:hint="eastAsia" w:ascii="宋体" w:hAnsi="宋体" w:eastAsia="宋体"/>
          <w:sz w:val="24"/>
          <w:szCs w:val="24"/>
        </w:rPr>
        <w:t>为了规范处置，需要对延期的案件做控制，一些特殊案件禁止延期，并可以配置延期案件数比例来进行控制。</w:t>
      </w:r>
    </w:p>
    <w:p w14:paraId="4D49664B">
      <w:pPr>
        <w:spacing w:line="276" w:lineRule="auto"/>
        <w:ind w:firstLine="480"/>
        <w:rPr>
          <w:rFonts w:hint="eastAsia" w:ascii="宋体" w:hAnsi="宋体" w:eastAsia="宋体"/>
          <w:sz w:val="24"/>
          <w:szCs w:val="24"/>
        </w:rPr>
      </w:pPr>
      <w:r>
        <w:rPr>
          <w:rFonts w:hint="eastAsia" w:ascii="宋体" w:hAnsi="宋体" w:eastAsia="宋体"/>
          <w:sz w:val="24"/>
          <w:szCs w:val="24"/>
        </w:rPr>
        <w:t>系统自动记录申请授权的缓办时间、缓办次数、缓办时限，便于后期统计考核。</w:t>
      </w:r>
    </w:p>
    <w:p w14:paraId="26BD22D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f.申请回退</w:t>
      </w:r>
    </w:p>
    <w:p w14:paraId="7B129841">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该模块用于对一些禁止回退的案件（如超期案件、返工案件、延期过案件，通过配置项配置），提供申请回退功能。如有必要，可以上传附件说明。</w:t>
      </w:r>
    </w:p>
    <w:p w14:paraId="1E204294">
      <w:pPr>
        <w:spacing w:line="276" w:lineRule="auto"/>
        <w:ind w:firstLine="480"/>
        <w:rPr>
          <w:rFonts w:hint="eastAsia" w:ascii="宋体" w:hAnsi="宋体" w:eastAsia="宋体"/>
          <w:sz w:val="24"/>
          <w:szCs w:val="24"/>
        </w:rPr>
      </w:pPr>
      <w:r>
        <w:rPr>
          <w:rFonts w:hint="eastAsia" w:ascii="宋体" w:hAnsi="宋体" w:eastAsia="宋体"/>
          <w:sz w:val="24"/>
          <w:szCs w:val="24"/>
        </w:rPr>
        <w:t>回退时若案件为禁止回退案件，同时处理部门有申请回退权限的，给出了申请回退提示，显示申请回退页面。</w:t>
      </w:r>
    </w:p>
    <w:p w14:paraId="3515DCEF">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h.申请作废</w:t>
      </w:r>
    </w:p>
    <w:p w14:paraId="295246BC">
      <w:pPr>
        <w:spacing w:line="276" w:lineRule="auto"/>
        <w:ind w:firstLine="480"/>
        <w:rPr>
          <w:rFonts w:hint="eastAsia" w:ascii="宋体" w:hAnsi="宋体" w:eastAsia="宋体"/>
          <w:sz w:val="24"/>
          <w:szCs w:val="24"/>
        </w:rPr>
      </w:pPr>
      <w:r>
        <w:rPr>
          <w:rFonts w:hint="eastAsia" w:ascii="宋体" w:hAnsi="宋体" w:eastAsia="宋体"/>
          <w:sz w:val="24"/>
          <w:szCs w:val="24"/>
        </w:rPr>
        <w:t>该模块用于在案件立案后，由于一些特殊情况，案件无需继续处置，可以向答复授权人申请作废。</w:t>
      </w:r>
    </w:p>
    <w:p w14:paraId="57E17A8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j.查看办理过程</w:t>
      </w:r>
    </w:p>
    <w:p w14:paraId="0A42DB07">
      <w:pPr>
        <w:spacing w:line="276" w:lineRule="auto"/>
        <w:ind w:firstLine="480"/>
        <w:rPr>
          <w:rFonts w:hint="eastAsia" w:ascii="宋体" w:hAnsi="宋体" w:eastAsia="宋体"/>
          <w:sz w:val="24"/>
          <w:szCs w:val="24"/>
        </w:rPr>
      </w:pPr>
      <w:r>
        <w:rPr>
          <w:rFonts w:hint="eastAsia" w:ascii="宋体" w:hAnsi="宋体" w:eastAsia="宋体"/>
          <w:sz w:val="24"/>
          <w:szCs w:val="24"/>
        </w:rPr>
        <w:t>系统支持查看案件的办理全过程信息。</w:t>
      </w:r>
    </w:p>
    <w:p w14:paraId="30A9A808">
      <w:pPr>
        <w:spacing w:line="276" w:lineRule="auto"/>
        <w:ind w:firstLine="480"/>
        <w:rPr>
          <w:rFonts w:hint="eastAsia" w:ascii="宋体" w:hAnsi="宋体" w:eastAsia="宋体"/>
          <w:sz w:val="24"/>
          <w:szCs w:val="24"/>
        </w:rPr>
      </w:pPr>
      <w:r>
        <w:rPr>
          <w:rFonts w:hint="eastAsia" w:ascii="宋体" w:hAnsi="宋体" w:eastAsia="宋体"/>
          <w:sz w:val="24"/>
          <w:szCs w:val="24"/>
        </w:rPr>
        <w:t>系统中每一个案件流转到系统的任何一个环节，经过的任何一个操作，都会在系统中记录下来，便于对案件进行跟踪和留痕。</w:t>
      </w:r>
    </w:p>
    <w:p w14:paraId="2038A48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k.查看意见</w:t>
      </w:r>
    </w:p>
    <w:p w14:paraId="1BD9CA5B">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该模块主要用于查看具体案件在不同操作过程中填写的意见列表，目前主要包含四个意见查看，分别为授权意见、督办意见、征求意见以及疑难确权。</w:t>
      </w:r>
    </w:p>
    <w:p w14:paraId="0A96232F">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l.案件查询</w:t>
      </w:r>
    </w:p>
    <w:p w14:paraId="05D0F94E">
      <w:pPr>
        <w:spacing w:line="276" w:lineRule="auto"/>
        <w:ind w:firstLine="480"/>
        <w:rPr>
          <w:rFonts w:hint="eastAsia" w:ascii="宋体" w:hAnsi="宋体" w:eastAsia="宋体"/>
          <w:sz w:val="24"/>
          <w:szCs w:val="24"/>
        </w:rPr>
      </w:pPr>
      <w:r>
        <w:rPr>
          <w:rFonts w:hint="eastAsia" w:ascii="宋体" w:hAnsi="宋体" w:eastAsia="宋体"/>
          <w:sz w:val="24"/>
          <w:szCs w:val="24"/>
        </w:rPr>
        <w:t>该模块用于方便用户快速寻找对应案件箱里的具体案件，通过输入任务号的部分数字进行模糊查询匹配到对应满足条件的所有案件。</w:t>
      </w:r>
    </w:p>
    <w:p w14:paraId="12D03ABF">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m.案件导出</w:t>
      </w:r>
    </w:p>
    <w:p w14:paraId="37ECE000">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方便用户快速的将案件箱里的案件导出成excel文件，案件导出分为两个功能，一个是不带图片导出，一个是带图片导出，不带图片导出的excel文件只有案件的信息没有案件多媒体信息，带图片导出功能导出的excel文件既包含案件具体信息又包含案件对应的多媒体，同时支持word和P</w:t>
      </w:r>
      <w:r>
        <w:rPr>
          <w:rFonts w:ascii="宋体" w:hAnsi="宋体" w:eastAsia="宋体"/>
          <w:sz w:val="24"/>
          <w:szCs w:val="24"/>
        </w:rPr>
        <w:t>DF</w:t>
      </w:r>
      <w:r>
        <w:rPr>
          <w:rFonts w:hint="eastAsia" w:ascii="宋体" w:hAnsi="宋体" w:eastAsia="宋体"/>
          <w:sz w:val="24"/>
          <w:szCs w:val="24"/>
        </w:rPr>
        <w:t>格式，导出文件可以生成水印。</w:t>
      </w:r>
    </w:p>
    <w:p w14:paraId="297FB83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n.案件筛选</w:t>
      </w:r>
    </w:p>
    <w:p w14:paraId="6BC955B2">
      <w:pPr>
        <w:spacing w:line="276" w:lineRule="auto"/>
        <w:ind w:firstLine="480"/>
        <w:rPr>
          <w:rFonts w:hint="eastAsia" w:ascii="宋体" w:hAnsi="宋体" w:eastAsia="宋体"/>
          <w:sz w:val="24"/>
          <w:szCs w:val="24"/>
        </w:rPr>
      </w:pPr>
      <w:r>
        <w:rPr>
          <w:rFonts w:hint="eastAsia" w:ascii="宋体" w:hAnsi="宋体" w:eastAsia="宋体"/>
          <w:sz w:val="24"/>
          <w:szCs w:val="24"/>
        </w:rPr>
        <w:t>该模块主要为了满足根据不同字段作为筛选条件来筛选案件箱里的案件，案件筛选字段只针对当前案件箱有效，所能够设置的字段也是当前案件箱所配置的字段（具体字段是否可以作为筛选字段可以在应用管理公共字段里设置）。</w:t>
      </w:r>
    </w:p>
    <w:p w14:paraId="5C2A404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o.案件下载</w:t>
      </w:r>
    </w:p>
    <w:p w14:paraId="7171328E">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该模块主要用于将案件打印的pdf文件压缩下载下来。同时，系统还支持对多个案件批量下载。</w:t>
      </w:r>
    </w:p>
    <w:p w14:paraId="371B5F1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p.案件打印</w:t>
      </w:r>
    </w:p>
    <w:p w14:paraId="4CB3DB09">
      <w:pPr>
        <w:spacing w:line="276" w:lineRule="auto"/>
        <w:ind w:firstLine="480"/>
        <w:rPr>
          <w:rFonts w:hint="eastAsia" w:ascii="宋体" w:hAnsi="宋体" w:eastAsia="宋体"/>
          <w:sz w:val="24"/>
          <w:szCs w:val="24"/>
        </w:rPr>
      </w:pPr>
      <w:r>
        <w:rPr>
          <w:rFonts w:hint="eastAsia" w:ascii="宋体" w:hAnsi="宋体" w:eastAsia="宋体"/>
          <w:sz w:val="24"/>
          <w:szCs w:val="24"/>
        </w:rPr>
        <w:t>该模块可以将具体一条案件信息打印成pdf文件，对应打印的信息可以通过设置不同模板来实现。</w:t>
      </w:r>
    </w:p>
    <w:p w14:paraId="1872DF0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r.案件督办</w:t>
      </w:r>
    </w:p>
    <w:p w14:paraId="244B8C60">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该模块主要用于满足对具体案件进行督办，主要包含进行督办和查看督办。案件督办可以设置督办天数、督办理由以及督办意见。</w:t>
      </w:r>
    </w:p>
    <w:p w14:paraId="6256169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s.答复督办</w:t>
      </w:r>
    </w:p>
    <w:p w14:paraId="0FEEE17E">
      <w:pPr>
        <w:spacing w:line="276" w:lineRule="auto"/>
        <w:ind w:firstLine="480"/>
        <w:rPr>
          <w:rFonts w:hint="eastAsia" w:ascii="宋体" w:hAnsi="宋体" w:eastAsia="宋体"/>
          <w:sz w:val="24"/>
          <w:szCs w:val="24"/>
        </w:rPr>
      </w:pPr>
      <w:r>
        <w:rPr>
          <w:rFonts w:hint="eastAsia" w:ascii="宋体" w:hAnsi="宋体" w:eastAsia="宋体"/>
          <w:sz w:val="24"/>
          <w:szCs w:val="24"/>
        </w:rPr>
        <w:t>系统支持对于领导督办的案件提供答复功能，便于让领导实施掌握案件的办理过程和办理进度。</w:t>
      </w:r>
    </w:p>
    <w:p w14:paraId="397684A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t.案件智能派遣</w:t>
      </w:r>
    </w:p>
    <w:p w14:paraId="53F45326">
      <w:pPr>
        <w:spacing w:line="276" w:lineRule="auto"/>
        <w:ind w:firstLine="480"/>
        <w:rPr>
          <w:rFonts w:hint="eastAsia" w:ascii="宋体" w:hAnsi="宋体" w:eastAsia="宋体"/>
          <w:sz w:val="24"/>
          <w:szCs w:val="24"/>
        </w:rPr>
      </w:pPr>
      <w:r>
        <w:rPr>
          <w:rFonts w:hint="eastAsia" w:ascii="宋体" w:hAnsi="宋体" w:eastAsia="宋体"/>
          <w:sz w:val="24"/>
          <w:szCs w:val="24"/>
        </w:rPr>
        <w:t>对于一般性权责清晰的问题，系统使用推荐派遣的功能，即在系统配置时，按照问题类型，选择推荐部门，匹配相应问题处置部门，当派遣员在派遣案件时，根据推荐匹配的部门选择派遣对象。</w:t>
      </w:r>
    </w:p>
    <w:p w14:paraId="6FDDB899">
      <w:pPr>
        <w:spacing w:line="276" w:lineRule="auto"/>
        <w:ind w:firstLine="480"/>
        <w:rPr>
          <w:rFonts w:hint="eastAsia" w:ascii="宋体" w:hAnsi="宋体" w:eastAsia="宋体"/>
          <w:sz w:val="24"/>
          <w:szCs w:val="24"/>
        </w:rPr>
      </w:pPr>
      <w:r>
        <w:rPr>
          <w:rFonts w:hint="eastAsia" w:ascii="宋体" w:hAnsi="宋体" w:eastAsia="宋体"/>
          <w:sz w:val="24"/>
          <w:szCs w:val="24"/>
        </w:rPr>
        <w:t>对于一些明确了处置部门的小类事件，可以实行自动派遣。系统按照监督指挥手册，对于某些十分明确处置部门的案件，在派遣时，派遣员可以不用选择处置部门，案件有系统机器人自动派遣给相关部门处置。</w:t>
      </w:r>
    </w:p>
    <w:p w14:paraId="30DB163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u.案件智能分配</w:t>
      </w:r>
    </w:p>
    <w:p w14:paraId="7C52EFF5">
      <w:pPr>
        <w:spacing w:line="276" w:lineRule="auto"/>
        <w:ind w:firstLine="480"/>
        <w:rPr>
          <w:rFonts w:hint="eastAsia" w:ascii="宋体" w:hAnsi="宋体" w:eastAsia="宋体"/>
          <w:sz w:val="24"/>
          <w:szCs w:val="24"/>
        </w:rPr>
      </w:pPr>
      <w:r>
        <w:rPr>
          <w:rFonts w:hint="eastAsia" w:ascii="宋体" w:hAnsi="宋体" w:eastAsia="宋体"/>
          <w:sz w:val="24"/>
          <w:szCs w:val="24"/>
        </w:rPr>
        <w:t>对闲置人员进行排序，当有待分派的案件时，根据受理派遣员的顺序，依次将一条或者多条案件分派到对应号码的受理派遣员。</w:t>
      </w:r>
    </w:p>
    <w:p w14:paraId="4298ABCD">
      <w:pPr>
        <w:pStyle w:val="8"/>
        <w:rPr>
          <w:rFonts w:hint="eastAsia"/>
        </w:rPr>
      </w:pPr>
      <w:bookmarkStart w:id="122" w:name="_Toc45117736"/>
      <w:bookmarkStart w:id="123" w:name="_Toc64887223"/>
      <w:bookmarkStart w:id="124" w:name="_Toc138067462"/>
      <w:bookmarkStart w:id="125" w:name="_Toc64887222"/>
      <w:bookmarkStart w:id="126" w:name="_Toc45117735"/>
      <w:r>
        <w:rPr>
          <w:rFonts w:hint="eastAsia"/>
        </w:rPr>
        <w:t>监督指挥子系统</w:t>
      </w:r>
      <w:bookmarkEnd w:id="122"/>
      <w:bookmarkEnd w:id="123"/>
      <w:bookmarkEnd w:id="124"/>
    </w:p>
    <w:p w14:paraId="6A99642A">
      <w:pPr>
        <w:pStyle w:val="14"/>
        <w:rPr>
          <w:rFonts w:hint="eastAsia"/>
        </w:rPr>
      </w:pPr>
      <w:r>
        <w:rPr>
          <w:rFonts w:hint="eastAsia"/>
        </w:rPr>
        <w:t>系统概述</w:t>
      </w:r>
    </w:p>
    <w:p w14:paraId="46CDD8B2">
      <w:pPr>
        <w:spacing w:line="276" w:lineRule="auto"/>
        <w:ind w:firstLine="480"/>
        <w:rPr>
          <w:rFonts w:hint="eastAsia" w:ascii="宋体" w:hAnsi="宋体" w:eastAsia="宋体"/>
          <w:sz w:val="24"/>
          <w:szCs w:val="24"/>
        </w:rPr>
      </w:pPr>
      <w:r>
        <w:rPr>
          <w:rFonts w:hint="eastAsia" w:ascii="宋体" w:hAnsi="宋体" w:eastAsia="宋体"/>
          <w:sz w:val="24"/>
          <w:szCs w:val="24"/>
        </w:rPr>
        <w:t>监督指挥子系统主要用来监督和展现系统运行情况。包括了体现系统的各项数据指标，还包括案件、人员、基础数据、综合评价等。系统以地图为主要形式展现，各类数据在地图上直观显示，同时提供简单查询和信息面板，用于滚动显示区域内实时的案卷上报事件、报警事件和平台的其他事件。</w:t>
      </w:r>
    </w:p>
    <w:p w14:paraId="726350C9">
      <w:pPr>
        <w:pStyle w:val="14"/>
        <w:rPr>
          <w:rFonts w:hint="eastAsia"/>
        </w:rPr>
      </w:pPr>
      <w:r>
        <w:rPr>
          <w:rFonts w:hint="eastAsia"/>
        </w:rPr>
        <w:t>功能需求</w:t>
      </w:r>
    </w:p>
    <w:p w14:paraId="0DC6B07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a.综合首页</w:t>
      </w:r>
    </w:p>
    <w:p w14:paraId="3EE1EF39">
      <w:pPr>
        <w:spacing w:line="276" w:lineRule="auto"/>
        <w:ind w:firstLine="480"/>
        <w:rPr>
          <w:rFonts w:hint="eastAsia" w:ascii="宋体" w:hAnsi="宋体" w:eastAsia="宋体"/>
          <w:sz w:val="24"/>
          <w:szCs w:val="24"/>
        </w:rPr>
      </w:pPr>
      <w:r>
        <w:rPr>
          <w:rFonts w:hint="eastAsia" w:ascii="宋体" w:hAnsi="宋体" w:eastAsia="宋体"/>
          <w:sz w:val="24"/>
          <w:szCs w:val="24"/>
        </w:rPr>
        <w:t>主要对监督指挥系统案件处置概要信息进行展现，可与地图进行交互，并按照登录人所在区域、时间和权限等限制条件进行过滤，同时地图的展现形式为聚类图、热力图等。</w:t>
      </w:r>
    </w:p>
    <w:p w14:paraId="74668A1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b.监督员管理</w:t>
      </w:r>
    </w:p>
    <w:p w14:paraId="7F491565">
      <w:pPr>
        <w:spacing w:line="276" w:lineRule="auto"/>
        <w:ind w:firstLine="480"/>
        <w:rPr>
          <w:rFonts w:hint="eastAsia" w:ascii="宋体" w:hAnsi="宋体" w:eastAsia="宋体"/>
          <w:sz w:val="24"/>
          <w:szCs w:val="24"/>
        </w:rPr>
      </w:pPr>
      <w:r>
        <w:rPr>
          <w:rFonts w:hint="eastAsia" w:ascii="宋体" w:hAnsi="宋体" w:eastAsia="宋体"/>
          <w:sz w:val="24"/>
          <w:szCs w:val="24"/>
        </w:rPr>
        <w:t>该模块整体展示当前监督员在线情况，以及在地图上的分布。单独展示各监督员基本信息以及工作情况。</w:t>
      </w:r>
    </w:p>
    <w:p w14:paraId="71A9973A">
      <w:pPr>
        <w:spacing w:line="276" w:lineRule="auto"/>
        <w:ind w:firstLine="480"/>
        <w:rPr>
          <w:rFonts w:hint="eastAsia" w:ascii="宋体" w:hAnsi="宋体" w:eastAsia="宋体"/>
          <w:sz w:val="24"/>
          <w:szCs w:val="24"/>
        </w:rPr>
      </w:pPr>
      <w:r>
        <w:rPr>
          <w:rFonts w:hint="eastAsia" w:ascii="宋体" w:hAnsi="宋体" w:eastAsia="宋体"/>
          <w:sz w:val="24"/>
          <w:szCs w:val="24"/>
        </w:rPr>
        <w:t>系统页面主要展示监督员总体情况和单个监督员工作情况。总体情况有区域和部门（属性）两种展现方式，支持地图互动。对于各监督员可以查看个人基本信息、责任网格、当天工作量以及工作轨迹状态，支持按时段对该监督员的工作量进行分析，同时可对所属案件进行反查。</w:t>
      </w:r>
    </w:p>
    <w:p w14:paraId="5BE53C6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c.案件流程分析</w:t>
      </w:r>
    </w:p>
    <w:p w14:paraId="52AEB1E5">
      <w:pPr>
        <w:spacing w:line="276" w:lineRule="auto"/>
        <w:ind w:firstLine="480"/>
        <w:rPr>
          <w:rFonts w:hint="eastAsia" w:ascii="宋体" w:hAnsi="宋体" w:eastAsia="宋体"/>
          <w:sz w:val="24"/>
          <w:szCs w:val="24"/>
        </w:rPr>
      </w:pPr>
      <w:r>
        <w:rPr>
          <w:rFonts w:hint="eastAsia" w:ascii="宋体" w:hAnsi="宋体" w:eastAsia="宋体"/>
          <w:sz w:val="24"/>
          <w:szCs w:val="24"/>
        </w:rPr>
        <w:t>该模块用于整体反应当天上报案件在系统中的运行状态、所处阶段和数量。</w:t>
      </w:r>
    </w:p>
    <w:p w14:paraId="140E31C2">
      <w:pPr>
        <w:spacing w:line="276" w:lineRule="auto"/>
        <w:ind w:firstLine="480"/>
        <w:rPr>
          <w:rFonts w:hint="eastAsia" w:ascii="宋体" w:hAnsi="宋体" w:eastAsia="宋体"/>
          <w:sz w:val="24"/>
          <w:szCs w:val="24"/>
        </w:rPr>
      </w:pPr>
      <w:r>
        <w:rPr>
          <w:rFonts w:hint="eastAsia" w:ascii="宋体" w:hAnsi="宋体" w:eastAsia="宋体"/>
          <w:sz w:val="24"/>
          <w:szCs w:val="24"/>
        </w:rPr>
        <w:t>系统页面展示当天上报案件的当前状态，包括待受理、待立案、待派遣、处置中、待核查、待结案、结案等案件的数量，支持对应状态的案件反查、地图定位交互和按条件查询案件，对实时上报案件进行滚动展示。</w:t>
      </w:r>
    </w:p>
    <w:p w14:paraId="3EA99BD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d.区域动态分析</w:t>
      </w:r>
    </w:p>
    <w:p w14:paraId="74DA1ACF">
      <w:pPr>
        <w:spacing w:line="276" w:lineRule="auto"/>
        <w:ind w:firstLine="480"/>
        <w:rPr>
          <w:rFonts w:hint="eastAsia" w:ascii="宋体" w:hAnsi="宋体" w:eastAsia="宋体"/>
          <w:sz w:val="24"/>
          <w:szCs w:val="24"/>
        </w:rPr>
      </w:pPr>
      <w:r>
        <w:rPr>
          <w:rFonts w:hint="eastAsia" w:ascii="宋体" w:hAnsi="宋体" w:eastAsia="宋体"/>
          <w:sz w:val="24"/>
          <w:szCs w:val="24"/>
        </w:rPr>
        <w:t>该模块按区域条件与时间段对案件信息进行筛选，通过图表形式显示选定区域内案件上报、立案、派遣、处置、核查、结案数量，支持各区域案件反查，可与地图进行交互。</w:t>
      </w:r>
    </w:p>
    <w:p w14:paraId="55D9DCA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e.类型动态分析</w:t>
      </w:r>
    </w:p>
    <w:p w14:paraId="0D913762">
      <w:pPr>
        <w:spacing w:line="276" w:lineRule="auto"/>
        <w:ind w:firstLine="480"/>
        <w:rPr>
          <w:rFonts w:hint="eastAsia" w:ascii="宋体" w:hAnsi="宋体" w:eastAsia="宋体"/>
          <w:sz w:val="24"/>
          <w:szCs w:val="24"/>
        </w:rPr>
      </w:pPr>
      <w:r>
        <w:rPr>
          <w:rFonts w:hint="eastAsia" w:ascii="宋体" w:hAnsi="宋体" w:eastAsia="宋体"/>
          <w:sz w:val="24"/>
          <w:szCs w:val="24"/>
        </w:rPr>
        <w:t>该模块按照案件类型与时间段对案件信息进行筛选，通过图表形式显示选定案件类型的上报、立案、派遣、处置、核查、结案数量，支持各类型案件反查，可与地图进行交互。</w:t>
      </w:r>
    </w:p>
    <w:p w14:paraId="6127FEA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f.来源动态分析</w:t>
      </w:r>
    </w:p>
    <w:p w14:paraId="04E33424">
      <w:pPr>
        <w:spacing w:line="276" w:lineRule="auto"/>
        <w:ind w:firstLine="480"/>
        <w:rPr>
          <w:rFonts w:hint="eastAsia" w:ascii="宋体" w:hAnsi="宋体" w:eastAsia="宋体"/>
          <w:sz w:val="24"/>
          <w:szCs w:val="24"/>
        </w:rPr>
      </w:pPr>
      <w:r>
        <w:rPr>
          <w:rFonts w:hint="eastAsia" w:ascii="宋体" w:hAnsi="宋体" w:eastAsia="宋体"/>
          <w:sz w:val="24"/>
          <w:szCs w:val="24"/>
        </w:rPr>
        <w:t>该模块针对各上报、立案、派遣、处置、核查、结案案件的来源，以饼状图和表格的形式进行展示，支持各类问题来源案件进行反查，可与地图进行交互。</w:t>
      </w:r>
    </w:p>
    <w:p w14:paraId="61FC0EF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g.高发问题分析</w:t>
      </w:r>
    </w:p>
    <w:p w14:paraId="60928E1E">
      <w:pPr>
        <w:spacing w:line="276" w:lineRule="auto"/>
        <w:ind w:firstLine="480"/>
        <w:rPr>
          <w:rFonts w:hint="eastAsia" w:ascii="宋体" w:hAnsi="宋体" w:eastAsia="宋体"/>
          <w:sz w:val="24"/>
          <w:szCs w:val="24"/>
        </w:rPr>
      </w:pPr>
      <w:r>
        <w:rPr>
          <w:rFonts w:hint="eastAsia" w:ascii="宋体" w:hAnsi="宋体" w:eastAsia="宋体"/>
          <w:sz w:val="24"/>
          <w:szCs w:val="24"/>
        </w:rPr>
        <w:t>该模块用于分析各类案件的高发问题情况，通过图表形式直观展现了高发问题数量，支持各类型案件的反查，可与地图进行交互。</w:t>
      </w:r>
    </w:p>
    <w:p w14:paraId="6E71B2C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h.同比分析</w:t>
      </w:r>
    </w:p>
    <w:p w14:paraId="47E35527">
      <w:pPr>
        <w:spacing w:line="276" w:lineRule="auto"/>
        <w:ind w:firstLine="480"/>
        <w:rPr>
          <w:rFonts w:hint="eastAsia" w:ascii="宋体" w:hAnsi="宋体" w:eastAsia="宋体"/>
          <w:sz w:val="24"/>
          <w:szCs w:val="24"/>
        </w:rPr>
      </w:pPr>
      <w:r>
        <w:rPr>
          <w:rFonts w:hint="eastAsia" w:ascii="宋体" w:hAnsi="宋体" w:eastAsia="宋体"/>
          <w:sz w:val="24"/>
          <w:szCs w:val="24"/>
        </w:rPr>
        <w:t>该模块用于相邻时间段同一时间点（通过时间基准进行选择）的案件进行数据对比分析，分别展现了不同考评周期（半年、季、月、周、天）以及不同区域条件下各类（上报、立案、派遣、处置、核查、结案）案件的本期、往期数量以及变化率，利用图表的形式显示了同比变化情况，并支持案件反查和地图交互。</w:t>
      </w:r>
    </w:p>
    <w:p w14:paraId="660B3110">
      <w:pPr>
        <w:spacing w:line="276" w:lineRule="auto"/>
        <w:ind w:firstLine="480"/>
        <w:rPr>
          <w:rFonts w:hint="eastAsia" w:ascii="宋体" w:hAnsi="宋体" w:eastAsia="宋体"/>
          <w:sz w:val="24"/>
          <w:szCs w:val="24"/>
        </w:rPr>
      </w:pPr>
      <w:r>
        <w:rPr>
          <w:rFonts w:hint="eastAsia" w:ascii="宋体" w:hAnsi="宋体" w:eastAsia="宋体"/>
          <w:sz w:val="24"/>
          <w:szCs w:val="24"/>
        </w:rPr>
        <w:t>案件区域进行选择时，若不选，则默认显示区的同比情况，若只选择区，则显示街道的同比情况，若选择了街道，则显示社区的同比情况。</w:t>
      </w:r>
    </w:p>
    <w:p w14:paraId="495D5D8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i.环比分析</w:t>
      </w:r>
    </w:p>
    <w:p w14:paraId="3AC54B13">
      <w:pPr>
        <w:spacing w:line="276" w:lineRule="auto"/>
        <w:ind w:firstLine="480"/>
        <w:rPr>
          <w:rFonts w:hint="eastAsia" w:ascii="宋体" w:hAnsi="宋体" w:eastAsia="宋体"/>
          <w:sz w:val="24"/>
          <w:szCs w:val="24"/>
        </w:rPr>
      </w:pPr>
      <w:r>
        <w:rPr>
          <w:rFonts w:hint="eastAsia" w:ascii="宋体" w:hAnsi="宋体" w:eastAsia="宋体"/>
          <w:sz w:val="24"/>
          <w:szCs w:val="24"/>
        </w:rPr>
        <w:t>该模块用于相邻时间段（可选择时间基准）内案件增长情况的对比分析，主要展现不同考评周期（半年、季、月、周、天）以及不同区域条件下各类（上报、立案、派遣、处置、核查、结案）案件的本期、往期数量以及变化率，利用图表的形式显示了同比变化情况，并支持案件反查和地图交互。</w:t>
      </w:r>
    </w:p>
    <w:p w14:paraId="6C4E2067">
      <w:pPr>
        <w:spacing w:line="276" w:lineRule="auto"/>
        <w:ind w:firstLine="480"/>
        <w:rPr>
          <w:rFonts w:hint="eastAsia" w:ascii="宋体" w:hAnsi="宋体" w:eastAsia="宋体"/>
          <w:sz w:val="24"/>
          <w:szCs w:val="24"/>
        </w:rPr>
      </w:pPr>
      <w:r>
        <w:rPr>
          <w:rFonts w:hint="eastAsia" w:ascii="宋体" w:hAnsi="宋体" w:eastAsia="宋体"/>
          <w:sz w:val="24"/>
          <w:szCs w:val="24"/>
        </w:rPr>
        <w:t>案件区域进行选择时，若不选，则默认显示区的同比情况，若只选择区，则显示街道的同比情况，若选择了街道，则显示社区的同比情况。</w:t>
      </w:r>
    </w:p>
    <w:p w14:paraId="643A025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j.部门评价</w:t>
      </w:r>
    </w:p>
    <w:p w14:paraId="57815DCB">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各区域不同部门工作情况进行统计评价，评价指标包含应处置数、处置数、超期处置数、处置率、按期处置率、返工数、返工率、综合评分、排名情况，通过以上指标对各单位、各处（科室）进行评价考核，对于各单位、各处（科室）可查看其具体的评价图表以及趋势信息。</w:t>
      </w:r>
    </w:p>
    <w:p w14:paraId="675A6A53">
      <w:pPr>
        <w:spacing w:line="276" w:lineRule="auto"/>
        <w:ind w:firstLine="480"/>
        <w:rPr>
          <w:rFonts w:hint="eastAsia" w:ascii="宋体" w:hAnsi="宋体" w:eastAsia="宋体"/>
          <w:sz w:val="24"/>
          <w:szCs w:val="24"/>
        </w:rPr>
      </w:pPr>
      <w:r>
        <w:rPr>
          <w:rFonts w:hint="eastAsia" w:ascii="宋体" w:hAnsi="宋体" w:eastAsia="宋体"/>
          <w:sz w:val="24"/>
          <w:szCs w:val="24"/>
        </w:rPr>
        <w:t>同时还提供了各单位、各处（科室）相对于往期数据的排名变化情况，排名上升下降用不同颜色区分，并标明上升下降位数。统计后对各单位、各处（科室）分别按处置数、处置率、按期处置率、返工率进行排名，并显示变化趋势。</w:t>
      </w:r>
    </w:p>
    <w:p w14:paraId="7C14913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k.岗位评价</w:t>
      </w:r>
    </w:p>
    <w:p w14:paraId="007A583E">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该模块用于对不同岗位的人员工作情况进行统计评价，监督员评价指标包含上报数、有效上报数、有效上报率、按期核实率、按期核查率、综合得分、排名情况，通过以上指标对各人员进行评价考核。</w:t>
      </w:r>
    </w:p>
    <w:p w14:paraId="32958EF9">
      <w:pPr>
        <w:spacing w:line="276" w:lineRule="auto"/>
        <w:ind w:firstLine="480"/>
        <w:rPr>
          <w:rFonts w:hint="eastAsia" w:ascii="宋体" w:hAnsi="宋体" w:eastAsia="宋体"/>
          <w:sz w:val="24"/>
          <w:szCs w:val="24"/>
        </w:rPr>
      </w:pPr>
      <w:r>
        <w:rPr>
          <w:rFonts w:hint="eastAsia" w:ascii="宋体" w:hAnsi="宋体" w:eastAsia="宋体"/>
          <w:sz w:val="24"/>
          <w:szCs w:val="24"/>
        </w:rPr>
        <w:t>同时还提供各人员相对于往期数据的排名变化情况，排名上升下降用不同颜色区分，并标明上升下降位数。统计后对各岗位人员分别按上报数、有效上报数、按期核实率、按期核查率进行排名，并显示变化趋势。</w:t>
      </w:r>
    </w:p>
    <w:p w14:paraId="33E3AB2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l.区域评价</w:t>
      </w:r>
    </w:p>
    <w:p w14:paraId="44C10BB1">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不同区域工作情况进行统计评价，评价指标包含公共举报数、立案数、结案数、按期结案数、结案率、按期结案率、评价等级，通过以上指标对各区域进行评价考核，并在地图上用不同颜色对各区域评价等级进行区分展示。</w:t>
      </w:r>
    </w:p>
    <w:p w14:paraId="54B48FC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m.普查成果展示</w:t>
      </w:r>
    </w:p>
    <w:p w14:paraId="2F7F7B82">
      <w:pPr>
        <w:spacing w:line="276" w:lineRule="auto"/>
        <w:ind w:firstLine="480"/>
        <w:rPr>
          <w:rFonts w:hint="eastAsia" w:ascii="宋体" w:hAnsi="宋体" w:eastAsia="宋体"/>
          <w:sz w:val="24"/>
          <w:szCs w:val="24"/>
        </w:rPr>
      </w:pPr>
      <w:r>
        <w:rPr>
          <w:rFonts w:hint="eastAsia" w:ascii="宋体" w:hAnsi="宋体" w:eastAsia="宋体"/>
          <w:sz w:val="24"/>
          <w:szCs w:val="24"/>
        </w:rPr>
        <w:t>该模块支持查看各个级别区域的普查面积，单元网格数量和面积，责任网格数量和面积，部件数量和密度，监督员数量。对于上述普查数据支持图标以及地图的联动显示。</w:t>
      </w:r>
    </w:p>
    <w:p w14:paraId="665C5F0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n.部件分析</w:t>
      </w:r>
    </w:p>
    <w:p w14:paraId="44B6336F">
      <w:pPr>
        <w:spacing w:line="276" w:lineRule="auto"/>
        <w:ind w:firstLine="480"/>
        <w:rPr>
          <w:rFonts w:hint="eastAsia" w:ascii="宋体" w:hAnsi="宋体" w:eastAsia="宋体"/>
          <w:sz w:val="24"/>
          <w:szCs w:val="24"/>
        </w:rPr>
      </w:pPr>
      <w:r>
        <w:rPr>
          <w:rFonts w:hint="eastAsia" w:ascii="宋体" w:hAnsi="宋体" w:eastAsia="宋体"/>
          <w:sz w:val="24"/>
          <w:szCs w:val="24"/>
        </w:rPr>
        <w:t>该模块支持查看各个级别区域的部件情况，包含部件总数，公用设施，交通设施等。对于部件信息支持饼状图以及地图的联动展示。</w:t>
      </w:r>
    </w:p>
    <w:p w14:paraId="5FD54D5F">
      <w:pPr>
        <w:pStyle w:val="8"/>
        <w:rPr>
          <w:rFonts w:hint="eastAsia"/>
        </w:rPr>
      </w:pPr>
      <w:bookmarkStart w:id="127" w:name="_Toc45117737"/>
      <w:bookmarkStart w:id="128" w:name="_Toc64887224"/>
      <w:bookmarkStart w:id="129" w:name="_Toc138067463"/>
      <w:r>
        <w:rPr>
          <w:rFonts w:hint="eastAsia"/>
        </w:rPr>
        <w:t>综合评价子系统</w:t>
      </w:r>
      <w:bookmarkEnd w:id="127"/>
      <w:bookmarkEnd w:id="128"/>
      <w:bookmarkEnd w:id="129"/>
    </w:p>
    <w:p w14:paraId="73047850">
      <w:pPr>
        <w:pStyle w:val="14"/>
        <w:rPr>
          <w:rFonts w:hint="eastAsia"/>
        </w:rPr>
      </w:pPr>
      <w:r>
        <w:rPr>
          <w:rFonts w:hint="eastAsia"/>
        </w:rPr>
        <w:t>系统概述</w:t>
      </w:r>
    </w:p>
    <w:p w14:paraId="27E671D2">
      <w:pPr>
        <w:spacing w:line="276" w:lineRule="auto"/>
        <w:ind w:firstLine="480"/>
        <w:rPr>
          <w:rFonts w:hint="eastAsia" w:ascii="宋体" w:hAnsi="宋体" w:eastAsia="宋体"/>
          <w:sz w:val="24"/>
          <w:szCs w:val="24"/>
        </w:rPr>
      </w:pPr>
      <w:r>
        <w:rPr>
          <w:rFonts w:hint="eastAsia" w:ascii="宋体" w:hAnsi="宋体" w:eastAsia="宋体"/>
          <w:sz w:val="24"/>
          <w:szCs w:val="24"/>
        </w:rPr>
        <w:t>综合评价子系统是基于监督指挥受理子系统、协同工作子系统和地理信息系统，运用综合考评模型，实时或定期统计技术，将信息化技术、监督考评的工作模式应用到城市管理中。通过信息存储和信息查询，实现对历史数据实时或定期的统计，并通过城市管理考评体系数学建模运算评比等级，将其以图形化或表格化的方式显示出来。通过系统建设，推进城市管理监督达到主动、精确、快速、直观和统一的目标，从而实现完善的城市管理考评体系，能形成良好的城市管理监督机制。</w:t>
      </w:r>
    </w:p>
    <w:p w14:paraId="2FC7BF02">
      <w:pPr>
        <w:pStyle w:val="14"/>
        <w:rPr>
          <w:rFonts w:hint="eastAsia"/>
        </w:rPr>
      </w:pPr>
      <w:r>
        <w:rPr>
          <w:rFonts w:hint="eastAsia"/>
        </w:rPr>
        <w:t>功能需求</w:t>
      </w:r>
    </w:p>
    <w:p w14:paraId="39A61AD7">
      <w:pPr>
        <w:spacing w:line="276" w:lineRule="auto"/>
        <w:ind w:firstLine="480"/>
        <w:rPr>
          <w:rFonts w:hint="eastAsia" w:ascii="宋体" w:hAnsi="宋体" w:eastAsia="宋体"/>
          <w:sz w:val="24"/>
          <w:szCs w:val="24"/>
        </w:rPr>
      </w:pPr>
      <w:r>
        <w:rPr>
          <w:rFonts w:hint="eastAsia" w:ascii="宋体" w:hAnsi="宋体" w:eastAsia="宋体"/>
          <w:sz w:val="24"/>
          <w:szCs w:val="24"/>
        </w:rPr>
        <w:t>相关评价功能均需实现数据字段自定义组合展示、反查、结果分析（大小类、饼状图或柱状图、区域等）、导出、打印功能。</w:t>
      </w:r>
    </w:p>
    <w:p w14:paraId="6A44C53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a.城区区域评价</w:t>
      </w:r>
    </w:p>
    <w:p w14:paraId="4F7E8CD7">
      <w:pPr>
        <w:spacing w:line="276" w:lineRule="auto"/>
        <w:ind w:firstLine="480"/>
        <w:rPr>
          <w:rFonts w:hint="eastAsia" w:ascii="宋体" w:hAnsi="宋体" w:eastAsia="宋体"/>
          <w:sz w:val="24"/>
          <w:szCs w:val="24"/>
        </w:rPr>
      </w:pPr>
      <w:r>
        <w:rPr>
          <w:rFonts w:hint="eastAsia" w:ascii="宋体" w:hAnsi="宋体" w:eastAsia="宋体"/>
          <w:sz w:val="24"/>
          <w:szCs w:val="24"/>
        </w:rPr>
        <w:t>用于考核各区域的工作情况，针对各区域上报、受理、立案、处置的案卷以及处理的情况进行统计，统计的内容包括各区域上报的案卷总数，受理的案卷数，立案的案卷数，派遣的案卷数，处置的案卷数，结案的案卷数。同时结合统计条件进行统计汇总最终形成报表，能够对统计结果数据导出和反查以及展示。</w:t>
      </w:r>
    </w:p>
    <w:p w14:paraId="74DF7374">
      <w:pPr>
        <w:spacing w:line="276" w:lineRule="auto"/>
        <w:ind w:firstLine="480"/>
        <w:rPr>
          <w:rFonts w:hint="eastAsia" w:ascii="宋体" w:hAnsi="宋体" w:eastAsia="宋体"/>
          <w:sz w:val="24"/>
          <w:szCs w:val="24"/>
        </w:rPr>
      </w:pPr>
      <w:r>
        <w:rPr>
          <w:rFonts w:hint="eastAsia" w:ascii="宋体" w:hAnsi="宋体" w:eastAsia="宋体"/>
          <w:sz w:val="24"/>
          <w:szCs w:val="24"/>
        </w:rPr>
        <w:t>针对统计的问题数量，将有效上报率，立案率，处置率、返工率、结案率等指标作为评价指标，分别考核各区域的工作效率以及工作质量。</w:t>
      </w:r>
    </w:p>
    <w:p w14:paraId="4783051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b.街道区域评价</w:t>
      </w:r>
    </w:p>
    <w:p w14:paraId="76D06180">
      <w:pPr>
        <w:spacing w:line="276" w:lineRule="auto"/>
        <w:ind w:firstLine="480"/>
        <w:rPr>
          <w:rFonts w:hint="eastAsia" w:ascii="宋体" w:hAnsi="宋体" w:eastAsia="宋体"/>
          <w:sz w:val="24"/>
          <w:szCs w:val="24"/>
        </w:rPr>
      </w:pPr>
      <w:r>
        <w:rPr>
          <w:rFonts w:hint="eastAsia" w:ascii="宋体" w:hAnsi="宋体" w:eastAsia="宋体"/>
          <w:sz w:val="24"/>
          <w:szCs w:val="24"/>
        </w:rPr>
        <w:t>该模块用于考核各街道的工作情况，针对各街道上报、立案、处置的案卷以及处理的情况进行统计，统计的内容包括各街道上报的案卷总数，监督员上报数、公众举报数、公众有效举报数、有效上报数、立案数、立案率、应处置数、处置数、按期处置数、按期处置率、应结案数、结案数、按期结案数等。同时结合统计条件进行统计汇总最终形成报表，并支持统计结果数据导出和反查以及展示。</w:t>
      </w:r>
    </w:p>
    <w:p w14:paraId="7815756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c.社区区域评价</w:t>
      </w:r>
    </w:p>
    <w:p w14:paraId="164318E0">
      <w:pPr>
        <w:spacing w:line="276" w:lineRule="auto"/>
        <w:ind w:firstLine="480"/>
        <w:rPr>
          <w:rFonts w:hint="eastAsia" w:ascii="宋体" w:hAnsi="宋体" w:eastAsia="宋体"/>
          <w:sz w:val="24"/>
          <w:szCs w:val="24"/>
        </w:rPr>
      </w:pPr>
      <w:r>
        <w:rPr>
          <w:rFonts w:hint="eastAsia" w:ascii="宋体" w:hAnsi="宋体" w:eastAsia="宋体"/>
          <w:sz w:val="24"/>
          <w:szCs w:val="24"/>
        </w:rPr>
        <w:t>该模块用于考核各社区的工作情况，针对各社区上报、立案、处置的案卷以及处理的情况进行统计，统计的内容包括各街道上报的案卷总数，监督员上报数、公众举报数、公众有效举报数、有效上报数、立案数、立案率、应处置数、处置数、按期处置数、按期处置率、应结案数、结案数、按期结案数等。同时结合统计条件进行统计汇总最终形成报表，并支持统计结果数据导出和反查以及图表展示。</w:t>
      </w:r>
    </w:p>
    <w:p w14:paraId="4B46561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d.单元网格评价</w:t>
      </w:r>
    </w:p>
    <w:p w14:paraId="44AE8571">
      <w:pPr>
        <w:spacing w:line="276" w:lineRule="auto"/>
        <w:ind w:firstLine="480"/>
        <w:rPr>
          <w:rFonts w:hint="eastAsia" w:ascii="宋体" w:hAnsi="宋体" w:eastAsia="宋体"/>
          <w:sz w:val="24"/>
          <w:szCs w:val="24"/>
        </w:rPr>
      </w:pPr>
      <w:r>
        <w:rPr>
          <w:rFonts w:hint="eastAsia" w:ascii="宋体" w:hAnsi="宋体" w:eastAsia="宋体"/>
          <w:sz w:val="24"/>
          <w:szCs w:val="24"/>
        </w:rPr>
        <w:t>用于考核各单元网格的工作情况，针对各网格内上报、立案、处置的案卷以及处理的情况进行统计，统计的内容包括各街道上报的案卷总数，监督员上报数、公众举报数、公众有效举报数、有效上报数、立案数、立案率、应处置数、处置数、按期处置数、按期处置率、应结案数、结案数、按期结案数等。同时结合统计条件进行统计汇总最终形成报表，能够统计结果数据导出和反查以及展示。</w:t>
      </w:r>
    </w:p>
    <w:p w14:paraId="218D2AA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e.部门评价</w:t>
      </w:r>
    </w:p>
    <w:p w14:paraId="3D4BBF58">
      <w:pPr>
        <w:spacing w:line="276" w:lineRule="auto"/>
        <w:ind w:firstLine="480"/>
        <w:rPr>
          <w:rFonts w:hint="eastAsia" w:ascii="宋体" w:hAnsi="宋体" w:eastAsia="宋体"/>
          <w:sz w:val="24"/>
          <w:szCs w:val="24"/>
        </w:rPr>
      </w:pPr>
      <w:r>
        <w:rPr>
          <w:rFonts w:hint="eastAsia" w:ascii="宋体" w:hAnsi="宋体" w:eastAsia="宋体"/>
          <w:sz w:val="24"/>
          <w:szCs w:val="24"/>
        </w:rPr>
        <w:t>主要展示各专业部门工作情况。根据页面上选择的时间进行各个专业部门的处置、返工、结案等指标的展示，能够统计结果数据导出和反查以及展示。</w:t>
      </w:r>
    </w:p>
    <w:p w14:paraId="3F295F1D">
      <w:pPr>
        <w:spacing w:line="276" w:lineRule="auto"/>
        <w:ind w:firstLine="480"/>
        <w:rPr>
          <w:rFonts w:hint="eastAsia" w:ascii="宋体" w:hAnsi="宋体" w:eastAsia="宋体"/>
          <w:sz w:val="24"/>
          <w:szCs w:val="24"/>
        </w:rPr>
      </w:pPr>
      <w:r>
        <w:rPr>
          <w:rFonts w:hint="eastAsia" w:ascii="宋体" w:hAnsi="宋体" w:eastAsia="宋体"/>
          <w:sz w:val="24"/>
          <w:szCs w:val="24"/>
        </w:rPr>
        <w:t>针对各专业部门接收的案卷以及处理的情况进行统计，统计的内容包括各专业部门接收的案卷总数，正在处理的案卷数，正在处理中超期的案卷数，已经结案的案卷数，结案的案卷中包括的超期案卷数，还有针对核查未通过再派遣的问题数。</w:t>
      </w:r>
    </w:p>
    <w:p w14:paraId="151EC22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f.岗位评价</w:t>
      </w:r>
    </w:p>
    <w:p w14:paraId="03457C2D">
      <w:pPr>
        <w:spacing w:line="276" w:lineRule="auto"/>
        <w:ind w:firstLine="480"/>
        <w:rPr>
          <w:rFonts w:hint="eastAsia" w:ascii="宋体" w:hAnsi="宋体" w:eastAsia="宋体"/>
          <w:sz w:val="24"/>
          <w:szCs w:val="24"/>
        </w:rPr>
      </w:pPr>
      <w:r>
        <w:rPr>
          <w:rFonts w:hint="eastAsia" w:ascii="宋体" w:hAnsi="宋体" w:eastAsia="宋体"/>
          <w:sz w:val="24"/>
          <w:szCs w:val="24"/>
        </w:rPr>
        <w:t>监督员岗位评价主要考核：上报数、有效上报数、核实数、按时核实数、核查数、按时核查数等指标。</w:t>
      </w:r>
    </w:p>
    <w:p w14:paraId="51E2A7F8">
      <w:pPr>
        <w:spacing w:line="276" w:lineRule="auto"/>
        <w:ind w:firstLine="480"/>
        <w:rPr>
          <w:rFonts w:hint="eastAsia" w:ascii="宋体" w:hAnsi="宋体" w:eastAsia="宋体"/>
          <w:sz w:val="24"/>
          <w:szCs w:val="24"/>
        </w:rPr>
      </w:pPr>
      <w:r>
        <w:rPr>
          <w:rFonts w:hint="eastAsia" w:ascii="宋体" w:hAnsi="宋体" w:eastAsia="宋体"/>
          <w:sz w:val="24"/>
          <w:szCs w:val="24"/>
        </w:rPr>
        <w:t>受理派遣员岗位评价主要考核：受理数、按时受理数、准确受理数、按时发核实数、按时发核查数、派遣数、按时派遣数、准确派遣数等指标。</w:t>
      </w:r>
    </w:p>
    <w:p w14:paraId="032DD1B9">
      <w:pPr>
        <w:spacing w:line="276" w:lineRule="auto"/>
        <w:ind w:firstLine="480"/>
        <w:rPr>
          <w:rFonts w:hint="eastAsia" w:ascii="宋体" w:hAnsi="宋体" w:eastAsia="宋体"/>
          <w:sz w:val="24"/>
          <w:szCs w:val="24"/>
        </w:rPr>
      </w:pPr>
      <w:r>
        <w:rPr>
          <w:rFonts w:hint="eastAsia" w:ascii="宋体" w:hAnsi="宋体" w:eastAsia="宋体"/>
          <w:sz w:val="24"/>
          <w:szCs w:val="24"/>
        </w:rPr>
        <w:t>值班长岗位评价主要考核：立案数、按时立案数、有效立案数、作废数等指标。</w:t>
      </w:r>
    </w:p>
    <w:p w14:paraId="5210523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g.评价结果反查</w:t>
      </w:r>
    </w:p>
    <w:p w14:paraId="16550D34">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统计后的评价结果进行反查，方便相关职能部门和工作人员对超时、错派案卷等情况进行查询，展示相关案卷的详细信息，提高工作效率。同时支持反查列表字段的设置与反查结果的导出、打印。系统支持反查城区区域评价、街道区域评价、社区区域评价、单元网格区域评价、部门评价、岗位评价结果。</w:t>
      </w:r>
    </w:p>
    <w:p w14:paraId="79BD215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h.案件与地图关联</w:t>
      </w:r>
    </w:p>
    <w:p w14:paraId="4BDF5E0B">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该模块用于对综合查询和反查案件在地图页面进行定位，同时利用热力图的方式直观地展现案卷位置分布情况。</w:t>
      </w:r>
    </w:p>
    <w:p w14:paraId="0C75EED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i.评价结果统计输出</w:t>
      </w:r>
    </w:p>
    <w:p w14:paraId="167F0885">
      <w:pPr>
        <w:spacing w:line="276" w:lineRule="auto"/>
        <w:ind w:firstLine="480"/>
        <w:rPr>
          <w:rFonts w:hint="eastAsia" w:ascii="宋体" w:hAnsi="宋体" w:eastAsia="宋体"/>
          <w:sz w:val="24"/>
          <w:szCs w:val="24"/>
        </w:rPr>
      </w:pPr>
      <w:r>
        <w:rPr>
          <w:rFonts w:hint="eastAsia" w:ascii="宋体" w:hAnsi="宋体" w:eastAsia="宋体"/>
          <w:sz w:val="24"/>
          <w:szCs w:val="24"/>
        </w:rPr>
        <w:t>该模块提供了评价结果的导出功能，方便各单位、各处（科室）以及职能岗位对周、月度、年度数据进行结果统计分析，制作相关周、月、年报。</w:t>
      </w:r>
    </w:p>
    <w:p w14:paraId="1C9D35B3">
      <w:pPr>
        <w:pStyle w:val="8"/>
        <w:rPr>
          <w:rFonts w:hint="eastAsia"/>
        </w:rPr>
      </w:pPr>
      <w:bookmarkStart w:id="130" w:name="_Toc138067464"/>
      <w:r>
        <w:rPr>
          <w:rFonts w:hint="eastAsia"/>
        </w:rPr>
        <w:t>地理编码子系统</w:t>
      </w:r>
      <w:bookmarkEnd w:id="125"/>
      <w:bookmarkEnd w:id="126"/>
      <w:bookmarkEnd w:id="130"/>
    </w:p>
    <w:p w14:paraId="30F40996">
      <w:pPr>
        <w:pStyle w:val="14"/>
        <w:rPr>
          <w:rFonts w:hint="eastAsia"/>
        </w:rPr>
      </w:pPr>
      <w:r>
        <w:rPr>
          <w:rFonts w:hint="eastAsia"/>
        </w:rPr>
        <w:t>系统概述</w:t>
      </w:r>
    </w:p>
    <w:p w14:paraId="03151C26">
      <w:pPr>
        <w:spacing w:line="276" w:lineRule="auto"/>
        <w:ind w:firstLine="480"/>
        <w:rPr>
          <w:rFonts w:hint="eastAsia" w:ascii="宋体" w:hAnsi="宋体" w:eastAsia="宋体"/>
          <w:sz w:val="24"/>
          <w:szCs w:val="24"/>
        </w:rPr>
      </w:pPr>
      <w:r>
        <w:rPr>
          <w:rFonts w:hint="eastAsia" w:ascii="宋体" w:hAnsi="宋体" w:eastAsia="宋体"/>
          <w:sz w:val="24"/>
          <w:szCs w:val="24"/>
        </w:rPr>
        <w:t>提供地图发布、展示功能，将地理编码成果直接与空间地图结合，实现了图文一体的地理编码支持体系。为无线采集、呼叫受理、协同工作、监督指挥等子系统提供地理编码服务，实现地址描述、地址查询、地址匹配等功能，实现对案件的空间定位。</w:t>
      </w:r>
    </w:p>
    <w:p w14:paraId="62B658DE">
      <w:pPr>
        <w:pStyle w:val="14"/>
        <w:rPr>
          <w:rFonts w:hint="eastAsia"/>
        </w:rPr>
      </w:pPr>
      <w:r>
        <w:rPr>
          <w:rFonts w:hint="eastAsia"/>
        </w:rPr>
        <w:t>功能需求</w:t>
      </w:r>
    </w:p>
    <w:p w14:paraId="1BCD6967">
      <w:pPr>
        <w:spacing w:line="276" w:lineRule="auto"/>
        <w:ind w:firstLine="480"/>
        <w:rPr>
          <w:rFonts w:hint="eastAsia" w:ascii="宋体" w:hAnsi="宋体" w:eastAsia="宋体"/>
          <w:sz w:val="24"/>
          <w:szCs w:val="24"/>
        </w:rPr>
      </w:pPr>
      <w:r>
        <w:rPr>
          <w:rFonts w:hint="eastAsia" w:ascii="宋体" w:hAnsi="宋体" w:eastAsia="宋体"/>
          <w:sz w:val="24"/>
          <w:szCs w:val="24"/>
        </w:rPr>
        <w:t>地理编码数据库以点、线、面方式表现城市地理实体。地理编码数据库的内容包括地名库、道路库、门址院落库、楼座名库、小区库、企业事业单位库、突出建筑库等数据库，它们共同构成地理编码数据库的数据主体。</w:t>
      </w:r>
    </w:p>
    <w:p w14:paraId="39343AA0">
      <w:pPr>
        <w:spacing w:line="276" w:lineRule="auto"/>
        <w:ind w:firstLine="480"/>
        <w:rPr>
          <w:rFonts w:hint="eastAsia" w:ascii="宋体" w:hAnsi="宋体" w:eastAsia="宋体"/>
          <w:sz w:val="24"/>
          <w:szCs w:val="24"/>
        </w:rPr>
      </w:pPr>
      <w:r>
        <w:rPr>
          <w:rFonts w:hint="eastAsia" w:ascii="宋体" w:hAnsi="宋体" w:eastAsia="宋体"/>
          <w:sz w:val="24"/>
          <w:szCs w:val="24"/>
        </w:rPr>
        <w:t>地理编码引擎主要用于建立并存储这些数据，为地理编码查询提供服务。</w:t>
      </w:r>
    </w:p>
    <w:p w14:paraId="056C1587">
      <w:pPr>
        <w:spacing w:line="276" w:lineRule="auto"/>
        <w:ind w:firstLine="480"/>
        <w:rPr>
          <w:rFonts w:hint="eastAsia" w:ascii="宋体" w:hAnsi="宋体" w:eastAsia="宋体"/>
          <w:sz w:val="24"/>
          <w:szCs w:val="24"/>
        </w:rPr>
      </w:pPr>
      <w:r>
        <w:rPr>
          <w:rFonts w:hint="eastAsia" w:ascii="宋体" w:hAnsi="宋体" w:eastAsia="宋体"/>
          <w:sz w:val="24"/>
          <w:szCs w:val="24"/>
        </w:rPr>
        <w:t>通过图层列表控制部件图层是否可见，如只显示某一类或某几类部件图层。还能够在不同类型专题图之间进行快速切换，如基础地形图、影像图、三维图层。</w:t>
      </w:r>
    </w:p>
    <w:p w14:paraId="2C3DA2C5">
      <w:pPr>
        <w:spacing w:line="276" w:lineRule="auto"/>
        <w:ind w:firstLine="480"/>
        <w:rPr>
          <w:rFonts w:hint="eastAsia" w:ascii="宋体" w:hAnsi="宋体" w:eastAsia="宋体"/>
          <w:sz w:val="24"/>
          <w:szCs w:val="24"/>
        </w:rPr>
      </w:pPr>
      <w:r>
        <w:rPr>
          <w:rFonts w:hint="eastAsia" w:ascii="宋体" w:hAnsi="宋体" w:eastAsia="宋体"/>
          <w:sz w:val="24"/>
          <w:szCs w:val="24"/>
        </w:rPr>
        <w:t>系统提供各种地址的查询匹配，包括道路名、门牌、学校、医院等兴趣点，查询结果在地图上自动高亮显示，选择某一结果后自动匹配定位到该兴趣点的地图位置上。</w:t>
      </w:r>
    </w:p>
    <w:p w14:paraId="4AF5120E">
      <w:pPr>
        <w:spacing w:line="276" w:lineRule="auto"/>
        <w:ind w:firstLine="480"/>
        <w:rPr>
          <w:rFonts w:hint="eastAsia" w:ascii="宋体" w:hAnsi="宋体" w:eastAsia="宋体"/>
          <w:sz w:val="24"/>
          <w:szCs w:val="24"/>
        </w:rPr>
      </w:pPr>
      <w:r>
        <w:rPr>
          <w:rFonts w:hint="eastAsia" w:ascii="宋体" w:hAnsi="宋体" w:eastAsia="宋体"/>
          <w:sz w:val="24"/>
          <w:szCs w:val="24"/>
        </w:rPr>
        <w:t>地理编码子系统为城市管理信息系统提供与地址查询有关的各项功能，包括根据任意地址串查询地址，获得指定坐标位置的标准地址串信息等，同时为其它系统提供定位事件信息。</w:t>
      </w:r>
    </w:p>
    <w:p w14:paraId="1CB8E792">
      <w:pPr>
        <w:spacing w:line="276" w:lineRule="auto"/>
        <w:ind w:firstLine="480"/>
        <w:rPr>
          <w:rFonts w:hint="eastAsia" w:ascii="宋体" w:hAnsi="宋体" w:eastAsia="宋体"/>
          <w:sz w:val="24"/>
          <w:szCs w:val="24"/>
        </w:rPr>
      </w:pPr>
      <w:r>
        <w:rPr>
          <w:rFonts w:hint="eastAsia" w:ascii="宋体" w:hAnsi="宋体" w:eastAsia="宋体"/>
          <w:sz w:val="24"/>
          <w:szCs w:val="24"/>
        </w:rPr>
        <w:t>空间数据的发布、展示功能，并支持对地图的放大、缩小、平移、刷新、全图、量算等基本操作。</w:t>
      </w:r>
    </w:p>
    <w:p w14:paraId="2A85BF25">
      <w:pPr>
        <w:spacing w:line="276" w:lineRule="auto"/>
        <w:ind w:firstLine="480"/>
        <w:rPr>
          <w:rFonts w:hint="eastAsia" w:ascii="宋体" w:hAnsi="宋体" w:eastAsia="宋体"/>
          <w:sz w:val="24"/>
          <w:szCs w:val="24"/>
        </w:rPr>
      </w:pPr>
      <w:r>
        <w:rPr>
          <w:rFonts w:hint="eastAsia" w:ascii="宋体" w:hAnsi="宋体" w:eastAsia="宋体"/>
          <w:sz w:val="24"/>
          <w:szCs w:val="24"/>
        </w:rPr>
        <w:t>基于地图对空间信息的属性查询，包括地形图、兴趣点、部件、视频图层、网格、监督员、案件等信息的属性查询。</w:t>
      </w:r>
    </w:p>
    <w:p w14:paraId="68B7F13F">
      <w:pPr>
        <w:pStyle w:val="8"/>
        <w:rPr>
          <w:rFonts w:hint="eastAsia"/>
        </w:rPr>
      </w:pPr>
      <w:bookmarkStart w:id="131" w:name="_Toc45117739"/>
      <w:bookmarkStart w:id="132" w:name="_Toc138067465"/>
      <w:bookmarkStart w:id="133" w:name="_Toc64887226"/>
      <w:bookmarkStart w:id="134" w:name="_Toc64887225"/>
      <w:bookmarkStart w:id="135" w:name="_Toc45117738"/>
      <w:r>
        <w:rPr>
          <w:rFonts w:hint="eastAsia"/>
        </w:rPr>
        <w:t>应用维护子系统</w:t>
      </w:r>
      <w:bookmarkEnd w:id="131"/>
      <w:bookmarkEnd w:id="132"/>
      <w:bookmarkEnd w:id="133"/>
    </w:p>
    <w:p w14:paraId="3A73CF3D">
      <w:pPr>
        <w:pStyle w:val="14"/>
        <w:rPr>
          <w:rFonts w:hint="eastAsia"/>
        </w:rPr>
      </w:pPr>
      <w:r>
        <w:rPr>
          <w:rFonts w:hint="eastAsia"/>
        </w:rPr>
        <w:t>系统概述</w:t>
      </w:r>
    </w:p>
    <w:p w14:paraId="6C12E456">
      <w:pPr>
        <w:spacing w:line="276" w:lineRule="auto"/>
        <w:ind w:firstLine="480"/>
        <w:rPr>
          <w:rFonts w:hint="eastAsia" w:ascii="宋体" w:hAnsi="宋体" w:eastAsia="宋体"/>
          <w:sz w:val="24"/>
          <w:szCs w:val="24"/>
        </w:rPr>
      </w:pPr>
      <w:r>
        <w:rPr>
          <w:rFonts w:hint="eastAsia" w:ascii="宋体" w:hAnsi="宋体" w:eastAsia="宋体"/>
          <w:sz w:val="24"/>
          <w:szCs w:val="24"/>
        </w:rPr>
        <w:t>应用维护子系统是系统管理员使用的工作平台，通过该平台可以快速搭建业务，定制业务工作流程，设置组织机构，并能够方便快捷地完成工作表单内容样式调整、业务流程修改、人员权限变动、系统数据备份等日常维护工作。利用构建平台，系统管理人员可以方便地调整系统使之适应用户需要，并可以在使用中不断地变更系统配置，无须软件开发者的干预，充分赋予了用户自维护、自发展、自适应的能力。</w:t>
      </w:r>
    </w:p>
    <w:p w14:paraId="1521DB26">
      <w:pPr>
        <w:spacing w:line="276" w:lineRule="auto"/>
        <w:ind w:firstLine="480"/>
        <w:rPr>
          <w:rFonts w:hint="eastAsia" w:ascii="宋体" w:hAnsi="宋体" w:eastAsia="宋体"/>
          <w:sz w:val="24"/>
          <w:szCs w:val="24"/>
        </w:rPr>
      </w:pPr>
      <w:r>
        <w:rPr>
          <w:rFonts w:hint="eastAsia" w:ascii="宋体" w:hAnsi="宋体" w:eastAsia="宋体"/>
          <w:sz w:val="24"/>
          <w:szCs w:val="24"/>
        </w:rPr>
        <w:t>使用应用维护子系统，可以设置每个办公人员的各种权限，对网络更方便地进行监控；还可以设置统计类型、定义统计方法、定制统计表格样式、定义业务常用查询。</w:t>
      </w:r>
    </w:p>
    <w:p w14:paraId="79F3D4FA">
      <w:pPr>
        <w:pStyle w:val="14"/>
        <w:rPr>
          <w:rFonts w:hint="eastAsia"/>
        </w:rPr>
      </w:pPr>
      <w:r>
        <w:rPr>
          <w:rFonts w:hint="eastAsia"/>
        </w:rPr>
        <w:t>功能需求</w:t>
      </w:r>
    </w:p>
    <w:p w14:paraId="33F30BA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a.机构设置</w:t>
      </w:r>
    </w:p>
    <w:p w14:paraId="244E34C4">
      <w:pPr>
        <w:spacing w:line="276" w:lineRule="auto"/>
        <w:ind w:firstLine="480"/>
        <w:rPr>
          <w:rFonts w:hint="eastAsia" w:ascii="宋体" w:hAnsi="宋体" w:eastAsia="宋体"/>
          <w:sz w:val="24"/>
          <w:szCs w:val="24"/>
        </w:rPr>
      </w:pPr>
      <w:r>
        <w:rPr>
          <w:rFonts w:hint="eastAsia" w:ascii="宋体" w:hAnsi="宋体" w:eastAsia="宋体"/>
          <w:sz w:val="24"/>
          <w:szCs w:val="24"/>
        </w:rPr>
        <w:t>复用“数字盐城”共性能力中的统一身份认证能力，按照组织架构描述各级部门、人员、岗位三者间的关系，并能具体设置各岗位的权限，实现了对整个机构内各单位、各处（科室）、人员、岗位的定义。所有部门、人员、岗位均由系统自动生成系统内部的唯一标识，确保信息的唯一性。</w:t>
      </w:r>
    </w:p>
    <w:p w14:paraId="7E28714F">
      <w:pPr>
        <w:spacing w:line="276" w:lineRule="auto"/>
        <w:ind w:firstLine="480"/>
        <w:rPr>
          <w:rFonts w:hint="eastAsia" w:ascii="宋体" w:hAnsi="宋体" w:eastAsia="宋体"/>
          <w:sz w:val="24"/>
          <w:szCs w:val="24"/>
        </w:rPr>
      </w:pPr>
      <w:r>
        <w:rPr>
          <w:rFonts w:hint="eastAsia" w:ascii="宋体" w:hAnsi="宋体" w:eastAsia="宋体"/>
          <w:sz w:val="24"/>
          <w:szCs w:val="24"/>
        </w:rPr>
        <w:t>部门、人员和岗位均可以作为参与者出现在业务的工作流过程定义中，真正实现业务和岗位之间多对多的关系。</w:t>
      </w:r>
    </w:p>
    <w:p w14:paraId="1668791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b.移动终端设置</w:t>
      </w:r>
    </w:p>
    <w:p w14:paraId="3183D148">
      <w:pPr>
        <w:spacing w:line="276" w:lineRule="auto"/>
        <w:ind w:firstLine="480"/>
        <w:rPr>
          <w:rFonts w:hint="eastAsia" w:ascii="宋体" w:hAnsi="宋体" w:eastAsia="宋体"/>
          <w:sz w:val="24"/>
          <w:szCs w:val="24"/>
        </w:rPr>
      </w:pPr>
      <w:r>
        <w:rPr>
          <w:rFonts w:hint="eastAsia" w:ascii="宋体" w:hAnsi="宋体" w:eastAsia="宋体"/>
          <w:sz w:val="24"/>
          <w:szCs w:val="24"/>
        </w:rPr>
        <w:t>该模块将监督员和责任网格绑定在一起，对监督员的日常工作进行管理，可以查看监督员是否在本责任网格内工作。同时也可以对监督员的巡更路线进行设置，监督员在日常的采集和核查中，也需要根据设置的巡更路线，到达指定的巡更点。</w:t>
      </w:r>
    </w:p>
    <w:p w14:paraId="76C636C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c.类别设置</w:t>
      </w:r>
    </w:p>
    <w:p w14:paraId="0F97E810">
      <w:pPr>
        <w:spacing w:line="276" w:lineRule="auto"/>
        <w:ind w:firstLine="480"/>
        <w:rPr>
          <w:rFonts w:hint="eastAsia" w:ascii="宋体" w:hAnsi="宋体" w:eastAsia="宋体"/>
          <w:sz w:val="24"/>
          <w:szCs w:val="24"/>
        </w:rPr>
      </w:pPr>
      <w:r>
        <w:rPr>
          <w:rFonts w:hint="eastAsia" w:ascii="宋体" w:hAnsi="宋体" w:eastAsia="宋体"/>
          <w:sz w:val="24"/>
          <w:szCs w:val="24"/>
        </w:rPr>
        <w:t>该模块可以设置大小类信息、案件类型等基础数据。大小类设置中还包括问题来源、立案条件、计时区域、部件与事件等配置。</w:t>
      </w:r>
    </w:p>
    <w:p w14:paraId="0453C94F">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d.业务设置</w:t>
      </w:r>
    </w:p>
    <w:p w14:paraId="3C5DA917">
      <w:pPr>
        <w:spacing w:line="276" w:lineRule="auto"/>
        <w:ind w:firstLine="480"/>
        <w:rPr>
          <w:rFonts w:hint="eastAsia" w:ascii="宋体" w:hAnsi="宋体" w:eastAsia="宋体"/>
          <w:sz w:val="24"/>
          <w:szCs w:val="24"/>
        </w:rPr>
      </w:pPr>
      <w:r>
        <w:rPr>
          <w:rFonts w:hint="eastAsia" w:ascii="宋体" w:hAnsi="宋体" w:eastAsia="宋体"/>
          <w:sz w:val="24"/>
          <w:szCs w:val="24"/>
        </w:rPr>
        <w:t>该模块提供了标准惯用语和组合惯用语的输入和维护功能。另外，业务人员可以在业务应用系统中自己生成、修改、维护自己的标准用语库。</w:t>
      </w:r>
    </w:p>
    <w:p w14:paraId="4950F64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e.布局设置</w:t>
      </w:r>
    </w:p>
    <w:p w14:paraId="72B4981F">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该模块用于对导航栏和栏目的定义，配置栏目字段和栏目菜单，对系统页面的布局进行设置，对案件的显示样式进行设置。</w:t>
      </w:r>
    </w:p>
    <w:p w14:paraId="227C892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f.计时管理</w:t>
      </w:r>
    </w:p>
    <w:p w14:paraId="3AC7A39A">
      <w:pPr>
        <w:spacing w:line="276" w:lineRule="auto"/>
        <w:ind w:firstLine="480"/>
        <w:rPr>
          <w:rFonts w:hint="eastAsia" w:ascii="宋体" w:hAnsi="宋体" w:eastAsia="宋体"/>
          <w:sz w:val="24"/>
          <w:szCs w:val="24"/>
        </w:rPr>
      </w:pPr>
      <w:r>
        <w:rPr>
          <w:rFonts w:hint="eastAsia" w:ascii="宋体" w:hAnsi="宋体" w:eastAsia="宋体"/>
          <w:sz w:val="24"/>
          <w:szCs w:val="24"/>
        </w:rPr>
        <w:t>该模块可以对系统日历、系统作息时间、系统节日等信息进行维护，同时，也提供了一些较为通用的系统作息时间模板供用户选择。</w:t>
      </w:r>
    </w:p>
    <w:p w14:paraId="71A54C48">
      <w:pPr>
        <w:spacing w:line="276" w:lineRule="auto"/>
        <w:ind w:firstLine="480"/>
        <w:rPr>
          <w:rFonts w:hint="eastAsia" w:ascii="宋体" w:hAnsi="宋体" w:eastAsia="宋体"/>
          <w:sz w:val="24"/>
          <w:szCs w:val="24"/>
        </w:rPr>
      </w:pPr>
      <w:r>
        <w:rPr>
          <w:rFonts w:hint="eastAsia" w:ascii="宋体" w:hAnsi="宋体" w:eastAsia="宋体"/>
          <w:sz w:val="24"/>
          <w:szCs w:val="24"/>
        </w:rPr>
        <w:t>通过对城市管理事件、部件问题的处理时限，或是工作流各节点处置时限的设定，可以用来对专业部门处置问题的效率进行精确、高效的评价。</w:t>
      </w:r>
    </w:p>
    <w:p w14:paraId="7BB6DF90">
      <w:pPr>
        <w:spacing w:line="276" w:lineRule="auto"/>
        <w:ind w:firstLine="480"/>
        <w:rPr>
          <w:rFonts w:hint="eastAsia" w:ascii="宋体" w:hAnsi="宋体" w:eastAsia="宋体"/>
          <w:sz w:val="24"/>
          <w:szCs w:val="24"/>
        </w:rPr>
      </w:pPr>
      <w:r>
        <w:rPr>
          <w:rFonts w:hint="eastAsia" w:ascii="宋体" w:hAnsi="宋体" w:eastAsia="宋体"/>
          <w:sz w:val="24"/>
          <w:szCs w:val="24"/>
        </w:rPr>
        <w:t>g.系统配置</w:t>
      </w:r>
    </w:p>
    <w:p w14:paraId="1B13CDE9">
      <w:pPr>
        <w:spacing w:line="276" w:lineRule="auto"/>
        <w:ind w:firstLine="480"/>
        <w:rPr>
          <w:rFonts w:hint="eastAsia" w:ascii="宋体" w:hAnsi="宋体" w:eastAsia="宋体"/>
          <w:sz w:val="24"/>
          <w:szCs w:val="24"/>
        </w:rPr>
      </w:pPr>
      <w:r>
        <w:rPr>
          <w:rFonts w:hint="eastAsia" w:ascii="宋体" w:hAnsi="宋体" w:eastAsia="宋体"/>
          <w:sz w:val="24"/>
          <w:szCs w:val="24"/>
        </w:rPr>
        <w:t>该模块可以对redis缓存、主系统配置项、系统功能等进行配置。还提供了案件删除、宕机修复、案件迁移历史表、案件修改记录等功能。</w:t>
      </w:r>
    </w:p>
    <w:p w14:paraId="026BF32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h.日志管理</w:t>
      </w:r>
    </w:p>
    <w:p w14:paraId="4C00A8FD">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该模块用于对系统的操作进行记录，记录信息包括：登陆日志，人员更新日志，人员权限更新日志，工作表单更新日志，工作流更新日志，时限更新日志。可以对日志进行导出，用于备份查看。</w:t>
      </w:r>
    </w:p>
    <w:p w14:paraId="416DA28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i.查询统计</w:t>
      </w:r>
    </w:p>
    <w:p w14:paraId="5113C5E8">
      <w:pPr>
        <w:spacing w:line="276" w:lineRule="auto"/>
        <w:ind w:firstLine="480"/>
        <w:rPr>
          <w:rFonts w:hint="eastAsia" w:ascii="宋体" w:hAnsi="宋体" w:eastAsia="宋体"/>
          <w:sz w:val="24"/>
          <w:szCs w:val="24"/>
        </w:rPr>
      </w:pPr>
      <w:r>
        <w:rPr>
          <w:rFonts w:hint="eastAsia" w:ascii="宋体" w:hAnsi="宋体" w:eastAsia="宋体"/>
          <w:sz w:val="24"/>
          <w:szCs w:val="24"/>
        </w:rPr>
        <w:t>该模块用于修改应用模型。可以对综合查询进行配置；可以设置统计类型、定义统计规则、可定制图表样式、可配置统计的人员权限等，避免了使用数据库系统本身工具及命令进行系统维护，从而保证了数据库安全，并大大提高了维护效率。</w:t>
      </w:r>
    </w:p>
    <w:p w14:paraId="4CB074A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j.工作流定义</w:t>
      </w:r>
    </w:p>
    <w:p w14:paraId="4CA9B1C7">
      <w:pPr>
        <w:spacing w:line="276" w:lineRule="auto"/>
        <w:ind w:firstLine="480"/>
        <w:rPr>
          <w:rFonts w:hint="eastAsia" w:ascii="宋体" w:hAnsi="宋体" w:eastAsia="宋体"/>
          <w:sz w:val="24"/>
          <w:szCs w:val="24"/>
        </w:rPr>
      </w:pPr>
      <w:r>
        <w:rPr>
          <w:rFonts w:hint="eastAsia" w:ascii="宋体" w:hAnsi="宋体" w:eastAsia="宋体"/>
          <w:sz w:val="24"/>
          <w:szCs w:val="24"/>
        </w:rPr>
        <w:t>该模块用于配置常用的工作流，包括工作流的阶段、参与者、过滤条件等。在城管系统中当某个案件类型的案件上报后，可以关联到具体的工作流，按照设置好的工作流完成的案件的流转。</w:t>
      </w:r>
      <w:bookmarkStart w:id="136" w:name="_Toc45117740"/>
    </w:p>
    <w:bookmarkEnd w:id="136"/>
    <w:p w14:paraId="0457FC73">
      <w:pPr>
        <w:pStyle w:val="8"/>
        <w:rPr>
          <w:rFonts w:hint="eastAsia"/>
        </w:rPr>
      </w:pPr>
      <w:bookmarkStart w:id="137" w:name="_Toc138067466"/>
      <w:r>
        <w:rPr>
          <w:rFonts w:hint="eastAsia"/>
        </w:rPr>
        <w:t>基础数据资源管理子系统</w:t>
      </w:r>
      <w:bookmarkEnd w:id="134"/>
      <w:bookmarkEnd w:id="135"/>
      <w:bookmarkEnd w:id="137"/>
    </w:p>
    <w:p w14:paraId="3E161CC1">
      <w:pPr>
        <w:pStyle w:val="14"/>
        <w:rPr>
          <w:rFonts w:hint="eastAsia"/>
        </w:rPr>
      </w:pPr>
      <w:r>
        <w:rPr>
          <w:rFonts w:hint="eastAsia"/>
        </w:rPr>
        <w:t>系统概述</w:t>
      </w:r>
    </w:p>
    <w:p w14:paraId="6DB9A197">
      <w:pPr>
        <w:spacing w:line="276" w:lineRule="auto"/>
        <w:ind w:firstLine="480"/>
        <w:rPr>
          <w:rFonts w:hint="eastAsia" w:ascii="宋体" w:hAnsi="宋体" w:eastAsia="宋体"/>
          <w:sz w:val="24"/>
          <w:szCs w:val="24"/>
        </w:rPr>
      </w:pPr>
      <w:r>
        <w:rPr>
          <w:rFonts w:hint="eastAsia" w:ascii="宋体" w:hAnsi="宋体" w:eastAsia="宋体"/>
          <w:sz w:val="24"/>
          <w:szCs w:val="24"/>
        </w:rPr>
        <w:t>用于管理地理信息所需的地图数据和配置系统所需的GIS信息。包含服务管理、地图系统设置、地图配置向导、图层管理、专题管理、数据字典管理、三维配置、系统检测、帮助中心等模块。</w:t>
      </w:r>
    </w:p>
    <w:p w14:paraId="77CB3A6F">
      <w:pPr>
        <w:pStyle w:val="14"/>
        <w:rPr>
          <w:rFonts w:hint="eastAsia"/>
        </w:rPr>
      </w:pPr>
      <w:r>
        <w:rPr>
          <w:rFonts w:hint="eastAsia"/>
        </w:rPr>
        <w:t>功能需求</w:t>
      </w:r>
    </w:p>
    <w:p w14:paraId="0031487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a.服务管理</w:t>
      </w:r>
    </w:p>
    <w:p w14:paraId="61103F87">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该模块主要用于对城管系统中使用到的地图服务、兴趣点进行管理，配置城管系统中需要使用的各类地图服务和常用兴趣点。</w:t>
      </w:r>
    </w:p>
    <w:p w14:paraId="2DB911C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b.地图系统设置</w:t>
      </w:r>
    </w:p>
    <w:p w14:paraId="5A56221B">
      <w:pPr>
        <w:spacing w:line="276" w:lineRule="auto"/>
        <w:ind w:firstLine="480"/>
        <w:rPr>
          <w:rFonts w:hint="eastAsia" w:ascii="宋体" w:hAnsi="宋体" w:eastAsia="宋体"/>
          <w:sz w:val="24"/>
          <w:szCs w:val="24"/>
        </w:rPr>
      </w:pPr>
      <w:r>
        <w:rPr>
          <w:rFonts w:hint="eastAsia" w:ascii="宋体" w:hAnsi="宋体" w:eastAsia="宋体"/>
          <w:sz w:val="24"/>
          <w:szCs w:val="24"/>
        </w:rPr>
        <w:t>该模块包括地图应用配置、系统应用配置两大模块。地图应用配置主要是对地图基础信息和图层用途进行配置。地图系统应用配置主要针对GIS地址和常用配置内容进行配置。</w:t>
      </w:r>
    </w:p>
    <w:p w14:paraId="4DF7F58F">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c.配置向导</w:t>
      </w:r>
    </w:p>
    <w:p w14:paraId="0093E10A">
      <w:pPr>
        <w:spacing w:line="276" w:lineRule="auto"/>
        <w:ind w:firstLine="480"/>
        <w:rPr>
          <w:rFonts w:hint="eastAsia" w:ascii="宋体" w:hAnsi="宋体" w:eastAsia="宋体"/>
          <w:sz w:val="24"/>
          <w:szCs w:val="24"/>
        </w:rPr>
      </w:pPr>
      <w:r>
        <w:rPr>
          <w:rFonts w:hint="eastAsia" w:ascii="宋体" w:hAnsi="宋体" w:eastAsia="宋体"/>
          <w:sz w:val="24"/>
          <w:szCs w:val="24"/>
        </w:rPr>
        <w:t>该模块是部署应用后，用于给搭建GIS环境配置系统参数的一个流程化功能模块。流程路线为:服务配置、专题配置、地图配置、系统配置。</w:t>
      </w:r>
    </w:p>
    <w:p w14:paraId="07A6BB2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d.图层管理</w:t>
      </w:r>
    </w:p>
    <w:p w14:paraId="4751470B">
      <w:pPr>
        <w:spacing w:line="276" w:lineRule="auto"/>
        <w:ind w:firstLine="480"/>
        <w:rPr>
          <w:rFonts w:hint="eastAsia" w:ascii="宋体" w:hAnsi="宋体" w:eastAsia="宋体"/>
          <w:sz w:val="24"/>
          <w:szCs w:val="24"/>
        </w:rPr>
      </w:pPr>
      <w:r>
        <w:rPr>
          <w:rFonts w:hint="eastAsia" w:ascii="宋体" w:hAnsi="宋体" w:eastAsia="宋体"/>
          <w:sz w:val="24"/>
          <w:szCs w:val="24"/>
        </w:rPr>
        <w:t>该模块包括物理图层管理和物理图层字段批量导入两个模块。物理图层管理包括图层信息修改和更新，字段的配置。物理图层字段批量导入是对选中图层的显示字段进行批量配置。</w:t>
      </w:r>
    </w:p>
    <w:p w14:paraId="552EA6FF">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e.专题管理</w:t>
      </w:r>
    </w:p>
    <w:p w14:paraId="5E4E2132">
      <w:pPr>
        <w:spacing w:line="276" w:lineRule="auto"/>
        <w:ind w:firstLine="480"/>
        <w:rPr>
          <w:rFonts w:hint="eastAsia" w:ascii="宋体" w:hAnsi="宋体" w:eastAsia="宋体"/>
          <w:sz w:val="24"/>
          <w:szCs w:val="24"/>
        </w:rPr>
      </w:pPr>
      <w:r>
        <w:rPr>
          <w:rFonts w:hint="eastAsia" w:ascii="宋体" w:hAnsi="宋体" w:eastAsia="宋体"/>
          <w:sz w:val="24"/>
          <w:szCs w:val="24"/>
        </w:rPr>
        <w:t>该模块包括专题的创建、修改和删除操作。</w:t>
      </w:r>
    </w:p>
    <w:p w14:paraId="50DF3DBF">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f.数据字典管理</w:t>
      </w:r>
    </w:p>
    <w:p w14:paraId="0EF6FFD8">
      <w:pPr>
        <w:spacing w:line="276" w:lineRule="auto"/>
        <w:ind w:firstLine="480"/>
        <w:rPr>
          <w:rFonts w:hint="eastAsia" w:ascii="宋体" w:hAnsi="宋体" w:eastAsia="宋体"/>
          <w:sz w:val="24"/>
          <w:szCs w:val="24"/>
        </w:rPr>
      </w:pPr>
      <w:r>
        <w:rPr>
          <w:rFonts w:hint="eastAsia" w:ascii="宋体" w:hAnsi="宋体" w:eastAsia="宋体"/>
          <w:sz w:val="24"/>
          <w:szCs w:val="24"/>
        </w:rPr>
        <w:t>该模块包括服务类型、图层用途、图层字段、空间参考和图层分组等的管理。</w:t>
      </w:r>
    </w:p>
    <w:p w14:paraId="152E5E4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g.系统检测</w:t>
      </w:r>
    </w:p>
    <w:p w14:paraId="5828EA24">
      <w:pPr>
        <w:spacing w:line="276" w:lineRule="auto"/>
        <w:ind w:firstLine="480"/>
        <w:rPr>
          <w:rFonts w:hint="eastAsia" w:ascii="宋体" w:hAnsi="宋体" w:eastAsia="宋体"/>
          <w:sz w:val="24"/>
          <w:szCs w:val="24"/>
        </w:rPr>
      </w:pPr>
      <w:r>
        <w:rPr>
          <w:rFonts w:hint="eastAsia" w:ascii="宋体" w:hAnsi="宋体" w:eastAsia="宋体"/>
          <w:sz w:val="24"/>
          <w:szCs w:val="24"/>
        </w:rPr>
        <w:t>该模块包括图层用途、兴趣点、地图服务检测。</w:t>
      </w:r>
    </w:p>
    <w:p w14:paraId="76EE051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h.帮助中心</w:t>
      </w:r>
    </w:p>
    <w:p w14:paraId="16C6AF53">
      <w:pPr>
        <w:spacing w:line="276" w:lineRule="auto"/>
        <w:ind w:firstLine="480"/>
        <w:rPr>
          <w:rFonts w:hint="eastAsia" w:ascii="宋体" w:hAnsi="宋体" w:eastAsia="宋体"/>
          <w:sz w:val="24"/>
          <w:szCs w:val="24"/>
        </w:rPr>
      </w:pPr>
      <w:r>
        <w:rPr>
          <w:rFonts w:hint="eastAsia" w:ascii="宋体" w:hAnsi="宋体" w:eastAsia="宋体"/>
          <w:sz w:val="24"/>
          <w:szCs w:val="24"/>
        </w:rPr>
        <w:t>该模块包括开发者手册、GIS构建操作手册、常见问题三个模块。</w:t>
      </w:r>
    </w:p>
    <w:p w14:paraId="7B48546C">
      <w:pPr>
        <w:pStyle w:val="8"/>
        <w:rPr>
          <w:rFonts w:hint="eastAsia"/>
        </w:rPr>
      </w:pPr>
      <w:bookmarkStart w:id="138" w:name="_Toc45117741"/>
      <w:bookmarkStart w:id="139" w:name="_Toc138067467"/>
      <w:bookmarkStart w:id="140" w:name="_Toc64887227"/>
      <w:r>
        <w:rPr>
          <w:rFonts w:hint="eastAsia"/>
        </w:rPr>
        <w:t>业务短信子系统</w:t>
      </w:r>
      <w:bookmarkEnd w:id="138"/>
      <w:bookmarkEnd w:id="139"/>
      <w:bookmarkEnd w:id="140"/>
    </w:p>
    <w:p w14:paraId="02DE1D80">
      <w:pPr>
        <w:pStyle w:val="14"/>
        <w:rPr>
          <w:rFonts w:hint="eastAsia"/>
        </w:rPr>
      </w:pPr>
      <w:r>
        <w:rPr>
          <w:rFonts w:hint="eastAsia"/>
        </w:rPr>
        <w:t>系统概述</w:t>
      </w:r>
    </w:p>
    <w:p w14:paraId="4045A864">
      <w:pPr>
        <w:spacing w:line="276" w:lineRule="auto"/>
        <w:ind w:firstLine="480"/>
        <w:rPr>
          <w:rFonts w:hint="eastAsia" w:ascii="宋体" w:hAnsi="宋体" w:eastAsia="宋体"/>
          <w:sz w:val="24"/>
          <w:szCs w:val="24"/>
        </w:rPr>
      </w:pPr>
      <w:r>
        <w:rPr>
          <w:rFonts w:hint="eastAsia" w:ascii="宋体" w:hAnsi="宋体" w:eastAsia="宋体"/>
          <w:sz w:val="24"/>
          <w:szCs w:val="24"/>
        </w:rPr>
        <w:t>业务短信子系统是指挥协调系统在无线网络上的延伸，通过业务短信功能与协同工作系统的紧密结合，可以进一步保障系统参与人员之间的消息畅通。业务短信是为指挥协调系统提供的交流沟通平台，通过系统可以与业务案件结合向人员发送各种提醒短信。</w:t>
      </w:r>
    </w:p>
    <w:p w14:paraId="6047EE97">
      <w:pPr>
        <w:pStyle w:val="14"/>
        <w:rPr>
          <w:rFonts w:hint="eastAsia"/>
        </w:rPr>
      </w:pPr>
      <w:r>
        <w:rPr>
          <w:rFonts w:hint="eastAsia"/>
        </w:rPr>
        <w:t>功能需求</w:t>
      </w:r>
    </w:p>
    <w:p w14:paraId="1CBDAF6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a.一般短信群发</w:t>
      </w:r>
    </w:p>
    <w:p w14:paraId="35E615BD">
      <w:pPr>
        <w:spacing w:line="276" w:lineRule="auto"/>
        <w:ind w:firstLine="480"/>
        <w:rPr>
          <w:rFonts w:hint="eastAsia" w:ascii="宋体" w:hAnsi="宋体" w:eastAsia="宋体"/>
          <w:sz w:val="24"/>
          <w:szCs w:val="24"/>
        </w:rPr>
      </w:pPr>
      <w:r>
        <w:rPr>
          <w:rFonts w:hint="eastAsia" w:ascii="宋体" w:hAnsi="宋体" w:eastAsia="宋体"/>
          <w:sz w:val="24"/>
          <w:szCs w:val="24"/>
        </w:rPr>
        <w:t>用户能够向系统内所有人员发送短信，通过短信接口，向保存了手机号码的人员发送自定义内容的短信，也可以群发短信。</w:t>
      </w:r>
    </w:p>
    <w:p w14:paraId="1C00855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b.案件到达提醒</w:t>
      </w:r>
    </w:p>
    <w:p w14:paraId="307A1B29">
      <w:pPr>
        <w:spacing w:line="276" w:lineRule="auto"/>
        <w:ind w:firstLine="480"/>
        <w:rPr>
          <w:rFonts w:hint="eastAsia" w:ascii="宋体" w:hAnsi="宋体" w:eastAsia="宋体"/>
          <w:sz w:val="24"/>
          <w:szCs w:val="24"/>
        </w:rPr>
      </w:pPr>
      <w:r>
        <w:rPr>
          <w:rFonts w:hint="eastAsia" w:ascii="宋体" w:hAnsi="宋体" w:eastAsia="宋体"/>
          <w:sz w:val="24"/>
          <w:szCs w:val="24"/>
        </w:rPr>
        <w:t>当受理派遣员将案件批转至专业部门时，在向专业部门派遣案件的同时，会以手机短信的方式向专业部门人员发送一条案件到达的提示。</w:t>
      </w:r>
    </w:p>
    <w:p w14:paraId="18BCB19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c.超时提醒</w:t>
      </w:r>
    </w:p>
    <w:p w14:paraId="70225963">
      <w:pPr>
        <w:spacing w:line="276" w:lineRule="auto"/>
        <w:ind w:firstLine="480"/>
        <w:rPr>
          <w:rFonts w:hint="eastAsia" w:ascii="宋体" w:hAnsi="宋体" w:eastAsia="宋体"/>
          <w:sz w:val="24"/>
          <w:szCs w:val="24"/>
        </w:rPr>
      </w:pPr>
      <w:r>
        <w:rPr>
          <w:rFonts w:hint="eastAsia" w:ascii="宋体" w:hAnsi="宋体" w:eastAsia="宋体"/>
          <w:sz w:val="24"/>
          <w:szCs w:val="24"/>
        </w:rPr>
        <w:t>在案件即将超时的时候，系统能够自动向相关责任人发送短信提醒。</w:t>
      </w:r>
    </w:p>
    <w:p w14:paraId="3E96F230">
      <w:pPr>
        <w:spacing w:line="276" w:lineRule="auto"/>
        <w:ind w:firstLine="480"/>
        <w:rPr>
          <w:rFonts w:hint="eastAsia" w:ascii="宋体" w:hAnsi="宋体" w:eastAsia="宋体"/>
          <w:sz w:val="24"/>
          <w:szCs w:val="24"/>
        </w:rPr>
      </w:pPr>
      <w:r>
        <w:rPr>
          <w:rFonts w:hint="eastAsia" w:ascii="宋体" w:hAnsi="宋体" w:eastAsia="宋体"/>
          <w:sz w:val="24"/>
          <w:szCs w:val="24"/>
        </w:rPr>
        <w:t>专业部门处理的案件，超出办理时限后系统会自动亮红灯以示警告，同时自动向专业部门人员手机发送一条案件超时的提醒。</w:t>
      </w:r>
    </w:p>
    <w:p w14:paraId="5C5806C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d.任务通知</w:t>
      </w:r>
    </w:p>
    <w:p w14:paraId="451ECBB2">
      <w:pPr>
        <w:spacing w:line="276" w:lineRule="auto"/>
        <w:ind w:firstLine="480"/>
        <w:rPr>
          <w:rFonts w:hint="eastAsia" w:ascii="宋体" w:hAnsi="宋体" w:eastAsia="宋体"/>
          <w:sz w:val="24"/>
          <w:szCs w:val="24"/>
        </w:rPr>
      </w:pPr>
      <w:r>
        <w:rPr>
          <w:rFonts w:hint="eastAsia" w:ascii="宋体" w:hAnsi="宋体" w:eastAsia="宋体"/>
          <w:sz w:val="24"/>
          <w:szCs w:val="24"/>
        </w:rPr>
        <w:t>对于监督员应能够自动向其发送各种任务通知，如核实、核查任务、不立案以及今日提示等短信提示信息。</w:t>
      </w:r>
    </w:p>
    <w:p w14:paraId="222A1432">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e.催办短信</w:t>
      </w:r>
    </w:p>
    <w:p w14:paraId="5D0BBE60">
      <w:pPr>
        <w:spacing w:line="276" w:lineRule="auto"/>
        <w:ind w:firstLine="480"/>
        <w:rPr>
          <w:rFonts w:hint="eastAsia" w:ascii="宋体" w:hAnsi="宋体" w:eastAsia="宋体"/>
          <w:sz w:val="24"/>
          <w:szCs w:val="24"/>
        </w:rPr>
      </w:pPr>
      <w:r>
        <w:rPr>
          <w:rFonts w:hint="eastAsia" w:ascii="宋体" w:hAnsi="宋体" w:eastAsia="宋体"/>
          <w:sz w:val="24"/>
          <w:szCs w:val="24"/>
        </w:rPr>
        <w:t>对于各种督办信息，系统也可以向被督办对象发送督办短信。</w:t>
      </w:r>
    </w:p>
    <w:p w14:paraId="2BBE36CC">
      <w:pPr>
        <w:pStyle w:val="8"/>
        <w:rPr>
          <w:rFonts w:hint="eastAsia"/>
        </w:rPr>
      </w:pPr>
      <w:bookmarkStart w:id="141" w:name="_Toc45117742"/>
      <w:bookmarkStart w:id="142" w:name="_Toc64887228"/>
      <w:bookmarkStart w:id="143" w:name="_Toc138067468"/>
      <w:r>
        <w:rPr>
          <w:rFonts w:hint="eastAsia"/>
        </w:rPr>
        <w:t>视频上报子系统</w:t>
      </w:r>
      <w:bookmarkEnd w:id="141"/>
      <w:bookmarkEnd w:id="142"/>
      <w:bookmarkEnd w:id="143"/>
    </w:p>
    <w:p w14:paraId="3D3179AD">
      <w:pPr>
        <w:pStyle w:val="14"/>
        <w:rPr>
          <w:rFonts w:hint="eastAsia"/>
        </w:rPr>
      </w:pPr>
      <w:r>
        <w:rPr>
          <w:rFonts w:hint="eastAsia"/>
        </w:rPr>
        <w:t>系统概述</w:t>
      </w:r>
    </w:p>
    <w:p w14:paraId="3B6FA051">
      <w:pPr>
        <w:spacing w:line="276" w:lineRule="auto"/>
        <w:ind w:firstLine="480"/>
        <w:rPr>
          <w:rFonts w:hint="eastAsia" w:ascii="宋体" w:hAnsi="宋体" w:eastAsia="宋体"/>
          <w:sz w:val="24"/>
          <w:szCs w:val="24"/>
        </w:rPr>
      </w:pPr>
      <w:r>
        <w:rPr>
          <w:rFonts w:hint="eastAsia" w:ascii="宋体" w:hAnsi="宋体" w:eastAsia="宋体"/>
          <w:sz w:val="24"/>
          <w:szCs w:val="24"/>
        </w:rPr>
        <w:t>视频上报子系统是指挥协调系统的一个重要组成部分，通过建立视频图像监控系统，能够提供实时监控和现场调度指挥功能，将监督员巡查不到的区域实现24小时监控，并弥补了监督员巡查的时间差问题。系统为监督指挥中心提供了迅速直观的信息，从而能够对城管问题做出准确判断并及时响应，并能够对监控范围内的突发性城市管理问题录像取证，达到综合治理效果。</w:t>
      </w:r>
    </w:p>
    <w:p w14:paraId="36390397">
      <w:pPr>
        <w:pStyle w:val="14"/>
        <w:rPr>
          <w:rFonts w:hint="eastAsia"/>
        </w:rPr>
      </w:pPr>
      <w:r>
        <w:rPr>
          <w:rFonts w:hint="eastAsia"/>
        </w:rPr>
        <w:t>功能需求</w:t>
      </w:r>
    </w:p>
    <w:p w14:paraId="703312B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a.探头信息查询</w:t>
      </w:r>
    </w:p>
    <w:p w14:paraId="6B5C8544">
      <w:pPr>
        <w:spacing w:line="276" w:lineRule="auto"/>
        <w:ind w:firstLine="480"/>
        <w:rPr>
          <w:rFonts w:hint="eastAsia" w:ascii="宋体" w:hAnsi="宋体" w:eastAsia="宋体"/>
          <w:sz w:val="24"/>
          <w:szCs w:val="24"/>
        </w:rPr>
      </w:pPr>
      <w:r>
        <w:rPr>
          <w:rFonts w:hint="eastAsia" w:ascii="宋体" w:hAnsi="宋体" w:eastAsia="宋体"/>
          <w:sz w:val="24"/>
          <w:szCs w:val="24"/>
        </w:rPr>
        <w:t>建立视频探头图层，查看视频在地图上的分布情况，查看视频探头的基本信息。</w:t>
      </w:r>
    </w:p>
    <w:p w14:paraId="0C34240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b.视频播放（摄像头支持）</w:t>
      </w:r>
    </w:p>
    <w:p w14:paraId="50BDA4CD">
      <w:pPr>
        <w:spacing w:line="276" w:lineRule="auto"/>
        <w:ind w:firstLine="480"/>
        <w:rPr>
          <w:rFonts w:hint="eastAsia" w:ascii="宋体" w:hAnsi="宋体" w:eastAsia="宋体"/>
          <w:sz w:val="24"/>
          <w:szCs w:val="24"/>
        </w:rPr>
      </w:pPr>
      <w:r>
        <w:rPr>
          <w:rFonts w:hint="eastAsia" w:ascii="宋体" w:hAnsi="宋体" w:eastAsia="宋体"/>
          <w:sz w:val="24"/>
          <w:szCs w:val="24"/>
        </w:rPr>
        <w:t>播放视频图像，并可以播放历史录像。</w:t>
      </w:r>
    </w:p>
    <w:p w14:paraId="204B75F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c.视频控制（摄像头支持）</w:t>
      </w:r>
    </w:p>
    <w:p w14:paraId="1F897594">
      <w:pPr>
        <w:spacing w:line="276" w:lineRule="auto"/>
        <w:ind w:firstLine="480"/>
        <w:rPr>
          <w:rFonts w:hint="eastAsia" w:ascii="宋体" w:hAnsi="宋体" w:eastAsia="宋体"/>
          <w:sz w:val="24"/>
          <w:szCs w:val="24"/>
        </w:rPr>
      </w:pPr>
      <w:r>
        <w:rPr>
          <w:rFonts w:hint="eastAsia" w:ascii="宋体" w:hAnsi="宋体" w:eastAsia="宋体"/>
          <w:sz w:val="24"/>
          <w:szCs w:val="24"/>
        </w:rPr>
        <w:t>控制视频探头，包括视频转动、放大、缩小操作，能够切换视频。</w:t>
      </w:r>
    </w:p>
    <w:p w14:paraId="3586A46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d.视频问题上报</w:t>
      </w:r>
    </w:p>
    <w:p w14:paraId="5F5DCF14">
      <w:pPr>
        <w:spacing w:line="276" w:lineRule="auto"/>
        <w:ind w:firstLine="480"/>
        <w:rPr>
          <w:rFonts w:hint="eastAsia" w:ascii="宋体" w:hAnsi="宋体" w:eastAsia="宋体"/>
          <w:sz w:val="24"/>
          <w:szCs w:val="24"/>
        </w:rPr>
      </w:pPr>
      <w:r>
        <w:rPr>
          <w:rFonts w:hint="eastAsia" w:ascii="宋体" w:hAnsi="宋体" w:eastAsia="宋体"/>
          <w:sz w:val="24"/>
          <w:szCs w:val="24"/>
        </w:rPr>
        <w:t>通过视频能够发现城市管理的各类问题，并能够将问题记录下来，形成案件上传到指挥协调系统，进行问题的处置。</w:t>
      </w:r>
    </w:p>
    <w:p w14:paraId="19EE83D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e.视频核查</w:t>
      </w:r>
    </w:p>
    <w:p w14:paraId="51C5C78F">
      <w:pPr>
        <w:spacing w:line="276" w:lineRule="auto"/>
        <w:ind w:firstLine="480"/>
        <w:rPr>
          <w:rFonts w:hint="eastAsia" w:ascii="宋体" w:hAnsi="宋体" w:eastAsia="宋体"/>
          <w:sz w:val="24"/>
          <w:szCs w:val="24"/>
        </w:rPr>
      </w:pPr>
      <w:r>
        <w:rPr>
          <w:rFonts w:hint="eastAsia" w:ascii="宋体" w:hAnsi="宋体" w:eastAsia="宋体"/>
          <w:sz w:val="24"/>
          <w:szCs w:val="24"/>
        </w:rPr>
        <w:t>通过视频上报的各类城管问题，可以使用视频监控来进行核查，检查问题是否处理完毕。</w:t>
      </w:r>
    </w:p>
    <w:p w14:paraId="61BC68D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f.视频核实</w:t>
      </w:r>
    </w:p>
    <w:p w14:paraId="5D3EBA55">
      <w:pPr>
        <w:spacing w:line="276" w:lineRule="auto"/>
        <w:ind w:firstLine="480"/>
        <w:rPr>
          <w:rFonts w:hint="eastAsia" w:ascii="宋体" w:hAnsi="宋体" w:eastAsia="宋体"/>
          <w:sz w:val="24"/>
          <w:szCs w:val="24"/>
        </w:rPr>
      </w:pPr>
      <w:r>
        <w:rPr>
          <w:rFonts w:hint="eastAsia" w:ascii="宋体" w:hAnsi="宋体" w:eastAsia="宋体"/>
          <w:sz w:val="24"/>
          <w:szCs w:val="24"/>
        </w:rPr>
        <w:t>对于公众举报的问题，如果事发位置附近有视频探头，可以通过视频来进行核实。</w:t>
      </w:r>
    </w:p>
    <w:p w14:paraId="3ACB57F7">
      <w:pPr>
        <w:pStyle w:val="8"/>
        <w:rPr>
          <w:rFonts w:hint="eastAsia"/>
        </w:rPr>
      </w:pPr>
      <w:bookmarkStart w:id="144" w:name="_Toc45117746"/>
      <w:bookmarkStart w:id="145" w:name="_Toc64887231"/>
      <w:bookmarkStart w:id="146" w:name="_Toc138067471"/>
      <w:r>
        <w:rPr>
          <w:rFonts w:hint="eastAsia"/>
        </w:rPr>
        <w:t>专项普查子系统</w:t>
      </w:r>
      <w:bookmarkEnd w:id="144"/>
      <w:bookmarkEnd w:id="145"/>
      <w:bookmarkEnd w:id="146"/>
    </w:p>
    <w:p w14:paraId="154D5F25">
      <w:pPr>
        <w:pStyle w:val="14"/>
        <w:rPr>
          <w:rFonts w:hint="eastAsia"/>
        </w:rPr>
      </w:pPr>
      <w:r>
        <w:rPr>
          <w:rFonts w:hint="eastAsia"/>
        </w:rPr>
        <w:t>系统概述</w:t>
      </w:r>
    </w:p>
    <w:p w14:paraId="5A7B9D28">
      <w:pPr>
        <w:spacing w:line="276" w:lineRule="auto"/>
        <w:ind w:firstLine="480"/>
        <w:rPr>
          <w:rFonts w:hint="eastAsia" w:ascii="宋体" w:hAnsi="宋体" w:eastAsia="宋体"/>
          <w:sz w:val="24"/>
          <w:szCs w:val="24"/>
        </w:rPr>
      </w:pPr>
      <w:r>
        <w:rPr>
          <w:rFonts w:hint="eastAsia" w:ascii="宋体" w:hAnsi="宋体" w:eastAsia="宋体"/>
          <w:sz w:val="24"/>
          <w:szCs w:val="24"/>
        </w:rPr>
        <w:t>专项排查治理是借助移动采集终端和无线网络，解决城市管理中难点、</w:t>
      </w:r>
      <w:r>
        <w:rPr>
          <w:rFonts w:hint="eastAsia" w:ascii="宋体" w:hAnsi="宋体" w:eastAsia="宋体" w:cs="宋体"/>
          <w:sz w:val="24"/>
          <w:szCs w:val="24"/>
        </w:rPr>
        <w:t>痛点、堵点问题，</w:t>
      </w:r>
      <w:r>
        <w:rPr>
          <w:rFonts w:hint="eastAsia" w:ascii="宋体" w:hAnsi="宋体" w:eastAsia="宋体"/>
          <w:sz w:val="24"/>
          <w:szCs w:val="24"/>
        </w:rPr>
        <w:t>实现对城市管理对象的专项管理、重点检查，能够对城市突发事件、特殊部件的地理位置和属性信息等进行专项排查治理，快速生成调查结果和统计结果。</w:t>
      </w:r>
    </w:p>
    <w:p w14:paraId="57B22C44">
      <w:pPr>
        <w:pStyle w:val="14"/>
        <w:rPr>
          <w:rFonts w:hint="eastAsia"/>
        </w:rPr>
      </w:pPr>
      <w:r>
        <w:rPr>
          <w:rFonts w:hint="eastAsia"/>
        </w:rPr>
        <w:t>功能需求</w:t>
      </w:r>
    </w:p>
    <w:p w14:paraId="63CE410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a.普查类型管理</w:t>
      </w:r>
    </w:p>
    <w:p w14:paraId="7F4A2BCE">
      <w:pPr>
        <w:spacing w:line="276" w:lineRule="auto"/>
        <w:ind w:firstLine="480"/>
        <w:rPr>
          <w:rFonts w:hint="eastAsia" w:ascii="宋体" w:hAnsi="宋体" w:eastAsia="宋体"/>
          <w:sz w:val="24"/>
          <w:szCs w:val="24"/>
        </w:rPr>
      </w:pPr>
      <w:r>
        <w:rPr>
          <w:rFonts w:hint="eastAsia" w:ascii="宋体" w:hAnsi="宋体" w:eastAsia="宋体"/>
          <w:sz w:val="24"/>
          <w:szCs w:val="24"/>
        </w:rPr>
        <w:t>针对普查的类型进行管理设置，包含普查大小类以及小类字段的管理，配置完成后，新建专项普查任务时指定的普查对象就是从中选择。</w:t>
      </w:r>
    </w:p>
    <w:p w14:paraId="7099248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b.普查模板管理</w:t>
      </w:r>
    </w:p>
    <w:p w14:paraId="58F90072">
      <w:pPr>
        <w:spacing w:line="276" w:lineRule="auto"/>
        <w:ind w:firstLine="480"/>
        <w:rPr>
          <w:rFonts w:hint="eastAsia" w:ascii="宋体" w:hAnsi="宋体" w:eastAsia="宋体"/>
          <w:sz w:val="24"/>
          <w:szCs w:val="24"/>
        </w:rPr>
      </w:pPr>
      <w:r>
        <w:rPr>
          <w:rFonts w:hint="eastAsia" w:ascii="宋体" w:hAnsi="宋体" w:eastAsia="宋体"/>
          <w:sz w:val="24"/>
          <w:szCs w:val="24"/>
        </w:rPr>
        <w:t>对于常态化的普查任务，提供了将普查任务设置为模板的功能，模板内容包括普查对象、任务标题、任务要求等，下次发送普查任务时可直接选择模板，提高普查任务下发效率。也可以在模板上略加修改，简化普查任务下发操作。同时还提供了修改普查对象模板的增删改功能，在创建普查任务时能够直接导出普查对象模板。</w:t>
      </w:r>
    </w:p>
    <w:p w14:paraId="154EE3E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c.普查任务管理</w:t>
      </w:r>
    </w:p>
    <w:p w14:paraId="4B7C51FA">
      <w:pPr>
        <w:spacing w:line="276" w:lineRule="auto"/>
        <w:ind w:firstLine="480"/>
        <w:rPr>
          <w:rFonts w:hint="eastAsia" w:ascii="宋体" w:hAnsi="宋体" w:eastAsia="宋体"/>
          <w:sz w:val="24"/>
          <w:szCs w:val="24"/>
        </w:rPr>
      </w:pPr>
      <w:r>
        <w:rPr>
          <w:rFonts w:hint="eastAsia" w:ascii="宋体" w:hAnsi="宋体" w:eastAsia="宋体"/>
          <w:sz w:val="24"/>
          <w:szCs w:val="24"/>
        </w:rPr>
        <w:t>通过任务管理，管理人员可以向指定的普查信息采集监督员下发专项普查任务，对普查任务信息进行说明，必要时可上传相关附件，可针对重点问题进行普查。任务下发后，监督员在移动端会收到普查任务，并针对任务上报案件。对于普查任务还可进行查询、导出等操作。</w:t>
      </w:r>
    </w:p>
    <w:p w14:paraId="2D771FE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d.普查成果管理</w:t>
      </w:r>
    </w:p>
    <w:p w14:paraId="6D75A81C">
      <w:pPr>
        <w:spacing w:line="276" w:lineRule="auto"/>
        <w:ind w:firstLine="480"/>
        <w:rPr>
          <w:rFonts w:hint="eastAsia" w:ascii="宋体" w:hAnsi="宋体" w:eastAsia="宋体"/>
          <w:sz w:val="24"/>
          <w:szCs w:val="24"/>
        </w:rPr>
      </w:pPr>
      <w:r>
        <w:rPr>
          <w:rFonts w:hint="eastAsia" w:ascii="宋体" w:hAnsi="宋体" w:eastAsia="宋体"/>
          <w:sz w:val="24"/>
          <w:szCs w:val="24"/>
        </w:rPr>
        <w:t>针对监督员上报的普查成果进行展示和管理，可对普查成果进行作废、存档、导出、批转主系统等操作。</w:t>
      </w:r>
    </w:p>
    <w:p w14:paraId="7336A335">
      <w:pPr>
        <w:pStyle w:val="7"/>
        <w:rPr>
          <w:rFonts w:hint="eastAsia"/>
        </w:rPr>
      </w:pPr>
      <w:bookmarkStart w:id="147" w:name="_Toc11564"/>
      <w:bookmarkStart w:id="148" w:name="_Toc138067473"/>
      <w:bookmarkStart w:id="149" w:name="_Hlk62028486"/>
      <w:r>
        <w:t>行业应用系统</w:t>
      </w:r>
      <w:bookmarkEnd w:id="147"/>
      <w:bookmarkEnd w:id="148"/>
    </w:p>
    <w:p w14:paraId="4EC95145">
      <w:pPr>
        <w:spacing w:line="276" w:lineRule="auto"/>
        <w:ind w:firstLine="480"/>
        <w:rPr>
          <w:rFonts w:hint="default" w:ascii="宋体" w:hAnsi="宋体" w:eastAsia="宋体"/>
          <w:sz w:val="24"/>
          <w:szCs w:val="24"/>
          <w:lang w:val="en-US" w:eastAsia="zh-CN"/>
        </w:rPr>
      </w:pPr>
      <w:r>
        <w:rPr>
          <w:rFonts w:hint="eastAsia" w:ascii="宋体" w:hAnsi="宋体" w:eastAsia="宋体"/>
          <w:sz w:val="24"/>
          <w:szCs w:val="24"/>
        </w:rPr>
        <w:t>围绕</w:t>
      </w:r>
      <w:r>
        <w:rPr>
          <w:rFonts w:hint="eastAsia" w:ascii="宋体" w:hAnsi="宋体" w:eastAsia="宋体"/>
          <w:sz w:val="24"/>
          <w:szCs w:val="24"/>
          <w:lang w:val="en-US" w:eastAsia="zh-CN"/>
        </w:rPr>
        <w:t>大丰区</w:t>
      </w:r>
      <w:r>
        <w:rPr>
          <w:rFonts w:hint="eastAsia" w:ascii="宋体" w:hAnsi="宋体" w:eastAsia="宋体"/>
          <w:sz w:val="24"/>
          <w:szCs w:val="24"/>
        </w:rPr>
        <w:t>城市管理主要职责，</w:t>
      </w:r>
      <w:r>
        <w:rPr>
          <w:rFonts w:hint="eastAsia" w:ascii="宋体" w:hAnsi="宋体" w:eastAsia="宋体"/>
          <w:sz w:val="24"/>
          <w:szCs w:val="24"/>
          <w:lang w:val="en-US" w:eastAsia="zh-CN"/>
        </w:rPr>
        <w:t>建设垃圾分类管理系统、建筑垃圾（渣土）全链条监管系统、综合执法信息管理系统、环卫作业管理系统、餐厨垃圾处理管理系统、终端处置设施监管系统、广告店招信息管理系统、智能识别分析系统、</w:t>
      </w:r>
    </w:p>
    <w:p w14:paraId="06837758">
      <w:pPr>
        <w:spacing w:line="276" w:lineRule="auto"/>
        <w:rPr>
          <w:rFonts w:hint="eastAsia" w:ascii="宋体" w:hAnsi="宋体" w:eastAsia="宋体"/>
          <w:sz w:val="24"/>
          <w:szCs w:val="24"/>
        </w:rPr>
      </w:pPr>
      <w:r>
        <w:rPr>
          <w:rFonts w:hint="eastAsia" w:ascii="宋体" w:hAnsi="宋体" w:eastAsia="宋体"/>
          <w:sz w:val="24"/>
          <w:szCs w:val="24"/>
          <w:lang w:val="en-US" w:eastAsia="zh-CN"/>
        </w:rPr>
        <w:t>安全监督子系统</w:t>
      </w:r>
      <w:r>
        <w:rPr>
          <w:rFonts w:hint="eastAsia" w:ascii="宋体" w:hAnsi="宋体" w:eastAsia="宋体"/>
          <w:sz w:val="24"/>
          <w:szCs w:val="24"/>
        </w:rPr>
        <w:t>。</w:t>
      </w:r>
    </w:p>
    <w:p w14:paraId="1180A974">
      <w:pPr>
        <w:pStyle w:val="8"/>
        <w:rPr>
          <w:rFonts w:hint="eastAsia"/>
        </w:rPr>
      </w:pPr>
      <w:bookmarkStart w:id="150" w:name="_Toc138067476"/>
      <w:bookmarkStart w:id="151" w:name="_Toc138067474"/>
      <w:bookmarkStart w:id="152" w:name="_Toc42506239"/>
      <w:bookmarkStart w:id="153" w:name="_Toc64887233"/>
      <w:bookmarkStart w:id="154" w:name="_Toc51782319"/>
      <w:bookmarkStart w:id="155" w:name="_Toc58504750"/>
      <w:bookmarkStart w:id="156" w:name="_Toc51782102"/>
      <w:bookmarkStart w:id="157" w:name="_Toc61694035"/>
      <w:bookmarkStart w:id="158" w:name="_Toc64887239"/>
      <w:bookmarkStart w:id="159" w:name="_Toc45117749"/>
      <w:bookmarkStart w:id="160" w:name="_Toc62840964"/>
      <w:bookmarkStart w:id="161" w:name="_Toc51781892"/>
      <w:r>
        <w:rPr>
          <w:rFonts w:hint="eastAsia"/>
        </w:rPr>
        <w:t>垃圾分类管理系统</w:t>
      </w:r>
      <w:bookmarkEnd w:id="150"/>
    </w:p>
    <w:p w14:paraId="23F49A1F">
      <w:pPr>
        <w:pStyle w:val="14"/>
        <w:rPr>
          <w:rFonts w:hint="eastAsia"/>
          <w:bCs w:val="0"/>
        </w:rPr>
      </w:pPr>
      <w:r>
        <w:rPr>
          <w:bCs w:val="0"/>
        </w:rPr>
        <w:t>基础信息管理系统</w:t>
      </w:r>
    </w:p>
    <w:p w14:paraId="2521FD71">
      <w:pPr>
        <w:spacing w:line="276" w:lineRule="auto"/>
        <w:ind w:firstLine="480"/>
        <w:rPr>
          <w:rFonts w:hint="eastAsia" w:ascii="宋体" w:hAnsi="宋体" w:eastAsia="宋体"/>
          <w:sz w:val="24"/>
          <w:szCs w:val="24"/>
        </w:rPr>
      </w:pPr>
      <w:r>
        <w:rPr>
          <w:rFonts w:hint="eastAsia" w:ascii="宋体" w:hAnsi="宋体" w:eastAsia="宋体"/>
          <w:sz w:val="24"/>
          <w:szCs w:val="24"/>
        </w:rPr>
        <w:t>垃圾分类数据中心是垃圾分类智慧监管的基础，基于垃圾分类的基础数据标准、业务数据标准和数据交换标准，建设符合本地垃圾分类管理特色的数据集，基于基础数据集实现垃圾分类基础设施、分类主体的信息管理；汇聚多个部门垃圾分类信息，以可视化技术对业务数据进行挖掘分析，实现垃圾分类大分流、细分类的业务监管和垃圾分类成效展示。</w:t>
      </w:r>
    </w:p>
    <w:p w14:paraId="078B6FF3">
      <w:pPr>
        <w:spacing w:line="276" w:lineRule="auto"/>
        <w:ind w:firstLine="480"/>
        <w:rPr>
          <w:rFonts w:hint="eastAsia" w:ascii="宋体" w:hAnsi="宋体" w:eastAsia="宋体"/>
          <w:sz w:val="24"/>
          <w:szCs w:val="24"/>
        </w:rPr>
      </w:pPr>
      <w:r>
        <w:rPr>
          <w:rFonts w:ascii="宋体" w:hAnsi="宋体" w:eastAsia="宋体"/>
          <w:sz w:val="24"/>
          <w:szCs w:val="24"/>
        </w:rPr>
        <w:t>a.分类小区信息</w:t>
      </w:r>
    </w:p>
    <w:p w14:paraId="3D759EA0">
      <w:pPr>
        <w:spacing w:line="276" w:lineRule="auto"/>
        <w:ind w:firstLine="480"/>
        <w:rPr>
          <w:rFonts w:hint="eastAsia" w:ascii="宋体" w:hAnsi="宋体" w:eastAsia="宋体"/>
          <w:sz w:val="24"/>
          <w:szCs w:val="24"/>
        </w:rPr>
      </w:pPr>
      <w:r>
        <w:rPr>
          <w:rFonts w:hint="eastAsia" w:ascii="宋体" w:hAnsi="宋体" w:eastAsia="宋体"/>
          <w:sz w:val="24"/>
          <w:szCs w:val="24"/>
        </w:rPr>
        <w:t>分类小区基本信息管理将分类小区的基本信息分类录入系统，包括小区名称、小区类型、设施设置数量、所属行政区划、具体地址、覆盖户数、运营单位、负责人员、联系方式、垃圾分类工作开始实施时间等。建立分类小区数据库，可自定义划分区域，实现街道区域网格化管理。</w:t>
      </w:r>
    </w:p>
    <w:p w14:paraId="1DB3D199">
      <w:pPr>
        <w:spacing w:line="276" w:lineRule="auto"/>
        <w:ind w:firstLine="480"/>
        <w:rPr>
          <w:rFonts w:hint="eastAsia" w:ascii="宋体" w:hAnsi="宋体" w:eastAsia="宋体"/>
          <w:sz w:val="24"/>
          <w:szCs w:val="24"/>
        </w:rPr>
      </w:pPr>
      <w:r>
        <w:rPr>
          <w:rFonts w:ascii="宋体" w:hAnsi="宋体" w:eastAsia="宋体"/>
          <w:sz w:val="24"/>
          <w:szCs w:val="24"/>
        </w:rPr>
        <w:t>b.分类户信息</w:t>
      </w:r>
    </w:p>
    <w:p w14:paraId="765A0363">
      <w:pPr>
        <w:spacing w:line="276" w:lineRule="auto"/>
        <w:ind w:firstLine="480"/>
        <w:rPr>
          <w:rFonts w:hint="eastAsia" w:ascii="宋体" w:hAnsi="宋体" w:eastAsia="宋体"/>
          <w:sz w:val="24"/>
          <w:szCs w:val="24"/>
        </w:rPr>
      </w:pPr>
      <w:r>
        <w:rPr>
          <w:rFonts w:hint="eastAsia" w:ascii="宋体" w:hAnsi="宋体" w:eastAsia="宋体"/>
          <w:sz w:val="24"/>
          <w:szCs w:val="24"/>
        </w:rPr>
        <w:t>分类户基本信息管理是以户为管理单元，包括小区名称、户号、户主、积分卡、注册人员数量、知晓状态（入户记录）、参与状态（积极性）等。</w:t>
      </w:r>
    </w:p>
    <w:p w14:paraId="08C26949">
      <w:pPr>
        <w:spacing w:line="276" w:lineRule="auto"/>
        <w:ind w:firstLine="480"/>
        <w:rPr>
          <w:rFonts w:hint="eastAsia" w:ascii="宋体" w:hAnsi="宋体" w:eastAsia="宋体"/>
          <w:sz w:val="24"/>
          <w:szCs w:val="24"/>
        </w:rPr>
      </w:pPr>
      <w:r>
        <w:rPr>
          <w:rFonts w:hint="eastAsia" w:ascii="宋体" w:hAnsi="宋体" w:eastAsia="宋体"/>
          <w:sz w:val="24"/>
          <w:szCs w:val="24"/>
        </w:rPr>
        <w:t>通过楼宇建模按照楼栋进行分类户综合管理，“标签化”采集与展示分类户信息，包括年龄等基本属性信息、宣教信息、分类准确率等。</w:t>
      </w:r>
    </w:p>
    <w:p w14:paraId="718089FE">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.分类居民信息</w:t>
      </w:r>
    </w:p>
    <w:p w14:paraId="59A180C4">
      <w:pPr>
        <w:spacing w:line="276" w:lineRule="auto"/>
        <w:ind w:firstLine="480"/>
        <w:rPr>
          <w:rFonts w:hint="eastAsia" w:ascii="宋体" w:hAnsi="宋体" w:eastAsia="宋体"/>
          <w:sz w:val="24"/>
          <w:szCs w:val="24"/>
        </w:rPr>
      </w:pPr>
      <w:r>
        <w:rPr>
          <w:rFonts w:hint="eastAsia" w:ascii="宋体" w:hAnsi="宋体" w:eastAsia="宋体"/>
          <w:sz w:val="24"/>
          <w:szCs w:val="24"/>
        </w:rPr>
        <w:t>分类居民基本信息管理是将小区居民的门牌号、联系方式、积分卡信息、二维码信息、注册渠道等有关生活垃圾分类的基本信息进行录入和汇总分析，为评价分类居民积极性和质量普查做基础数据支撑。</w:t>
      </w:r>
    </w:p>
    <w:p w14:paraId="6C8BC48D">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机关单位信息</w:t>
      </w:r>
    </w:p>
    <w:p w14:paraId="39D859DF">
      <w:pPr>
        <w:spacing w:line="276" w:lineRule="auto"/>
        <w:ind w:firstLine="480"/>
        <w:rPr>
          <w:rFonts w:hint="eastAsia" w:ascii="宋体" w:hAnsi="宋体" w:eastAsia="宋体"/>
          <w:sz w:val="24"/>
          <w:szCs w:val="24"/>
        </w:rPr>
      </w:pPr>
      <w:r>
        <w:rPr>
          <w:rFonts w:hint="eastAsia" w:ascii="宋体" w:hAnsi="宋体" w:eastAsia="宋体"/>
          <w:sz w:val="24"/>
          <w:szCs w:val="24"/>
        </w:rPr>
        <w:t>机关单位作为垃圾分类重要的覆盖范围，对机关单位名称、设施设置数量、机关单位类型、管理部门、覆盖用户、负责人、联系方式、垃圾分类开始时间等基本信息建立统一的数据管理系统，通过清晰台账实现机关单位垃圾分类作业的有效开展。</w:t>
      </w:r>
    </w:p>
    <w:p w14:paraId="360DC1CD">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运营单位信息</w:t>
      </w:r>
    </w:p>
    <w:p w14:paraId="11803174">
      <w:pPr>
        <w:spacing w:line="276" w:lineRule="auto"/>
        <w:ind w:firstLine="480"/>
        <w:rPr>
          <w:rFonts w:hint="eastAsia" w:ascii="宋体" w:hAnsi="宋体" w:eastAsia="宋体"/>
          <w:sz w:val="24"/>
          <w:szCs w:val="24"/>
        </w:rPr>
      </w:pPr>
      <w:r>
        <w:rPr>
          <w:rFonts w:hint="eastAsia" w:ascii="宋体" w:hAnsi="宋体" w:eastAsia="宋体"/>
          <w:sz w:val="24"/>
          <w:szCs w:val="24"/>
        </w:rPr>
        <w:t>对参与生活垃圾分类的物业单位或者第三方运营单位基本信息进行管理，建立辖区市场化包括公司名称、服务范围、服务年限、指标要求、项目负责人员、联系方式等，作为对运营单位作业管理的基础。</w:t>
      </w:r>
    </w:p>
    <w:p w14:paraId="77659629">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分类作业人员信息</w:t>
      </w:r>
    </w:p>
    <w:p w14:paraId="5D3F7993">
      <w:pPr>
        <w:spacing w:line="276" w:lineRule="auto"/>
        <w:ind w:firstLine="480"/>
        <w:rPr>
          <w:rFonts w:hint="eastAsia" w:ascii="宋体" w:hAnsi="宋体" w:eastAsia="宋体"/>
          <w:sz w:val="24"/>
          <w:szCs w:val="24"/>
        </w:rPr>
      </w:pPr>
      <w:r>
        <w:rPr>
          <w:rFonts w:hint="eastAsia" w:ascii="宋体" w:hAnsi="宋体" w:eastAsia="宋体"/>
          <w:sz w:val="24"/>
          <w:szCs w:val="24"/>
        </w:rPr>
        <w:t>包含小区管理员、督导员、志愿者等垃圾分类人员的基础信息，对垃圾分类覆盖范围内所有作业人员的姓名、联系方式、作业类型、服务小区等基础信息录入管理，直观展示各个地区人员配比，有助于对垃圾分类普及工作科学规划。</w:t>
      </w:r>
    </w:p>
    <w:p w14:paraId="5D8953D3">
      <w:pPr>
        <w:spacing w:line="276" w:lineRule="auto"/>
        <w:ind w:firstLine="480"/>
        <w:rPr>
          <w:rFonts w:hint="eastAsia" w:ascii="宋体" w:hAnsi="宋体" w:eastAsia="宋体"/>
          <w:sz w:val="24"/>
          <w:szCs w:val="24"/>
        </w:rPr>
      </w:pPr>
      <w:r>
        <w:rPr>
          <w:rFonts w:ascii="宋体" w:hAnsi="宋体" w:eastAsia="宋体"/>
          <w:sz w:val="24"/>
          <w:szCs w:val="24"/>
        </w:rPr>
        <w:t>g.</w:t>
      </w:r>
      <w:r>
        <w:rPr>
          <w:rFonts w:ascii="宋体" w:hAnsi="宋体" w:eastAsia="宋体"/>
          <w:sz w:val="24"/>
          <w:szCs w:val="24"/>
        </w:rPr>
        <w:tab/>
      </w:r>
      <w:r>
        <w:rPr>
          <w:rFonts w:ascii="宋体" w:hAnsi="宋体" w:eastAsia="宋体"/>
          <w:sz w:val="24"/>
          <w:szCs w:val="24"/>
        </w:rPr>
        <w:t>收运资源管理</w:t>
      </w:r>
    </w:p>
    <w:p w14:paraId="5C117A19">
      <w:pPr>
        <w:spacing w:line="276" w:lineRule="auto"/>
        <w:ind w:firstLine="480"/>
        <w:rPr>
          <w:rFonts w:hint="eastAsia" w:ascii="宋体" w:hAnsi="宋体" w:eastAsia="宋体"/>
          <w:sz w:val="24"/>
          <w:szCs w:val="24"/>
        </w:rPr>
      </w:pPr>
      <w:r>
        <w:rPr>
          <w:rFonts w:hint="eastAsia" w:ascii="宋体" w:hAnsi="宋体" w:eastAsia="宋体"/>
          <w:sz w:val="24"/>
          <w:szCs w:val="24"/>
        </w:rPr>
        <w:t>收运资源是生活垃圾处置物流系统中的重要资源，此处包含对收运车辆及配套收运人员的监管，包括运输车辆车牌号、运输垃圾类型、作业时间要求、作业区域要求、收运人员、联系方式、收运户数等统一管理，实现权限范围的增删改查。</w:t>
      </w:r>
    </w:p>
    <w:p w14:paraId="714462B9">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宣传设施设备</w:t>
      </w:r>
    </w:p>
    <w:p w14:paraId="248DC43B">
      <w:pPr>
        <w:spacing w:line="276" w:lineRule="auto"/>
        <w:ind w:firstLine="480"/>
        <w:rPr>
          <w:rFonts w:hint="eastAsia" w:ascii="宋体" w:hAnsi="宋体" w:eastAsia="宋体"/>
          <w:sz w:val="24"/>
          <w:szCs w:val="24"/>
        </w:rPr>
      </w:pPr>
      <w:r>
        <w:rPr>
          <w:rFonts w:hint="eastAsia" w:ascii="宋体" w:hAnsi="宋体" w:eastAsia="宋体"/>
          <w:sz w:val="24"/>
          <w:szCs w:val="24"/>
        </w:rPr>
        <w:t>宣传设施包括小区宣传设施及街道自有宣传设施，例如分类宣传栏、户外电子宣传屏、室内电子展示屏、分类公示牌、花草牌等，统一归口其名称、编号、位置、类型、有效宣传范围、所属单位等信息，辅助街道办事处摸清小区建设的宣传设施以及自己能利用的宣传设施台账，便于后期规划及开展宣传活动，保证宣传的质量和效果。</w:t>
      </w:r>
    </w:p>
    <w:p w14:paraId="3A661060">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投放设施设备</w:t>
      </w:r>
    </w:p>
    <w:p w14:paraId="01023BB4">
      <w:pPr>
        <w:spacing w:line="276" w:lineRule="auto"/>
        <w:ind w:firstLine="480"/>
        <w:rPr>
          <w:rFonts w:hint="eastAsia" w:ascii="宋体" w:hAnsi="宋体" w:eastAsia="宋体"/>
          <w:sz w:val="24"/>
          <w:szCs w:val="24"/>
        </w:rPr>
      </w:pPr>
      <w:r>
        <w:rPr>
          <w:rFonts w:hint="eastAsia" w:ascii="宋体" w:hAnsi="宋体" w:eastAsia="宋体"/>
          <w:sz w:val="24"/>
          <w:szCs w:val="24"/>
        </w:rPr>
        <w:t>投放设施包括普通投放设备、智能投放设备、智能回收设备、积分兑换机、智能发袋机等的台账管理，为其建立包含小区、型号、编号、采购成本、使用情况等基本信息的统一投放设施数据库，便于管理部门把握设备采购质量、类型和关联分析居民分类积极性。</w:t>
      </w:r>
    </w:p>
    <w:p w14:paraId="1BA858A6">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收运设施设备</w:t>
      </w:r>
    </w:p>
    <w:p w14:paraId="03F03332">
      <w:pPr>
        <w:spacing w:line="276" w:lineRule="auto"/>
        <w:ind w:firstLine="480"/>
        <w:rPr>
          <w:rFonts w:hint="eastAsia" w:ascii="宋体" w:hAnsi="宋体" w:eastAsia="宋体"/>
          <w:sz w:val="24"/>
          <w:szCs w:val="24"/>
        </w:rPr>
      </w:pPr>
      <w:r>
        <w:rPr>
          <w:rFonts w:hint="eastAsia" w:ascii="宋体" w:hAnsi="宋体" w:eastAsia="宋体"/>
          <w:sz w:val="24"/>
          <w:szCs w:val="24"/>
        </w:rPr>
        <w:t>收运设施包括暂存点和转运站等生活垃圾运输物流基础设施，系统包含设施名称、设施类型、设施详细地址、投入使用时间、容量、覆盖范围、负责人、联系方式等，有助于管理部门对垃圾转运工作统筹规划，提高调度效率。</w:t>
      </w:r>
    </w:p>
    <w:p w14:paraId="281E6C13">
      <w:pPr>
        <w:spacing w:line="276" w:lineRule="auto"/>
        <w:ind w:firstLine="480"/>
        <w:rPr>
          <w:rFonts w:hint="eastAsia" w:ascii="宋体" w:hAnsi="宋体" w:eastAsia="宋体"/>
          <w:sz w:val="24"/>
          <w:szCs w:val="24"/>
        </w:rPr>
      </w:pPr>
      <w:r>
        <w:rPr>
          <w:rFonts w:ascii="宋体" w:hAnsi="宋体" w:eastAsia="宋体"/>
          <w:sz w:val="24"/>
          <w:szCs w:val="24"/>
        </w:rPr>
        <w:t>k.处置设施</w:t>
      </w:r>
    </w:p>
    <w:p w14:paraId="32FBB2BE">
      <w:pPr>
        <w:spacing w:line="276" w:lineRule="auto"/>
        <w:ind w:firstLine="480"/>
        <w:rPr>
          <w:rFonts w:hint="eastAsia" w:ascii="宋体" w:hAnsi="宋体" w:eastAsia="宋体"/>
          <w:sz w:val="24"/>
          <w:szCs w:val="24"/>
        </w:rPr>
      </w:pPr>
      <w:r>
        <w:rPr>
          <w:rFonts w:hint="eastAsia" w:ascii="宋体" w:hAnsi="宋体" w:eastAsia="宋体"/>
          <w:sz w:val="24"/>
          <w:szCs w:val="24"/>
        </w:rPr>
        <w:t>处置设施包含餐厨垃圾处置终端、建筑垃圾处置终端、厨余垃圾就地处置终端、可回收站点等各种垃圾处置终端的基本信息包括处置终端名称、处理垃圾类型、处理能力、覆盖范围、负责人、联系方式等汇总建立区级处置终端基础信息台账，实现权限范围的增删改查。</w:t>
      </w:r>
    </w:p>
    <w:p w14:paraId="7B6EE93C">
      <w:pPr>
        <w:spacing w:line="276" w:lineRule="auto"/>
        <w:ind w:firstLine="480"/>
        <w:rPr>
          <w:rFonts w:hint="eastAsia" w:ascii="宋体" w:hAnsi="宋体" w:eastAsia="宋体"/>
          <w:sz w:val="24"/>
          <w:szCs w:val="24"/>
        </w:rPr>
      </w:pPr>
      <w:r>
        <w:rPr>
          <w:rFonts w:ascii="宋体" w:hAnsi="宋体" w:eastAsia="宋体"/>
          <w:sz w:val="24"/>
          <w:szCs w:val="24"/>
        </w:rPr>
        <w:t>l.</w:t>
      </w:r>
      <w:r>
        <w:rPr>
          <w:rFonts w:ascii="宋体" w:hAnsi="宋体" w:eastAsia="宋体"/>
          <w:sz w:val="24"/>
          <w:szCs w:val="24"/>
        </w:rPr>
        <w:tab/>
      </w:r>
      <w:r>
        <w:rPr>
          <w:rFonts w:ascii="宋体" w:hAnsi="宋体" w:eastAsia="宋体"/>
          <w:sz w:val="24"/>
          <w:szCs w:val="24"/>
        </w:rPr>
        <w:t>资源配备情况与目标对比分析</w:t>
      </w:r>
    </w:p>
    <w:p w14:paraId="59A914AF">
      <w:pPr>
        <w:spacing w:line="276" w:lineRule="auto"/>
        <w:ind w:firstLine="480"/>
        <w:rPr>
          <w:rFonts w:hint="eastAsia" w:ascii="宋体" w:hAnsi="宋体" w:eastAsia="宋体"/>
          <w:sz w:val="24"/>
          <w:szCs w:val="24"/>
        </w:rPr>
      </w:pPr>
      <w:r>
        <w:rPr>
          <w:rFonts w:hint="eastAsia" w:ascii="宋体" w:hAnsi="宋体" w:eastAsia="宋体"/>
          <w:sz w:val="24"/>
          <w:szCs w:val="24"/>
        </w:rPr>
        <w:t>资源配备情况分析旨在实现对小区</w:t>
      </w:r>
      <w:r>
        <w:rPr>
          <w:rFonts w:ascii="宋体" w:hAnsi="宋体" w:eastAsia="宋体"/>
          <w:sz w:val="24"/>
          <w:szCs w:val="24"/>
        </w:rPr>
        <w:t>/单位垃圾分类作业人员、设施设备配备情况的监管，设置资源配置标准与要求，包括数量要求、时间要求等。</w:t>
      </w:r>
    </w:p>
    <w:p w14:paraId="66B19C15">
      <w:pPr>
        <w:spacing w:line="276" w:lineRule="auto"/>
        <w:ind w:firstLine="480"/>
        <w:rPr>
          <w:rFonts w:hint="eastAsia" w:ascii="宋体" w:hAnsi="宋体" w:eastAsia="宋体"/>
          <w:sz w:val="24"/>
          <w:szCs w:val="24"/>
        </w:rPr>
      </w:pPr>
      <w:r>
        <w:rPr>
          <w:rFonts w:hint="eastAsia" w:ascii="宋体" w:hAnsi="宋体" w:eastAsia="宋体"/>
          <w:sz w:val="24"/>
          <w:szCs w:val="24"/>
        </w:rPr>
        <w:t>主要指标包括督导员的配备、生活垃圾分类宣传栏、信息公示牌、布局引导牌、分类收集亭指示牌、分类垃圾桶、积分兑换站等设施。如建立设施投放标准，如数量不得少于出入口数量等，系统进行智能对比分析，查看吻合配置标准。</w:t>
      </w:r>
    </w:p>
    <w:p w14:paraId="1BCE109B">
      <w:pPr>
        <w:spacing w:line="276" w:lineRule="auto"/>
        <w:ind w:firstLine="480"/>
        <w:rPr>
          <w:rFonts w:hint="eastAsia" w:ascii="宋体" w:hAnsi="宋体" w:eastAsia="宋体"/>
          <w:sz w:val="24"/>
          <w:szCs w:val="24"/>
        </w:rPr>
      </w:pPr>
      <w:r>
        <w:rPr>
          <w:rFonts w:hint="eastAsia" w:ascii="宋体" w:hAnsi="宋体" w:eastAsia="宋体"/>
          <w:sz w:val="24"/>
          <w:szCs w:val="24"/>
        </w:rPr>
        <w:t>按照小区</w:t>
      </w:r>
      <w:r>
        <w:rPr>
          <w:rFonts w:ascii="宋体" w:hAnsi="宋体" w:eastAsia="宋体"/>
          <w:sz w:val="24"/>
          <w:szCs w:val="24"/>
        </w:rPr>
        <w:t>/单位实际设置资源与计划建设资源进行比对，便于街道把握小区/单位垃圾分类资源配备情况，及时对未按要求配备小区/单位提出整改要求，对合理超额配备的小区/单位提出表扬和奖励。</w:t>
      </w:r>
    </w:p>
    <w:p w14:paraId="5A3F3238">
      <w:pPr>
        <w:spacing w:line="276" w:lineRule="auto"/>
        <w:ind w:firstLine="480"/>
        <w:rPr>
          <w:rFonts w:hint="eastAsia" w:ascii="宋体" w:hAnsi="宋体" w:eastAsia="宋体"/>
          <w:sz w:val="24"/>
          <w:szCs w:val="24"/>
        </w:rPr>
      </w:pPr>
      <w:r>
        <w:rPr>
          <w:rFonts w:hint="eastAsia" w:ascii="宋体" w:hAnsi="宋体" w:eastAsia="宋体"/>
          <w:sz w:val="24"/>
          <w:szCs w:val="24"/>
        </w:rPr>
        <w:t>m</w:t>
      </w:r>
      <w:r>
        <w:rPr>
          <w:rFonts w:ascii="宋体" w:hAnsi="宋体" w:eastAsia="宋体"/>
          <w:sz w:val="24"/>
          <w:szCs w:val="24"/>
        </w:rPr>
        <w:t>.日常状态管理</w:t>
      </w:r>
    </w:p>
    <w:p w14:paraId="6C05D517">
      <w:pPr>
        <w:spacing w:line="276" w:lineRule="auto"/>
        <w:ind w:firstLine="480"/>
        <w:rPr>
          <w:rFonts w:hint="eastAsia" w:ascii="宋体" w:hAnsi="宋体" w:eastAsia="宋体"/>
          <w:sz w:val="24"/>
          <w:szCs w:val="24"/>
        </w:rPr>
      </w:pPr>
      <w:r>
        <w:rPr>
          <w:rFonts w:hint="eastAsia" w:ascii="宋体" w:hAnsi="宋体" w:eastAsia="宋体"/>
          <w:sz w:val="24"/>
          <w:szCs w:val="24"/>
        </w:rPr>
        <w:t>设施设备的使用状态监测旨在实现对垃圾分类设施设备的整洁、完好状态进行统计，例如垃圾桶是否清洁、标识是否清晰正确、摆放是否合理，发现垃圾桶桶体过脏、桶有破碎、桶盖缺失等情况及时安排核查和上报，保障垃圾分类设施的完好性和整洁性，提升小区投放环境，减少因垃圾定时定点投放而产生的设施污染、蚊虫遍布等环境问题。</w:t>
      </w:r>
    </w:p>
    <w:p w14:paraId="3D073187">
      <w:pPr>
        <w:spacing w:line="276" w:lineRule="auto"/>
        <w:ind w:firstLine="480"/>
        <w:rPr>
          <w:rFonts w:hint="eastAsia" w:ascii="宋体" w:hAnsi="宋体" w:eastAsia="宋体"/>
          <w:sz w:val="24"/>
          <w:szCs w:val="24"/>
        </w:rPr>
      </w:pPr>
      <w:r>
        <w:rPr>
          <w:rFonts w:hint="eastAsia" w:ascii="宋体" w:hAnsi="宋体" w:eastAsia="宋体"/>
          <w:sz w:val="24"/>
          <w:szCs w:val="24"/>
        </w:rPr>
        <w:t>日常状态数据来源主要为督导移动应用，通过督导员根据设施设备清单进行依次上报，选择整洁与否、完好与否等，并拍照取证。</w:t>
      </w:r>
    </w:p>
    <w:p w14:paraId="0C4FF16B">
      <w:pPr>
        <w:spacing w:line="276" w:lineRule="auto"/>
        <w:ind w:firstLine="480"/>
        <w:rPr>
          <w:rFonts w:hint="eastAsia" w:ascii="宋体" w:hAnsi="宋体" w:eastAsia="宋体"/>
          <w:sz w:val="24"/>
          <w:szCs w:val="24"/>
        </w:rPr>
      </w:pPr>
      <w:r>
        <w:rPr>
          <w:rFonts w:ascii="宋体" w:hAnsi="宋体" w:eastAsia="宋体"/>
          <w:sz w:val="24"/>
          <w:szCs w:val="24"/>
        </w:rPr>
        <w:t>n.</w:t>
      </w:r>
      <w:r>
        <w:rPr>
          <w:rFonts w:ascii="宋体" w:hAnsi="宋体" w:eastAsia="宋体"/>
          <w:sz w:val="24"/>
          <w:szCs w:val="24"/>
        </w:rPr>
        <w:tab/>
      </w:r>
      <w:r>
        <w:rPr>
          <w:rFonts w:ascii="宋体" w:hAnsi="宋体" w:eastAsia="宋体"/>
          <w:sz w:val="24"/>
          <w:szCs w:val="24"/>
        </w:rPr>
        <w:t>物资更新管理</w:t>
      </w:r>
    </w:p>
    <w:p w14:paraId="2D4C86CF">
      <w:pPr>
        <w:spacing w:line="276" w:lineRule="auto"/>
        <w:ind w:firstLine="480"/>
        <w:rPr>
          <w:rFonts w:hint="eastAsia" w:ascii="宋体" w:hAnsi="宋体" w:eastAsia="宋体"/>
          <w:sz w:val="24"/>
          <w:szCs w:val="24"/>
        </w:rPr>
      </w:pPr>
      <w:r>
        <w:rPr>
          <w:rFonts w:hint="eastAsia" w:ascii="宋体" w:hAnsi="宋体" w:eastAsia="宋体"/>
          <w:sz w:val="24"/>
          <w:szCs w:val="24"/>
        </w:rPr>
        <w:t>物资更新管理主要包括投放点垃圾袋投入、保洁工具等，实现对物资收集、更新地点、更新对象、更新物品和更新数量等信息的统计，形成物资收集、更新记录，做好对各类分类物资的接收、发放、统计工作。</w:t>
      </w:r>
    </w:p>
    <w:p w14:paraId="77193B61">
      <w:pPr>
        <w:spacing w:line="276" w:lineRule="auto"/>
        <w:ind w:firstLine="480"/>
        <w:rPr>
          <w:rFonts w:hint="eastAsia" w:ascii="宋体" w:hAnsi="宋体" w:eastAsia="宋体"/>
          <w:sz w:val="24"/>
          <w:szCs w:val="24"/>
        </w:rPr>
      </w:pPr>
      <w:r>
        <w:rPr>
          <w:rFonts w:hint="eastAsia" w:ascii="宋体" w:hAnsi="宋体" w:eastAsia="宋体"/>
          <w:sz w:val="24"/>
          <w:szCs w:val="24"/>
        </w:rPr>
        <w:t>数据来源主要包括督导员录入管理与智能设备数据接入。</w:t>
      </w:r>
    </w:p>
    <w:p w14:paraId="0ABDA48A">
      <w:pPr>
        <w:spacing w:line="276" w:lineRule="auto"/>
        <w:ind w:firstLine="480"/>
        <w:rPr>
          <w:rFonts w:hint="eastAsia" w:ascii="宋体" w:hAnsi="宋体" w:eastAsia="宋体"/>
          <w:sz w:val="24"/>
          <w:szCs w:val="24"/>
        </w:rPr>
      </w:pPr>
      <w:r>
        <w:rPr>
          <w:rFonts w:ascii="宋体" w:hAnsi="宋体" w:eastAsia="宋体"/>
          <w:sz w:val="24"/>
          <w:szCs w:val="24"/>
        </w:rPr>
        <w:t>o.视频联动</w:t>
      </w:r>
    </w:p>
    <w:p w14:paraId="3D86ED2B">
      <w:pPr>
        <w:spacing w:line="276" w:lineRule="auto"/>
        <w:ind w:firstLine="480"/>
        <w:rPr>
          <w:rFonts w:hint="eastAsia" w:ascii="宋体" w:hAnsi="宋体" w:eastAsia="宋体"/>
          <w:sz w:val="24"/>
          <w:szCs w:val="24"/>
        </w:rPr>
      </w:pPr>
      <w:r>
        <w:rPr>
          <w:rFonts w:hint="eastAsia" w:ascii="宋体" w:hAnsi="宋体" w:eastAsia="宋体"/>
          <w:sz w:val="24"/>
          <w:szCs w:val="24"/>
        </w:rPr>
        <w:t>利用已有的视频监控和在生活垃圾集中投放点位安装的监控，基于视频平台实现对生活垃圾投放点的远程监管，查看是否有乱投现象或者是恶意破坏行为，支持投放视频实时查看、历史回看。</w:t>
      </w:r>
    </w:p>
    <w:p w14:paraId="6638C42B">
      <w:pPr>
        <w:spacing w:line="276" w:lineRule="auto"/>
        <w:ind w:firstLine="480"/>
        <w:rPr>
          <w:rFonts w:hint="eastAsia" w:ascii="宋体" w:hAnsi="宋体" w:eastAsia="宋体"/>
          <w:sz w:val="24"/>
          <w:szCs w:val="24"/>
        </w:rPr>
      </w:pPr>
      <w:r>
        <w:rPr>
          <w:rFonts w:hint="eastAsia" w:ascii="宋体" w:hAnsi="宋体" w:eastAsia="宋体"/>
          <w:sz w:val="24"/>
          <w:szCs w:val="24"/>
        </w:rPr>
        <w:t>当监管到异常投放行为或者特定事件时进行抓拍取证，系统根据时间截图或者进行视频抓拍等。</w:t>
      </w:r>
    </w:p>
    <w:p w14:paraId="5CDBCD4D">
      <w:pPr>
        <w:pStyle w:val="14"/>
        <w:rPr>
          <w:rFonts w:hint="eastAsia"/>
          <w:bCs w:val="0"/>
        </w:rPr>
      </w:pPr>
      <w:r>
        <w:rPr>
          <w:bCs w:val="0"/>
        </w:rPr>
        <w:t>宣教工作</w:t>
      </w:r>
      <w:r>
        <w:rPr>
          <w:rFonts w:hint="eastAsia"/>
        </w:rPr>
        <w:t>管理</w:t>
      </w:r>
      <w:r>
        <w:rPr>
          <w:bCs w:val="0"/>
        </w:rPr>
        <w:t>系统</w:t>
      </w:r>
    </w:p>
    <w:p w14:paraId="20588D5A">
      <w:pPr>
        <w:spacing w:line="276" w:lineRule="auto"/>
        <w:ind w:firstLine="480"/>
        <w:rPr>
          <w:rFonts w:hint="eastAsia" w:ascii="宋体" w:hAnsi="宋体" w:eastAsia="宋体"/>
          <w:sz w:val="24"/>
          <w:szCs w:val="24"/>
        </w:rPr>
      </w:pPr>
      <w:r>
        <w:rPr>
          <w:rFonts w:hint="eastAsia" w:ascii="宋体" w:hAnsi="宋体" w:eastAsia="宋体"/>
          <w:sz w:val="24"/>
          <w:szCs w:val="24"/>
        </w:rPr>
        <w:t>垃圾分类宣教是推进垃圾分类进程的重要环节。加强垃圾分类宣教工作，增强社会互动，普及垃圾分类知识，能够提升公众垃圾分类意识，提升公众知晓率和参与率。通过主题活动宣传、社区宣传、入户宣传、分类培训等宣教活动能够形成舆论氛围，提升公众参与热情。</w:t>
      </w:r>
    </w:p>
    <w:p w14:paraId="71A4663A">
      <w:pPr>
        <w:spacing w:line="276" w:lineRule="auto"/>
        <w:ind w:firstLine="480"/>
        <w:rPr>
          <w:rFonts w:hint="eastAsia" w:ascii="宋体" w:hAnsi="宋体" w:eastAsia="宋体"/>
          <w:sz w:val="24"/>
          <w:szCs w:val="24"/>
        </w:rPr>
      </w:pPr>
      <w:r>
        <w:rPr>
          <w:rFonts w:hint="eastAsia" w:ascii="宋体" w:hAnsi="宋体" w:eastAsia="宋体"/>
          <w:sz w:val="24"/>
          <w:szCs w:val="24"/>
        </w:rPr>
        <w:t>目前已经有很多市场化的公司为市、区、街道管理部门提供专业的宣教服务，如何制定科学、高效的垃圾分类宣教规划是当前管理部门需要面对的首要问题；其次市场化公司提供的宣教服务是否合规、宣传效果是否符合政府要求也是当前管理部门需要面对的监管问题。</w:t>
      </w:r>
    </w:p>
    <w:p w14:paraId="29F446C0">
      <w:pPr>
        <w:spacing w:line="276" w:lineRule="auto"/>
        <w:ind w:firstLine="480"/>
        <w:rPr>
          <w:rFonts w:hint="eastAsia" w:ascii="宋体" w:hAnsi="宋体" w:eastAsia="宋体"/>
          <w:sz w:val="24"/>
          <w:szCs w:val="24"/>
        </w:rPr>
      </w:pPr>
      <w:r>
        <w:rPr>
          <w:rFonts w:hint="eastAsia" w:ascii="宋体" w:hAnsi="宋体" w:eastAsia="宋体"/>
          <w:sz w:val="24"/>
          <w:szCs w:val="24"/>
        </w:rPr>
        <w:t>垃圾分类宣教管理模块，为政府管理部门提供垃圾分类宣教成效展示、垃圾分类宣教计划、宣教活动过程监管、宣教活动考核功能，为客户提供垃圾分类宣教计划、过程监管、结果考核、成效展现的工具。</w:t>
      </w:r>
    </w:p>
    <w:p w14:paraId="4A78E3AB">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垃圾分类宣教计划</w:t>
      </w:r>
    </w:p>
    <w:p w14:paraId="305CDEF7">
      <w:pPr>
        <w:spacing w:line="276" w:lineRule="auto"/>
        <w:ind w:firstLine="480"/>
        <w:rPr>
          <w:rFonts w:hint="eastAsia" w:ascii="宋体" w:hAnsi="宋体" w:eastAsia="宋体"/>
          <w:sz w:val="24"/>
          <w:szCs w:val="24"/>
        </w:rPr>
      </w:pPr>
      <w:r>
        <w:rPr>
          <w:rFonts w:hint="eastAsia" w:ascii="宋体" w:hAnsi="宋体" w:eastAsia="宋体"/>
          <w:sz w:val="24"/>
          <w:szCs w:val="24"/>
        </w:rPr>
        <w:t>垃圾分类宣教计划是垃圾分类宣教活动有序、高效开展的前提。垃圾分类宣教计划模块主要提供：区级宣教活动计划和街道、服务公司的宣传计划上报两大功能，合理安排区级宣教工作，并及时获知各个宣传单位的宣传工作计划。</w:t>
      </w:r>
    </w:p>
    <w:p w14:paraId="103077EE">
      <w:pPr>
        <w:spacing w:line="276" w:lineRule="auto"/>
        <w:ind w:firstLine="480"/>
        <w:rPr>
          <w:rFonts w:hint="eastAsia" w:ascii="宋体" w:hAnsi="宋体" w:eastAsia="宋体"/>
          <w:sz w:val="24"/>
          <w:szCs w:val="24"/>
        </w:rPr>
      </w:pPr>
      <w:r>
        <w:rPr>
          <w:rFonts w:hint="eastAsia" w:ascii="宋体" w:hAnsi="宋体" w:eastAsia="宋体"/>
          <w:sz w:val="24"/>
          <w:szCs w:val="24"/>
        </w:rPr>
        <w:t>宣教计划上报：各个街道、宣教服务公司可以通过垃圾分类宣教计划模块进行垃圾分类宣教工作的计划和方案上报，区垃圾分类宣传管理人员可以直观看到各街道和服务公司的宣教计划。并根据宣教计划对实际的宣教活动执行情况进行考核。</w:t>
      </w:r>
    </w:p>
    <w:p w14:paraId="1689BCBF">
      <w:pPr>
        <w:spacing w:line="276" w:lineRule="auto"/>
        <w:ind w:firstLine="480"/>
        <w:rPr>
          <w:rFonts w:hint="eastAsia" w:ascii="宋体" w:hAnsi="宋体" w:eastAsia="宋体"/>
          <w:sz w:val="24"/>
          <w:szCs w:val="24"/>
        </w:rPr>
      </w:pPr>
      <w:r>
        <w:rPr>
          <w:rFonts w:hint="eastAsia" w:ascii="宋体" w:hAnsi="宋体" w:eastAsia="宋体"/>
          <w:sz w:val="24"/>
          <w:szCs w:val="24"/>
        </w:rPr>
        <w:t>区级宣教活动计划：根据垃圾分类宣教覆盖面的数据，制定区级宣教活动安排，并将宣教计划信息发送到各个宣教活动负责人处，各宣教活动负责人制定具体宣教方案和方案具体执行。</w:t>
      </w:r>
    </w:p>
    <w:p w14:paraId="6E329EC1">
      <w:pPr>
        <w:spacing w:line="276" w:lineRule="auto"/>
        <w:ind w:firstLine="480"/>
        <w:rPr>
          <w:rFonts w:hint="eastAsia" w:ascii="宋体" w:hAnsi="宋体" w:eastAsia="宋体"/>
          <w:sz w:val="24"/>
          <w:szCs w:val="24"/>
        </w:rPr>
      </w:pPr>
      <w:r>
        <w:rPr>
          <w:rFonts w:hint="eastAsia" w:ascii="宋体" w:hAnsi="宋体" w:eastAsia="宋体"/>
          <w:sz w:val="24"/>
          <w:szCs w:val="24"/>
        </w:rPr>
        <w:t>宣教计划主要内容主要包括：宣教时间、宣教主体、宣教对象、宣教方式、宣教物料使用计划等内容。</w:t>
      </w:r>
    </w:p>
    <w:p w14:paraId="62E598F0">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主题活动宣教记录</w:t>
      </w:r>
    </w:p>
    <w:p w14:paraId="291C5A21">
      <w:pPr>
        <w:spacing w:line="276" w:lineRule="auto"/>
        <w:ind w:firstLine="480"/>
        <w:rPr>
          <w:rFonts w:hint="eastAsia" w:ascii="宋体" w:hAnsi="宋体" w:eastAsia="宋体"/>
          <w:sz w:val="24"/>
          <w:szCs w:val="24"/>
        </w:rPr>
      </w:pPr>
      <w:r>
        <w:rPr>
          <w:rFonts w:hint="eastAsia" w:ascii="宋体" w:hAnsi="宋体" w:eastAsia="宋体"/>
          <w:sz w:val="24"/>
          <w:szCs w:val="24"/>
        </w:rPr>
        <w:t>宣传活动记录包含小区垃圾分类志愿活动、培训活动和各类大中小型宣传活动的活动记录的汇总</w:t>
      </w:r>
      <w:r>
        <w:rPr>
          <w:rFonts w:ascii="宋体" w:hAnsi="宋体" w:eastAsia="宋体"/>
          <w:sz w:val="24"/>
          <w:szCs w:val="24"/>
        </w:rPr>
        <w:t>,包含活动类型、组织单位、参与人数、互动效果、现场照片/视频等信息。</w:t>
      </w:r>
    </w:p>
    <w:p w14:paraId="3AC80D42">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入户宣教记录</w:t>
      </w:r>
    </w:p>
    <w:p w14:paraId="2B854709">
      <w:pPr>
        <w:spacing w:line="276" w:lineRule="auto"/>
        <w:ind w:firstLine="480"/>
        <w:rPr>
          <w:rFonts w:hint="eastAsia" w:ascii="宋体" w:hAnsi="宋体" w:eastAsia="宋体"/>
          <w:sz w:val="24"/>
          <w:szCs w:val="24"/>
        </w:rPr>
      </w:pPr>
      <w:r>
        <w:rPr>
          <w:rFonts w:hint="eastAsia" w:ascii="宋体" w:hAnsi="宋体" w:eastAsia="宋体"/>
          <w:sz w:val="24"/>
          <w:szCs w:val="24"/>
        </w:rPr>
        <w:t>入户宣教主要由：分类运营单位、宣教服务单位或区域网格员</w:t>
      </w:r>
      <w:r>
        <w:rPr>
          <w:rFonts w:ascii="宋体" w:hAnsi="宋体" w:eastAsia="宋体"/>
          <w:sz w:val="24"/>
          <w:szCs w:val="24"/>
        </w:rPr>
        <w:t>/督导员执行，在入户宣教的同时需要通过</w:t>
      </w:r>
      <w:r>
        <w:rPr>
          <w:rFonts w:hint="eastAsia" w:ascii="宋体" w:hAnsi="宋体" w:eastAsia="宋体"/>
          <w:sz w:val="24"/>
          <w:szCs w:val="24"/>
          <w:lang w:val="en-US" w:eastAsia="zh-CN"/>
        </w:rPr>
        <w:t>移动端</w:t>
      </w:r>
      <w:r>
        <w:rPr>
          <w:rFonts w:ascii="宋体" w:hAnsi="宋体" w:eastAsia="宋体"/>
          <w:sz w:val="24"/>
          <w:szCs w:val="24"/>
        </w:rPr>
        <w:t>进行过程记录，记录内容主要包括：入户宣教图像、居民知晓情况调查表、入户居民签名确认等，实现对入户宣传的精细化管理，避免宣传人员漏入、忘入、虚报的情况。</w:t>
      </w:r>
    </w:p>
    <w:p w14:paraId="035AE733">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培训记录</w:t>
      </w:r>
    </w:p>
    <w:p w14:paraId="11857765">
      <w:pPr>
        <w:spacing w:line="276" w:lineRule="auto"/>
        <w:ind w:firstLine="480"/>
        <w:rPr>
          <w:rFonts w:hint="eastAsia" w:ascii="宋体" w:hAnsi="宋体" w:eastAsia="宋体"/>
          <w:sz w:val="24"/>
          <w:szCs w:val="24"/>
        </w:rPr>
      </w:pPr>
      <w:r>
        <w:rPr>
          <w:rFonts w:hint="eastAsia" w:ascii="宋体" w:hAnsi="宋体" w:eastAsia="宋体"/>
          <w:sz w:val="24"/>
          <w:szCs w:val="24"/>
        </w:rPr>
        <w:t>垃圾分类培训主要包括区级管理部门开展的专业培训和街道开展的普及性培训，在完成培训的同时需要通过</w:t>
      </w:r>
      <w:r>
        <w:rPr>
          <w:rFonts w:hint="eastAsia" w:ascii="宋体" w:hAnsi="宋体" w:eastAsia="宋体"/>
          <w:sz w:val="24"/>
          <w:szCs w:val="24"/>
          <w:lang w:val="en-US" w:eastAsia="zh-CN"/>
        </w:rPr>
        <w:t>移动端</w:t>
      </w:r>
      <w:r>
        <w:rPr>
          <w:rFonts w:ascii="宋体" w:hAnsi="宋体" w:eastAsia="宋体"/>
          <w:sz w:val="24"/>
          <w:szCs w:val="24"/>
        </w:rPr>
        <w:t>对培训相关内容进行记录，培训活动记录主要包括：培训时间、培训对象（居民、学校、企事业单位等）、培训地点、参与人数、培训主题、培训效果、现场照片等内容。</w:t>
      </w:r>
    </w:p>
    <w:p w14:paraId="126756C5">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实践活动管理</w:t>
      </w:r>
    </w:p>
    <w:p w14:paraId="445F15C8">
      <w:pPr>
        <w:spacing w:line="276" w:lineRule="auto"/>
        <w:ind w:firstLine="480"/>
        <w:rPr>
          <w:rFonts w:hint="eastAsia" w:ascii="宋体" w:hAnsi="宋体" w:eastAsia="宋体"/>
          <w:sz w:val="24"/>
          <w:szCs w:val="24"/>
        </w:rPr>
      </w:pPr>
      <w:r>
        <w:rPr>
          <w:rFonts w:hint="eastAsia" w:ascii="宋体" w:hAnsi="宋体" w:eastAsia="宋体"/>
          <w:sz w:val="24"/>
          <w:szCs w:val="24"/>
        </w:rPr>
        <w:t>实践活动管理功能主要包括两部分。一、活动报名情况统计，通过本功能查看到各项实践活动的报名情况，组织活动人员根据实践活动的报名情况可以合理安排实践活动。二、活动记录，对实践活动进行全过程记录。记录内容主要包括：活动主题、活动时间、活动内容、参与人数等内容。</w:t>
      </w:r>
    </w:p>
    <w:p w14:paraId="6AF98189">
      <w:pPr>
        <w:spacing w:line="276" w:lineRule="auto"/>
        <w:ind w:firstLine="480"/>
        <w:rPr>
          <w:rFonts w:hint="eastAsia" w:ascii="宋体" w:hAnsi="宋体" w:eastAsia="宋体"/>
          <w:sz w:val="24"/>
          <w:szCs w:val="24"/>
        </w:rPr>
      </w:pPr>
      <w:r>
        <w:rPr>
          <w:rFonts w:ascii="宋体" w:hAnsi="宋体" w:eastAsia="宋体"/>
          <w:sz w:val="24"/>
          <w:szCs w:val="24"/>
        </w:rPr>
        <w:t>f.宣教计划完成情况报表</w:t>
      </w:r>
    </w:p>
    <w:p w14:paraId="00E3A40F">
      <w:pPr>
        <w:spacing w:line="276" w:lineRule="auto"/>
        <w:ind w:firstLine="480"/>
        <w:rPr>
          <w:rFonts w:hint="eastAsia" w:ascii="宋体" w:hAnsi="宋体" w:eastAsia="宋体"/>
          <w:sz w:val="24"/>
          <w:szCs w:val="24"/>
        </w:rPr>
      </w:pPr>
      <w:r>
        <w:rPr>
          <w:rFonts w:hint="eastAsia" w:ascii="宋体" w:hAnsi="宋体" w:eastAsia="宋体"/>
          <w:sz w:val="24"/>
          <w:szCs w:val="24"/>
        </w:rPr>
        <w:t>宣教计划完成情况报表是对宣教活动开展量的考核。系统根据宣教计划和执行人员上传的宣教活动执行情况自动判定各街道和各作业公司对宣教计划的完成情况，并自动生成相应的数据报表。量化宣教活动工作内容。</w:t>
      </w:r>
    </w:p>
    <w:p w14:paraId="349A806C">
      <w:pPr>
        <w:spacing w:line="276" w:lineRule="auto"/>
        <w:ind w:firstLine="480"/>
        <w:rPr>
          <w:rFonts w:hint="eastAsia" w:ascii="宋体" w:hAnsi="宋体" w:eastAsia="宋体"/>
          <w:sz w:val="24"/>
          <w:szCs w:val="24"/>
        </w:rPr>
      </w:pPr>
      <w:r>
        <w:rPr>
          <w:rFonts w:ascii="宋体" w:hAnsi="宋体" w:eastAsia="宋体"/>
          <w:sz w:val="24"/>
          <w:szCs w:val="24"/>
        </w:rPr>
        <w:t>g.宣教活动质量评价</w:t>
      </w:r>
    </w:p>
    <w:p w14:paraId="74B7AD63">
      <w:pPr>
        <w:spacing w:line="276" w:lineRule="auto"/>
        <w:ind w:firstLine="480"/>
        <w:rPr>
          <w:rFonts w:hint="eastAsia" w:ascii="宋体" w:hAnsi="宋体" w:eastAsia="宋体"/>
          <w:sz w:val="24"/>
          <w:szCs w:val="24"/>
        </w:rPr>
      </w:pPr>
      <w:r>
        <w:rPr>
          <w:rFonts w:hint="eastAsia" w:ascii="宋体" w:hAnsi="宋体" w:eastAsia="宋体"/>
          <w:sz w:val="24"/>
          <w:szCs w:val="24"/>
        </w:rPr>
        <w:t>宣教活动质量评价是对宣教活动执行过程的质量考核。可以对上传到平台的宣教活动记录进行质量评价，评价标准主要包括参与人数、设施设备准备情况等。</w:t>
      </w:r>
    </w:p>
    <w:p w14:paraId="1A27B066">
      <w:pPr>
        <w:spacing w:line="276" w:lineRule="auto"/>
        <w:ind w:firstLine="480"/>
        <w:rPr>
          <w:rFonts w:hint="eastAsia" w:ascii="宋体" w:hAnsi="宋体" w:eastAsia="宋体"/>
          <w:sz w:val="24"/>
          <w:szCs w:val="24"/>
        </w:rPr>
      </w:pPr>
      <w:r>
        <w:rPr>
          <w:rFonts w:ascii="宋体" w:hAnsi="宋体" w:eastAsia="宋体"/>
          <w:sz w:val="24"/>
          <w:szCs w:val="24"/>
        </w:rPr>
        <w:t>h.宣教抽检</w:t>
      </w:r>
    </w:p>
    <w:p w14:paraId="1823A81F">
      <w:pPr>
        <w:spacing w:line="276" w:lineRule="auto"/>
        <w:ind w:firstLine="480"/>
        <w:rPr>
          <w:rFonts w:hint="eastAsia" w:ascii="宋体" w:hAnsi="宋体" w:eastAsia="宋体"/>
          <w:sz w:val="24"/>
          <w:szCs w:val="24"/>
        </w:rPr>
      </w:pPr>
      <w:r>
        <w:rPr>
          <w:rFonts w:hint="eastAsia" w:ascii="宋体" w:hAnsi="宋体" w:eastAsia="宋体"/>
          <w:sz w:val="24"/>
          <w:szCs w:val="24"/>
        </w:rPr>
        <w:t>抽检管理旨在对入户宣传的数据进行抽检，通过二次复核的方式进一步规范宣传人员作业效果，避免入户宣传人员走过场、虚假填报信息等违规情况。</w:t>
      </w:r>
    </w:p>
    <w:p w14:paraId="28A1F688">
      <w:pPr>
        <w:spacing w:line="276" w:lineRule="auto"/>
        <w:ind w:firstLine="480"/>
        <w:rPr>
          <w:rFonts w:hint="eastAsia" w:ascii="宋体" w:hAnsi="宋体" w:eastAsia="宋体"/>
          <w:sz w:val="24"/>
          <w:szCs w:val="24"/>
        </w:rPr>
      </w:pPr>
      <w:r>
        <w:rPr>
          <w:rFonts w:hint="eastAsia" w:ascii="宋体" w:hAnsi="宋体" w:eastAsia="宋体"/>
          <w:sz w:val="24"/>
          <w:szCs w:val="24"/>
        </w:rPr>
        <w:t>抽检方式一：系统随机抽检分类户，智能从宣传记录数据库中调取被抽查对象的宣传记录，查看是否无记录、有记录的现场取证数据是否真实等。</w:t>
      </w:r>
    </w:p>
    <w:p w14:paraId="6DA246D4">
      <w:pPr>
        <w:spacing w:line="276" w:lineRule="auto"/>
        <w:ind w:firstLine="480"/>
        <w:rPr>
          <w:rFonts w:hint="eastAsia" w:ascii="宋体" w:hAnsi="宋体" w:eastAsia="宋体"/>
          <w:sz w:val="24"/>
          <w:szCs w:val="24"/>
        </w:rPr>
      </w:pPr>
      <w:r>
        <w:rPr>
          <w:rFonts w:hint="eastAsia" w:ascii="宋体" w:hAnsi="宋体" w:eastAsia="宋体"/>
          <w:sz w:val="24"/>
          <w:szCs w:val="24"/>
        </w:rPr>
        <w:t>抽取方式二：由系统随机产生，在系统后台设置抽检规则，派发现场抽检任务；现场抽检人员配备手持端，安装抽检</w:t>
      </w:r>
      <w:r>
        <w:rPr>
          <w:rFonts w:hint="eastAsia" w:ascii="宋体" w:hAnsi="宋体" w:eastAsia="宋体"/>
          <w:sz w:val="24"/>
          <w:szCs w:val="24"/>
          <w:lang w:val="en-US" w:eastAsia="zh-CN"/>
        </w:rPr>
        <w:t>移动端</w:t>
      </w:r>
      <w:r>
        <w:rPr>
          <w:rFonts w:ascii="宋体" w:hAnsi="宋体" w:eastAsia="宋体"/>
          <w:sz w:val="24"/>
          <w:szCs w:val="24"/>
        </w:rPr>
        <w:t>/小程序，对被抽检居民的知晓情况、居民对宣传人员敬业度、宣传过程满意度的评价等指标进行打分，抽检人员将数据实时上传到系统后台，生成抽检记录。</w:t>
      </w:r>
    </w:p>
    <w:p w14:paraId="524C01C5">
      <w:pPr>
        <w:spacing w:line="276" w:lineRule="auto"/>
        <w:ind w:firstLine="480"/>
        <w:rPr>
          <w:rFonts w:hint="eastAsia" w:ascii="宋体" w:hAnsi="宋体" w:eastAsia="宋体"/>
          <w:sz w:val="24"/>
          <w:szCs w:val="24"/>
        </w:rPr>
      </w:pPr>
      <w:r>
        <w:rPr>
          <w:rFonts w:ascii="宋体" w:hAnsi="宋体" w:eastAsia="宋体"/>
          <w:sz w:val="24"/>
          <w:szCs w:val="24"/>
        </w:rPr>
        <w:t>i.宣传物料管理</w:t>
      </w:r>
    </w:p>
    <w:p w14:paraId="2FD3D7D0">
      <w:pPr>
        <w:spacing w:line="276" w:lineRule="auto"/>
        <w:ind w:firstLine="480"/>
        <w:rPr>
          <w:rFonts w:hint="eastAsia" w:ascii="宋体" w:hAnsi="宋体" w:eastAsia="宋体"/>
          <w:sz w:val="24"/>
          <w:szCs w:val="24"/>
        </w:rPr>
      </w:pPr>
      <w:r>
        <w:rPr>
          <w:rFonts w:hint="eastAsia" w:ascii="宋体" w:hAnsi="宋体" w:eastAsia="宋体"/>
          <w:sz w:val="24"/>
          <w:szCs w:val="24"/>
        </w:rPr>
        <w:t>宣传材料及物资管理针对垃圾分类宣传过程中的各类物资台账的清算，包含垃圾分类手册、宣传板、传单、横幅等消耗品以及开展垃圾分类宣传活动时需要的音箱、摄像等租赁品，宣传活动开展所需的物资需要按规定及时做好各类分类物资的接收、发放、统计、核验和报送工作，做好各类台账记录；分类工作相关人员不得将垃圾分类有关物资挪作他用。</w:t>
      </w:r>
    </w:p>
    <w:p w14:paraId="3995B14D">
      <w:pPr>
        <w:pStyle w:val="14"/>
        <w:rPr>
          <w:rFonts w:hint="eastAsia"/>
          <w:bCs w:val="0"/>
        </w:rPr>
      </w:pPr>
      <w:r>
        <w:rPr>
          <w:bCs w:val="0"/>
        </w:rPr>
        <w:t>分类投放监管系统</w:t>
      </w:r>
    </w:p>
    <w:p w14:paraId="70087A19">
      <w:pPr>
        <w:spacing w:line="276" w:lineRule="auto"/>
        <w:ind w:firstLine="480"/>
        <w:rPr>
          <w:rFonts w:hint="eastAsia" w:ascii="宋体" w:hAnsi="宋体" w:eastAsia="宋体"/>
          <w:sz w:val="24"/>
          <w:szCs w:val="24"/>
        </w:rPr>
      </w:pPr>
      <w:r>
        <w:rPr>
          <w:rFonts w:hint="eastAsia" w:ascii="宋体" w:hAnsi="宋体" w:eastAsia="宋体"/>
          <w:sz w:val="24"/>
          <w:szCs w:val="24"/>
        </w:rPr>
        <w:t>分类投放监管主要实现居民的投放行为监管，通过物联感知、督导员评价、视频监控、</w:t>
      </w:r>
      <w:r>
        <w:rPr>
          <w:rFonts w:ascii="宋体" w:hAnsi="宋体" w:eastAsia="宋体"/>
          <w:sz w:val="24"/>
          <w:szCs w:val="24"/>
        </w:rPr>
        <w:t>AI应用等实现居民用户投放时间、投放垃圾质与量的综合管理，并实现投放点设施状态、现场环境远程监管。</w:t>
      </w:r>
    </w:p>
    <w:p w14:paraId="73410E7D">
      <w:pPr>
        <w:spacing w:line="276" w:lineRule="auto"/>
        <w:ind w:firstLine="480"/>
        <w:rPr>
          <w:rFonts w:hint="eastAsia" w:ascii="宋体" w:hAnsi="宋体" w:eastAsia="宋体"/>
          <w:sz w:val="24"/>
          <w:szCs w:val="24"/>
        </w:rPr>
      </w:pPr>
      <w:r>
        <w:rPr>
          <w:rFonts w:ascii="宋体" w:hAnsi="宋体" w:eastAsia="宋体"/>
          <w:sz w:val="24"/>
          <w:szCs w:val="24"/>
        </w:rPr>
        <w:t>a.撤桶并点记录</w:t>
      </w:r>
    </w:p>
    <w:p w14:paraId="4F36EC86">
      <w:pPr>
        <w:spacing w:line="276" w:lineRule="auto"/>
        <w:ind w:firstLine="480"/>
        <w:rPr>
          <w:rFonts w:hint="eastAsia" w:ascii="宋体" w:hAnsi="宋体" w:eastAsia="宋体"/>
          <w:sz w:val="24"/>
          <w:szCs w:val="24"/>
        </w:rPr>
      </w:pPr>
      <w:r>
        <w:rPr>
          <w:rFonts w:hint="eastAsia" w:ascii="宋体" w:hAnsi="宋体" w:eastAsia="宋体"/>
          <w:sz w:val="24"/>
          <w:szCs w:val="24"/>
        </w:rPr>
        <w:t>实现已经开始推行撤桶并点的分类主体信息，街道采集或者社区上报撤桶并点后投放点的设置情况，用以评判投放点推进程度和智能化程度。用以判断智能化的因子主要包括是否投放智能设备，是否安装视频监控设备、是否安装称重设备、是否实现现场环境监测、是否应用</w:t>
      </w:r>
      <w:r>
        <w:rPr>
          <w:rFonts w:ascii="宋体" w:hAnsi="宋体" w:eastAsia="宋体"/>
          <w:sz w:val="24"/>
          <w:szCs w:val="24"/>
        </w:rPr>
        <w:t>AI技术等。</w:t>
      </w:r>
    </w:p>
    <w:p w14:paraId="4C6E974A">
      <w:pPr>
        <w:spacing w:line="276" w:lineRule="auto"/>
        <w:ind w:firstLine="480"/>
        <w:rPr>
          <w:rFonts w:hint="eastAsia" w:ascii="宋体" w:hAnsi="宋体" w:eastAsia="宋体"/>
          <w:sz w:val="24"/>
          <w:szCs w:val="24"/>
        </w:rPr>
      </w:pPr>
      <w:r>
        <w:rPr>
          <w:rFonts w:hint="eastAsia" w:ascii="宋体" w:hAnsi="宋体" w:eastAsia="宋体"/>
          <w:sz w:val="24"/>
          <w:szCs w:val="24"/>
        </w:rPr>
        <w:t>组织社区进行投放点改造或者将已经改造的投放点数据进行统一接入。</w:t>
      </w:r>
    </w:p>
    <w:p w14:paraId="6109DD31">
      <w:pPr>
        <w:spacing w:line="276" w:lineRule="auto"/>
        <w:ind w:firstLine="480"/>
        <w:rPr>
          <w:rFonts w:hint="eastAsia" w:ascii="宋体" w:hAnsi="宋体" w:eastAsia="宋体"/>
          <w:sz w:val="24"/>
          <w:szCs w:val="24"/>
        </w:rPr>
      </w:pPr>
      <w:r>
        <w:rPr>
          <w:rFonts w:ascii="宋体" w:hAnsi="宋体" w:eastAsia="宋体"/>
          <w:sz w:val="24"/>
          <w:szCs w:val="24"/>
        </w:rPr>
        <w:t>b.设施状态数据</w:t>
      </w:r>
    </w:p>
    <w:p w14:paraId="1613230C">
      <w:pPr>
        <w:spacing w:line="276" w:lineRule="auto"/>
        <w:ind w:firstLine="480"/>
        <w:rPr>
          <w:rFonts w:hint="eastAsia" w:ascii="宋体" w:hAnsi="宋体" w:eastAsia="宋体"/>
          <w:sz w:val="24"/>
          <w:szCs w:val="24"/>
        </w:rPr>
      </w:pPr>
      <w:r>
        <w:rPr>
          <w:rFonts w:hint="eastAsia" w:ascii="宋体" w:hAnsi="宋体" w:eastAsia="宋体"/>
          <w:sz w:val="24"/>
          <w:szCs w:val="24"/>
        </w:rPr>
        <w:t>基于物联感知平台实现实现智能化分类设备、物联感知设备在线状态监管，同步管理智能设备业务感知数据。</w:t>
      </w:r>
    </w:p>
    <w:p w14:paraId="03DB01B6">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智能发袋机：监管智能发袋机运行状态，接入发袋记录、物资剩余数据等。</w:t>
      </w:r>
    </w:p>
    <w:p w14:paraId="57A7CEB6">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智能分类桶：监管智能分类桶运行状态，接入居民刷卡记录、垃圾类型、垃圾重量、投放时间、积分反馈数据等。</w:t>
      </w:r>
    </w:p>
    <w:p w14:paraId="06EFD00B">
      <w:pPr>
        <w:spacing w:line="276" w:lineRule="auto"/>
        <w:ind w:firstLine="480"/>
        <w:rPr>
          <w:rFonts w:hint="eastAsia" w:ascii="宋体" w:hAnsi="宋体" w:eastAsia="宋体"/>
          <w:sz w:val="24"/>
          <w:szCs w:val="24"/>
        </w:rPr>
      </w:pPr>
      <w:r>
        <w:rPr>
          <w:rFonts w:ascii="宋体" w:hAnsi="宋体" w:eastAsia="宋体"/>
          <w:sz w:val="24"/>
          <w:szCs w:val="24"/>
        </w:rPr>
        <w:t>智能回收设备：监管智能回收设备运行状态，接入居民刷卡记录、回收物类型、回收物投放时间、积分反馈数据等。</w:t>
      </w:r>
    </w:p>
    <w:p w14:paraId="4C957D4B">
      <w:pPr>
        <w:spacing w:line="276" w:lineRule="auto"/>
        <w:ind w:firstLine="480"/>
        <w:rPr>
          <w:rFonts w:hint="eastAsia" w:ascii="宋体" w:hAnsi="宋体" w:eastAsia="宋体"/>
          <w:sz w:val="24"/>
          <w:szCs w:val="24"/>
        </w:rPr>
      </w:pPr>
      <w:r>
        <w:rPr>
          <w:rFonts w:ascii="宋体" w:hAnsi="宋体" w:eastAsia="宋体"/>
          <w:sz w:val="24"/>
          <w:szCs w:val="24"/>
        </w:rPr>
        <w:t>智能兑换设备：监管智能兑换设备状态，接入居民刷卡记录、兑换物资、剩余物资数据等。</w:t>
      </w:r>
    </w:p>
    <w:p w14:paraId="1E5BDD48">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物联感知设备状态：包括视频设备、称重设备、环境监测设备、满溢感知设备等，实现设施在线数量管理、设备异常原因分析（网络问题、设备损坏问题等）等。</w:t>
      </w:r>
    </w:p>
    <w:p w14:paraId="4B872A79">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针对设备异常原因、物资不足、数据异常等状态进行即时预警，提醒管理人员及时处理，将相关异常信息派发给对应片区管理人员。</w:t>
      </w:r>
    </w:p>
    <w:p w14:paraId="430F78C0">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源头称重管理</w:t>
      </w:r>
    </w:p>
    <w:p w14:paraId="695B1178">
      <w:pPr>
        <w:spacing w:line="276" w:lineRule="auto"/>
        <w:ind w:firstLine="480"/>
        <w:rPr>
          <w:rFonts w:hint="eastAsia" w:ascii="宋体" w:hAnsi="宋体" w:eastAsia="宋体"/>
          <w:sz w:val="24"/>
          <w:szCs w:val="24"/>
        </w:rPr>
      </w:pPr>
      <w:r>
        <w:rPr>
          <w:rFonts w:hint="eastAsia" w:ascii="宋体" w:hAnsi="宋体" w:eastAsia="宋体"/>
          <w:sz w:val="24"/>
          <w:szCs w:val="24"/>
        </w:rPr>
        <w:t>实现传统投放点称重改造，安装地埋式地磅，进行源头垃圾产生量计量管理，计量数据实时传输至监控平台，以投放点位管理单元，单桶称重，选择垃圾类型，系统形成汇总数据。</w:t>
      </w:r>
    </w:p>
    <w:p w14:paraId="337750A9">
      <w:pPr>
        <w:spacing w:line="276" w:lineRule="auto"/>
        <w:ind w:firstLine="480"/>
        <w:rPr>
          <w:rFonts w:hint="eastAsia" w:ascii="宋体" w:hAnsi="宋体" w:eastAsia="宋体"/>
          <w:sz w:val="24"/>
          <w:szCs w:val="24"/>
        </w:rPr>
      </w:pPr>
      <w:r>
        <w:rPr>
          <w:rFonts w:hint="eastAsia" w:ascii="宋体" w:hAnsi="宋体" w:eastAsia="宋体"/>
          <w:sz w:val="24"/>
          <w:szCs w:val="24"/>
        </w:rPr>
        <w:t>称重记录包括但不限于：投放点名称、垃圾类型、计量数据、称重时间。</w:t>
      </w:r>
    </w:p>
    <w:p w14:paraId="7974702A">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.视频监管</w:t>
      </w:r>
    </w:p>
    <w:p w14:paraId="21BF48EB">
      <w:pPr>
        <w:spacing w:line="276" w:lineRule="auto"/>
        <w:ind w:firstLine="480"/>
        <w:rPr>
          <w:rFonts w:hint="eastAsia" w:ascii="宋体" w:hAnsi="宋体" w:eastAsia="宋体"/>
          <w:sz w:val="24"/>
          <w:szCs w:val="24"/>
        </w:rPr>
      </w:pPr>
      <w:r>
        <w:rPr>
          <w:rFonts w:hint="eastAsia" w:ascii="宋体" w:hAnsi="宋体" w:eastAsia="宋体"/>
          <w:sz w:val="24"/>
          <w:szCs w:val="24"/>
        </w:rPr>
        <w:t>投放点关键点位安装摄像头，并基于视频平台实现现场定时开关投放点情况、现场投放情况、现场整洁程度等进行远程监管。</w:t>
      </w:r>
    </w:p>
    <w:p w14:paraId="783E29B8">
      <w:pPr>
        <w:spacing w:line="276" w:lineRule="auto"/>
        <w:ind w:firstLine="480"/>
        <w:rPr>
          <w:rFonts w:hint="eastAsia" w:ascii="宋体" w:hAnsi="宋体" w:eastAsia="宋体"/>
          <w:sz w:val="24"/>
          <w:szCs w:val="24"/>
        </w:rPr>
      </w:pPr>
      <w:r>
        <w:rPr>
          <w:rFonts w:hint="eastAsia" w:ascii="宋体" w:hAnsi="宋体" w:eastAsia="宋体"/>
          <w:sz w:val="24"/>
          <w:szCs w:val="24"/>
        </w:rPr>
        <w:t>针对关键时间点进行抓拍管理，包括定时开关时间点、督导人员上报设施日常维护数据等，形成投放点日常管理图片库。</w:t>
      </w:r>
    </w:p>
    <w:p w14:paraId="615397EB">
      <w:pPr>
        <w:spacing w:line="276" w:lineRule="auto"/>
        <w:ind w:firstLine="480"/>
        <w:rPr>
          <w:rFonts w:hint="eastAsia" w:ascii="宋体" w:hAnsi="宋体" w:eastAsia="宋体"/>
          <w:sz w:val="24"/>
          <w:szCs w:val="24"/>
        </w:rPr>
      </w:pPr>
      <w:r>
        <w:rPr>
          <w:rFonts w:ascii="宋体" w:hAnsi="宋体" w:eastAsia="宋体"/>
          <w:sz w:val="24"/>
          <w:szCs w:val="24"/>
        </w:rPr>
        <w:t>e.居民投放记录</w:t>
      </w:r>
    </w:p>
    <w:p w14:paraId="07D914AC">
      <w:pPr>
        <w:spacing w:line="276" w:lineRule="auto"/>
        <w:ind w:firstLine="480"/>
        <w:rPr>
          <w:rFonts w:hint="eastAsia" w:ascii="宋体" w:hAnsi="宋体" w:eastAsia="宋体"/>
          <w:sz w:val="24"/>
          <w:szCs w:val="24"/>
        </w:rPr>
      </w:pPr>
      <w:r>
        <w:rPr>
          <w:rFonts w:hint="eastAsia" w:ascii="宋体" w:hAnsi="宋体" w:eastAsia="宋体"/>
          <w:sz w:val="24"/>
          <w:szCs w:val="24"/>
        </w:rPr>
        <w:t>根据智能设备、</w:t>
      </w:r>
      <w:r>
        <w:rPr>
          <w:rFonts w:ascii="宋体" w:hAnsi="宋体" w:eastAsia="宋体"/>
          <w:sz w:val="24"/>
          <w:szCs w:val="24"/>
        </w:rPr>
        <w:t>AI识别、督导员上报等方式全面采集居民投放行为数据，包括投放类型、投放次数、投放重量、投放质量等，形成居民投放行为数据库，为后续的垃圾处置费征收提供准确依据。</w:t>
      </w:r>
    </w:p>
    <w:p w14:paraId="187499A5">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投放AI应用</w:t>
      </w:r>
    </w:p>
    <w:p w14:paraId="055C6069">
      <w:pPr>
        <w:spacing w:line="276" w:lineRule="auto"/>
        <w:ind w:firstLine="480"/>
        <w:rPr>
          <w:rFonts w:hint="eastAsia" w:ascii="宋体" w:hAnsi="宋体" w:eastAsia="宋体"/>
          <w:sz w:val="24"/>
          <w:szCs w:val="24"/>
        </w:rPr>
      </w:pPr>
      <w:r>
        <w:rPr>
          <w:rFonts w:hint="eastAsia" w:ascii="宋体" w:hAnsi="宋体" w:eastAsia="宋体"/>
          <w:sz w:val="24"/>
          <w:szCs w:val="24"/>
        </w:rPr>
        <w:t>投放环节</w:t>
      </w:r>
      <w:r>
        <w:rPr>
          <w:rFonts w:ascii="宋体" w:hAnsi="宋体" w:eastAsia="宋体"/>
          <w:sz w:val="24"/>
          <w:szCs w:val="24"/>
        </w:rPr>
        <w:t>AI应用包括两部分，一是识别，通过视频设备知晓投放居民身份和投放垃圾类型识别；二是识别投放行为，判断居民是否正确投放垃圾、是否定时定点投放、是否投进垃圾桶内、是否破袋等。</w:t>
      </w:r>
    </w:p>
    <w:p w14:paraId="363344A4">
      <w:pPr>
        <w:spacing w:line="276" w:lineRule="auto"/>
        <w:ind w:firstLine="480"/>
        <w:rPr>
          <w:rFonts w:hint="eastAsia" w:ascii="宋体" w:hAnsi="宋体" w:eastAsia="宋体"/>
          <w:sz w:val="24"/>
          <w:szCs w:val="24"/>
        </w:rPr>
      </w:pPr>
      <w:r>
        <w:rPr>
          <w:rFonts w:ascii="宋体" w:hAnsi="宋体" w:eastAsia="宋体"/>
          <w:sz w:val="24"/>
          <w:szCs w:val="24"/>
        </w:rPr>
        <w:t>AI模型中心是基于投放行为监管需求，采用链式处理器和网格处理的方式，串联多个处理器，对目标网格区域进行智能分析，不同处理器的串联形成各类的AI监管模型。</w:t>
      </w:r>
    </w:p>
    <w:p w14:paraId="4DBFC32B">
      <w:pPr>
        <w:spacing w:line="276" w:lineRule="auto"/>
        <w:ind w:firstLine="480"/>
        <w:rPr>
          <w:rFonts w:hint="eastAsia" w:ascii="宋体" w:hAnsi="宋体" w:eastAsia="宋体"/>
          <w:sz w:val="24"/>
          <w:szCs w:val="24"/>
        </w:rPr>
      </w:pPr>
      <w:r>
        <w:rPr>
          <w:rFonts w:hint="eastAsia" w:ascii="宋体" w:hAnsi="宋体" w:eastAsia="宋体"/>
          <w:sz w:val="24"/>
          <w:szCs w:val="24"/>
        </w:rPr>
        <w:t>目前，在垃圾分类</w:t>
      </w:r>
      <w:r>
        <w:rPr>
          <w:rFonts w:ascii="宋体" w:hAnsi="宋体" w:eastAsia="宋体"/>
          <w:sz w:val="24"/>
          <w:szCs w:val="24"/>
        </w:rPr>
        <w:t>AI监控中投入应用的处理器包含图像分类处理器、目标检测处理器、人脸识别处理器、物体识别处理器、图片质量控制处理器、网格化处理器和静止图片过滤处理器等。</w:t>
      </w:r>
    </w:p>
    <w:p w14:paraId="067863E5">
      <w:pPr>
        <w:spacing w:line="276" w:lineRule="auto"/>
        <w:ind w:firstLine="480"/>
        <w:rPr>
          <w:rFonts w:hint="eastAsia" w:ascii="宋体" w:hAnsi="宋体" w:eastAsia="宋体"/>
          <w:sz w:val="24"/>
          <w:szCs w:val="24"/>
        </w:rPr>
      </w:pPr>
      <w:r>
        <w:rPr>
          <w:rFonts w:ascii="宋体" w:hAnsi="宋体" w:eastAsia="宋体"/>
          <w:sz w:val="24"/>
          <w:szCs w:val="24"/>
        </w:rPr>
        <w:t>(a)投放计次AI模型</w:t>
      </w:r>
    </w:p>
    <w:p w14:paraId="6138328C">
      <w:pPr>
        <w:spacing w:line="276" w:lineRule="auto"/>
        <w:ind w:firstLine="480"/>
        <w:rPr>
          <w:rFonts w:hint="eastAsia" w:ascii="宋体" w:hAnsi="宋体" w:eastAsia="宋体"/>
          <w:sz w:val="24"/>
          <w:szCs w:val="24"/>
        </w:rPr>
      </w:pPr>
      <w:r>
        <w:rPr>
          <w:rFonts w:hint="eastAsia" w:ascii="宋体" w:hAnsi="宋体" w:eastAsia="宋体"/>
          <w:sz w:val="24"/>
          <w:szCs w:val="24"/>
        </w:rPr>
        <w:t>边缘计算主机接入视频监控数据，运行投放计次模型，主要由人体检测算法、人脸识别算法、投放类型算法组成。</w:t>
      </w:r>
    </w:p>
    <w:p w14:paraId="4125179E">
      <w:pPr>
        <w:spacing w:line="276" w:lineRule="auto"/>
        <w:ind w:firstLine="480"/>
        <w:rPr>
          <w:rFonts w:hint="eastAsia" w:ascii="宋体" w:hAnsi="宋体" w:eastAsia="宋体"/>
          <w:sz w:val="24"/>
          <w:szCs w:val="24"/>
        </w:rPr>
      </w:pPr>
      <w:r>
        <w:rPr>
          <w:rFonts w:hint="eastAsia" w:ascii="宋体" w:hAnsi="宋体" w:eastAsia="宋体"/>
          <w:sz w:val="24"/>
          <w:szCs w:val="24"/>
        </w:rPr>
        <w:t>采用人脸识别算法模型实现投放点投放人员面部识别与身份确认。居民在进行生活垃圾投放的时候，进入投放区域，智能感知摄像头自动采集人员图像，并对基础信息中人员图像进行比对，实现人员身份的判定；</w:t>
      </w:r>
    </w:p>
    <w:p w14:paraId="514A0CCC">
      <w:pPr>
        <w:spacing w:line="276" w:lineRule="auto"/>
        <w:ind w:firstLine="480"/>
        <w:rPr>
          <w:rFonts w:hint="eastAsia" w:ascii="宋体" w:hAnsi="宋体" w:eastAsia="宋体"/>
          <w:sz w:val="24"/>
          <w:szCs w:val="24"/>
        </w:rPr>
      </w:pPr>
      <w:r>
        <w:rPr>
          <w:rFonts w:hint="eastAsia" w:ascii="宋体" w:hAnsi="宋体" w:eastAsia="宋体"/>
          <w:sz w:val="24"/>
          <w:szCs w:val="24"/>
        </w:rPr>
        <w:t>划定垃圾类型检测区域，当居民做出投放行为的时候，识别投放动作所出现的位置，判断投放垃圾类型，系统自动记录下本次投放行为的人员信息、投放类型，结合投放时间、位置信息等，自动生成投放记录。</w:t>
      </w:r>
    </w:p>
    <w:p w14:paraId="0B2ED944">
      <w:pPr>
        <w:spacing w:line="276" w:lineRule="auto"/>
        <w:ind w:firstLine="48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非定时投放AI模型</w:t>
      </w:r>
    </w:p>
    <w:p w14:paraId="34F08108">
      <w:pPr>
        <w:spacing w:line="276" w:lineRule="auto"/>
        <w:ind w:firstLine="480"/>
        <w:rPr>
          <w:rFonts w:hint="eastAsia" w:ascii="宋体" w:hAnsi="宋体" w:eastAsia="宋体"/>
          <w:sz w:val="24"/>
          <w:szCs w:val="24"/>
        </w:rPr>
      </w:pPr>
      <w:r>
        <w:rPr>
          <w:rFonts w:hint="eastAsia" w:ascii="宋体" w:hAnsi="宋体" w:eastAsia="宋体"/>
          <w:sz w:val="24"/>
          <w:szCs w:val="24"/>
        </w:rPr>
        <w:t>边缘计算主机接入视频监控数据，运行投放计次模型，提取居民投放行为的时间特征和空间特征，主要由人体检测算法、人脸识别算法、垃圾遗留算法组成。</w:t>
      </w:r>
    </w:p>
    <w:p w14:paraId="00699ED9">
      <w:pPr>
        <w:spacing w:line="276" w:lineRule="auto"/>
        <w:ind w:firstLine="480"/>
        <w:rPr>
          <w:rFonts w:hint="eastAsia" w:ascii="宋体" w:hAnsi="宋体" w:eastAsia="宋体"/>
          <w:sz w:val="24"/>
          <w:szCs w:val="24"/>
        </w:rPr>
      </w:pPr>
      <w:r>
        <w:rPr>
          <w:rFonts w:hint="eastAsia" w:ascii="宋体" w:hAnsi="宋体" w:eastAsia="宋体"/>
          <w:sz w:val="24"/>
          <w:szCs w:val="24"/>
        </w:rPr>
        <w:t>在投放点通过边缘计算主机接入视频监控，居民在非规定时间进入投放区域进行人体检测和人脸识别，并对检测区域识别遗留垃圾，结合人脸识别信息，生成报警记录，对非规定时间桶外投放居民身份、投放时间、投放现场进行还原。</w:t>
      </w:r>
    </w:p>
    <w:p w14:paraId="2B46991A">
      <w:pPr>
        <w:spacing w:line="276" w:lineRule="auto"/>
        <w:ind w:firstLine="48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垃圾桶满溢AI模型</w:t>
      </w:r>
    </w:p>
    <w:p w14:paraId="665FC610">
      <w:pPr>
        <w:spacing w:line="276" w:lineRule="auto"/>
        <w:ind w:firstLine="480"/>
        <w:rPr>
          <w:rFonts w:hint="eastAsia" w:ascii="宋体" w:hAnsi="宋体" w:eastAsia="宋体"/>
          <w:sz w:val="24"/>
          <w:szCs w:val="24"/>
        </w:rPr>
      </w:pPr>
      <w:r>
        <w:rPr>
          <w:rFonts w:hint="eastAsia" w:ascii="宋体" w:hAnsi="宋体" w:eastAsia="宋体"/>
          <w:sz w:val="24"/>
          <w:szCs w:val="24"/>
        </w:rPr>
        <w:t>运用图像分类模型进行垃圾满溢样品识别，在对检测区域进行网格划分和标记的基础上，通过边缘计算主机对垃圾桶内的垃圾面进行监控，当出现垃圾覆盖垃圾桶顶部时，系统自动判定为垃圾桶满溢。</w:t>
      </w:r>
    </w:p>
    <w:p w14:paraId="6392908A">
      <w:pPr>
        <w:spacing w:line="276" w:lineRule="auto"/>
        <w:ind w:firstLine="48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d</w:t>
      </w:r>
      <w:r>
        <w:rPr>
          <w:rFonts w:ascii="宋体" w:hAnsi="宋体" w:eastAsia="宋体"/>
          <w:sz w:val="24"/>
          <w:szCs w:val="24"/>
        </w:rPr>
        <w:t>)质量评价AI模型</w:t>
      </w:r>
    </w:p>
    <w:p w14:paraId="74E08235">
      <w:pPr>
        <w:spacing w:line="276" w:lineRule="auto"/>
        <w:ind w:firstLine="480"/>
        <w:rPr>
          <w:rFonts w:hint="eastAsia" w:ascii="宋体" w:hAnsi="宋体" w:eastAsia="宋体"/>
          <w:sz w:val="24"/>
          <w:szCs w:val="24"/>
        </w:rPr>
      </w:pPr>
      <w:r>
        <w:rPr>
          <w:rFonts w:hint="eastAsia" w:ascii="宋体" w:hAnsi="宋体" w:eastAsia="宋体"/>
          <w:sz w:val="24"/>
          <w:szCs w:val="24"/>
        </w:rPr>
        <w:t>通过投放点视频组和视频</w:t>
      </w:r>
      <w:r>
        <w:rPr>
          <w:rFonts w:ascii="宋体" w:hAnsi="宋体" w:eastAsia="宋体"/>
          <w:sz w:val="24"/>
          <w:szCs w:val="24"/>
        </w:rPr>
        <w:t>AI设备，对于居民投放厨余垃圾中混合明显的塑料瓶、纸盒等物体进行智能识别，识别到混合投放情况生成结构化告警数据，上传监控平台。</w:t>
      </w:r>
    </w:p>
    <w:p w14:paraId="0356AFDA">
      <w:pPr>
        <w:pStyle w:val="14"/>
        <w:rPr>
          <w:rFonts w:hint="eastAsia"/>
          <w:bCs w:val="0"/>
        </w:rPr>
      </w:pPr>
      <w:r>
        <w:rPr>
          <w:bCs w:val="0"/>
        </w:rPr>
        <w:t>分类收运监管系统</w:t>
      </w:r>
    </w:p>
    <w:p w14:paraId="724E0FD8">
      <w:pPr>
        <w:spacing w:line="276" w:lineRule="auto"/>
        <w:ind w:firstLine="480"/>
        <w:rPr>
          <w:rFonts w:hint="eastAsia" w:ascii="宋体" w:hAnsi="宋体" w:eastAsia="宋体"/>
          <w:sz w:val="24"/>
          <w:szCs w:val="24"/>
        </w:rPr>
      </w:pPr>
      <w:r>
        <w:rPr>
          <w:rFonts w:hint="eastAsia" w:ascii="宋体" w:hAnsi="宋体" w:eastAsia="宋体"/>
          <w:sz w:val="24"/>
          <w:szCs w:val="24"/>
        </w:rPr>
        <w:t>通过定位设备、车载视频设备、车载称重设备等车载终端对城区垃圾分类收集中涉及到的收运车辆、状态、称重、收运质量信息等进行可视化管理，实现源头分类工作量维度的统计分析，为后续垃圾分类征费提供数据来源。</w:t>
      </w:r>
    </w:p>
    <w:p w14:paraId="7B1B8A54">
      <w:pPr>
        <w:spacing w:line="276" w:lineRule="auto"/>
        <w:ind w:firstLine="480"/>
        <w:rPr>
          <w:rFonts w:hint="eastAsia" w:ascii="宋体" w:hAnsi="宋体" w:eastAsia="宋体"/>
          <w:sz w:val="24"/>
          <w:szCs w:val="24"/>
        </w:rPr>
      </w:pPr>
      <w:r>
        <w:rPr>
          <w:rFonts w:ascii="宋体" w:hAnsi="宋体" w:eastAsia="宋体"/>
          <w:sz w:val="24"/>
          <w:szCs w:val="24"/>
        </w:rPr>
        <w:t>a.收运任务管理</w:t>
      </w:r>
    </w:p>
    <w:p w14:paraId="208F89E3">
      <w:pPr>
        <w:spacing w:line="276" w:lineRule="auto"/>
        <w:ind w:firstLine="480"/>
        <w:rPr>
          <w:rFonts w:hint="eastAsia" w:ascii="宋体" w:hAnsi="宋体" w:eastAsia="宋体"/>
          <w:sz w:val="24"/>
          <w:szCs w:val="24"/>
        </w:rPr>
      </w:pPr>
      <w:r>
        <w:rPr>
          <w:rFonts w:hint="eastAsia" w:ascii="宋体" w:hAnsi="宋体" w:eastAsia="宋体"/>
          <w:sz w:val="24"/>
          <w:szCs w:val="24"/>
        </w:rPr>
        <w:t>根据不同垃圾类型制定不同垃圾收集任务，收集任务来源包括自定义设置、现场收集活动、预约上门收集等。收集任务信息包括收集点名称、收集点时间要求、垃圾类型、收集频次要求、收集车辆车牌号。</w:t>
      </w:r>
    </w:p>
    <w:p w14:paraId="1E6E6680">
      <w:pPr>
        <w:spacing w:line="276" w:lineRule="auto"/>
        <w:ind w:firstLine="480"/>
        <w:rPr>
          <w:rFonts w:hint="eastAsia" w:ascii="宋体" w:hAnsi="宋体" w:eastAsia="宋体"/>
          <w:sz w:val="24"/>
          <w:szCs w:val="24"/>
        </w:rPr>
      </w:pPr>
      <w:r>
        <w:rPr>
          <w:rFonts w:hint="eastAsia" w:ascii="宋体" w:hAnsi="宋体" w:eastAsia="宋体"/>
          <w:sz w:val="24"/>
          <w:szCs w:val="24"/>
        </w:rPr>
        <w:t>自定义路线设置：根据收集点位置信息、时间要求、垃圾类型、路段信息等形成点线结合的收运路线；</w:t>
      </w:r>
    </w:p>
    <w:p w14:paraId="5F16478C">
      <w:pPr>
        <w:spacing w:line="276" w:lineRule="auto"/>
        <w:ind w:firstLine="480"/>
        <w:rPr>
          <w:rFonts w:hint="eastAsia" w:ascii="宋体" w:hAnsi="宋体" w:eastAsia="宋体"/>
          <w:sz w:val="24"/>
          <w:szCs w:val="24"/>
        </w:rPr>
      </w:pPr>
      <w:r>
        <w:rPr>
          <w:rFonts w:hint="eastAsia" w:ascii="宋体" w:hAnsi="宋体" w:eastAsia="宋体"/>
          <w:sz w:val="24"/>
          <w:szCs w:val="24"/>
        </w:rPr>
        <w:t>现场收集活动：主要是针对可回收物现场收集，记录活动地点、活动时间、收集的垃圾类型；</w:t>
      </w:r>
    </w:p>
    <w:p w14:paraId="6D9B9AF4">
      <w:pPr>
        <w:spacing w:line="276" w:lineRule="auto"/>
        <w:ind w:firstLine="480"/>
        <w:rPr>
          <w:rFonts w:hint="eastAsia" w:ascii="宋体" w:hAnsi="宋体" w:eastAsia="宋体"/>
          <w:sz w:val="24"/>
          <w:szCs w:val="24"/>
        </w:rPr>
      </w:pPr>
      <w:r>
        <w:rPr>
          <w:rFonts w:hint="eastAsia" w:ascii="宋体" w:hAnsi="宋体" w:eastAsia="宋体"/>
          <w:sz w:val="24"/>
          <w:szCs w:val="24"/>
        </w:rPr>
        <w:t>预约上门收集：居民或者企业通过小程序或者</w:t>
      </w:r>
      <w:r>
        <w:rPr>
          <w:rFonts w:hint="eastAsia" w:ascii="宋体" w:hAnsi="宋体" w:eastAsia="宋体"/>
          <w:sz w:val="24"/>
          <w:szCs w:val="24"/>
          <w:lang w:val="en-US" w:eastAsia="zh-CN"/>
        </w:rPr>
        <w:t>移动端</w:t>
      </w:r>
      <w:r>
        <w:rPr>
          <w:rFonts w:ascii="宋体" w:hAnsi="宋体" w:eastAsia="宋体"/>
          <w:sz w:val="24"/>
          <w:szCs w:val="24"/>
        </w:rPr>
        <w:t>线上预约，包括地址、品类、上门收集时间等，系统根据预约信息智能生成收集路线。</w:t>
      </w:r>
    </w:p>
    <w:p w14:paraId="2346ABA0">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.收运状态管理</w:t>
      </w:r>
    </w:p>
    <w:p w14:paraId="7130029E">
      <w:pPr>
        <w:spacing w:line="276" w:lineRule="auto"/>
        <w:ind w:firstLine="480"/>
        <w:rPr>
          <w:rFonts w:hint="eastAsia" w:ascii="宋体" w:hAnsi="宋体" w:eastAsia="宋体"/>
          <w:sz w:val="24"/>
          <w:szCs w:val="24"/>
        </w:rPr>
      </w:pPr>
      <w:r>
        <w:rPr>
          <w:rFonts w:hint="eastAsia" w:ascii="宋体" w:hAnsi="宋体" w:eastAsia="宋体"/>
          <w:sz w:val="24"/>
          <w:szCs w:val="24"/>
        </w:rPr>
        <w:t>实现对各类型收运垃圾车辆定位管理，系统结合车辆在小区逗留时间和载重数据更新情况，判断其他垃圾</w:t>
      </w:r>
      <w:r>
        <w:rPr>
          <w:rFonts w:ascii="宋体" w:hAnsi="宋体" w:eastAsia="宋体"/>
          <w:sz w:val="24"/>
          <w:szCs w:val="24"/>
        </w:rPr>
        <w:t>/厨余垃圾已收、未收集的状态，并智能判断能准时完成的车辆数据，对预估可能不能及时完成收运任务的车辆进行告警。预约上门收集状态根据上门收集订单确认显示已收、未收的判断。</w:t>
      </w:r>
    </w:p>
    <w:p w14:paraId="1EC0214E">
      <w:pPr>
        <w:spacing w:line="276" w:lineRule="auto"/>
        <w:ind w:firstLine="480"/>
        <w:rPr>
          <w:rFonts w:hint="eastAsia" w:ascii="宋体" w:hAnsi="宋体" w:eastAsia="宋体"/>
          <w:sz w:val="24"/>
          <w:szCs w:val="24"/>
        </w:rPr>
      </w:pPr>
      <w:r>
        <w:rPr>
          <w:rFonts w:hint="eastAsia" w:ascii="宋体" w:hAnsi="宋体" w:eastAsia="宋体"/>
          <w:sz w:val="24"/>
          <w:szCs w:val="24"/>
        </w:rPr>
        <w:t>位置管理：通过对接车辆定位设备数据，依托</w:t>
      </w:r>
      <w:r>
        <w:rPr>
          <w:rFonts w:ascii="宋体" w:hAnsi="宋体" w:eastAsia="宋体"/>
          <w:sz w:val="24"/>
          <w:szCs w:val="24"/>
        </w:rPr>
        <w:t>GIS地图实时展示车辆在线信息以及位置状态。</w:t>
      </w:r>
    </w:p>
    <w:p w14:paraId="74FDF22D">
      <w:pPr>
        <w:spacing w:line="276" w:lineRule="auto"/>
        <w:ind w:firstLine="480"/>
        <w:rPr>
          <w:rFonts w:hint="eastAsia" w:ascii="宋体" w:hAnsi="宋体" w:eastAsia="宋体"/>
          <w:sz w:val="24"/>
          <w:szCs w:val="24"/>
        </w:rPr>
      </w:pPr>
      <w:r>
        <w:rPr>
          <w:rFonts w:hint="eastAsia" w:ascii="宋体" w:hAnsi="宋体" w:eastAsia="宋体"/>
          <w:sz w:val="24"/>
          <w:szCs w:val="24"/>
        </w:rPr>
        <w:t>任务进度管理：通过进度条方式实现收运任务各点位状态信息追踪管理，包括收集点名称、收集点状态、收集点重量、收集时间等。</w:t>
      </w:r>
    </w:p>
    <w:p w14:paraId="5ED45B61">
      <w:pPr>
        <w:spacing w:line="276" w:lineRule="auto"/>
        <w:ind w:firstLine="480"/>
        <w:rPr>
          <w:rFonts w:hint="eastAsia" w:ascii="宋体" w:hAnsi="宋体" w:eastAsia="宋体"/>
          <w:sz w:val="24"/>
          <w:szCs w:val="24"/>
        </w:rPr>
      </w:pPr>
      <w:r>
        <w:rPr>
          <w:rFonts w:hint="eastAsia" w:ascii="宋体" w:hAnsi="宋体" w:eastAsia="宋体"/>
          <w:sz w:val="24"/>
          <w:szCs w:val="24"/>
        </w:rPr>
        <w:t>轨迹管理：支持管理人员对选定车辆自定义时间的车辆运行轨迹在线查看和进行播放管理。</w:t>
      </w:r>
    </w:p>
    <w:p w14:paraId="68668FEF">
      <w:pPr>
        <w:spacing w:line="276" w:lineRule="auto"/>
        <w:ind w:firstLine="480"/>
        <w:rPr>
          <w:rFonts w:hint="eastAsia" w:ascii="宋体" w:hAnsi="宋体" w:eastAsia="宋体"/>
          <w:sz w:val="24"/>
          <w:szCs w:val="24"/>
        </w:rPr>
      </w:pPr>
      <w:r>
        <w:rPr>
          <w:rFonts w:hint="eastAsia" w:ascii="宋体" w:hAnsi="宋体" w:eastAsia="宋体"/>
          <w:sz w:val="24"/>
          <w:szCs w:val="24"/>
        </w:rPr>
        <w:t>违规管理：将车辆违规停留、超速、超时未收等违规行为形成违规记录，并在线告警。</w:t>
      </w:r>
    </w:p>
    <w:p w14:paraId="7DB996EF">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收运视频监管</w:t>
      </w:r>
    </w:p>
    <w:p w14:paraId="540037CD">
      <w:pPr>
        <w:spacing w:line="276" w:lineRule="auto"/>
        <w:ind w:firstLine="480"/>
        <w:rPr>
          <w:rFonts w:hint="eastAsia" w:ascii="宋体" w:hAnsi="宋体" w:eastAsia="宋体"/>
          <w:sz w:val="24"/>
          <w:szCs w:val="24"/>
        </w:rPr>
      </w:pPr>
      <w:r>
        <w:rPr>
          <w:rFonts w:hint="eastAsia" w:ascii="宋体" w:hAnsi="宋体" w:eastAsia="宋体"/>
          <w:sz w:val="24"/>
          <w:szCs w:val="24"/>
        </w:rPr>
        <w:t>在车辆上安装车载摄像头实现运输过程可视化监管，查看是否出现滴漏。基于视频平台实现实时查看、历史回看。</w:t>
      </w:r>
    </w:p>
    <w:p w14:paraId="0F6489B0">
      <w:pPr>
        <w:spacing w:line="276" w:lineRule="auto"/>
        <w:ind w:firstLine="480"/>
        <w:rPr>
          <w:rFonts w:hint="eastAsia" w:ascii="宋体" w:hAnsi="宋体" w:eastAsia="宋体"/>
          <w:sz w:val="24"/>
          <w:szCs w:val="24"/>
        </w:rPr>
      </w:pPr>
      <w:r>
        <w:rPr>
          <w:rFonts w:ascii="宋体" w:hAnsi="宋体" w:eastAsia="宋体"/>
          <w:sz w:val="24"/>
          <w:szCs w:val="24"/>
        </w:rPr>
        <w:t>d.收运计量管理</w:t>
      </w:r>
    </w:p>
    <w:p w14:paraId="01003CBD">
      <w:pPr>
        <w:spacing w:line="276" w:lineRule="auto"/>
        <w:ind w:firstLine="480"/>
        <w:rPr>
          <w:rFonts w:hint="eastAsia" w:ascii="宋体" w:hAnsi="宋体" w:eastAsia="宋体"/>
          <w:sz w:val="24"/>
          <w:szCs w:val="24"/>
        </w:rPr>
      </w:pPr>
      <w:r>
        <w:rPr>
          <w:rFonts w:hint="eastAsia" w:ascii="宋体" w:hAnsi="宋体" w:eastAsia="宋体"/>
          <w:sz w:val="24"/>
          <w:szCs w:val="24"/>
        </w:rPr>
        <w:t>系统采用单桶称重和数据双缓存的传输方式，保证垃圾桶称重数据独立和安全传输，实现生活垃圾收运量的动态称重，系统对实时上传数据形成称重记录，支持对称重数据进行二次分析，可输出图形、报表等不同形式、不同维度的分析数据，便于考核不同垃圾产生量及变化趋势。</w:t>
      </w:r>
    </w:p>
    <w:p w14:paraId="186400FE">
      <w:pPr>
        <w:spacing w:line="276" w:lineRule="auto"/>
        <w:ind w:firstLine="480"/>
        <w:rPr>
          <w:rFonts w:hint="eastAsia" w:ascii="宋体" w:hAnsi="宋体" w:eastAsia="宋体"/>
          <w:sz w:val="24"/>
          <w:szCs w:val="24"/>
        </w:rPr>
      </w:pPr>
      <w:r>
        <w:rPr>
          <w:rFonts w:hint="eastAsia" w:ascii="宋体" w:hAnsi="宋体" w:eastAsia="宋体"/>
          <w:sz w:val="24"/>
          <w:szCs w:val="24"/>
        </w:rPr>
        <w:t>运用便携称体实现上门进行可回收物收集时进行计量数据采集。</w:t>
      </w:r>
    </w:p>
    <w:p w14:paraId="5D93B26F">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.混收混运监管</w:t>
      </w:r>
    </w:p>
    <w:p w14:paraId="36D4990C">
      <w:pPr>
        <w:spacing w:line="276" w:lineRule="auto"/>
        <w:ind w:firstLine="480"/>
        <w:rPr>
          <w:rFonts w:hint="eastAsia" w:ascii="宋体" w:hAnsi="宋体" w:eastAsia="宋体"/>
          <w:sz w:val="24"/>
          <w:szCs w:val="24"/>
        </w:rPr>
      </w:pPr>
      <w:r>
        <w:rPr>
          <w:rFonts w:hint="eastAsia" w:ascii="宋体" w:hAnsi="宋体" w:eastAsia="宋体"/>
          <w:sz w:val="24"/>
          <w:szCs w:val="24"/>
        </w:rPr>
        <w:t>通过智能识别垃圾桶颜色研判收运车辆收集的垃圾类型。系统中预设颜色与垃圾类型、收运车辆绑定关系，车辆安装摄像头，采集现场收集时数据，现场收集时智能判断颜色，出现收运车辆与垃圾类型不匹配时，系统进行记录异常行为，调度</w:t>
      </w:r>
      <w:r>
        <w:rPr>
          <w:rFonts w:hint="eastAsia" w:ascii="宋体" w:hAnsi="宋体" w:eastAsia="宋体"/>
          <w:sz w:val="24"/>
          <w:szCs w:val="24"/>
          <w:lang w:val="en-US" w:eastAsia="zh-CN"/>
        </w:rPr>
        <w:t>移动</w:t>
      </w:r>
      <w:r>
        <w:rPr>
          <w:rFonts w:ascii="宋体" w:hAnsi="宋体" w:eastAsia="宋体"/>
          <w:sz w:val="24"/>
          <w:szCs w:val="24"/>
        </w:rPr>
        <w:t>端进行提醒，及时纠正。</w:t>
      </w:r>
    </w:p>
    <w:p w14:paraId="20BCC12E">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.转运计量管理</w:t>
      </w:r>
    </w:p>
    <w:p w14:paraId="19221479">
      <w:pPr>
        <w:spacing w:line="276" w:lineRule="auto"/>
        <w:ind w:firstLine="480"/>
        <w:rPr>
          <w:rFonts w:hint="eastAsia" w:ascii="宋体" w:hAnsi="宋体" w:eastAsia="宋体"/>
          <w:sz w:val="24"/>
          <w:szCs w:val="24"/>
        </w:rPr>
      </w:pPr>
      <w:r>
        <w:rPr>
          <w:rFonts w:hint="eastAsia" w:ascii="宋体" w:hAnsi="宋体" w:eastAsia="宋体"/>
          <w:sz w:val="24"/>
          <w:szCs w:val="24"/>
        </w:rPr>
        <w:t>垃圾转运量是中转站的吞吐能力的重要标准，建立车辆准入、准出数据库和计量数据管理系统，通过转运车辆的型号和车牌号码进行身份识别，系统绑定车辆与转运站进出权限，对车辆进出数据进行记录，包括记录车牌号、转运站名称、进站时间、出站时间、计量数据在线采集与实时传输等，系统支持对录入数据进行在线查看和统计分析，辅助管理人员对中转站运行状态和中转力量进行预判。</w:t>
      </w:r>
    </w:p>
    <w:p w14:paraId="2386A959">
      <w:pPr>
        <w:spacing w:line="276" w:lineRule="auto"/>
        <w:ind w:firstLine="480"/>
        <w:rPr>
          <w:rFonts w:hint="eastAsia" w:ascii="宋体" w:hAnsi="宋体" w:eastAsia="宋体"/>
          <w:sz w:val="24"/>
          <w:szCs w:val="24"/>
        </w:rPr>
      </w:pPr>
      <w:r>
        <w:rPr>
          <w:rFonts w:ascii="宋体" w:hAnsi="宋体" w:eastAsia="宋体"/>
          <w:sz w:val="24"/>
          <w:szCs w:val="24"/>
        </w:rPr>
        <w:t>g.转运视频监管</w:t>
      </w:r>
    </w:p>
    <w:p w14:paraId="161E7123">
      <w:pPr>
        <w:spacing w:line="276" w:lineRule="auto"/>
        <w:ind w:firstLine="480"/>
        <w:rPr>
          <w:rFonts w:hint="eastAsia" w:ascii="宋体" w:hAnsi="宋体" w:eastAsia="宋体"/>
          <w:sz w:val="24"/>
          <w:szCs w:val="24"/>
        </w:rPr>
      </w:pPr>
      <w:r>
        <w:rPr>
          <w:rFonts w:hint="eastAsia" w:ascii="宋体" w:hAnsi="宋体" w:eastAsia="宋体"/>
          <w:sz w:val="24"/>
          <w:szCs w:val="24"/>
        </w:rPr>
        <w:t>对中转站出入口、压缩间、暂存点等关键点位进行在线视频监控，基于视频平台，监管中心可任意切换监控视频，便于直观了解所有站点周边环境卫生状况及压缩作业是否规范，支持实时视频浏览和历史视频回放等功能。</w:t>
      </w:r>
    </w:p>
    <w:p w14:paraId="7CC2038B">
      <w:pPr>
        <w:pStyle w:val="14"/>
        <w:rPr>
          <w:rFonts w:hint="eastAsia"/>
          <w:bCs w:val="0"/>
        </w:rPr>
      </w:pPr>
      <w:r>
        <w:rPr>
          <w:bCs w:val="0"/>
        </w:rPr>
        <w:t>分类</w:t>
      </w:r>
      <w:r>
        <w:rPr>
          <w:rFonts w:hint="eastAsia"/>
        </w:rPr>
        <w:t>业务</w:t>
      </w:r>
      <w:r>
        <w:rPr>
          <w:bCs w:val="0"/>
        </w:rPr>
        <w:t>移动应用</w:t>
      </w:r>
    </w:p>
    <w:p w14:paraId="56CF2C16">
      <w:pPr>
        <w:spacing w:line="276" w:lineRule="auto"/>
        <w:ind w:firstLine="480"/>
        <w:rPr>
          <w:rFonts w:hint="eastAsia" w:ascii="宋体" w:hAnsi="宋体" w:eastAsia="宋体"/>
          <w:sz w:val="24"/>
          <w:szCs w:val="24"/>
        </w:rPr>
      </w:pPr>
      <w:r>
        <w:rPr>
          <w:rFonts w:hint="eastAsia" w:ascii="宋体" w:hAnsi="宋体" w:eastAsia="宋体"/>
          <w:sz w:val="24"/>
          <w:szCs w:val="24"/>
        </w:rPr>
        <w:t>移动作业端便于操作人员现场采集用户身份信息、垃圾量信息、垃圾桶身份信息等，评价用户分类质量。工作人员从手持端获取垃圾袋待捕获信息、获取垃圾收运调度信息、收取上门回收订单信息，及时进行现场处理，确保垃圾分类工作稳定运行。</w:t>
      </w:r>
    </w:p>
    <w:p w14:paraId="1205AC47">
      <w:pPr>
        <w:spacing w:line="276" w:lineRule="auto"/>
        <w:ind w:firstLine="480"/>
        <w:rPr>
          <w:rFonts w:hint="eastAsia" w:ascii="宋体" w:hAnsi="宋体" w:eastAsia="宋体"/>
          <w:sz w:val="24"/>
          <w:szCs w:val="24"/>
        </w:rPr>
      </w:pPr>
      <w:r>
        <w:rPr>
          <w:rFonts w:hint="eastAsia" w:ascii="宋体" w:hAnsi="宋体" w:eastAsia="宋体"/>
          <w:sz w:val="24"/>
          <w:szCs w:val="24"/>
        </w:rPr>
        <w:t>基于“盐政通”</w:t>
      </w:r>
      <w:r>
        <w:rPr>
          <w:rFonts w:ascii="宋体" w:hAnsi="宋体" w:eastAsia="宋体"/>
          <w:sz w:val="24"/>
          <w:szCs w:val="24"/>
        </w:rPr>
        <w:t>整体架构，市级统一建设分类小程序，面向各级分类行政管理单位、分类运营单位、督导人员等分类参与主体，作为数据管理神经末梢，实现业务数据的全面采集。</w:t>
      </w:r>
    </w:p>
    <w:p w14:paraId="297EBC80">
      <w:pPr>
        <w:spacing w:line="276" w:lineRule="auto"/>
        <w:ind w:firstLine="480"/>
        <w:rPr>
          <w:rFonts w:hint="eastAsia" w:ascii="宋体" w:hAnsi="宋体" w:eastAsia="宋体"/>
          <w:sz w:val="24"/>
          <w:szCs w:val="24"/>
        </w:rPr>
      </w:pPr>
      <w:r>
        <w:rPr>
          <w:rFonts w:ascii="宋体" w:hAnsi="宋体" w:eastAsia="宋体"/>
          <w:sz w:val="24"/>
          <w:szCs w:val="24"/>
        </w:rPr>
        <w:t>a.宣教小程序</w:t>
      </w:r>
    </w:p>
    <w:p w14:paraId="5D95CB15">
      <w:pPr>
        <w:spacing w:line="276" w:lineRule="auto"/>
        <w:ind w:firstLine="480"/>
        <w:rPr>
          <w:rFonts w:hint="eastAsia" w:ascii="宋体" w:hAnsi="宋体" w:eastAsia="宋体"/>
          <w:sz w:val="24"/>
          <w:szCs w:val="24"/>
        </w:rPr>
      </w:pPr>
      <w:r>
        <w:rPr>
          <w:rFonts w:hint="eastAsia" w:ascii="宋体" w:hAnsi="宋体" w:eastAsia="宋体"/>
          <w:sz w:val="24"/>
          <w:szCs w:val="24"/>
        </w:rPr>
        <w:t>宣教人员通过移动端应用实现日常宣教活动记录的上报，包括入户宣传数据、宣传活动现场记录、培训活动现场记录等；</w:t>
      </w:r>
    </w:p>
    <w:p w14:paraId="71BD838A">
      <w:pPr>
        <w:spacing w:line="276" w:lineRule="auto"/>
        <w:ind w:firstLine="480"/>
        <w:rPr>
          <w:rFonts w:hint="eastAsia" w:ascii="宋体" w:hAnsi="宋体" w:eastAsia="宋体"/>
          <w:sz w:val="24"/>
          <w:szCs w:val="24"/>
        </w:rPr>
      </w:pPr>
      <w:r>
        <w:rPr>
          <w:rFonts w:ascii="宋体" w:hAnsi="宋体" w:eastAsia="宋体"/>
          <w:sz w:val="24"/>
          <w:szCs w:val="24"/>
        </w:rPr>
        <w:t>b.投放小程序</w:t>
      </w:r>
    </w:p>
    <w:p w14:paraId="58A4EC24">
      <w:pPr>
        <w:spacing w:line="276" w:lineRule="auto"/>
        <w:ind w:firstLine="480"/>
        <w:rPr>
          <w:rFonts w:hint="eastAsia" w:ascii="宋体" w:hAnsi="宋体" w:eastAsia="宋体"/>
          <w:sz w:val="24"/>
          <w:szCs w:val="24"/>
        </w:rPr>
      </w:pPr>
      <w:r>
        <w:rPr>
          <w:rFonts w:hint="eastAsia" w:ascii="宋体" w:hAnsi="宋体" w:eastAsia="宋体"/>
          <w:sz w:val="24"/>
          <w:szCs w:val="24"/>
        </w:rPr>
        <w:t>督导员通过移动端应用上报投放点日常管理数据和居民投放行为数据，支持扫码</w:t>
      </w:r>
      <w:r>
        <w:rPr>
          <w:rFonts w:ascii="宋体" w:hAnsi="宋体" w:eastAsia="宋体"/>
          <w:sz w:val="24"/>
          <w:szCs w:val="24"/>
        </w:rPr>
        <w:t>/刷卡、垃圾类型选择、称重数据上报/同步功能、分类质量评价、现场环境拍照、督导员定位数据等上报管理。</w:t>
      </w:r>
    </w:p>
    <w:p w14:paraId="19C1C910">
      <w:pPr>
        <w:spacing w:line="276" w:lineRule="auto"/>
        <w:ind w:firstLine="480"/>
        <w:rPr>
          <w:rFonts w:hint="eastAsia" w:ascii="宋体" w:hAnsi="宋体" w:eastAsia="宋体"/>
          <w:sz w:val="24"/>
          <w:szCs w:val="24"/>
        </w:rPr>
      </w:pPr>
      <w:r>
        <w:rPr>
          <w:rFonts w:hint="eastAsia" w:ascii="宋体" w:hAnsi="宋体" w:eastAsia="宋体"/>
          <w:sz w:val="24"/>
          <w:szCs w:val="24"/>
        </w:rPr>
        <w:t>针对投放点垃圾桶满却没有收运人员收集的情况，前端督导人员也可通过小程序进行清运上报，上报记录会自动派发给最近的收运车辆进行收集。</w:t>
      </w:r>
    </w:p>
    <w:p w14:paraId="228E4D1E">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收运小程序</w:t>
      </w:r>
    </w:p>
    <w:p w14:paraId="3E5B19C8">
      <w:pPr>
        <w:spacing w:line="276" w:lineRule="auto"/>
        <w:ind w:firstLine="480"/>
        <w:rPr>
          <w:rFonts w:hint="eastAsia" w:ascii="宋体" w:hAnsi="宋体" w:eastAsia="宋体"/>
          <w:sz w:val="24"/>
          <w:szCs w:val="24"/>
        </w:rPr>
      </w:pPr>
      <w:r>
        <w:rPr>
          <w:rFonts w:hint="eastAsia" w:ascii="宋体" w:hAnsi="宋体" w:eastAsia="宋体"/>
          <w:sz w:val="24"/>
          <w:szCs w:val="24"/>
        </w:rPr>
        <w:t>各类型垃圾车辆配套收运人员通过移动应用获取平台派发的收运任务，实现上门收运、定时收集，支持扫码</w:t>
      </w:r>
      <w:r>
        <w:rPr>
          <w:rFonts w:ascii="宋体" w:hAnsi="宋体" w:eastAsia="宋体"/>
          <w:sz w:val="24"/>
          <w:szCs w:val="24"/>
        </w:rPr>
        <w:t>/刷卡、垃圾类型选择、称重数据上报/同步功能、收运效果反馈等实时采集上传。</w:t>
      </w:r>
    </w:p>
    <w:p w14:paraId="22905A5D">
      <w:pPr>
        <w:spacing w:line="276" w:lineRule="auto"/>
        <w:ind w:firstLine="480"/>
        <w:rPr>
          <w:rFonts w:hint="eastAsia" w:ascii="宋体" w:hAnsi="宋体" w:eastAsia="宋体"/>
          <w:sz w:val="24"/>
          <w:szCs w:val="24"/>
        </w:rPr>
      </w:pPr>
      <w:r>
        <w:rPr>
          <w:rFonts w:ascii="宋体" w:hAnsi="宋体" w:eastAsia="宋体"/>
          <w:sz w:val="24"/>
          <w:szCs w:val="24"/>
        </w:rPr>
        <w:t>d.填报小程序</w:t>
      </w:r>
    </w:p>
    <w:p w14:paraId="22355252">
      <w:pPr>
        <w:spacing w:line="276" w:lineRule="auto"/>
        <w:ind w:firstLine="480"/>
        <w:rPr>
          <w:rFonts w:hint="eastAsia" w:ascii="宋体" w:hAnsi="宋体" w:eastAsia="宋体"/>
          <w:sz w:val="24"/>
          <w:szCs w:val="24"/>
        </w:rPr>
      </w:pPr>
      <w:r>
        <w:rPr>
          <w:rFonts w:hint="eastAsia" w:ascii="宋体" w:hAnsi="宋体" w:eastAsia="宋体"/>
          <w:sz w:val="24"/>
          <w:szCs w:val="24"/>
        </w:rPr>
        <w:t>根据数据采集要求在线填报数据，便于日常数据的快速填报，包括设施设备建设进度、投放点部署情况等。</w:t>
      </w:r>
    </w:p>
    <w:p w14:paraId="31E91E0E">
      <w:pPr>
        <w:spacing w:line="276" w:lineRule="auto"/>
        <w:ind w:firstLine="480"/>
        <w:rPr>
          <w:rFonts w:hint="eastAsia" w:ascii="宋体" w:hAnsi="宋体" w:eastAsia="宋体"/>
          <w:sz w:val="24"/>
          <w:szCs w:val="24"/>
        </w:rPr>
      </w:pPr>
      <w:r>
        <w:rPr>
          <w:rFonts w:ascii="宋体" w:hAnsi="宋体" w:eastAsia="宋体"/>
          <w:sz w:val="24"/>
          <w:szCs w:val="24"/>
        </w:rPr>
        <w:t>e.管理小程序</w:t>
      </w:r>
    </w:p>
    <w:p w14:paraId="6001C37F">
      <w:pPr>
        <w:spacing w:line="276" w:lineRule="auto"/>
        <w:ind w:firstLine="480"/>
        <w:rPr>
          <w:rFonts w:hint="eastAsia" w:ascii="宋体" w:hAnsi="宋体" w:eastAsia="宋体"/>
          <w:sz w:val="24"/>
          <w:szCs w:val="24"/>
        </w:rPr>
      </w:pPr>
      <w:r>
        <w:rPr>
          <w:rFonts w:hint="eastAsia" w:ascii="宋体" w:hAnsi="宋体" w:eastAsia="宋体"/>
          <w:sz w:val="24"/>
          <w:szCs w:val="24"/>
        </w:rPr>
        <w:t>通过移动应用掌握分类重要节点数据，包括宣传任务完成季度、投放点督导员在岗情况、市级每日垃圾量、各区每日垃圾量、各类型收运车辆在线数量、各类型末端计量数据、数据填报工作完成进度、处置费征收进度等，支持管理人员在线督查。</w:t>
      </w:r>
    </w:p>
    <w:p w14:paraId="2AF3BC52">
      <w:pPr>
        <w:pStyle w:val="14"/>
        <w:rPr>
          <w:rFonts w:hint="eastAsia"/>
          <w:bCs w:val="0"/>
        </w:rPr>
      </w:pPr>
      <w:r>
        <w:rPr>
          <w:bCs w:val="0"/>
        </w:rPr>
        <w:t>分类质量考核管理系统</w:t>
      </w:r>
    </w:p>
    <w:p w14:paraId="3904B3AE">
      <w:pPr>
        <w:spacing w:line="276" w:lineRule="auto"/>
        <w:ind w:firstLine="480"/>
        <w:rPr>
          <w:rFonts w:hint="eastAsia" w:ascii="宋体" w:hAnsi="宋体" w:eastAsia="宋体"/>
          <w:sz w:val="24"/>
          <w:szCs w:val="24"/>
        </w:rPr>
      </w:pPr>
      <w:r>
        <w:rPr>
          <w:rFonts w:hint="eastAsia" w:ascii="宋体" w:hAnsi="宋体" w:eastAsia="宋体"/>
          <w:sz w:val="24"/>
          <w:szCs w:val="24"/>
        </w:rPr>
        <w:t>分类质量考核是在网格管理的基础上，对分类小区</w:t>
      </w:r>
      <w:r>
        <w:rPr>
          <w:rFonts w:ascii="宋体" w:hAnsi="宋体" w:eastAsia="宋体"/>
          <w:sz w:val="24"/>
          <w:szCs w:val="24"/>
        </w:rPr>
        <w:t>/单位垃圾分类工作进行现场稽查考核管理、分类问题整改管理和分类小区/单位综合评价管理。致力于建设一个注重长效、量化、公平公正的垃圾分类考核管理系统，推动垃圾问题整改闭环管理，加强对运营单位的监管，营造良好的市场氛围。</w:t>
      </w:r>
    </w:p>
    <w:p w14:paraId="5FBB26AC">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考核标准管理</w:t>
      </w:r>
    </w:p>
    <w:p w14:paraId="4738E19F">
      <w:pPr>
        <w:spacing w:line="276" w:lineRule="auto"/>
        <w:ind w:firstLine="480"/>
        <w:rPr>
          <w:rFonts w:hint="eastAsia" w:ascii="宋体" w:hAnsi="宋体" w:eastAsia="宋体"/>
          <w:sz w:val="24"/>
          <w:szCs w:val="24"/>
        </w:rPr>
      </w:pPr>
      <w:r>
        <w:rPr>
          <w:rFonts w:hint="eastAsia" w:ascii="宋体" w:hAnsi="宋体" w:eastAsia="宋体"/>
          <w:sz w:val="24"/>
          <w:szCs w:val="24"/>
        </w:rPr>
        <w:t>根据不同的考核对象（单位、街道小区）将垃圾分类具体考核项目、类型、细则进行电子化录入到系统，建立包含制度建设、设施管理、宣传工作、分类效果、分类收运、加分设置等扣分</w:t>
      </w:r>
      <w:r>
        <w:rPr>
          <w:rFonts w:ascii="宋体" w:hAnsi="宋体" w:eastAsia="宋体"/>
          <w:sz w:val="24"/>
          <w:szCs w:val="24"/>
        </w:rPr>
        <w:t>/加分的分类考核标准库。</w:t>
      </w:r>
    </w:p>
    <w:p w14:paraId="6657114D">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.任务清单管理</w:t>
      </w:r>
    </w:p>
    <w:p w14:paraId="7A087163">
      <w:pPr>
        <w:spacing w:line="276" w:lineRule="auto"/>
        <w:ind w:firstLine="480"/>
        <w:rPr>
          <w:rFonts w:hint="eastAsia" w:ascii="宋体" w:hAnsi="宋体" w:eastAsia="宋体"/>
          <w:sz w:val="24"/>
          <w:szCs w:val="24"/>
        </w:rPr>
      </w:pPr>
      <w:r>
        <w:rPr>
          <w:rFonts w:hint="eastAsia" w:ascii="宋体" w:hAnsi="宋体" w:eastAsia="宋体"/>
          <w:sz w:val="24"/>
          <w:szCs w:val="24"/>
        </w:rPr>
        <w:t>智能抽样管理根据抽查要求，随机抽取考核对象，并根据考核任务数量、考核覆盖率、不可重复性等条件进行约束，保障抽样结果的公平公正与全面覆盖。平台支持管理人员手动添加考核任务，管理人员系统生成的考核任务派发给各个考核人员，形成考核工单。考核工单信息包括：工单编号、考核地点、考核类别考核项目、负责人、考核任务起止时间等。系统更新任务清单派发状态，并支持工单编号、考核人、考核地点、时间、工单状态等多个维度进行筛选查看，和权限范围内的增改删查。</w:t>
      </w:r>
    </w:p>
    <w:p w14:paraId="4AA00E30">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.考核小程序</w:t>
      </w:r>
    </w:p>
    <w:p w14:paraId="52616625">
      <w:pPr>
        <w:spacing w:line="276" w:lineRule="auto"/>
        <w:ind w:firstLine="480"/>
        <w:rPr>
          <w:rFonts w:hint="eastAsia" w:ascii="宋体" w:hAnsi="宋体" w:eastAsia="宋体"/>
          <w:sz w:val="24"/>
          <w:szCs w:val="24"/>
        </w:rPr>
      </w:pPr>
      <w:r>
        <w:rPr>
          <w:rFonts w:hint="eastAsia" w:ascii="宋体" w:hAnsi="宋体" w:eastAsia="宋体"/>
          <w:sz w:val="24"/>
          <w:szCs w:val="24"/>
        </w:rPr>
        <w:t>考核小程序主要使用对象为街道垃圾分类考核人员实现考核任务查收、现场考核取证、考核打卡等。</w:t>
      </w:r>
    </w:p>
    <w:p w14:paraId="68EE817E">
      <w:pPr>
        <w:spacing w:line="276" w:lineRule="auto"/>
        <w:ind w:firstLine="480"/>
        <w:rPr>
          <w:rFonts w:hint="eastAsia" w:ascii="宋体" w:hAnsi="宋体" w:eastAsia="宋体"/>
          <w:sz w:val="24"/>
          <w:szCs w:val="24"/>
        </w:rPr>
      </w:pPr>
      <w:r>
        <w:rPr>
          <w:rFonts w:ascii="宋体" w:hAnsi="宋体" w:eastAsia="宋体"/>
          <w:sz w:val="24"/>
          <w:szCs w:val="24"/>
        </w:rPr>
        <w:t>(a)任务查看</w:t>
      </w:r>
    </w:p>
    <w:p w14:paraId="69F15C91">
      <w:pPr>
        <w:spacing w:line="276" w:lineRule="auto"/>
        <w:ind w:firstLine="480"/>
        <w:rPr>
          <w:rFonts w:hint="eastAsia" w:ascii="宋体" w:hAnsi="宋体" w:eastAsia="宋体"/>
          <w:sz w:val="24"/>
          <w:szCs w:val="24"/>
        </w:rPr>
      </w:pPr>
      <w:r>
        <w:rPr>
          <w:rFonts w:hint="eastAsia" w:ascii="宋体" w:hAnsi="宋体" w:eastAsia="宋体"/>
          <w:sz w:val="24"/>
          <w:szCs w:val="24"/>
        </w:rPr>
        <w:t>考核人员接收考核任务提醒，查看考核任务的具体信息，包括：考核任务单号、考核对象、考核类别、考核起止时间等。考核任务状态根据实际考核的待考核、已完成、已逾期等进程实时更新。并支持按照处理进度进行筛选查看。</w:t>
      </w:r>
    </w:p>
    <w:p w14:paraId="2FF1BD6B">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b)定位打卡</w:t>
      </w:r>
    </w:p>
    <w:p w14:paraId="652CDD85">
      <w:pPr>
        <w:spacing w:line="276" w:lineRule="auto"/>
        <w:ind w:firstLine="480"/>
        <w:rPr>
          <w:rFonts w:hint="eastAsia" w:ascii="宋体" w:hAnsi="宋体" w:eastAsia="宋体"/>
          <w:sz w:val="24"/>
          <w:szCs w:val="24"/>
        </w:rPr>
      </w:pPr>
      <w:r>
        <w:rPr>
          <w:rFonts w:hint="eastAsia" w:ascii="宋体" w:hAnsi="宋体" w:eastAsia="宋体"/>
          <w:sz w:val="24"/>
          <w:szCs w:val="24"/>
        </w:rPr>
        <w:t>考核人员到达考核对象范围内打卡更新位置信息，后台智能判断考核人员位置是否匹配，只在规定范围内支持考核信息上报。</w:t>
      </w:r>
    </w:p>
    <w:p w14:paraId="2B4A6672">
      <w:pPr>
        <w:spacing w:line="276" w:lineRule="auto"/>
        <w:ind w:firstLine="480"/>
        <w:rPr>
          <w:rFonts w:hint="eastAsia" w:ascii="宋体" w:hAnsi="宋体" w:eastAsia="宋体"/>
          <w:sz w:val="24"/>
          <w:szCs w:val="24"/>
        </w:rPr>
      </w:pPr>
      <w:r>
        <w:rPr>
          <w:rFonts w:ascii="宋体" w:hAnsi="宋体" w:eastAsia="宋体"/>
          <w:sz w:val="24"/>
          <w:szCs w:val="24"/>
        </w:rPr>
        <w:t>(c)现场考核</w:t>
      </w:r>
    </w:p>
    <w:p w14:paraId="0C7E831A">
      <w:pPr>
        <w:spacing w:line="276" w:lineRule="auto"/>
        <w:ind w:firstLine="480"/>
        <w:rPr>
          <w:rFonts w:hint="eastAsia" w:ascii="宋体" w:hAnsi="宋体" w:eastAsia="宋体"/>
          <w:sz w:val="24"/>
          <w:szCs w:val="24"/>
        </w:rPr>
      </w:pPr>
      <w:r>
        <w:rPr>
          <w:rFonts w:hint="eastAsia" w:ascii="宋体" w:hAnsi="宋体" w:eastAsia="宋体"/>
          <w:sz w:val="24"/>
          <w:szCs w:val="24"/>
        </w:rPr>
        <w:t>考核人员根据考核现场实际情况，进行考核取证扣分，实现现场考核数据的上传，包括文本、图片、视频等形式，系统通过添加时间、位置水印，防止照片信息造假，移动考核数据管理中生成新记录。</w:t>
      </w:r>
    </w:p>
    <w:p w14:paraId="4B525566">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标准查看</w:t>
      </w:r>
    </w:p>
    <w:p w14:paraId="50962191">
      <w:pPr>
        <w:spacing w:line="276" w:lineRule="auto"/>
        <w:ind w:firstLine="480"/>
        <w:rPr>
          <w:rFonts w:hint="eastAsia" w:ascii="宋体" w:hAnsi="宋体" w:eastAsia="宋体"/>
          <w:sz w:val="24"/>
          <w:szCs w:val="24"/>
        </w:rPr>
      </w:pPr>
      <w:r>
        <w:rPr>
          <w:rFonts w:hint="eastAsia" w:ascii="宋体" w:hAnsi="宋体" w:eastAsia="宋体"/>
          <w:sz w:val="24"/>
          <w:szCs w:val="24"/>
        </w:rPr>
        <w:t>考核人员在对考核对象评分时，可以根据考核项目选择扣分标准，具体扣分分值支持考核人员根据实际情况手动调整。</w:t>
      </w:r>
    </w:p>
    <w:p w14:paraId="08826634">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考核记录</w:t>
      </w:r>
    </w:p>
    <w:p w14:paraId="136DF120">
      <w:pPr>
        <w:spacing w:line="276" w:lineRule="auto"/>
        <w:ind w:firstLine="480"/>
        <w:rPr>
          <w:rFonts w:hint="eastAsia" w:ascii="宋体" w:hAnsi="宋体" w:eastAsia="宋体"/>
          <w:sz w:val="24"/>
          <w:szCs w:val="24"/>
        </w:rPr>
      </w:pPr>
      <w:r>
        <w:rPr>
          <w:rFonts w:hint="eastAsia" w:ascii="宋体" w:hAnsi="宋体" w:eastAsia="宋体"/>
          <w:sz w:val="24"/>
          <w:szCs w:val="24"/>
        </w:rPr>
        <w:t>在考核人员小程序中对考核记录进行管理，包括考核编号、考核内容、对应规则、扣分情况、现场情况、考核位置信息，实时更新考核状态信息，包括已提交、暂存、已审批、未通过等，支持考核人员通过时间、状态等维度进行筛选查看。</w:t>
      </w:r>
    </w:p>
    <w:p w14:paraId="3B4CAF3B">
      <w:pPr>
        <w:spacing w:line="276" w:lineRule="auto"/>
        <w:ind w:firstLine="480"/>
        <w:rPr>
          <w:rFonts w:hint="eastAsia" w:ascii="宋体" w:hAnsi="宋体" w:eastAsia="宋体"/>
          <w:sz w:val="24"/>
          <w:szCs w:val="24"/>
        </w:rPr>
      </w:pPr>
      <w:r>
        <w:rPr>
          <w:rFonts w:ascii="宋体" w:hAnsi="宋体" w:eastAsia="宋体"/>
          <w:sz w:val="24"/>
          <w:szCs w:val="24"/>
        </w:rPr>
        <w:t>d.考核工单管理</w:t>
      </w:r>
    </w:p>
    <w:p w14:paraId="161545B2">
      <w:pPr>
        <w:spacing w:line="276" w:lineRule="auto"/>
        <w:ind w:firstLine="480"/>
        <w:rPr>
          <w:rFonts w:hint="eastAsia" w:ascii="宋体" w:hAnsi="宋体" w:eastAsia="宋体"/>
          <w:sz w:val="24"/>
          <w:szCs w:val="24"/>
        </w:rPr>
      </w:pPr>
      <w:r>
        <w:rPr>
          <w:rFonts w:hint="eastAsia" w:ascii="宋体" w:hAnsi="宋体" w:eastAsia="宋体"/>
          <w:sz w:val="24"/>
          <w:szCs w:val="24"/>
        </w:rPr>
        <w:t>平台实时接收考核人员上传考核记录，并更新考核工单的实际状态（已审批、未审批、未通过），对于接近工单截至期限未完成的考核任务，系统进行及时提醒。管理人员对上传考核记录详情查看，并支持多维度的筛选统计。</w:t>
      </w:r>
    </w:p>
    <w:p w14:paraId="20F0C589">
      <w:pPr>
        <w:spacing w:line="276" w:lineRule="auto"/>
        <w:ind w:firstLine="480"/>
        <w:rPr>
          <w:rFonts w:hint="eastAsia" w:ascii="宋体" w:hAnsi="宋体" w:eastAsia="宋体"/>
          <w:sz w:val="24"/>
          <w:szCs w:val="24"/>
        </w:rPr>
      </w:pPr>
      <w:r>
        <w:rPr>
          <w:rFonts w:hint="eastAsia" w:ascii="宋体" w:hAnsi="宋体" w:eastAsia="宋体"/>
          <w:sz w:val="24"/>
          <w:szCs w:val="24"/>
        </w:rPr>
        <w:t>考核数据除现场考核数据，同时支持调看系统日常管理数据（宣传记录数据、督导员上报数据等），进行分类主体与运营单位全面考核。</w:t>
      </w:r>
    </w:p>
    <w:p w14:paraId="548F8DFE">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.问题整改小程序</w:t>
      </w:r>
    </w:p>
    <w:p w14:paraId="190DA44F">
      <w:pPr>
        <w:spacing w:line="276" w:lineRule="auto"/>
        <w:ind w:firstLine="480"/>
        <w:rPr>
          <w:rFonts w:hint="eastAsia" w:ascii="宋体" w:hAnsi="宋体" w:eastAsia="宋体"/>
          <w:sz w:val="24"/>
          <w:szCs w:val="24"/>
        </w:rPr>
      </w:pPr>
      <w:r>
        <w:rPr>
          <w:rFonts w:hint="eastAsia" w:ascii="宋体" w:hAnsi="宋体" w:eastAsia="宋体"/>
          <w:sz w:val="24"/>
          <w:szCs w:val="24"/>
        </w:rPr>
        <w:t>问题整改小程序主要用户为机关单位负责人、街道负责人，用于整改任务查询与反馈。</w:t>
      </w:r>
    </w:p>
    <w:p w14:paraId="261FDE61">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整改任务查看</w:t>
      </w:r>
    </w:p>
    <w:p w14:paraId="4813511E">
      <w:pPr>
        <w:spacing w:line="276" w:lineRule="auto"/>
        <w:ind w:firstLine="480"/>
        <w:rPr>
          <w:rFonts w:hint="eastAsia" w:ascii="宋体" w:hAnsi="宋体" w:eastAsia="宋体"/>
          <w:sz w:val="24"/>
          <w:szCs w:val="24"/>
        </w:rPr>
      </w:pPr>
      <w:r>
        <w:rPr>
          <w:rFonts w:hint="eastAsia" w:ascii="宋体" w:hAnsi="宋体" w:eastAsia="宋体"/>
          <w:sz w:val="24"/>
          <w:szCs w:val="24"/>
        </w:rPr>
        <w:t>街道考核对象接收整改问题，形成整改任务列表，可点击查看整改任务详细信息。整改任务状态按照实际处理情况进行标记展示，支持按照时间、状态等维度筛选查看。</w:t>
      </w:r>
    </w:p>
    <w:p w14:paraId="1CB65A70">
      <w:pPr>
        <w:spacing w:line="276" w:lineRule="auto"/>
        <w:ind w:firstLine="480"/>
        <w:rPr>
          <w:rFonts w:hint="eastAsia" w:ascii="宋体" w:hAnsi="宋体" w:eastAsia="宋体"/>
          <w:sz w:val="24"/>
          <w:szCs w:val="24"/>
        </w:rPr>
      </w:pPr>
      <w:r>
        <w:rPr>
          <w:rFonts w:ascii="宋体" w:hAnsi="宋体" w:eastAsia="宋体"/>
          <w:sz w:val="24"/>
          <w:szCs w:val="24"/>
        </w:rPr>
        <w:t>(b)整改结果反馈</w:t>
      </w:r>
    </w:p>
    <w:p w14:paraId="1B61EE92">
      <w:pPr>
        <w:spacing w:line="276" w:lineRule="auto"/>
        <w:ind w:firstLine="480"/>
        <w:rPr>
          <w:rFonts w:hint="eastAsia" w:ascii="宋体" w:hAnsi="宋体" w:eastAsia="宋体"/>
          <w:sz w:val="24"/>
          <w:szCs w:val="24"/>
        </w:rPr>
      </w:pPr>
      <w:r>
        <w:rPr>
          <w:rFonts w:hint="eastAsia" w:ascii="宋体" w:hAnsi="宋体" w:eastAsia="宋体"/>
          <w:sz w:val="24"/>
          <w:szCs w:val="24"/>
        </w:rPr>
        <w:t>街道负责人在时限内将整改结果进行反馈到管理平台，整改结果信息包括处理人员、对应的问题详情、整改后的现场情况等，整改结果上传支持图片、文本、视频等多种形式，图片在平台自动生成标记时间和地点的水印，以免图片造假，监控中心管理人员进行整改结果确认。</w:t>
      </w:r>
    </w:p>
    <w:p w14:paraId="060514C2">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整改记录管理</w:t>
      </w:r>
    </w:p>
    <w:p w14:paraId="553369A8">
      <w:pPr>
        <w:spacing w:line="276" w:lineRule="auto"/>
        <w:ind w:firstLine="480"/>
        <w:rPr>
          <w:rFonts w:hint="eastAsia" w:ascii="宋体" w:hAnsi="宋体" w:eastAsia="宋体"/>
          <w:sz w:val="24"/>
          <w:szCs w:val="24"/>
        </w:rPr>
      </w:pPr>
      <w:r>
        <w:rPr>
          <w:rFonts w:hint="eastAsia" w:ascii="宋体" w:hAnsi="宋体" w:eastAsia="宋体"/>
          <w:sz w:val="24"/>
          <w:szCs w:val="24"/>
        </w:rPr>
        <w:t>整改信息上传在小程序实时更新审批状态，并保留形成单位、街道服务整改记录，支持从时间、状态、负责人等多个维度进行筛选查看。</w:t>
      </w:r>
    </w:p>
    <w:p w14:paraId="366FE37B">
      <w:pPr>
        <w:spacing w:line="276" w:lineRule="auto"/>
        <w:ind w:firstLine="480"/>
        <w:rPr>
          <w:rFonts w:hint="eastAsia" w:ascii="宋体" w:hAnsi="宋体" w:eastAsia="宋体"/>
          <w:sz w:val="24"/>
          <w:szCs w:val="24"/>
        </w:rPr>
      </w:pPr>
      <w:r>
        <w:rPr>
          <w:rFonts w:ascii="宋体" w:hAnsi="宋体" w:eastAsia="宋体"/>
          <w:sz w:val="24"/>
          <w:szCs w:val="24"/>
        </w:rPr>
        <w:t>(d)考核规则查看</w:t>
      </w:r>
    </w:p>
    <w:p w14:paraId="0E8E5687">
      <w:pPr>
        <w:spacing w:line="276" w:lineRule="auto"/>
        <w:ind w:firstLine="480"/>
        <w:rPr>
          <w:rFonts w:hint="eastAsia" w:ascii="宋体" w:hAnsi="宋体" w:eastAsia="宋体"/>
          <w:sz w:val="24"/>
          <w:szCs w:val="24"/>
        </w:rPr>
      </w:pPr>
      <w:r>
        <w:rPr>
          <w:rFonts w:hint="eastAsia" w:ascii="宋体" w:hAnsi="宋体" w:eastAsia="宋体"/>
          <w:sz w:val="24"/>
          <w:szCs w:val="24"/>
        </w:rPr>
        <w:t>垃圾分类社区考核扣分规则按照考核具体考核项目、类型、细则进行电子化同步到整改人员小程序，便于整改人员迅速将问题和标准进行匹配，更好地提升服务质量和评分。</w:t>
      </w:r>
    </w:p>
    <w:p w14:paraId="7D7AE1D8">
      <w:pPr>
        <w:spacing w:line="276" w:lineRule="auto"/>
        <w:ind w:firstLine="480"/>
        <w:rPr>
          <w:rFonts w:hint="eastAsia" w:ascii="宋体" w:hAnsi="宋体" w:eastAsia="宋体"/>
          <w:sz w:val="24"/>
          <w:szCs w:val="24"/>
        </w:rPr>
      </w:pPr>
      <w:r>
        <w:rPr>
          <w:rFonts w:ascii="宋体" w:hAnsi="宋体" w:eastAsia="宋体"/>
          <w:sz w:val="24"/>
          <w:szCs w:val="24"/>
        </w:rPr>
        <w:t>f.问题整改管理</w:t>
      </w:r>
    </w:p>
    <w:p w14:paraId="6124C274">
      <w:pPr>
        <w:spacing w:line="276" w:lineRule="auto"/>
        <w:ind w:firstLine="480"/>
        <w:rPr>
          <w:rFonts w:hint="eastAsia" w:ascii="宋体" w:hAnsi="宋体" w:eastAsia="宋体"/>
          <w:sz w:val="24"/>
          <w:szCs w:val="24"/>
        </w:rPr>
      </w:pPr>
      <w:r>
        <w:rPr>
          <w:rFonts w:hint="eastAsia" w:ascii="宋体" w:hAnsi="宋体" w:eastAsia="宋体"/>
          <w:sz w:val="24"/>
          <w:szCs w:val="24"/>
        </w:rPr>
        <w:t>管理人员审核通过考核记录，将需要整改的问题生成整改工单，按照整改内容下发给相应的社区、物业等负责人。整改工单的具体信息包括：整改项目、时限、负责人等。</w:t>
      </w:r>
    </w:p>
    <w:p w14:paraId="131582B8">
      <w:pPr>
        <w:spacing w:line="276" w:lineRule="auto"/>
        <w:ind w:firstLine="480"/>
        <w:rPr>
          <w:rFonts w:hint="eastAsia" w:ascii="宋体" w:hAnsi="宋体" w:eastAsia="宋体"/>
          <w:sz w:val="24"/>
          <w:szCs w:val="24"/>
        </w:rPr>
      </w:pPr>
      <w:r>
        <w:rPr>
          <w:rFonts w:hint="eastAsia" w:ascii="宋体" w:hAnsi="宋体" w:eastAsia="宋体"/>
          <w:sz w:val="24"/>
          <w:szCs w:val="24"/>
        </w:rPr>
        <w:t>管理人员可以同步查看整改反馈记录并进行确认，包括处理人员、对应的问题详情、整改后的现场情况，监控中心管理人员进行整改结果确认。系统实时追踪分类工单的状态，包括待审核、已通过、未通过等，对于接近整改日期和逾期未提交整改反馈的社区和物业进行提醒。</w:t>
      </w:r>
    </w:p>
    <w:p w14:paraId="2AE47967">
      <w:pPr>
        <w:spacing w:line="276" w:lineRule="auto"/>
        <w:ind w:firstLine="480"/>
        <w:rPr>
          <w:rFonts w:hint="eastAsia" w:ascii="宋体" w:hAnsi="宋体" w:eastAsia="宋体"/>
          <w:sz w:val="24"/>
          <w:szCs w:val="24"/>
        </w:rPr>
      </w:pPr>
      <w:r>
        <w:rPr>
          <w:rFonts w:hint="eastAsia" w:ascii="宋体" w:hAnsi="宋体" w:eastAsia="宋体"/>
          <w:sz w:val="24"/>
          <w:szCs w:val="24"/>
        </w:rPr>
        <w:t>可以从整改项目、类别、负责人、地点、时间等多个维度进行筛选查看，并支持权限范围内对整改工单的增改删查。</w:t>
      </w:r>
    </w:p>
    <w:p w14:paraId="544816F2">
      <w:pPr>
        <w:spacing w:line="276" w:lineRule="auto"/>
        <w:ind w:firstLine="480"/>
        <w:rPr>
          <w:rFonts w:hint="eastAsia" w:ascii="宋体" w:hAnsi="宋体" w:eastAsia="宋体"/>
          <w:sz w:val="24"/>
          <w:szCs w:val="24"/>
        </w:rPr>
      </w:pPr>
      <w:r>
        <w:rPr>
          <w:rFonts w:hint="eastAsia" w:ascii="宋体" w:hAnsi="宋体" w:eastAsia="宋体"/>
          <w:sz w:val="24"/>
          <w:szCs w:val="24"/>
        </w:rPr>
        <w:t>g</w:t>
      </w:r>
      <w:r>
        <w:rPr>
          <w:rFonts w:ascii="宋体" w:hAnsi="宋体" w:eastAsia="宋体"/>
          <w:sz w:val="24"/>
          <w:szCs w:val="24"/>
        </w:rPr>
        <w:t>.考核结果统计</w:t>
      </w:r>
    </w:p>
    <w:p w14:paraId="20FDF82D">
      <w:pPr>
        <w:spacing w:line="276" w:lineRule="auto"/>
        <w:ind w:firstLine="480"/>
        <w:rPr>
          <w:rFonts w:hint="eastAsia" w:ascii="宋体" w:hAnsi="宋体" w:eastAsia="宋体"/>
          <w:sz w:val="24"/>
          <w:szCs w:val="24"/>
        </w:rPr>
      </w:pPr>
      <w:r>
        <w:rPr>
          <w:rFonts w:hint="eastAsia" w:ascii="宋体" w:hAnsi="宋体" w:eastAsia="宋体"/>
          <w:sz w:val="24"/>
          <w:szCs w:val="24"/>
        </w:rPr>
        <w:t>将街道考核人员现场采集的巡查数据、分类管理工作业务数据中心采集的指标数据、执法数据等，进行有效的收集、存储、处理和应用，并根据垃圾分类考核办法结合实际考核需求，实现垃圾分类主体多维度的综合考核评价结果，包括现场考核中对项目建设、垃圾分类投放点位设置、垃圾分类效果、投放正确率、宣传引导、收集运输规范等考核分值统计。</w:t>
      </w:r>
    </w:p>
    <w:p w14:paraId="0A7408B8">
      <w:pPr>
        <w:spacing w:line="276" w:lineRule="auto"/>
        <w:ind w:firstLine="480"/>
        <w:rPr>
          <w:rFonts w:hint="eastAsia" w:ascii="宋体" w:hAnsi="宋体" w:eastAsia="宋体"/>
          <w:sz w:val="24"/>
          <w:szCs w:val="24"/>
        </w:rPr>
      </w:pPr>
      <w:r>
        <w:rPr>
          <w:rFonts w:ascii="宋体" w:hAnsi="宋体" w:eastAsia="宋体"/>
          <w:sz w:val="24"/>
          <w:szCs w:val="24"/>
        </w:rPr>
        <w:t>垃圾分类街道考核统计：根据考核数据生成街道月/年度成绩，并可以按照具体街道、月份、年度进行筛选查看，街道排名、考核成绩变动用可视化图表进行展示。</w:t>
      </w:r>
    </w:p>
    <w:p w14:paraId="027EC493">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单位考核统计：根据考核数据生成机关单位月/年度成绩，并可以按照具体单位、月份、年度进行筛选查看，街道排名、考核成绩变动用可视化图表进行展示</w:t>
      </w:r>
    </w:p>
    <w:p w14:paraId="33AEE397">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考核项目统计分析：根据考核项目维度进行统计分析，进行扣分项目排名，查看哪些是问题较为突出；哪些项目较为稳定发展。</w:t>
      </w:r>
    </w:p>
    <w:p w14:paraId="074274C7">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垃圾分类“四色榜单”：将考核成绩分为四段，成绩由高到低分别用“绿、蓝、灰、红”四个颜色对应，直观展示分类成绩。</w:t>
      </w:r>
    </w:p>
    <w:p w14:paraId="7AF9B343">
      <w:pPr>
        <w:pStyle w:val="14"/>
        <w:rPr>
          <w:rFonts w:hint="eastAsia"/>
          <w:bCs w:val="0"/>
        </w:rPr>
      </w:pPr>
      <w:r>
        <w:rPr>
          <w:bCs w:val="0"/>
        </w:rPr>
        <w:t>分类直连直报系统</w:t>
      </w:r>
    </w:p>
    <w:p w14:paraId="32E16F57">
      <w:pPr>
        <w:spacing w:line="276" w:lineRule="auto"/>
        <w:ind w:firstLine="480"/>
        <w:rPr>
          <w:rFonts w:hint="eastAsia" w:ascii="宋体" w:hAnsi="宋体" w:eastAsia="宋体"/>
          <w:sz w:val="24"/>
          <w:szCs w:val="24"/>
        </w:rPr>
      </w:pPr>
      <w:r>
        <w:rPr>
          <w:rFonts w:hint="eastAsia" w:ascii="宋体" w:hAnsi="宋体" w:eastAsia="宋体"/>
          <w:sz w:val="24"/>
          <w:szCs w:val="24"/>
        </w:rPr>
        <w:t>直连直报系统是区管理单位用于全面采集辖区分类数据，实现下级管理单位日常管理数据的集中采集，并支持直连市级管理平台。根据市区两级要求制定规范的数据填报内容、格式和上报流程，实现对各街道、单位垃圾分类数据的统一归口，统一考核。本模块通过权限管理，开放功能和数据权限给街道管理单位进行数据填报。</w:t>
      </w:r>
    </w:p>
    <w:p w14:paraId="7861D4DD">
      <w:pPr>
        <w:spacing w:line="276" w:lineRule="auto"/>
        <w:ind w:firstLine="480"/>
        <w:rPr>
          <w:rFonts w:hint="eastAsia" w:ascii="宋体" w:hAnsi="宋体" w:eastAsia="宋体"/>
          <w:sz w:val="24"/>
          <w:szCs w:val="24"/>
        </w:rPr>
      </w:pPr>
      <w:r>
        <w:rPr>
          <w:rFonts w:hint="eastAsia" w:ascii="宋体" w:hAnsi="宋体" w:eastAsia="宋体"/>
          <w:sz w:val="24"/>
          <w:szCs w:val="24"/>
        </w:rPr>
        <w:t>系统支持各街道和单位上报垃圾分类相关业务、管理数据，支持下级填报，上级审核或驳回。实际管理部门对上报的数据报表进行及时审核，层层审批，强化监管、督促下级单位有效落实垃圾分类相关政策。</w:t>
      </w:r>
    </w:p>
    <w:p w14:paraId="6A8FE954">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填报内容设置</w:t>
      </w:r>
    </w:p>
    <w:p w14:paraId="37C2FD1B">
      <w:pPr>
        <w:spacing w:line="276" w:lineRule="auto"/>
        <w:ind w:firstLine="480"/>
        <w:rPr>
          <w:rFonts w:hint="eastAsia" w:ascii="宋体" w:hAnsi="宋体" w:eastAsia="宋体"/>
          <w:sz w:val="24"/>
          <w:szCs w:val="24"/>
        </w:rPr>
      </w:pPr>
      <w:r>
        <w:rPr>
          <w:rFonts w:hint="eastAsia" w:ascii="宋体" w:hAnsi="宋体" w:eastAsia="宋体"/>
          <w:sz w:val="24"/>
          <w:szCs w:val="24"/>
        </w:rPr>
        <w:t>生活垃圾分类填报的内容紧紧围绕着分类工作的推进情况、垃圾分类处置流程和减量化、资源化、无害化的“三化”原则而展开。填报内容包括：组织机制、分类设施覆盖统计、垃圾分类市场化推进情况、城乡生活垃圾分类运输车辆配置情况、城乡生活垃圾分类收集运输与处置情况、可回收物利用情况、有毒有害垃圾收集处理情况、城乡生活垃圾源头减量情况、农村生活垃圾分类推进情况、生活垃圾分类宣传引导情况、强制分类城市生活垃圾分类工作进展情况等。</w:t>
      </w:r>
    </w:p>
    <w:p w14:paraId="58876026">
      <w:pPr>
        <w:spacing w:line="276" w:lineRule="auto"/>
        <w:ind w:firstLine="480"/>
        <w:rPr>
          <w:rFonts w:hint="eastAsia" w:ascii="宋体" w:hAnsi="宋体" w:eastAsia="宋体"/>
          <w:sz w:val="24"/>
          <w:szCs w:val="24"/>
        </w:rPr>
      </w:pPr>
      <w:r>
        <w:rPr>
          <w:rFonts w:ascii="宋体" w:hAnsi="宋体" w:eastAsia="宋体"/>
          <w:sz w:val="24"/>
          <w:szCs w:val="24"/>
        </w:rPr>
        <w:t>各级管理单位进行组织机制填报，上报分类专班组织进度与人员组成、分类实施方案制定进展等；</w:t>
      </w:r>
    </w:p>
    <w:p w14:paraId="10E82C31">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生活垃圾分类投放设施覆盖情况：对管辖范围各地区的面积和街道行政区划基础信息录入，将各行政单位的垃圾总覆盖率、分类小区、单位、分类设施投放情况总体和已覆盖数据进行展示。</w:t>
      </w:r>
    </w:p>
    <w:p w14:paraId="1D933D24">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生活垃圾分类市场化推进情况：对管辖范围内城市、农村生活垃圾分类处理市场进入企业数量、覆盖数量和资金投入数据以及各区县企业总体数量和总资金投入进行填报。</w:t>
      </w:r>
    </w:p>
    <w:p w14:paraId="54AC0E96">
      <w:pPr>
        <w:spacing w:line="276" w:lineRule="auto"/>
        <w:ind w:firstLine="480"/>
        <w:rPr>
          <w:rFonts w:hint="eastAsia" w:ascii="宋体" w:hAnsi="宋体" w:eastAsia="宋体"/>
          <w:sz w:val="24"/>
          <w:szCs w:val="24"/>
        </w:rPr>
      </w:pPr>
      <w:r>
        <w:rPr>
          <w:rFonts w:ascii="宋体" w:hAnsi="宋体" w:eastAsia="宋体"/>
          <w:sz w:val="24"/>
          <w:szCs w:val="24"/>
        </w:rPr>
        <w:t>城乡生活垃圾分类运输车辆配置情况：对辖区内城乡居民生活垃圾、餐厨废弃物、建筑垃圾、园林绿化有机易腐垃圾等运输车辆的数量和规模进行填报。</w:t>
      </w:r>
    </w:p>
    <w:p w14:paraId="163F6EDD">
      <w:pPr>
        <w:spacing w:line="276" w:lineRule="auto"/>
        <w:ind w:firstLine="480"/>
        <w:rPr>
          <w:rFonts w:hint="eastAsia" w:ascii="宋体" w:hAnsi="宋体" w:eastAsia="宋体"/>
          <w:sz w:val="24"/>
          <w:szCs w:val="24"/>
        </w:rPr>
      </w:pPr>
      <w:r>
        <w:rPr>
          <w:rFonts w:ascii="宋体" w:hAnsi="宋体" w:eastAsia="宋体"/>
          <w:sz w:val="24"/>
          <w:szCs w:val="24"/>
        </w:rPr>
        <w:t>城乡生活垃圾分类收集运输和处置情况：对辖区内居民生活垃圾、餐厨废弃物、建筑垃圾、园林绿化有机易腐垃圾等收运和处置数据进行填报。其中居民生活垃圾按照可回收物、其他垃圾、有害垃圾、易腐垃圾等进行分类填报。</w:t>
      </w:r>
    </w:p>
    <w:p w14:paraId="334A2EE2">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可回收物回收利用情况：包括辖区内对废纸、塑料、金属、玻璃、快递废包装、针织物、废旧电子产品等各类可回收物的回收利用数据。</w:t>
      </w:r>
    </w:p>
    <w:p w14:paraId="3FE919D1">
      <w:pPr>
        <w:spacing w:line="276" w:lineRule="auto"/>
        <w:ind w:firstLine="480"/>
        <w:rPr>
          <w:rFonts w:hint="eastAsia" w:ascii="宋体" w:hAnsi="宋体" w:eastAsia="宋体"/>
          <w:sz w:val="24"/>
          <w:szCs w:val="24"/>
        </w:rPr>
      </w:pPr>
      <w:r>
        <w:rPr>
          <w:rFonts w:ascii="宋体" w:hAnsi="宋体" w:eastAsia="宋体"/>
          <w:sz w:val="24"/>
          <w:szCs w:val="24"/>
        </w:rPr>
        <w:t>有害（有毒）垃圾收集处理情况：包括辖区内生活垃圾中的废电池、废荧光灯、医废、废油漆、杀虫剂等各类有毒有害垃圾的收集数据和总体情况。</w:t>
      </w:r>
    </w:p>
    <w:p w14:paraId="6E23E003">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城乡生活垃圾源头减量情况：对辖区内“限塑令”、“净菜上市”、“限制一次性用品”等源头减量政策落地信息进行填报。</w:t>
      </w:r>
    </w:p>
    <w:p w14:paraId="3417B9CC">
      <w:pPr>
        <w:spacing w:line="276" w:lineRule="auto"/>
        <w:ind w:firstLine="480"/>
        <w:rPr>
          <w:rFonts w:hint="eastAsia" w:ascii="宋体" w:hAnsi="宋体" w:eastAsia="宋体"/>
          <w:sz w:val="24"/>
          <w:szCs w:val="24"/>
        </w:rPr>
      </w:pPr>
      <w:r>
        <w:rPr>
          <w:rFonts w:ascii="宋体" w:hAnsi="宋体" w:eastAsia="宋体"/>
          <w:sz w:val="24"/>
          <w:szCs w:val="24"/>
        </w:rPr>
        <w:t>农村生活垃圾分类推进情况：对辖区乡镇（街道）、村覆盖数据和分类投放设施个数、运输车辆数量、废旧物资回收站点数量、易腐垃圾处理数量与规模、各类垃圾产生量等、资金投入和保洁人员投入数据进行填报。</w:t>
      </w:r>
    </w:p>
    <w:p w14:paraId="7F313BB1">
      <w:pPr>
        <w:spacing w:line="276" w:lineRule="auto"/>
        <w:ind w:firstLine="480"/>
        <w:rPr>
          <w:rFonts w:hint="eastAsia" w:ascii="宋体" w:hAnsi="宋体" w:eastAsia="宋体"/>
          <w:sz w:val="24"/>
          <w:szCs w:val="24"/>
        </w:rPr>
      </w:pPr>
      <w:r>
        <w:rPr>
          <w:rFonts w:ascii="宋体" w:hAnsi="宋体" w:eastAsia="宋体"/>
          <w:sz w:val="24"/>
          <w:szCs w:val="24"/>
        </w:rPr>
        <w:t>生活垃圾分类宣传引导情况：包括辖区内组织培训次数、投入人数、宣传手册发放册数、活动开展次数、小区学校宣教次数、新闻宣传、志愿者参与人数等数据。</w:t>
      </w:r>
    </w:p>
    <w:p w14:paraId="75550F37">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.填报流程管理</w:t>
      </w:r>
    </w:p>
    <w:p w14:paraId="3BE4F203">
      <w:pPr>
        <w:spacing w:line="276" w:lineRule="auto"/>
        <w:ind w:firstLine="480"/>
        <w:rPr>
          <w:rFonts w:hint="eastAsia" w:ascii="宋体" w:hAnsi="宋体" w:eastAsia="宋体"/>
          <w:sz w:val="24"/>
          <w:szCs w:val="24"/>
        </w:rPr>
      </w:pPr>
      <w:r>
        <w:rPr>
          <w:rFonts w:hint="eastAsia" w:ascii="宋体" w:hAnsi="宋体" w:eastAsia="宋体"/>
          <w:sz w:val="24"/>
          <w:szCs w:val="24"/>
        </w:rPr>
        <w:t>填报流程设计为不同层级按照职能划分不同权限，支持下级填报数据，上级审核或驳回。实际管理部门对上报的数据报表进行及时审核，层层审批，强化监管、督促下级单位有效落实垃圾分类相关政策。填报流程管理以确保数据填报无误为前提，将垃圾分类数据的填报流程简洁化、规范化。</w:t>
      </w:r>
    </w:p>
    <w:p w14:paraId="64AB1904">
      <w:pPr>
        <w:spacing w:line="276" w:lineRule="auto"/>
        <w:ind w:firstLine="480"/>
        <w:rPr>
          <w:rFonts w:hint="eastAsia" w:ascii="宋体" w:hAnsi="宋体" w:eastAsia="宋体"/>
          <w:sz w:val="24"/>
          <w:szCs w:val="24"/>
        </w:rPr>
      </w:pPr>
      <w:r>
        <w:rPr>
          <w:rFonts w:ascii="宋体" w:hAnsi="宋体" w:eastAsia="宋体"/>
          <w:sz w:val="24"/>
          <w:szCs w:val="24"/>
        </w:rPr>
        <w:t>基层数据上报：基层垃圾分类小区、单位根据区（县）管理单位上报市级管理单位的要求规定数据上报的内容和形式对数据进行采集并通过系统向区（县）及管理单位上报基础信息。</w:t>
      </w:r>
    </w:p>
    <w:p w14:paraId="0A4B9729">
      <w:pPr>
        <w:spacing w:line="276" w:lineRule="auto"/>
        <w:ind w:firstLine="480"/>
        <w:rPr>
          <w:rFonts w:hint="eastAsia" w:ascii="宋体" w:hAnsi="宋体" w:eastAsia="宋体"/>
          <w:sz w:val="24"/>
          <w:szCs w:val="24"/>
        </w:rPr>
      </w:pPr>
      <w:r>
        <w:rPr>
          <w:rFonts w:ascii="宋体" w:hAnsi="宋体" w:eastAsia="宋体"/>
          <w:sz w:val="24"/>
          <w:szCs w:val="24"/>
        </w:rPr>
        <w:t>区（县）审批：区（县）管理部门对基层单位上报分类数据进行汇总统计，对上报数据内容和形式进行审核，系统智能研判异常数据，结合人工审核之后将不符合填报规范、数据存在异常报表驳回数据填报部门核对重新填报。</w:t>
      </w:r>
    </w:p>
    <w:p w14:paraId="28DC35F4">
      <w:pPr>
        <w:spacing w:line="276" w:lineRule="auto"/>
        <w:ind w:firstLine="480"/>
        <w:rPr>
          <w:rFonts w:hint="eastAsia" w:ascii="宋体" w:hAnsi="宋体" w:eastAsia="宋体"/>
          <w:sz w:val="24"/>
          <w:szCs w:val="24"/>
        </w:rPr>
      </w:pPr>
      <w:r>
        <w:rPr>
          <w:rFonts w:ascii="宋体" w:hAnsi="宋体" w:eastAsia="宋体"/>
          <w:sz w:val="24"/>
          <w:szCs w:val="24"/>
        </w:rPr>
        <w:t>c.填报追踪管理</w:t>
      </w:r>
    </w:p>
    <w:p w14:paraId="6A1AC23E">
      <w:pPr>
        <w:spacing w:line="276" w:lineRule="auto"/>
        <w:ind w:firstLine="480"/>
        <w:rPr>
          <w:rFonts w:hint="eastAsia" w:ascii="宋体" w:hAnsi="宋体" w:eastAsia="宋体"/>
          <w:sz w:val="24"/>
          <w:szCs w:val="24"/>
        </w:rPr>
      </w:pPr>
      <w:r>
        <w:rPr>
          <w:rFonts w:hint="eastAsia" w:ascii="宋体" w:hAnsi="宋体" w:eastAsia="宋体"/>
          <w:sz w:val="24"/>
          <w:szCs w:val="24"/>
        </w:rPr>
        <w:t>填报数据追踪是上级单位对数据上报时间追踪、对区域数据完善度管理，通同系统历史数据和经验分析划定特殊填报数据置信区间，系统智能研判数据异常状态，并提醒。</w:t>
      </w:r>
    </w:p>
    <w:p w14:paraId="4FD0ECC5">
      <w:pPr>
        <w:spacing w:line="276" w:lineRule="auto"/>
        <w:ind w:firstLine="480"/>
        <w:rPr>
          <w:rFonts w:hint="eastAsia" w:ascii="宋体" w:hAnsi="宋体" w:eastAsia="宋体"/>
          <w:sz w:val="24"/>
          <w:szCs w:val="24"/>
        </w:rPr>
      </w:pPr>
      <w:r>
        <w:rPr>
          <w:rFonts w:ascii="宋体" w:hAnsi="宋体" w:eastAsia="宋体"/>
          <w:sz w:val="24"/>
          <w:szCs w:val="24"/>
        </w:rPr>
        <w:t>数据填报时间追踪管理：是对上级下派指标填报的时间管理，对即将到期的上传报表进行提醒，对逾期未填报数据进行警告，确保数据填报在预定时间完成上报。</w:t>
      </w:r>
    </w:p>
    <w:p w14:paraId="046E6B36">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区域数据完善度管理：是对数据填报区域维度的追踪管理，系统对比分析各区划的垃圾分类填报数据完善程度，结合实际情况对长时间数据空白较多的地区进行提醒。</w:t>
      </w:r>
    </w:p>
    <w:p w14:paraId="01674F07">
      <w:pPr>
        <w:spacing w:line="276" w:lineRule="auto"/>
        <w:ind w:firstLine="480"/>
        <w:rPr>
          <w:rFonts w:hint="eastAsia" w:ascii="宋体" w:hAnsi="宋体" w:eastAsia="宋体"/>
          <w:sz w:val="24"/>
          <w:szCs w:val="24"/>
        </w:rPr>
      </w:pPr>
      <w:r>
        <w:rPr>
          <w:rFonts w:ascii="宋体" w:hAnsi="宋体" w:eastAsia="宋体"/>
          <w:sz w:val="24"/>
          <w:szCs w:val="24"/>
        </w:rPr>
        <w:t>数据异常管理：在对历史填报数据分析和经验判断的基础上，划定部分关键数据的置信区间，对超出置信区间的数据显示异常和提醒。</w:t>
      </w:r>
    </w:p>
    <w:p w14:paraId="3591187A">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填报结果汇总</w:t>
      </w:r>
    </w:p>
    <w:p w14:paraId="11E091F0">
      <w:pPr>
        <w:spacing w:line="276" w:lineRule="auto"/>
        <w:ind w:firstLine="480"/>
        <w:rPr>
          <w:rFonts w:hint="eastAsia" w:ascii="宋体" w:hAnsi="宋体" w:eastAsia="宋体"/>
          <w:sz w:val="24"/>
          <w:szCs w:val="24"/>
        </w:rPr>
      </w:pPr>
      <w:r>
        <w:rPr>
          <w:rFonts w:hint="eastAsia" w:ascii="宋体" w:hAnsi="宋体" w:eastAsia="宋体"/>
          <w:sz w:val="24"/>
          <w:szCs w:val="24"/>
        </w:rPr>
        <w:t>系统对基层填报的各类数据汇总统计，支持从时间、填报单位、申报类型、审核通过与否等维度进行选择性统计管理，支持数据权限范围内的增删改查，支持报表输出、打印功能。</w:t>
      </w:r>
    </w:p>
    <w:p w14:paraId="78A3DF2F">
      <w:pPr>
        <w:spacing w:line="276" w:lineRule="auto"/>
        <w:ind w:firstLine="480"/>
        <w:rPr>
          <w:rFonts w:hint="eastAsia" w:ascii="宋体" w:hAnsi="宋体" w:eastAsia="宋体"/>
          <w:sz w:val="24"/>
          <w:szCs w:val="24"/>
        </w:rPr>
      </w:pPr>
      <w:r>
        <w:rPr>
          <w:rFonts w:ascii="宋体" w:hAnsi="宋体" w:eastAsia="宋体"/>
          <w:sz w:val="24"/>
          <w:szCs w:val="24"/>
        </w:rPr>
        <w:t>汇总辖区内垃圾分类组织建设信息，查看各级分类专班建设进度。</w:t>
      </w:r>
    </w:p>
    <w:p w14:paraId="62716CA3">
      <w:pPr>
        <w:spacing w:line="276" w:lineRule="auto"/>
        <w:ind w:firstLine="480"/>
        <w:rPr>
          <w:rFonts w:hint="eastAsia" w:ascii="宋体" w:hAnsi="宋体" w:eastAsia="宋体"/>
          <w:sz w:val="24"/>
          <w:szCs w:val="24"/>
        </w:rPr>
      </w:pPr>
      <w:r>
        <w:rPr>
          <w:rFonts w:ascii="宋体" w:hAnsi="宋体" w:eastAsia="宋体"/>
          <w:sz w:val="24"/>
          <w:szCs w:val="24"/>
        </w:rPr>
        <w:t>汇总辖区内垃圾分类覆盖和设施设备投放数据，便于管理部门全面掌握各个地区的垃圾分类工作进程和基础设施设备建设力度。</w:t>
      </w:r>
    </w:p>
    <w:p w14:paraId="0FDE8F68">
      <w:pPr>
        <w:spacing w:line="276" w:lineRule="auto"/>
        <w:ind w:firstLine="480"/>
        <w:rPr>
          <w:rFonts w:hint="eastAsia" w:ascii="宋体" w:hAnsi="宋体" w:eastAsia="宋体"/>
          <w:sz w:val="24"/>
          <w:szCs w:val="24"/>
        </w:rPr>
      </w:pPr>
      <w:r>
        <w:rPr>
          <w:rFonts w:ascii="宋体" w:hAnsi="宋体" w:eastAsia="宋体"/>
          <w:sz w:val="24"/>
          <w:szCs w:val="24"/>
        </w:rPr>
        <w:t>汇总企业数量和投入资金, 有利于管理部门整体掌握城乡垃圾分类市场活跃性和资金投入情况。</w:t>
      </w:r>
    </w:p>
    <w:p w14:paraId="50E7E8D2">
      <w:pPr>
        <w:spacing w:line="276" w:lineRule="auto"/>
        <w:ind w:firstLine="480"/>
        <w:rPr>
          <w:rFonts w:hint="eastAsia" w:ascii="宋体" w:hAnsi="宋体" w:eastAsia="宋体"/>
          <w:sz w:val="24"/>
          <w:szCs w:val="24"/>
        </w:rPr>
      </w:pPr>
      <w:r>
        <w:rPr>
          <w:rFonts w:ascii="宋体" w:hAnsi="宋体" w:eastAsia="宋体"/>
          <w:sz w:val="24"/>
          <w:szCs w:val="24"/>
        </w:rPr>
        <w:t>汇总城乡生活垃圾处理全流程数据， 辅助管理部门综合分析地区生活垃圾处理能力。</w:t>
      </w:r>
    </w:p>
    <w:p w14:paraId="67DF730A">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汇总生活垃圾处理“三化”数据，对生活垃圾在组织单位源头减量情况、各类可回收物资源化利用和有毒有害垃圾收集处理情况数据化，直观展示“三化”原则落实进度。</w:t>
      </w:r>
    </w:p>
    <w:p w14:paraId="28D104FF">
      <w:pPr>
        <w:spacing w:line="276" w:lineRule="auto"/>
        <w:ind w:firstLine="480"/>
        <w:rPr>
          <w:rFonts w:hint="eastAsia" w:ascii="宋体" w:hAnsi="宋体" w:eastAsia="宋体"/>
          <w:sz w:val="24"/>
          <w:szCs w:val="24"/>
        </w:rPr>
      </w:pPr>
      <w:r>
        <w:rPr>
          <w:rFonts w:ascii="宋体" w:hAnsi="宋体" w:eastAsia="宋体"/>
          <w:sz w:val="24"/>
          <w:szCs w:val="24"/>
        </w:rPr>
        <w:t>汇总各个单位垃圾分类宣教活动数据，将各个单位组织宣传和相关活动的举办情况数据化展示，有利于主管部门对社会舆论和居民意识宏观掌握，结合居民行为等进行相关分析。</w:t>
      </w:r>
    </w:p>
    <w:p w14:paraId="37A798CB">
      <w:pPr>
        <w:pStyle w:val="14"/>
        <w:rPr>
          <w:rFonts w:hint="eastAsia"/>
          <w:bCs w:val="0"/>
        </w:rPr>
      </w:pPr>
      <w:r>
        <w:rPr>
          <w:bCs w:val="0"/>
        </w:rPr>
        <w:t>分类成效智能</w:t>
      </w:r>
      <w:r>
        <w:rPr>
          <w:rFonts w:hint="eastAsia"/>
        </w:rPr>
        <w:t>分析</w:t>
      </w:r>
      <w:r>
        <w:rPr>
          <w:bCs w:val="0"/>
        </w:rPr>
        <w:t>中心</w:t>
      </w:r>
    </w:p>
    <w:p w14:paraId="24F67CCA">
      <w:pPr>
        <w:spacing w:line="276" w:lineRule="auto"/>
        <w:ind w:firstLine="480"/>
        <w:rPr>
          <w:rFonts w:hint="eastAsia" w:ascii="宋体" w:hAnsi="宋体" w:eastAsia="宋体"/>
          <w:sz w:val="24"/>
          <w:szCs w:val="24"/>
        </w:rPr>
      </w:pPr>
      <w:r>
        <w:rPr>
          <w:rFonts w:ascii="宋体" w:hAnsi="宋体" w:eastAsia="宋体"/>
          <w:sz w:val="24"/>
          <w:szCs w:val="24"/>
        </w:rPr>
        <w:t>a.分类报表中心</w:t>
      </w:r>
    </w:p>
    <w:p w14:paraId="478BDCEB">
      <w:pPr>
        <w:spacing w:line="276" w:lineRule="auto"/>
        <w:ind w:firstLine="480"/>
        <w:rPr>
          <w:rFonts w:hint="eastAsia" w:ascii="宋体" w:hAnsi="宋体" w:eastAsia="宋体"/>
          <w:sz w:val="24"/>
          <w:szCs w:val="24"/>
        </w:rPr>
      </w:pPr>
      <w:r>
        <w:rPr>
          <w:rFonts w:hint="eastAsia" w:ascii="宋体" w:hAnsi="宋体" w:eastAsia="宋体"/>
          <w:sz w:val="24"/>
          <w:szCs w:val="24"/>
        </w:rPr>
        <w:t>运用报表引擎及数据挖掘等技术，实现了设施分布、日常管理记录、分类过程数据、考核数据等情况的汇总，通过汇总数据，可直观掌握垃圾分类工作的进展变化状况。</w:t>
      </w:r>
    </w:p>
    <w:p w14:paraId="1F748137">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汇总报表：根据业务环节进行数据汇总，包括分类基础设施报表（设施报表、设备数量报表、收运资源报表、服务企业报表等）、分类业务运营管理报表（宣传覆盖报表、督导员考勤报表、投放次数报表/投放量报表、各类型垃圾收运覆盖率报表/收运完成率报表、处置终端计量报表等）、可回收资源量报表、填报结果统计、积分报表、分类考核报表等；</w:t>
      </w:r>
    </w:p>
    <w:p w14:paraId="1F9A6B9C">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查询管理：通过关键词，如行政区划、时间等关键词实现定向报表指定，便于针对性得了解各区基础设施的汇总情况；</w:t>
      </w:r>
    </w:p>
    <w:p w14:paraId="7AE9C34F">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统计图表：以多样化的展现方式实现基础设施的汇总管理，饼状图、柱形图，以更加直观的方式展现设施的建设情况。</w:t>
      </w:r>
    </w:p>
    <w:p w14:paraId="6F1F13D6">
      <w:pPr>
        <w:spacing w:line="276" w:lineRule="auto"/>
        <w:ind w:firstLine="480"/>
        <w:rPr>
          <w:rFonts w:hint="eastAsia" w:ascii="宋体" w:hAnsi="宋体" w:eastAsia="宋体"/>
          <w:sz w:val="24"/>
          <w:szCs w:val="24"/>
        </w:rPr>
      </w:pPr>
      <w:r>
        <w:rPr>
          <w:rFonts w:ascii="宋体" w:hAnsi="宋体" w:eastAsia="宋体"/>
          <w:sz w:val="24"/>
          <w:szCs w:val="24"/>
        </w:rPr>
        <w:t>报表输出：以表格、文档、图片形式生成设施统计报告，辅助年终汇报、后续设施规划工作。</w:t>
      </w:r>
    </w:p>
    <w:p w14:paraId="358382C5">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城市垃圾分类驾驶舱</w:t>
      </w:r>
    </w:p>
    <w:p w14:paraId="209C7F88">
      <w:pPr>
        <w:spacing w:line="276" w:lineRule="auto"/>
        <w:ind w:firstLine="480"/>
        <w:rPr>
          <w:rFonts w:hint="eastAsia" w:ascii="宋体" w:hAnsi="宋体" w:eastAsia="宋体"/>
          <w:sz w:val="24"/>
          <w:szCs w:val="24"/>
        </w:rPr>
      </w:pPr>
      <w:r>
        <w:rPr>
          <w:rFonts w:hint="eastAsia" w:ascii="宋体" w:hAnsi="宋体" w:eastAsia="宋体"/>
          <w:sz w:val="24"/>
          <w:szCs w:val="24"/>
        </w:rPr>
        <w:t>城市垃圾分类业务驾驶舱，旨在将垃圾分类相关的所有指标、业务结果、重点项目、各个节点关键数据、业务动态数据等情况进行一张图展示，通过城市垃圾分类管理一张图能够全面了解城市垃圾分类业务开展情况、垃圾分类进程、各关键节点的垃圾分类业务执行情况。并能够进行各类业务的穿透，全面了解城市垃圾分类相关的业务数据。</w:t>
      </w:r>
    </w:p>
    <w:p w14:paraId="3148705C">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a)关键指标</w:t>
      </w:r>
    </w:p>
    <w:p w14:paraId="598E5060">
      <w:pPr>
        <w:spacing w:line="276" w:lineRule="auto"/>
        <w:ind w:firstLine="480"/>
        <w:rPr>
          <w:rFonts w:hint="eastAsia" w:ascii="宋体" w:hAnsi="宋体" w:eastAsia="宋体"/>
          <w:sz w:val="24"/>
          <w:szCs w:val="24"/>
        </w:rPr>
      </w:pPr>
      <w:r>
        <w:rPr>
          <w:rFonts w:hint="eastAsia" w:ascii="宋体" w:hAnsi="宋体" w:eastAsia="宋体"/>
          <w:sz w:val="24"/>
          <w:szCs w:val="24"/>
        </w:rPr>
        <w:t>城市垃圾分类关键指标是垃圾分类进程的直接表现，通过对各部门数据的采集展示垃圾分类相关的关键指标，主要包括：三率指标（知晓率、参与率、准确率）、城区覆盖面指标、农村覆盖率指标、示范区建设量（示范小区、示范街道、定时定点小区）、垃圾量增长率、资源化利用率等指标。量化垃圾分类进程。</w:t>
      </w:r>
    </w:p>
    <w:p w14:paraId="403E9E8F">
      <w:pPr>
        <w:spacing w:line="276" w:lineRule="auto"/>
        <w:ind w:firstLine="480"/>
        <w:rPr>
          <w:rFonts w:hint="eastAsia" w:ascii="宋体" w:hAnsi="宋体" w:eastAsia="宋体"/>
          <w:sz w:val="24"/>
          <w:szCs w:val="24"/>
        </w:rPr>
      </w:pPr>
      <w:r>
        <w:rPr>
          <w:rFonts w:ascii="宋体" w:hAnsi="宋体" w:eastAsia="宋体"/>
          <w:sz w:val="24"/>
          <w:szCs w:val="24"/>
        </w:rPr>
        <w:t>(b)总体业务数据</w:t>
      </w:r>
    </w:p>
    <w:p w14:paraId="6F2ED575">
      <w:pPr>
        <w:spacing w:line="276" w:lineRule="auto"/>
        <w:ind w:firstLine="480"/>
        <w:rPr>
          <w:rFonts w:hint="eastAsia" w:ascii="宋体" w:hAnsi="宋体" w:eastAsia="宋体"/>
          <w:sz w:val="24"/>
          <w:szCs w:val="24"/>
        </w:rPr>
      </w:pPr>
      <w:r>
        <w:rPr>
          <w:rFonts w:hint="eastAsia" w:ascii="宋体" w:hAnsi="宋体" w:eastAsia="宋体"/>
          <w:sz w:val="24"/>
          <w:szCs w:val="24"/>
        </w:rPr>
        <w:t>垃圾分类业务主要节点包括：投放、收集、运输、处置、宣教、考核等，通过对全市垃圾分类业务数据的整合，将垃圾分类业务各个业务节点的关键指标、数据进行展现，在一张图上查看垃圾分类总体业务的运营情况，展现成效和薄弱点。</w:t>
      </w:r>
    </w:p>
    <w:p w14:paraId="603511D1">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城市垃圾分类目标完成情况</w:t>
      </w:r>
    </w:p>
    <w:p w14:paraId="17B9BD05">
      <w:pPr>
        <w:spacing w:line="276" w:lineRule="auto"/>
        <w:ind w:firstLine="480"/>
        <w:rPr>
          <w:rFonts w:hint="eastAsia" w:ascii="宋体" w:hAnsi="宋体" w:eastAsia="宋体"/>
          <w:sz w:val="24"/>
          <w:szCs w:val="24"/>
        </w:rPr>
      </w:pPr>
      <w:r>
        <w:rPr>
          <w:rFonts w:hint="eastAsia" w:ascii="宋体" w:hAnsi="宋体" w:eastAsia="宋体"/>
          <w:sz w:val="24"/>
          <w:szCs w:val="24"/>
        </w:rPr>
        <w:t>根据城市垃圾分类工作执行计划和计划实现情况，在一张图上展示城市垃圾分类各类业务目标的完成情况，如：减量指标、无害化处理指标、覆盖率指标、宣传教育体系。</w:t>
      </w:r>
    </w:p>
    <w:p w14:paraId="5680FBD1">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重点项目建设</w:t>
      </w:r>
    </w:p>
    <w:p w14:paraId="273EE88F">
      <w:pPr>
        <w:spacing w:line="276" w:lineRule="auto"/>
        <w:ind w:firstLine="480"/>
        <w:rPr>
          <w:rFonts w:hint="eastAsia" w:ascii="宋体" w:hAnsi="宋体" w:eastAsia="宋体"/>
          <w:sz w:val="24"/>
          <w:szCs w:val="24"/>
        </w:rPr>
      </w:pPr>
      <w:r>
        <w:rPr>
          <w:rFonts w:hint="eastAsia" w:ascii="宋体" w:hAnsi="宋体" w:eastAsia="宋体"/>
          <w:sz w:val="24"/>
          <w:szCs w:val="24"/>
        </w:rPr>
        <w:t>针对城市垃圾分类工作规划中重点项目的建设进程可以在一张图上实时展示，标明垃圾分类重点项目的各个里程碑节点的关键信息，如：项目立项节点显示项目立项时间、投资金额、预计投产效益的关键数据。</w:t>
      </w:r>
    </w:p>
    <w:p w14:paraId="0C113912">
      <w:pPr>
        <w:spacing w:line="276" w:lineRule="auto"/>
        <w:ind w:firstLine="480"/>
        <w:rPr>
          <w:rFonts w:hint="eastAsia" w:ascii="宋体" w:hAnsi="宋体" w:eastAsia="宋体"/>
          <w:sz w:val="24"/>
          <w:szCs w:val="24"/>
        </w:rPr>
      </w:pPr>
      <w:r>
        <w:rPr>
          <w:rFonts w:ascii="宋体" w:hAnsi="宋体" w:eastAsia="宋体"/>
          <w:sz w:val="24"/>
          <w:szCs w:val="24"/>
        </w:rPr>
        <w:t>c.垃圾分类覆盖面一张图</w:t>
      </w:r>
    </w:p>
    <w:p w14:paraId="579502BB">
      <w:pPr>
        <w:spacing w:line="276" w:lineRule="auto"/>
        <w:ind w:firstLine="480"/>
        <w:rPr>
          <w:rFonts w:hint="eastAsia" w:ascii="宋体" w:hAnsi="宋体" w:eastAsia="宋体"/>
          <w:sz w:val="24"/>
          <w:szCs w:val="24"/>
        </w:rPr>
      </w:pPr>
      <w:r>
        <w:rPr>
          <w:rFonts w:hint="eastAsia" w:ascii="宋体" w:hAnsi="宋体" w:eastAsia="宋体"/>
          <w:sz w:val="24"/>
          <w:szCs w:val="24"/>
        </w:rPr>
        <w:t>垃圾分类覆盖面一张图全面展现垃圾分类的覆盖情况，将整个垃圾分类覆盖范围进行网格划分，通过网格员对辖区范围内的居民、区划、基础设施、组织单位等元素进行全面的信息采集，通过对接地理库电子地图数据，实现基于一张图的分类管理网格化和精细化，使得管理部门能够对垃圾分类覆盖情况进行全面掌握。</w:t>
      </w:r>
    </w:p>
    <w:p w14:paraId="29D4A8BF">
      <w:pPr>
        <w:spacing w:line="276" w:lineRule="auto"/>
        <w:ind w:firstLine="480"/>
        <w:rPr>
          <w:rFonts w:hint="eastAsia" w:ascii="宋体" w:hAnsi="宋体" w:eastAsia="宋体"/>
          <w:sz w:val="24"/>
          <w:szCs w:val="24"/>
        </w:rPr>
      </w:pPr>
      <w:r>
        <w:rPr>
          <w:rFonts w:ascii="宋体" w:hAnsi="宋体" w:eastAsia="宋体"/>
          <w:sz w:val="24"/>
          <w:szCs w:val="24"/>
        </w:rPr>
        <w:t>d.垃圾分类宣教成效展示</w:t>
      </w:r>
    </w:p>
    <w:p w14:paraId="4166CA5A">
      <w:pPr>
        <w:spacing w:line="276" w:lineRule="auto"/>
        <w:ind w:firstLine="480"/>
        <w:rPr>
          <w:rFonts w:hint="eastAsia" w:ascii="宋体" w:hAnsi="宋体" w:eastAsia="宋体"/>
          <w:sz w:val="24"/>
          <w:szCs w:val="24"/>
        </w:rPr>
      </w:pPr>
      <w:r>
        <w:rPr>
          <w:rFonts w:hint="eastAsia" w:ascii="宋体" w:hAnsi="宋体" w:eastAsia="宋体"/>
          <w:sz w:val="24"/>
          <w:szCs w:val="24"/>
        </w:rPr>
        <w:t>建立垃圾分类宣教成效展示模块，对宣教活动数据进行整合，实现一张图上展示垃圾分类工作相关的各类数据，一张图主题主要包括：</w:t>
      </w:r>
    </w:p>
    <w:p w14:paraId="668DD23D">
      <w:pPr>
        <w:spacing w:line="276" w:lineRule="auto"/>
        <w:ind w:firstLine="480"/>
        <w:rPr>
          <w:rFonts w:hint="eastAsia" w:ascii="宋体" w:hAnsi="宋体" w:eastAsia="宋体"/>
          <w:sz w:val="24"/>
          <w:szCs w:val="24"/>
        </w:rPr>
      </w:pPr>
      <w:r>
        <w:rPr>
          <w:rFonts w:hint="eastAsia" w:ascii="宋体" w:hAnsi="宋体" w:eastAsia="宋体"/>
          <w:sz w:val="24"/>
          <w:szCs w:val="24"/>
        </w:rPr>
        <w:t>覆盖面主题：在一张图上通过热力图的方式进行覆盖面的查看，及时了解垃圾分类宣教活动集中区域，为宣教计划和宣教工作的调整提供数据依据。</w:t>
      </w:r>
    </w:p>
    <w:p w14:paraId="3F1EEF99">
      <w:pPr>
        <w:spacing w:line="276" w:lineRule="auto"/>
        <w:ind w:firstLine="480"/>
        <w:rPr>
          <w:rFonts w:hint="eastAsia" w:ascii="宋体" w:hAnsi="宋体" w:eastAsia="宋体"/>
          <w:sz w:val="24"/>
          <w:szCs w:val="24"/>
        </w:rPr>
      </w:pPr>
      <w:r>
        <w:rPr>
          <w:rFonts w:hint="eastAsia" w:ascii="宋体" w:hAnsi="宋体" w:eastAsia="宋体"/>
          <w:sz w:val="24"/>
          <w:szCs w:val="24"/>
        </w:rPr>
        <w:t>宣教活动主题：在一张图上展示各类活动的执行情况，可以根据活动类型进行筛选，类型主要包括：主题活动、入户宣教、培训记录、实践活动等。</w:t>
      </w:r>
    </w:p>
    <w:p w14:paraId="0B1F5219">
      <w:pPr>
        <w:spacing w:line="276" w:lineRule="auto"/>
        <w:ind w:firstLine="480"/>
        <w:rPr>
          <w:rFonts w:hint="eastAsia" w:ascii="宋体" w:hAnsi="宋体" w:eastAsia="宋体"/>
          <w:sz w:val="24"/>
          <w:szCs w:val="24"/>
        </w:rPr>
      </w:pPr>
      <w:r>
        <w:rPr>
          <w:rFonts w:hint="eastAsia" w:ascii="宋体" w:hAnsi="宋体" w:eastAsia="宋体"/>
          <w:sz w:val="24"/>
          <w:szCs w:val="24"/>
        </w:rPr>
        <w:t>宣教计划板块：在一张图上展示垃圾分类宣教计划和计划执行情况，直观显示宣教计划的执行路径，完整还原宣教工作。</w:t>
      </w:r>
    </w:p>
    <w:p w14:paraId="71BDDC4B">
      <w:pPr>
        <w:spacing w:line="276" w:lineRule="auto"/>
        <w:ind w:firstLine="480"/>
        <w:rPr>
          <w:rFonts w:hint="eastAsia" w:ascii="宋体" w:hAnsi="宋体" w:eastAsia="宋体"/>
          <w:sz w:val="24"/>
          <w:szCs w:val="24"/>
        </w:rPr>
      </w:pPr>
      <w:r>
        <w:rPr>
          <w:rFonts w:ascii="宋体" w:hAnsi="宋体" w:eastAsia="宋体"/>
          <w:sz w:val="24"/>
          <w:szCs w:val="24"/>
        </w:rPr>
        <w:t>e.源头减量化数据统计</w:t>
      </w:r>
    </w:p>
    <w:p w14:paraId="01FE63CB">
      <w:pPr>
        <w:spacing w:line="276" w:lineRule="auto"/>
        <w:ind w:firstLine="480"/>
        <w:rPr>
          <w:rFonts w:hint="eastAsia" w:ascii="宋体" w:hAnsi="宋体" w:eastAsia="宋体"/>
          <w:sz w:val="24"/>
          <w:szCs w:val="24"/>
        </w:rPr>
      </w:pPr>
      <w:r>
        <w:rPr>
          <w:rFonts w:hint="eastAsia" w:ascii="宋体" w:hAnsi="宋体" w:eastAsia="宋体"/>
          <w:sz w:val="24"/>
          <w:szCs w:val="24"/>
        </w:rPr>
        <w:t>集中源头计量数据、车载计量数据、上门收集计量数据、转运计量数据、末端计量数据综合精准得计量街道、社区、小区各类型垃圾减量化结果与发展趋势。</w:t>
      </w:r>
    </w:p>
    <w:p w14:paraId="14F334EB">
      <w:pPr>
        <w:spacing w:line="276" w:lineRule="auto"/>
        <w:ind w:firstLine="480"/>
        <w:rPr>
          <w:rFonts w:hint="eastAsia" w:ascii="宋体" w:hAnsi="宋体" w:eastAsia="宋体"/>
          <w:sz w:val="24"/>
          <w:szCs w:val="24"/>
        </w:rPr>
      </w:pPr>
      <w:r>
        <w:rPr>
          <w:rFonts w:ascii="宋体" w:hAnsi="宋体" w:eastAsia="宋体"/>
          <w:sz w:val="24"/>
          <w:szCs w:val="24"/>
        </w:rPr>
        <w:t>f.分类物流一张图</w:t>
      </w:r>
    </w:p>
    <w:p w14:paraId="49BB4FA0">
      <w:pPr>
        <w:spacing w:line="276" w:lineRule="auto"/>
        <w:ind w:firstLine="480"/>
        <w:rPr>
          <w:rFonts w:hint="eastAsia" w:ascii="宋体" w:hAnsi="宋体" w:eastAsia="宋体"/>
          <w:sz w:val="24"/>
          <w:szCs w:val="24"/>
        </w:rPr>
      </w:pPr>
      <w:r>
        <w:rPr>
          <w:rFonts w:hint="eastAsia" w:ascii="宋体" w:hAnsi="宋体" w:eastAsia="宋体"/>
          <w:sz w:val="24"/>
          <w:szCs w:val="24"/>
        </w:rPr>
        <w:t>围绕垃圾分类投放、收集、运输、处置四环节进行数据联动展示，以街道为管理单元，查看街道各类型垃圾产生量、传输路径、末端处理量，投放环节展示各类型垃圾量占比分析；收运环节展示各类型车辆占比、热力运输路线；处置末端展示各类型处置设施垃圾量，实现产生量变化趋势分析、收运资源在线数量、末端处理量变化趋势分析等，展示全区垃圾分类物流走向的完整性与分类处理活力。</w:t>
      </w:r>
    </w:p>
    <w:p w14:paraId="34B7CD20">
      <w:pPr>
        <w:pStyle w:val="14"/>
        <w:rPr>
          <w:rFonts w:hint="eastAsia"/>
          <w:bCs w:val="0"/>
        </w:rPr>
      </w:pPr>
      <w:r>
        <w:rPr>
          <w:bCs w:val="0"/>
        </w:rPr>
        <w:t>垃圾分类信息化标准制定</w:t>
      </w:r>
    </w:p>
    <w:p w14:paraId="71AC6FB8">
      <w:pPr>
        <w:spacing w:line="276" w:lineRule="auto"/>
        <w:ind w:firstLine="480"/>
        <w:rPr>
          <w:rFonts w:hint="eastAsia" w:ascii="宋体" w:hAnsi="宋体" w:eastAsia="宋体"/>
          <w:sz w:val="24"/>
          <w:szCs w:val="24"/>
        </w:rPr>
      </w:pPr>
      <w:r>
        <w:rPr>
          <w:rFonts w:hint="eastAsia" w:ascii="宋体" w:hAnsi="宋体" w:eastAsia="宋体"/>
          <w:sz w:val="24"/>
          <w:szCs w:val="24"/>
        </w:rPr>
        <w:t>垃圾分类业务具有大量的应用数据，应用数据主要来源于各类政府部门、业务部门和市场化服务公司。要实现各部门的数据共享，必须先建立统一的数据交换平台，通过交换平台实现各异构数据库之间的数据集成，实现原有各业务系统在数据级集成，保证异构数据库之间的数据交换与共享。</w:t>
      </w:r>
    </w:p>
    <w:p w14:paraId="537058A9">
      <w:pPr>
        <w:spacing w:line="276" w:lineRule="auto"/>
        <w:ind w:firstLine="480"/>
        <w:rPr>
          <w:rFonts w:hint="eastAsia" w:ascii="宋体" w:hAnsi="宋体" w:eastAsia="宋体"/>
          <w:sz w:val="24"/>
          <w:szCs w:val="24"/>
        </w:rPr>
      </w:pPr>
      <w:r>
        <w:rPr>
          <w:rFonts w:hint="eastAsia" w:ascii="宋体" w:hAnsi="宋体" w:eastAsia="宋体"/>
          <w:sz w:val="24"/>
          <w:szCs w:val="24"/>
        </w:rPr>
        <w:t>区级根据数据要求进行设备采集、安装与接入；共管部门根据标准开放接口实现数据互通。针对各个部门实际的业务保密级别的要求和业务系统技术要求，可以使用多种不同的数据接入方式，如：</w:t>
      </w:r>
      <w:r>
        <w:rPr>
          <w:rFonts w:ascii="宋体" w:hAnsi="宋体" w:eastAsia="宋体"/>
          <w:sz w:val="24"/>
          <w:szCs w:val="24"/>
        </w:rPr>
        <w:t>Web service、API接入、socket方式等多种方式。</w:t>
      </w:r>
    </w:p>
    <w:p w14:paraId="7BBF1827">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数据管理标准</w:t>
      </w:r>
    </w:p>
    <w:p w14:paraId="1682DA9A">
      <w:pPr>
        <w:spacing w:line="276" w:lineRule="auto"/>
        <w:ind w:firstLine="480"/>
        <w:rPr>
          <w:rFonts w:hint="eastAsia" w:ascii="宋体" w:hAnsi="宋体" w:eastAsia="宋体"/>
          <w:sz w:val="24"/>
          <w:szCs w:val="24"/>
        </w:rPr>
      </w:pPr>
      <w:r>
        <w:rPr>
          <w:rFonts w:hint="eastAsia" w:ascii="宋体" w:hAnsi="宋体" w:eastAsia="宋体"/>
          <w:sz w:val="24"/>
          <w:szCs w:val="24"/>
        </w:rPr>
        <w:t>根据垃圾分类智能监管系统综合性应用内容的需求分析，定义出符合本地分类管理特色的数据管理标准。这些标准将反映各个应用所需要的数据的结构。同时在数据存储过程中留存数据来源信息。</w:t>
      </w:r>
    </w:p>
    <w:p w14:paraId="37656375">
      <w:pPr>
        <w:spacing w:line="276" w:lineRule="auto"/>
        <w:ind w:firstLine="480"/>
        <w:rPr>
          <w:rFonts w:hint="eastAsia" w:ascii="宋体" w:hAnsi="宋体" w:eastAsia="宋体"/>
          <w:sz w:val="24"/>
          <w:szCs w:val="24"/>
        </w:rPr>
      </w:pPr>
      <w:r>
        <w:rPr>
          <w:rFonts w:hint="eastAsia" w:ascii="宋体" w:hAnsi="宋体" w:eastAsia="宋体"/>
          <w:sz w:val="24"/>
          <w:szCs w:val="24"/>
        </w:rPr>
        <w:t>分类数据标准的主要管理功能包括：</w:t>
      </w:r>
      <w:r>
        <w:rPr>
          <w:rFonts w:ascii="宋体" w:hAnsi="宋体" w:eastAsia="宋体"/>
          <w:sz w:val="24"/>
          <w:szCs w:val="24"/>
        </w:rPr>
        <w:t xml:space="preserve"> </w:t>
      </w:r>
    </w:p>
    <w:p w14:paraId="29E5D231">
      <w:pPr>
        <w:spacing w:line="276" w:lineRule="auto"/>
        <w:ind w:firstLine="480"/>
        <w:rPr>
          <w:rFonts w:hint="eastAsia" w:ascii="宋体" w:hAnsi="宋体" w:eastAsia="宋体"/>
          <w:sz w:val="24"/>
          <w:szCs w:val="24"/>
        </w:rPr>
      </w:pPr>
      <w:r>
        <w:rPr>
          <w:rFonts w:ascii="宋体" w:hAnsi="宋体" w:eastAsia="宋体"/>
          <w:sz w:val="24"/>
          <w:szCs w:val="24"/>
        </w:rPr>
        <w:t>新建、修改、删除标准；</w:t>
      </w:r>
    </w:p>
    <w:p w14:paraId="4E6D5860">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维护数据标准中的属性，包括数据结构、数据来源位置等；</w:t>
      </w:r>
    </w:p>
    <w:p w14:paraId="31FCB227">
      <w:pPr>
        <w:spacing w:line="276" w:lineRule="auto"/>
        <w:ind w:firstLine="480"/>
        <w:rPr>
          <w:rFonts w:hint="eastAsia" w:ascii="宋体" w:hAnsi="宋体" w:eastAsia="宋体"/>
          <w:sz w:val="24"/>
          <w:szCs w:val="24"/>
        </w:rPr>
      </w:pPr>
      <w:r>
        <w:rPr>
          <w:rFonts w:hint="eastAsia" w:ascii="宋体" w:hAnsi="宋体" w:eastAsia="宋体"/>
          <w:sz w:val="24"/>
          <w:szCs w:val="24"/>
        </w:rPr>
        <w:t>分类数据内容根据本地分类管理特色对各部门与垃圾分类相关的职能具体设定，通用的主要数据包括：垃圾类别、投放人员、投放时间、投放位置、投放重量、投放质量、转运人员、中转时间、中转位置、转运时间、转运车辆、转运人员、处置量、处置人员等内容。</w:t>
      </w:r>
    </w:p>
    <w:p w14:paraId="4CB6777D">
      <w:pPr>
        <w:spacing w:line="276" w:lineRule="auto"/>
        <w:ind w:firstLine="480"/>
        <w:rPr>
          <w:rFonts w:hint="eastAsia" w:ascii="宋体" w:hAnsi="宋体" w:eastAsia="宋体"/>
          <w:sz w:val="24"/>
          <w:szCs w:val="24"/>
        </w:rPr>
      </w:pPr>
      <w:r>
        <w:rPr>
          <w:rFonts w:ascii="宋体" w:hAnsi="宋体" w:eastAsia="宋体"/>
          <w:sz w:val="24"/>
          <w:szCs w:val="24"/>
        </w:rPr>
        <w:t>b.共享单位管理</w:t>
      </w:r>
    </w:p>
    <w:p w14:paraId="79A6C2AA">
      <w:pPr>
        <w:spacing w:line="276" w:lineRule="auto"/>
        <w:ind w:firstLine="480"/>
        <w:rPr>
          <w:rFonts w:hint="eastAsia" w:ascii="宋体" w:hAnsi="宋体" w:eastAsia="宋体"/>
          <w:sz w:val="24"/>
          <w:szCs w:val="24"/>
        </w:rPr>
      </w:pPr>
      <w:r>
        <w:rPr>
          <w:rFonts w:hint="eastAsia" w:ascii="宋体" w:hAnsi="宋体" w:eastAsia="宋体"/>
          <w:sz w:val="24"/>
          <w:szCs w:val="24"/>
        </w:rPr>
        <w:t>根据各个单位涉及的分类实际业务，对接入单位进行管理，系统管理员对数据接入的单位进行管理，建立各个单位数据的统一接入点，避免一个单位或部门有多个系统同时接入导致接入大量重复不完整的数据。主要功能包括：</w:t>
      </w:r>
    </w:p>
    <w:p w14:paraId="52A45D3B">
      <w:pPr>
        <w:spacing w:line="276" w:lineRule="auto"/>
        <w:ind w:firstLine="480"/>
        <w:rPr>
          <w:rFonts w:hint="eastAsia" w:ascii="宋体" w:hAnsi="宋体" w:eastAsia="宋体"/>
          <w:sz w:val="24"/>
          <w:szCs w:val="24"/>
        </w:rPr>
      </w:pPr>
      <w:r>
        <w:rPr>
          <w:rFonts w:ascii="宋体" w:hAnsi="宋体" w:eastAsia="宋体"/>
          <w:sz w:val="24"/>
          <w:szCs w:val="24"/>
        </w:rPr>
        <w:t>接入单位配置：根据数据共享单位职能，配置接入单位的数据权限，如：能收、只能发、同时接收。</w:t>
      </w:r>
    </w:p>
    <w:p w14:paraId="17DF5C72">
      <w:pPr>
        <w:spacing w:line="276" w:lineRule="auto"/>
        <w:ind w:firstLine="480"/>
        <w:rPr>
          <w:rFonts w:hint="eastAsia" w:ascii="宋体" w:hAnsi="宋体" w:eastAsia="宋体"/>
          <w:sz w:val="24"/>
          <w:szCs w:val="24"/>
        </w:rPr>
      </w:pPr>
      <w:r>
        <w:rPr>
          <w:rFonts w:ascii="宋体" w:hAnsi="宋体" w:eastAsia="宋体"/>
          <w:sz w:val="24"/>
          <w:szCs w:val="24"/>
        </w:rPr>
        <w:t>接入单位查询：可以根据接入单位类型、状态查询各个接入单位的情况，可以统计各个接入点的类型、状态等情况，保证垃圾分类业务数据完整性。</w:t>
      </w:r>
    </w:p>
    <w:p w14:paraId="4824631E">
      <w:pPr>
        <w:spacing w:line="276" w:lineRule="auto"/>
        <w:ind w:firstLine="480"/>
        <w:rPr>
          <w:rFonts w:hint="eastAsia" w:ascii="宋体" w:hAnsi="宋体" w:eastAsia="宋体"/>
          <w:sz w:val="24"/>
          <w:szCs w:val="24"/>
        </w:rPr>
      </w:pPr>
      <w:r>
        <w:rPr>
          <w:rFonts w:hint="eastAsia" w:ascii="宋体" w:hAnsi="宋体" w:eastAsia="宋体"/>
          <w:sz w:val="24"/>
          <w:szCs w:val="24"/>
        </w:rPr>
        <w:t>数据交换部门主要包括城市管理领域相关部门。</w:t>
      </w:r>
    </w:p>
    <w:p w14:paraId="600E2FF2">
      <w:pPr>
        <w:spacing w:line="276" w:lineRule="auto"/>
        <w:ind w:firstLine="480"/>
        <w:rPr>
          <w:rFonts w:hint="eastAsia" w:ascii="宋体" w:hAnsi="宋体" w:eastAsia="宋体"/>
          <w:sz w:val="24"/>
          <w:szCs w:val="24"/>
        </w:rPr>
      </w:pPr>
      <w:r>
        <w:rPr>
          <w:rFonts w:ascii="宋体" w:hAnsi="宋体" w:eastAsia="宋体"/>
          <w:sz w:val="24"/>
          <w:szCs w:val="24"/>
        </w:rPr>
        <w:t>c.数据交换管理</w:t>
      </w:r>
    </w:p>
    <w:p w14:paraId="5648A150">
      <w:pPr>
        <w:spacing w:line="276" w:lineRule="auto"/>
        <w:ind w:firstLine="480"/>
        <w:rPr>
          <w:rFonts w:hint="eastAsia" w:ascii="宋体" w:hAnsi="宋体" w:eastAsia="宋体"/>
          <w:sz w:val="24"/>
          <w:szCs w:val="24"/>
        </w:rPr>
      </w:pPr>
      <w:r>
        <w:rPr>
          <w:rFonts w:hint="eastAsia" w:ascii="宋体" w:hAnsi="宋体" w:eastAsia="宋体"/>
          <w:sz w:val="24"/>
          <w:szCs w:val="24"/>
        </w:rPr>
        <w:t>数据交换是依据数据交换流程实现的，针对不同的数据类型（结构化数据、文件数据、实时流数据等），需要设定和管理不同的数据流转过程。</w:t>
      </w:r>
    </w:p>
    <w:p w14:paraId="4EF57A18">
      <w:pPr>
        <w:spacing w:line="276" w:lineRule="auto"/>
        <w:ind w:firstLine="480"/>
        <w:rPr>
          <w:rFonts w:hint="eastAsia" w:ascii="宋体" w:hAnsi="宋体" w:eastAsia="宋体"/>
          <w:sz w:val="24"/>
          <w:szCs w:val="24"/>
        </w:rPr>
      </w:pPr>
      <w:r>
        <w:rPr>
          <w:rFonts w:hint="eastAsia" w:ascii="宋体" w:hAnsi="宋体" w:eastAsia="宋体"/>
          <w:sz w:val="24"/>
          <w:szCs w:val="24"/>
        </w:rPr>
        <w:t>具体功能包括：</w:t>
      </w:r>
    </w:p>
    <w:p w14:paraId="3C1A32E9">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新建流程、修改或删除流程</w:t>
      </w:r>
    </w:p>
    <w:p w14:paraId="5C4A30A3">
      <w:pPr>
        <w:spacing w:line="276" w:lineRule="auto"/>
        <w:ind w:firstLine="480"/>
        <w:rPr>
          <w:rFonts w:hint="eastAsia" w:ascii="宋体" w:hAnsi="宋体" w:eastAsia="宋体"/>
          <w:sz w:val="24"/>
          <w:szCs w:val="24"/>
        </w:rPr>
      </w:pPr>
      <w:r>
        <w:rPr>
          <w:rFonts w:ascii="宋体" w:hAnsi="宋体" w:eastAsia="宋体"/>
          <w:sz w:val="24"/>
          <w:szCs w:val="24"/>
        </w:rPr>
        <w:t>维护流程的规则、数据加工过程和数据路由方式</w:t>
      </w:r>
    </w:p>
    <w:p w14:paraId="4E192C79">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数据映射管理</w:t>
      </w:r>
    </w:p>
    <w:p w14:paraId="67239F69">
      <w:pPr>
        <w:spacing w:line="276" w:lineRule="auto"/>
        <w:ind w:firstLine="480"/>
        <w:rPr>
          <w:rFonts w:hint="eastAsia" w:ascii="宋体" w:hAnsi="宋体" w:eastAsia="宋体"/>
          <w:sz w:val="24"/>
          <w:szCs w:val="24"/>
        </w:rPr>
      </w:pPr>
      <w:r>
        <w:rPr>
          <w:rFonts w:hint="eastAsia" w:ascii="宋体" w:hAnsi="宋体" w:eastAsia="宋体"/>
          <w:sz w:val="24"/>
          <w:szCs w:val="24"/>
        </w:rPr>
        <w:t>从各个横向部门获取的数据可能存在数据的存储位置、属性、名称等各方面的差异，所以需要在数据交换时建立对应项的映射关系。通过数据映射实现各数据项的对应、数据类型的匹配或转换关系等。</w:t>
      </w:r>
    </w:p>
    <w:p w14:paraId="0CC656E2">
      <w:pPr>
        <w:spacing w:line="276" w:lineRule="auto"/>
        <w:ind w:firstLine="480"/>
        <w:rPr>
          <w:rFonts w:hint="eastAsia" w:ascii="宋体" w:hAnsi="宋体" w:eastAsia="宋体"/>
          <w:sz w:val="24"/>
          <w:szCs w:val="24"/>
        </w:rPr>
      </w:pPr>
      <w:r>
        <w:rPr>
          <w:rFonts w:ascii="宋体" w:hAnsi="宋体" w:eastAsia="宋体"/>
          <w:sz w:val="24"/>
          <w:szCs w:val="24"/>
        </w:rPr>
        <w:t>e.数据治理标准</w:t>
      </w:r>
    </w:p>
    <w:p w14:paraId="056A45F0">
      <w:pPr>
        <w:spacing w:line="276" w:lineRule="auto"/>
        <w:ind w:firstLine="480"/>
        <w:rPr>
          <w:rFonts w:hint="eastAsia" w:ascii="宋体" w:hAnsi="宋体" w:eastAsia="宋体"/>
          <w:sz w:val="24"/>
          <w:szCs w:val="24"/>
        </w:rPr>
      </w:pPr>
      <w:r>
        <w:rPr>
          <w:rFonts w:hint="eastAsia" w:ascii="宋体" w:hAnsi="宋体" w:eastAsia="宋体"/>
          <w:sz w:val="24"/>
          <w:szCs w:val="24"/>
        </w:rPr>
        <w:t>从多个单位多个系统获取的数据普遍存在数据重复、数据缺失、数据格式出错等问题，数据治理主要针对原始数据进行数据的准确性、完整性、一致性、惟一性、适时性、有效性几个方面来处理。其主要功能包括：数据去重、数据转换和数据比对。</w:t>
      </w:r>
    </w:p>
    <w:p w14:paraId="49A91FAC">
      <w:pPr>
        <w:spacing w:line="276" w:lineRule="auto"/>
        <w:ind w:firstLine="480"/>
        <w:rPr>
          <w:rFonts w:hint="eastAsia" w:ascii="宋体" w:hAnsi="宋体" w:eastAsia="宋体"/>
          <w:sz w:val="24"/>
          <w:szCs w:val="24"/>
        </w:rPr>
      </w:pPr>
      <w:r>
        <w:rPr>
          <w:rFonts w:hint="eastAsia" w:ascii="宋体" w:hAnsi="宋体" w:eastAsia="宋体"/>
          <w:sz w:val="24"/>
          <w:szCs w:val="24"/>
        </w:rPr>
        <w:t>数据去重：重复数据可能导致相同数据多次通过接口进行数据上报或潜在的数据多次上传可能，系统自动分析各组数据的内容并对重复数据进行自动删除。</w:t>
      </w:r>
    </w:p>
    <w:p w14:paraId="25415FB5">
      <w:pPr>
        <w:spacing w:line="276" w:lineRule="auto"/>
        <w:ind w:firstLine="480"/>
        <w:rPr>
          <w:rFonts w:hint="eastAsia" w:ascii="宋体" w:hAnsi="宋体" w:eastAsia="宋体"/>
          <w:sz w:val="24"/>
          <w:szCs w:val="24"/>
        </w:rPr>
      </w:pPr>
      <w:r>
        <w:rPr>
          <w:rFonts w:hint="eastAsia" w:ascii="宋体" w:hAnsi="宋体" w:eastAsia="宋体"/>
          <w:sz w:val="24"/>
          <w:szCs w:val="24"/>
        </w:rPr>
        <w:t>数据转换：主要针对相同含义的不同数据进行数据转换，如：性别字段男性可能存储的数据为</w:t>
      </w:r>
      <w:r>
        <w:rPr>
          <w:rFonts w:ascii="宋体" w:hAnsi="宋体" w:eastAsia="宋体"/>
          <w:sz w:val="24"/>
          <w:szCs w:val="24"/>
        </w:rPr>
        <w:t>man、男、1等，通过数据转换规则对数据进行统一。</w:t>
      </w:r>
    </w:p>
    <w:p w14:paraId="635539D6">
      <w:pPr>
        <w:spacing w:line="276" w:lineRule="auto"/>
        <w:ind w:firstLine="480"/>
        <w:rPr>
          <w:rFonts w:hint="eastAsia" w:ascii="宋体" w:hAnsi="宋体" w:eastAsia="宋体"/>
          <w:sz w:val="24"/>
          <w:szCs w:val="24"/>
        </w:rPr>
      </w:pPr>
      <w:r>
        <w:rPr>
          <w:rFonts w:hint="eastAsia" w:ascii="宋体" w:hAnsi="宋体" w:eastAsia="宋体"/>
          <w:sz w:val="24"/>
          <w:szCs w:val="24"/>
        </w:rPr>
        <w:t>数据比对：对于数据验证主要通过全表比对的方式进行，数据对接过程中会逐条比较源表和目标表的记录，将</w:t>
      </w:r>
      <w:r>
        <w:rPr>
          <w:rFonts w:hint="eastAsia" w:ascii="宋体" w:hAnsi="宋体" w:eastAsia="宋体" w:cs="宋体"/>
          <w:sz w:val="24"/>
          <w:szCs w:val="24"/>
        </w:rPr>
        <w:t>䦹</w:t>
      </w:r>
      <w:r>
        <w:rPr>
          <w:rFonts w:hint="eastAsia" w:ascii="宋体" w:hAnsi="宋体" w:eastAsia="宋体" w:cs="方正仿宋_GBK"/>
          <w:sz w:val="24"/>
          <w:szCs w:val="24"/>
        </w:rPr>
        <w:t>规则的数据记录读取出来。比对通过的数据入库，比对不通过的数据会进入异常数据日志，管理人员与数据提供单位进行确认后，重新进行数据接入。</w:t>
      </w:r>
    </w:p>
    <w:p w14:paraId="1E07468D">
      <w:pPr>
        <w:spacing w:line="276" w:lineRule="auto"/>
        <w:ind w:firstLine="480"/>
        <w:rPr>
          <w:rFonts w:hint="eastAsia" w:ascii="宋体" w:hAnsi="宋体" w:eastAsia="宋体"/>
          <w:sz w:val="24"/>
          <w:szCs w:val="24"/>
        </w:rPr>
      </w:pPr>
      <w:r>
        <w:rPr>
          <w:rFonts w:ascii="宋体" w:hAnsi="宋体" w:eastAsia="宋体"/>
          <w:sz w:val="24"/>
          <w:szCs w:val="24"/>
        </w:rPr>
        <w:t>f.数据运行监控</w:t>
      </w:r>
    </w:p>
    <w:p w14:paraId="62E88773">
      <w:pPr>
        <w:spacing w:line="276" w:lineRule="auto"/>
        <w:ind w:firstLine="480"/>
        <w:rPr>
          <w:rFonts w:hint="eastAsia" w:ascii="宋体" w:hAnsi="宋体" w:eastAsia="宋体"/>
          <w:sz w:val="24"/>
          <w:szCs w:val="24"/>
        </w:rPr>
      </w:pPr>
      <w:r>
        <w:rPr>
          <w:rFonts w:hint="eastAsia" w:ascii="宋体" w:hAnsi="宋体" w:eastAsia="宋体"/>
          <w:sz w:val="24"/>
          <w:szCs w:val="24"/>
        </w:rPr>
        <w:t>对数据共享单位的数据传输状态进行实时监控，防止出现数据链路断开等现象发生，同时能够把握数据共享总量的把控，对数据转入</w:t>
      </w:r>
      <w:r>
        <w:rPr>
          <w:rFonts w:ascii="宋体" w:hAnsi="宋体" w:eastAsia="宋体"/>
          <w:sz w:val="24"/>
          <w:szCs w:val="24"/>
        </w:rPr>
        <w:t>/转出、来源、数据量等情况进行统计和查询，从而对数据共享状态进行监控（例如等待处理、正在进行、处理完毕、回执收到、处理中断等）的监控，可以追踪保障数据共享平台能够正常运行。</w:t>
      </w:r>
    </w:p>
    <w:p w14:paraId="28FAB740">
      <w:pPr>
        <w:pStyle w:val="8"/>
        <w:rPr>
          <w:rFonts w:hint="eastAsia"/>
        </w:rPr>
      </w:pPr>
      <w:r>
        <w:rPr>
          <w:rFonts w:hint="eastAsia"/>
        </w:rPr>
        <w:t>建筑垃圾（渣土）全链条监管系统</w:t>
      </w:r>
    </w:p>
    <w:p w14:paraId="342837FB">
      <w:pPr>
        <w:spacing w:line="276" w:lineRule="auto"/>
        <w:ind w:firstLine="480"/>
        <w:rPr>
          <w:rFonts w:hint="eastAsia" w:ascii="宋体" w:hAnsi="宋体" w:eastAsia="宋体"/>
          <w:sz w:val="24"/>
          <w:szCs w:val="24"/>
        </w:rPr>
      </w:pPr>
      <w:r>
        <w:rPr>
          <w:rFonts w:hint="eastAsia" w:ascii="宋体" w:hAnsi="宋体" w:eastAsia="宋体"/>
          <w:sz w:val="24"/>
          <w:szCs w:val="24"/>
        </w:rPr>
        <w:t>通过融合大数据、物联网与人工智能等前沿技术，构建一个对渣土运输“两点一线”的科学化、精细化、规范化的智慧渣土监管平台。建筑垃圾（渣土）管理系统，可实现对建筑垃圾（渣土）管理中涉及的建筑工地、消纳场所、运输路线、车辆分布等全部实名制登记入档，并通过实时数据、监控视频等可视化呈现，实时掌控渣土要素信息，其特点是通过可视化的技术手段，以 GIS 地图为基础,联动渣土功能模块。实现要素资源的可视化分析、智能预警、统一协调、综合指挥。</w:t>
      </w:r>
    </w:p>
    <w:p w14:paraId="621472E3">
      <w:pPr>
        <w:pStyle w:val="14"/>
        <w:rPr>
          <w:rFonts w:hint="eastAsia"/>
          <w:bCs w:val="0"/>
        </w:rPr>
      </w:pPr>
      <w:r>
        <w:rPr>
          <w:rFonts w:hint="eastAsia"/>
          <w:bCs w:val="0"/>
        </w:rPr>
        <w:t>基础信息管理</w:t>
      </w:r>
    </w:p>
    <w:p w14:paraId="7ED4C858">
      <w:pPr>
        <w:spacing w:line="276" w:lineRule="auto"/>
        <w:ind w:firstLine="480"/>
        <w:rPr>
          <w:rFonts w:hint="eastAsia" w:ascii="宋体" w:hAnsi="宋体" w:eastAsia="宋体"/>
          <w:sz w:val="24"/>
          <w:szCs w:val="24"/>
        </w:rPr>
      </w:pPr>
      <w:r>
        <w:rPr>
          <w:rFonts w:hint="eastAsia" w:ascii="宋体" w:hAnsi="宋体" w:eastAsia="宋体"/>
          <w:sz w:val="24"/>
          <w:szCs w:val="24"/>
        </w:rPr>
        <w:t>对GIS一张图、工地、中转调配厂、车辆停车场、消纳场、渣土运输企业、运输车辆以及驾驶员信息进行统一管理，包含基本信息的维护，信息的查询、添加、删除、修改、批量导入、批量导出以及数量统计等功能。</w:t>
      </w:r>
    </w:p>
    <w:p w14:paraId="44B4171E">
      <w:pPr>
        <w:pStyle w:val="14"/>
        <w:rPr>
          <w:rFonts w:hint="eastAsia"/>
          <w:bCs w:val="0"/>
        </w:rPr>
      </w:pPr>
      <w:r>
        <w:rPr>
          <w:rFonts w:hint="eastAsia"/>
          <w:bCs w:val="0"/>
        </w:rPr>
        <w:t>审批报备</w:t>
      </w:r>
    </w:p>
    <w:p w14:paraId="4BFB6D4A">
      <w:pPr>
        <w:spacing w:line="276" w:lineRule="auto"/>
        <w:ind w:firstLine="480"/>
        <w:rPr>
          <w:rFonts w:hint="eastAsia" w:ascii="宋体" w:hAnsi="宋体" w:eastAsia="宋体"/>
          <w:sz w:val="24"/>
          <w:szCs w:val="24"/>
        </w:rPr>
      </w:pPr>
      <w:r>
        <w:rPr>
          <w:rFonts w:hint="eastAsia" w:ascii="宋体" w:hAnsi="宋体" w:eastAsia="宋体"/>
          <w:sz w:val="24"/>
          <w:szCs w:val="24"/>
        </w:rPr>
        <w:t>资质申报审批管理应用实现建筑垃圾（渣土）（含装修垃圾）涉及的作业主体的建筑垃圾（渣土）处置行政许可管理，包括工地、运输企业、消纳点，确定各主体之间的绑定关系，明确最终可最终运输的车辆，实现建筑垃圾（渣土）“两点一线”中“两点”和“一线”的确认，并确认“一线”上可以运输的车辆。</w:t>
      </w:r>
    </w:p>
    <w:p w14:paraId="6DC4FEFE">
      <w:pPr>
        <w:pStyle w:val="14"/>
        <w:rPr>
          <w:rFonts w:hint="eastAsia"/>
        </w:rPr>
      </w:pPr>
      <w:r>
        <w:rPr>
          <w:rFonts w:hint="eastAsia"/>
        </w:rPr>
        <w:t>建筑工地监管</w:t>
      </w:r>
    </w:p>
    <w:p w14:paraId="2EBFF04C">
      <w:pPr>
        <w:spacing w:line="276" w:lineRule="auto"/>
        <w:ind w:firstLine="480"/>
        <w:rPr>
          <w:rFonts w:hint="eastAsia" w:ascii="宋体" w:hAnsi="宋体" w:eastAsia="宋体"/>
          <w:sz w:val="24"/>
          <w:szCs w:val="24"/>
        </w:rPr>
      </w:pPr>
      <w:r>
        <w:rPr>
          <w:rFonts w:hint="eastAsia" w:ascii="宋体" w:hAnsi="宋体" w:eastAsia="宋体"/>
          <w:sz w:val="24"/>
          <w:szCs w:val="24"/>
        </w:rPr>
        <w:t>1进出场车辆管理</w:t>
      </w:r>
    </w:p>
    <w:p w14:paraId="18B746C6">
      <w:pPr>
        <w:spacing w:line="276" w:lineRule="auto"/>
        <w:ind w:firstLine="480"/>
        <w:rPr>
          <w:rFonts w:hint="eastAsia" w:ascii="宋体" w:hAnsi="宋体" w:eastAsia="宋体"/>
          <w:sz w:val="24"/>
          <w:szCs w:val="24"/>
        </w:rPr>
      </w:pPr>
      <w:r>
        <w:rPr>
          <w:rFonts w:hint="eastAsia" w:ascii="宋体" w:hAnsi="宋体" w:eastAsia="宋体"/>
          <w:sz w:val="24"/>
          <w:szCs w:val="24"/>
        </w:rPr>
        <w:t>通过对接建筑工地车牌识别、地磅等设备，对出入产生源的车辆进行限制，避免黑车进入产生源进行违规运输、处置。设置工地白名单，合规车辆可正常出入产生源，违规车辆闯入将进行留痕记录。依托地磅设备及时掌握产生源建筑垃圾（渣土）出土量，推送至信息化平台，辅助大丰区及时掌握产生源出入情况。</w:t>
      </w:r>
    </w:p>
    <w:p w14:paraId="4D5B999F">
      <w:pPr>
        <w:spacing w:line="276" w:lineRule="auto"/>
        <w:ind w:firstLine="480"/>
        <w:rPr>
          <w:rFonts w:hint="eastAsia" w:ascii="宋体" w:hAnsi="宋体" w:eastAsia="宋体"/>
          <w:sz w:val="24"/>
          <w:szCs w:val="24"/>
        </w:rPr>
      </w:pPr>
      <w:r>
        <w:rPr>
          <w:rFonts w:hint="eastAsia" w:ascii="宋体" w:hAnsi="宋体" w:eastAsia="宋体"/>
          <w:sz w:val="24"/>
          <w:szCs w:val="24"/>
        </w:rPr>
        <w:t>2未办理准运手续告警</w:t>
      </w:r>
    </w:p>
    <w:p w14:paraId="5CFDF45E">
      <w:pPr>
        <w:spacing w:line="276" w:lineRule="auto"/>
        <w:ind w:firstLine="480"/>
        <w:rPr>
          <w:rFonts w:hint="eastAsia" w:ascii="宋体" w:hAnsi="宋体" w:eastAsia="宋体"/>
          <w:sz w:val="24"/>
          <w:szCs w:val="24"/>
        </w:rPr>
      </w:pPr>
      <w:r>
        <w:rPr>
          <w:rFonts w:hint="eastAsia" w:ascii="宋体" w:hAnsi="宋体" w:eastAsia="宋体"/>
          <w:sz w:val="24"/>
          <w:szCs w:val="24"/>
        </w:rPr>
        <w:t>对进入建筑工地的清运车辆进行识别判断，若不符合准运资格，系统将对车辆信息进行留痕记录。同时，系统对各运输企业未办理准运手续的车辆进行及时提醒，告知车辆尽快开展手续办理工作。</w:t>
      </w:r>
    </w:p>
    <w:p w14:paraId="47852548">
      <w:pPr>
        <w:spacing w:line="276" w:lineRule="auto"/>
        <w:ind w:firstLine="480"/>
        <w:rPr>
          <w:rFonts w:hint="eastAsia" w:ascii="宋体" w:hAnsi="宋体" w:eastAsia="宋体"/>
          <w:sz w:val="24"/>
          <w:szCs w:val="24"/>
        </w:rPr>
      </w:pPr>
      <w:r>
        <w:rPr>
          <w:rFonts w:hint="eastAsia" w:ascii="宋体" w:hAnsi="宋体" w:eastAsia="宋体"/>
          <w:sz w:val="24"/>
          <w:szCs w:val="24"/>
        </w:rPr>
        <w:t>3出场车辆未密闭运输告警</w:t>
      </w:r>
    </w:p>
    <w:p w14:paraId="40B48F0A">
      <w:pPr>
        <w:spacing w:line="276" w:lineRule="auto"/>
        <w:ind w:firstLine="480"/>
        <w:rPr>
          <w:rFonts w:hint="eastAsia" w:ascii="宋体" w:hAnsi="宋体" w:eastAsia="宋体"/>
          <w:sz w:val="24"/>
          <w:szCs w:val="24"/>
        </w:rPr>
      </w:pPr>
      <w:r>
        <w:rPr>
          <w:rFonts w:hint="eastAsia" w:ascii="宋体" w:hAnsi="宋体" w:eastAsia="宋体"/>
          <w:sz w:val="24"/>
          <w:szCs w:val="24"/>
        </w:rPr>
        <w:t>接入建筑工地视频监控资源，管理单位能够对出入建筑工地的车辆进行视频查看，反差车辆是否密闭运输，若存在未密闭运输的可截屏并进行未必米运输告警，为执法等工作进行留痕记录。</w:t>
      </w:r>
    </w:p>
    <w:p w14:paraId="38EB6E66">
      <w:pPr>
        <w:spacing w:line="276" w:lineRule="auto"/>
        <w:ind w:firstLine="480"/>
        <w:rPr>
          <w:rFonts w:hint="eastAsia" w:ascii="宋体" w:hAnsi="宋体" w:eastAsia="宋体"/>
          <w:sz w:val="24"/>
          <w:szCs w:val="24"/>
        </w:rPr>
      </w:pPr>
      <w:r>
        <w:rPr>
          <w:rFonts w:hint="eastAsia" w:ascii="宋体" w:hAnsi="宋体" w:eastAsia="宋体"/>
          <w:sz w:val="24"/>
          <w:szCs w:val="24"/>
        </w:rPr>
        <w:t>4车辆在途监管</w:t>
      </w:r>
    </w:p>
    <w:p w14:paraId="22EC3E03">
      <w:pPr>
        <w:spacing w:line="276" w:lineRule="auto"/>
        <w:ind w:firstLine="480"/>
        <w:rPr>
          <w:rFonts w:hint="eastAsia" w:ascii="宋体" w:hAnsi="宋体" w:eastAsia="宋体"/>
          <w:sz w:val="24"/>
          <w:szCs w:val="24"/>
        </w:rPr>
      </w:pPr>
      <w:r>
        <w:rPr>
          <w:rFonts w:hint="eastAsia" w:ascii="宋体" w:hAnsi="宋体" w:eastAsia="宋体"/>
          <w:sz w:val="24"/>
          <w:szCs w:val="24"/>
        </w:rPr>
        <w:t>实时监测渣土车辆实时位置、运行轨迹，监管车辆是否按照规定的运输路线进行运输，中途是否出现违规倾倒或者出现在禁驶路段行驶时，进行及时提醒，避免违规行为的发生，从源头杜绝安全事故的发生。可地图查看车辆实时清运位置，包括地址、速度、状态等。</w:t>
      </w:r>
    </w:p>
    <w:p w14:paraId="4E75F593">
      <w:pPr>
        <w:spacing w:line="276" w:lineRule="auto"/>
        <w:ind w:firstLine="480"/>
        <w:rPr>
          <w:rFonts w:hint="eastAsia" w:ascii="宋体" w:hAnsi="宋体" w:eastAsia="宋体"/>
          <w:sz w:val="24"/>
          <w:szCs w:val="24"/>
        </w:rPr>
      </w:pPr>
      <w:r>
        <w:rPr>
          <w:rFonts w:hint="eastAsia" w:ascii="宋体" w:hAnsi="宋体" w:eastAsia="宋体"/>
          <w:sz w:val="24"/>
          <w:szCs w:val="24"/>
        </w:rPr>
        <w:t>5消纳场监管</w:t>
      </w:r>
    </w:p>
    <w:p w14:paraId="2067EAB8">
      <w:pPr>
        <w:spacing w:line="276" w:lineRule="auto"/>
        <w:ind w:firstLine="480"/>
        <w:rPr>
          <w:rFonts w:hint="eastAsia" w:ascii="宋体" w:hAnsi="宋体" w:eastAsia="宋体"/>
          <w:sz w:val="24"/>
          <w:szCs w:val="24"/>
        </w:rPr>
      </w:pPr>
      <w:r>
        <w:rPr>
          <w:rFonts w:hint="eastAsia" w:ascii="宋体" w:hAnsi="宋体" w:eastAsia="宋体"/>
          <w:sz w:val="24"/>
          <w:szCs w:val="24"/>
        </w:rPr>
        <w:t>通过对接消纳场车牌识别、地磅等设备，对出入产生源的车辆进行限制，避免黑车进入产生源进行违规运输、处置。设置消纳场白名单，合规车辆可正常出入产生源，违规车辆闯入将进行留痕记录。依托地磅设备及时掌握消纳场处置量，推送至信息化平台，辅助大丰区及时掌握消纳场建筑垃圾（渣土）处置情况。</w:t>
      </w:r>
    </w:p>
    <w:p w14:paraId="564B268F">
      <w:pPr>
        <w:spacing w:line="276" w:lineRule="auto"/>
        <w:ind w:firstLine="480"/>
        <w:rPr>
          <w:rFonts w:hint="eastAsia" w:ascii="宋体" w:hAnsi="宋体" w:eastAsia="宋体"/>
          <w:sz w:val="24"/>
          <w:szCs w:val="24"/>
        </w:rPr>
      </w:pPr>
      <w:r>
        <w:rPr>
          <w:rFonts w:hint="eastAsia" w:ascii="宋体" w:hAnsi="宋体" w:eastAsia="宋体"/>
          <w:sz w:val="24"/>
          <w:szCs w:val="24"/>
        </w:rPr>
        <w:t>6数据分析和决策支持</w:t>
      </w:r>
    </w:p>
    <w:p w14:paraId="08520B72">
      <w:pPr>
        <w:spacing w:line="276" w:lineRule="auto"/>
        <w:ind w:firstLine="480"/>
        <w:rPr>
          <w:rFonts w:hint="eastAsia" w:ascii="宋体" w:hAnsi="宋体" w:eastAsia="宋体"/>
          <w:sz w:val="24"/>
          <w:szCs w:val="24"/>
        </w:rPr>
      </w:pPr>
      <w:r>
        <w:rPr>
          <w:rFonts w:hint="eastAsia" w:ascii="宋体" w:hAnsi="宋体" w:eastAsia="宋体"/>
          <w:sz w:val="24"/>
          <w:szCs w:val="24"/>
        </w:rPr>
        <w:t>可视化报表包括建筑垃圾（渣土）产生、运输、处置的报表统计，支持可视化图表方式进行展示，直观掌握不同作业过程的建筑垃圾（渣土）业务数据。产生源可包括建筑垃圾（渣土）产量、建筑垃圾（渣土）产生源统计；运输过程可包括运输企业资源统计、每日建筑垃圾（渣土）运输趟数统计；处置可包括建筑垃圾（渣土）处置量统计、不同区域建筑垃圾（渣土）处置量占比分析等。</w:t>
      </w:r>
    </w:p>
    <w:p w14:paraId="75A72BC1">
      <w:pPr>
        <w:spacing w:line="276" w:lineRule="auto"/>
        <w:ind w:firstLine="480"/>
        <w:rPr>
          <w:rFonts w:hint="eastAsia" w:ascii="宋体" w:hAnsi="宋体" w:eastAsia="宋体"/>
          <w:sz w:val="24"/>
          <w:szCs w:val="24"/>
        </w:rPr>
      </w:pPr>
      <w:r>
        <w:rPr>
          <w:rFonts w:hint="eastAsia" w:ascii="宋体" w:hAnsi="宋体" w:eastAsia="宋体"/>
          <w:sz w:val="24"/>
          <w:szCs w:val="24"/>
        </w:rPr>
        <w:t>7视频监控管理</w:t>
      </w:r>
    </w:p>
    <w:p w14:paraId="628BE846">
      <w:pPr>
        <w:keepNext w:val="0"/>
        <w:keepLines w:val="0"/>
        <w:pageBreakBefore w:val="0"/>
        <w:widowControl w:val="0"/>
        <w:kinsoku/>
        <w:wordWrap/>
        <w:overflowPunct/>
        <w:topLinePunct w:val="0"/>
        <w:autoSpaceDE/>
        <w:autoSpaceDN/>
        <w:bidi w:val="0"/>
        <w:adjustRightInd/>
        <w:snapToGrid/>
        <w:spacing w:line="276" w:lineRule="auto"/>
        <w:ind w:firstLine="480"/>
        <w:textAlignment w:val="auto"/>
        <w:rPr>
          <w:rFonts w:hint="eastAsia" w:ascii="宋体" w:hAnsi="宋体" w:eastAsia="宋体"/>
          <w:sz w:val="24"/>
          <w:szCs w:val="24"/>
        </w:rPr>
      </w:pPr>
      <w:r>
        <w:rPr>
          <w:rFonts w:hint="eastAsia" w:ascii="宋体" w:hAnsi="宋体" w:eastAsia="宋体"/>
          <w:sz w:val="24"/>
          <w:szCs w:val="24"/>
        </w:rPr>
        <w:t>视频监控管理包括产生源（工地）、运输车辆、消纳场现有视频监控资源的计入，平台进行统一管理维护，为远程调度监管提供统一支撑。可以通过视频树状结构查看对应建筑工地、运输车辆、消纳场视频画面，可多画面同时查看。可对任一路视频进行回放查看，便于对历史问题进行追踪溯源反查。</w:t>
      </w:r>
    </w:p>
    <w:p w14:paraId="353520DB">
      <w:pPr>
        <w:keepNext w:val="0"/>
        <w:keepLines w:val="0"/>
        <w:pageBreakBefore w:val="0"/>
        <w:widowControl w:val="0"/>
        <w:kinsoku/>
        <w:wordWrap/>
        <w:overflowPunct/>
        <w:topLinePunct w:val="0"/>
        <w:autoSpaceDE/>
        <w:autoSpaceDN/>
        <w:bidi w:val="0"/>
        <w:adjustRightInd/>
        <w:snapToGrid/>
        <w:spacing w:line="276" w:lineRule="auto"/>
        <w:ind w:firstLine="480"/>
        <w:textAlignment w:val="auto"/>
        <w:rPr>
          <w:rFonts w:hint="eastAsia" w:ascii="宋体" w:hAnsi="宋体" w:eastAsia="宋体"/>
          <w:sz w:val="24"/>
          <w:szCs w:val="24"/>
        </w:rPr>
      </w:pPr>
      <w:r>
        <w:rPr>
          <w:rFonts w:hint="eastAsia" w:ascii="宋体" w:hAnsi="宋体" w:eastAsia="宋体"/>
          <w:sz w:val="24"/>
          <w:szCs w:val="24"/>
        </w:rPr>
        <w:t>目前盐城市已建设建筑垃圾全过程监管平台，能够实现“两点一线”全过程管理，本次大丰区城管局将复用盐城市建筑垃圾全过程监管平台，通过分配账号权限对大丰区建筑垃圾（渣土）业务进行管理，满足市级监管要求，不再单独建设该模块。</w:t>
      </w:r>
    </w:p>
    <w:p w14:paraId="6296AA2F">
      <w:pPr>
        <w:pStyle w:val="6"/>
        <w:keepNext w:val="0"/>
        <w:keepLines w:val="0"/>
        <w:pageBreakBefore w:val="0"/>
        <w:widowControl w:val="0"/>
        <w:kinsoku/>
        <w:wordWrap/>
        <w:overflowPunct/>
        <w:topLinePunct w:val="0"/>
        <w:autoSpaceDE/>
        <w:autoSpaceDN/>
        <w:bidi w:val="0"/>
        <w:adjustRightInd/>
        <w:snapToGrid/>
        <w:spacing w:before="0" w:after="0" w:line="276" w:lineRule="auto"/>
        <w:ind w:firstLine="482"/>
        <w:textAlignment w:val="auto"/>
        <w:rPr>
          <w:rFonts w:hint="eastAsia" w:ascii="宋体" w:hAnsi="宋体"/>
        </w:rPr>
      </w:pPr>
      <w:r>
        <w:rPr>
          <w:rFonts w:hint="eastAsia" w:ascii="宋体" w:hAnsi="宋体"/>
        </w:rPr>
        <w:t>为提升建筑垃圾运输过程的规范性，本次通过对大丰区各重点路段调研，选择其中8个工地试点，对工地出入车辆进行识别判断，规避违规车辆进入进行建筑渣土运输工作。因此通过对8个工地安装车牌摄像头和硬盘录像机实现车牌识别。</w:t>
      </w:r>
    </w:p>
    <w:p w14:paraId="63760ED1">
      <w:pPr>
        <w:pStyle w:val="6"/>
        <w:keepNext w:val="0"/>
        <w:keepLines w:val="0"/>
        <w:pageBreakBefore w:val="0"/>
        <w:widowControl w:val="0"/>
        <w:kinsoku/>
        <w:wordWrap/>
        <w:overflowPunct/>
        <w:topLinePunct w:val="0"/>
        <w:autoSpaceDE/>
        <w:autoSpaceDN/>
        <w:bidi w:val="0"/>
        <w:adjustRightInd/>
        <w:snapToGrid/>
        <w:spacing w:before="0" w:after="0" w:line="276" w:lineRule="auto"/>
        <w:ind w:firstLine="482"/>
        <w:textAlignment w:val="auto"/>
        <w:rPr>
          <w:rFonts w:hint="eastAsia" w:ascii="宋体" w:hAnsi="宋体"/>
        </w:rPr>
      </w:pPr>
      <w:r>
        <w:rPr>
          <w:rFonts w:hint="eastAsia" w:ascii="宋体" w:hAnsi="宋体"/>
        </w:rPr>
        <w:t>此外，本次还将对接现有各视频点位，复用现有视频监控。以下是具体固定点视频监控选址情况及现有接入执法系统视频监控情况：</w:t>
      </w:r>
    </w:p>
    <w:tbl>
      <w:tblPr>
        <w:tblStyle w:val="90"/>
        <w:tblW w:w="5000" w:type="pct"/>
        <w:tblInd w:w="0" w:type="dxa"/>
        <w:tblLayout w:type="autofit"/>
        <w:tblCellMar>
          <w:top w:w="0" w:type="dxa"/>
          <w:left w:w="108" w:type="dxa"/>
          <w:bottom w:w="0" w:type="dxa"/>
          <w:right w:w="108" w:type="dxa"/>
        </w:tblCellMar>
      </w:tblPr>
      <w:tblGrid>
        <w:gridCol w:w="859"/>
        <w:gridCol w:w="4619"/>
        <w:gridCol w:w="3044"/>
      </w:tblGrid>
      <w:tr w14:paraId="21F2C976">
        <w:tblPrEx>
          <w:tblCellMar>
            <w:top w:w="0" w:type="dxa"/>
            <w:left w:w="108" w:type="dxa"/>
            <w:bottom w:w="0" w:type="dxa"/>
            <w:right w:w="108" w:type="dxa"/>
          </w:tblCellMar>
        </w:tblPrEx>
        <w:trPr>
          <w:trHeight w:val="5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E09A3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5479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点位</w:t>
            </w:r>
          </w:p>
        </w:tc>
        <w:tc>
          <w:tcPr>
            <w:tcW w:w="1786" w:type="pct"/>
            <w:tcBorders>
              <w:top w:val="single" w:color="000000" w:sz="4" w:space="0"/>
              <w:left w:val="single" w:color="000000" w:sz="4" w:space="0"/>
              <w:bottom w:val="single" w:color="000000" w:sz="4" w:space="0"/>
              <w:right w:val="single" w:color="000000" w:sz="4" w:space="0"/>
            </w:tcBorders>
            <w:vAlign w:val="center"/>
          </w:tcPr>
          <w:p w14:paraId="3A47A12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备注</w:t>
            </w:r>
          </w:p>
        </w:tc>
      </w:tr>
      <w:tr w14:paraId="15CBC7AC">
        <w:tblPrEx>
          <w:tblCellMar>
            <w:top w:w="0" w:type="dxa"/>
            <w:left w:w="108" w:type="dxa"/>
            <w:bottom w:w="0" w:type="dxa"/>
            <w:right w:w="108" w:type="dxa"/>
          </w:tblCellMar>
        </w:tblPrEx>
        <w:trPr>
          <w:trHeight w:val="52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24C58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执法大队需求</w:t>
            </w:r>
          </w:p>
        </w:tc>
      </w:tr>
      <w:tr w14:paraId="3025F437">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2776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D169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人民公园西大门与飞达路丁字口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746ED2A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6D414E59">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C1A96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58F4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人民公园西大门与幸福路丁字口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25CCE67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6AC9D27E">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E9B3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ADD9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四中康平路与飞达路路口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17C98A0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执法系统已有摄像头</w:t>
            </w:r>
          </w:p>
        </w:tc>
      </w:tr>
      <w:tr w14:paraId="7641212F">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001A0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C3E2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人民路与飞达路路口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0AE371C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22386634">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7D78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73110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御景嘉园北门</w:t>
            </w:r>
          </w:p>
        </w:tc>
        <w:tc>
          <w:tcPr>
            <w:tcW w:w="1786" w:type="pct"/>
            <w:tcBorders>
              <w:top w:val="single" w:color="000000" w:sz="4" w:space="0"/>
              <w:left w:val="single" w:color="000000" w:sz="4" w:space="0"/>
              <w:bottom w:val="single" w:color="000000" w:sz="4" w:space="0"/>
              <w:right w:val="single" w:color="000000" w:sz="4" w:space="0"/>
            </w:tcBorders>
            <w:vAlign w:val="center"/>
          </w:tcPr>
          <w:p w14:paraId="670F76B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40DDABF5">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6C8F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9A50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城北菜市场西门口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7D08C2B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2AD84F0B">
        <w:tblPrEx>
          <w:tblCellMar>
            <w:top w:w="0" w:type="dxa"/>
            <w:left w:w="108" w:type="dxa"/>
            <w:bottom w:w="0" w:type="dxa"/>
            <w:right w:w="108" w:type="dxa"/>
          </w:tblCellMar>
        </w:tblPrEx>
        <w:trPr>
          <w:trHeight w:val="6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7925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CB6CF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朝阳路与幸福路路口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0DF51C2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移动大队自己安装在吾悦广场的摄像头（注意不是执法系统的）</w:t>
            </w:r>
          </w:p>
        </w:tc>
      </w:tr>
      <w:tr w14:paraId="77AAF7CE">
        <w:tblPrEx>
          <w:tblCellMar>
            <w:top w:w="0" w:type="dxa"/>
            <w:left w:w="108" w:type="dxa"/>
            <w:bottom w:w="0" w:type="dxa"/>
            <w:right w:w="108" w:type="dxa"/>
          </w:tblCellMar>
        </w:tblPrEx>
        <w:trPr>
          <w:trHeight w:val="52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269366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环管办（渣土项目）需求</w:t>
            </w:r>
          </w:p>
        </w:tc>
      </w:tr>
      <w:tr w14:paraId="61128A50">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0414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2710" w:type="pct"/>
            <w:tcBorders>
              <w:top w:val="single" w:color="000000" w:sz="4" w:space="0"/>
              <w:left w:val="single" w:color="000000" w:sz="4" w:space="0"/>
              <w:bottom w:val="single" w:color="000000" w:sz="4" w:space="0"/>
              <w:right w:val="single" w:color="000000" w:sz="4" w:space="0"/>
            </w:tcBorders>
            <w:vAlign w:val="center"/>
          </w:tcPr>
          <w:p w14:paraId="129BD16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大丰区白驹镇洋心西路14号(宏远)</w:t>
            </w:r>
          </w:p>
        </w:tc>
        <w:tc>
          <w:tcPr>
            <w:tcW w:w="1786" w:type="pct"/>
            <w:tcBorders>
              <w:top w:val="single" w:color="000000" w:sz="4" w:space="0"/>
              <w:left w:val="single" w:color="000000" w:sz="4" w:space="0"/>
              <w:bottom w:val="single" w:color="000000" w:sz="4" w:space="0"/>
              <w:right w:val="single" w:color="000000" w:sz="4" w:space="0"/>
            </w:tcBorders>
            <w:vAlign w:val="center"/>
          </w:tcPr>
          <w:p w14:paraId="4EFD91D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14:paraId="12BAC523">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DB5F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9</w:t>
            </w:r>
          </w:p>
        </w:tc>
        <w:tc>
          <w:tcPr>
            <w:tcW w:w="2710" w:type="pct"/>
            <w:tcBorders>
              <w:top w:val="single" w:color="000000" w:sz="4" w:space="0"/>
              <w:left w:val="single" w:color="000000" w:sz="4" w:space="0"/>
              <w:bottom w:val="single" w:color="000000" w:sz="4" w:space="0"/>
              <w:right w:val="single" w:color="000000" w:sz="4" w:space="0"/>
            </w:tcBorders>
            <w:vAlign w:val="center"/>
          </w:tcPr>
          <w:p w14:paraId="58FC2FE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大丰区小海镇海团村一组(管交)</w:t>
            </w:r>
          </w:p>
        </w:tc>
        <w:tc>
          <w:tcPr>
            <w:tcW w:w="1786" w:type="pct"/>
            <w:tcBorders>
              <w:top w:val="single" w:color="000000" w:sz="4" w:space="0"/>
              <w:left w:val="single" w:color="000000" w:sz="4" w:space="0"/>
              <w:bottom w:val="single" w:color="000000" w:sz="4" w:space="0"/>
              <w:right w:val="single" w:color="000000" w:sz="4" w:space="0"/>
            </w:tcBorders>
            <w:vAlign w:val="center"/>
          </w:tcPr>
          <w:p w14:paraId="7D237E1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14:paraId="081479D1">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6B4F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10</w:t>
            </w:r>
          </w:p>
        </w:tc>
        <w:tc>
          <w:tcPr>
            <w:tcW w:w="2710" w:type="pct"/>
            <w:tcBorders>
              <w:top w:val="single" w:color="000000" w:sz="4" w:space="0"/>
              <w:left w:val="single" w:color="000000" w:sz="4" w:space="0"/>
              <w:bottom w:val="single" w:color="000000" w:sz="4" w:space="0"/>
              <w:right w:val="single" w:color="000000" w:sz="4" w:space="0"/>
            </w:tcBorders>
            <w:vAlign w:val="center"/>
          </w:tcPr>
          <w:p w14:paraId="1E3E3E7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江苏省盐城市大丰区新丰镇富强街160号(九进一)</w:t>
            </w:r>
          </w:p>
        </w:tc>
        <w:tc>
          <w:tcPr>
            <w:tcW w:w="1786" w:type="pct"/>
            <w:tcBorders>
              <w:top w:val="single" w:color="000000" w:sz="4" w:space="0"/>
              <w:left w:val="single" w:color="000000" w:sz="4" w:space="0"/>
              <w:bottom w:val="single" w:color="000000" w:sz="4" w:space="0"/>
              <w:right w:val="single" w:color="000000" w:sz="4" w:space="0"/>
            </w:tcBorders>
            <w:vAlign w:val="center"/>
          </w:tcPr>
          <w:p w14:paraId="16F11B7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14:paraId="72F421F5">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A7E3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11</w:t>
            </w:r>
          </w:p>
        </w:tc>
        <w:tc>
          <w:tcPr>
            <w:tcW w:w="2710" w:type="pct"/>
            <w:tcBorders>
              <w:top w:val="single" w:color="000000" w:sz="4" w:space="0"/>
              <w:left w:val="single" w:color="000000" w:sz="4" w:space="0"/>
              <w:bottom w:val="single" w:color="000000" w:sz="4" w:space="0"/>
              <w:right w:val="single" w:color="000000" w:sz="4" w:space="0"/>
            </w:tcBorders>
            <w:vAlign w:val="center"/>
          </w:tcPr>
          <w:p w14:paraId="1416EE1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大丰区新丰镇老墩村十三组(老墩)</w:t>
            </w:r>
          </w:p>
        </w:tc>
        <w:tc>
          <w:tcPr>
            <w:tcW w:w="1786" w:type="pct"/>
            <w:tcBorders>
              <w:top w:val="single" w:color="000000" w:sz="4" w:space="0"/>
              <w:left w:val="single" w:color="000000" w:sz="4" w:space="0"/>
              <w:bottom w:val="single" w:color="000000" w:sz="4" w:space="0"/>
              <w:right w:val="single" w:color="000000" w:sz="4" w:space="0"/>
            </w:tcBorders>
            <w:vAlign w:val="center"/>
          </w:tcPr>
          <w:p w14:paraId="330D7E6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14:paraId="6C394963">
        <w:tblPrEx>
          <w:tblCellMar>
            <w:top w:w="0" w:type="dxa"/>
            <w:left w:w="108" w:type="dxa"/>
            <w:bottom w:w="0" w:type="dxa"/>
            <w:right w:w="108" w:type="dxa"/>
          </w:tblCellMar>
        </w:tblPrEx>
        <w:trPr>
          <w:trHeight w:val="6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F47A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w:t>
            </w:r>
          </w:p>
        </w:tc>
        <w:tc>
          <w:tcPr>
            <w:tcW w:w="2710" w:type="pct"/>
            <w:tcBorders>
              <w:top w:val="single" w:color="000000" w:sz="4" w:space="0"/>
              <w:left w:val="single" w:color="000000" w:sz="4" w:space="0"/>
              <w:bottom w:val="single" w:color="000000" w:sz="4" w:space="0"/>
              <w:right w:val="single" w:color="000000" w:sz="4" w:space="0"/>
            </w:tcBorders>
            <w:vAlign w:val="center"/>
          </w:tcPr>
          <w:p w14:paraId="78B1A3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西团镇龙城大道与鸿远路交叉口七灶河口西328米（七灶河村渣土临时堆场）</w:t>
            </w:r>
          </w:p>
        </w:tc>
        <w:tc>
          <w:tcPr>
            <w:tcW w:w="1786" w:type="pct"/>
            <w:tcBorders>
              <w:top w:val="single" w:color="000000" w:sz="4" w:space="0"/>
              <w:left w:val="single" w:color="000000" w:sz="4" w:space="0"/>
              <w:bottom w:val="single" w:color="000000" w:sz="4" w:space="0"/>
              <w:right w:val="single" w:color="000000" w:sz="4" w:space="0"/>
            </w:tcBorders>
            <w:vAlign w:val="center"/>
          </w:tcPr>
          <w:p w14:paraId="4A003A3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6A9DE102">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7D864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13</w:t>
            </w:r>
          </w:p>
        </w:tc>
        <w:tc>
          <w:tcPr>
            <w:tcW w:w="2710" w:type="pct"/>
            <w:tcBorders>
              <w:top w:val="single" w:color="000000" w:sz="4" w:space="0"/>
              <w:left w:val="single" w:color="000000" w:sz="4" w:space="0"/>
              <w:bottom w:val="single" w:color="000000" w:sz="4" w:space="0"/>
              <w:right w:val="single" w:color="000000" w:sz="4" w:space="0"/>
            </w:tcBorders>
            <w:vAlign w:val="center"/>
          </w:tcPr>
          <w:p w14:paraId="0B6532B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开发区（灶圩原铸造厂）</w:t>
            </w:r>
          </w:p>
        </w:tc>
        <w:tc>
          <w:tcPr>
            <w:tcW w:w="1786" w:type="pct"/>
            <w:tcBorders>
              <w:top w:val="single" w:color="000000" w:sz="4" w:space="0"/>
              <w:left w:val="nil"/>
              <w:bottom w:val="single" w:color="000000" w:sz="4" w:space="0"/>
              <w:right w:val="single" w:color="000000" w:sz="4" w:space="0"/>
            </w:tcBorders>
            <w:vAlign w:val="center"/>
          </w:tcPr>
          <w:p w14:paraId="008493E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23668CA3">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C7A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w:t>
            </w:r>
          </w:p>
        </w:tc>
        <w:tc>
          <w:tcPr>
            <w:tcW w:w="2710" w:type="pct"/>
            <w:tcBorders>
              <w:top w:val="single" w:color="000000" w:sz="4" w:space="0"/>
              <w:left w:val="single" w:color="000000" w:sz="4" w:space="0"/>
              <w:bottom w:val="single" w:color="000000" w:sz="4" w:space="0"/>
              <w:right w:val="single" w:color="000000" w:sz="4" w:space="0"/>
            </w:tcBorders>
            <w:vAlign w:val="center"/>
          </w:tcPr>
          <w:p w14:paraId="06F3F3D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新村路与金丰路交叉口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4941157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3A3FE247">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2328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15</w:t>
            </w:r>
          </w:p>
        </w:tc>
        <w:tc>
          <w:tcPr>
            <w:tcW w:w="2710" w:type="pct"/>
            <w:tcBorders>
              <w:top w:val="single" w:color="000000" w:sz="4" w:space="0"/>
              <w:left w:val="single" w:color="000000" w:sz="4" w:space="0"/>
              <w:bottom w:val="single" w:color="000000" w:sz="4" w:space="0"/>
              <w:right w:val="single" w:color="000000" w:sz="4" w:space="0"/>
            </w:tcBorders>
            <w:vAlign w:val="center"/>
          </w:tcPr>
          <w:p w14:paraId="4FCE63A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黄海路与常新路交叉口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13E4B4D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207E2E51">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1421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16</w:t>
            </w:r>
          </w:p>
        </w:tc>
        <w:tc>
          <w:tcPr>
            <w:tcW w:w="2710" w:type="pct"/>
            <w:tcBorders>
              <w:top w:val="single" w:color="000000" w:sz="4" w:space="0"/>
              <w:left w:val="single" w:color="000000" w:sz="4" w:space="0"/>
              <w:bottom w:val="single" w:color="000000" w:sz="4" w:space="0"/>
              <w:right w:val="single" w:color="000000" w:sz="4" w:space="0"/>
            </w:tcBorders>
            <w:vAlign w:val="center"/>
          </w:tcPr>
          <w:p w14:paraId="14AE5C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黄海路与春柳路交叉口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5C5F111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5D9D0742">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744D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17</w:t>
            </w:r>
          </w:p>
        </w:tc>
        <w:tc>
          <w:tcPr>
            <w:tcW w:w="2710" w:type="pct"/>
            <w:tcBorders>
              <w:top w:val="single" w:color="000000" w:sz="4" w:space="0"/>
              <w:left w:val="single" w:color="000000" w:sz="4" w:space="0"/>
              <w:bottom w:val="single" w:color="000000" w:sz="4" w:space="0"/>
              <w:right w:val="single" w:color="000000" w:sz="4" w:space="0"/>
            </w:tcBorders>
            <w:vAlign w:val="center"/>
          </w:tcPr>
          <w:p w14:paraId="21C3556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黄海路与东宁路交叉口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2CF99AC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5BA70280">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9E916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18</w:t>
            </w:r>
          </w:p>
        </w:tc>
        <w:tc>
          <w:tcPr>
            <w:tcW w:w="2710" w:type="pct"/>
            <w:tcBorders>
              <w:top w:val="single" w:color="000000" w:sz="4" w:space="0"/>
              <w:left w:val="single" w:color="000000" w:sz="4" w:space="0"/>
              <w:bottom w:val="single" w:color="000000" w:sz="4" w:space="0"/>
              <w:right w:val="single" w:color="000000" w:sz="4" w:space="0"/>
            </w:tcBorders>
            <w:vAlign w:val="center"/>
          </w:tcPr>
          <w:p w14:paraId="6BF3A89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黄海路与西康路交叉口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6EA8BF3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6DBB075F">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9733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w:t>
            </w:r>
          </w:p>
        </w:tc>
        <w:tc>
          <w:tcPr>
            <w:tcW w:w="2710" w:type="pct"/>
            <w:tcBorders>
              <w:top w:val="single" w:color="000000" w:sz="4" w:space="0"/>
              <w:left w:val="single" w:color="000000" w:sz="4" w:space="0"/>
              <w:bottom w:val="single" w:color="000000" w:sz="4" w:space="0"/>
              <w:right w:val="single" w:color="000000" w:sz="4" w:space="0"/>
            </w:tcBorders>
            <w:vAlign w:val="center"/>
          </w:tcPr>
          <w:p w14:paraId="7216C56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丰华南路与大华路交叉口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49B29A0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337092D1">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6551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20</w:t>
            </w:r>
          </w:p>
        </w:tc>
        <w:tc>
          <w:tcPr>
            <w:tcW w:w="2710" w:type="pct"/>
            <w:tcBorders>
              <w:top w:val="single" w:color="000000" w:sz="4" w:space="0"/>
              <w:left w:val="single" w:color="000000" w:sz="4" w:space="0"/>
              <w:bottom w:val="single" w:color="000000" w:sz="4" w:space="0"/>
              <w:right w:val="single" w:color="000000" w:sz="4" w:space="0"/>
            </w:tcBorders>
            <w:vAlign w:val="center"/>
          </w:tcPr>
          <w:p w14:paraId="15F1C52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南翔路与春柳路交叉口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618021D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6F552C6D">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7D9D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21</w:t>
            </w:r>
          </w:p>
        </w:tc>
        <w:tc>
          <w:tcPr>
            <w:tcW w:w="2710" w:type="pct"/>
            <w:tcBorders>
              <w:top w:val="single" w:color="000000" w:sz="4" w:space="0"/>
              <w:left w:val="single" w:color="000000" w:sz="4" w:space="0"/>
              <w:bottom w:val="single" w:color="000000" w:sz="4" w:space="0"/>
              <w:right w:val="single" w:color="000000" w:sz="4" w:space="0"/>
            </w:tcBorders>
            <w:vAlign w:val="center"/>
          </w:tcPr>
          <w:p w14:paraId="0ED1FEA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南翔路与西康路交叉口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4D19842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1A78F8EC">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B827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22</w:t>
            </w:r>
          </w:p>
        </w:tc>
        <w:tc>
          <w:tcPr>
            <w:tcW w:w="2710" w:type="pct"/>
            <w:tcBorders>
              <w:top w:val="single" w:color="000000" w:sz="4" w:space="0"/>
              <w:left w:val="single" w:color="000000" w:sz="4" w:space="0"/>
              <w:bottom w:val="single" w:color="000000" w:sz="4" w:space="0"/>
              <w:right w:val="single" w:color="000000" w:sz="4" w:space="0"/>
            </w:tcBorders>
            <w:vAlign w:val="center"/>
          </w:tcPr>
          <w:p w14:paraId="0AA632B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东方路与春柳路交叉口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08AF256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209145F0">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2483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23</w:t>
            </w:r>
          </w:p>
        </w:tc>
        <w:tc>
          <w:tcPr>
            <w:tcW w:w="2710" w:type="pct"/>
            <w:tcBorders>
              <w:top w:val="single" w:color="000000" w:sz="4" w:space="0"/>
              <w:left w:val="single" w:color="000000" w:sz="4" w:space="0"/>
              <w:bottom w:val="single" w:color="000000" w:sz="4" w:space="0"/>
              <w:right w:val="single" w:color="000000" w:sz="4" w:space="0"/>
            </w:tcBorders>
            <w:vAlign w:val="center"/>
          </w:tcPr>
          <w:p w14:paraId="38ACC0F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新村路与西康路交叉口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6E2BB72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bl>
    <w:p w14:paraId="7570555F">
      <w:pPr>
        <w:spacing w:line="276" w:lineRule="auto"/>
        <w:ind w:firstLine="480"/>
        <w:rPr>
          <w:rFonts w:hint="eastAsia" w:ascii="宋体" w:hAnsi="宋体" w:eastAsia="宋体"/>
          <w:sz w:val="24"/>
          <w:szCs w:val="24"/>
        </w:rPr>
      </w:pPr>
    </w:p>
    <w:p w14:paraId="0B9C4A17">
      <w:pPr>
        <w:pStyle w:val="8"/>
        <w:rPr>
          <w:rFonts w:hint="eastAsia"/>
        </w:rPr>
      </w:pPr>
      <w:r>
        <w:rPr>
          <w:rFonts w:hint="eastAsia"/>
        </w:rPr>
        <w:t>综合执法信息管理系统</w:t>
      </w:r>
      <w:bookmarkEnd w:id="151"/>
    </w:p>
    <w:p w14:paraId="78D21A19">
      <w:pPr>
        <w:pStyle w:val="14"/>
        <w:rPr>
          <w:rFonts w:hint="eastAsia"/>
          <w:bCs w:val="0"/>
        </w:rPr>
      </w:pPr>
      <w:r>
        <w:rPr>
          <w:bCs w:val="0"/>
        </w:rPr>
        <w:t>综合管理平台</w:t>
      </w:r>
    </w:p>
    <w:p w14:paraId="1D89CC11">
      <w:pPr>
        <w:spacing w:line="276" w:lineRule="auto"/>
        <w:ind w:firstLine="480"/>
        <w:rPr>
          <w:rFonts w:hint="eastAsia" w:ascii="宋体" w:hAnsi="宋体" w:eastAsia="宋体"/>
          <w:sz w:val="24"/>
          <w:szCs w:val="24"/>
        </w:rPr>
      </w:pPr>
      <w:r>
        <w:rPr>
          <w:rFonts w:ascii="宋体" w:hAnsi="宋体" w:eastAsia="宋体"/>
          <w:sz w:val="24"/>
          <w:szCs w:val="24"/>
        </w:rPr>
        <w:t>a.平台支撑</w:t>
      </w:r>
    </w:p>
    <w:p w14:paraId="63501722">
      <w:pPr>
        <w:spacing w:line="276" w:lineRule="auto"/>
        <w:ind w:firstLine="480"/>
        <w:rPr>
          <w:rFonts w:hint="eastAsia" w:ascii="宋体" w:hAnsi="宋体" w:eastAsia="宋体"/>
          <w:sz w:val="24"/>
          <w:szCs w:val="24"/>
        </w:rPr>
      </w:pPr>
      <w:r>
        <w:rPr>
          <w:rFonts w:hint="eastAsia" w:ascii="宋体" w:hAnsi="宋体" w:eastAsia="宋体"/>
          <w:sz w:val="24"/>
          <w:szCs w:val="24"/>
        </w:rPr>
        <w:t>配置管理：具备对人员机构、法律文书、电子签名、执法</w:t>
      </w:r>
      <w:r>
        <w:rPr>
          <w:rFonts w:ascii="宋体" w:hAnsi="宋体" w:eastAsia="宋体"/>
          <w:sz w:val="24"/>
          <w:szCs w:val="24"/>
        </w:rPr>
        <w:t xml:space="preserve"> 考试、页面布局等进行快速配置的功能。</w:t>
      </w:r>
    </w:p>
    <w:p w14:paraId="02812643">
      <w:pPr>
        <w:spacing w:line="276" w:lineRule="auto"/>
        <w:ind w:firstLine="480"/>
        <w:rPr>
          <w:rFonts w:hint="eastAsia" w:ascii="宋体" w:hAnsi="宋体" w:eastAsia="宋体"/>
          <w:sz w:val="24"/>
          <w:szCs w:val="24"/>
        </w:rPr>
      </w:pPr>
      <w:r>
        <w:rPr>
          <w:rFonts w:hint="eastAsia" w:ascii="宋体" w:hAnsi="宋体" w:eastAsia="宋体"/>
          <w:sz w:val="24"/>
          <w:szCs w:val="24"/>
        </w:rPr>
        <w:t>权限管理：具备部门、人员、岗位的权限管理功能。</w:t>
      </w:r>
    </w:p>
    <w:p w14:paraId="24DC029B">
      <w:pPr>
        <w:spacing w:line="276" w:lineRule="auto"/>
        <w:ind w:firstLine="480"/>
        <w:rPr>
          <w:rFonts w:hint="eastAsia" w:ascii="宋体" w:hAnsi="宋体" w:eastAsia="宋体"/>
          <w:sz w:val="24"/>
          <w:szCs w:val="24"/>
        </w:rPr>
      </w:pPr>
      <w:r>
        <w:rPr>
          <w:rFonts w:hint="eastAsia" w:ascii="宋体" w:hAnsi="宋体" w:eastAsia="宋体"/>
          <w:sz w:val="24"/>
          <w:szCs w:val="24"/>
        </w:rPr>
        <w:t>工作流：具备执法流程可视化操作配置功能。</w:t>
      </w:r>
    </w:p>
    <w:p w14:paraId="30062055">
      <w:pPr>
        <w:spacing w:line="276" w:lineRule="auto"/>
        <w:ind w:firstLine="480"/>
        <w:rPr>
          <w:rFonts w:hint="eastAsia" w:ascii="宋体" w:hAnsi="宋体" w:eastAsia="宋体"/>
          <w:sz w:val="24"/>
          <w:szCs w:val="24"/>
        </w:rPr>
      </w:pPr>
      <w:r>
        <w:rPr>
          <w:rFonts w:ascii="宋体" w:hAnsi="宋体" w:eastAsia="宋体"/>
          <w:sz w:val="24"/>
          <w:szCs w:val="24"/>
        </w:rPr>
        <w:t xml:space="preserve"> b.执法一张图</w:t>
      </w:r>
    </w:p>
    <w:p w14:paraId="0D9317E5">
      <w:pPr>
        <w:spacing w:line="276" w:lineRule="auto"/>
        <w:ind w:firstLine="480"/>
        <w:rPr>
          <w:rFonts w:hint="eastAsia" w:ascii="宋体" w:hAnsi="宋体" w:eastAsia="宋体"/>
          <w:sz w:val="24"/>
          <w:szCs w:val="24"/>
        </w:rPr>
      </w:pPr>
      <w:r>
        <w:rPr>
          <w:rFonts w:hint="eastAsia" w:ascii="宋体" w:hAnsi="宋体" w:eastAsia="宋体"/>
          <w:sz w:val="24"/>
          <w:szCs w:val="24"/>
        </w:rPr>
        <w:t>参照决策建议系统中综合执法专题功能需求。</w:t>
      </w:r>
    </w:p>
    <w:p w14:paraId="69942C0A">
      <w:pPr>
        <w:pStyle w:val="14"/>
        <w:rPr>
          <w:rFonts w:hint="eastAsia"/>
          <w:bCs w:val="0"/>
        </w:rPr>
      </w:pPr>
      <w:r>
        <w:rPr>
          <w:bCs w:val="0"/>
        </w:rPr>
        <w:t>执法办案系统</w:t>
      </w:r>
    </w:p>
    <w:p w14:paraId="758A1DFA">
      <w:pPr>
        <w:spacing w:line="276" w:lineRule="auto"/>
        <w:ind w:firstLine="482"/>
        <w:rPr>
          <w:rFonts w:hint="eastAsia" w:ascii="宋体" w:hAnsi="宋体" w:eastAsia="宋体"/>
          <w:sz w:val="24"/>
          <w:szCs w:val="24"/>
        </w:rPr>
      </w:pP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基本功能</w:t>
      </w:r>
    </w:p>
    <w:p w14:paraId="6B8ED1A4">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待办提醒</w:t>
      </w:r>
    </w:p>
    <w:p w14:paraId="24ED2986">
      <w:pPr>
        <w:spacing w:line="276" w:lineRule="auto"/>
        <w:ind w:firstLine="480"/>
        <w:rPr>
          <w:rFonts w:hint="eastAsia" w:ascii="宋体" w:hAnsi="宋体" w:eastAsia="宋体"/>
          <w:sz w:val="24"/>
          <w:szCs w:val="24"/>
        </w:rPr>
      </w:pPr>
      <w:r>
        <w:rPr>
          <w:rFonts w:hint="eastAsia" w:ascii="宋体" w:hAnsi="宋体" w:eastAsia="宋体"/>
          <w:sz w:val="24"/>
          <w:szCs w:val="24"/>
        </w:rPr>
        <w:t>执法队员可查看需要办理的案件和任务。</w:t>
      </w:r>
    </w:p>
    <w:p w14:paraId="6E1A252A">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被执行人的信息。</w:t>
      </w:r>
      <w:r>
        <w:rPr>
          <w:rFonts w:hint="eastAsia" w:ascii="宋体" w:hAnsi="宋体" w:eastAsia="宋体"/>
          <w:sz w:val="24"/>
          <w:szCs w:val="24"/>
        </w:rPr>
        <w:t>采集已被处罚对象的基本信息，建立商户信用库和人员信用库，提供查询页面以及快速录入功能。在对接条件允许情况下，</w:t>
      </w:r>
      <w:r>
        <w:rPr>
          <w:rFonts w:ascii="宋体" w:hAnsi="宋体" w:eastAsia="宋体"/>
          <w:sz w:val="24"/>
          <w:szCs w:val="24"/>
        </w:rPr>
        <w:t>按照公安要求，执法队员只需拍摄正面照，图片会发送至公安，由公安侧对人脸照片进行识别，再将识别出的结果推送给前端执法队员。</w:t>
      </w:r>
    </w:p>
    <w:p w14:paraId="5B7AD8DA">
      <w:pPr>
        <w:spacing w:line="276" w:lineRule="auto"/>
        <w:ind w:firstLine="480"/>
        <w:rPr>
          <w:rFonts w:hint="eastAsia" w:ascii="宋体" w:hAnsi="宋体" w:eastAsia="宋体"/>
          <w:sz w:val="24"/>
          <w:szCs w:val="24"/>
        </w:rPr>
      </w:pPr>
      <w:r>
        <w:rPr>
          <w:rFonts w:hint="eastAsia" w:ascii="宋体" w:hAnsi="宋体" w:eastAsia="宋体"/>
          <w:sz w:val="24"/>
          <w:szCs w:val="24"/>
        </w:rPr>
        <w:t>在</w:t>
      </w:r>
      <w:r>
        <w:rPr>
          <w:rFonts w:ascii="宋体" w:hAnsi="宋体" w:eastAsia="宋体"/>
          <w:sz w:val="24"/>
          <w:szCs w:val="24"/>
        </w:rPr>
        <w:t>公安人口数据无法获取的情况下，采集已处罚对象的基本信息，建立城管信用库。</w:t>
      </w:r>
    </w:p>
    <w:p w14:paraId="3454C0D5">
      <w:pPr>
        <w:spacing w:line="276" w:lineRule="auto"/>
        <w:ind w:firstLine="480"/>
        <w:rPr>
          <w:rFonts w:hint="eastAsia" w:ascii="宋体" w:hAnsi="宋体" w:eastAsia="宋体"/>
          <w:sz w:val="24"/>
          <w:szCs w:val="24"/>
        </w:rPr>
      </w:pPr>
      <w:r>
        <w:rPr>
          <w:rFonts w:ascii="宋体" w:hAnsi="宋体" w:eastAsia="宋体"/>
          <w:sz w:val="24"/>
          <w:szCs w:val="24"/>
        </w:rPr>
        <w:t>c.信用查询</w:t>
      </w:r>
    </w:p>
    <w:p w14:paraId="5590C66F">
      <w:pPr>
        <w:spacing w:line="276" w:lineRule="auto"/>
        <w:ind w:firstLine="480"/>
        <w:rPr>
          <w:rFonts w:hint="eastAsia" w:ascii="宋体" w:hAnsi="宋体" w:eastAsia="宋体"/>
          <w:sz w:val="24"/>
          <w:szCs w:val="24"/>
        </w:rPr>
      </w:pPr>
      <w:r>
        <w:rPr>
          <w:rFonts w:hint="eastAsia" w:ascii="宋体" w:hAnsi="宋体" w:eastAsia="宋体"/>
          <w:sz w:val="24"/>
          <w:szCs w:val="24"/>
        </w:rPr>
        <w:t>执法队员可以通过手机</w:t>
      </w:r>
      <w:r>
        <w:rPr>
          <w:rFonts w:ascii="宋体" w:hAnsi="宋体" w:eastAsia="宋体"/>
          <w:sz w:val="24"/>
          <w:szCs w:val="24"/>
        </w:rPr>
        <w:t xml:space="preserve">查询到执法对象的信用信息，包括城管和其他部门的行政处罚和表彰记录。 </w:t>
      </w:r>
    </w:p>
    <w:p w14:paraId="4B7F6CD6">
      <w:pPr>
        <w:spacing w:line="276" w:lineRule="auto"/>
        <w:ind w:firstLine="480"/>
        <w:rPr>
          <w:rFonts w:hint="eastAsia" w:ascii="宋体" w:hAnsi="宋体" w:eastAsia="宋体"/>
          <w:sz w:val="24"/>
          <w:szCs w:val="24"/>
        </w:rPr>
      </w:pPr>
      <w:r>
        <w:rPr>
          <w:rFonts w:ascii="宋体" w:hAnsi="宋体" w:eastAsia="宋体"/>
          <w:sz w:val="24"/>
          <w:szCs w:val="24"/>
        </w:rPr>
        <w:t>d.语音识别</w:t>
      </w:r>
    </w:p>
    <w:p w14:paraId="086D0813">
      <w:pPr>
        <w:spacing w:line="276" w:lineRule="auto"/>
        <w:ind w:firstLine="480"/>
        <w:rPr>
          <w:rFonts w:hint="eastAsia" w:ascii="宋体" w:hAnsi="宋体" w:eastAsia="宋体"/>
          <w:sz w:val="24"/>
          <w:szCs w:val="24"/>
        </w:rPr>
      </w:pPr>
      <w:r>
        <w:rPr>
          <w:rFonts w:hint="eastAsia" w:ascii="宋体" w:hAnsi="宋体" w:eastAsia="宋体"/>
          <w:sz w:val="24"/>
          <w:szCs w:val="24"/>
        </w:rPr>
        <w:t>通过安装输入法等方式实现语音转文字功能，录入执法信息。</w:t>
      </w:r>
    </w:p>
    <w:p w14:paraId="24E3822D">
      <w:pPr>
        <w:spacing w:line="276" w:lineRule="auto"/>
        <w:ind w:firstLine="480"/>
        <w:rPr>
          <w:rFonts w:hint="eastAsia" w:ascii="宋体" w:hAnsi="宋体" w:eastAsia="宋体"/>
          <w:sz w:val="24"/>
          <w:szCs w:val="24"/>
        </w:rPr>
      </w:pPr>
      <w:r>
        <w:rPr>
          <w:rFonts w:ascii="宋体" w:hAnsi="宋体" w:eastAsia="宋体"/>
          <w:sz w:val="24"/>
          <w:szCs w:val="24"/>
        </w:rPr>
        <w:t>e.责令整改</w:t>
      </w:r>
    </w:p>
    <w:p w14:paraId="022E0A1F">
      <w:pPr>
        <w:spacing w:line="276" w:lineRule="auto"/>
        <w:ind w:firstLine="480"/>
        <w:rPr>
          <w:rFonts w:hint="eastAsia" w:ascii="宋体" w:hAnsi="宋体" w:eastAsia="宋体"/>
          <w:sz w:val="24"/>
          <w:szCs w:val="24"/>
        </w:rPr>
      </w:pPr>
      <w:r>
        <w:rPr>
          <w:rFonts w:hint="eastAsia" w:ascii="宋体" w:hAnsi="宋体" w:eastAsia="宋体"/>
          <w:sz w:val="24"/>
          <w:szCs w:val="24"/>
        </w:rPr>
        <w:t>利用移动端对违规事件进行责令整改，系统记录责令整改时间和整改内容，到期自动提醒。</w:t>
      </w:r>
    </w:p>
    <w:p w14:paraId="60A7DAD3">
      <w:pPr>
        <w:spacing w:line="276" w:lineRule="auto"/>
        <w:ind w:firstLine="480"/>
        <w:rPr>
          <w:rFonts w:hint="eastAsia" w:ascii="宋体" w:hAnsi="宋体" w:eastAsia="宋体"/>
          <w:sz w:val="24"/>
          <w:szCs w:val="24"/>
        </w:rPr>
      </w:pPr>
      <w:r>
        <w:rPr>
          <w:rFonts w:ascii="宋体" w:hAnsi="宋体" w:eastAsia="宋体"/>
          <w:sz w:val="24"/>
          <w:szCs w:val="24"/>
        </w:rPr>
        <w:t>f.证物管理</w:t>
      </w:r>
    </w:p>
    <w:p w14:paraId="5E92C235">
      <w:pPr>
        <w:spacing w:line="276" w:lineRule="auto"/>
        <w:ind w:firstLine="480"/>
        <w:rPr>
          <w:rFonts w:hint="eastAsia" w:ascii="宋体" w:hAnsi="宋体" w:eastAsia="宋体"/>
          <w:sz w:val="24"/>
          <w:szCs w:val="24"/>
        </w:rPr>
      </w:pPr>
      <w:r>
        <w:rPr>
          <w:rFonts w:hint="eastAsia" w:ascii="宋体" w:hAnsi="宋体" w:eastAsia="宋体"/>
          <w:sz w:val="24"/>
          <w:szCs w:val="24"/>
        </w:rPr>
        <w:t>登记证物的基本信息，完成后上报。</w:t>
      </w:r>
    </w:p>
    <w:p w14:paraId="2C699561">
      <w:pPr>
        <w:spacing w:line="276" w:lineRule="auto"/>
        <w:ind w:firstLine="480"/>
        <w:rPr>
          <w:rFonts w:hint="eastAsia" w:ascii="宋体" w:hAnsi="宋体" w:eastAsia="宋体"/>
          <w:sz w:val="24"/>
          <w:szCs w:val="24"/>
        </w:rPr>
      </w:pPr>
      <w:r>
        <w:rPr>
          <w:rFonts w:ascii="宋体" w:hAnsi="宋体" w:eastAsia="宋体"/>
          <w:sz w:val="24"/>
          <w:szCs w:val="24"/>
        </w:rPr>
        <w:t>g.证据采集</w:t>
      </w:r>
    </w:p>
    <w:p w14:paraId="62197DB7">
      <w:pPr>
        <w:spacing w:line="276" w:lineRule="auto"/>
        <w:ind w:firstLine="480"/>
        <w:rPr>
          <w:rFonts w:hint="eastAsia" w:ascii="宋体" w:hAnsi="宋体" w:eastAsia="宋体"/>
          <w:sz w:val="24"/>
          <w:szCs w:val="24"/>
        </w:rPr>
      </w:pPr>
      <w:r>
        <w:rPr>
          <w:rFonts w:hint="eastAsia" w:ascii="宋体" w:hAnsi="宋体" w:eastAsia="宋体"/>
          <w:sz w:val="24"/>
          <w:szCs w:val="24"/>
        </w:rPr>
        <w:t>填写证据信息，拍摄照片、视频等后保存上传。</w:t>
      </w:r>
    </w:p>
    <w:p w14:paraId="799F3587">
      <w:pPr>
        <w:spacing w:line="276" w:lineRule="auto"/>
        <w:ind w:firstLine="480"/>
        <w:rPr>
          <w:rFonts w:hint="eastAsia" w:ascii="宋体" w:hAnsi="宋体" w:eastAsia="宋体"/>
          <w:sz w:val="24"/>
          <w:szCs w:val="24"/>
        </w:rPr>
      </w:pPr>
      <w:r>
        <w:rPr>
          <w:rFonts w:ascii="宋体" w:hAnsi="宋体" w:eastAsia="宋体"/>
          <w:sz w:val="24"/>
          <w:szCs w:val="24"/>
        </w:rPr>
        <w:t>h.案件视频关联</w:t>
      </w:r>
    </w:p>
    <w:p w14:paraId="76D16420">
      <w:pPr>
        <w:spacing w:line="276" w:lineRule="auto"/>
        <w:ind w:firstLine="480"/>
        <w:rPr>
          <w:rFonts w:hint="eastAsia" w:ascii="宋体" w:hAnsi="宋体" w:eastAsia="宋体"/>
          <w:sz w:val="24"/>
          <w:szCs w:val="24"/>
        </w:rPr>
      </w:pPr>
      <w:r>
        <w:rPr>
          <w:rFonts w:hint="eastAsia" w:ascii="宋体" w:hAnsi="宋体" w:eastAsia="宋体"/>
          <w:sz w:val="24"/>
          <w:szCs w:val="24"/>
        </w:rPr>
        <w:t>在系统中办理普通案件时，可以选择办理人员关联的执法记录仪录制的执法视频，将视频和案件进行关联。</w:t>
      </w:r>
    </w:p>
    <w:p w14:paraId="7C7AC98E">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移动视频分析</w:t>
      </w:r>
    </w:p>
    <w:p w14:paraId="6369F5AA">
      <w:pPr>
        <w:spacing w:line="276" w:lineRule="auto"/>
        <w:ind w:firstLine="480"/>
        <w:rPr>
          <w:rFonts w:hint="eastAsia" w:ascii="宋体" w:hAnsi="宋体" w:eastAsia="宋体"/>
          <w:sz w:val="24"/>
          <w:szCs w:val="24"/>
        </w:rPr>
      </w:pPr>
      <w:r>
        <w:rPr>
          <w:rFonts w:hint="eastAsia" w:ascii="宋体" w:hAnsi="宋体" w:eastAsia="宋体"/>
          <w:sz w:val="24"/>
          <w:szCs w:val="24"/>
        </w:rPr>
        <w:t>对执法车辆巡查视频实时分析，识别类型有出店经营、乱</w:t>
      </w:r>
      <w:r>
        <w:rPr>
          <w:rFonts w:ascii="宋体" w:hAnsi="宋体" w:eastAsia="宋体"/>
          <w:sz w:val="24"/>
          <w:szCs w:val="24"/>
        </w:rPr>
        <w:t xml:space="preserve"> 堆物料、沿街晾晒、机动车违停、暴露垃圾等。</w:t>
      </w:r>
    </w:p>
    <w:p w14:paraId="3A47B761">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自动提醒</w:t>
      </w:r>
    </w:p>
    <w:p w14:paraId="7872413D">
      <w:pPr>
        <w:spacing w:line="276" w:lineRule="auto"/>
        <w:ind w:firstLine="480"/>
        <w:rPr>
          <w:rFonts w:hint="eastAsia" w:ascii="宋体" w:hAnsi="宋体" w:eastAsia="宋体"/>
          <w:sz w:val="24"/>
          <w:szCs w:val="24"/>
        </w:rPr>
      </w:pPr>
      <w:r>
        <w:rPr>
          <w:rFonts w:hint="eastAsia" w:ascii="宋体" w:hAnsi="宋体" w:eastAsia="宋体"/>
          <w:sz w:val="24"/>
          <w:szCs w:val="24"/>
        </w:rPr>
        <w:t>当执法队员已巡查的地点上出现案件时，能够对其进行提</w:t>
      </w:r>
      <w:r>
        <w:rPr>
          <w:rFonts w:ascii="宋体" w:hAnsi="宋体" w:eastAsia="宋体"/>
          <w:sz w:val="24"/>
          <w:szCs w:val="24"/>
        </w:rPr>
        <w:t>醒，并记录发生次数，作为考核其工作质量的依据。</w:t>
      </w:r>
    </w:p>
    <w:p w14:paraId="756DF91E">
      <w:pPr>
        <w:spacing w:line="276" w:lineRule="auto"/>
        <w:ind w:firstLine="480"/>
        <w:rPr>
          <w:rFonts w:hint="eastAsia" w:ascii="宋体" w:hAnsi="宋体" w:eastAsia="宋体"/>
          <w:sz w:val="24"/>
          <w:szCs w:val="24"/>
        </w:rPr>
      </w:pPr>
      <w:r>
        <w:rPr>
          <w:rFonts w:ascii="宋体" w:hAnsi="宋体" w:eastAsia="宋体"/>
          <w:sz w:val="24"/>
          <w:szCs w:val="24"/>
        </w:rPr>
        <w:t>k.</w:t>
      </w:r>
      <w:r>
        <w:rPr>
          <w:rFonts w:ascii="宋体" w:hAnsi="宋体" w:eastAsia="宋体"/>
          <w:sz w:val="24"/>
          <w:szCs w:val="24"/>
        </w:rPr>
        <w:tab/>
      </w:r>
      <w:r>
        <w:rPr>
          <w:rFonts w:ascii="宋体" w:hAnsi="宋体" w:eastAsia="宋体"/>
          <w:sz w:val="24"/>
          <w:szCs w:val="24"/>
        </w:rPr>
        <w:t>法规查询</w:t>
      </w:r>
    </w:p>
    <w:p w14:paraId="284D3F6F">
      <w:pPr>
        <w:spacing w:line="276" w:lineRule="auto"/>
        <w:ind w:firstLine="480"/>
        <w:rPr>
          <w:rFonts w:hint="eastAsia" w:ascii="宋体" w:hAnsi="宋体" w:eastAsia="宋体"/>
          <w:sz w:val="24"/>
          <w:szCs w:val="24"/>
        </w:rPr>
      </w:pPr>
      <w:r>
        <w:rPr>
          <w:rFonts w:hint="eastAsia" w:ascii="宋体" w:hAnsi="宋体" w:eastAsia="宋体"/>
          <w:sz w:val="24"/>
          <w:szCs w:val="24"/>
        </w:rPr>
        <w:t>按照法律法规类别、法律法规编号和级别、案由等条件查询法律法规，同时支持关键字搜索。</w:t>
      </w:r>
    </w:p>
    <w:p w14:paraId="4493EA18">
      <w:pPr>
        <w:spacing w:line="276" w:lineRule="auto"/>
        <w:ind w:firstLine="480"/>
        <w:rPr>
          <w:rFonts w:hint="eastAsia" w:ascii="宋体" w:hAnsi="宋体" w:eastAsia="宋体"/>
          <w:sz w:val="24"/>
          <w:szCs w:val="24"/>
        </w:rPr>
      </w:pPr>
      <w:r>
        <w:rPr>
          <w:rFonts w:ascii="宋体" w:hAnsi="宋体" w:eastAsia="宋体"/>
          <w:sz w:val="24"/>
          <w:szCs w:val="24"/>
        </w:rPr>
        <w:t>l.</w:t>
      </w:r>
      <w:r>
        <w:rPr>
          <w:rFonts w:ascii="宋体" w:hAnsi="宋体" w:eastAsia="宋体"/>
          <w:sz w:val="24"/>
          <w:szCs w:val="24"/>
        </w:rPr>
        <w:tab/>
      </w:r>
      <w:r>
        <w:rPr>
          <w:rFonts w:ascii="宋体" w:hAnsi="宋体" w:eastAsia="宋体"/>
          <w:sz w:val="24"/>
          <w:szCs w:val="24"/>
        </w:rPr>
        <w:t>案件催办</w:t>
      </w:r>
    </w:p>
    <w:p w14:paraId="52070422">
      <w:pPr>
        <w:spacing w:line="276" w:lineRule="auto"/>
        <w:ind w:firstLine="480"/>
        <w:rPr>
          <w:rFonts w:hint="eastAsia" w:ascii="宋体" w:hAnsi="宋体" w:eastAsia="宋体"/>
          <w:sz w:val="24"/>
          <w:szCs w:val="24"/>
        </w:rPr>
      </w:pPr>
      <w:r>
        <w:rPr>
          <w:rFonts w:hint="eastAsia" w:ascii="宋体" w:hAnsi="宋体" w:eastAsia="宋体"/>
          <w:sz w:val="24"/>
          <w:szCs w:val="24"/>
        </w:rPr>
        <w:t>对待办案件进行催办，可以填写催办意见。</w:t>
      </w:r>
    </w:p>
    <w:p w14:paraId="01A4DD62">
      <w:pPr>
        <w:spacing w:line="276" w:lineRule="auto"/>
        <w:ind w:firstLine="480"/>
        <w:rPr>
          <w:rFonts w:hint="eastAsia" w:ascii="宋体" w:hAnsi="宋体" w:eastAsia="宋体"/>
          <w:sz w:val="24"/>
          <w:szCs w:val="24"/>
        </w:rPr>
      </w:pPr>
      <w:r>
        <w:rPr>
          <w:rFonts w:ascii="宋体" w:hAnsi="宋体" w:eastAsia="宋体"/>
          <w:sz w:val="24"/>
          <w:szCs w:val="24"/>
        </w:rPr>
        <w:t>m.</w:t>
      </w:r>
      <w:r>
        <w:rPr>
          <w:rFonts w:ascii="宋体" w:hAnsi="宋体" w:eastAsia="宋体"/>
          <w:sz w:val="24"/>
          <w:szCs w:val="24"/>
        </w:rPr>
        <w:tab/>
      </w:r>
      <w:r>
        <w:rPr>
          <w:rFonts w:ascii="宋体" w:hAnsi="宋体" w:eastAsia="宋体"/>
          <w:sz w:val="24"/>
          <w:szCs w:val="24"/>
        </w:rPr>
        <w:t>综合查询</w:t>
      </w:r>
    </w:p>
    <w:p w14:paraId="37892EC3">
      <w:pPr>
        <w:spacing w:line="276" w:lineRule="auto"/>
        <w:ind w:firstLine="480"/>
        <w:rPr>
          <w:rFonts w:hint="eastAsia" w:ascii="宋体" w:hAnsi="宋体" w:eastAsia="宋体"/>
          <w:sz w:val="24"/>
          <w:szCs w:val="24"/>
        </w:rPr>
      </w:pPr>
      <w:r>
        <w:rPr>
          <w:rFonts w:ascii="宋体" w:hAnsi="宋体" w:eastAsia="宋体"/>
          <w:sz w:val="24"/>
          <w:szCs w:val="24"/>
        </w:rPr>
        <w:t>用于根据特定的查询条件查询相应案件，包括以案件起始日期、结束日期、任务号、执法人员、执法程序、 案件类别、案由、类型、地点、区域、当事人和案值等信息进行查询。</w:t>
      </w:r>
    </w:p>
    <w:p w14:paraId="424436BA">
      <w:pPr>
        <w:spacing w:line="276" w:lineRule="auto"/>
        <w:ind w:firstLine="480"/>
        <w:rPr>
          <w:rFonts w:hint="eastAsia" w:ascii="宋体" w:hAnsi="宋体" w:eastAsia="宋体"/>
          <w:sz w:val="24"/>
          <w:szCs w:val="24"/>
        </w:rPr>
      </w:pPr>
      <w:r>
        <w:rPr>
          <w:rFonts w:ascii="宋体" w:hAnsi="宋体" w:eastAsia="宋体"/>
          <w:sz w:val="24"/>
          <w:szCs w:val="24"/>
        </w:rPr>
        <w:t>n.</w:t>
      </w:r>
      <w:r>
        <w:rPr>
          <w:rFonts w:ascii="宋体" w:hAnsi="宋体" w:eastAsia="宋体"/>
          <w:sz w:val="24"/>
          <w:szCs w:val="24"/>
        </w:rPr>
        <w:tab/>
      </w:r>
      <w:r>
        <w:rPr>
          <w:rFonts w:ascii="宋体" w:hAnsi="宋体" w:eastAsia="宋体"/>
          <w:sz w:val="24"/>
          <w:szCs w:val="24"/>
        </w:rPr>
        <w:t>文书下载</w:t>
      </w:r>
    </w:p>
    <w:p w14:paraId="02C2CA61">
      <w:pPr>
        <w:spacing w:line="276" w:lineRule="auto"/>
        <w:ind w:firstLine="480"/>
        <w:rPr>
          <w:rFonts w:hint="eastAsia" w:ascii="宋体" w:hAnsi="宋体" w:eastAsia="宋体"/>
          <w:sz w:val="24"/>
          <w:szCs w:val="24"/>
        </w:rPr>
      </w:pPr>
      <w:r>
        <w:rPr>
          <w:rFonts w:hint="eastAsia" w:ascii="宋体" w:hAnsi="宋体" w:eastAsia="宋体"/>
          <w:sz w:val="24"/>
          <w:szCs w:val="24"/>
        </w:rPr>
        <w:t>执法对象可以在“我的盐城”</w:t>
      </w:r>
      <w:r>
        <w:rPr>
          <w:rFonts w:ascii="宋体" w:hAnsi="宋体" w:eastAsia="宋体"/>
          <w:sz w:val="24"/>
          <w:szCs w:val="24"/>
        </w:rPr>
        <w:t>上输入身份证或案件号查询下载行政处罚决定书等法律文书。</w:t>
      </w:r>
    </w:p>
    <w:p w14:paraId="099B5F93">
      <w:pPr>
        <w:spacing w:line="276" w:lineRule="auto"/>
        <w:ind w:firstLine="480"/>
        <w:rPr>
          <w:rFonts w:hint="eastAsia" w:ascii="宋体" w:hAnsi="宋体" w:eastAsia="宋体"/>
          <w:sz w:val="24"/>
          <w:szCs w:val="24"/>
        </w:rPr>
      </w:pPr>
      <w:r>
        <w:rPr>
          <w:rFonts w:ascii="宋体" w:hAnsi="宋体" w:eastAsia="宋体"/>
          <w:sz w:val="24"/>
          <w:szCs w:val="24"/>
        </w:rPr>
        <w:t>o.</w:t>
      </w:r>
      <w:r>
        <w:rPr>
          <w:rFonts w:ascii="宋体" w:hAnsi="宋体" w:eastAsia="宋体"/>
          <w:sz w:val="24"/>
          <w:szCs w:val="24"/>
        </w:rPr>
        <w:tab/>
      </w:r>
      <w:r>
        <w:rPr>
          <w:rFonts w:ascii="宋体" w:hAnsi="宋体" w:eastAsia="宋体"/>
          <w:sz w:val="24"/>
          <w:szCs w:val="24"/>
        </w:rPr>
        <w:t>缴纳罚款</w:t>
      </w:r>
    </w:p>
    <w:p w14:paraId="08968B91">
      <w:pPr>
        <w:spacing w:line="276" w:lineRule="auto"/>
        <w:ind w:firstLine="480"/>
        <w:rPr>
          <w:rFonts w:hint="eastAsia" w:ascii="宋体" w:hAnsi="宋体" w:eastAsia="宋体"/>
          <w:sz w:val="24"/>
          <w:szCs w:val="24"/>
        </w:rPr>
      </w:pPr>
      <w:r>
        <w:rPr>
          <w:rFonts w:hint="eastAsia" w:ascii="宋体" w:hAnsi="宋体" w:eastAsia="宋体"/>
          <w:sz w:val="24"/>
          <w:szCs w:val="24"/>
        </w:rPr>
        <w:t>执法对象可以通过扫描二维码在网上缴纳罚款或者通过我的盐城</w:t>
      </w:r>
      <w:r>
        <w:rPr>
          <w:rFonts w:ascii="宋体" w:hAnsi="宋体" w:eastAsia="宋体"/>
          <w:sz w:val="24"/>
          <w:szCs w:val="24"/>
        </w:rPr>
        <w:t>缴纳罚款。</w:t>
      </w:r>
    </w:p>
    <w:p w14:paraId="65288F27">
      <w:pPr>
        <w:spacing w:line="276" w:lineRule="auto"/>
        <w:ind w:firstLine="480"/>
        <w:rPr>
          <w:rFonts w:hint="eastAsia" w:ascii="宋体" w:hAnsi="宋体" w:eastAsia="宋体"/>
          <w:sz w:val="24"/>
          <w:szCs w:val="24"/>
        </w:rPr>
      </w:pPr>
      <w:r>
        <w:rPr>
          <w:rFonts w:ascii="宋体" w:hAnsi="宋体" w:eastAsia="宋体"/>
          <w:sz w:val="24"/>
          <w:szCs w:val="24"/>
        </w:rPr>
        <w:t>P.移动监督</w:t>
      </w:r>
    </w:p>
    <w:p w14:paraId="0B5568BE">
      <w:pPr>
        <w:spacing w:line="276" w:lineRule="auto"/>
        <w:ind w:firstLine="480"/>
        <w:rPr>
          <w:rFonts w:hint="eastAsia" w:ascii="宋体" w:hAnsi="宋体" w:eastAsia="宋体"/>
          <w:sz w:val="24"/>
          <w:szCs w:val="24"/>
        </w:rPr>
      </w:pPr>
      <w:r>
        <w:rPr>
          <w:rFonts w:ascii="宋体" w:hAnsi="宋体" w:eastAsia="宋体"/>
          <w:sz w:val="24"/>
          <w:szCs w:val="24"/>
        </w:rPr>
        <w:t>统计执法队伍、执法人员、执法案卷等相关信息，便于管理人员在移动端对执法情况进行宏观把控和实时监督。</w:t>
      </w:r>
    </w:p>
    <w:p w14:paraId="7FE9739E">
      <w:pPr>
        <w:spacing w:line="276" w:lineRule="auto"/>
        <w:ind w:firstLine="482"/>
        <w:rPr>
          <w:rFonts w:hint="eastAsia" w:ascii="宋体" w:hAnsi="宋体" w:eastAsia="宋体"/>
          <w:sz w:val="24"/>
          <w:szCs w:val="24"/>
        </w:rPr>
      </w:pP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简易程序（当场处罚）</w:t>
      </w:r>
    </w:p>
    <w:p w14:paraId="6A068636">
      <w:pPr>
        <w:spacing w:line="276" w:lineRule="auto"/>
        <w:ind w:firstLine="480"/>
        <w:rPr>
          <w:rFonts w:hint="eastAsia" w:ascii="宋体" w:hAnsi="宋体" w:eastAsia="宋体"/>
          <w:sz w:val="24"/>
          <w:szCs w:val="24"/>
        </w:rPr>
      </w:pPr>
      <w:r>
        <w:rPr>
          <w:rFonts w:hint="eastAsia" w:ascii="宋体" w:hAnsi="宋体" w:eastAsia="宋体"/>
          <w:sz w:val="24"/>
          <w:szCs w:val="24"/>
        </w:rPr>
        <w:t>案件上报：可通过案件上报模块中的执法程序类型选择简易程序，执法队员填写案件相关信息。</w:t>
      </w:r>
    </w:p>
    <w:p w14:paraId="5AB27FF4">
      <w:pPr>
        <w:spacing w:line="276" w:lineRule="auto"/>
        <w:ind w:firstLine="480"/>
        <w:rPr>
          <w:rFonts w:hint="eastAsia" w:ascii="宋体" w:hAnsi="宋体" w:eastAsia="宋体"/>
          <w:sz w:val="24"/>
          <w:szCs w:val="24"/>
        </w:rPr>
      </w:pPr>
      <w:r>
        <w:rPr>
          <w:rFonts w:hint="eastAsia" w:ascii="宋体" w:hAnsi="宋体" w:eastAsia="宋体"/>
          <w:sz w:val="24"/>
          <w:szCs w:val="24"/>
        </w:rPr>
        <w:t>案由选择：案由可进行搜索选择，系统会自动匹配违则罚则内容及相关依据。</w:t>
      </w:r>
    </w:p>
    <w:p w14:paraId="54657BAC">
      <w:pPr>
        <w:spacing w:line="276" w:lineRule="auto"/>
        <w:ind w:firstLine="480"/>
        <w:rPr>
          <w:rFonts w:hint="eastAsia" w:ascii="宋体" w:hAnsi="宋体" w:eastAsia="宋体"/>
          <w:sz w:val="24"/>
          <w:szCs w:val="24"/>
        </w:rPr>
      </w:pPr>
      <w:r>
        <w:rPr>
          <w:rFonts w:hint="eastAsia" w:ascii="宋体" w:hAnsi="宋体" w:eastAsia="宋体"/>
          <w:sz w:val="24"/>
          <w:szCs w:val="24"/>
        </w:rPr>
        <w:t>填写当事人：可对当事人进行搜索选择，当系统中不存在时，可新增对象。</w:t>
      </w:r>
    </w:p>
    <w:p w14:paraId="2C816904">
      <w:pPr>
        <w:spacing w:line="276" w:lineRule="auto"/>
        <w:ind w:firstLine="480"/>
        <w:rPr>
          <w:rFonts w:hint="eastAsia" w:ascii="宋体" w:hAnsi="宋体" w:eastAsia="宋体"/>
          <w:sz w:val="24"/>
          <w:szCs w:val="24"/>
        </w:rPr>
      </w:pPr>
      <w:r>
        <w:rPr>
          <w:rFonts w:hint="eastAsia" w:ascii="宋体" w:hAnsi="宋体" w:eastAsia="宋体"/>
          <w:sz w:val="24"/>
          <w:szCs w:val="24"/>
        </w:rPr>
        <w:t>案件来源：上报案件来源可分为巡查发现、</w:t>
      </w:r>
      <w:r>
        <w:rPr>
          <w:rFonts w:ascii="宋体" w:hAnsi="宋体" w:eastAsia="宋体"/>
          <w:sz w:val="24"/>
          <w:szCs w:val="24"/>
        </w:rPr>
        <w:t>AI 智能分析、公众举报、上级交办、专项任务等。</w:t>
      </w:r>
    </w:p>
    <w:p w14:paraId="73D276F5">
      <w:pPr>
        <w:spacing w:line="276" w:lineRule="auto"/>
        <w:ind w:firstLine="480"/>
        <w:rPr>
          <w:rFonts w:hint="eastAsia" w:ascii="宋体" w:hAnsi="宋体" w:eastAsia="宋体"/>
          <w:sz w:val="24"/>
          <w:szCs w:val="24"/>
        </w:rPr>
      </w:pPr>
      <w:r>
        <w:rPr>
          <w:rFonts w:hint="eastAsia" w:ascii="宋体" w:hAnsi="宋体" w:eastAsia="宋体"/>
          <w:sz w:val="24"/>
          <w:szCs w:val="24"/>
        </w:rPr>
        <w:t>案发时间：用于选择案件发生的时间，自动默认为当前时间。</w:t>
      </w:r>
    </w:p>
    <w:p w14:paraId="28F4BA99">
      <w:pPr>
        <w:spacing w:line="276" w:lineRule="auto"/>
        <w:ind w:firstLine="480"/>
        <w:rPr>
          <w:rFonts w:hint="eastAsia" w:ascii="宋体" w:hAnsi="宋体" w:eastAsia="宋体"/>
          <w:sz w:val="24"/>
          <w:szCs w:val="24"/>
        </w:rPr>
      </w:pPr>
      <w:r>
        <w:rPr>
          <w:rFonts w:hint="eastAsia" w:ascii="宋体" w:hAnsi="宋体" w:eastAsia="宋体"/>
          <w:sz w:val="24"/>
          <w:szCs w:val="24"/>
        </w:rPr>
        <w:t>所属区域：系统自动填写所属区域。</w:t>
      </w:r>
    </w:p>
    <w:p w14:paraId="38A9A2D6">
      <w:pPr>
        <w:spacing w:line="276" w:lineRule="auto"/>
        <w:ind w:firstLine="480"/>
        <w:rPr>
          <w:rFonts w:hint="eastAsia" w:ascii="宋体" w:hAnsi="宋体" w:eastAsia="宋体"/>
          <w:sz w:val="24"/>
          <w:szCs w:val="24"/>
        </w:rPr>
      </w:pPr>
      <w:r>
        <w:rPr>
          <w:rFonts w:hint="eastAsia" w:ascii="宋体" w:hAnsi="宋体" w:eastAsia="宋体"/>
          <w:sz w:val="24"/>
          <w:szCs w:val="24"/>
        </w:rPr>
        <w:t>案发地址：默认自动填充，如发现未知描述不准确，可以手动修改。</w:t>
      </w:r>
    </w:p>
    <w:p w14:paraId="36B3A972">
      <w:pPr>
        <w:spacing w:line="276" w:lineRule="auto"/>
        <w:ind w:firstLine="480"/>
        <w:rPr>
          <w:rFonts w:hint="eastAsia" w:ascii="宋体" w:hAnsi="宋体" w:eastAsia="宋体"/>
          <w:sz w:val="24"/>
          <w:szCs w:val="24"/>
        </w:rPr>
      </w:pPr>
      <w:r>
        <w:rPr>
          <w:rFonts w:hint="eastAsia" w:ascii="宋体" w:hAnsi="宋体" w:eastAsia="宋体"/>
          <w:sz w:val="24"/>
          <w:szCs w:val="24"/>
        </w:rPr>
        <w:t>案件描述：按照模板自动生成案件描述。</w:t>
      </w:r>
    </w:p>
    <w:p w14:paraId="1CB707FE">
      <w:pPr>
        <w:spacing w:line="276" w:lineRule="auto"/>
        <w:ind w:firstLine="480"/>
        <w:rPr>
          <w:rFonts w:hint="eastAsia" w:ascii="宋体" w:hAnsi="宋体" w:eastAsia="宋体"/>
          <w:sz w:val="24"/>
          <w:szCs w:val="24"/>
        </w:rPr>
      </w:pPr>
      <w:r>
        <w:rPr>
          <w:rFonts w:hint="eastAsia" w:ascii="宋体" w:hAnsi="宋体" w:eastAsia="宋体"/>
          <w:sz w:val="24"/>
          <w:szCs w:val="24"/>
        </w:rPr>
        <w:t>多媒体信息：上传相关照片、视频、音频等信息。</w:t>
      </w:r>
    </w:p>
    <w:p w14:paraId="32E9E81F">
      <w:pPr>
        <w:spacing w:line="276" w:lineRule="auto"/>
        <w:ind w:firstLine="480"/>
        <w:rPr>
          <w:rFonts w:hint="eastAsia" w:ascii="宋体" w:hAnsi="宋体" w:eastAsia="宋体"/>
          <w:sz w:val="24"/>
          <w:szCs w:val="24"/>
        </w:rPr>
      </w:pPr>
      <w:r>
        <w:rPr>
          <w:rFonts w:ascii="宋体" w:hAnsi="宋体" w:eastAsia="宋体"/>
          <w:sz w:val="24"/>
          <w:szCs w:val="24"/>
        </w:rPr>
        <w:t>文书匹配：根据案由自动匹配后续使用的文书。</w:t>
      </w:r>
    </w:p>
    <w:p w14:paraId="74371D68">
      <w:pPr>
        <w:spacing w:line="276" w:lineRule="auto"/>
        <w:ind w:firstLine="480"/>
        <w:rPr>
          <w:rFonts w:hint="eastAsia" w:ascii="宋体" w:hAnsi="宋体" w:eastAsia="宋体"/>
          <w:sz w:val="24"/>
          <w:szCs w:val="24"/>
        </w:rPr>
      </w:pPr>
      <w:r>
        <w:rPr>
          <w:rFonts w:hint="eastAsia" w:ascii="宋体" w:hAnsi="宋体" w:eastAsia="宋体"/>
          <w:sz w:val="24"/>
          <w:szCs w:val="24"/>
        </w:rPr>
        <w:t>流程匹配：根据案由自动匹配后续执法流程。</w:t>
      </w:r>
    </w:p>
    <w:p w14:paraId="4A2C46F5">
      <w:pPr>
        <w:spacing w:line="276" w:lineRule="auto"/>
        <w:ind w:firstLine="480"/>
        <w:rPr>
          <w:rFonts w:hint="eastAsia" w:ascii="宋体" w:hAnsi="宋体" w:eastAsia="宋体"/>
          <w:sz w:val="24"/>
          <w:szCs w:val="24"/>
        </w:rPr>
      </w:pPr>
      <w:r>
        <w:rPr>
          <w:rFonts w:hint="eastAsia" w:ascii="宋体" w:hAnsi="宋体" w:eastAsia="宋体"/>
          <w:sz w:val="24"/>
          <w:szCs w:val="24"/>
        </w:rPr>
        <w:t>案件列表：以列表的方式展示执法人员待处理、已办结的案件。</w:t>
      </w:r>
    </w:p>
    <w:p w14:paraId="09A3D9E2">
      <w:pPr>
        <w:spacing w:line="276" w:lineRule="auto"/>
        <w:ind w:firstLine="480"/>
        <w:rPr>
          <w:rFonts w:hint="eastAsia" w:ascii="宋体" w:hAnsi="宋体" w:eastAsia="宋体"/>
          <w:sz w:val="24"/>
          <w:szCs w:val="24"/>
        </w:rPr>
      </w:pPr>
      <w:r>
        <w:rPr>
          <w:rFonts w:hint="eastAsia" w:ascii="宋体" w:hAnsi="宋体" w:eastAsia="宋体"/>
          <w:sz w:val="24"/>
          <w:szCs w:val="24"/>
        </w:rPr>
        <w:t>填写文书：根据案件的不同流程阶段，可在文书列表中选择相应文书进行填写，当事人等信息可自动获取填充。</w:t>
      </w:r>
    </w:p>
    <w:p w14:paraId="08E0E8F0">
      <w:pPr>
        <w:spacing w:line="276" w:lineRule="auto"/>
        <w:ind w:firstLine="480"/>
        <w:rPr>
          <w:rFonts w:hint="eastAsia" w:ascii="宋体" w:hAnsi="宋体" w:eastAsia="宋体"/>
          <w:sz w:val="24"/>
          <w:szCs w:val="24"/>
        </w:rPr>
      </w:pPr>
      <w:r>
        <w:rPr>
          <w:rFonts w:hint="eastAsia" w:ascii="宋体" w:hAnsi="宋体" w:eastAsia="宋体"/>
          <w:sz w:val="24"/>
          <w:szCs w:val="24"/>
        </w:rPr>
        <w:t>执法队员签字：可对文书进行签名。</w:t>
      </w:r>
    </w:p>
    <w:p w14:paraId="534FE90A">
      <w:pPr>
        <w:spacing w:line="276" w:lineRule="auto"/>
        <w:ind w:firstLine="480"/>
        <w:rPr>
          <w:rFonts w:hint="eastAsia" w:ascii="宋体" w:hAnsi="宋体" w:eastAsia="宋体"/>
          <w:sz w:val="24"/>
          <w:szCs w:val="24"/>
        </w:rPr>
      </w:pPr>
      <w:r>
        <w:rPr>
          <w:rFonts w:hint="eastAsia" w:ascii="宋体" w:hAnsi="宋体" w:eastAsia="宋体"/>
          <w:sz w:val="24"/>
          <w:szCs w:val="24"/>
        </w:rPr>
        <w:t>执法队员签章：可自动生成签章。</w:t>
      </w:r>
    </w:p>
    <w:p w14:paraId="794129A6">
      <w:pPr>
        <w:spacing w:line="276" w:lineRule="auto"/>
        <w:ind w:firstLine="480"/>
        <w:rPr>
          <w:rFonts w:hint="eastAsia" w:ascii="宋体" w:hAnsi="宋体" w:eastAsia="宋体"/>
          <w:sz w:val="24"/>
          <w:szCs w:val="24"/>
        </w:rPr>
      </w:pPr>
      <w:r>
        <w:rPr>
          <w:rFonts w:hint="eastAsia" w:ascii="宋体" w:hAnsi="宋体" w:eastAsia="宋体"/>
          <w:sz w:val="24"/>
          <w:szCs w:val="24"/>
        </w:rPr>
        <w:t>案件办结：案件按照业务流程走完后，可对案件进行办结和备案操作。</w:t>
      </w:r>
    </w:p>
    <w:p w14:paraId="43D0D6D4">
      <w:pPr>
        <w:spacing w:line="276" w:lineRule="auto"/>
        <w:ind w:firstLine="480"/>
        <w:rPr>
          <w:rFonts w:hint="eastAsia" w:ascii="宋体" w:hAnsi="宋体" w:eastAsia="宋体"/>
          <w:sz w:val="24"/>
          <w:szCs w:val="24"/>
        </w:rPr>
      </w:pPr>
      <w:r>
        <w:rPr>
          <w:rFonts w:hint="eastAsia" w:ascii="宋体" w:hAnsi="宋体" w:eastAsia="宋体"/>
          <w:sz w:val="24"/>
          <w:szCs w:val="24"/>
        </w:rPr>
        <w:t>蓝牙打印：连接便携手持式打印机，现场打印文书。</w:t>
      </w:r>
    </w:p>
    <w:p w14:paraId="6200A5F2">
      <w:pPr>
        <w:spacing w:line="276" w:lineRule="auto"/>
        <w:ind w:firstLine="480"/>
        <w:rPr>
          <w:rFonts w:hint="eastAsia" w:ascii="宋体" w:hAnsi="宋体" w:eastAsia="宋体"/>
          <w:sz w:val="24"/>
          <w:szCs w:val="24"/>
        </w:rPr>
      </w:pPr>
      <w:r>
        <w:rPr>
          <w:rFonts w:hint="eastAsia" w:ascii="宋体" w:hAnsi="宋体" w:eastAsia="宋体"/>
          <w:sz w:val="24"/>
          <w:szCs w:val="24"/>
        </w:rPr>
        <w:t>非接触执法：非当场处罚的简易程序参照以上功能，且满足下述功能：通过移动或固定视频识别的城市管理问题，经预审核后，若识别错误则手动选择终止事件，若确为违规事件则将商户基本信息、电子证据、处罚记录、商户等级等信息集中起来形成案卷。对于红色用户，直接进入法制审核，审核不通过终止；审核通过后，出具电子处罚告知书并同步发送提醒短信，执法对象可以在我的盐城</w:t>
      </w:r>
      <w:r>
        <w:rPr>
          <w:rFonts w:ascii="宋体" w:hAnsi="宋体" w:eastAsia="宋体"/>
          <w:sz w:val="24"/>
          <w:szCs w:val="24"/>
        </w:rPr>
        <w:t>上进行申诉，申诉有效终止事件，无效则进入到简易程序或一般程序。简易程序在网上全程办理，一般程序需线下办理。启用简易程序时，给执法对象发送电子处罚决定书，要求其在我的盐城上签字确认、缴纳罚款、下载处罚决定书，完成简易程</w:t>
      </w:r>
      <w:r>
        <w:rPr>
          <w:rFonts w:hint="eastAsia" w:ascii="宋体" w:hAnsi="宋体" w:eastAsia="宋体"/>
          <w:sz w:val="24"/>
          <w:szCs w:val="24"/>
        </w:rPr>
        <w:t>序流程。</w:t>
      </w:r>
    </w:p>
    <w:p w14:paraId="0F1FF937">
      <w:pPr>
        <w:spacing w:line="276" w:lineRule="auto"/>
        <w:ind w:firstLine="480"/>
        <w:rPr>
          <w:rFonts w:hint="eastAsia" w:ascii="宋体" w:hAnsi="宋体" w:eastAsia="宋体"/>
          <w:sz w:val="24"/>
          <w:szCs w:val="24"/>
        </w:rPr>
      </w:pPr>
      <w:r>
        <w:rPr>
          <w:rFonts w:hint="eastAsia" w:ascii="宋体" w:hAnsi="宋体" w:eastAsia="宋体"/>
          <w:sz w:val="24"/>
          <w:szCs w:val="24"/>
        </w:rPr>
        <w:t>对于绿色或黄色用户，先发送整改提醒短信，如按时整改则记录案卷但不予处罚，可以改变其分级颜色。如未按时整改则进入法制审核，后续流程同红色商户。</w:t>
      </w:r>
    </w:p>
    <w:p w14:paraId="6F5DDA13">
      <w:pPr>
        <w:spacing w:line="276" w:lineRule="auto"/>
        <w:ind w:firstLine="482"/>
        <w:rPr>
          <w:rFonts w:hint="eastAsia" w:ascii="宋体" w:hAnsi="宋体" w:eastAsia="宋体"/>
          <w:sz w:val="24"/>
          <w:szCs w:val="24"/>
        </w:rPr>
      </w:pPr>
      <w:r>
        <w:rPr>
          <w:rFonts w:hint="eastAsia" w:ascii="宋体" w:hAnsi="宋体" w:eastAsia="宋体"/>
          <w:sz w:val="24"/>
          <w:szCs w:val="24"/>
        </w:rPr>
        <w:t>一般</w:t>
      </w:r>
      <w:r>
        <w:rPr>
          <w:rFonts w:ascii="宋体" w:hAnsi="宋体" w:eastAsia="宋体"/>
          <w:sz w:val="24"/>
          <w:szCs w:val="24"/>
        </w:rPr>
        <w:t>程序</w:t>
      </w:r>
    </w:p>
    <w:p w14:paraId="48CFD171">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申请受理立案</w:t>
      </w:r>
    </w:p>
    <w:p w14:paraId="249903C9">
      <w:pPr>
        <w:spacing w:line="276" w:lineRule="auto"/>
        <w:ind w:firstLine="480"/>
        <w:rPr>
          <w:rFonts w:hint="eastAsia" w:ascii="宋体" w:hAnsi="宋体" w:eastAsia="宋体"/>
          <w:sz w:val="24"/>
          <w:szCs w:val="24"/>
        </w:rPr>
      </w:pPr>
      <w:r>
        <w:rPr>
          <w:rFonts w:hint="eastAsia" w:ascii="宋体" w:hAnsi="宋体" w:eastAsia="宋体"/>
          <w:sz w:val="24"/>
          <w:szCs w:val="24"/>
        </w:rPr>
        <w:t>选择执法程序：针对上报案件实际情况执法程序类型选择普通程序。</w:t>
      </w:r>
    </w:p>
    <w:p w14:paraId="506708E9">
      <w:pPr>
        <w:spacing w:line="276" w:lineRule="auto"/>
        <w:ind w:firstLine="480"/>
        <w:rPr>
          <w:rFonts w:hint="eastAsia" w:ascii="宋体" w:hAnsi="宋体" w:eastAsia="宋体"/>
          <w:sz w:val="24"/>
          <w:szCs w:val="24"/>
        </w:rPr>
      </w:pPr>
      <w:r>
        <w:rPr>
          <w:rFonts w:hint="eastAsia" w:ascii="宋体" w:hAnsi="宋体" w:eastAsia="宋体"/>
          <w:sz w:val="24"/>
          <w:szCs w:val="24"/>
        </w:rPr>
        <w:t>检索案由：可自动检索相关案由，通过法规分组、法律名</w:t>
      </w:r>
      <w:r>
        <w:rPr>
          <w:rFonts w:ascii="宋体" w:hAnsi="宋体" w:eastAsia="宋体"/>
          <w:sz w:val="24"/>
          <w:szCs w:val="24"/>
        </w:rPr>
        <w:t xml:space="preserve"> 称、案由名称等进行组合查询检索，通过建立案由与问题类型 间的关联关系，可以将问题类型作为筛选条件。选择相关案由 后，系统自动匹配出违则依据、违则、罚则依据、罚则相关信 息。同时，系统自动记录常用的案由并在案由列表前三位进行标注。</w:t>
      </w:r>
    </w:p>
    <w:p w14:paraId="6194C82A">
      <w:pPr>
        <w:spacing w:line="276" w:lineRule="auto"/>
        <w:ind w:firstLine="480"/>
        <w:rPr>
          <w:rFonts w:hint="eastAsia" w:ascii="宋体" w:hAnsi="宋体" w:eastAsia="宋体"/>
          <w:sz w:val="24"/>
          <w:szCs w:val="24"/>
        </w:rPr>
      </w:pPr>
      <w:r>
        <w:rPr>
          <w:rFonts w:hint="eastAsia" w:ascii="宋体" w:hAnsi="宋体" w:eastAsia="宋体"/>
          <w:sz w:val="24"/>
          <w:szCs w:val="24"/>
        </w:rPr>
        <w:t>选择案件来源：案件来源默认填充，问题来源根据字典表中设置的优先级来显示，案件来源包括</w:t>
      </w:r>
      <w:r>
        <w:rPr>
          <w:rFonts w:ascii="宋体" w:hAnsi="宋体" w:eastAsia="宋体"/>
          <w:sz w:val="24"/>
          <w:szCs w:val="24"/>
        </w:rPr>
        <w:t>AI智能分析、投诉举报、巡查发现、日常检查、上级交办、部门移送、其他等，可通过下拉选择相关类别问题来源。</w:t>
      </w:r>
    </w:p>
    <w:p w14:paraId="7C43C079">
      <w:pPr>
        <w:spacing w:line="276" w:lineRule="auto"/>
        <w:ind w:firstLine="480"/>
        <w:rPr>
          <w:rFonts w:hint="eastAsia" w:ascii="宋体" w:hAnsi="宋体" w:eastAsia="宋体"/>
          <w:sz w:val="24"/>
          <w:szCs w:val="24"/>
        </w:rPr>
      </w:pPr>
      <w:r>
        <w:rPr>
          <w:rFonts w:hint="eastAsia" w:ascii="宋体" w:hAnsi="宋体" w:eastAsia="宋体"/>
          <w:sz w:val="24"/>
          <w:szCs w:val="24"/>
        </w:rPr>
        <w:t>选定案发时间：案件事发时间默认填充登记页面打开的时间，精确到分钟，可自动选定时间。</w:t>
      </w:r>
    </w:p>
    <w:p w14:paraId="63B0687C">
      <w:pPr>
        <w:spacing w:line="276" w:lineRule="auto"/>
        <w:ind w:firstLine="480"/>
        <w:rPr>
          <w:rFonts w:hint="eastAsia" w:ascii="宋体" w:hAnsi="宋体" w:eastAsia="宋体"/>
          <w:sz w:val="24"/>
          <w:szCs w:val="24"/>
        </w:rPr>
      </w:pPr>
      <w:r>
        <w:rPr>
          <w:rFonts w:hint="eastAsia" w:ascii="宋体" w:hAnsi="宋体" w:eastAsia="宋体"/>
          <w:sz w:val="24"/>
          <w:szCs w:val="24"/>
        </w:rPr>
        <w:t>检索当事人：针对已入库的当事人可进行检索选择，当事人分为单位和个人，并匹配登记相关信息。</w:t>
      </w:r>
    </w:p>
    <w:p w14:paraId="3A4700BB">
      <w:pPr>
        <w:spacing w:line="276" w:lineRule="auto"/>
        <w:ind w:firstLine="480"/>
        <w:rPr>
          <w:rFonts w:hint="eastAsia" w:ascii="宋体" w:hAnsi="宋体" w:eastAsia="宋体"/>
          <w:sz w:val="24"/>
          <w:szCs w:val="24"/>
        </w:rPr>
      </w:pPr>
      <w:r>
        <w:rPr>
          <w:rFonts w:hint="eastAsia" w:ascii="宋体" w:hAnsi="宋体" w:eastAsia="宋体"/>
          <w:sz w:val="24"/>
          <w:szCs w:val="24"/>
        </w:rPr>
        <w:t>检索协办人：受理人员默认为主办人，提供协办人员检索功能。在后台修改协办人查询范围配置项为执法主体，查询出来的协办人优先显示本部门人员。修改配置项值为执法主体，案件上报时优先展示本部门人员数据。</w:t>
      </w:r>
    </w:p>
    <w:p w14:paraId="37574F34">
      <w:pPr>
        <w:spacing w:line="276" w:lineRule="auto"/>
        <w:ind w:firstLine="480"/>
        <w:rPr>
          <w:rFonts w:hint="eastAsia" w:ascii="宋体" w:hAnsi="宋体" w:eastAsia="宋体"/>
          <w:sz w:val="24"/>
          <w:szCs w:val="24"/>
        </w:rPr>
      </w:pPr>
      <w:r>
        <w:rPr>
          <w:rFonts w:hint="eastAsia" w:ascii="宋体" w:hAnsi="宋体" w:eastAsia="宋体"/>
          <w:sz w:val="24"/>
          <w:szCs w:val="24"/>
        </w:rPr>
        <w:t>新增当事人：当系统中不存在当事人信息时，可进行当事人新增，当事人分为个人和单位，针对当事人为个人时，需要填写姓名、身份证号、年龄、性别等基本信息，当事人为单位时，需要填写其名称、地址、统一信用代码、法人等基本信息。通过新增当事人基本信息，该当事人信息自动在系统中进行记录，下次可直接选用该当事人。</w:t>
      </w:r>
    </w:p>
    <w:p w14:paraId="16AF1EC2">
      <w:pPr>
        <w:spacing w:line="276" w:lineRule="auto"/>
        <w:ind w:firstLine="480"/>
        <w:rPr>
          <w:rFonts w:hint="eastAsia" w:ascii="宋体" w:hAnsi="宋体" w:eastAsia="宋体"/>
          <w:sz w:val="24"/>
          <w:szCs w:val="24"/>
        </w:rPr>
      </w:pPr>
      <w:r>
        <w:rPr>
          <w:rFonts w:hint="eastAsia" w:ascii="宋体" w:hAnsi="宋体" w:eastAsia="宋体"/>
          <w:sz w:val="24"/>
          <w:szCs w:val="24"/>
        </w:rPr>
        <w:t>定位案发地址：通过在地图上标识位置来定位案发地址，</w:t>
      </w:r>
      <w:r>
        <w:rPr>
          <w:rFonts w:ascii="宋体" w:hAnsi="宋体" w:eastAsia="宋体"/>
          <w:sz w:val="24"/>
          <w:szCs w:val="24"/>
        </w:rPr>
        <w:t xml:space="preserve"> 系统会自动匹配案件所属区域和详细地址信息。</w:t>
      </w:r>
    </w:p>
    <w:p w14:paraId="7E6EE96D">
      <w:pPr>
        <w:spacing w:line="276" w:lineRule="auto"/>
        <w:ind w:firstLine="480"/>
        <w:rPr>
          <w:rFonts w:hint="eastAsia" w:ascii="宋体" w:hAnsi="宋体" w:eastAsia="宋体"/>
          <w:sz w:val="24"/>
          <w:szCs w:val="24"/>
        </w:rPr>
      </w:pPr>
      <w:r>
        <w:rPr>
          <w:rFonts w:hint="eastAsia" w:ascii="宋体" w:hAnsi="宋体" w:eastAsia="宋体"/>
          <w:sz w:val="24"/>
          <w:szCs w:val="24"/>
        </w:rPr>
        <w:t>检索所属区域：可自动检索案件发生所属区域。</w:t>
      </w:r>
    </w:p>
    <w:p w14:paraId="4FF02143">
      <w:pPr>
        <w:spacing w:line="276" w:lineRule="auto"/>
        <w:ind w:firstLine="480"/>
        <w:rPr>
          <w:rFonts w:hint="eastAsia" w:ascii="宋体" w:hAnsi="宋体" w:eastAsia="宋体"/>
          <w:sz w:val="24"/>
          <w:szCs w:val="24"/>
        </w:rPr>
      </w:pPr>
      <w:r>
        <w:rPr>
          <w:rFonts w:hint="eastAsia" w:ascii="宋体" w:hAnsi="宋体" w:eastAsia="宋体"/>
          <w:sz w:val="24"/>
          <w:szCs w:val="24"/>
        </w:rPr>
        <w:t>检索问题类型：可自动选择案件的问题类型。</w:t>
      </w:r>
    </w:p>
    <w:p w14:paraId="633B4381">
      <w:pPr>
        <w:spacing w:line="276" w:lineRule="auto"/>
        <w:ind w:firstLine="480"/>
        <w:rPr>
          <w:rFonts w:hint="eastAsia" w:ascii="宋体" w:hAnsi="宋体" w:eastAsia="宋体"/>
          <w:sz w:val="24"/>
          <w:szCs w:val="24"/>
        </w:rPr>
      </w:pPr>
      <w:r>
        <w:rPr>
          <w:rFonts w:hint="eastAsia" w:ascii="宋体" w:hAnsi="宋体" w:eastAsia="宋体"/>
          <w:sz w:val="24"/>
          <w:szCs w:val="24"/>
        </w:rPr>
        <w:t>生成案卷号：案件信息登记完成，可自动生成案卷号。</w:t>
      </w:r>
    </w:p>
    <w:p w14:paraId="5B5A25F5">
      <w:pPr>
        <w:spacing w:line="276" w:lineRule="auto"/>
        <w:ind w:firstLine="480"/>
        <w:rPr>
          <w:rFonts w:hint="eastAsia" w:ascii="宋体" w:hAnsi="宋体" w:eastAsia="宋体"/>
          <w:sz w:val="24"/>
          <w:szCs w:val="24"/>
        </w:rPr>
      </w:pPr>
      <w:r>
        <w:rPr>
          <w:rFonts w:hint="eastAsia" w:ascii="宋体" w:hAnsi="宋体" w:eastAsia="宋体"/>
          <w:sz w:val="24"/>
          <w:szCs w:val="24"/>
        </w:rPr>
        <w:t>生成文号：案件信息登记完成后，可自动生成立案审批表的文号。</w:t>
      </w:r>
    </w:p>
    <w:p w14:paraId="3DB3FC6B">
      <w:pPr>
        <w:spacing w:line="276" w:lineRule="auto"/>
        <w:ind w:firstLine="480"/>
        <w:rPr>
          <w:rFonts w:hint="eastAsia" w:ascii="宋体" w:hAnsi="宋体" w:eastAsia="宋体"/>
          <w:sz w:val="24"/>
          <w:szCs w:val="24"/>
        </w:rPr>
      </w:pPr>
      <w:r>
        <w:rPr>
          <w:rFonts w:hint="eastAsia" w:ascii="宋体" w:hAnsi="宋体" w:eastAsia="宋体"/>
          <w:sz w:val="24"/>
          <w:szCs w:val="24"/>
        </w:rPr>
        <w:t>保存立案信息：当案件登记完成后对该案件进行保存，该案卷即流转至待办案件栏中。</w:t>
      </w:r>
    </w:p>
    <w:p w14:paraId="5E01C2C3">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调查终结报告</w:t>
      </w:r>
    </w:p>
    <w:p w14:paraId="0C7C9FBA">
      <w:pPr>
        <w:spacing w:line="276" w:lineRule="auto"/>
        <w:ind w:firstLine="480"/>
        <w:rPr>
          <w:rFonts w:hint="eastAsia" w:ascii="宋体" w:hAnsi="宋体" w:eastAsia="宋体"/>
          <w:sz w:val="24"/>
          <w:szCs w:val="24"/>
        </w:rPr>
      </w:pPr>
      <w:r>
        <w:rPr>
          <w:rFonts w:hint="eastAsia" w:ascii="宋体" w:hAnsi="宋体" w:eastAsia="宋体"/>
          <w:sz w:val="24"/>
          <w:szCs w:val="24"/>
        </w:rPr>
        <w:t>案件附件上传：上报案件时，可以选择与该案件相关联的附件图片并进行上传。</w:t>
      </w:r>
    </w:p>
    <w:p w14:paraId="0392A431">
      <w:pPr>
        <w:spacing w:line="276" w:lineRule="auto"/>
        <w:ind w:firstLine="480"/>
        <w:rPr>
          <w:rFonts w:hint="eastAsia" w:ascii="宋体" w:hAnsi="宋体" w:eastAsia="宋体"/>
          <w:sz w:val="24"/>
          <w:szCs w:val="24"/>
        </w:rPr>
      </w:pPr>
      <w:r>
        <w:rPr>
          <w:rFonts w:hint="eastAsia" w:ascii="宋体" w:hAnsi="宋体" w:eastAsia="宋体"/>
          <w:sz w:val="24"/>
          <w:szCs w:val="24"/>
        </w:rPr>
        <w:t>上传附件：以列表的形式展示案件附件信息，包含文件名、上传人、类别、证明内容等信息，并支持附件的上传、下载和</w:t>
      </w:r>
      <w:r>
        <w:rPr>
          <w:rFonts w:ascii="宋体" w:hAnsi="宋体" w:eastAsia="宋体"/>
          <w:sz w:val="24"/>
          <w:szCs w:val="24"/>
        </w:rPr>
        <w:t>删除。证据上传完毕，办案人员签名，自动生成调查终结报告。</w:t>
      </w:r>
    </w:p>
    <w:p w14:paraId="54D22214">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案件处理审批</w:t>
      </w:r>
    </w:p>
    <w:p w14:paraId="0B323522">
      <w:pPr>
        <w:spacing w:line="276" w:lineRule="auto"/>
        <w:ind w:firstLine="480"/>
        <w:rPr>
          <w:rFonts w:hint="eastAsia" w:ascii="宋体" w:hAnsi="宋体" w:eastAsia="宋体"/>
          <w:sz w:val="24"/>
          <w:szCs w:val="24"/>
        </w:rPr>
      </w:pPr>
      <w:r>
        <w:rPr>
          <w:rFonts w:hint="eastAsia" w:ascii="宋体" w:hAnsi="宋体" w:eastAsia="宋体"/>
          <w:sz w:val="24"/>
          <w:szCs w:val="24"/>
        </w:rPr>
        <w:t>调查终结报告形成之后提交案件审理部门进行审理，审理人员根据调查终结报告的内容及上传的证据作出相适应的自由裁量，并形成案件处理审批表。</w:t>
      </w:r>
    </w:p>
    <w:p w14:paraId="3A6EED1C">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自由裁量</w:t>
      </w:r>
    </w:p>
    <w:p w14:paraId="4BC614FC">
      <w:pPr>
        <w:spacing w:line="276" w:lineRule="auto"/>
        <w:ind w:firstLine="480"/>
        <w:rPr>
          <w:rFonts w:hint="eastAsia" w:ascii="宋体" w:hAnsi="宋体" w:eastAsia="宋体"/>
          <w:sz w:val="24"/>
          <w:szCs w:val="24"/>
        </w:rPr>
      </w:pPr>
      <w:r>
        <w:rPr>
          <w:rFonts w:hint="eastAsia" w:ascii="宋体" w:hAnsi="宋体" w:eastAsia="宋体"/>
          <w:sz w:val="24"/>
          <w:szCs w:val="24"/>
        </w:rPr>
        <w:t>案件审理人员在填写处理审批表时，需要填写处罚类型和罚款金额，通过在系统的后台维护系统中提前对案由处罚类型和罚款金额进行提前设定，按照执法支队要求配置自由裁量计算公式，从而做到严格规范自由裁量权。审理人员在进行自由裁量时只需要输入裁量系数，系统自动生成行政处罚金额。裁量系数根据案由、违法情节、违法次数等因素决定。</w:t>
      </w:r>
    </w:p>
    <w:p w14:paraId="319A91F5">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案件会审</w:t>
      </w:r>
    </w:p>
    <w:p w14:paraId="7871A56B">
      <w:pPr>
        <w:spacing w:line="276" w:lineRule="auto"/>
        <w:ind w:firstLine="480"/>
        <w:rPr>
          <w:rFonts w:hint="eastAsia" w:ascii="宋体" w:hAnsi="宋体" w:eastAsia="宋体"/>
          <w:sz w:val="24"/>
          <w:szCs w:val="24"/>
        </w:rPr>
      </w:pPr>
      <w:r>
        <w:rPr>
          <w:rFonts w:hint="eastAsia" w:ascii="宋体" w:hAnsi="宋体" w:eastAsia="宋体"/>
          <w:sz w:val="24"/>
          <w:szCs w:val="24"/>
        </w:rPr>
        <w:t>对符合会审条件的案件在处理审批之后自动转入会审审批流程，形成案件会审审批表。法制机构审核通过后转入会审意见流程，最终形成会审意见表。</w:t>
      </w:r>
    </w:p>
    <w:p w14:paraId="28199275">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文书审核用章</w:t>
      </w:r>
    </w:p>
    <w:p w14:paraId="5DCBAEB3">
      <w:pPr>
        <w:spacing w:line="276" w:lineRule="auto"/>
        <w:ind w:firstLine="480"/>
        <w:rPr>
          <w:rFonts w:hint="eastAsia" w:ascii="宋体" w:hAnsi="宋体" w:eastAsia="宋体"/>
          <w:sz w:val="24"/>
          <w:szCs w:val="24"/>
        </w:rPr>
      </w:pPr>
      <w:r>
        <w:rPr>
          <w:rFonts w:hint="eastAsia" w:ascii="宋体" w:hAnsi="宋体" w:eastAsia="宋体"/>
          <w:sz w:val="24"/>
          <w:szCs w:val="24"/>
        </w:rPr>
        <w:t>告知书、决定书及送达回证等需要加盖公章的步骤，办案人员点击用章申请提交案件审核部门，由相应人员进行用章审核，审核通过后自动加盖电子印章。</w:t>
      </w:r>
    </w:p>
    <w:p w14:paraId="338B8C65">
      <w:pPr>
        <w:spacing w:line="276" w:lineRule="auto"/>
        <w:ind w:firstLine="480"/>
        <w:rPr>
          <w:rFonts w:hint="eastAsia" w:ascii="宋体" w:hAnsi="宋体" w:eastAsia="宋体"/>
          <w:sz w:val="24"/>
          <w:szCs w:val="24"/>
        </w:rPr>
      </w:pPr>
      <w:r>
        <w:rPr>
          <w:rFonts w:ascii="宋体" w:hAnsi="宋体" w:eastAsia="宋体"/>
          <w:sz w:val="24"/>
          <w:szCs w:val="24"/>
        </w:rPr>
        <w:t>g.</w:t>
      </w:r>
      <w:r>
        <w:rPr>
          <w:rFonts w:ascii="宋体" w:hAnsi="宋体" w:eastAsia="宋体"/>
          <w:sz w:val="24"/>
          <w:szCs w:val="24"/>
        </w:rPr>
        <w:tab/>
      </w:r>
      <w:r>
        <w:rPr>
          <w:rFonts w:ascii="宋体" w:hAnsi="宋体" w:eastAsia="宋体"/>
          <w:sz w:val="24"/>
          <w:szCs w:val="24"/>
        </w:rPr>
        <w:t>文书送达</w:t>
      </w:r>
    </w:p>
    <w:p w14:paraId="051B7713">
      <w:pPr>
        <w:spacing w:line="276" w:lineRule="auto"/>
        <w:ind w:firstLine="480"/>
        <w:rPr>
          <w:rFonts w:hint="eastAsia" w:ascii="宋体" w:hAnsi="宋体" w:eastAsia="宋体"/>
          <w:sz w:val="24"/>
          <w:szCs w:val="24"/>
        </w:rPr>
      </w:pPr>
      <w:r>
        <w:rPr>
          <w:rFonts w:hint="eastAsia" w:ascii="宋体" w:hAnsi="宋体" w:eastAsia="宋体"/>
          <w:sz w:val="24"/>
          <w:szCs w:val="24"/>
        </w:rPr>
        <w:t>对审核用印后的外发文书，系统可通过经当事人事先确认同意的电子方式进行送达。</w:t>
      </w:r>
    </w:p>
    <w:p w14:paraId="4C03E772">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结案审批</w:t>
      </w:r>
    </w:p>
    <w:p w14:paraId="29C9133B">
      <w:pPr>
        <w:spacing w:line="276" w:lineRule="auto"/>
        <w:ind w:firstLine="480"/>
        <w:rPr>
          <w:rFonts w:hint="eastAsia" w:ascii="宋体" w:hAnsi="宋体" w:eastAsia="宋体"/>
          <w:sz w:val="24"/>
          <w:szCs w:val="24"/>
        </w:rPr>
      </w:pPr>
      <w:r>
        <w:rPr>
          <w:rFonts w:hint="eastAsia" w:ascii="宋体" w:hAnsi="宋体" w:eastAsia="宋体"/>
          <w:sz w:val="24"/>
          <w:szCs w:val="24"/>
        </w:rPr>
        <w:t>当案卷办理完成后，也即整个案件在线上办理完成，主办人上传缴款书复印件等相关凭证进行结案申请，由相应人员审批后案件进入办结案卷栏。办结案卷栏统计所有已办结的案卷数量及展示案卷列表，通过选定某一办结案卷可展示该案卷的详情信息。</w:t>
      </w:r>
    </w:p>
    <w:p w14:paraId="072995BA">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立卷归档</w:t>
      </w:r>
    </w:p>
    <w:p w14:paraId="11D5458C">
      <w:pPr>
        <w:spacing w:line="276" w:lineRule="auto"/>
        <w:ind w:firstLine="480"/>
        <w:rPr>
          <w:rFonts w:hint="eastAsia" w:ascii="宋体" w:hAnsi="宋体" w:eastAsia="宋体"/>
          <w:sz w:val="24"/>
          <w:szCs w:val="24"/>
        </w:rPr>
      </w:pPr>
      <w:r>
        <w:rPr>
          <w:rFonts w:hint="eastAsia" w:ascii="宋体" w:hAnsi="宋体" w:eastAsia="宋体"/>
          <w:sz w:val="24"/>
          <w:szCs w:val="24"/>
        </w:rPr>
        <w:t>对于已经办结的案件，自动进入立卷归档状态，系统自动</w:t>
      </w:r>
      <w:r>
        <w:rPr>
          <w:rFonts w:ascii="宋体" w:hAnsi="宋体" w:eastAsia="宋体"/>
          <w:sz w:val="24"/>
          <w:szCs w:val="24"/>
        </w:rPr>
        <w:t xml:space="preserve"> 打包案件整体卷宗，并进行分类归档。完成对案件的结案及备 案处理，生成综合考评所需的相关数据。</w:t>
      </w:r>
    </w:p>
    <w:p w14:paraId="05F31697">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督办督查</w:t>
      </w:r>
    </w:p>
    <w:p w14:paraId="4843ADD6">
      <w:pPr>
        <w:spacing w:line="276" w:lineRule="auto"/>
        <w:ind w:firstLine="480"/>
        <w:rPr>
          <w:rFonts w:hint="eastAsia" w:ascii="宋体" w:hAnsi="宋体" w:eastAsia="宋体"/>
          <w:sz w:val="24"/>
          <w:szCs w:val="24"/>
        </w:rPr>
      </w:pPr>
      <w:r>
        <w:rPr>
          <w:rFonts w:hint="eastAsia" w:ascii="宋体" w:hAnsi="宋体" w:eastAsia="宋体"/>
          <w:sz w:val="24"/>
          <w:szCs w:val="24"/>
        </w:rPr>
        <w:t>查看某条案卷的详细信息和办理过程，可以填写督办意见</w:t>
      </w:r>
      <w:r>
        <w:rPr>
          <w:rFonts w:ascii="宋体" w:hAnsi="宋体" w:eastAsia="宋体"/>
          <w:sz w:val="24"/>
          <w:szCs w:val="24"/>
        </w:rPr>
        <w:t xml:space="preserve"> 后批转给执法队员。</w:t>
      </w:r>
    </w:p>
    <w:p w14:paraId="154E2DE7">
      <w:pPr>
        <w:spacing w:line="276" w:lineRule="auto"/>
        <w:ind w:firstLine="480"/>
        <w:rPr>
          <w:rFonts w:hint="eastAsia" w:ascii="宋体" w:hAnsi="宋体" w:eastAsia="宋体"/>
          <w:sz w:val="24"/>
          <w:szCs w:val="24"/>
        </w:rPr>
      </w:pPr>
      <w:r>
        <w:rPr>
          <w:rFonts w:ascii="宋体" w:hAnsi="宋体" w:eastAsia="宋体"/>
          <w:sz w:val="24"/>
          <w:szCs w:val="24"/>
        </w:rPr>
        <w:t>k.</w:t>
      </w:r>
      <w:r>
        <w:rPr>
          <w:rFonts w:ascii="宋体" w:hAnsi="宋体" w:eastAsia="宋体"/>
          <w:sz w:val="24"/>
          <w:szCs w:val="24"/>
        </w:rPr>
        <w:tab/>
      </w:r>
      <w:r>
        <w:rPr>
          <w:rFonts w:ascii="宋体" w:hAnsi="宋体" w:eastAsia="宋体"/>
          <w:sz w:val="24"/>
          <w:szCs w:val="24"/>
        </w:rPr>
        <w:t>数据统计</w:t>
      </w:r>
    </w:p>
    <w:p w14:paraId="7BF479BB">
      <w:pPr>
        <w:spacing w:line="276" w:lineRule="auto"/>
        <w:ind w:firstLine="480"/>
        <w:rPr>
          <w:rFonts w:hint="eastAsia" w:ascii="宋体" w:hAnsi="宋体" w:eastAsia="宋体"/>
          <w:sz w:val="24"/>
          <w:szCs w:val="24"/>
        </w:rPr>
      </w:pPr>
      <w:r>
        <w:rPr>
          <w:rFonts w:hint="eastAsia" w:ascii="宋体" w:hAnsi="宋体" w:eastAsia="宋体"/>
          <w:sz w:val="24"/>
          <w:szCs w:val="24"/>
        </w:rPr>
        <w:t>统计执法办案情况，如简易程序、一般程序、待办案件、</w:t>
      </w:r>
      <w:r>
        <w:rPr>
          <w:rFonts w:ascii="宋体" w:hAnsi="宋体" w:eastAsia="宋体"/>
          <w:sz w:val="24"/>
          <w:szCs w:val="24"/>
        </w:rPr>
        <w:t>已办案件等，可以根据时间、区域、执法大队、中队、小队、执法队员等进行查询统计。</w:t>
      </w:r>
    </w:p>
    <w:p w14:paraId="71E87E25">
      <w:pPr>
        <w:pStyle w:val="14"/>
        <w:rPr>
          <w:rFonts w:hint="eastAsia"/>
          <w:bCs w:val="0"/>
        </w:rPr>
      </w:pPr>
      <w:r>
        <w:rPr>
          <w:bCs w:val="0"/>
        </w:rPr>
        <w:t>商户</w:t>
      </w:r>
      <w:r>
        <w:rPr>
          <w:rFonts w:hint="eastAsia"/>
        </w:rPr>
        <w:t>管理</w:t>
      </w:r>
    </w:p>
    <w:p w14:paraId="72DFBA36">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基础信息普查</w:t>
      </w:r>
    </w:p>
    <w:p w14:paraId="0A6F2F15">
      <w:pPr>
        <w:spacing w:line="276" w:lineRule="auto"/>
        <w:ind w:firstLine="480"/>
        <w:rPr>
          <w:rFonts w:hint="eastAsia" w:ascii="宋体" w:hAnsi="宋体" w:eastAsia="宋体"/>
          <w:sz w:val="24"/>
          <w:szCs w:val="24"/>
        </w:rPr>
      </w:pPr>
      <w:r>
        <w:rPr>
          <w:rFonts w:hint="eastAsia" w:ascii="宋体" w:hAnsi="宋体" w:eastAsia="宋体"/>
          <w:sz w:val="24"/>
          <w:szCs w:val="24"/>
        </w:rPr>
        <w:t>采集商户的基础信息，如商户名称、法人、营业执照、统</w:t>
      </w:r>
      <w:r>
        <w:rPr>
          <w:rFonts w:ascii="宋体" w:hAnsi="宋体" w:eastAsia="宋体"/>
          <w:sz w:val="24"/>
          <w:szCs w:val="24"/>
        </w:rPr>
        <w:t xml:space="preserve"> 一社会信用代码、经营类型、商铺照片、接入办案系统中相关 数据，比如历史案件和当前正在办理的案件情况等。</w:t>
      </w:r>
    </w:p>
    <w:p w14:paraId="770A05AE">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实时更新</w:t>
      </w:r>
    </w:p>
    <w:p w14:paraId="6DB03D60">
      <w:pPr>
        <w:spacing w:line="276" w:lineRule="auto"/>
        <w:ind w:firstLine="480"/>
        <w:rPr>
          <w:rFonts w:hint="eastAsia" w:ascii="宋体" w:hAnsi="宋体" w:eastAsia="宋体"/>
          <w:sz w:val="24"/>
          <w:szCs w:val="24"/>
        </w:rPr>
      </w:pPr>
      <w:r>
        <w:rPr>
          <w:rFonts w:hint="eastAsia" w:ascii="宋体" w:hAnsi="宋体" w:eastAsia="宋体"/>
          <w:sz w:val="24"/>
          <w:szCs w:val="24"/>
        </w:rPr>
        <w:t>执法队员在巡查时发现商户信息发生变更的，可以通过执法终端更新信息，由专人审核后才能将商户信息变更保存。</w:t>
      </w:r>
    </w:p>
    <w:p w14:paraId="2BA86C55">
      <w:pPr>
        <w:spacing w:line="276" w:lineRule="auto"/>
        <w:ind w:firstLine="480"/>
        <w:rPr>
          <w:rFonts w:hint="eastAsia" w:ascii="宋体" w:hAnsi="宋体" w:eastAsia="宋体"/>
          <w:sz w:val="24"/>
          <w:szCs w:val="24"/>
        </w:rPr>
      </w:pPr>
      <w:r>
        <w:rPr>
          <w:rFonts w:ascii="宋体" w:hAnsi="宋体" w:eastAsia="宋体"/>
          <w:sz w:val="24"/>
          <w:szCs w:val="24"/>
        </w:rPr>
        <w:t>c. 市容环卫责任管理</w:t>
      </w:r>
    </w:p>
    <w:p w14:paraId="34F07F66">
      <w:pPr>
        <w:spacing w:line="276" w:lineRule="auto"/>
        <w:ind w:firstLine="480"/>
        <w:rPr>
          <w:rFonts w:hint="eastAsia" w:ascii="宋体" w:hAnsi="宋体" w:eastAsia="宋体"/>
          <w:sz w:val="24"/>
          <w:szCs w:val="24"/>
        </w:rPr>
      </w:pPr>
      <w:r>
        <w:rPr>
          <w:rFonts w:hint="eastAsia" w:ascii="宋体" w:hAnsi="宋体" w:eastAsia="宋体"/>
          <w:sz w:val="24"/>
          <w:szCs w:val="24"/>
        </w:rPr>
        <w:t>以市容环境卫生责任网格为基础，实现对责任单位的评价考核。</w:t>
      </w:r>
    </w:p>
    <w:p w14:paraId="0168FDBB">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店招店牌管理</w:t>
      </w:r>
    </w:p>
    <w:p w14:paraId="5C08431A">
      <w:pPr>
        <w:spacing w:line="276" w:lineRule="auto"/>
        <w:ind w:firstLine="480"/>
        <w:rPr>
          <w:rFonts w:hint="eastAsia" w:ascii="宋体" w:hAnsi="宋体" w:eastAsia="宋体"/>
          <w:sz w:val="24"/>
          <w:szCs w:val="24"/>
        </w:rPr>
      </w:pPr>
      <w:r>
        <w:rPr>
          <w:rFonts w:hint="eastAsia" w:ascii="宋体" w:hAnsi="宋体" w:eastAsia="宋体"/>
          <w:sz w:val="24"/>
          <w:szCs w:val="24"/>
        </w:rPr>
        <w:t>可以进行日常广告店招信息的巡查上报，便于执法队员随时上报广告店招相关案件，更新广告店招信息，对广告店招审批信息进行查询。</w:t>
      </w:r>
    </w:p>
    <w:p w14:paraId="613F0A04">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亮化管理</w:t>
      </w:r>
    </w:p>
    <w:p w14:paraId="339111E0">
      <w:pPr>
        <w:spacing w:line="276" w:lineRule="auto"/>
        <w:ind w:firstLine="480"/>
        <w:rPr>
          <w:rFonts w:hint="eastAsia" w:ascii="宋体" w:hAnsi="宋体" w:eastAsia="宋体"/>
          <w:sz w:val="24"/>
          <w:szCs w:val="24"/>
        </w:rPr>
      </w:pPr>
      <w:r>
        <w:rPr>
          <w:rFonts w:hint="eastAsia" w:ascii="宋体" w:hAnsi="宋体" w:eastAsia="宋体"/>
          <w:sz w:val="24"/>
          <w:szCs w:val="24"/>
        </w:rPr>
        <w:t>对电子显示屏、彩灯等亮化设备进行专项管理，上报相关案件、责令整改、依法拆除、行政处罚等。</w:t>
      </w:r>
    </w:p>
    <w:p w14:paraId="569759D4">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店外经营</w:t>
      </w:r>
      <w:r>
        <w:rPr>
          <w:rFonts w:hint="eastAsia" w:ascii="宋体" w:hAnsi="宋体" w:eastAsia="宋体"/>
          <w:sz w:val="24"/>
          <w:szCs w:val="24"/>
        </w:rPr>
        <w:t>管理</w:t>
      </w:r>
    </w:p>
    <w:p w14:paraId="4D74DCD4">
      <w:pPr>
        <w:spacing w:line="276" w:lineRule="auto"/>
        <w:ind w:firstLine="480"/>
        <w:rPr>
          <w:rFonts w:hint="eastAsia" w:ascii="宋体" w:hAnsi="宋体" w:eastAsia="宋体"/>
          <w:sz w:val="24"/>
          <w:szCs w:val="24"/>
        </w:rPr>
      </w:pPr>
      <w:r>
        <w:rPr>
          <w:rFonts w:hint="eastAsia" w:ascii="宋体" w:hAnsi="宋体" w:eastAsia="宋体"/>
          <w:sz w:val="24"/>
          <w:szCs w:val="24"/>
        </w:rPr>
        <w:t>对店外经营进行专项管理，上报相关案件、责令整改、行政处罚等。</w:t>
      </w:r>
    </w:p>
    <w:p w14:paraId="4D969B44">
      <w:pPr>
        <w:spacing w:line="276" w:lineRule="auto"/>
        <w:ind w:firstLine="480"/>
        <w:rPr>
          <w:rFonts w:hint="eastAsia" w:ascii="宋体" w:hAnsi="宋体" w:eastAsia="宋体"/>
          <w:sz w:val="24"/>
          <w:szCs w:val="24"/>
        </w:rPr>
      </w:pPr>
      <w:r>
        <w:rPr>
          <w:rFonts w:ascii="宋体" w:hAnsi="宋体" w:eastAsia="宋体"/>
          <w:sz w:val="24"/>
          <w:szCs w:val="24"/>
        </w:rPr>
        <w:t>g.</w:t>
      </w:r>
      <w:r>
        <w:rPr>
          <w:rFonts w:ascii="宋体" w:hAnsi="宋体" w:eastAsia="宋体"/>
          <w:sz w:val="24"/>
          <w:szCs w:val="24"/>
        </w:rPr>
        <w:tab/>
      </w:r>
      <w:r>
        <w:rPr>
          <w:rFonts w:ascii="宋体" w:hAnsi="宋体" w:eastAsia="宋体"/>
          <w:sz w:val="24"/>
          <w:szCs w:val="24"/>
        </w:rPr>
        <w:t>餐厨废弃物管理</w:t>
      </w:r>
    </w:p>
    <w:p w14:paraId="70664E05">
      <w:pPr>
        <w:spacing w:line="276" w:lineRule="auto"/>
        <w:ind w:firstLine="480"/>
        <w:rPr>
          <w:rFonts w:hint="eastAsia" w:ascii="宋体" w:hAnsi="宋体" w:eastAsia="宋体"/>
          <w:sz w:val="24"/>
          <w:szCs w:val="24"/>
        </w:rPr>
      </w:pPr>
      <w:r>
        <w:rPr>
          <w:rFonts w:hint="eastAsia" w:ascii="宋体" w:hAnsi="宋体" w:eastAsia="宋体"/>
          <w:sz w:val="24"/>
          <w:szCs w:val="24"/>
        </w:rPr>
        <w:t>对餐厨废弃物产生、收运单位规范存放、收集、运输餐厨废弃物情况进行专项管理，上报相关案件、责令整改、行政处罚等。</w:t>
      </w:r>
    </w:p>
    <w:p w14:paraId="666B0352">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信用管理</w:t>
      </w:r>
    </w:p>
    <w:p w14:paraId="6EDB8214">
      <w:pPr>
        <w:spacing w:line="276" w:lineRule="auto"/>
        <w:ind w:firstLine="480"/>
        <w:rPr>
          <w:rFonts w:hint="eastAsia" w:ascii="宋体" w:hAnsi="宋体" w:eastAsia="宋体"/>
          <w:sz w:val="24"/>
          <w:szCs w:val="24"/>
        </w:rPr>
      </w:pPr>
      <w:r>
        <w:rPr>
          <w:rFonts w:hint="eastAsia" w:ascii="宋体" w:hAnsi="宋体" w:eastAsia="宋体"/>
          <w:sz w:val="24"/>
          <w:szCs w:val="24"/>
        </w:rPr>
        <w:t>建立城管信用管理体系，对沿街门店、建筑垃圾运输企业、环卫服务企业、餐厨废弃物产生单位和运输单位、其他商户分别进行分值型信用评价，建立信用档案，并可根据权限进行审核、变更等操作。设置三种信用评价等级，分别以红、黄、绿三种颜色进行列示，针对不同颜色的社会主体制定相应的管理办法，如巡查频次、审批参考等。</w:t>
      </w:r>
    </w:p>
    <w:p w14:paraId="185FE6A8">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“我的盐城”</w:t>
      </w:r>
    </w:p>
    <w:p w14:paraId="6C20B6C4">
      <w:pPr>
        <w:spacing w:line="276" w:lineRule="auto"/>
        <w:ind w:firstLine="480"/>
        <w:rPr>
          <w:rFonts w:hint="eastAsia" w:ascii="宋体" w:hAnsi="宋体" w:eastAsia="宋体"/>
          <w:sz w:val="24"/>
          <w:szCs w:val="24"/>
        </w:rPr>
      </w:pPr>
      <w:r>
        <w:rPr>
          <w:rFonts w:hint="eastAsia" w:ascii="宋体" w:hAnsi="宋体" w:eastAsia="宋体"/>
          <w:sz w:val="24"/>
          <w:szCs w:val="24"/>
        </w:rPr>
        <w:t>通过“我的盐城”</w:t>
      </w:r>
      <w:r>
        <w:rPr>
          <w:rFonts w:ascii="宋体" w:hAnsi="宋体" w:eastAsia="宋体"/>
          <w:sz w:val="24"/>
          <w:szCs w:val="24"/>
        </w:rPr>
        <w:t>为商户开放宣传、互动、服务等渠道，如政策宣贯、行政审批、信用查询、网上缴款、文书下载等。</w:t>
      </w:r>
    </w:p>
    <w:p w14:paraId="6DA588C1">
      <w:pPr>
        <w:pStyle w:val="14"/>
        <w:rPr>
          <w:rFonts w:hint="eastAsia"/>
          <w:bCs w:val="0"/>
        </w:rPr>
      </w:pPr>
      <w:r>
        <w:rPr>
          <w:bCs w:val="0"/>
        </w:rPr>
        <w:tab/>
      </w:r>
      <w:r>
        <w:rPr>
          <w:rFonts w:hint="eastAsia"/>
        </w:rPr>
        <w:t>监督</w:t>
      </w:r>
      <w:r>
        <w:rPr>
          <w:bCs w:val="0"/>
        </w:rPr>
        <w:t>考核</w:t>
      </w:r>
    </w:p>
    <w:p w14:paraId="4DBD8941">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考核规则</w:t>
      </w:r>
    </w:p>
    <w:p w14:paraId="20853CB1">
      <w:pPr>
        <w:spacing w:line="276" w:lineRule="auto"/>
        <w:ind w:firstLine="480"/>
        <w:rPr>
          <w:rFonts w:hint="eastAsia" w:ascii="宋体" w:hAnsi="宋体" w:eastAsia="宋体"/>
          <w:sz w:val="24"/>
          <w:szCs w:val="24"/>
        </w:rPr>
      </w:pPr>
      <w:r>
        <w:rPr>
          <w:rFonts w:hint="eastAsia" w:ascii="宋体" w:hAnsi="宋体" w:eastAsia="宋体"/>
          <w:sz w:val="24"/>
          <w:szCs w:val="24"/>
        </w:rPr>
        <w:t>根据考核办法，设定考核规则，可以按层级设置部门、人员的考核指标。</w:t>
      </w:r>
    </w:p>
    <w:p w14:paraId="3FF3326B">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hint="eastAsia" w:ascii="宋体" w:hAnsi="宋体" w:eastAsia="宋体"/>
          <w:sz w:val="24"/>
          <w:szCs w:val="24"/>
        </w:rPr>
        <w:t>智能考核</w:t>
      </w:r>
    </w:p>
    <w:p w14:paraId="4E66BCD2">
      <w:pPr>
        <w:spacing w:line="276" w:lineRule="auto"/>
        <w:ind w:firstLine="480"/>
        <w:rPr>
          <w:rFonts w:hint="eastAsia" w:ascii="宋体" w:hAnsi="宋体" w:eastAsia="宋体"/>
          <w:sz w:val="24"/>
          <w:szCs w:val="24"/>
        </w:rPr>
      </w:pPr>
      <w:r>
        <w:rPr>
          <w:rFonts w:hint="eastAsia" w:ascii="宋体" w:hAnsi="宋体" w:eastAsia="宋体"/>
          <w:sz w:val="24"/>
          <w:szCs w:val="24"/>
        </w:rPr>
        <w:t>对各层各级各人员实施智能化考核。包括人员的到岗考勤、</w:t>
      </w:r>
      <w:r>
        <w:rPr>
          <w:rFonts w:ascii="宋体" w:hAnsi="宋体" w:eastAsia="宋体"/>
          <w:sz w:val="24"/>
          <w:szCs w:val="24"/>
        </w:rPr>
        <w:t xml:space="preserve"> 巡逻里程、在岗时长、出入岗次数、上报事件数量、任务处理数量等。</w:t>
      </w:r>
    </w:p>
    <w:p w14:paraId="5E29DF3F">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考核统计</w:t>
      </w:r>
    </w:p>
    <w:p w14:paraId="0F381B3D">
      <w:pPr>
        <w:spacing w:line="276" w:lineRule="auto"/>
        <w:ind w:firstLine="480"/>
        <w:rPr>
          <w:rFonts w:hint="eastAsia" w:ascii="宋体" w:hAnsi="宋体" w:eastAsia="宋体"/>
          <w:sz w:val="24"/>
          <w:szCs w:val="24"/>
        </w:rPr>
      </w:pPr>
      <w:r>
        <w:rPr>
          <w:rFonts w:hint="eastAsia" w:ascii="宋体" w:hAnsi="宋体" w:eastAsia="宋体"/>
          <w:sz w:val="24"/>
          <w:szCs w:val="24"/>
        </w:rPr>
        <w:t>自行设定和调整考核规则，对队伍进行考核统计，形成以日、周、月、季、年多种形式绩效考核结果，实现多维度考核。</w:t>
      </w:r>
    </w:p>
    <w:p w14:paraId="2A81287D">
      <w:pPr>
        <w:pStyle w:val="14"/>
        <w:rPr>
          <w:rFonts w:hint="eastAsia"/>
          <w:bCs w:val="0"/>
        </w:rPr>
      </w:pPr>
      <w:r>
        <w:rPr>
          <w:bCs w:val="0"/>
        </w:rPr>
        <w:t>统计分析</w:t>
      </w:r>
    </w:p>
    <w:p w14:paraId="69E9D175">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统计条件</w:t>
      </w:r>
    </w:p>
    <w:p w14:paraId="25A6A8CE">
      <w:pPr>
        <w:spacing w:line="276" w:lineRule="auto"/>
        <w:ind w:firstLine="480"/>
        <w:rPr>
          <w:rFonts w:hint="eastAsia" w:ascii="宋体" w:hAnsi="宋体" w:eastAsia="宋体"/>
          <w:sz w:val="24"/>
          <w:szCs w:val="24"/>
        </w:rPr>
      </w:pPr>
      <w:r>
        <w:rPr>
          <w:rFonts w:hint="eastAsia" w:ascii="宋体" w:hAnsi="宋体" w:eastAsia="宋体"/>
          <w:sz w:val="24"/>
          <w:szCs w:val="24"/>
        </w:rPr>
        <w:t>根据案由、时间、类型、地点、区域、案值、当事人、办案人等不同因子进行自由组合统计分析。</w:t>
      </w:r>
    </w:p>
    <w:p w14:paraId="0A1C140B">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常规统计</w:t>
      </w:r>
    </w:p>
    <w:p w14:paraId="5257A859">
      <w:pPr>
        <w:spacing w:line="276" w:lineRule="auto"/>
        <w:ind w:firstLine="480"/>
        <w:rPr>
          <w:rFonts w:hint="eastAsia" w:ascii="宋体" w:hAnsi="宋体" w:eastAsia="宋体"/>
          <w:sz w:val="24"/>
          <w:szCs w:val="24"/>
        </w:rPr>
      </w:pPr>
      <w:r>
        <w:rPr>
          <w:rFonts w:hint="eastAsia" w:ascii="宋体" w:hAnsi="宋体" w:eastAsia="宋体"/>
          <w:sz w:val="24"/>
          <w:szCs w:val="24"/>
        </w:rPr>
        <w:t>可按用户权限分别设定周期性常规统计。</w:t>
      </w:r>
    </w:p>
    <w:p w14:paraId="2013EB1C">
      <w:pPr>
        <w:spacing w:line="276" w:lineRule="auto"/>
        <w:ind w:firstLine="480"/>
        <w:rPr>
          <w:rFonts w:hint="eastAsia" w:ascii="宋体" w:hAnsi="宋体" w:eastAsia="宋体"/>
          <w:sz w:val="24"/>
          <w:szCs w:val="24"/>
        </w:rPr>
      </w:pPr>
      <w:r>
        <w:rPr>
          <w:rFonts w:ascii="宋体" w:hAnsi="宋体" w:eastAsia="宋体"/>
          <w:sz w:val="24"/>
          <w:szCs w:val="24"/>
        </w:rPr>
        <w:t>c.临时统计</w:t>
      </w:r>
    </w:p>
    <w:p w14:paraId="2D776650">
      <w:pPr>
        <w:spacing w:line="276" w:lineRule="auto"/>
        <w:ind w:firstLine="480"/>
        <w:rPr>
          <w:rFonts w:hint="eastAsia" w:ascii="宋体" w:hAnsi="宋体" w:eastAsia="宋体"/>
          <w:sz w:val="24"/>
          <w:szCs w:val="24"/>
        </w:rPr>
      </w:pPr>
      <w:r>
        <w:rPr>
          <w:rFonts w:hint="eastAsia" w:ascii="宋体" w:hAnsi="宋体" w:eastAsia="宋体"/>
          <w:sz w:val="24"/>
          <w:szCs w:val="24"/>
        </w:rPr>
        <w:t>可进行临时性随机统计。</w:t>
      </w:r>
    </w:p>
    <w:p w14:paraId="1E3144B9">
      <w:pPr>
        <w:spacing w:line="276" w:lineRule="auto"/>
        <w:ind w:firstLine="480"/>
        <w:rPr>
          <w:rFonts w:hint="eastAsia" w:ascii="宋体" w:hAnsi="宋体" w:eastAsia="宋体"/>
          <w:sz w:val="24"/>
          <w:szCs w:val="24"/>
        </w:rPr>
      </w:pPr>
      <w:r>
        <w:rPr>
          <w:rFonts w:ascii="宋体" w:hAnsi="宋体" w:eastAsia="宋体"/>
          <w:sz w:val="24"/>
          <w:szCs w:val="24"/>
        </w:rPr>
        <w:t>d.重点区域</w:t>
      </w:r>
    </w:p>
    <w:p w14:paraId="72950811">
      <w:pPr>
        <w:spacing w:line="276" w:lineRule="auto"/>
        <w:ind w:firstLine="480"/>
        <w:rPr>
          <w:rFonts w:hint="eastAsia" w:ascii="宋体" w:hAnsi="宋体" w:eastAsia="宋体"/>
          <w:sz w:val="24"/>
          <w:szCs w:val="24"/>
        </w:rPr>
      </w:pPr>
      <w:r>
        <w:rPr>
          <w:rFonts w:hint="eastAsia" w:ascii="宋体" w:hAnsi="宋体" w:eastAsia="宋体"/>
          <w:sz w:val="24"/>
          <w:szCs w:val="24"/>
        </w:rPr>
        <w:t>根据统计结果得出问题高发区域，在指挥调度中显示为重点区域。</w:t>
      </w:r>
    </w:p>
    <w:p w14:paraId="296B8075">
      <w:pPr>
        <w:spacing w:line="276" w:lineRule="auto"/>
        <w:ind w:firstLine="480"/>
        <w:rPr>
          <w:rFonts w:hint="eastAsia" w:ascii="宋体" w:hAnsi="宋体" w:eastAsia="宋体"/>
          <w:sz w:val="24"/>
          <w:szCs w:val="24"/>
        </w:rPr>
      </w:pPr>
      <w:r>
        <w:rPr>
          <w:rFonts w:ascii="宋体" w:hAnsi="宋体" w:eastAsia="宋体"/>
          <w:sz w:val="24"/>
          <w:szCs w:val="24"/>
        </w:rPr>
        <w:t>e.统计形式</w:t>
      </w:r>
    </w:p>
    <w:p w14:paraId="7D916412">
      <w:pPr>
        <w:spacing w:line="276" w:lineRule="auto"/>
        <w:ind w:firstLine="480"/>
        <w:rPr>
          <w:rFonts w:hint="eastAsia" w:ascii="宋体" w:hAnsi="宋体" w:eastAsia="宋体"/>
          <w:sz w:val="24"/>
          <w:szCs w:val="24"/>
        </w:rPr>
      </w:pPr>
      <w:r>
        <w:rPr>
          <w:rFonts w:hint="eastAsia" w:ascii="宋体" w:hAnsi="宋体" w:eastAsia="宋体"/>
          <w:sz w:val="24"/>
          <w:szCs w:val="24"/>
        </w:rPr>
        <w:t>根据需要以纯数据、列表、线型图、柱状图、饼状图、热力图、聚合图等多种形式展现。</w:t>
      </w:r>
    </w:p>
    <w:p w14:paraId="06CFD4B3">
      <w:pPr>
        <w:pStyle w:val="14"/>
        <w:rPr>
          <w:rFonts w:hint="eastAsia"/>
          <w:bCs w:val="0"/>
        </w:rPr>
      </w:pPr>
      <w:r>
        <w:rPr>
          <w:bCs w:val="0"/>
        </w:rPr>
        <w:t>宣教</w:t>
      </w:r>
      <w:r>
        <w:rPr>
          <w:rFonts w:hint="eastAsia"/>
        </w:rPr>
        <w:t>培训</w:t>
      </w:r>
    </w:p>
    <w:p w14:paraId="09EDB31A">
      <w:pPr>
        <w:spacing w:line="276" w:lineRule="auto"/>
        <w:ind w:firstLine="480"/>
        <w:rPr>
          <w:rFonts w:hint="eastAsia" w:ascii="宋体" w:hAnsi="宋体" w:eastAsia="宋体"/>
          <w:sz w:val="24"/>
          <w:szCs w:val="24"/>
        </w:rPr>
      </w:pPr>
      <w:r>
        <w:rPr>
          <w:rFonts w:hint="eastAsia" w:ascii="宋体" w:hAnsi="宋体" w:eastAsia="宋体"/>
          <w:sz w:val="24"/>
          <w:szCs w:val="24"/>
        </w:rPr>
        <w:t>发布执法相关的新闻信息和法培资料。还可以定期设置执法考试，执法队员线上考试，自动打分。</w:t>
      </w:r>
    </w:p>
    <w:p w14:paraId="6D9E38F8">
      <w:pPr>
        <w:pStyle w:val="14"/>
        <w:rPr>
          <w:rFonts w:hint="eastAsia"/>
          <w:bCs w:val="0"/>
        </w:rPr>
      </w:pPr>
      <w:r>
        <w:rPr>
          <w:bCs w:val="0"/>
        </w:rPr>
        <w:t>法律法规</w:t>
      </w:r>
    </w:p>
    <w:p w14:paraId="02BC3E0D">
      <w:pPr>
        <w:spacing w:line="276" w:lineRule="auto"/>
        <w:ind w:firstLine="480"/>
        <w:rPr>
          <w:rFonts w:hint="eastAsia" w:ascii="宋体" w:hAnsi="宋体" w:eastAsia="宋体"/>
          <w:sz w:val="24"/>
          <w:szCs w:val="24"/>
        </w:rPr>
      </w:pPr>
      <w:r>
        <w:rPr>
          <w:rFonts w:hint="eastAsia" w:ascii="宋体" w:hAnsi="宋体" w:eastAsia="宋体"/>
          <w:sz w:val="24"/>
          <w:szCs w:val="24"/>
        </w:rPr>
        <w:t>对法律法规进行统一管理，包括查询、录入、导出、修改、删除、编码化等。</w:t>
      </w:r>
    </w:p>
    <w:p w14:paraId="605C5BD2">
      <w:pPr>
        <w:pStyle w:val="8"/>
        <w:rPr>
          <w:rFonts w:hint="eastAsia"/>
        </w:rPr>
      </w:pPr>
      <w:bookmarkStart w:id="162" w:name="_Toc138067475"/>
      <w:r>
        <w:rPr>
          <w:rFonts w:hint="eastAsia"/>
        </w:rPr>
        <w:t>智慧环卫管理系统</w:t>
      </w:r>
      <w:bookmarkEnd w:id="162"/>
    </w:p>
    <w:p w14:paraId="62F393DA">
      <w:pPr>
        <w:pStyle w:val="14"/>
        <w:rPr>
          <w:rFonts w:hint="eastAsia"/>
          <w:bCs w:val="0"/>
        </w:rPr>
      </w:pPr>
      <w:r>
        <w:rPr>
          <w:bCs w:val="0"/>
        </w:rPr>
        <w:t>环卫机械化车辆作业监管系统</w:t>
      </w:r>
    </w:p>
    <w:p w14:paraId="3E6CA5DC">
      <w:pPr>
        <w:spacing w:line="276" w:lineRule="auto"/>
        <w:ind w:firstLine="480"/>
        <w:rPr>
          <w:rFonts w:hint="eastAsia" w:ascii="宋体" w:hAnsi="宋体" w:eastAsia="宋体"/>
          <w:sz w:val="24"/>
          <w:szCs w:val="24"/>
        </w:rPr>
      </w:pPr>
      <w:r>
        <w:rPr>
          <w:rFonts w:hint="eastAsia" w:ascii="宋体" w:hAnsi="宋体" w:eastAsia="宋体"/>
          <w:sz w:val="24"/>
          <w:szCs w:val="24"/>
        </w:rPr>
        <w:t>一是全面建立车辆信息档案，通过物联网设备对车辆油耗、加水情况以及车辆运行情况和作业情况进行实时的监测监控，完成自有车辆的全面监管；二是通过手机</w:t>
      </w:r>
      <w:r>
        <w:rPr>
          <w:rFonts w:hint="eastAsia" w:ascii="宋体" w:hAnsi="宋体" w:eastAsia="宋体"/>
          <w:sz w:val="24"/>
          <w:szCs w:val="24"/>
          <w:lang w:val="en-US" w:eastAsia="zh-CN"/>
        </w:rPr>
        <w:t>移动端</w:t>
      </w:r>
      <w:r>
        <w:rPr>
          <w:rFonts w:ascii="宋体" w:hAnsi="宋体" w:eastAsia="宋体"/>
          <w:sz w:val="24"/>
          <w:szCs w:val="24"/>
        </w:rPr>
        <w:t>、语音调度、ADAS对违规、异常等情况进行报警和通知，实现车辆的安全管理。</w:t>
      </w:r>
    </w:p>
    <w:p w14:paraId="05792580">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.机械保洁看板</w:t>
      </w:r>
    </w:p>
    <w:p w14:paraId="1701C42C">
      <w:pPr>
        <w:spacing w:line="276" w:lineRule="auto"/>
        <w:ind w:firstLine="480"/>
        <w:rPr>
          <w:rFonts w:hint="eastAsia" w:ascii="宋体" w:hAnsi="宋体" w:eastAsia="宋体"/>
          <w:sz w:val="24"/>
          <w:szCs w:val="24"/>
        </w:rPr>
      </w:pPr>
      <w:r>
        <w:rPr>
          <w:rFonts w:hint="eastAsia" w:ascii="宋体" w:hAnsi="宋体" w:eastAsia="宋体"/>
          <w:sz w:val="24"/>
          <w:szCs w:val="24"/>
        </w:rPr>
        <w:t>建立机械保洁作业综合看板，看板展示内容可根据业务需求，多维度展示车辆作业情况，对机械作业数据进行深层次提炼和分析，实现展示内容的自定义配置，便于管理人员直观获取管理所需的关键信息。</w:t>
      </w:r>
    </w:p>
    <w:p w14:paraId="58282042">
      <w:pPr>
        <w:spacing w:line="276" w:lineRule="auto"/>
        <w:ind w:firstLine="480"/>
        <w:rPr>
          <w:rFonts w:hint="eastAsia" w:ascii="宋体" w:hAnsi="宋体" w:eastAsia="宋体"/>
          <w:sz w:val="24"/>
          <w:szCs w:val="24"/>
        </w:rPr>
      </w:pPr>
      <w:r>
        <w:rPr>
          <w:rFonts w:ascii="宋体" w:hAnsi="宋体" w:eastAsia="宋体"/>
          <w:sz w:val="24"/>
          <w:szCs w:val="24"/>
        </w:rPr>
        <w:t>车辆数量信息：汇总辖区范围内市场化单位数量/</w:t>
      </w:r>
      <w:r>
        <w:rPr>
          <w:rFonts w:hint="eastAsia" w:ascii="宋体" w:hAnsi="宋体" w:eastAsia="宋体"/>
          <w:sz w:val="24"/>
          <w:szCs w:val="24"/>
        </w:rPr>
        <w:t>作业</w:t>
      </w:r>
      <w:r>
        <w:rPr>
          <w:rFonts w:ascii="宋体" w:hAnsi="宋体" w:eastAsia="宋体"/>
          <w:sz w:val="24"/>
          <w:szCs w:val="24"/>
        </w:rPr>
        <w:t>队伍数量及车辆、各类型车辆数据等信息，对所拥有机械化保洁作业资源现状直观呈现；</w:t>
      </w:r>
    </w:p>
    <w:p w14:paraId="76F23A8F">
      <w:pPr>
        <w:spacing w:line="276" w:lineRule="auto"/>
        <w:ind w:firstLine="480"/>
        <w:rPr>
          <w:rFonts w:hint="eastAsia" w:ascii="宋体" w:hAnsi="宋体" w:eastAsia="宋体"/>
          <w:sz w:val="24"/>
          <w:szCs w:val="24"/>
        </w:rPr>
      </w:pPr>
      <w:r>
        <w:rPr>
          <w:rFonts w:hint="eastAsia" w:ascii="宋体" w:hAnsi="宋体" w:eastAsia="宋体"/>
          <w:sz w:val="24"/>
          <w:szCs w:val="24"/>
        </w:rPr>
        <w:t>监测设备信息：</w:t>
      </w:r>
      <w:r>
        <w:rPr>
          <w:rFonts w:ascii="宋体" w:hAnsi="宋体" w:eastAsia="宋体"/>
          <w:sz w:val="24"/>
          <w:szCs w:val="24"/>
        </w:rPr>
        <w:t>展示各单位车载信息化设备（</w:t>
      </w:r>
      <w:r>
        <w:rPr>
          <w:rFonts w:hint="eastAsia" w:ascii="宋体" w:hAnsi="宋体" w:eastAsia="宋体"/>
          <w:sz w:val="24"/>
          <w:szCs w:val="24"/>
          <w:lang w:val="en-US" w:eastAsia="zh-CN"/>
        </w:rPr>
        <w:t>车载定位</w:t>
      </w:r>
      <w:r>
        <w:rPr>
          <w:rFonts w:hint="eastAsia" w:ascii="宋体" w:hAnsi="宋体" w:eastAsia="宋体"/>
          <w:sz w:val="24"/>
          <w:szCs w:val="24"/>
        </w:rPr>
        <w:t>、</w:t>
      </w:r>
      <w:r>
        <w:rPr>
          <w:rFonts w:ascii="宋体" w:hAnsi="宋体" w:eastAsia="宋体"/>
          <w:sz w:val="24"/>
          <w:szCs w:val="24"/>
        </w:rPr>
        <w:t>摄像头等设备）数量，实现对车辆信息化改造的综合管理。</w:t>
      </w:r>
    </w:p>
    <w:p w14:paraId="378B2107">
      <w:pPr>
        <w:spacing w:line="276" w:lineRule="auto"/>
        <w:ind w:firstLine="480"/>
        <w:rPr>
          <w:rFonts w:hint="eastAsia" w:ascii="宋体" w:hAnsi="宋体" w:eastAsia="宋体"/>
          <w:sz w:val="24"/>
          <w:szCs w:val="24"/>
        </w:rPr>
      </w:pPr>
      <w:r>
        <w:rPr>
          <w:rFonts w:ascii="宋体" w:hAnsi="宋体" w:eastAsia="宋体"/>
          <w:sz w:val="24"/>
          <w:szCs w:val="24"/>
        </w:rPr>
        <w:t>作业汇总数据：汇总展示作业单位数量、排班总里程、</w:t>
      </w:r>
      <w:r>
        <w:rPr>
          <w:rFonts w:hint="eastAsia" w:ascii="宋体" w:hAnsi="宋体" w:eastAsia="宋体"/>
          <w:sz w:val="24"/>
          <w:szCs w:val="24"/>
        </w:rPr>
        <w:t>各类型作业类型公里数和总体完成比例</w:t>
      </w:r>
      <w:r>
        <w:rPr>
          <w:rFonts w:ascii="宋体" w:hAnsi="宋体" w:eastAsia="宋体"/>
          <w:sz w:val="24"/>
          <w:szCs w:val="24"/>
        </w:rPr>
        <w:t>，掌握辖区机械化作业整体进度。</w:t>
      </w:r>
    </w:p>
    <w:p w14:paraId="62A7F57D">
      <w:pPr>
        <w:spacing w:line="276" w:lineRule="auto"/>
        <w:ind w:firstLine="480"/>
        <w:rPr>
          <w:rFonts w:hint="eastAsia" w:ascii="宋体" w:hAnsi="宋体" w:eastAsia="宋体"/>
          <w:sz w:val="24"/>
          <w:szCs w:val="24"/>
        </w:rPr>
      </w:pPr>
      <w:r>
        <w:rPr>
          <w:rFonts w:ascii="宋体" w:hAnsi="宋体" w:eastAsia="宋体"/>
          <w:sz w:val="24"/>
          <w:szCs w:val="24"/>
        </w:rPr>
        <w:t>各类作业进度：按照洗扫、清扫、冲洗、洒水等不同的作业类型展示各类型作业完成进度详情，明确各类型作业完成状态。</w:t>
      </w:r>
    </w:p>
    <w:p w14:paraId="6365E386">
      <w:pPr>
        <w:spacing w:line="276" w:lineRule="auto"/>
        <w:ind w:firstLine="480"/>
        <w:rPr>
          <w:rFonts w:hint="eastAsia" w:ascii="宋体" w:hAnsi="宋体" w:eastAsia="宋体"/>
          <w:sz w:val="24"/>
          <w:szCs w:val="24"/>
        </w:rPr>
      </w:pPr>
      <w:r>
        <w:rPr>
          <w:rFonts w:ascii="宋体" w:hAnsi="宋体" w:eastAsia="宋体"/>
          <w:sz w:val="24"/>
          <w:szCs w:val="24"/>
        </w:rPr>
        <w:t>车辆状态信息：显示各</w:t>
      </w:r>
      <w:r>
        <w:rPr>
          <w:rFonts w:hint="eastAsia" w:ascii="宋体" w:hAnsi="宋体" w:eastAsia="宋体"/>
          <w:sz w:val="24"/>
          <w:szCs w:val="24"/>
        </w:rPr>
        <w:t>车辆</w:t>
      </w:r>
      <w:r>
        <w:rPr>
          <w:rFonts w:ascii="宋体" w:hAnsi="宋体" w:eastAsia="宋体"/>
          <w:sz w:val="24"/>
          <w:szCs w:val="24"/>
        </w:rPr>
        <w:t>违规事件发生数量、各类违规事件占比情况，对运营单位作业规范和作业安全进行综合管理；</w:t>
      </w:r>
    </w:p>
    <w:p w14:paraId="0C047E6B">
      <w:pPr>
        <w:spacing w:line="276" w:lineRule="auto"/>
        <w:ind w:firstLine="480"/>
        <w:rPr>
          <w:rFonts w:hint="eastAsia" w:ascii="宋体" w:hAnsi="宋体" w:eastAsia="宋体"/>
          <w:sz w:val="24"/>
          <w:szCs w:val="24"/>
        </w:rPr>
      </w:pPr>
      <w:r>
        <w:rPr>
          <w:rFonts w:ascii="宋体" w:hAnsi="宋体" w:eastAsia="宋体"/>
          <w:sz w:val="24"/>
          <w:szCs w:val="24"/>
        </w:rPr>
        <w:t>违规作业统计：显示各</w:t>
      </w:r>
      <w:r>
        <w:rPr>
          <w:rFonts w:hint="eastAsia" w:ascii="宋体" w:hAnsi="宋体" w:eastAsia="宋体"/>
          <w:sz w:val="24"/>
          <w:szCs w:val="24"/>
        </w:rPr>
        <w:t>车辆</w:t>
      </w:r>
      <w:r>
        <w:rPr>
          <w:rFonts w:ascii="宋体" w:hAnsi="宋体" w:eastAsia="宋体"/>
          <w:sz w:val="24"/>
          <w:szCs w:val="24"/>
        </w:rPr>
        <w:t>违规事件发生数量、各类违规事件占比情况，对运营单位作业规范和作业安全进行综合管理；</w:t>
      </w:r>
    </w:p>
    <w:p w14:paraId="21E087F6">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油耗</w:t>
      </w:r>
      <w:r>
        <w:rPr>
          <w:rFonts w:hint="eastAsia" w:ascii="宋体" w:hAnsi="宋体" w:eastAsia="宋体"/>
          <w:sz w:val="24"/>
          <w:szCs w:val="24"/>
        </w:rPr>
        <w:t>监管</w:t>
      </w:r>
    </w:p>
    <w:p w14:paraId="1003A777">
      <w:pPr>
        <w:spacing w:line="276" w:lineRule="auto"/>
        <w:ind w:firstLine="480"/>
        <w:rPr>
          <w:rFonts w:hint="eastAsia" w:ascii="宋体" w:hAnsi="宋体" w:eastAsia="宋体"/>
          <w:sz w:val="24"/>
          <w:szCs w:val="24"/>
        </w:rPr>
      </w:pPr>
      <w:r>
        <w:rPr>
          <w:rFonts w:hint="eastAsia" w:ascii="宋体" w:hAnsi="宋体" w:eastAsia="宋体"/>
          <w:sz w:val="24"/>
          <w:szCs w:val="24"/>
        </w:rPr>
        <w:t>车辆油耗监管通过为车辆安装油耗传感器实现对车辆耗油情况的在线监管。油耗传感器实时采集车辆油箱实时油量数据（需配合油箱油量传感器）或发动机实时耗油数据（需配合发动机油耗传感器），每隔</w:t>
      </w:r>
      <w:r>
        <w:rPr>
          <w:rFonts w:ascii="宋体" w:hAnsi="宋体" w:eastAsia="宋体"/>
          <w:sz w:val="24"/>
          <w:szCs w:val="24"/>
        </w:rPr>
        <w:t>15-30秒自动上传一次数据回传到监控中心；用户通过系统可查看每辆车的实时耗油情况，并可对车辆百公里油耗与理论油耗值进行对比分析，系统将所有车的里程、油耗、油位、运行状态、加油量等数据以表格形式展示。点击列表中的车辆可查看单车的实时油耗数据。</w:t>
      </w:r>
    </w:p>
    <w:p w14:paraId="4ECB45DC">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历史油耗查询</w:t>
      </w:r>
    </w:p>
    <w:p w14:paraId="68B1491C">
      <w:pPr>
        <w:spacing w:line="276" w:lineRule="auto"/>
        <w:ind w:firstLine="480"/>
        <w:rPr>
          <w:rFonts w:hint="eastAsia" w:ascii="宋体" w:hAnsi="宋体" w:eastAsia="宋体"/>
          <w:sz w:val="24"/>
          <w:szCs w:val="24"/>
        </w:rPr>
      </w:pPr>
      <w:r>
        <w:rPr>
          <w:rFonts w:hint="eastAsia" w:ascii="宋体" w:hAnsi="宋体" w:eastAsia="宋体"/>
          <w:sz w:val="24"/>
          <w:szCs w:val="24"/>
        </w:rPr>
        <w:t>可查询所有车辆的历史油耗情况（缺省为所有车辆、昨天），可按部门、车辆类型、车牌等进行筛选，也可通过点击查看详情操作查看选中车辆的详细历史油耗数据和油量曲线；历史油耗数据包括时间段内的总油耗、总里程等。</w:t>
      </w:r>
    </w:p>
    <w:p w14:paraId="66D72846">
      <w:pPr>
        <w:spacing w:line="276" w:lineRule="auto"/>
        <w:ind w:firstLine="480"/>
        <w:rPr>
          <w:rFonts w:hint="eastAsia" w:ascii="宋体" w:hAnsi="宋体" w:eastAsia="宋体"/>
          <w:sz w:val="24"/>
          <w:szCs w:val="24"/>
        </w:rPr>
      </w:pPr>
      <w:r>
        <w:rPr>
          <w:rFonts w:ascii="宋体" w:hAnsi="宋体" w:eastAsia="宋体"/>
          <w:sz w:val="24"/>
          <w:szCs w:val="24"/>
        </w:rPr>
        <w:t>d.车辆油耗报表</w:t>
      </w:r>
    </w:p>
    <w:p w14:paraId="3FFD3B5E">
      <w:pPr>
        <w:spacing w:line="276" w:lineRule="auto"/>
        <w:ind w:firstLine="480"/>
        <w:rPr>
          <w:rFonts w:hint="eastAsia" w:ascii="宋体" w:hAnsi="宋体" w:eastAsia="宋体"/>
          <w:sz w:val="24"/>
          <w:szCs w:val="24"/>
        </w:rPr>
      </w:pPr>
      <w:r>
        <w:rPr>
          <w:rFonts w:hint="eastAsia" w:ascii="宋体" w:hAnsi="宋体" w:eastAsia="宋体"/>
          <w:sz w:val="24"/>
          <w:szCs w:val="24"/>
        </w:rPr>
        <w:t>可按车辆所属部门、车辆类型、时间、车牌等进行查询和筛选；油耗数据可包括时间段内总里程、空驶里程、作业里程、总油耗、空驶油耗、作业油耗、总百公里平均油耗、空驶百公里平均油耗、作业百公里平均油耗、有效百公里平均油耗等信息。报表支持导出等功能。</w:t>
      </w:r>
      <w:r>
        <w:rPr>
          <w:rFonts w:ascii="宋体" w:hAnsi="宋体" w:eastAsia="宋体"/>
          <w:sz w:val="24"/>
          <w:szCs w:val="24"/>
        </w:rPr>
        <w:t xml:space="preserve"> </w:t>
      </w:r>
    </w:p>
    <w:p w14:paraId="16084918">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违规行为反查</w:t>
      </w:r>
    </w:p>
    <w:p w14:paraId="5B78C41C">
      <w:pPr>
        <w:spacing w:line="276" w:lineRule="auto"/>
        <w:ind w:firstLine="480"/>
        <w:rPr>
          <w:rFonts w:hint="eastAsia" w:ascii="宋体" w:hAnsi="宋体" w:eastAsia="宋体"/>
          <w:sz w:val="24"/>
          <w:szCs w:val="24"/>
        </w:rPr>
      </w:pPr>
      <w:r>
        <w:rPr>
          <w:rFonts w:hint="eastAsia" w:ascii="宋体" w:hAnsi="宋体" w:eastAsia="宋体"/>
          <w:sz w:val="24"/>
          <w:szCs w:val="24"/>
        </w:rPr>
        <w:t>违规行为反查一是通过违规信息记录穿透去查询车辆的作业轨迹与作业视频等；二是监管人员在现场考核时发现某路段作业质量不达标，监控中心根据路段进行反查，最快速度锁定违规嫌疑车辆。</w:t>
      </w:r>
    </w:p>
    <w:p w14:paraId="2C17B677">
      <w:pPr>
        <w:spacing w:line="276" w:lineRule="auto"/>
        <w:ind w:firstLine="480"/>
        <w:rPr>
          <w:rFonts w:hint="eastAsia" w:ascii="宋体" w:hAnsi="宋体" w:eastAsia="宋体"/>
          <w:sz w:val="24"/>
          <w:szCs w:val="24"/>
        </w:rPr>
      </w:pPr>
      <w:bookmarkStart w:id="163" w:name="_Hlk135569829"/>
      <w:r>
        <w:rPr>
          <w:rFonts w:hint="eastAsia" w:ascii="宋体" w:hAnsi="宋体" w:eastAsia="宋体"/>
          <w:sz w:val="24"/>
          <w:szCs w:val="24"/>
        </w:rPr>
        <w:t>f</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违规视频联动</w:t>
      </w:r>
    </w:p>
    <w:p w14:paraId="0A5FAE1F">
      <w:pPr>
        <w:spacing w:line="276" w:lineRule="auto"/>
        <w:ind w:firstLine="480"/>
        <w:rPr>
          <w:rFonts w:hint="eastAsia" w:ascii="宋体" w:hAnsi="宋体" w:eastAsia="宋体"/>
          <w:sz w:val="24"/>
          <w:szCs w:val="24"/>
        </w:rPr>
      </w:pPr>
      <w:r>
        <w:rPr>
          <w:rFonts w:hint="eastAsia" w:ascii="宋体" w:hAnsi="宋体" w:eastAsia="宋体"/>
          <w:sz w:val="24"/>
          <w:szCs w:val="24"/>
        </w:rPr>
        <w:t>通过清扫、洗扫、洒水等作业车辆安装车载监控摄像头，项目实现车载视频设备与软件系统的集成，对车辆清扫、洒水、除雪作业后路面状况远程监控及实时状况抓拍，通过远程可视化监控，道路保洁质量问题快速响应、处理。系统支持实时查看、历史回看、抓拍取证。</w:t>
      </w:r>
    </w:p>
    <w:p w14:paraId="658687DB">
      <w:pPr>
        <w:spacing w:line="276" w:lineRule="auto"/>
        <w:ind w:firstLine="480"/>
        <w:rPr>
          <w:rFonts w:hint="eastAsia" w:ascii="宋体" w:hAnsi="宋体" w:eastAsia="宋体"/>
          <w:sz w:val="24"/>
          <w:szCs w:val="24"/>
        </w:rPr>
      </w:pPr>
      <w:r>
        <w:rPr>
          <w:rFonts w:hint="eastAsia" w:ascii="宋体" w:hAnsi="宋体" w:eastAsia="宋体"/>
          <w:sz w:val="24"/>
          <w:szCs w:val="24"/>
        </w:rPr>
        <w:t>视频安装位置根据需求安装位置一般为扫把左右、车辆后侧、车辆油箱、驾驶室内等。监管车辆作业后的路面清洁情况，实时掌控作业质量；监测油箱部位，防止不规范行为发生；车内监管驾驶员状态。</w:t>
      </w:r>
    </w:p>
    <w:p w14:paraId="638FB041">
      <w:pPr>
        <w:spacing w:line="276" w:lineRule="auto"/>
        <w:ind w:firstLine="480"/>
        <w:rPr>
          <w:rFonts w:hint="eastAsia" w:ascii="宋体" w:hAnsi="宋体" w:eastAsia="宋体"/>
          <w:sz w:val="24"/>
          <w:szCs w:val="24"/>
        </w:rPr>
      </w:pPr>
      <w:r>
        <w:rPr>
          <w:rFonts w:hint="eastAsia" w:ascii="宋体" w:hAnsi="宋体" w:eastAsia="宋体"/>
          <w:sz w:val="24"/>
          <w:szCs w:val="24"/>
        </w:rPr>
        <w:t>基于 “视频平台”实现视频的实时调看与历史回看：</w:t>
      </w:r>
    </w:p>
    <w:p w14:paraId="53557233">
      <w:pPr>
        <w:spacing w:line="276" w:lineRule="auto"/>
        <w:ind w:firstLine="480"/>
        <w:rPr>
          <w:rFonts w:hint="eastAsia" w:ascii="宋体" w:hAnsi="宋体" w:eastAsia="宋体"/>
          <w:sz w:val="24"/>
          <w:szCs w:val="24"/>
        </w:rPr>
      </w:pPr>
      <w:r>
        <w:rPr>
          <w:rFonts w:hint="eastAsia" w:ascii="宋体" w:hAnsi="宋体" w:eastAsia="宋体"/>
          <w:sz w:val="24"/>
          <w:szCs w:val="24"/>
        </w:rPr>
        <w:t>实时调看：实现车辆运行过程中视频数据的实时调看，查看车辆作业质量是否到位；</w:t>
      </w:r>
    </w:p>
    <w:p w14:paraId="7981C946">
      <w:pPr>
        <w:spacing w:line="276" w:lineRule="auto"/>
        <w:ind w:firstLine="480"/>
        <w:rPr>
          <w:rFonts w:hint="eastAsia" w:ascii="宋体" w:hAnsi="宋体" w:eastAsia="宋体"/>
          <w:sz w:val="24"/>
          <w:szCs w:val="24"/>
        </w:rPr>
      </w:pPr>
      <w:r>
        <w:rPr>
          <w:rFonts w:hint="eastAsia" w:ascii="宋体" w:hAnsi="宋体" w:eastAsia="宋体"/>
          <w:sz w:val="24"/>
          <w:szCs w:val="24"/>
        </w:rPr>
        <w:t>历史回看：实现车牌号、时间等条件的查询，实现问题的追溯管理；</w:t>
      </w:r>
    </w:p>
    <w:p w14:paraId="44C6331A">
      <w:pPr>
        <w:spacing w:line="276" w:lineRule="auto"/>
        <w:ind w:firstLine="480"/>
        <w:rPr>
          <w:rFonts w:hint="eastAsia" w:ascii="宋体" w:hAnsi="宋体" w:eastAsia="宋体"/>
          <w:sz w:val="24"/>
          <w:szCs w:val="24"/>
        </w:rPr>
      </w:pPr>
      <w:r>
        <w:rPr>
          <w:rFonts w:hint="eastAsia" w:ascii="宋体" w:hAnsi="宋体" w:eastAsia="宋体"/>
          <w:sz w:val="24"/>
          <w:szCs w:val="24"/>
        </w:rPr>
        <w:t>g</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驾驶状态监管</w:t>
      </w:r>
    </w:p>
    <w:p w14:paraId="0673E7CC">
      <w:pPr>
        <w:pStyle w:val="35"/>
        <w:spacing w:before="124" w:after="124" w:line="276" w:lineRule="auto"/>
        <w:ind w:firstLine="480"/>
        <w:rPr>
          <w:rFonts w:hint="eastAsia" w:ascii="宋体" w:hAnsi="宋体"/>
          <w:sz w:val="24"/>
          <w:szCs w:val="24"/>
        </w:rPr>
      </w:pPr>
      <w:r>
        <w:rPr>
          <w:rFonts w:hint="eastAsia" w:ascii="宋体" w:hAnsi="宋体"/>
          <w:sz w:val="24"/>
          <w:szCs w:val="24"/>
        </w:rPr>
        <w:t>基于深度学习算法，可实现高效准确的目标检测，利用大量的已标定图像训练深度学习网络，深度学习网络可学习到如何检测和分类目标，包括司机疲劳驾驶、接打电话、抽烟等行为。输入一张图像，深度学习网络能输出检测到目标的位置和类别。</w:t>
      </w:r>
    </w:p>
    <w:p w14:paraId="3F65CFB4">
      <w:pPr>
        <w:spacing w:line="276" w:lineRule="auto"/>
        <w:ind w:firstLine="480"/>
        <w:rPr>
          <w:rFonts w:hint="eastAsia" w:ascii="宋体" w:hAnsi="宋体" w:eastAsia="宋体"/>
          <w:sz w:val="24"/>
          <w:szCs w:val="24"/>
        </w:rPr>
      </w:pPr>
      <w:r>
        <w:rPr>
          <w:rFonts w:hint="eastAsia" w:ascii="宋体" w:hAnsi="宋体" w:eastAsia="宋体"/>
          <w:sz w:val="24"/>
          <w:szCs w:val="24"/>
        </w:rPr>
        <w:t>车辆在静止状态下，司机打瞌睡、接打电话等行为都合规合理。车辆在高速行驶时，短暂危险驾驶行为或者疲劳状态就可能酿成大祸。所以预警系统使用了多个检测灵敏度档位，在超低速及静止情况下，默认关闭司机危险驾驶行为检测功能；在中等速度情况下，司机危险驾驶行为检测灵敏度低；在高速情况下，司机危险驾驶行为检测灵敏度高。不同档位的检测灵敏度可调节。</w:t>
      </w:r>
    </w:p>
    <w:p w14:paraId="1AB638E7">
      <w:pPr>
        <w:spacing w:line="276" w:lineRule="auto"/>
        <w:ind w:firstLine="480"/>
        <w:rPr>
          <w:rFonts w:hint="eastAsia" w:ascii="宋体" w:hAnsi="宋体" w:eastAsia="宋体"/>
          <w:sz w:val="24"/>
          <w:szCs w:val="24"/>
        </w:rPr>
      </w:pPr>
      <w:r>
        <w:rPr>
          <w:rFonts w:hint="eastAsia" w:ascii="宋体" w:hAnsi="宋体" w:eastAsia="宋体"/>
          <w:sz w:val="24"/>
          <w:szCs w:val="24"/>
        </w:rPr>
        <w:t>系统形成报警记录，包括车牌号、危险驾驶行为类型、发生时间、驾驶员、联系方式、抓拍图片等。违规记录作为信用判断数据来源之一。</w:t>
      </w:r>
    </w:p>
    <w:p w14:paraId="702E7F85">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前车碰撞预警</w:t>
      </w:r>
    </w:p>
    <w:p w14:paraId="4EEB23A5">
      <w:pPr>
        <w:spacing w:line="276" w:lineRule="auto"/>
        <w:ind w:firstLine="480"/>
        <w:rPr>
          <w:rFonts w:hint="eastAsia" w:ascii="宋体" w:hAnsi="宋体" w:eastAsia="宋体"/>
          <w:sz w:val="24"/>
          <w:szCs w:val="24"/>
        </w:rPr>
      </w:pPr>
      <w:r>
        <w:rPr>
          <w:rFonts w:hint="eastAsia" w:ascii="宋体" w:hAnsi="宋体" w:eastAsia="宋体"/>
          <w:sz w:val="24"/>
          <w:szCs w:val="24"/>
        </w:rPr>
        <w:t>当车辆以一定的速度行驶，过快地接近慢行或停止的前方车辆，或过近地跟随车辆时，系统能检测并对驾驶员进行警告提示，帮助避免或减轻前端碰撞造成的伤害。</w:t>
      </w:r>
    </w:p>
    <w:p w14:paraId="1554F70B">
      <w:pPr>
        <w:spacing w:line="276" w:lineRule="auto"/>
        <w:ind w:firstLine="480"/>
        <w:rPr>
          <w:rFonts w:hint="eastAsia" w:ascii="宋体" w:hAnsi="宋体" w:eastAsia="宋体"/>
          <w:sz w:val="24"/>
          <w:szCs w:val="24"/>
        </w:rPr>
      </w:pPr>
      <w:r>
        <w:rPr>
          <w:rFonts w:hint="eastAsia" w:ascii="宋体" w:hAnsi="宋体" w:eastAsia="宋体"/>
          <w:sz w:val="24"/>
          <w:szCs w:val="24"/>
        </w:rPr>
        <w:t>通过前车像素点位置变化，运用单目测距算法、测速功能和目标检测算法，进行比对分析碰撞时间（距离</w:t>
      </w:r>
      <w:r>
        <w:rPr>
          <w:rFonts w:ascii="宋体" w:hAnsi="宋体" w:eastAsia="宋体"/>
          <w:sz w:val="24"/>
          <w:szCs w:val="24"/>
        </w:rPr>
        <w:t>/相对车速），当TTC小于2.7S开启预警。</w:t>
      </w:r>
    </w:p>
    <w:p w14:paraId="3ECC323F">
      <w:pPr>
        <w:spacing w:line="276" w:lineRule="auto"/>
        <w:ind w:firstLine="480"/>
        <w:rPr>
          <w:rFonts w:hint="eastAsia" w:ascii="宋体" w:hAnsi="宋体" w:eastAsia="宋体"/>
          <w:sz w:val="24"/>
          <w:szCs w:val="24"/>
        </w:rPr>
      </w:pPr>
      <w:r>
        <w:rPr>
          <w:rFonts w:hint="eastAsia" w:ascii="宋体" w:hAnsi="宋体" w:eastAsia="宋体"/>
          <w:sz w:val="24"/>
          <w:szCs w:val="24"/>
        </w:rPr>
        <w:t>系统记录车辆在行驶过程的异常信息，结合车辆的行驶片区和行驶轨迹数据实现车辆驾驶状态分析，输出车辆安全驾驶建议。</w:t>
      </w:r>
    </w:p>
    <w:p w14:paraId="45C8FD31">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车道偏离告警</w:t>
      </w:r>
    </w:p>
    <w:p w14:paraId="3F5262EF">
      <w:pPr>
        <w:spacing w:line="276" w:lineRule="auto"/>
        <w:ind w:firstLine="480"/>
        <w:rPr>
          <w:rFonts w:hint="eastAsia" w:ascii="宋体" w:hAnsi="宋体" w:eastAsia="宋体"/>
          <w:sz w:val="24"/>
          <w:szCs w:val="24"/>
        </w:rPr>
      </w:pPr>
      <w:r>
        <w:rPr>
          <w:rFonts w:hint="eastAsia" w:ascii="宋体" w:hAnsi="宋体" w:eastAsia="宋体"/>
          <w:sz w:val="24"/>
          <w:szCs w:val="24"/>
        </w:rPr>
        <w:t>车辆因驾驶员疏忽等原因偏离车道时，系统将发出报警提醒驾驶员。</w:t>
      </w:r>
    </w:p>
    <w:p w14:paraId="10DDE656">
      <w:pPr>
        <w:spacing w:line="276" w:lineRule="auto"/>
        <w:ind w:firstLine="480"/>
        <w:rPr>
          <w:rFonts w:hint="eastAsia" w:ascii="宋体" w:hAnsi="宋体" w:eastAsia="宋体"/>
          <w:sz w:val="24"/>
          <w:szCs w:val="24"/>
        </w:rPr>
      </w:pPr>
      <w:r>
        <w:rPr>
          <w:rFonts w:hint="eastAsia" w:ascii="宋体" w:hAnsi="宋体" w:eastAsia="宋体"/>
          <w:sz w:val="24"/>
          <w:szCs w:val="24"/>
        </w:rPr>
        <w:t>通过车辆距道路线的偏移角度和测速功能，运用深度学习车道线检测算法和拟合算法识别车辆行驶和道路线方位，当车辆偏离时间达到预设危险值时开启预警。</w:t>
      </w:r>
    </w:p>
    <w:p w14:paraId="5A774AFB">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右转盲区侦测</w:t>
      </w:r>
    </w:p>
    <w:p w14:paraId="6FF75C80">
      <w:pPr>
        <w:spacing w:line="276" w:lineRule="auto"/>
        <w:ind w:firstLine="480"/>
        <w:rPr>
          <w:rFonts w:hint="eastAsia" w:ascii="宋体" w:hAnsi="宋体" w:eastAsia="宋体"/>
          <w:sz w:val="24"/>
          <w:szCs w:val="24"/>
        </w:rPr>
      </w:pPr>
      <w:r>
        <w:rPr>
          <w:rFonts w:hint="eastAsia" w:ascii="宋体" w:hAnsi="宋体" w:eastAsia="宋体"/>
          <w:sz w:val="24"/>
          <w:szCs w:val="24"/>
        </w:rPr>
        <w:t>通过右侧盲区的视频覆盖与主动侦测，能够帮助驾驶者在变道或者转向时，预警提示盲区内的其它道路参与者，减少事故发生，提高行驶安全。</w:t>
      </w:r>
    </w:p>
    <w:p w14:paraId="485C8216">
      <w:pPr>
        <w:spacing w:line="276" w:lineRule="auto"/>
        <w:ind w:firstLine="480"/>
        <w:rPr>
          <w:rFonts w:hint="eastAsia" w:ascii="宋体" w:hAnsi="宋体" w:eastAsia="宋体"/>
          <w:sz w:val="24"/>
          <w:szCs w:val="24"/>
        </w:rPr>
      </w:pPr>
      <w:r>
        <w:rPr>
          <w:rFonts w:hint="eastAsia" w:ascii="宋体" w:hAnsi="宋体" w:eastAsia="宋体"/>
          <w:sz w:val="24"/>
          <w:szCs w:val="24"/>
        </w:rPr>
        <w:t>针对车辆事故率最高的右侧盲区设定盲区范围（长</w:t>
      </w:r>
      <w:r>
        <w:rPr>
          <w:rFonts w:ascii="宋体" w:hAnsi="宋体" w:eastAsia="宋体"/>
          <w:sz w:val="24"/>
          <w:szCs w:val="24"/>
        </w:rPr>
        <w:t>12m、宽2.5m），运用物体识别算法和深度学习算法，检测可识别区域的行人、机动车和非机动车，进行预警功能。</w:t>
      </w:r>
    </w:p>
    <w:p w14:paraId="08686754">
      <w:pPr>
        <w:spacing w:line="276" w:lineRule="auto"/>
        <w:ind w:firstLine="480"/>
        <w:rPr>
          <w:rFonts w:hint="eastAsia" w:ascii="宋体" w:hAnsi="宋体" w:eastAsia="宋体"/>
          <w:sz w:val="24"/>
          <w:szCs w:val="24"/>
        </w:rPr>
      </w:pPr>
      <w:r>
        <w:rPr>
          <w:rFonts w:hint="eastAsia" w:ascii="宋体" w:hAnsi="宋体" w:eastAsia="宋体"/>
          <w:sz w:val="24"/>
          <w:szCs w:val="24"/>
        </w:rPr>
        <w:t>系统记录盲区监测出现异常的信号信息，与车牌号、车速等进行同步展示，监管驾驶员驾驶行为。</w:t>
      </w:r>
    </w:p>
    <w:p w14:paraId="2DBD135D">
      <w:pPr>
        <w:spacing w:line="276" w:lineRule="auto"/>
        <w:ind w:firstLine="480"/>
        <w:rPr>
          <w:rFonts w:hint="eastAsia" w:ascii="宋体" w:hAnsi="宋体" w:eastAsia="宋体"/>
          <w:sz w:val="24"/>
          <w:szCs w:val="24"/>
        </w:rPr>
      </w:pPr>
      <w:r>
        <w:rPr>
          <w:rFonts w:ascii="宋体" w:hAnsi="宋体" w:eastAsia="宋体"/>
          <w:sz w:val="24"/>
          <w:szCs w:val="24"/>
        </w:rPr>
        <w:t>k.</w:t>
      </w:r>
      <w:r>
        <w:rPr>
          <w:rFonts w:ascii="宋体" w:hAnsi="宋体" w:eastAsia="宋体"/>
          <w:sz w:val="24"/>
          <w:szCs w:val="24"/>
        </w:rPr>
        <w:tab/>
      </w:r>
      <w:r>
        <w:rPr>
          <w:rFonts w:ascii="宋体" w:hAnsi="宋体" w:eastAsia="宋体"/>
          <w:sz w:val="24"/>
          <w:szCs w:val="24"/>
        </w:rPr>
        <w:t>危险提醒管理</w:t>
      </w:r>
    </w:p>
    <w:p w14:paraId="0ABF9A3B">
      <w:pPr>
        <w:spacing w:line="276" w:lineRule="auto"/>
        <w:ind w:firstLine="480"/>
        <w:rPr>
          <w:rFonts w:hint="eastAsia" w:ascii="宋体" w:hAnsi="宋体" w:eastAsia="宋体"/>
          <w:sz w:val="24"/>
          <w:szCs w:val="24"/>
        </w:rPr>
      </w:pPr>
      <w:r>
        <w:rPr>
          <w:rFonts w:hint="eastAsia" w:ascii="宋体" w:hAnsi="宋体" w:eastAsia="宋体"/>
          <w:sz w:val="24"/>
          <w:szCs w:val="24"/>
        </w:rPr>
        <w:t>驾驶室内安装电子屏，实现视频数据的展示，驾驶员实时获取右侧盲区视频画面。根据实时报警，前端设备语音提示驾驶人员，提醒其进行违规纠正。</w:t>
      </w:r>
    </w:p>
    <w:p w14:paraId="5A11CE80">
      <w:pPr>
        <w:spacing w:line="276" w:lineRule="auto"/>
        <w:ind w:firstLine="480"/>
        <w:rPr>
          <w:rFonts w:hint="eastAsia" w:ascii="宋体" w:hAnsi="宋体" w:eastAsia="宋体"/>
          <w:sz w:val="24"/>
          <w:szCs w:val="24"/>
          <w:lang w:val="en-US" w:eastAsia="zh-CN"/>
        </w:rPr>
      </w:pPr>
      <w:r>
        <w:rPr>
          <w:rFonts w:ascii="宋体" w:hAnsi="宋体" w:eastAsia="宋体"/>
          <w:sz w:val="24"/>
          <w:szCs w:val="24"/>
        </w:rPr>
        <w:t>l.</w:t>
      </w:r>
      <w:r>
        <w:rPr>
          <w:rFonts w:ascii="宋体" w:hAnsi="宋体" w:eastAsia="宋体"/>
          <w:sz w:val="24"/>
          <w:szCs w:val="24"/>
        </w:rPr>
        <w:tab/>
      </w:r>
      <w:r>
        <w:rPr>
          <w:rFonts w:ascii="宋体" w:hAnsi="宋体" w:eastAsia="宋体"/>
          <w:sz w:val="24"/>
          <w:szCs w:val="24"/>
        </w:rPr>
        <w:t>车载调度</w:t>
      </w:r>
    </w:p>
    <w:p w14:paraId="3C2D758C">
      <w:pPr>
        <w:spacing w:line="276" w:lineRule="auto"/>
        <w:ind w:firstLine="480"/>
        <w:rPr>
          <w:rFonts w:hint="eastAsia" w:ascii="宋体" w:hAnsi="宋体" w:eastAsia="宋体"/>
          <w:sz w:val="24"/>
          <w:szCs w:val="24"/>
        </w:rPr>
      </w:pPr>
      <w:r>
        <w:rPr>
          <w:rFonts w:hint="eastAsia" w:ascii="宋体" w:hAnsi="宋体" w:eastAsia="宋体"/>
          <w:sz w:val="24"/>
          <w:szCs w:val="24"/>
        </w:rPr>
        <w:t>车辆上安装车载调度屏，实现调度信息的获取。车载调度</w:t>
      </w:r>
      <w:r>
        <w:rPr>
          <w:rFonts w:ascii="宋体" w:hAnsi="宋体" w:eastAsia="宋体"/>
          <w:sz w:val="24"/>
          <w:szCs w:val="24"/>
        </w:rPr>
        <w:t>为车载调度内置程序，面向司机定制的管理平台，司机通过调度屏接收监控中心任务信息、告警信息和调度信息，获悉自己的任务完成情况等。</w:t>
      </w:r>
    </w:p>
    <w:p w14:paraId="3C1AB192">
      <w:pPr>
        <w:spacing w:line="276" w:lineRule="auto"/>
        <w:ind w:firstLine="480"/>
        <w:rPr>
          <w:rFonts w:hint="eastAsia" w:ascii="宋体" w:hAnsi="宋体" w:eastAsia="宋体"/>
          <w:sz w:val="24"/>
          <w:szCs w:val="24"/>
        </w:rPr>
      </w:pPr>
      <w:r>
        <w:rPr>
          <w:rFonts w:ascii="宋体" w:hAnsi="宋体" w:eastAsia="宋体"/>
          <w:sz w:val="24"/>
          <w:szCs w:val="24"/>
        </w:rPr>
        <w:t>任务获取：通过</w:t>
      </w:r>
      <w:r>
        <w:rPr>
          <w:rFonts w:hint="eastAsia" w:ascii="宋体" w:hAnsi="宋体" w:eastAsia="宋体"/>
          <w:sz w:val="24"/>
          <w:szCs w:val="24"/>
          <w:lang w:val="en-US" w:eastAsia="zh-CN"/>
        </w:rPr>
        <w:t>车载调度屏</w:t>
      </w:r>
      <w:r>
        <w:rPr>
          <w:rFonts w:hint="eastAsia" w:ascii="宋体" w:hAnsi="宋体" w:eastAsia="宋体"/>
          <w:sz w:val="24"/>
          <w:szCs w:val="24"/>
        </w:rPr>
        <w:t>查收调度作业任务</w:t>
      </w:r>
      <w:r>
        <w:rPr>
          <w:rFonts w:ascii="宋体" w:hAnsi="宋体" w:eastAsia="宋体"/>
          <w:sz w:val="24"/>
          <w:szCs w:val="24"/>
        </w:rPr>
        <w:t>，包括作业</w:t>
      </w:r>
      <w:r>
        <w:rPr>
          <w:rFonts w:hint="eastAsia" w:ascii="宋体" w:hAnsi="宋体" w:eastAsia="宋体"/>
          <w:sz w:val="24"/>
          <w:szCs w:val="24"/>
        </w:rPr>
        <w:t>路段要求</w:t>
      </w:r>
      <w:r>
        <w:rPr>
          <w:rFonts w:ascii="宋体" w:hAnsi="宋体" w:eastAsia="宋体"/>
          <w:sz w:val="24"/>
          <w:szCs w:val="24"/>
        </w:rPr>
        <w:t>、作业时间要求、作业趟数要求等；</w:t>
      </w:r>
    </w:p>
    <w:p w14:paraId="2D0844C9">
      <w:pPr>
        <w:spacing w:line="276" w:lineRule="auto"/>
        <w:ind w:firstLine="480"/>
        <w:rPr>
          <w:rFonts w:hint="eastAsia" w:ascii="宋体" w:hAnsi="宋体" w:eastAsia="宋体"/>
          <w:sz w:val="24"/>
          <w:szCs w:val="24"/>
        </w:rPr>
      </w:pPr>
      <w:r>
        <w:rPr>
          <w:rFonts w:ascii="宋体" w:hAnsi="宋体" w:eastAsia="宋体"/>
          <w:sz w:val="24"/>
          <w:szCs w:val="24"/>
        </w:rPr>
        <w:t>违规告警：通过车辆违规行为日志和违规行为告警实现车辆违规行为推送，通知司机进行及时更正，正规作业。</w:t>
      </w:r>
    </w:p>
    <w:p w14:paraId="49D3C303">
      <w:pPr>
        <w:spacing w:line="276" w:lineRule="auto"/>
        <w:ind w:firstLine="480"/>
        <w:rPr>
          <w:rFonts w:hint="eastAsia" w:ascii="宋体" w:hAnsi="宋体" w:eastAsia="宋体"/>
          <w:sz w:val="24"/>
          <w:szCs w:val="24"/>
        </w:rPr>
      </w:pPr>
      <w:r>
        <w:rPr>
          <w:rFonts w:ascii="宋体" w:hAnsi="宋体" w:eastAsia="宋体"/>
          <w:sz w:val="24"/>
          <w:szCs w:val="24"/>
        </w:rPr>
        <w:t>调度反馈：监控中心发送语音或者文字调度信息至调度屏，司机进行反馈确认，包括接收调度、拒绝调度，保障调度信息双向互通，确保调度工作准确到位。</w:t>
      </w:r>
    </w:p>
    <w:p w14:paraId="212DE761">
      <w:pPr>
        <w:spacing w:line="276" w:lineRule="auto"/>
        <w:ind w:firstLine="480"/>
        <w:rPr>
          <w:rFonts w:hint="eastAsia" w:ascii="宋体" w:hAnsi="宋体" w:eastAsia="宋体"/>
          <w:sz w:val="24"/>
          <w:szCs w:val="24"/>
        </w:rPr>
      </w:pPr>
      <w:r>
        <w:rPr>
          <w:rFonts w:ascii="宋体" w:hAnsi="宋体" w:eastAsia="宋体"/>
          <w:sz w:val="24"/>
          <w:szCs w:val="24"/>
        </w:rPr>
        <w:t>任务进度：司机通过调度屏查看任务完成情况，任务执行时间、任务执行进度，效率提升需求。</w:t>
      </w:r>
    </w:p>
    <w:p w14:paraId="2C8D6B76">
      <w:pPr>
        <w:spacing w:line="276" w:lineRule="auto"/>
        <w:ind w:firstLine="480"/>
        <w:rPr>
          <w:rFonts w:hint="eastAsia" w:ascii="宋体" w:hAnsi="宋体" w:eastAsia="宋体"/>
          <w:sz w:val="24"/>
          <w:szCs w:val="24"/>
        </w:rPr>
      </w:pPr>
      <w:r>
        <w:rPr>
          <w:rFonts w:ascii="宋体" w:hAnsi="宋体" w:eastAsia="宋体"/>
          <w:sz w:val="24"/>
          <w:szCs w:val="24"/>
        </w:rPr>
        <w:t>公共通知：通过车载</w:t>
      </w:r>
      <w:r>
        <w:rPr>
          <w:rFonts w:hint="eastAsia" w:ascii="宋体" w:hAnsi="宋体" w:eastAsia="宋体"/>
          <w:sz w:val="24"/>
          <w:szCs w:val="24"/>
          <w:lang w:val="en-US" w:eastAsia="zh-CN"/>
        </w:rPr>
        <w:t>调度屏</w:t>
      </w:r>
      <w:r>
        <w:rPr>
          <w:rFonts w:ascii="宋体" w:hAnsi="宋体" w:eastAsia="宋体"/>
          <w:sz w:val="24"/>
          <w:szCs w:val="24"/>
        </w:rPr>
        <w:t>获取监控中心发布的公共通知，及时进行作业调整。</w:t>
      </w:r>
    </w:p>
    <w:p w14:paraId="033F63D0">
      <w:pPr>
        <w:spacing w:line="276" w:lineRule="auto"/>
        <w:ind w:firstLine="480"/>
        <w:rPr>
          <w:rFonts w:hint="eastAsia" w:ascii="宋体" w:hAnsi="宋体" w:eastAsia="宋体"/>
          <w:sz w:val="24"/>
          <w:szCs w:val="24"/>
        </w:rPr>
      </w:pPr>
      <w:r>
        <w:rPr>
          <w:rFonts w:ascii="宋体" w:hAnsi="宋体" w:eastAsia="宋体"/>
          <w:sz w:val="24"/>
          <w:szCs w:val="24"/>
        </w:rPr>
        <w:t>异常反馈：车辆在作业途中出现异常情况，通过调度</w:t>
      </w:r>
      <w:r>
        <w:rPr>
          <w:rFonts w:hint="eastAsia" w:ascii="宋体" w:hAnsi="宋体" w:eastAsia="宋体"/>
          <w:sz w:val="24"/>
          <w:szCs w:val="24"/>
          <w:lang w:val="en-US" w:eastAsia="zh-CN"/>
        </w:rPr>
        <w:t>屏</w:t>
      </w:r>
      <w:r>
        <w:rPr>
          <w:rFonts w:ascii="宋体" w:hAnsi="宋体" w:eastAsia="宋体"/>
          <w:sz w:val="24"/>
          <w:szCs w:val="24"/>
        </w:rPr>
        <w:t>将信息反馈至监控中心，监控中心及时处理。</w:t>
      </w:r>
    </w:p>
    <w:bookmarkEnd w:id="163"/>
    <w:p w14:paraId="66B799C1">
      <w:pPr>
        <w:spacing w:line="276" w:lineRule="auto"/>
        <w:ind w:firstLine="480"/>
        <w:rPr>
          <w:rFonts w:hint="eastAsia" w:ascii="宋体" w:hAnsi="宋体" w:eastAsia="宋体"/>
          <w:sz w:val="24"/>
          <w:szCs w:val="24"/>
        </w:rPr>
      </w:pPr>
      <w:r>
        <w:rPr>
          <w:rFonts w:ascii="宋体" w:hAnsi="宋体" w:eastAsia="宋体"/>
          <w:sz w:val="24"/>
          <w:szCs w:val="24"/>
        </w:rPr>
        <w:t>m.AI应用说明</w:t>
      </w:r>
    </w:p>
    <w:p w14:paraId="3A8E8743">
      <w:pPr>
        <w:spacing w:line="276" w:lineRule="auto"/>
        <w:ind w:firstLine="480"/>
        <w:rPr>
          <w:rFonts w:hint="eastAsia" w:ascii="宋体" w:hAnsi="宋体" w:eastAsia="宋体"/>
          <w:sz w:val="24"/>
          <w:szCs w:val="24"/>
        </w:rPr>
      </w:pPr>
      <w:r>
        <w:rPr>
          <w:rFonts w:ascii="宋体" w:hAnsi="宋体" w:eastAsia="宋体"/>
          <w:sz w:val="24"/>
          <w:szCs w:val="24"/>
        </w:rPr>
        <w:t xml:space="preserve"> (a)视频数据采集</w:t>
      </w:r>
    </w:p>
    <w:p w14:paraId="6CFCDA3B">
      <w:pPr>
        <w:spacing w:line="276" w:lineRule="auto"/>
        <w:ind w:firstLine="480"/>
        <w:rPr>
          <w:rFonts w:hint="eastAsia" w:ascii="宋体" w:hAnsi="宋体" w:eastAsia="宋体"/>
          <w:sz w:val="24"/>
          <w:szCs w:val="24"/>
        </w:rPr>
      </w:pPr>
      <w:r>
        <w:rPr>
          <w:rFonts w:hint="eastAsia" w:ascii="宋体" w:hAnsi="宋体" w:eastAsia="宋体"/>
          <w:sz w:val="24"/>
          <w:szCs w:val="24"/>
        </w:rPr>
        <w:t>视频数据采集主要包括接入或新增车载视频数据，包括机械化作业车辆、清运车辆，主要采用算法前置方式，实现驾驶员行为监测。本项目采用的均是前端算法，保障了数据告警的及时性。</w:t>
      </w:r>
    </w:p>
    <w:p w14:paraId="39F1FC4E">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智能分析预处理</w:t>
      </w:r>
    </w:p>
    <w:p w14:paraId="3204A587">
      <w:pPr>
        <w:spacing w:line="276" w:lineRule="auto"/>
        <w:ind w:firstLine="480"/>
        <w:rPr>
          <w:rFonts w:hint="eastAsia" w:ascii="宋体" w:hAnsi="宋体" w:eastAsia="宋体"/>
          <w:sz w:val="24"/>
          <w:szCs w:val="24"/>
        </w:rPr>
      </w:pPr>
      <w:r>
        <w:rPr>
          <w:rFonts w:hint="eastAsia" w:ascii="宋体" w:hAnsi="宋体" w:eastAsia="宋体"/>
          <w:sz w:val="24"/>
          <w:szCs w:val="24"/>
        </w:rPr>
        <w:t>为了降低图像采集、图像特征提取和图像分析检索过程中干扰信号的强度，需要在进行图像检索和处理前，对图像进行预处理，图像预处理的内容主要包括以下基本内容：</w:t>
      </w:r>
      <w:r>
        <w:rPr>
          <w:rFonts w:ascii="宋体" w:hAnsi="宋体" w:eastAsia="宋体"/>
          <w:sz w:val="24"/>
          <w:szCs w:val="24"/>
        </w:rPr>
        <w:t xml:space="preserve"> </w:t>
      </w:r>
    </w:p>
    <w:p w14:paraId="193CD97E">
      <w:pPr>
        <w:spacing w:line="276" w:lineRule="auto"/>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)尺度归一化操作</w:t>
      </w:r>
    </w:p>
    <w:p w14:paraId="75005FDF">
      <w:pPr>
        <w:spacing w:line="276" w:lineRule="auto"/>
        <w:ind w:firstLine="480"/>
        <w:rPr>
          <w:rFonts w:hint="eastAsia" w:ascii="宋体" w:hAnsi="宋体" w:eastAsia="宋体"/>
          <w:sz w:val="24"/>
          <w:szCs w:val="24"/>
        </w:rPr>
      </w:pPr>
      <w:r>
        <w:rPr>
          <w:rFonts w:hint="eastAsia" w:ascii="宋体" w:hAnsi="宋体" w:eastAsia="宋体"/>
          <w:sz w:val="24"/>
          <w:szCs w:val="24"/>
        </w:rPr>
        <w:t>为了使图像特征提取过程中各种变量维持在同一水平，需要将图像的尺度控制在相同的标准下，以提升图像特征提取和图像检索的准确性。</w:t>
      </w:r>
      <w:r>
        <w:rPr>
          <w:rFonts w:ascii="宋体" w:hAnsi="宋体" w:eastAsia="宋体"/>
          <w:sz w:val="24"/>
          <w:szCs w:val="24"/>
        </w:rPr>
        <w:t xml:space="preserve"> </w:t>
      </w:r>
    </w:p>
    <w:p w14:paraId="4C0D6BAF">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)噪声剔除</w:t>
      </w:r>
    </w:p>
    <w:p w14:paraId="103EF263">
      <w:pPr>
        <w:spacing w:line="276" w:lineRule="auto"/>
        <w:ind w:firstLine="480"/>
        <w:rPr>
          <w:rFonts w:hint="eastAsia" w:ascii="宋体" w:hAnsi="宋体" w:eastAsia="宋体"/>
          <w:sz w:val="24"/>
          <w:szCs w:val="24"/>
        </w:rPr>
      </w:pPr>
      <w:r>
        <w:rPr>
          <w:rFonts w:hint="eastAsia" w:ascii="宋体" w:hAnsi="宋体" w:eastAsia="宋体"/>
          <w:sz w:val="24"/>
          <w:szCs w:val="24"/>
        </w:rPr>
        <w:t>在图像检索的过程中，需尽可能降低人工干预的可能性，全部需要相关程序自动完成，尽可能降低噪音信号的引入，将与图像无关的内容剔除掉。</w:t>
      </w:r>
      <w:r>
        <w:rPr>
          <w:rFonts w:ascii="宋体" w:hAnsi="宋体" w:eastAsia="宋体"/>
          <w:sz w:val="24"/>
          <w:szCs w:val="24"/>
        </w:rPr>
        <w:t xml:space="preserve"> </w:t>
      </w:r>
    </w:p>
    <w:p w14:paraId="41D76FC6">
      <w:pPr>
        <w:spacing w:line="276" w:lineRule="auto"/>
        <w:ind w:firstLine="480"/>
        <w:rPr>
          <w:rFonts w:hint="eastAsia" w:ascii="宋体" w:hAnsi="宋体" w:eastAsia="宋体"/>
          <w:sz w:val="24"/>
          <w:szCs w:val="24"/>
        </w:rPr>
      </w:pPr>
      <w:r>
        <w:rPr>
          <w:rFonts w:ascii="宋体" w:hAnsi="宋体" w:eastAsia="宋体"/>
          <w:sz w:val="24"/>
          <w:szCs w:val="24"/>
        </w:rPr>
        <w:t>c)弱化图像亮度的影响</w:t>
      </w:r>
    </w:p>
    <w:p w14:paraId="4FFE5DD1">
      <w:pPr>
        <w:spacing w:line="276" w:lineRule="auto"/>
        <w:ind w:firstLine="480"/>
        <w:rPr>
          <w:rFonts w:hint="eastAsia" w:ascii="宋体" w:hAnsi="宋体" w:eastAsia="宋体"/>
          <w:sz w:val="24"/>
          <w:szCs w:val="24"/>
        </w:rPr>
      </w:pPr>
      <w:r>
        <w:rPr>
          <w:rFonts w:hint="eastAsia" w:ascii="宋体" w:hAnsi="宋体" w:eastAsia="宋体"/>
          <w:sz w:val="24"/>
          <w:szCs w:val="24"/>
        </w:rPr>
        <w:t>在不同的光照强度下，图像特征的提取结果和最后识别的结果存在的较大的差异，</w:t>
      </w:r>
      <w:r>
        <w:rPr>
          <w:rFonts w:ascii="宋体" w:hAnsi="宋体" w:eastAsia="宋体"/>
          <w:sz w:val="24"/>
          <w:szCs w:val="24"/>
        </w:rPr>
        <w:t>无法保证图像识别的准确性，因此，需要通过预处理进行对图像的亮度进行均衡化处理，尽可能降低亮度对图像识别的影响。目前应用较多的图像均衡化方法主要使用直方图的形式完成，基于直方图的图像均衡化方法的基本原理是，在自然环境下，如果空间内某个像素的灰度值与和周围像素的灰度值之间的差异较大，则表示该点与其他像素点的关联性交叉，可视为噪声信号，应当剔除；相反，如果像素点与周围的像素点灰度值差别不大，则将此像素点视为有效信号。</w:t>
      </w:r>
    </w:p>
    <w:p w14:paraId="25458561">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链式处理</w:t>
      </w:r>
    </w:p>
    <w:p w14:paraId="1F084B13">
      <w:pPr>
        <w:spacing w:line="276" w:lineRule="auto"/>
        <w:ind w:firstLine="480"/>
        <w:rPr>
          <w:rFonts w:hint="eastAsia" w:ascii="宋体" w:hAnsi="宋体" w:eastAsia="宋体"/>
          <w:sz w:val="24"/>
          <w:szCs w:val="24"/>
        </w:rPr>
      </w:pPr>
      <w:r>
        <w:rPr>
          <w:rFonts w:hint="eastAsia" w:ascii="宋体" w:hAnsi="宋体" w:eastAsia="宋体"/>
          <w:sz w:val="24"/>
          <w:szCs w:val="24"/>
        </w:rPr>
        <w:t>传统</w:t>
      </w:r>
      <w:r>
        <w:rPr>
          <w:rFonts w:ascii="宋体" w:hAnsi="宋体" w:eastAsia="宋体"/>
          <w:sz w:val="24"/>
          <w:szCs w:val="24"/>
        </w:rPr>
        <w:t>AI技术应用时常常是利用单个处理器进行处理。这种方式往往存在识别率低、准确性不高等问题。而本项目在AI技术的应用上采取的是使用链式处理器的方式，即将多个处理器进行串联，形成一条处理链。根据不同的业务需求使用不同的处理链，并且在实际应用时还可以对处理链内部参数进行有针对性的调整，以达到较高的识别效率和精度。</w:t>
      </w:r>
    </w:p>
    <w:p w14:paraId="5899F326">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AI应用效果说明</w:t>
      </w:r>
    </w:p>
    <w:p w14:paraId="6748D9B2">
      <w:pPr>
        <w:spacing w:line="276" w:lineRule="auto"/>
        <w:ind w:firstLine="480"/>
        <w:rPr>
          <w:rFonts w:hint="eastAsia" w:ascii="宋体" w:hAnsi="宋体" w:eastAsia="宋体"/>
          <w:sz w:val="24"/>
          <w:szCs w:val="24"/>
        </w:rPr>
      </w:pPr>
      <w:r>
        <w:rPr>
          <w:rFonts w:ascii="宋体" w:hAnsi="宋体" w:eastAsia="宋体"/>
          <w:sz w:val="24"/>
          <w:szCs w:val="24"/>
        </w:rPr>
        <w:t>贴合环卫管理业务需求实际，实现环卫管理工作AI赋能，升级管理工具，提高管理效率；</w:t>
      </w:r>
    </w:p>
    <w:p w14:paraId="389F44DA">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AI算法支持算法前置或者后台部署，提高原有视频监管设备应用价值，避免重复建设；</w:t>
      </w:r>
    </w:p>
    <w:p w14:paraId="3993B389">
      <w:pPr>
        <w:spacing w:line="276" w:lineRule="auto"/>
        <w:ind w:firstLine="480"/>
        <w:rPr>
          <w:rFonts w:hint="eastAsia" w:ascii="宋体" w:hAnsi="宋体" w:eastAsia="宋体"/>
          <w:sz w:val="24"/>
          <w:szCs w:val="24"/>
        </w:rPr>
      </w:pPr>
      <w:r>
        <w:rPr>
          <w:rFonts w:ascii="宋体" w:hAnsi="宋体" w:eastAsia="宋体"/>
          <w:sz w:val="24"/>
          <w:szCs w:val="24"/>
        </w:rPr>
        <w:t>通过边缘计算的方式，随车硬件实时拍摄，实时识别并将识别结果上传平台；一旦发现抛洒滴漏、作业质量不到位现象之后会生成报警记录，同时上传发现问题的具体位置点以便工作人员及时清理；</w:t>
      </w:r>
    </w:p>
    <w:p w14:paraId="77882921">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一旦发现违规行为之后会立即向安全员发送报警，同时可以通过作业区域现场的喇叭或者支持外放功能的摄像头发出语音提示，及时制止作业人员的违规行为；</w:t>
      </w:r>
    </w:p>
    <w:p w14:paraId="0A4C4D32">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所有的违规行为自动生成报警，可以用于最终的汇总统计，作为执法依据。</w:t>
      </w:r>
    </w:p>
    <w:p w14:paraId="7E68F5D7">
      <w:pPr>
        <w:pStyle w:val="14"/>
        <w:rPr>
          <w:rFonts w:hint="eastAsia"/>
          <w:bCs w:val="0"/>
        </w:rPr>
      </w:pPr>
      <w:r>
        <w:rPr>
          <w:bCs w:val="0"/>
        </w:rPr>
        <w:t>作业保洁机具</w:t>
      </w:r>
      <w:r>
        <w:rPr>
          <w:rFonts w:hint="eastAsia"/>
        </w:rPr>
        <w:t>监管</w:t>
      </w:r>
      <w:r>
        <w:rPr>
          <w:bCs w:val="0"/>
        </w:rPr>
        <w:t>考核系统</w:t>
      </w:r>
    </w:p>
    <w:p w14:paraId="6E610D4E">
      <w:pPr>
        <w:spacing w:line="276" w:lineRule="auto"/>
        <w:ind w:firstLine="480"/>
        <w:rPr>
          <w:rFonts w:hint="eastAsia" w:ascii="宋体" w:hAnsi="宋体" w:eastAsia="宋体"/>
          <w:sz w:val="24"/>
          <w:szCs w:val="24"/>
        </w:rPr>
      </w:pPr>
      <w:r>
        <w:rPr>
          <w:rFonts w:hint="eastAsia" w:ascii="宋体" w:hAnsi="宋体" w:eastAsia="宋体"/>
          <w:sz w:val="24"/>
          <w:szCs w:val="24"/>
        </w:rPr>
        <w:t>一是全面建立市区保洁人员信息档案，完成管理人员对保洁人员身份信息的确认；二是通过为电动三轮车配备</w:t>
      </w:r>
      <w:r>
        <w:rPr>
          <w:rFonts w:hint="eastAsia" w:ascii="宋体" w:hAnsi="宋体" w:eastAsia="宋体"/>
          <w:sz w:val="24"/>
          <w:szCs w:val="24"/>
          <w:lang w:val="en-US" w:eastAsia="zh-CN"/>
        </w:rPr>
        <w:t>车载定位</w:t>
      </w:r>
      <w:r>
        <w:rPr>
          <w:rFonts w:ascii="宋体" w:hAnsi="宋体" w:eastAsia="宋体"/>
          <w:sz w:val="24"/>
          <w:szCs w:val="24"/>
        </w:rPr>
        <w:t>智能终端进行作业、巡查过程的精细化管理。</w:t>
      </w:r>
    </w:p>
    <w:p w14:paraId="3BEBAD0D">
      <w:pPr>
        <w:spacing w:line="276" w:lineRule="auto"/>
        <w:ind w:firstLine="480"/>
        <w:rPr>
          <w:rFonts w:hint="eastAsia" w:ascii="宋体" w:hAnsi="宋体" w:eastAsia="宋体"/>
          <w:sz w:val="24"/>
          <w:szCs w:val="24"/>
        </w:rPr>
      </w:pPr>
      <w:r>
        <w:rPr>
          <w:rFonts w:ascii="宋体" w:hAnsi="宋体" w:eastAsia="宋体"/>
          <w:sz w:val="24"/>
          <w:szCs w:val="24"/>
        </w:rPr>
        <w:t>a.保洁机具作业看板</w:t>
      </w:r>
    </w:p>
    <w:p w14:paraId="423DA8C4">
      <w:pPr>
        <w:spacing w:line="276" w:lineRule="auto"/>
        <w:ind w:firstLine="480"/>
        <w:rPr>
          <w:rFonts w:hint="eastAsia" w:ascii="宋体" w:hAnsi="宋体" w:eastAsia="宋体"/>
          <w:sz w:val="24"/>
          <w:szCs w:val="24"/>
        </w:rPr>
      </w:pPr>
      <w:r>
        <w:rPr>
          <w:rFonts w:hint="eastAsia" w:ascii="宋体" w:hAnsi="宋体" w:eastAsia="宋体"/>
          <w:sz w:val="24"/>
          <w:szCs w:val="24"/>
        </w:rPr>
        <w:t>建立保洁机具作业综合看板，综合展示环卫保洁机具组成情况，联动环卫保洁机具动态监管信息，对保洁作业数据进行深层次提炼和分析，看板展示内容可根据业务需求选择相应的组件，多维度展示保洁作业情况，对保洁作业数据进行深层次提炼和分析，实现展示内容的自定义配置，便于管理人员直观获取管理所需的关键信息，可根据网格、时间等关键词进行数据筛选与更新。</w:t>
      </w:r>
    </w:p>
    <w:p w14:paraId="4AE0955D">
      <w:pPr>
        <w:pStyle w:val="35"/>
        <w:spacing w:before="124" w:after="124" w:line="276" w:lineRule="auto"/>
        <w:ind w:firstLine="480"/>
        <w:rPr>
          <w:rFonts w:hint="eastAsia" w:ascii="宋体" w:hAnsi="宋体"/>
          <w:sz w:val="24"/>
          <w:szCs w:val="24"/>
        </w:rPr>
      </w:pPr>
      <w:r>
        <w:rPr>
          <w:rFonts w:ascii="宋体" w:hAnsi="宋体"/>
          <w:sz w:val="24"/>
          <w:szCs w:val="24"/>
        </w:rPr>
        <w:t>基础数据分析：汇总展示保洁总人数、作业面积、道路长度、</w:t>
      </w:r>
      <w:r>
        <w:rPr>
          <w:rFonts w:hint="eastAsia" w:ascii="宋体" w:hAnsi="宋体"/>
          <w:sz w:val="24"/>
          <w:szCs w:val="24"/>
        </w:rPr>
        <w:t>人员工时</w:t>
      </w:r>
      <w:r>
        <w:rPr>
          <w:rFonts w:ascii="宋体" w:hAnsi="宋体"/>
          <w:sz w:val="24"/>
          <w:szCs w:val="24"/>
        </w:rPr>
        <w:t>等数据，对保洁人员作业基础数据进行综合展示</w:t>
      </w:r>
      <w:r>
        <w:rPr>
          <w:rFonts w:hint="eastAsia" w:ascii="宋体" w:hAnsi="宋体"/>
          <w:sz w:val="24"/>
          <w:szCs w:val="24"/>
        </w:rPr>
        <w:t>。</w:t>
      </w:r>
    </w:p>
    <w:p w14:paraId="0546185B">
      <w:pPr>
        <w:spacing w:line="276" w:lineRule="auto"/>
        <w:ind w:firstLine="480"/>
        <w:rPr>
          <w:rFonts w:hint="eastAsia" w:ascii="宋体" w:hAnsi="宋体" w:eastAsia="宋体"/>
          <w:sz w:val="24"/>
          <w:szCs w:val="24"/>
        </w:rPr>
      </w:pPr>
      <w:r>
        <w:rPr>
          <w:rFonts w:ascii="宋体" w:hAnsi="宋体" w:eastAsia="宋体"/>
          <w:sz w:val="24"/>
          <w:szCs w:val="24"/>
        </w:rPr>
        <w:t>人员年龄分布：统计人工扫保人员年龄，划分服务年龄段，进行服务人员年龄结构分析，直观感知环卫保洁行业的真实服务数据</w:t>
      </w:r>
      <w:r>
        <w:rPr>
          <w:rFonts w:hint="eastAsia" w:ascii="宋体" w:hAnsi="宋体" w:eastAsia="宋体"/>
          <w:sz w:val="24"/>
          <w:szCs w:val="24"/>
        </w:rPr>
        <w:t>。</w:t>
      </w:r>
    </w:p>
    <w:p w14:paraId="04109329">
      <w:pPr>
        <w:spacing w:line="276" w:lineRule="auto"/>
        <w:ind w:firstLine="480"/>
        <w:rPr>
          <w:rFonts w:hint="eastAsia" w:ascii="宋体" w:hAnsi="宋体" w:eastAsia="宋体"/>
          <w:sz w:val="24"/>
          <w:szCs w:val="24"/>
        </w:rPr>
      </w:pPr>
      <w:r>
        <w:rPr>
          <w:rFonts w:ascii="宋体" w:hAnsi="宋体" w:eastAsia="宋体"/>
          <w:sz w:val="24"/>
          <w:szCs w:val="24"/>
        </w:rPr>
        <w:t>服务类型统计：汇总统计辖区范围内各作业类型的人员数据，展示各个运营单位各类型作业人员组成，包括但不限于道路清扫人员、河道保洁人员、公厕保洁人员、车辆驾驶人员、垃圾清运人员等。</w:t>
      </w:r>
    </w:p>
    <w:p w14:paraId="00D17E9B">
      <w:pPr>
        <w:spacing w:line="276" w:lineRule="auto"/>
        <w:ind w:firstLine="480"/>
        <w:rPr>
          <w:rFonts w:hint="eastAsia" w:ascii="宋体" w:hAnsi="宋体" w:eastAsia="宋体"/>
          <w:sz w:val="24"/>
          <w:szCs w:val="24"/>
        </w:rPr>
      </w:pPr>
      <w:r>
        <w:rPr>
          <w:rFonts w:ascii="宋体" w:hAnsi="宋体" w:eastAsia="宋体"/>
          <w:sz w:val="24"/>
          <w:szCs w:val="24"/>
        </w:rPr>
        <w:t>设备数据分析：统计分析保洁人员设备佩戴数量、停用数量、在线数量、平均在线时长、平均作业里程、平均计步数据等，辅助管理人员对设备现状进行实时监测，提取设备的数据价值</w:t>
      </w:r>
      <w:r>
        <w:rPr>
          <w:rFonts w:hint="eastAsia" w:ascii="宋体" w:hAnsi="宋体" w:eastAsia="宋体"/>
          <w:sz w:val="24"/>
          <w:szCs w:val="24"/>
        </w:rPr>
        <w:t>。</w:t>
      </w:r>
    </w:p>
    <w:p w14:paraId="10D3556C">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人员变动趋势：展示各年度环卫保洁人员在管辖范围内的变化趋势，各类型人员在选定时间内的变动</w:t>
      </w:r>
      <w:r>
        <w:rPr>
          <w:rFonts w:hint="eastAsia" w:ascii="宋体" w:hAnsi="宋体" w:eastAsia="宋体"/>
          <w:sz w:val="24"/>
          <w:szCs w:val="24"/>
        </w:rPr>
        <w:t>情况</w:t>
      </w:r>
      <w:r>
        <w:rPr>
          <w:rFonts w:ascii="宋体" w:hAnsi="宋体" w:eastAsia="宋体"/>
          <w:sz w:val="24"/>
          <w:szCs w:val="24"/>
        </w:rPr>
        <w:t>，便于管理人员迅速掌握人员变动数据</w:t>
      </w:r>
      <w:r>
        <w:rPr>
          <w:rFonts w:hint="eastAsia" w:ascii="宋体" w:hAnsi="宋体" w:eastAsia="宋体"/>
          <w:sz w:val="24"/>
          <w:szCs w:val="24"/>
        </w:rPr>
        <w:t>。</w:t>
      </w:r>
    </w:p>
    <w:p w14:paraId="09317532">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人员工时统计：依据人工扫保的作业排班数据，基于人员定位设备实时统计人员实时作业数据，形成人员的日/周/月总工时、日/周/月平均工时数据统计，并对比定额工时和实际工时，辅助管理人员对人工保洁任务有依据地进行任务调整</w:t>
      </w:r>
      <w:r>
        <w:rPr>
          <w:rFonts w:hint="eastAsia" w:ascii="宋体" w:hAnsi="宋体" w:eastAsia="宋体"/>
          <w:sz w:val="24"/>
          <w:szCs w:val="24"/>
        </w:rPr>
        <w:t>。</w:t>
      </w:r>
    </w:p>
    <w:p w14:paraId="2BCB508B">
      <w:pPr>
        <w:pStyle w:val="14"/>
        <w:rPr>
          <w:rFonts w:hint="eastAsia"/>
          <w:bCs w:val="0"/>
        </w:rPr>
      </w:pPr>
      <w:r>
        <w:rPr>
          <w:bCs w:val="0"/>
        </w:rPr>
        <w:t>公厕在线监管与便民服务系统</w:t>
      </w:r>
    </w:p>
    <w:p w14:paraId="661F437A">
      <w:pPr>
        <w:spacing w:line="276" w:lineRule="auto"/>
        <w:ind w:firstLine="480"/>
        <w:rPr>
          <w:rFonts w:hint="eastAsia" w:ascii="宋体" w:hAnsi="宋体" w:eastAsia="宋体"/>
          <w:sz w:val="24"/>
          <w:szCs w:val="24"/>
        </w:rPr>
      </w:pPr>
      <w:r>
        <w:rPr>
          <w:rFonts w:hint="eastAsia" w:ascii="宋体" w:hAnsi="宋体" w:eastAsia="宋体"/>
          <w:sz w:val="24"/>
          <w:szCs w:val="24"/>
        </w:rPr>
        <w:t>一是全面建立市区公厕基础信息档案，包括：位置、外观、保洁人员、侧位数量等在系统内进行全面的展示、查询；；二是通过手机</w:t>
      </w:r>
      <w:r>
        <w:rPr>
          <w:rFonts w:ascii="宋体" w:hAnsi="宋体" w:eastAsia="宋体"/>
          <w:sz w:val="24"/>
          <w:szCs w:val="24"/>
        </w:rPr>
        <w:t>完成</w:t>
      </w:r>
      <w:r>
        <w:rPr>
          <w:rFonts w:hint="eastAsia" w:ascii="宋体" w:hAnsi="宋体" w:eastAsia="宋体"/>
          <w:sz w:val="24"/>
          <w:szCs w:val="24"/>
        </w:rPr>
        <w:t>相应问题考核记录的</w:t>
      </w:r>
      <w:r>
        <w:rPr>
          <w:rFonts w:ascii="宋体" w:hAnsi="宋体" w:eastAsia="宋体"/>
          <w:sz w:val="24"/>
          <w:szCs w:val="24"/>
        </w:rPr>
        <w:t>督查考核全业务流程；三是通过人流量检测、空气质量检测、温湿度检测、蹲位显示等物联网设备，实时感知公厕环境状态，为公众提供优质安全的如厕环境。</w:t>
      </w:r>
    </w:p>
    <w:p w14:paraId="5E5149E4">
      <w:pPr>
        <w:spacing w:line="276" w:lineRule="auto"/>
        <w:ind w:firstLine="480"/>
        <w:rPr>
          <w:rFonts w:hint="eastAsia" w:ascii="宋体" w:hAnsi="宋体" w:eastAsia="宋体"/>
          <w:sz w:val="24"/>
          <w:szCs w:val="24"/>
        </w:rPr>
      </w:pPr>
      <w:r>
        <w:rPr>
          <w:rFonts w:ascii="宋体" w:hAnsi="宋体" w:eastAsia="宋体"/>
          <w:sz w:val="24"/>
          <w:szCs w:val="24"/>
        </w:rPr>
        <w:t>a.公厕蹲位检测</w:t>
      </w:r>
    </w:p>
    <w:p w14:paraId="304B8EC2">
      <w:pPr>
        <w:spacing w:line="276" w:lineRule="auto"/>
        <w:ind w:firstLine="480"/>
        <w:rPr>
          <w:rFonts w:hint="eastAsia" w:ascii="宋体" w:hAnsi="宋体" w:eastAsia="宋体"/>
          <w:sz w:val="24"/>
          <w:szCs w:val="24"/>
        </w:rPr>
      </w:pPr>
      <w:r>
        <w:rPr>
          <w:rFonts w:hint="eastAsia" w:ascii="宋体" w:hAnsi="宋体" w:eastAsia="宋体"/>
          <w:sz w:val="24"/>
          <w:szCs w:val="24"/>
        </w:rPr>
        <w:t>对公厕每个蹲位安装厕位检测设备，一旦当前厕位被使用，门口指示标志及时更新。前端厕位使用数据可通过无线传输方式将数据及时更新至系统后端，系统及时处理更新后可反馈至公厕便民服务设备上和系统中。</w:t>
      </w:r>
    </w:p>
    <w:p w14:paraId="0F8EC166">
      <w:pPr>
        <w:pStyle w:val="14"/>
        <w:rPr>
          <w:rFonts w:hint="eastAsia"/>
          <w:bCs w:val="0"/>
        </w:rPr>
      </w:pPr>
      <w:r>
        <w:rPr>
          <w:bCs w:val="0"/>
        </w:rPr>
        <w:t>移动监管</w:t>
      </w:r>
    </w:p>
    <w:p w14:paraId="5918C48B">
      <w:pPr>
        <w:spacing w:line="276" w:lineRule="auto"/>
        <w:ind w:firstLine="480"/>
        <w:rPr>
          <w:rFonts w:hint="eastAsia" w:ascii="宋体" w:hAnsi="宋体" w:eastAsia="宋体"/>
          <w:sz w:val="24"/>
          <w:szCs w:val="24"/>
        </w:rPr>
      </w:pPr>
      <w:r>
        <w:rPr>
          <w:rFonts w:hint="eastAsia" w:ascii="宋体" w:hAnsi="宋体" w:eastAsia="宋体"/>
          <w:sz w:val="24"/>
          <w:szCs w:val="24"/>
        </w:rPr>
        <w:t>基于“我的盐城”或“盐政通”</w:t>
      </w:r>
      <w:r>
        <w:rPr>
          <w:rFonts w:ascii="宋体" w:hAnsi="宋体" w:eastAsia="宋体"/>
          <w:sz w:val="24"/>
          <w:szCs w:val="24"/>
        </w:rPr>
        <w:t>整体架构，</w:t>
      </w:r>
      <w:r>
        <w:rPr>
          <w:rFonts w:hint="eastAsia" w:ascii="宋体" w:hAnsi="宋体" w:eastAsia="宋体"/>
          <w:sz w:val="24"/>
          <w:szCs w:val="24"/>
        </w:rPr>
        <w:t>建设</w:t>
      </w:r>
      <w:r>
        <w:rPr>
          <w:rFonts w:ascii="宋体" w:hAnsi="宋体" w:eastAsia="宋体"/>
          <w:sz w:val="24"/>
          <w:szCs w:val="24"/>
        </w:rPr>
        <w:t>相应功能模块。</w:t>
      </w:r>
    </w:p>
    <w:p w14:paraId="69DF6076">
      <w:pPr>
        <w:spacing w:line="276" w:lineRule="auto"/>
        <w:ind w:firstLine="480"/>
        <w:rPr>
          <w:rFonts w:hint="eastAsia" w:ascii="宋体" w:hAnsi="宋体" w:eastAsia="宋体"/>
          <w:sz w:val="24"/>
          <w:szCs w:val="24"/>
        </w:rPr>
      </w:pPr>
      <w:r>
        <w:rPr>
          <w:rFonts w:ascii="宋体" w:hAnsi="宋体" w:eastAsia="宋体"/>
          <w:sz w:val="24"/>
          <w:szCs w:val="24"/>
        </w:rPr>
        <w:t>a.车辆油耗监管</w:t>
      </w:r>
    </w:p>
    <w:p w14:paraId="7365E964">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移动端</w:t>
      </w:r>
      <w:r>
        <w:rPr>
          <w:rFonts w:ascii="宋体" w:hAnsi="宋体" w:eastAsia="宋体"/>
          <w:sz w:val="24"/>
          <w:szCs w:val="24"/>
        </w:rPr>
        <w:t>上查询车辆油耗信息，油耗变化曲线以及油耗异常位置信息、时间信息。</w:t>
      </w:r>
    </w:p>
    <w:p w14:paraId="68D7CA36">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.实时计量数据</w:t>
      </w:r>
    </w:p>
    <w:p w14:paraId="3C37AF57">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移动端</w:t>
      </w:r>
      <w:r>
        <w:rPr>
          <w:rFonts w:ascii="宋体" w:hAnsi="宋体" w:eastAsia="宋体"/>
          <w:sz w:val="24"/>
          <w:szCs w:val="24"/>
        </w:rPr>
        <w:t>上查看所有具备计量监管功能的基础设施的计量数据，包括进厂车辆车牌号、毛重、皮重、称重时间、所属片区等。</w:t>
      </w:r>
    </w:p>
    <w:p w14:paraId="4B5AC285">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计量数据报表</w:t>
      </w:r>
    </w:p>
    <w:p w14:paraId="30A4E7CF">
      <w:pPr>
        <w:spacing w:line="276" w:lineRule="auto"/>
        <w:ind w:firstLine="480"/>
        <w:rPr>
          <w:rFonts w:hint="eastAsia" w:ascii="宋体" w:hAnsi="宋体" w:eastAsia="宋体"/>
          <w:sz w:val="24"/>
          <w:szCs w:val="24"/>
        </w:rPr>
      </w:pPr>
      <w:r>
        <w:rPr>
          <w:rFonts w:hint="eastAsia" w:ascii="宋体" w:hAnsi="宋体" w:eastAsia="宋体"/>
          <w:sz w:val="24"/>
          <w:szCs w:val="24"/>
        </w:rPr>
        <w:t>通过</w:t>
      </w:r>
      <w:r>
        <w:rPr>
          <w:rFonts w:hint="eastAsia" w:ascii="宋体" w:hAnsi="宋体" w:eastAsia="宋体"/>
          <w:sz w:val="24"/>
          <w:szCs w:val="24"/>
          <w:lang w:val="en-US" w:eastAsia="zh-CN"/>
        </w:rPr>
        <w:t>移动端</w:t>
      </w:r>
      <w:r>
        <w:rPr>
          <w:rFonts w:ascii="宋体" w:hAnsi="宋体" w:eastAsia="宋体"/>
          <w:sz w:val="24"/>
          <w:szCs w:val="24"/>
        </w:rPr>
        <w:t>查看各处置设施计量数据，包括设施名称、垃圾类型、日处理量等。</w:t>
      </w:r>
    </w:p>
    <w:p w14:paraId="7FDCB07C">
      <w:pPr>
        <w:pStyle w:val="8"/>
        <w:rPr>
          <w:rFonts w:hint="eastAsia"/>
        </w:rPr>
      </w:pPr>
      <w:bookmarkStart w:id="164" w:name="_Toc138067477"/>
      <w:r>
        <w:rPr>
          <w:rFonts w:hint="eastAsia"/>
        </w:rPr>
        <w:t>餐厨垃圾专项管理系统</w:t>
      </w:r>
      <w:bookmarkEnd w:id="164"/>
    </w:p>
    <w:p w14:paraId="1A77135C">
      <w:pPr>
        <w:pStyle w:val="14"/>
        <w:rPr>
          <w:rFonts w:hint="eastAsia"/>
          <w:bCs w:val="0"/>
        </w:rPr>
      </w:pPr>
      <w:r>
        <w:rPr>
          <w:bCs w:val="0"/>
        </w:rPr>
        <w:t>基础</w:t>
      </w:r>
      <w:r>
        <w:rPr>
          <w:rFonts w:hint="eastAsia"/>
        </w:rPr>
        <w:t>数据</w:t>
      </w:r>
      <w:r>
        <w:rPr>
          <w:bCs w:val="0"/>
        </w:rPr>
        <w:t>管理子系统</w:t>
      </w:r>
    </w:p>
    <w:p w14:paraId="7D8C3DD4">
      <w:pPr>
        <w:spacing w:line="276" w:lineRule="auto"/>
        <w:ind w:firstLine="480"/>
        <w:rPr>
          <w:rFonts w:hint="eastAsia" w:ascii="宋体" w:hAnsi="宋体" w:eastAsia="宋体"/>
          <w:sz w:val="24"/>
          <w:szCs w:val="24"/>
        </w:rPr>
      </w:pPr>
      <w:r>
        <w:rPr>
          <w:rFonts w:hint="eastAsia" w:ascii="宋体" w:hAnsi="宋体" w:eastAsia="宋体"/>
          <w:sz w:val="24"/>
          <w:szCs w:val="24"/>
        </w:rPr>
        <w:t>基础数据管理系统针对垃圾桶、驾驶员、收运车辆、餐饮企业等基本信息进行汇总统计，实现信息“台账式”管理，具有实时更新等特点。本次项目将保留产生单位管理、收运车辆管理、驾驶员管理、处置单位管理、收集器具管理等基础信息，并整合到本期系统中；在此基础上完成基础数据库的更新和部分功能的新建。</w:t>
      </w:r>
    </w:p>
    <w:p w14:paraId="54CB5C7A">
      <w:pPr>
        <w:spacing w:line="276" w:lineRule="auto"/>
        <w:ind w:firstLine="480"/>
        <w:rPr>
          <w:rFonts w:hint="eastAsia" w:ascii="宋体" w:hAnsi="宋体" w:eastAsia="宋体"/>
          <w:sz w:val="24"/>
          <w:szCs w:val="24"/>
        </w:rPr>
      </w:pPr>
      <w:r>
        <w:rPr>
          <w:rFonts w:ascii="宋体" w:hAnsi="宋体" w:eastAsia="宋体"/>
          <w:sz w:val="24"/>
          <w:szCs w:val="24"/>
        </w:rPr>
        <w:t>a.产生单位管理</w:t>
      </w:r>
    </w:p>
    <w:p w14:paraId="6A05A70F">
      <w:pPr>
        <w:pStyle w:val="35"/>
        <w:spacing w:before="124" w:after="124" w:line="276" w:lineRule="auto"/>
        <w:ind w:firstLine="480"/>
        <w:rPr>
          <w:rFonts w:hint="eastAsia" w:ascii="宋体" w:hAnsi="宋体"/>
          <w:sz w:val="24"/>
          <w:szCs w:val="24"/>
        </w:rPr>
      </w:pPr>
      <w:r>
        <w:rPr>
          <w:rFonts w:hint="eastAsia" w:ascii="宋体" w:hAnsi="宋体"/>
          <w:sz w:val="24"/>
          <w:szCs w:val="24"/>
        </w:rPr>
        <w:t>餐厨垃圾的产生单位包括餐饮企业、农贸市场、政府机关、公共机构、企业组织的餐饮提供单位等，通过建立产生单位数据库，统一管理包括单位名称、地址、电话、联系人、行业、规模、类型、注册资金、经营范围、成立时间等基础信息，建成产生单位企业档案。</w:t>
      </w:r>
    </w:p>
    <w:p w14:paraId="43F5F647">
      <w:pPr>
        <w:spacing w:line="276" w:lineRule="auto"/>
        <w:ind w:firstLine="480"/>
        <w:rPr>
          <w:rFonts w:hint="eastAsia" w:ascii="宋体" w:hAnsi="宋体" w:eastAsia="宋体"/>
          <w:sz w:val="24"/>
          <w:szCs w:val="24"/>
        </w:rPr>
      </w:pPr>
      <w:r>
        <w:rPr>
          <w:rFonts w:hint="eastAsia" w:ascii="宋体" w:hAnsi="宋体" w:eastAsia="宋体"/>
          <w:sz w:val="24"/>
          <w:szCs w:val="24"/>
        </w:rPr>
        <w:t>并通过位置采点、在线标记等手段，实现对产生单位分布情况的地图聚合展示，可同步展示企业基本信息、业务数据、门店照片等，便于管理人员直接迅速获取产生单位的基础信息。</w:t>
      </w:r>
    </w:p>
    <w:p w14:paraId="48DD77EF">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收运单位管理</w:t>
      </w:r>
    </w:p>
    <w:p w14:paraId="1C031639">
      <w:pPr>
        <w:pStyle w:val="35"/>
        <w:spacing w:before="124" w:after="124" w:line="276" w:lineRule="auto"/>
        <w:ind w:firstLine="480"/>
        <w:rPr>
          <w:rFonts w:hint="eastAsia" w:ascii="宋体" w:hAnsi="宋体"/>
          <w:sz w:val="24"/>
          <w:szCs w:val="24"/>
        </w:rPr>
      </w:pPr>
      <w:r>
        <w:rPr>
          <w:rFonts w:hint="eastAsia" w:ascii="宋体" w:hAnsi="宋体"/>
          <w:sz w:val="24"/>
          <w:szCs w:val="24"/>
        </w:rPr>
        <w:t>收运单位管理模块实现收运单位市场化运营的规范化管理，防止不法企业进入市场，导致地沟油产业链的形成；实现与产生单位、收运车辆数据库的联动管理。建立产生单位的基础数据库，包括单位名称、法定代表人、成立时间、单位地址、营业执照编号、营业执照、管理单位、责任单位等。</w:t>
      </w:r>
    </w:p>
    <w:p w14:paraId="30BBA76B">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.收运车辆管理</w:t>
      </w:r>
    </w:p>
    <w:p w14:paraId="4EEA5FDE">
      <w:pPr>
        <w:spacing w:line="276" w:lineRule="auto"/>
        <w:ind w:firstLine="480"/>
        <w:rPr>
          <w:rFonts w:hint="eastAsia" w:ascii="宋体" w:hAnsi="宋体" w:eastAsia="宋体"/>
          <w:sz w:val="24"/>
          <w:szCs w:val="24"/>
        </w:rPr>
      </w:pPr>
      <w:r>
        <w:rPr>
          <w:rFonts w:hint="eastAsia" w:ascii="宋体" w:hAnsi="宋体" w:eastAsia="宋体"/>
          <w:sz w:val="24"/>
          <w:szCs w:val="24"/>
        </w:rPr>
        <w:t>建立收运车辆基础信息管理模块，将不同收运单位所有的餐厨车辆统一管理，主要包括车牌号、司机姓名、所属收运单位、身份识别卡编号、吨位、购买时间等，通过数据库技术实现餐厨垃圾收运车辆的基础信息管理，为收集监管子系统和清运管理子系统奠定数据基础。并支持权限内的增、删、改、查，数据可以需求进行汇总统计。</w:t>
      </w:r>
    </w:p>
    <w:p w14:paraId="1A2D12EF">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驾驶员管理</w:t>
      </w:r>
    </w:p>
    <w:p w14:paraId="24682497">
      <w:pPr>
        <w:spacing w:line="276" w:lineRule="auto"/>
        <w:ind w:firstLine="480"/>
        <w:rPr>
          <w:rFonts w:hint="eastAsia" w:ascii="宋体" w:hAnsi="宋体" w:eastAsia="宋体"/>
          <w:sz w:val="24"/>
          <w:szCs w:val="24"/>
        </w:rPr>
      </w:pPr>
      <w:r>
        <w:rPr>
          <w:rFonts w:hint="eastAsia" w:ascii="宋体" w:hAnsi="宋体" w:eastAsia="宋体"/>
          <w:sz w:val="24"/>
          <w:szCs w:val="24"/>
        </w:rPr>
        <w:t>运用数据库技术，实现餐厨垃圾收运人员基础信息管理，包括驾驶员姓名、性别、年龄、默认车辆、驾驶证号、联系方式等。将车辆与驾驶员进行绑定，车辆监管和调度时，可以及时联系到相关负责人。数据信息支持权限范围内的增、删、改、查，支持导入导出等。</w:t>
      </w:r>
    </w:p>
    <w:p w14:paraId="7A540611">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.处置单位管理</w:t>
      </w:r>
    </w:p>
    <w:p w14:paraId="5FA4B79A">
      <w:pPr>
        <w:spacing w:line="276" w:lineRule="auto"/>
        <w:ind w:firstLine="480"/>
        <w:rPr>
          <w:rFonts w:hint="eastAsia" w:ascii="宋体" w:hAnsi="宋体" w:eastAsia="宋体"/>
          <w:sz w:val="24"/>
          <w:szCs w:val="24"/>
        </w:rPr>
      </w:pPr>
      <w:r>
        <w:rPr>
          <w:rFonts w:hint="eastAsia" w:ascii="宋体" w:hAnsi="宋体" w:eastAsia="宋体"/>
          <w:sz w:val="24"/>
          <w:szCs w:val="24"/>
        </w:rPr>
        <w:t>建立处置单位信息管理平台，实现处置单位基本信息管理，主要包括：名称、编码、行政区、生命周期（新建、拆除、改造、返修、移址重建、使用中等）、地址、管理单位、建设日期、设计处理能力、处理方式、启用日期等；便于后期餐厨处置场处置量、服务区域、终端数量等变化的管理，具有管理方便、台账清晰等特点。</w:t>
      </w:r>
    </w:p>
    <w:p w14:paraId="32046B75">
      <w:pPr>
        <w:pStyle w:val="14"/>
        <w:rPr>
          <w:rFonts w:hint="eastAsia"/>
          <w:bCs w:val="0"/>
        </w:rPr>
      </w:pPr>
      <w:r>
        <w:rPr>
          <w:bCs w:val="0"/>
        </w:rPr>
        <w:t>商户签约</w:t>
      </w:r>
      <w:r>
        <w:rPr>
          <w:rFonts w:hint="eastAsia"/>
        </w:rPr>
        <w:t>管理</w:t>
      </w:r>
      <w:r>
        <w:rPr>
          <w:bCs w:val="0"/>
        </w:rPr>
        <w:t>子系统</w:t>
      </w:r>
    </w:p>
    <w:p w14:paraId="07610DC8">
      <w:pPr>
        <w:pStyle w:val="35"/>
        <w:spacing w:before="124" w:after="124" w:line="276" w:lineRule="auto"/>
        <w:ind w:firstLine="480"/>
        <w:rPr>
          <w:rFonts w:hint="eastAsia" w:ascii="宋体" w:hAnsi="宋体"/>
          <w:sz w:val="24"/>
          <w:szCs w:val="24"/>
        </w:rPr>
      </w:pPr>
      <w:r>
        <w:rPr>
          <w:rFonts w:hint="eastAsia" w:ascii="宋体" w:hAnsi="宋体"/>
          <w:sz w:val="24"/>
          <w:szCs w:val="24"/>
        </w:rPr>
        <w:t>基于“我的盐城”开发小程序</w:t>
      </w:r>
      <w:r>
        <w:rPr>
          <w:rFonts w:ascii="宋体" w:hAnsi="宋体"/>
          <w:sz w:val="24"/>
          <w:szCs w:val="24"/>
        </w:rPr>
        <w:t>，对商铺身份信息和餐厨垃圾集中收运需求进行在线填报审核，通过填写申报单，经由相关部门进行审批，从而完成产生单位信息的自动入库和统一规范化管理。</w:t>
      </w:r>
    </w:p>
    <w:p w14:paraId="59E12681">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.注册填报管理</w:t>
      </w:r>
    </w:p>
    <w:p w14:paraId="0F1D3067">
      <w:pPr>
        <w:pStyle w:val="35"/>
        <w:spacing w:before="124" w:after="124" w:line="276" w:lineRule="auto"/>
        <w:ind w:firstLine="480"/>
        <w:rPr>
          <w:rFonts w:hint="eastAsia" w:ascii="宋体" w:hAnsi="宋体"/>
          <w:sz w:val="24"/>
          <w:szCs w:val="24"/>
        </w:rPr>
      </w:pPr>
      <w:r>
        <w:rPr>
          <w:rFonts w:hint="eastAsia" w:ascii="宋体" w:hAnsi="宋体"/>
          <w:sz w:val="24"/>
          <w:szCs w:val="24"/>
        </w:rPr>
        <w:t>产生单位通过移动端在线申报商户信息</w:t>
      </w:r>
      <w:r>
        <w:rPr>
          <w:rFonts w:ascii="宋体" w:hAnsi="宋体"/>
          <w:sz w:val="24"/>
          <w:szCs w:val="24"/>
        </w:rPr>
        <w:t>，填写企业相关信息，包括：单位名称、所属区、地址、联系人、联系方式、餐饮服务许可证、餐厨垃圾处理方式{</w:t>
      </w:r>
      <w:r>
        <w:rPr>
          <w:rFonts w:hint="eastAsia" w:ascii="宋体" w:hAnsi="宋体"/>
          <w:sz w:val="24"/>
          <w:szCs w:val="24"/>
        </w:rPr>
        <w:t>单点收集</w:t>
      </w:r>
      <w:r>
        <w:rPr>
          <w:rFonts w:ascii="宋体" w:hAnsi="宋体"/>
          <w:sz w:val="24"/>
          <w:szCs w:val="24"/>
        </w:rPr>
        <w:t>、</w:t>
      </w:r>
      <w:r>
        <w:rPr>
          <w:rFonts w:hint="eastAsia" w:ascii="宋体" w:hAnsi="宋体"/>
          <w:sz w:val="24"/>
          <w:szCs w:val="24"/>
        </w:rPr>
        <w:t>集中收集</w:t>
      </w:r>
      <w:r>
        <w:rPr>
          <w:rFonts w:ascii="宋体" w:hAnsi="宋体"/>
          <w:sz w:val="24"/>
          <w:szCs w:val="24"/>
        </w:rPr>
        <w:t>}、企业规模（</w:t>
      </w:r>
      <w:r>
        <w:rPr>
          <w:rFonts w:hint="eastAsia" w:ascii="宋体" w:hAnsi="宋体"/>
          <w:sz w:val="24"/>
          <w:szCs w:val="24"/>
        </w:rPr>
        <w:t>大型、小型等</w:t>
      </w:r>
      <w:r>
        <w:rPr>
          <w:rFonts w:ascii="宋体" w:hAnsi="宋体"/>
          <w:sz w:val="24"/>
          <w:szCs w:val="24"/>
        </w:rPr>
        <w:t>）；单位性质：{食品加工单位、饮食经营单位、单位食堂、其他}、</w:t>
      </w:r>
      <w:r>
        <w:rPr>
          <w:rFonts w:hint="eastAsia" w:ascii="宋体" w:hAnsi="宋体"/>
          <w:sz w:val="24"/>
          <w:szCs w:val="24"/>
        </w:rPr>
        <w:t>垃圾桶数量</w:t>
      </w:r>
      <w:r>
        <w:rPr>
          <w:rFonts w:ascii="宋体" w:hAnsi="宋体"/>
          <w:sz w:val="24"/>
          <w:szCs w:val="24"/>
        </w:rPr>
        <w:t>、</w:t>
      </w:r>
      <w:r>
        <w:rPr>
          <w:rFonts w:hint="eastAsia" w:ascii="宋体" w:hAnsi="宋体"/>
          <w:sz w:val="24"/>
          <w:szCs w:val="24"/>
        </w:rPr>
        <w:t>餐厨垃圾预估产生量</w:t>
      </w:r>
      <w:r>
        <w:rPr>
          <w:rFonts w:ascii="宋体" w:hAnsi="宋体"/>
          <w:sz w:val="24"/>
          <w:szCs w:val="24"/>
        </w:rPr>
        <w:t>等</w:t>
      </w:r>
    </w:p>
    <w:p w14:paraId="686AF637">
      <w:pPr>
        <w:spacing w:line="276" w:lineRule="auto"/>
        <w:ind w:firstLine="480"/>
        <w:rPr>
          <w:rFonts w:hint="eastAsia" w:ascii="宋体" w:hAnsi="宋体" w:eastAsia="宋体"/>
          <w:sz w:val="24"/>
          <w:szCs w:val="24"/>
        </w:rPr>
      </w:pPr>
      <w:r>
        <w:rPr>
          <w:rFonts w:hint="eastAsia" w:ascii="宋体" w:hAnsi="宋体" w:eastAsia="宋体"/>
          <w:sz w:val="24"/>
          <w:szCs w:val="24"/>
        </w:rPr>
        <w:t>管理后台同步产生单位账号注册记录，管理人员可查看企业信息填写完整性，统计注册企业数量、类型、以及信息填写完善度，并对关键填写信息进行灵活配置，提升餐饮企业基础信息管理的规范性。</w:t>
      </w:r>
    </w:p>
    <w:p w14:paraId="0AEAC620">
      <w:pPr>
        <w:spacing w:line="276" w:lineRule="auto"/>
        <w:ind w:firstLine="480"/>
        <w:rPr>
          <w:rFonts w:hint="eastAsia" w:ascii="宋体" w:hAnsi="宋体" w:eastAsia="宋体"/>
          <w:sz w:val="24"/>
          <w:szCs w:val="24"/>
        </w:rPr>
      </w:pPr>
      <w:r>
        <w:rPr>
          <w:rFonts w:ascii="宋体" w:hAnsi="宋体" w:eastAsia="宋体"/>
          <w:sz w:val="24"/>
          <w:szCs w:val="24"/>
        </w:rPr>
        <w:t>b.</w:t>
      </w:r>
      <w:r>
        <w:rPr>
          <w:rFonts w:hint="eastAsia" w:ascii="宋体" w:hAnsi="宋体" w:eastAsia="宋体"/>
          <w:sz w:val="24"/>
          <w:szCs w:val="24"/>
        </w:rPr>
        <w:t xml:space="preserve"> 新增产生单位审批</w:t>
      </w:r>
    </w:p>
    <w:p w14:paraId="05307382">
      <w:pPr>
        <w:spacing w:line="276" w:lineRule="auto"/>
        <w:ind w:firstLine="480"/>
        <w:rPr>
          <w:rFonts w:hint="eastAsia" w:ascii="宋体" w:hAnsi="宋体" w:eastAsia="宋体"/>
          <w:sz w:val="24"/>
          <w:szCs w:val="24"/>
        </w:rPr>
      </w:pPr>
      <w:r>
        <w:rPr>
          <w:rFonts w:hint="eastAsia" w:ascii="宋体" w:hAnsi="宋体" w:eastAsia="宋体"/>
          <w:sz w:val="24"/>
          <w:szCs w:val="24"/>
        </w:rPr>
        <w:t>管理单位接收商铺申报信息，管理人员对餐饮企业信息填报的真实性、完整性进行审核，支持手动匹配收运计划，包括收运车辆、收运时段等，可对审批不通过的商户信息，添加退回理由，以平台/短信形式通知对应产生单位，从而保证审批信息的真实、可靠，并提高审批效率。</w:t>
      </w:r>
    </w:p>
    <w:p w14:paraId="2AA2D3EF">
      <w:pPr>
        <w:spacing w:line="276" w:lineRule="auto"/>
        <w:ind w:firstLine="480"/>
        <w:rPr>
          <w:rFonts w:hint="eastAsia" w:ascii="宋体" w:hAnsi="宋体" w:eastAsia="宋体"/>
          <w:sz w:val="24"/>
          <w:szCs w:val="24"/>
        </w:rPr>
      </w:pPr>
      <w:r>
        <w:rPr>
          <w:rFonts w:hint="eastAsia" w:ascii="宋体" w:hAnsi="宋体" w:eastAsia="宋体"/>
          <w:sz w:val="24"/>
          <w:szCs w:val="24"/>
        </w:rPr>
        <w:t>系统可进行审批流程定义，实现填报信息的层级审批，管理部门对产生单位的申报信息和收运单位的收运反馈信息进行综合管理，对收运业务受理数据进行追踪和审核，并自动归档，支持应上级部门的数据填报需求，上传商铺数据。</w:t>
      </w:r>
    </w:p>
    <w:p w14:paraId="02A8007E">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.审批状态管理</w:t>
      </w:r>
    </w:p>
    <w:p w14:paraId="352A6E0D">
      <w:pPr>
        <w:spacing w:line="276" w:lineRule="auto"/>
        <w:ind w:firstLine="480"/>
        <w:rPr>
          <w:rFonts w:hint="eastAsia" w:ascii="宋体" w:hAnsi="宋体" w:eastAsia="宋体"/>
          <w:sz w:val="24"/>
          <w:szCs w:val="24"/>
        </w:rPr>
      </w:pPr>
      <w:r>
        <w:rPr>
          <w:rFonts w:hint="eastAsia" w:ascii="宋体" w:hAnsi="宋体" w:eastAsia="宋体"/>
          <w:sz w:val="24"/>
          <w:szCs w:val="24"/>
        </w:rPr>
        <w:t>监管中心实时查看商户申报审批的动态数据，汇总未审批、已审批、未通过数据，并支持管理人员根据餐厨垃圾产生单位的实际情况，对商铺审批签约状态进行一键切换，如从已签约切换为商户已注销。</w:t>
      </w:r>
    </w:p>
    <w:p w14:paraId="60FA3273">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.签约合同管理</w:t>
      </w:r>
    </w:p>
    <w:p w14:paraId="18EB0B67">
      <w:pPr>
        <w:spacing w:line="276" w:lineRule="auto"/>
        <w:ind w:firstLine="480"/>
        <w:rPr>
          <w:rFonts w:hint="eastAsia" w:ascii="宋体" w:hAnsi="宋体" w:eastAsia="宋体"/>
          <w:sz w:val="24"/>
          <w:szCs w:val="24"/>
        </w:rPr>
      </w:pPr>
      <w:r>
        <w:rPr>
          <w:rFonts w:hint="eastAsia" w:ascii="宋体" w:hAnsi="宋体" w:eastAsia="宋体"/>
          <w:sz w:val="24"/>
          <w:szCs w:val="24"/>
        </w:rPr>
        <w:t>审核通过的产生单位线下与管理部门或者收运单位签订收运合同，系统将合同扫描件进行录入管理。</w:t>
      </w:r>
    </w:p>
    <w:p w14:paraId="7557803F">
      <w:pPr>
        <w:pStyle w:val="35"/>
        <w:spacing w:before="124" w:after="124" w:line="276" w:lineRule="auto"/>
        <w:ind w:firstLine="480"/>
        <w:rPr>
          <w:rFonts w:hint="eastAsia" w:ascii="宋体" w:hAnsi="宋体"/>
          <w:sz w:val="24"/>
          <w:szCs w:val="24"/>
        </w:rPr>
      </w:pPr>
      <w:r>
        <w:rPr>
          <w:rFonts w:hint="eastAsia" w:ascii="宋体" w:hAnsi="宋体"/>
          <w:sz w:val="24"/>
          <w:szCs w:val="24"/>
        </w:rPr>
        <w:t>餐饮企业由于一些原因，出现如地址变更或者停止营业导致收运合同需要变更情况，通过餐饮企业主动申请与稽查人员现场稽查进行餐饮企业基本信息确认。餐饮企业通过线下</w:t>
      </w:r>
      <w:r>
        <w:rPr>
          <w:rFonts w:ascii="宋体" w:hAnsi="宋体"/>
          <w:sz w:val="24"/>
          <w:szCs w:val="24"/>
        </w:rPr>
        <w:t>等渠道实现解约申请、变更申请，审核通过后，</w:t>
      </w:r>
      <w:r>
        <w:rPr>
          <w:rFonts w:hint="eastAsia" w:ascii="宋体" w:hAnsi="宋体"/>
          <w:sz w:val="24"/>
          <w:szCs w:val="24"/>
        </w:rPr>
        <w:t>系统</w:t>
      </w:r>
      <w:r>
        <w:rPr>
          <w:rFonts w:ascii="宋体" w:hAnsi="宋体"/>
          <w:sz w:val="24"/>
          <w:szCs w:val="24"/>
        </w:rPr>
        <w:t>基础数据库同步更新管理。</w:t>
      </w:r>
    </w:p>
    <w:p w14:paraId="00BCF3D2">
      <w:pPr>
        <w:spacing w:line="276" w:lineRule="auto"/>
        <w:ind w:firstLine="480"/>
        <w:rPr>
          <w:rFonts w:hint="eastAsia" w:ascii="宋体" w:hAnsi="宋体" w:eastAsia="宋体"/>
          <w:sz w:val="24"/>
          <w:szCs w:val="24"/>
        </w:rPr>
      </w:pPr>
      <w:r>
        <w:rPr>
          <w:rFonts w:ascii="宋体" w:hAnsi="宋体" w:eastAsia="宋体"/>
          <w:sz w:val="24"/>
          <w:szCs w:val="24"/>
        </w:rPr>
        <w:t>e.签约结果汇总</w:t>
      </w:r>
    </w:p>
    <w:p w14:paraId="13C565B4">
      <w:pPr>
        <w:spacing w:line="276" w:lineRule="auto"/>
        <w:ind w:firstLine="480"/>
        <w:rPr>
          <w:rFonts w:hint="eastAsia" w:ascii="宋体" w:hAnsi="宋体" w:eastAsia="宋体"/>
          <w:sz w:val="24"/>
          <w:szCs w:val="24"/>
        </w:rPr>
      </w:pPr>
      <w:r>
        <w:rPr>
          <w:rFonts w:hint="eastAsia" w:ascii="宋体" w:hAnsi="宋体" w:eastAsia="宋体"/>
          <w:sz w:val="24"/>
          <w:szCs w:val="24"/>
        </w:rPr>
        <w:t>汇总当前处于已提交签约清运申请的餐饮企业申报数量，可从申报餐饮企业类型（如小型、中型、大型）、审批状态（未审批、审批未通过、审批已通过）、签约状态（已签约、已解约）、签约商户行政区划分布等维度进行数据统计，便于管理人员直观把握所需数据。</w:t>
      </w:r>
    </w:p>
    <w:p w14:paraId="6025BAED">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通知入库管理</w:t>
      </w:r>
    </w:p>
    <w:p w14:paraId="44B994C3">
      <w:pPr>
        <w:pStyle w:val="35"/>
        <w:spacing w:before="124" w:after="124" w:line="276" w:lineRule="auto"/>
        <w:ind w:firstLine="480"/>
        <w:rPr>
          <w:rFonts w:hint="eastAsia" w:ascii="宋体" w:hAnsi="宋体"/>
          <w:sz w:val="24"/>
          <w:szCs w:val="24"/>
        </w:rPr>
      </w:pPr>
      <w:r>
        <w:rPr>
          <w:rFonts w:hint="eastAsia" w:ascii="宋体" w:hAnsi="宋体"/>
          <w:sz w:val="24"/>
          <w:szCs w:val="24"/>
        </w:rPr>
        <w:t>管理中心将商户申报的审批结果通过短信或平台通知的形式通知到餐饮企业联系人和餐厨垃圾处理的相关负责人，提醒安排准备下一步发桶、发卡工作。同步发卡、发桶的工作记录，生成申报单位签约数据库，信息包括单位名称、地址、电话、联系人、行业、规模、企业性质、类型、注册资金、经营范围、成立时间等，通过预设的计算规则计算或录入企业餐厨垃圾量测算。建立企业相关管理信息电子档案。</w:t>
      </w:r>
    </w:p>
    <w:p w14:paraId="0CEDE16D">
      <w:pPr>
        <w:pStyle w:val="35"/>
        <w:spacing w:before="124" w:after="124" w:line="276" w:lineRule="auto"/>
        <w:ind w:firstLine="480"/>
        <w:rPr>
          <w:rFonts w:hint="eastAsia" w:ascii="宋体" w:hAnsi="宋体"/>
          <w:sz w:val="24"/>
          <w:szCs w:val="24"/>
        </w:rPr>
      </w:pPr>
      <w:r>
        <w:rPr>
          <w:rFonts w:hint="eastAsia" w:ascii="宋体" w:hAnsi="宋体"/>
          <w:sz w:val="24"/>
          <w:szCs w:val="24"/>
        </w:rPr>
        <w:t>同时在餐饮企业发生疑似偷油（收运称重数据和预测数据相差过大）等违规事件时，系统产生告警，产生相应的告警记录提示管理单位。</w:t>
      </w:r>
    </w:p>
    <w:p w14:paraId="148E0B82">
      <w:pPr>
        <w:pStyle w:val="14"/>
        <w:rPr>
          <w:rFonts w:hint="eastAsia"/>
          <w:bCs w:val="0"/>
        </w:rPr>
      </w:pPr>
      <w:r>
        <w:rPr>
          <w:bCs w:val="0"/>
        </w:rPr>
        <w:t>产生</w:t>
      </w:r>
      <w:r>
        <w:rPr>
          <w:rFonts w:hint="eastAsia"/>
        </w:rPr>
        <w:t>监管</w:t>
      </w:r>
      <w:r>
        <w:rPr>
          <w:bCs w:val="0"/>
        </w:rPr>
        <w:t>子系统</w:t>
      </w:r>
    </w:p>
    <w:p w14:paraId="20540096">
      <w:pPr>
        <w:spacing w:line="276" w:lineRule="auto"/>
        <w:ind w:firstLine="480"/>
        <w:rPr>
          <w:rFonts w:hint="eastAsia" w:ascii="宋体" w:hAnsi="宋体" w:eastAsia="宋体"/>
          <w:sz w:val="24"/>
          <w:szCs w:val="24"/>
        </w:rPr>
      </w:pPr>
      <w:r>
        <w:rPr>
          <w:rFonts w:hint="eastAsia" w:ascii="宋体" w:hAnsi="宋体" w:eastAsia="宋体"/>
          <w:sz w:val="24"/>
          <w:szCs w:val="24"/>
        </w:rPr>
        <w:t>产生监管系统从源头监管餐厨垃圾的收集情况，整体展示产生单位的收集情况，产生单位产生量实时上传，与系统录入的日平均量进行偏差比计算，根据结果进行预警稽查，杜绝源头倒卖地沟油与掺水等不规范行为，从源头上切断地沟油黑色价值量。</w:t>
      </w:r>
    </w:p>
    <w:p w14:paraId="70E2CEE5">
      <w:pPr>
        <w:spacing w:line="276" w:lineRule="auto"/>
        <w:ind w:firstLine="480"/>
        <w:rPr>
          <w:rFonts w:hint="eastAsia" w:ascii="宋体" w:hAnsi="宋体" w:eastAsia="宋体"/>
          <w:sz w:val="24"/>
          <w:szCs w:val="24"/>
        </w:rPr>
      </w:pPr>
      <w:r>
        <w:rPr>
          <w:rFonts w:hint="eastAsia" w:ascii="宋体" w:hAnsi="宋体" w:eastAsia="宋体"/>
          <w:sz w:val="24"/>
          <w:szCs w:val="24"/>
        </w:rPr>
        <w:t>餐厨垃圾产生监管系统适应目前主流的垃圾产生源，如餐厨垃圾专用桶、油水分离器等。</w:t>
      </w:r>
    </w:p>
    <w:p w14:paraId="6AD3F587">
      <w:pPr>
        <w:spacing w:line="276" w:lineRule="auto"/>
        <w:ind w:firstLine="480"/>
        <w:rPr>
          <w:rFonts w:hint="eastAsia" w:ascii="宋体" w:hAnsi="宋体" w:eastAsia="宋体"/>
          <w:sz w:val="24"/>
          <w:szCs w:val="24"/>
        </w:rPr>
      </w:pPr>
      <w:r>
        <w:rPr>
          <w:rFonts w:ascii="宋体" w:hAnsi="宋体" w:eastAsia="宋体"/>
          <w:sz w:val="24"/>
          <w:szCs w:val="24"/>
        </w:rPr>
        <w:t>a.产生点GIS监管</w:t>
      </w:r>
    </w:p>
    <w:p w14:paraId="79F20C12">
      <w:pPr>
        <w:spacing w:line="276" w:lineRule="auto"/>
        <w:ind w:firstLine="480"/>
        <w:rPr>
          <w:rFonts w:hint="eastAsia" w:ascii="宋体" w:hAnsi="宋体" w:eastAsia="宋体"/>
          <w:sz w:val="24"/>
          <w:szCs w:val="24"/>
        </w:rPr>
      </w:pPr>
      <w:r>
        <w:rPr>
          <w:rFonts w:hint="eastAsia" w:ascii="宋体" w:hAnsi="宋体" w:eastAsia="宋体"/>
          <w:sz w:val="24"/>
          <w:szCs w:val="24"/>
        </w:rPr>
        <w:t>产生点</w:t>
      </w:r>
      <w:r>
        <w:rPr>
          <w:rFonts w:ascii="宋体" w:hAnsi="宋体" w:eastAsia="宋体"/>
          <w:sz w:val="24"/>
          <w:szCs w:val="24"/>
        </w:rPr>
        <w:t>GIS监管主要是运用图层技术与数据统计技术展示产生单位产生量动态数据，结合产生单位的详细信息和GIS地图，将餐厨垃圾产生单位直观地展示给操作者，操作者可以一目了然的知道产生单位的分布信息，并可以通过地理位置快速的找到想要查看的产生单位并查看相应信息。</w:t>
      </w:r>
    </w:p>
    <w:p w14:paraId="68CB7974">
      <w:pPr>
        <w:spacing w:line="276" w:lineRule="auto"/>
        <w:ind w:firstLine="480"/>
        <w:rPr>
          <w:rFonts w:hint="eastAsia" w:ascii="宋体" w:hAnsi="宋体" w:eastAsia="宋体"/>
          <w:sz w:val="24"/>
          <w:szCs w:val="24"/>
        </w:rPr>
      </w:pPr>
      <w:r>
        <w:rPr>
          <w:rFonts w:hint="eastAsia" w:ascii="宋体" w:hAnsi="宋体" w:eastAsia="宋体"/>
          <w:sz w:val="24"/>
          <w:szCs w:val="24"/>
        </w:rPr>
        <w:t>收运状态管理：依托</w:t>
      </w:r>
      <w:r>
        <w:rPr>
          <w:rFonts w:ascii="宋体" w:hAnsi="宋体" w:eastAsia="宋体"/>
          <w:sz w:val="24"/>
          <w:szCs w:val="24"/>
        </w:rPr>
        <w:t>GIS地图动态显示查询范围内的产生单位的动态信息；将产生点已收、未收的状态运用不同的图标进行区别展示，根据实际收集情况搭建表现收运状态的实时地图；</w:t>
      </w:r>
    </w:p>
    <w:p w14:paraId="49BF1E6B">
      <w:pPr>
        <w:spacing w:line="276" w:lineRule="auto"/>
        <w:ind w:firstLine="480"/>
        <w:rPr>
          <w:rFonts w:hint="eastAsia" w:ascii="宋体" w:hAnsi="宋体" w:eastAsia="宋体"/>
          <w:sz w:val="24"/>
          <w:szCs w:val="24"/>
        </w:rPr>
      </w:pPr>
      <w:r>
        <w:rPr>
          <w:rFonts w:hint="eastAsia" w:ascii="宋体" w:hAnsi="宋体" w:eastAsia="宋体"/>
          <w:sz w:val="24"/>
          <w:szCs w:val="24"/>
        </w:rPr>
        <w:t>详情展示：将产生单位图标，配以餐饮企业图片、名称、地理位置、垃圾桶数量等基本信息与日产生量、平均量等收集数据；</w:t>
      </w:r>
    </w:p>
    <w:p w14:paraId="5C91F739">
      <w:pPr>
        <w:spacing w:line="276" w:lineRule="auto"/>
        <w:ind w:firstLine="480"/>
        <w:rPr>
          <w:rFonts w:hint="eastAsia" w:ascii="宋体" w:hAnsi="宋体" w:eastAsia="宋体"/>
          <w:sz w:val="24"/>
          <w:szCs w:val="24"/>
        </w:rPr>
      </w:pPr>
      <w:r>
        <w:rPr>
          <w:rFonts w:hint="eastAsia" w:ascii="宋体" w:hAnsi="宋体" w:eastAsia="宋体"/>
          <w:sz w:val="24"/>
          <w:szCs w:val="24"/>
        </w:rPr>
        <w:t>列表管理：对选定时间和辖区范围的餐厨垃圾收集点依托</w:t>
      </w:r>
      <w:r>
        <w:rPr>
          <w:rFonts w:ascii="宋体" w:hAnsi="宋体" w:eastAsia="宋体"/>
          <w:sz w:val="24"/>
          <w:szCs w:val="24"/>
        </w:rPr>
        <w:t>GIS地图进行展示的基础上，并用列表的方式直观展示该范围内的收集点名称、收运状态、当日产生量等基础数据，便于管理人员对指定范围的产生单位数据迅速掌握；</w:t>
      </w:r>
    </w:p>
    <w:p w14:paraId="708C67DC">
      <w:pPr>
        <w:spacing w:line="276" w:lineRule="auto"/>
        <w:ind w:firstLine="480"/>
        <w:rPr>
          <w:rFonts w:hint="eastAsia" w:ascii="宋体" w:hAnsi="宋体" w:eastAsia="宋体"/>
          <w:sz w:val="24"/>
          <w:szCs w:val="24"/>
        </w:rPr>
      </w:pPr>
      <w:r>
        <w:rPr>
          <w:rFonts w:hint="eastAsia" w:ascii="宋体" w:hAnsi="宋体" w:eastAsia="宋体"/>
          <w:sz w:val="24"/>
          <w:szCs w:val="24"/>
        </w:rPr>
        <w:t>汇总展示：根据业务管理需求，可对辖区各个管理单元，如区、县、街道等的产生量及占比数据、实时收运进度、产生量趋势等运用可视化图表的方式进行直观展示。</w:t>
      </w:r>
    </w:p>
    <w:p w14:paraId="36304EB3">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产生数据统计</w:t>
      </w:r>
    </w:p>
    <w:p w14:paraId="490D7395">
      <w:pPr>
        <w:spacing w:line="276" w:lineRule="auto"/>
        <w:ind w:firstLine="480"/>
        <w:rPr>
          <w:rFonts w:hint="eastAsia" w:ascii="宋体" w:hAnsi="宋体" w:eastAsia="宋体"/>
          <w:sz w:val="24"/>
          <w:szCs w:val="24"/>
        </w:rPr>
      </w:pPr>
      <w:r>
        <w:rPr>
          <w:rFonts w:hint="eastAsia" w:ascii="宋体" w:hAnsi="宋体" w:eastAsia="宋体"/>
          <w:sz w:val="24"/>
          <w:szCs w:val="24"/>
        </w:rPr>
        <w:t>通过在餐厨车安装智能称重设备及传感设备，收集垃圾时，自动识别电子标签，并快速完成称重操作，获得实际收集的垃圾量，管理后台对产生单位的当日数据和历史数据进行汇总统计与智能分析，对产生量变动过大等情况进行异常提醒。</w:t>
      </w:r>
    </w:p>
    <w:p w14:paraId="52837DDD">
      <w:pPr>
        <w:spacing w:line="276" w:lineRule="auto"/>
        <w:ind w:firstLine="480"/>
        <w:rPr>
          <w:rFonts w:hint="eastAsia" w:ascii="宋体" w:hAnsi="宋体" w:eastAsia="宋体"/>
          <w:sz w:val="24"/>
          <w:szCs w:val="24"/>
        </w:rPr>
      </w:pPr>
      <w:r>
        <w:rPr>
          <w:rFonts w:hint="eastAsia" w:ascii="宋体" w:hAnsi="宋体" w:eastAsia="宋体"/>
          <w:sz w:val="24"/>
          <w:szCs w:val="24"/>
        </w:rPr>
        <w:t>今日数据汇总：对产生单位的每日收运次数和收集量进行汇总统计，展示餐厨垃圾收运总产生量以及选定日期产生量，对比该单位平均产生量，做收运偏差分析，偏差值超过一定阈值，则进行偏差比提示预警。</w:t>
      </w:r>
    </w:p>
    <w:p w14:paraId="712F5CFD">
      <w:pPr>
        <w:spacing w:line="276" w:lineRule="auto"/>
        <w:ind w:firstLine="480"/>
        <w:rPr>
          <w:rFonts w:hint="eastAsia" w:ascii="宋体" w:hAnsi="宋体" w:eastAsia="宋体"/>
          <w:sz w:val="24"/>
          <w:szCs w:val="24"/>
        </w:rPr>
      </w:pPr>
      <w:r>
        <w:rPr>
          <w:rFonts w:hint="eastAsia" w:ascii="宋体" w:hAnsi="宋体" w:eastAsia="宋体"/>
          <w:sz w:val="24"/>
          <w:szCs w:val="24"/>
        </w:rPr>
        <w:t>历史数据明细：汇总产生点历史称重数据记录，包括车牌号、产生单位、称重事时间、</w:t>
      </w:r>
      <w:r>
        <w:rPr>
          <w:rFonts w:ascii="宋体" w:hAnsi="宋体" w:eastAsia="宋体"/>
          <w:sz w:val="24"/>
          <w:szCs w:val="24"/>
        </w:rPr>
        <w:t>RFID扫描时间、RFID与餐饮单位匹配状态等；</w:t>
      </w:r>
    </w:p>
    <w:p w14:paraId="0D37C323">
      <w:pPr>
        <w:spacing w:line="276" w:lineRule="auto"/>
        <w:ind w:firstLine="480"/>
        <w:rPr>
          <w:rFonts w:hint="eastAsia" w:ascii="宋体" w:hAnsi="宋体" w:eastAsia="宋体"/>
          <w:sz w:val="24"/>
          <w:szCs w:val="24"/>
        </w:rPr>
      </w:pPr>
      <w:r>
        <w:rPr>
          <w:rFonts w:hint="eastAsia" w:ascii="宋体" w:hAnsi="宋体" w:eastAsia="宋体"/>
          <w:sz w:val="24"/>
          <w:szCs w:val="24"/>
        </w:rPr>
        <w:t>历史数据汇总：对辖区范围选定时间历史数据的汇总展示的基础上，对各区域的产生量占比数据、各区域月度产生量趋势进行可视化展示；并可对具体产生单位的产生记录、产生趋势运用列表和图形进行详细分析。</w:t>
      </w:r>
    </w:p>
    <w:p w14:paraId="784E0008">
      <w:pPr>
        <w:spacing w:line="276" w:lineRule="auto"/>
        <w:ind w:firstLine="480"/>
        <w:rPr>
          <w:rFonts w:hint="eastAsia" w:ascii="宋体" w:hAnsi="宋体" w:eastAsia="宋体"/>
          <w:sz w:val="24"/>
          <w:szCs w:val="24"/>
        </w:rPr>
      </w:pPr>
      <w:r>
        <w:rPr>
          <w:rFonts w:ascii="宋体" w:hAnsi="宋体" w:eastAsia="宋体"/>
          <w:sz w:val="24"/>
          <w:szCs w:val="24"/>
        </w:rPr>
        <w:t>C.产生数据报表</w:t>
      </w:r>
    </w:p>
    <w:p w14:paraId="6B37EBAC">
      <w:pPr>
        <w:spacing w:line="276" w:lineRule="auto"/>
        <w:ind w:firstLine="480"/>
        <w:rPr>
          <w:rFonts w:hint="eastAsia" w:ascii="宋体" w:hAnsi="宋体" w:eastAsia="宋体"/>
          <w:sz w:val="24"/>
          <w:szCs w:val="24"/>
        </w:rPr>
      </w:pPr>
      <w:r>
        <w:rPr>
          <w:rFonts w:hint="eastAsia" w:ascii="宋体" w:hAnsi="宋体" w:eastAsia="宋体"/>
          <w:sz w:val="24"/>
          <w:szCs w:val="24"/>
        </w:rPr>
        <w:t>产生数据报表从餐厨垃圾产生的源头数据，即产生单位和产生量进行全面立体的数据汇总分析，包括时间、空间、种类等分析维度，并采用条形图、饼状图、趋势图等多元化数据呈现方式，对数据分析结果进行直观展示。</w:t>
      </w:r>
    </w:p>
    <w:p w14:paraId="797B75EB">
      <w:pPr>
        <w:spacing w:line="276" w:lineRule="auto"/>
        <w:ind w:firstLine="480"/>
        <w:rPr>
          <w:rFonts w:hint="eastAsia" w:ascii="宋体" w:hAnsi="宋体" w:eastAsia="宋体"/>
          <w:sz w:val="24"/>
          <w:szCs w:val="24"/>
        </w:rPr>
      </w:pPr>
      <w:r>
        <w:rPr>
          <w:rFonts w:hint="eastAsia" w:ascii="宋体" w:hAnsi="宋体" w:eastAsia="宋体"/>
          <w:sz w:val="24"/>
          <w:szCs w:val="24"/>
        </w:rPr>
        <w:t>产生单位分析：对产生单位的餐厨垃圾产生类型进行综合分析，包括产生单位各行政区划占比数据，餐饮企业类型数量及占比，各片区的餐饮单位产生量占比分析等；</w:t>
      </w:r>
    </w:p>
    <w:p w14:paraId="79942F27">
      <w:pPr>
        <w:spacing w:line="276" w:lineRule="auto"/>
        <w:ind w:firstLine="480"/>
        <w:rPr>
          <w:rFonts w:hint="eastAsia" w:ascii="宋体" w:hAnsi="宋体" w:eastAsia="宋体"/>
          <w:sz w:val="24"/>
          <w:szCs w:val="24"/>
        </w:rPr>
      </w:pPr>
      <w:r>
        <w:rPr>
          <w:rFonts w:hint="eastAsia" w:ascii="宋体" w:hAnsi="宋体" w:eastAsia="宋体"/>
          <w:sz w:val="24"/>
          <w:szCs w:val="24"/>
        </w:rPr>
        <w:t>产生量报表：汇总分析餐厨垃圾产生量数据，对比各个片区的餐厨垃圾产生数据以及各类型产生单位在产量之间的差异对比等；</w:t>
      </w:r>
    </w:p>
    <w:p w14:paraId="1C3AA289">
      <w:pPr>
        <w:spacing w:line="276" w:lineRule="auto"/>
        <w:ind w:firstLine="480"/>
        <w:rPr>
          <w:rFonts w:hint="eastAsia" w:ascii="宋体" w:hAnsi="宋体" w:eastAsia="宋体"/>
          <w:sz w:val="24"/>
          <w:szCs w:val="24"/>
        </w:rPr>
      </w:pPr>
      <w:r>
        <w:rPr>
          <w:rFonts w:hint="eastAsia" w:ascii="宋体" w:hAnsi="宋体" w:eastAsia="宋体"/>
          <w:sz w:val="24"/>
          <w:szCs w:val="24"/>
        </w:rPr>
        <w:t>数据汇总报表：汇总当日或自定义时间的产生或收运作业数据，运用报表形式汇总各个片区的产生量、应收餐饮企业数量、实收餐饮企业数量、实际收集垃圾桶数量等，直观展示任务完成进度和源头产生的汇总数据。</w:t>
      </w:r>
    </w:p>
    <w:p w14:paraId="1790FADF">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异常事件管理</w:t>
      </w:r>
    </w:p>
    <w:p w14:paraId="2EC76322">
      <w:pPr>
        <w:spacing w:line="276" w:lineRule="auto"/>
        <w:ind w:firstLine="480"/>
        <w:rPr>
          <w:rFonts w:hint="eastAsia" w:ascii="宋体" w:hAnsi="宋体" w:eastAsia="宋体"/>
          <w:sz w:val="24"/>
          <w:szCs w:val="24"/>
        </w:rPr>
      </w:pPr>
      <w:r>
        <w:rPr>
          <w:rFonts w:hint="eastAsia" w:ascii="宋体" w:hAnsi="宋体" w:eastAsia="宋体"/>
          <w:sz w:val="24"/>
          <w:szCs w:val="24"/>
        </w:rPr>
        <w:t>对系统智能发现及收运人员上报的超时未收集、</w:t>
      </w:r>
      <w:r>
        <w:rPr>
          <w:rFonts w:ascii="宋体" w:hAnsi="宋体" w:eastAsia="宋体"/>
          <w:sz w:val="24"/>
          <w:szCs w:val="24"/>
        </w:rPr>
        <w:t>RFID芯片异常、商户经营异常、商户垃圾量异常、收运处置偏差较大等异常事件进行台账和状态管理。主要功能包括异常事件详情查看、异常事件手动处理和异常整改任务管理。</w:t>
      </w:r>
    </w:p>
    <w:p w14:paraId="02481AB2">
      <w:pPr>
        <w:spacing w:line="276" w:lineRule="auto"/>
        <w:ind w:firstLine="480"/>
        <w:rPr>
          <w:rFonts w:hint="eastAsia" w:ascii="宋体" w:hAnsi="宋体" w:eastAsia="宋体"/>
          <w:sz w:val="24"/>
          <w:szCs w:val="24"/>
        </w:rPr>
      </w:pPr>
      <w:r>
        <w:rPr>
          <w:rFonts w:hint="eastAsia" w:ascii="宋体" w:hAnsi="宋体" w:eastAsia="宋体"/>
          <w:sz w:val="24"/>
          <w:szCs w:val="24"/>
        </w:rPr>
        <w:t>详情查看：管理人员可查看异常事件详情，包括：异常等级、报警类型、报警人、相关图片、处理状态（已查看、通过、未通过）等；</w:t>
      </w:r>
    </w:p>
    <w:p w14:paraId="49F0262C">
      <w:pPr>
        <w:spacing w:line="276" w:lineRule="auto"/>
        <w:ind w:firstLine="480"/>
        <w:rPr>
          <w:rFonts w:hint="eastAsia" w:ascii="宋体" w:hAnsi="宋体" w:eastAsia="宋体"/>
          <w:sz w:val="24"/>
          <w:szCs w:val="24"/>
        </w:rPr>
      </w:pPr>
      <w:r>
        <w:rPr>
          <w:rFonts w:hint="eastAsia" w:ascii="宋体" w:hAnsi="宋体" w:eastAsia="宋体"/>
          <w:sz w:val="24"/>
          <w:szCs w:val="24"/>
        </w:rPr>
        <w:t>异常处理：根据实际情况选择异常处理确认，人工判定异常告警情况是否正常，补充确认理由，生成确认记录；</w:t>
      </w:r>
    </w:p>
    <w:p w14:paraId="4905F98A">
      <w:pPr>
        <w:spacing w:line="276" w:lineRule="auto"/>
        <w:ind w:firstLine="480"/>
        <w:rPr>
          <w:rFonts w:hint="eastAsia" w:ascii="宋体" w:hAnsi="宋体" w:eastAsia="宋体"/>
          <w:sz w:val="24"/>
          <w:szCs w:val="24"/>
        </w:rPr>
      </w:pPr>
      <w:r>
        <w:rPr>
          <w:rFonts w:hint="eastAsia" w:ascii="宋体" w:hAnsi="宋体" w:eastAsia="宋体"/>
          <w:sz w:val="24"/>
          <w:szCs w:val="24"/>
        </w:rPr>
        <w:t>异常整改：通过对异常事件的确认，管理人员选择异常扣分情况，将需要整改的事件生成整改任务，补充整改负责人、整改任务期限等，实时管理整改任务状态。</w:t>
      </w:r>
    </w:p>
    <w:p w14:paraId="57111320">
      <w:pPr>
        <w:pStyle w:val="14"/>
        <w:rPr>
          <w:rFonts w:hint="eastAsia"/>
          <w:bCs w:val="0"/>
        </w:rPr>
      </w:pPr>
      <w:r>
        <w:rPr>
          <w:bCs w:val="0"/>
        </w:rPr>
        <w:t>收运监管子系统</w:t>
      </w:r>
    </w:p>
    <w:p w14:paraId="2635F467">
      <w:pPr>
        <w:spacing w:line="276" w:lineRule="auto"/>
        <w:ind w:firstLine="480"/>
        <w:rPr>
          <w:rFonts w:hint="eastAsia" w:ascii="宋体" w:hAnsi="宋体" w:eastAsia="宋体"/>
          <w:sz w:val="24"/>
          <w:szCs w:val="24"/>
        </w:rPr>
      </w:pPr>
      <w:r>
        <w:rPr>
          <w:rFonts w:hint="eastAsia" w:ascii="宋体" w:hAnsi="宋体" w:eastAsia="宋体"/>
          <w:sz w:val="24"/>
          <w:szCs w:val="24"/>
        </w:rPr>
        <w:t>收运监管系统是对餐厨垃圾运输车辆的清运过程进行实时监管。在对商户清运需求和收运车辆资源进行配置，实现收运规划管理，通过车载定位、油耗监测、车载称重、蓝牙称重、视频监控等硬件设备在对收运任务执行过程中的产生数据进行综合管理，包括轨迹、油耗、称重、视频抓拍等数据，实现收运过程可视化管理，杜绝收运过程中发生倒卖或者是餐饮企业遗漏等。</w:t>
      </w:r>
    </w:p>
    <w:p w14:paraId="702FA96B">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.收运路线管理</w:t>
      </w:r>
    </w:p>
    <w:p w14:paraId="530EC78B">
      <w:pPr>
        <w:spacing w:line="276" w:lineRule="auto"/>
        <w:ind w:firstLine="480"/>
        <w:rPr>
          <w:rFonts w:hint="eastAsia" w:ascii="宋体" w:hAnsi="宋体" w:eastAsia="宋体"/>
          <w:sz w:val="24"/>
          <w:szCs w:val="24"/>
        </w:rPr>
      </w:pPr>
      <w:r>
        <w:rPr>
          <w:rFonts w:hint="eastAsia" w:ascii="宋体" w:hAnsi="宋体" w:eastAsia="宋体"/>
          <w:sz w:val="24"/>
          <w:szCs w:val="24"/>
        </w:rPr>
        <w:t>餐厨垃圾收集车的收运路线管理主要由常规收运路线管理和临时收运路线管理两部分组成，根据已与平台签订收运约定的餐厨垃圾产生单位分布情况和收运车辆、时间等条件限制，平台规定车辆运输路线，并将两者信息进行绑定，为作业轨迹监管出现偏差时奠定预警基础。</w:t>
      </w:r>
    </w:p>
    <w:p w14:paraId="7C9BDAC1">
      <w:pPr>
        <w:spacing w:line="276" w:lineRule="auto"/>
        <w:ind w:firstLine="480"/>
        <w:rPr>
          <w:rFonts w:hint="eastAsia" w:ascii="宋体" w:hAnsi="宋体" w:eastAsia="宋体"/>
          <w:sz w:val="24"/>
          <w:szCs w:val="24"/>
        </w:rPr>
      </w:pPr>
      <w:r>
        <w:rPr>
          <w:rFonts w:ascii="宋体" w:hAnsi="宋体" w:eastAsia="宋体"/>
          <w:sz w:val="24"/>
          <w:szCs w:val="24"/>
        </w:rPr>
        <w:t>收运路线的制定：路线制定有多种方式，可以通过收运车辆实时上传的餐厨称重记录，选定车辆生成收运路线；可以将产生单位和收运车辆绑定，配置运输终端，生产收运路线；也可以通过收运人员现场采点实现路线的描绘。</w:t>
      </w:r>
    </w:p>
    <w:p w14:paraId="76227D73">
      <w:pPr>
        <w:spacing w:line="276" w:lineRule="auto"/>
        <w:ind w:firstLine="480"/>
        <w:rPr>
          <w:rFonts w:hint="eastAsia" w:ascii="宋体" w:hAnsi="宋体" w:eastAsia="宋体"/>
          <w:sz w:val="24"/>
          <w:szCs w:val="24"/>
        </w:rPr>
      </w:pPr>
      <w:r>
        <w:rPr>
          <w:rFonts w:ascii="宋体" w:hAnsi="宋体" w:eastAsia="宋体"/>
          <w:sz w:val="24"/>
          <w:szCs w:val="24"/>
        </w:rPr>
        <w:t>常规收运路线生成：常规收运路线的变动与产生单位的增减相关，将申报收运已经通过的产生单位，按照分布情况，结合当地道路交通、终端位置等情况，生成较为固定完整的餐厨垃圾收运线路。</w:t>
      </w:r>
    </w:p>
    <w:p w14:paraId="2A0E08F2">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临时收运路线管理：临时收运路线是根据商铺的预约申请，或面临重大节日时由后台自动规划或手动调整形成的收运路线，临时收运路线保证预约收运路线的灵活性，确保满足各个产生单位的非常规的餐厨垃圾清运需求。</w:t>
      </w:r>
    </w:p>
    <w:p w14:paraId="6329EE60">
      <w:pPr>
        <w:spacing w:line="276" w:lineRule="auto"/>
        <w:ind w:firstLine="480"/>
        <w:rPr>
          <w:rFonts w:hint="eastAsia" w:ascii="宋体" w:hAnsi="宋体" w:eastAsia="宋体"/>
          <w:sz w:val="24"/>
          <w:szCs w:val="24"/>
        </w:rPr>
      </w:pPr>
      <w:r>
        <w:rPr>
          <w:rFonts w:ascii="宋体" w:hAnsi="宋体" w:eastAsia="宋体"/>
          <w:sz w:val="24"/>
          <w:szCs w:val="24"/>
        </w:rPr>
        <w:t>收运路段信息：路段信息和餐厨垃圾收集点/餐厨企业信息以及运输车辆信息绑定，选择某路段时，显示路段信息与所绑定收集点、车辆的实时信息；</w:t>
      </w:r>
    </w:p>
    <w:p w14:paraId="4C7AC71E">
      <w:pPr>
        <w:spacing w:line="276" w:lineRule="auto"/>
        <w:ind w:firstLine="480"/>
        <w:rPr>
          <w:rFonts w:hint="eastAsia" w:ascii="宋体" w:hAnsi="宋体" w:eastAsia="宋体"/>
          <w:sz w:val="24"/>
          <w:szCs w:val="24"/>
        </w:rPr>
      </w:pPr>
      <w:r>
        <w:rPr>
          <w:rFonts w:ascii="宋体" w:hAnsi="宋体" w:eastAsia="宋体"/>
          <w:sz w:val="24"/>
          <w:szCs w:val="24"/>
        </w:rPr>
        <w:t>路线优化管理：在对收运路线列表管理的基础上，依托GIS地图预览收运路线，根据车辆在实际收运中的轨迹在平台通过拖动叠加点位对路线进行更新，记录路线优化时间，可同步查看优化后路程变动数量。</w:t>
      </w:r>
    </w:p>
    <w:p w14:paraId="64AC8F4C">
      <w:pPr>
        <w:spacing w:line="276" w:lineRule="auto"/>
        <w:ind w:firstLine="480"/>
        <w:rPr>
          <w:rFonts w:hint="eastAsia" w:ascii="宋体" w:hAnsi="宋体" w:eastAsia="宋体"/>
          <w:sz w:val="24"/>
          <w:szCs w:val="24"/>
        </w:rPr>
      </w:pPr>
      <w:r>
        <w:rPr>
          <w:rFonts w:ascii="宋体" w:hAnsi="宋体" w:eastAsia="宋体"/>
          <w:sz w:val="24"/>
          <w:szCs w:val="24"/>
        </w:rPr>
        <w:t>收运顺序管理：管理人员在后台针对收运路线中的收集点的收运顺序手动进行调整，根据收运作业需求，精准还原收运作业场景，避免实际作业过程的遗漏。</w:t>
      </w:r>
    </w:p>
    <w:p w14:paraId="1326B657">
      <w:pPr>
        <w:spacing w:line="276" w:lineRule="auto"/>
        <w:ind w:firstLine="480"/>
        <w:rPr>
          <w:rFonts w:hint="eastAsia" w:ascii="宋体" w:hAnsi="宋体" w:eastAsia="宋体"/>
          <w:sz w:val="24"/>
          <w:szCs w:val="24"/>
        </w:rPr>
      </w:pPr>
      <w:r>
        <w:rPr>
          <w:rFonts w:ascii="宋体" w:hAnsi="宋体" w:eastAsia="宋体"/>
          <w:sz w:val="24"/>
          <w:szCs w:val="24"/>
        </w:rPr>
        <w:t>路线综合管理：系统可根据管理规范对收运路线进行智能编码排序，并支持管理人员对收运路线进行增、删、改、查等基础操作。</w:t>
      </w:r>
    </w:p>
    <w:p w14:paraId="03728BA1">
      <w:pPr>
        <w:spacing w:line="276" w:lineRule="auto"/>
        <w:ind w:firstLine="480"/>
        <w:rPr>
          <w:rFonts w:hint="eastAsia" w:ascii="宋体" w:hAnsi="宋体" w:eastAsia="宋体"/>
          <w:sz w:val="24"/>
          <w:szCs w:val="24"/>
        </w:rPr>
      </w:pPr>
      <w:r>
        <w:rPr>
          <w:rFonts w:ascii="宋体" w:hAnsi="宋体" w:eastAsia="宋体"/>
          <w:sz w:val="24"/>
          <w:szCs w:val="24"/>
        </w:rPr>
        <w:t>产生单位的聚拢显示：在规划路段上的餐饮企业实现聚拢，方便查看，避免因为拥挤影响界面美观。</w:t>
      </w:r>
    </w:p>
    <w:p w14:paraId="0DF41FCC">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日常排班管理</w:t>
      </w:r>
    </w:p>
    <w:p w14:paraId="6A1151CD">
      <w:pPr>
        <w:spacing w:line="276" w:lineRule="auto"/>
        <w:ind w:firstLine="480"/>
        <w:rPr>
          <w:rFonts w:hint="eastAsia" w:ascii="宋体" w:hAnsi="宋体" w:eastAsia="宋体"/>
          <w:sz w:val="24"/>
          <w:szCs w:val="24"/>
        </w:rPr>
      </w:pPr>
      <w:r>
        <w:rPr>
          <w:rFonts w:hint="eastAsia" w:ascii="宋体" w:hAnsi="宋体" w:eastAsia="宋体"/>
          <w:sz w:val="24"/>
          <w:szCs w:val="24"/>
        </w:rPr>
        <w:t>日常排班管理是根据收运需求而建立的长期稳定的排班规划，以满足日常的收运需求，以收运路线为基础管理单元，实现日常车辆收运任务的排班管理，车辆与路线、收运时间段进行绑定，生成收运任务，并自动同步到收运管理终端。</w:t>
      </w:r>
    </w:p>
    <w:p w14:paraId="79BFDA73">
      <w:pPr>
        <w:spacing w:line="276" w:lineRule="auto"/>
        <w:ind w:firstLine="480"/>
        <w:rPr>
          <w:rFonts w:hint="eastAsia" w:ascii="宋体" w:hAnsi="宋体" w:eastAsia="宋体"/>
          <w:sz w:val="24"/>
          <w:szCs w:val="24"/>
        </w:rPr>
      </w:pPr>
      <w:r>
        <w:rPr>
          <w:rFonts w:ascii="宋体" w:hAnsi="宋体" w:eastAsia="宋体"/>
          <w:sz w:val="24"/>
          <w:szCs w:val="24"/>
        </w:rPr>
        <w:t>车辆排班管理：根据车辆的载重量、餐饮企业的数量、作业路段，建立收运分配模型，指定最佳路线与餐饮企业，以餐饮企业为管理单元，路段为任务单元，每辆车负责一条或者几条路段。支持收运任务的批量管理，如日常收运的最终生成排班记录主要字段为车牌号、作业路段、餐饮企业、班次，将排班任务发送至收运人员手机端，提醒收运车辆。一般排班任务为默认，出现变更时，支持权限范围内的增删改。</w:t>
      </w:r>
    </w:p>
    <w:p w14:paraId="5B012BBC">
      <w:pPr>
        <w:spacing w:line="276" w:lineRule="auto"/>
        <w:ind w:firstLine="480"/>
        <w:rPr>
          <w:rFonts w:hint="eastAsia" w:ascii="宋体" w:hAnsi="宋体" w:eastAsia="宋体"/>
          <w:sz w:val="24"/>
          <w:szCs w:val="24"/>
        </w:rPr>
      </w:pPr>
      <w:r>
        <w:rPr>
          <w:rFonts w:ascii="宋体" w:hAnsi="宋体" w:eastAsia="宋体"/>
          <w:sz w:val="24"/>
          <w:szCs w:val="24"/>
        </w:rPr>
        <w:t>收运时段规则：根据实际收运业务和管理需求，对餐厨垃圾收运做到“定时定点”收运管理，固定收运班次时间，如分为下午班次和午夜班次，下午班次为（16:00~17:00）、午夜班次（22:00~23:00）等。</w:t>
      </w:r>
    </w:p>
    <w:p w14:paraId="78320401">
      <w:pPr>
        <w:spacing w:line="276" w:lineRule="auto"/>
        <w:ind w:firstLine="480"/>
        <w:rPr>
          <w:rFonts w:hint="eastAsia" w:ascii="宋体" w:hAnsi="宋体" w:eastAsia="宋体"/>
          <w:sz w:val="24"/>
          <w:szCs w:val="24"/>
        </w:rPr>
      </w:pPr>
      <w:r>
        <w:rPr>
          <w:rFonts w:ascii="宋体" w:hAnsi="宋体" w:eastAsia="宋体"/>
          <w:sz w:val="24"/>
          <w:szCs w:val="24"/>
        </w:rPr>
        <w:t>排班变更管理：由于车辆维修或者人员临时变动，造成排班任务难以及时完成，监管人员根据实际情况进行排班任务的调整，形成最终的排班计划，并可指定时间区域（如三天车辆维修完成，三天后排班表自动恢复为默认状态），并通过短信或移动终端平台通知相关驾驶员。</w:t>
      </w:r>
    </w:p>
    <w:p w14:paraId="2140C390">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.预约任务管理</w:t>
      </w:r>
    </w:p>
    <w:p w14:paraId="4EA723D6">
      <w:pPr>
        <w:spacing w:line="276" w:lineRule="auto"/>
        <w:ind w:firstLine="480"/>
        <w:rPr>
          <w:rFonts w:hint="eastAsia" w:ascii="宋体" w:hAnsi="宋体" w:eastAsia="宋体"/>
          <w:sz w:val="24"/>
          <w:szCs w:val="24"/>
        </w:rPr>
      </w:pPr>
      <w:r>
        <w:rPr>
          <w:rFonts w:hint="eastAsia" w:ascii="宋体" w:hAnsi="宋体" w:eastAsia="宋体"/>
          <w:sz w:val="24"/>
          <w:szCs w:val="24"/>
        </w:rPr>
        <w:t>面对日常排班无法满足餐饮产生单位的清运需求、餐饮企业在收运时段因为临时外出等情况未能及时将垃圾转移到收集点等情况，餐饮企业基于“我的盐城”或 “盐政通”</w:t>
      </w:r>
      <w:r>
        <w:rPr>
          <w:rFonts w:ascii="宋体" w:hAnsi="宋体" w:eastAsia="宋体"/>
          <w:sz w:val="24"/>
          <w:szCs w:val="24"/>
        </w:rPr>
        <w:t>或</w:t>
      </w:r>
      <w:r>
        <w:rPr>
          <w:rFonts w:hint="eastAsia" w:ascii="宋体" w:hAnsi="宋体" w:eastAsia="宋体"/>
          <w:sz w:val="24"/>
          <w:szCs w:val="24"/>
        </w:rPr>
        <w:t>专用</w:t>
      </w:r>
      <w:r>
        <w:rPr>
          <w:rFonts w:hint="eastAsia" w:ascii="宋体" w:hAnsi="宋体" w:eastAsia="宋体"/>
          <w:sz w:val="24"/>
          <w:szCs w:val="24"/>
          <w:lang w:val="en-US" w:eastAsia="zh-CN"/>
        </w:rPr>
        <w:t>移动端</w:t>
      </w:r>
      <w:r>
        <w:rPr>
          <w:rFonts w:ascii="宋体" w:hAnsi="宋体" w:eastAsia="宋体"/>
          <w:sz w:val="24"/>
          <w:szCs w:val="24"/>
        </w:rPr>
        <w:t>发起临时预约，后台接收企业申请，将收集点的预约任务绑定到收运车辆，并同步预约任务到收运人员手机端。</w:t>
      </w:r>
    </w:p>
    <w:p w14:paraId="146CFD9A">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预约任务明细：管理中心对商户预约记录进行台账管理，记录预约记录的基本信息（预约单位、预约时间、预约班次等）和业务执行数据（是否完成响应）、商户反馈信息等。</w:t>
      </w:r>
    </w:p>
    <w:p w14:paraId="1A06EF7D">
      <w:pPr>
        <w:spacing w:line="276" w:lineRule="auto"/>
        <w:ind w:firstLine="480"/>
        <w:rPr>
          <w:rFonts w:hint="eastAsia" w:ascii="宋体" w:hAnsi="宋体" w:eastAsia="宋体"/>
          <w:sz w:val="24"/>
          <w:szCs w:val="24"/>
        </w:rPr>
      </w:pPr>
      <w:r>
        <w:rPr>
          <w:rFonts w:ascii="宋体" w:hAnsi="宋体" w:eastAsia="宋体"/>
          <w:sz w:val="24"/>
          <w:szCs w:val="24"/>
        </w:rPr>
        <w:t>预约任务管理：管理人员查看商户预约申请，选择服务响应车辆，追踪预约任务响应状态，并对该预约商户的收运频次用收运日历进行展示，实现清运状态的全面监管。</w:t>
      </w:r>
    </w:p>
    <w:p w14:paraId="57FE3CA2">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收运“报站”管理</w:t>
      </w:r>
    </w:p>
    <w:p w14:paraId="2AD10A31">
      <w:pPr>
        <w:spacing w:line="276" w:lineRule="auto"/>
        <w:ind w:firstLine="480"/>
        <w:rPr>
          <w:rFonts w:hint="eastAsia" w:ascii="宋体" w:hAnsi="宋体" w:eastAsia="宋体"/>
          <w:sz w:val="24"/>
          <w:szCs w:val="24"/>
        </w:rPr>
      </w:pPr>
      <w:r>
        <w:rPr>
          <w:rFonts w:hint="eastAsia" w:ascii="宋体" w:hAnsi="宋体" w:eastAsia="宋体"/>
          <w:sz w:val="24"/>
          <w:szCs w:val="24"/>
        </w:rPr>
        <w:t>餐厨垃圾收运借鉴公交实时查询的微服务功能，通过对收运路线、顺序的固定、车辆速度、收运数据的实时监管，建立收运报站模型，实时接收并更新收运车辆收运进度，管理后台设置到站提醒时限、提醒内容、提醒次数、提醒方式等。</w:t>
      </w:r>
    </w:p>
    <w:p w14:paraId="067EE4EA">
      <w:pPr>
        <w:pStyle w:val="35"/>
        <w:spacing w:before="124" w:after="124" w:line="276" w:lineRule="auto"/>
        <w:ind w:firstLine="480"/>
        <w:rPr>
          <w:rFonts w:hint="eastAsia" w:ascii="宋体" w:hAnsi="宋体"/>
          <w:sz w:val="24"/>
          <w:szCs w:val="24"/>
        </w:rPr>
      </w:pPr>
      <w:r>
        <w:rPr>
          <w:rFonts w:hint="eastAsia" w:ascii="宋体" w:hAnsi="宋体"/>
          <w:sz w:val="24"/>
          <w:szCs w:val="24"/>
        </w:rPr>
        <w:t>餐厨企业可以通过“我的盐城”查看收运车辆情况。</w:t>
      </w:r>
    </w:p>
    <w:p w14:paraId="7CA6DD89">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收运任务看板</w:t>
      </w:r>
    </w:p>
    <w:p w14:paraId="62655ABD">
      <w:pPr>
        <w:spacing w:line="276" w:lineRule="auto"/>
        <w:ind w:firstLine="480"/>
        <w:rPr>
          <w:rFonts w:hint="eastAsia" w:ascii="宋体" w:hAnsi="宋体" w:eastAsia="宋体"/>
          <w:sz w:val="24"/>
          <w:szCs w:val="24"/>
        </w:rPr>
      </w:pPr>
      <w:r>
        <w:rPr>
          <w:rFonts w:hint="eastAsia" w:ascii="宋体" w:hAnsi="宋体" w:eastAsia="宋体"/>
          <w:sz w:val="24"/>
          <w:szCs w:val="24"/>
        </w:rPr>
        <w:t>收运任务看板汇总展示各个收运排班路线的任务完成数据，包括车辆实时数据、任务进度数据、收运过程数据等。并通过收集点任务进度条打卡的方式，直观展示计划收集点位和实际收集状态，并支持查看具体收集点位的抓拍信息以及车辆收运出勤趋势等。</w:t>
      </w:r>
    </w:p>
    <w:p w14:paraId="46352DFA">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任务进度管理：汇总车辆实时收运量、车辆任务完成进度和收集点收集进度数据，从收运量、车辆、收集点等维度展示当日收运作业进度数据。</w:t>
      </w:r>
    </w:p>
    <w:p w14:paraId="0A2A7587">
      <w:pPr>
        <w:spacing w:line="276" w:lineRule="auto"/>
        <w:ind w:firstLine="480"/>
        <w:rPr>
          <w:rFonts w:hint="eastAsia" w:ascii="宋体" w:hAnsi="宋体" w:eastAsia="宋体"/>
          <w:sz w:val="24"/>
          <w:szCs w:val="24"/>
        </w:rPr>
      </w:pPr>
      <w:r>
        <w:rPr>
          <w:rFonts w:ascii="宋体" w:hAnsi="宋体" w:eastAsia="宋体"/>
          <w:sz w:val="24"/>
          <w:szCs w:val="24"/>
        </w:rPr>
        <w:t>车辆状态管理：展示车辆基础和排班时段、时速、油耗数据，汇总车辆历史收运趋势，对车辆任务状态进行异常报警管理，提醒管理人员对异常车辆进行状态管理。</w:t>
      </w:r>
    </w:p>
    <w:p w14:paraId="634AB7D3">
      <w:pPr>
        <w:spacing w:line="276" w:lineRule="auto"/>
        <w:ind w:firstLine="480"/>
        <w:rPr>
          <w:rFonts w:hint="eastAsia" w:ascii="宋体" w:hAnsi="宋体" w:eastAsia="宋体"/>
          <w:sz w:val="24"/>
          <w:szCs w:val="24"/>
        </w:rPr>
      </w:pPr>
      <w:r>
        <w:rPr>
          <w:rFonts w:ascii="宋体" w:hAnsi="宋体" w:eastAsia="宋体"/>
          <w:sz w:val="24"/>
          <w:szCs w:val="24"/>
        </w:rPr>
        <w:t>任务顺序管理：汇总排班路线的规划里程、产量和时间、收集点位数量和实际任务完成数据进行对比，将收集点按照规划顺序排列，车辆收集完成后，更新收集时间、称重数据、标记收集顺序；并可查看收运过程中的抓拍图片，真实还原收运场景。</w:t>
      </w:r>
    </w:p>
    <w:p w14:paraId="4E53AA99">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.收运GIS管理</w:t>
      </w:r>
    </w:p>
    <w:p w14:paraId="39DCFC92">
      <w:pPr>
        <w:spacing w:line="276" w:lineRule="auto"/>
        <w:ind w:firstLine="480"/>
        <w:rPr>
          <w:rFonts w:hint="eastAsia" w:ascii="宋体" w:hAnsi="宋体" w:eastAsia="宋体"/>
          <w:sz w:val="24"/>
          <w:szCs w:val="24"/>
        </w:rPr>
      </w:pPr>
      <w:r>
        <w:rPr>
          <w:rFonts w:hint="eastAsia" w:ascii="宋体" w:hAnsi="宋体" w:eastAsia="宋体"/>
          <w:sz w:val="24"/>
          <w:szCs w:val="24"/>
        </w:rPr>
        <w:t>通过安装智能车载设备和数据传输网络的搭建，实现车辆收运状态数据的实时上传，依托于地理信息系统对车辆位置实时更新、称重数据在线标注，实现车辆基本信息、历史轨迹、车载视频、报警信息的综合展示，全方位还原收运车辆的作业数据，便于管理人员对各排班路线作业进度、收运作业规范直观掌握，迅速定位任务异常收运车辆异常，并对车辆收运作业数据进行统计分析，提升精细化管理和统筹规划的能力。</w:t>
      </w:r>
    </w:p>
    <w:p w14:paraId="001B2024">
      <w:pPr>
        <w:spacing w:line="276" w:lineRule="auto"/>
        <w:ind w:firstLine="480"/>
        <w:rPr>
          <w:rFonts w:hint="eastAsia" w:ascii="宋体" w:hAnsi="宋体" w:eastAsia="宋体"/>
          <w:sz w:val="24"/>
          <w:szCs w:val="24"/>
        </w:rPr>
      </w:pPr>
      <w:r>
        <w:rPr>
          <w:rFonts w:ascii="宋体" w:hAnsi="宋体" w:eastAsia="宋体"/>
          <w:sz w:val="24"/>
          <w:szCs w:val="24"/>
        </w:rPr>
        <w:t>g.作业轨迹监管</w:t>
      </w:r>
    </w:p>
    <w:p w14:paraId="4AE404EB">
      <w:pPr>
        <w:spacing w:line="276" w:lineRule="auto"/>
        <w:ind w:firstLine="480"/>
        <w:rPr>
          <w:rFonts w:hint="eastAsia" w:ascii="宋体" w:hAnsi="宋体" w:eastAsia="宋体"/>
          <w:sz w:val="24"/>
          <w:szCs w:val="24"/>
        </w:rPr>
      </w:pPr>
      <w:r>
        <w:rPr>
          <w:rFonts w:hint="eastAsia" w:ascii="宋体" w:hAnsi="宋体" w:eastAsia="宋体"/>
          <w:sz w:val="24"/>
          <w:szCs w:val="24"/>
        </w:rPr>
        <w:t>作业轨迹监管实现车辆历史作业轨迹查询和回放，系统通过图形化方式地图回放车辆作业全过程，给事后分析提供强而有力的证据，便于对车辆的监管。控制中心对车辆轨迹进行实时追踪，将实际清运路线与规划路线实现比对，出现偏差时，及时发出警告。</w:t>
      </w:r>
    </w:p>
    <w:p w14:paraId="73D7F1D3">
      <w:pPr>
        <w:spacing w:line="276" w:lineRule="auto"/>
        <w:ind w:firstLine="480"/>
        <w:rPr>
          <w:rFonts w:hint="eastAsia" w:ascii="宋体" w:hAnsi="宋体" w:eastAsia="宋体"/>
          <w:sz w:val="24"/>
          <w:szCs w:val="24"/>
        </w:rPr>
      </w:pPr>
      <w:r>
        <w:rPr>
          <w:rFonts w:ascii="宋体" w:hAnsi="宋体" w:eastAsia="宋体"/>
          <w:sz w:val="24"/>
          <w:szCs w:val="24"/>
        </w:rPr>
        <w:t>历史轨迹管理：控制中心保存车辆的所有监控和报警数据，可以选择在任意时间查询任意车辆的轨迹回放数据。轨迹回放时可以选择回放速度，回放时间，是否显示轨迹等。</w:t>
      </w:r>
    </w:p>
    <w:p w14:paraId="343F30D5">
      <w:pPr>
        <w:spacing w:line="276" w:lineRule="auto"/>
        <w:ind w:firstLine="480"/>
        <w:rPr>
          <w:rFonts w:hint="eastAsia" w:ascii="宋体" w:hAnsi="宋体" w:eastAsia="宋体"/>
          <w:sz w:val="24"/>
          <w:szCs w:val="24"/>
        </w:rPr>
      </w:pPr>
      <w:r>
        <w:rPr>
          <w:rFonts w:ascii="宋体" w:hAnsi="宋体" w:eastAsia="宋体"/>
          <w:sz w:val="24"/>
          <w:szCs w:val="24"/>
        </w:rPr>
        <w:t>轨迹回放管理：作业轨迹跟踪实现车辆历史作业轨迹查询和回放，系统通过图形化方式地图回放车辆作业全过程，便于对车辆的监管。</w:t>
      </w:r>
    </w:p>
    <w:p w14:paraId="5EE6E81C">
      <w:pPr>
        <w:spacing w:line="276" w:lineRule="auto"/>
        <w:ind w:firstLine="480"/>
        <w:rPr>
          <w:rFonts w:hint="eastAsia" w:ascii="宋体" w:hAnsi="宋体" w:eastAsia="宋体"/>
          <w:sz w:val="24"/>
          <w:szCs w:val="24"/>
        </w:rPr>
      </w:pPr>
      <w:r>
        <w:rPr>
          <w:rFonts w:ascii="宋体" w:hAnsi="宋体" w:eastAsia="宋体"/>
          <w:sz w:val="24"/>
          <w:szCs w:val="24"/>
        </w:rPr>
        <w:t>收运路线对比：将实际清运路线与规划路线实现比对，便于管理人员对车辆偏离情况综合管理，根据实际情况及时调整实时收运路线，使平台规划更具有实际意义。</w:t>
      </w:r>
    </w:p>
    <w:p w14:paraId="54599FBD">
      <w:pPr>
        <w:spacing w:line="276" w:lineRule="auto"/>
        <w:ind w:firstLine="480"/>
        <w:rPr>
          <w:rFonts w:hint="eastAsia" w:ascii="宋体" w:hAnsi="宋体" w:eastAsia="宋体"/>
          <w:sz w:val="24"/>
          <w:szCs w:val="24"/>
        </w:rPr>
      </w:pPr>
      <w:r>
        <w:rPr>
          <w:rFonts w:hint="eastAsia" w:ascii="宋体" w:hAnsi="宋体" w:eastAsia="宋体"/>
          <w:sz w:val="24"/>
          <w:szCs w:val="24"/>
        </w:rPr>
        <w:t>h</w:t>
      </w:r>
      <w:r>
        <w:rPr>
          <w:rFonts w:ascii="宋体" w:hAnsi="宋体" w:eastAsia="宋体"/>
          <w:sz w:val="24"/>
          <w:szCs w:val="24"/>
        </w:rPr>
        <w:t>.清运视频监管</w:t>
      </w:r>
    </w:p>
    <w:p w14:paraId="7B7AEC5B">
      <w:pPr>
        <w:spacing w:line="276" w:lineRule="auto"/>
        <w:ind w:firstLine="480"/>
        <w:rPr>
          <w:rFonts w:hint="eastAsia" w:ascii="宋体" w:hAnsi="宋体" w:eastAsia="宋体"/>
          <w:sz w:val="24"/>
          <w:szCs w:val="24"/>
        </w:rPr>
      </w:pPr>
      <w:r>
        <w:rPr>
          <w:rFonts w:hint="eastAsia" w:ascii="宋体" w:hAnsi="宋体" w:eastAsia="宋体"/>
          <w:sz w:val="24"/>
          <w:szCs w:val="24"/>
        </w:rPr>
        <w:t>通过在收运车辆上安装车载视频设备</w:t>
      </w:r>
      <w:r>
        <w:rPr>
          <w:rFonts w:ascii="宋体" w:hAnsi="宋体" w:eastAsia="宋体"/>
          <w:sz w:val="24"/>
          <w:szCs w:val="24"/>
        </w:rPr>
        <w:t>, 基于视频平台，在运输过程中实现视频</w:t>
      </w:r>
      <w:r>
        <w:rPr>
          <w:rFonts w:hint="eastAsia" w:ascii="宋体" w:hAnsi="宋体" w:eastAsia="宋体"/>
          <w:sz w:val="24"/>
          <w:szCs w:val="24"/>
        </w:rPr>
        <w:t>实时观看</w:t>
      </w:r>
      <w:r>
        <w:rPr>
          <w:rFonts w:ascii="宋体" w:hAnsi="宋体" w:eastAsia="宋体"/>
          <w:sz w:val="24"/>
          <w:szCs w:val="24"/>
        </w:rPr>
        <w:t>等功能，</w:t>
      </w:r>
      <w:r>
        <w:rPr>
          <w:rFonts w:hint="eastAsia" w:ascii="宋体" w:hAnsi="宋体" w:eastAsia="宋体"/>
          <w:sz w:val="24"/>
          <w:szCs w:val="24"/>
        </w:rPr>
        <w:t>监控作业情况</w:t>
      </w:r>
      <w:r>
        <w:rPr>
          <w:rFonts w:ascii="宋体" w:hAnsi="宋体" w:eastAsia="宋体"/>
          <w:sz w:val="24"/>
          <w:szCs w:val="24"/>
        </w:rPr>
        <w:t>,辅助监管部门对车辆运输进行在线监管。</w:t>
      </w:r>
    </w:p>
    <w:p w14:paraId="0C5B5759">
      <w:pPr>
        <w:spacing w:line="276" w:lineRule="auto"/>
        <w:ind w:firstLine="480"/>
        <w:rPr>
          <w:rFonts w:hint="eastAsia" w:ascii="宋体" w:hAnsi="宋体" w:eastAsia="宋体"/>
          <w:sz w:val="24"/>
          <w:szCs w:val="24"/>
        </w:rPr>
      </w:pPr>
      <w:r>
        <w:rPr>
          <w:rFonts w:ascii="宋体" w:hAnsi="宋体" w:eastAsia="宋体"/>
          <w:sz w:val="24"/>
          <w:szCs w:val="24"/>
        </w:rPr>
        <w:t>视频数据管理：视频数据进行存储，方便随时调用。以树状列表形式进行综合展示，并支持精准定位或模糊搜索</w:t>
      </w:r>
      <w:r>
        <w:rPr>
          <w:rFonts w:hint="eastAsia" w:ascii="宋体" w:hAnsi="宋体" w:eastAsia="宋体"/>
          <w:sz w:val="24"/>
          <w:szCs w:val="24"/>
        </w:rPr>
        <w:t>车辆</w:t>
      </w:r>
      <w:r>
        <w:rPr>
          <w:rFonts w:ascii="宋体" w:hAnsi="宋体" w:eastAsia="宋体"/>
          <w:sz w:val="24"/>
          <w:szCs w:val="24"/>
        </w:rPr>
        <w:t>，便于管理人员迅速调所需点位视频，提高视频取证效率。</w:t>
      </w:r>
    </w:p>
    <w:p w14:paraId="215E17DC">
      <w:pPr>
        <w:spacing w:line="276" w:lineRule="auto"/>
        <w:ind w:firstLine="480"/>
        <w:rPr>
          <w:rFonts w:hint="eastAsia" w:ascii="宋体" w:hAnsi="宋体" w:eastAsia="宋体"/>
          <w:sz w:val="24"/>
          <w:szCs w:val="24"/>
        </w:rPr>
      </w:pPr>
      <w:r>
        <w:rPr>
          <w:rFonts w:hint="eastAsia" w:ascii="宋体" w:hAnsi="宋体" w:eastAsia="宋体"/>
          <w:sz w:val="24"/>
          <w:szCs w:val="24"/>
        </w:rPr>
        <w:t>i</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车辆收运记录</w:t>
      </w:r>
    </w:p>
    <w:p w14:paraId="6BEAB6F4">
      <w:pPr>
        <w:spacing w:line="276" w:lineRule="auto"/>
        <w:ind w:firstLine="480"/>
        <w:rPr>
          <w:rFonts w:hint="eastAsia" w:ascii="宋体" w:hAnsi="宋体" w:eastAsia="宋体"/>
          <w:sz w:val="24"/>
          <w:szCs w:val="24"/>
        </w:rPr>
      </w:pPr>
      <w:r>
        <w:rPr>
          <w:rFonts w:hint="eastAsia" w:ascii="宋体" w:hAnsi="宋体" w:eastAsia="宋体"/>
          <w:sz w:val="24"/>
          <w:szCs w:val="24"/>
        </w:rPr>
        <w:t>以车辆为基础统计维度，展示车辆当日的收运次数、收运总量、应收和实收企业数量、任务完成率、收运偏差比、里程等数据，可对有多趟收运任务的车辆各趟收运明细数据进行展示。</w:t>
      </w:r>
    </w:p>
    <w:p w14:paraId="072C5DA4">
      <w:pPr>
        <w:spacing w:line="276" w:lineRule="auto"/>
        <w:ind w:firstLine="480"/>
        <w:rPr>
          <w:rFonts w:hint="eastAsia" w:ascii="宋体" w:hAnsi="宋体" w:eastAsia="宋体"/>
          <w:sz w:val="24"/>
          <w:szCs w:val="24"/>
        </w:rPr>
      </w:pPr>
      <w:r>
        <w:rPr>
          <w:rFonts w:hint="eastAsia" w:ascii="宋体" w:hAnsi="宋体" w:eastAsia="宋体"/>
          <w:sz w:val="24"/>
          <w:szCs w:val="24"/>
        </w:rPr>
        <w:t>建立车辆收运环比分析模型，对收运量、进厂量、收运偏差比、任务完成率环比变动幅度进行排名展示，便于管理人员对作业数据浮动较大的车辆进行综合分析管理。</w:t>
      </w:r>
    </w:p>
    <w:p w14:paraId="2A7E4E3C">
      <w:pPr>
        <w:spacing w:line="276" w:lineRule="auto"/>
        <w:ind w:firstLine="480"/>
        <w:rPr>
          <w:rFonts w:hint="eastAsia" w:ascii="宋体" w:hAnsi="宋体" w:eastAsia="宋体"/>
          <w:sz w:val="24"/>
          <w:szCs w:val="24"/>
        </w:rPr>
      </w:pPr>
      <w:r>
        <w:rPr>
          <w:rFonts w:hint="eastAsia" w:ascii="宋体" w:hAnsi="宋体" w:eastAsia="宋体"/>
          <w:sz w:val="24"/>
          <w:szCs w:val="24"/>
        </w:rPr>
        <w:t>j</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餐厨称重记录</w:t>
      </w:r>
    </w:p>
    <w:p w14:paraId="631B6D94">
      <w:pPr>
        <w:spacing w:line="276" w:lineRule="auto"/>
        <w:ind w:firstLine="480"/>
        <w:rPr>
          <w:rFonts w:hint="eastAsia" w:ascii="宋体" w:hAnsi="宋体" w:eastAsia="宋体"/>
          <w:sz w:val="24"/>
          <w:szCs w:val="24"/>
        </w:rPr>
      </w:pPr>
      <w:r>
        <w:rPr>
          <w:rFonts w:hint="eastAsia" w:ascii="宋体" w:hAnsi="宋体" w:eastAsia="宋体"/>
          <w:sz w:val="24"/>
          <w:szCs w:val="24"/>
        </w:rPr>
        <w:t>餐厨垃圾称重明细管理是对每一条称重数据进行动态数据台账管理，形成电子化的称重记录，简化和规范数据存储和分析工作。</w:t>
      </w:r>
    </w:p>
    <w:p w14:paraId="73F0E82C">
      <w:pPr>
        <w:spacing w:line="276" w:lineRule="auto"/>
        <w:ind w:firstLine="480"/>
        <w:rPr>
          <w:rFonts w:hint="eastAsia" w:ascii="宋体" w:hAnsi="宋体" w:eastAsia="宋体"/>
          <w:sz w:val="24"/>
          <w:szCs w:val="24"/>
        </w:rPr>
      </w:pPr>
      <w:r>
        <w:rPr>
          <w:rFonts w:hint="eastAsia" w:ascii="宋体" w:hAnsi="宋体" w:eastAsia="宋体"/>
          <w:sz w:val="24"/>
          <w:szCs w:val="24"/>
        </w:rPr>
        <w:t>后台接收车载称重设备实时称重数据，结合称重设备绑定车辆信息，形成餐厨垃圾称重明细记录，内容包括：商铺名称、称重时间、称重重量、车牌信息、垃圾桶编号、称重位置等。并支持多维度的数据筛选和在线导出。</w:t>
      </w:r>
    </w:p>
    <w:p w14:paraId="0346F007">
      <w:pPr>
        <w:spacing w:line="276" w:lineRule="auto"/>
        <w:ind w:firstLine="480"/>
        <w:rPr>
          <w:rFonts w:hint="eastAsia" w:ascii="宋体" w:hAnsi="宋体" w:eastAsia="宋体"/>
          <w:sz w:val="24"/>
          <w:szCs w:val="24"/>
        </w:rPr>
      </w:pPr>
      <w:r>
        <w:rPr>
          <w:rFonts w:hint="eastAsia" w:ascii="宋体" w:hAnsi="宋体" w:eastAsia="宋体"/>
          <w:sz w:val="24"/>
          <w:szCs w:val="24"/>
        </w:rPr>
        <w:t>k</w:t>
      </w:r>
      <w:r>
        <w:rPr>
          <w:rFonts w:ascii="宋体" w:hAnsi="宋体" w:eastAsia="宋体"/>
          <w:sz w:val="24"/>
          <w:szCs w:val="24"/>
        </w:rPr>
        <w:t>.违规报警管理</w:t>
      </w:r>
    </w:p>
    <w:p w14:paraId="28383B42">
      <w:pPr>
        <w:pStyle w:val="35"/>
        <w:spacing w:before="124" w:after="124" w:line="276" w:lineRule="auto"/>
        <w:ind w:firstLine="480"/>
        <w:rPr>
          <w:rFonts w:hint="eastAsia" w:ascii="宋体" w:hAnsi="宋体"/>
          <w:sz w:val="24"/>
          <w:szCs w:val="24"/>
        </w:rPr>
      </w:pPr>
      <w:r>
        <w:rPr>
          <w:rFonts w:hint="eastAsia" w:ascii="宋体" w:hAnsi="宋体"/>
          <w:sz w:val="24"/>
          <w:szCs w:val="24"/>
        </w:rPr>
        <w:t>收运违规报警管理将车辆所有的违规信息进行统一管理，违规类型包括超速、越区预警、路线偏离预警、漏收预警、产生量偏差预警、无桶、标签卡异常、预约异常、违规分类等，系统对异常事件进行及时预警，并将报警信息记录，方便违规反查，定位到具体的车辆或者相关负责人。</w:t>
      </w:r>
    </w:p>
    <w:p w14:paraId="75D633B6">
      <w:pPr>
        <w:spacing w:line="276" w:lineRule="auto"/>
        <w:ind w:firstLine="480"/>
        <w:rPr>
          <w:rFonts w:hint="eastAsia" w:ascii="宋体" w:hAnsi="宋体" w:eastAsia="宋体"/>
          <w:sz w:val="24"/>
          <w:szCs w:val="24"/>
        </w:rPr>
      </w:pPr>
      <w:r>
        <w:rPr>
          <w:rFonts w:ascii="宋体" w:hAnsi="宋体" w:eastAsia="宋体"/>
          <w:sz w:val="24"/>
          <w:szCs w:val="24"/>
        </w:rPr>
        <w:t>超速、越区预警：通过</w:t>
      </w:r>
      <w:r>
        <w:rPr>
          <w:rFonts w:hint="eastAsia" w:ascii="宋体" w:hAnsi="宋体" w:eastAsia="宋体"/>
          <w:sz w:val="24"/>
          <w:szCs w:val="24"/>
          <w:lang w:val="en-US" w:eastAsia="zh-CN"/>
        </w:rPr>
        <w:t>车载位置定位</w:t>
      </w:r>
      <w:r>
        <w:rPr>
          <w:rFonts w:ascii="宋体" w:hAnsi="宋体" w:eastAsia="宋体"/>
          <w:sz w:val="24"/>
          <w:szCs w:val="24"/>
        </w:rPr>
        <w:t>采集车辆实时信息，包括车辆位置和车俩速度，设置速度阈值，运用图层技术，设置电子围栏，判断车辆是否超速、越区，若违反，通过移动端进行提醒。</w:t>
      </w:r>
    </w:p>
    <w:p w14:paraId="6D31C0A9">
      <w:pPr>
        <w:spacing w:line="276" w:lineRule="auto"/>
        <w:ind w:firstLine="480"/>
        <w:rPr>
          <w:rFonts w:hint="eastAsia" w:ascii="宋体" w:hAnsi="宋体" w:eastAsia="宋体"/>
          <w:sz w:val="24"/>
          <w:szCs w:val="24"/>
        </w:rPr>
      </w:pPr>
      <w:r>
        <w:rPr>
          <w:rFonts w:ascii="宋体" w:hAnsi="宋体" w:eastAsia="宋体"/>
          <w:sz w:val="24"/>
          <w:szCs w:val="24"/>
        </w:rPr>
        <w:t>漏收告警：收运车辆对绑定的排班或预约收运商户，未在规定时间上传读卡或称重数据，系统判定为该商户漏收，对收运负责人进行告警管理；</w:t>
      </w:r>
    </w:p>
    <w:p w14:paraId="52CFF11E">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产生量偏差预警：餐饮企业垃圾桶安装RFID卡，在车辆上安装车载称重与身份识别仪，实时采集产生单位日产生量，实现与理论值对比，实现偏差预警；</w:t>
      </w:r>
    </w:p>
    <w:p w14:paraId="3FDA55D9">
      <w:pPr>
        <w:spacing w:line="276" w:lineRule="auto"/>
        <w:ind w:firstLine="480"/>
        <w:rPr>
          <w:rFonts w:hint="eastAsia" w:ascii="宋体" w:hAnsi="宋体" w:eastAsia="宋体"/>
          <w:sz w:val="24"/>
          <w:szCs w:val="24"/>
        </w:rPr>
      </w:pPr>
      <w:r>
        <w:rPr>
          <w:rFonts w:ascii="宋体" w:hAnsi="宋体" w:eastAsia="宋体"/>
          <w:sz w:val="24"/>
          <w:szCs w:val="24"/>
        </w:rPr>
        <w:t>无桶异常：收运车辆在排班收集餐饮企业对于没有餐厨垃圾桶的情况，由收运人员上报未配置垃圾桶的餐饮企业名称、位置、行政区划、现场图片等信息，形成无桶预警记录，便于管理人员合理投放垃圾桶等设备资源；</w:t>
      </w:r>
    </w:p>
    <w:p w14:paraId="46F81CA7">
      <w:pPr>
        <w:spacing w:line="276" w:lineRule="auto"/>
        <w:ind w:firstLine="480"/>
        <w:rPr>
          <w:rFonts w:hint="eastAsia" w:ascii="宋体" w:hAnsi="宋体" w:eastAsia="宋体"/>
          <w:sz w:val="24"/>
          <w:szCs w:val="24"/>
        </w:rPr>
      </w:pPr>
      <w:r>
        <w:rPr>
          <w:rFonts w:ascii="宋体" w:hAnsi="宋体" w:eastAsia="宋体"/>
          <w:sz w:val="24"/>
          <w:szCs w:val="24"/>
        </w:rPr>
        <w:t>标签卡异常：作业车辆在清运过程中出现垃圾桶RFID卡设备脱落、遗失、读卡失败等情况，可由收运人员上报RFID卡设备异常的餐饮企业名称、位置、行政区划、现场图片等信息，形成异常记录，便于管理人员及时发现设备异常，有计划地进行设备更新换代；</w:t>
      </w:r>
    </w:p>
    <w:p w14:paraId="211B9D7C">
      <w:pPr>
        <w:spacing w:line="276" w:lineRule="auto"/>
        <w:ind w:firstLine="480"/>
        <w:rPr>
          <w:rFonts w:hint="eastAsia" w:ascii="宋体" w:hAnsi="宋体" w:eastAsia="宋体"/>
          <w:sz w:val="24"/>
          <w:szCs w:val="24"/>
        </w:rPr>
      </w:pPr>
      <w:r>
        <w:rPr>
          <w:rFonts w:ascii="宋体" w:hAnsi="宋体" w:eastAsia="宋体"/>
          <w:sz w:val="24"/>
          <w:szCs w:val="24"/>
        </w:rPr>
        <w:t>预约异常：餐厨垃圾产生单位发起预约后，由于突发事件取消预约，或收运车辆执行预约清运任务时，对于桶内无垃圾，餐饮单位关闭等情况进行异常记录，填写异常原因和现场图片，辅助管理人员对餐饮单位预约行为进行规范约束；</w:t>
      </w:r>
    </w:p>
    <w:p w14:paraId="5E88DF13">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违规分类异常：收运人员或片区管理人员在收运、抽检过程中发现餐厨垃圾产生单位未按照分类规范进行垃圾分类，混入其它垃圾的行为进行异常上报，填写企业名称、地点、上报人等基础信息，并拍摄现场图片留证，管理人员对于违规分类行为及时发现和处理，提升垃圾分类的准确率。</w:t>
      </w:r>
    </w:p>
    <w:p w14:paraId="2B038B9C">
      <w:pPr>
        <w:spacing w:line="276" w:lineRule="auto"/>
        <w:ind w:firstLine="480"/>
        <w:rPr>
          <w:rFonts w:hint="eastAsia" w:ascii="宋体" w:hAnsi="宋体" w:eastAsia="宋体"/>
          <w:sz w:val="24"/>
          <w:szCs w:val="24"/>
        </w:rPr>
      </w:pPr>
      <w:r>
        <w:rPr>
          <w:rFonts w:ascii="宋体" w:hAnsi="宋体" w:eastAsia="宋体"/>
          <w:sz w:val="24"/>
          <w:szCs w:val="24"/>
        </w:rPr>
        <w:t>违规反查：作业车辆如有滴漏抛洒等行为发生，监管中心可在系统根据历史作业单，查询出该段时间经过该路段的车辆，然后结合车辆历史轨迹查询及车辆停车分析统计，可最快速度锁定违规嫌疑车辆。</w:t>
      </w:r>
    </w:p>
    <w:p w14:paraId="7E187937">
      <w:pPr>
        <w:spacing w:line="276" w:lineRule="auto"/>
        <w:ind w:firstLine="480"/>
        <w:rPr>
          <w:rFonts w:hint="eastAsia" w:ascii="宋体" w:hAnsi="宋体" w:eastAsia="宋体"/>
          <w:sz w:val="24"/>
          <w:szCs w:val="24"/>
        </w:rPr>
      </w:pPr>
      <w:r>
        <w:rPr>
          <w:rFonts w:hint="eastAsia" w:ascii="宋体" w:hAnsi="宋体" w:eastAsia="宋体"/>
          <w:sz w:val="24"/>
          <w:szCs w:val="24"/>
        </w:rPr>
        <w:t>l</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车辆调度管理</w:t>
      </w:r>
    </w:p>
    <w:p w14:paraId="0F25E2C4">
      <w:pPr>
        <w:spacing w:line="276" w:lineRule="auto"/>
        <w:ind w:firstLine="480"/>
        <w:rPr>
          <w:rFonts w:hint="eastAsia" w:ascii="宋体" w:hAnsi="宋体" w:eastAsia="宋体"/>
          <w:sz w:val="24"/>
          <w:szCs w:val="24"/>
        </w:rPr>
      </w:pPr>
      <w:r>
        <w:rPr>
          <w:rFonts w:hint="eastAsia" w:ascii="宋体" w:hAnsi="宋体" w:eastAsia="宋体"/>
          <w:sz w:val="24"/>
          <w:szCs w:val="24"/>
        </w:rPr>
        <w:t>通过在餐厨车辆上安装调度屏或通过移动端</w:t>
      </w:r>
      <w:r>
        <w:rPr>
          <w:rFonts w:ascii="宋体" w:hAnsi="宋体" w:eastAsia="宋体"/>
          <w:sz w:val="24"/>
          <w:szCs w:val="24"/>
        </w:rPr>
        <w:t>，显示车辆派发的任务、任务完成情况、车辆现载重量，配之地图系统，指引车辆达到下一个收集点。同时通过移动终端提醒违规车辆，保证餐厨车辆规范运行。系统开发路况实时播报，协助收集人员选择合理的时段与路段。系统中将调度信息完整记录，可供查看管理。</w:t>
      </w:r>
    </w:p>
    <w:p w14:paraId="4A55F9AB">
      <w:pPr>
        <w:spacing w:line="276" w:lineRule="auto"/>
        <w:ind w:firstLine="480"/>
        <w:rPr>
          <w:rFonts w:hint="eastAsia" w:ascii="宋体" w:hAnsi="宋体" w:eastAsia="宋体"/>
          <w:sz w:val="24"/>
          <w:szCs w:val="24"/>
        </w:rPr>
      </w:pPr>
      <w:r>
        <w:rPr>
          <w:rFonts w:ascii="宋体" w:hAnsi="宋体" w:eastAsia="宋体"/>
          <w:sz w:val="24"/>
          <w:szCs w:val="24"/>
        </w:rPr>
        <w:t>任务派发：监控中心将餐厨收集任务发动到车辆调度终端，包括车辆的行驶路段、车辆收集点总量、餐饮企业等，驾驶员根据派发的任务进行作业；车辆出现紧急情况时，监控中心进行紧急调度；；</w:t>
      </w:r>
    </w:p>
    <w:p w14:paraId="61501FCA">
      <w:pPr>
        <w:spacing w:line="276" w:lineRule="auto"/>
        <w:ind w:firstLine="480"/>
        <w:rPr>
          <w:rFonts w:hint="eastAsia" w:ascii="宋体" w:hAnsi="宋体" w:eastAsia="宋体"/>
          <w:sz w:val="24"/>
          <w:szCs w:val="24"/>
        </w:rPr>
      </w:pPr>
      <w:r>
        <w:rPr>
          <w:rFonts w:ascii="宋体" w:hAnsi="宋体" w:eastAsia="宋体"/>
          <w:sz w:val="24"/>
          <w:szCs w:val="24"/>
        </w:rPr>
        <w:t>违规提醒：实现超速、越区预警、违规开盖预警、收集掺水预警、路线偏离预警、未收集预警、产生量偏差预警，</w:t>
      </w:r>
      <w:r>
        <w:rPr>
          <w:rFonts w:hint="eastAsia" w:ascii="宋体" w:hAnsi="宋体" w:eastAsia="宋体"/>
          <w:sz w:val="24"/>
          <w:szCs w:val="24"/>
        </w:rPr>
        <w:t>平台将相关告警推送</w:t>
      </w:r>
      <w:r>
        <w:rPr>
          <w:rFonts w:hint="eastAsia" w:ascii="宋体" w:hAnsi="宋体" w:eastAsia="宋体"/>
          <w:sz w:val="24"/>
          <w:szCs w:val="24"/>
          <w:lang w:val="en-US" w:eastAsia="zh-CN"/>
        </w:rPr>
        <w:t>移动端</w:t>
      </w:r>
      <w:r>
        <w:rPr>
          <w:rFonts w:hint="eastAsia" w:ascii="宋体" w:hAnsi="宋体" w:eastAsia="宋体"/>
          <w:sz w:val="24"/>
          <w:szCs w:val="24"/>
        </w:rPr>
        <w:t>。</w:t>
      </w:r>
    </w:p>
    <w:p w14:paraId="3D435549">
      <w:pPr>
        <w:spacing w:line="276" w:lineRule="auto"/>
        <w:ind w:firstLine="480"/>
        <w:rPr>
          <w:rFonts w:hint="eastAsia" w:ascii="宋体" w:hAnsi="宋体" w:eastAsia="宋体"/>
          <w:sz w:val="24"/>
          <w:szCs w:val="24"/>
        </w:rPr>
      </w:pPr>
      <w:r>
        <w:rPr>
          <w:rFonts w:ascii="宋体" w:hAnsi="宋体" w:eastAsia="宋体"/>
          <w:sz w:val="24"/>
          <w:szCs w:val="24"/>
        </w:rPr>
        <w:t>调度信息管理：将所有的调度记录按照调度类型进行归类记录，如任务派发记录、紧急调度记录等。</w:t>
      </w:r>
    </w:p>
    <w:p w14:paraId="199C2D70">
      <w:pPr>
        <w:spacing w:line="276" w:lineRule="auto"/>
        <w:ind w:firstLine="480"/>
        <w:rPr>
          <w:rFonts w:hint="eastAsia" w:ascii="宋体" w:hAnsi="宋体" w:eastAsia="宋体"/>
          <w:sz w:val="24"/>
          <w:szCs w:val="24"/>
        </w:rPr>
      </w:pPr>
      <w:r>
        <w:rPr>
          <w:rFonts w:ascii="宋体" w:hAnsi="宋体" w:eastAsia="宋体"/>
          <w:sz w:val="24"/>
          <w:szCs w:val="24"/>
        </w:rPr>
        <w:t>m.</w:t>
      </w:r>
      <w:r>
        <w:rPr>
          <w:rFonts w:ascii="宋体" w:hAnsi="宋体" w:eastAsia="宋体"/>
          <w:sz w:val="24"/>
          <w:szCs w:val="24"/>
        </w:rPr>
        <w:tab/>
      </w:r>
      <w:r>
        <w:rPr>
          <w:rFonts w:ascii="宋体" w:hAnsi="宋体" w:eastAsia="宋体"/>
          <w:sz w:val="24"/>
          <w:szCs w:val="24"/>
        </w:rPr>
        <w:t>车辆运行统计</w:t>
      </w:r>
    </w:p>
    <w:p w14:paraId="028635D4">
      <w:pPr>
        <w:spacing w:line="276" w:lineRule="auto"/>
        <w:ind w:firstLine="480"/>
        <w:rPr>
          <w:rFonts w:hint="eastAsia" w:ascii="宋体" w:hAnsi="宋体" w:eastAsia="宋体"/>
          <w:sz w:val="24"/>
          <w:szCs w:val="24"/>
        </w:rPr>
      </w:pPr>
      <w:r>
        <w:rPr>
          <w:rFonts w:hint="eastAsia" w:ascii="宋体" w:hAnsi="宋体" w:eastAsia="宋体"/>
          <w:sz w:val="24"/>
          <w:szCs w:val="24"/>
        </w:rPr>
        <w:t>将车辆运行过程量化管理，将不同指标进行汇总，用户根据自己的需求进行自定义汇总管理，环卫管理部门较为关注车辆是否全面收集、违规情况，收运企业则较为关注收运成本等。</w:t>
      </w:r>
    </w:p>
    <w:p w14:paraId="227BFDDC">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车辆违规情况统计：将违规记录进行汇总统计，稽查异常多发类型与多发路段，及时进行规整；</w:t>
      </w:r>
    </w:p>
    <w:p w14:paraId="49FD2E81">
      <w:pPr>
        <w:spacing w:line="276" w:lineRule="auto"/>
        <w:ind w:firstLine="480"/>
        <w:rPr>
          <w:rFonts w:hint="eastAsia" w:ascii="宋体" w:hAnsi="宋体" w:eastAsia="宋体"/>
          <w:sz w:val="24"/>
          <w:szCs w:val="24"/>
        </w:rPr>
      </w:pPr>
      <w:r>
        <w:rPr>
          <w:rFonts w:ascii="宋体" w:hAnsi="宋体" w:eastAsia="宋体"/>
          <w:sz w:val="24"/>
          <w:szCs w:val="24"/>
        </w:rPr>
        <w:t>作业趟数统计：通过二次分析餐厨车辆的运行轨迹，实现作业趟数的汇总统计，与规定趟数做比较，判断车辆是否按照既定趟数收运；</w:t>
      </w:r>
    </w:p>
    <w:p w14:paraId="497455FD">
      <w:pPr>
        <w:spacing w:line="276" w:lineRule="auto"/>
        <w:ind w:firstLine="480"/>
        <w:rPr>
          <w:rFonts w:hint="eastAsia" w:ascii="宋体" w:hAnsi="宋体" w:eastAsia="宋体"/>
          <w:sz w:val="24"/>
          <w:szCs w:val="24"/>
        </w:rPr>
      </w:pPr>
      <w:r>
        <w:rPr>
          <w:rFonts w:ascii="宋体" w:hAnsi="宋体" w:eastAsia="宋体"/>
          <w:sz w:val="24"/>
          <w:szCs w:val="24"/>
        </w:rPr>
        <w:t>作业里程与油耗管理：通过</w:t>
      </w:r>
      <w:r>
        <w:rPr>
          <w:rFonts w:hint="eastAsia" w:ascii="宋体" w:hAnsi="宋体" w:eastAsia="宋体"/>
          <w:sz w:val="24"/>
          <w:szCs w:val="24"/>
          <w:lang w:val="en-US" w:eastAsia="zh-CN"/>
        </w:rPr>
        <w:t>位置定位</w:t>
      </w:r>
      <w:r>
        <w:rPr>
          <w:rFonts w:ascii="宋体" w:hAnsi="宋体" w:eastAsia="宋体"/>
          <w:sz w:val="24"/>
          <w:szCs w:val="24"/>
        </w:rPr>
        <w:t>统计车辆作业里程，监管车辆油耗情况，汇总统计，并可跟理论值做对比，检查是否出现偏差；</w:t>
      </w:r>
    </w:p>
    <w:p w14:paraId="12B19B83">
      <w:pPr>
        <w:spacing w:line="276" w:lineRule="auto"/>
        <w:ind w:firstLine="480"/>
        <w:rPr>
          <w:rFonts w:hint="eastAsia" w:ascii="宋体" w:hAnsi="宋体" w:eastAsia="宋体"/>
          <w:sz w:val="24"/>
          <w:szCs w:val="24"/>
        </w:rPr>
      </w:pPr>
      <w:r>
        <w:rPr>
          <w:rFonts w:ascii="宋体" w:hAnsi="宋体" w:eastAsia="宋体"/>
          <w:sz w:val="24"/>
          <w:szCs w:val="24"/>
        </w:rPr>
        <w:t>车辆趟收集量管理：通过车载称重系统采集每桶垃圾重量，最后汇总统计车辆一趟收集情况；</w:t>
      </w:r>
    </w:p>
    <w:p w14:paraId="25A32101">
      <w:pPr>
        <w:spacing w:line="276" w:lineRule="auto"/>
        <w:ind w:firstLine="480"/>
        <w:rPr>
          <w:rFonts w:hint="eastAsia" w:ascii="宋体" w:hAnsi="宋体" w:eastAsia="宋体"/>
          <w:sz w:val="24"/>
          <w:szCs w:val="24"/>
        </w:rPr>
      </w:pPr>
      <w:r>
        <w:rPr>
          <w:rFonts w:ascii="宋体" w:hAnsi="宋体" w:eastAsia="宋体"/>
          <w:sz w:val="24"/>
          <w:szCs w:val="24"/>
        </w:rPr>
        <w:t>吨垃圾成本估算：通过算法将里程、油耗汇总计算出成本，结合垃圾重量，计算吨垃成本等。</w:t>
      </w:r>
    </w:p>
    <w:p w14:paraId="6BF94CC3">
      <w:pPr>
        <w:pStyle w:val="14"/>
        <w:rPr>
          <w:rFonts w:hint="eastAsia"/>
          <w:bCs w:val="0"/>
        </w:rPr>
      </w:pPr>
      <w:r>
        <w:rPr>
          <w:bCs w:val="0"/>
        </w:rPr>
        <w:t>处置监管</w:t>
      </w:r>
      <w:r>
        <w:rPr>
          <w:rFonts w:hint="eastAsia"/>
        </w:rPr>
        <w:t>子系统</w:t>
      </w:r>
    </w:p>
    <w:p w14:paraId="5C2A0280">
      <w:pPr>
        <w:spacing w:line="276" w:lineRule="auto"/>
        <w:ind w:firstLine="480"/>
        <w:rPr>
          <w:rFonts w:hint="eastAsia" w:ascii="宋体" w:hAnsi="宋体" w:eastAsia="宋体"/>
          <w:sz w:val="24"/>
          <w:szCs w:val="24"/>
        </w:rPr>
      </w:pPr>
      <w:r>
        <w:rPr>
          <w:rFonts w:hint="eastAsia" w:ascii="宋体" w:hAnsi="宋体" w:eastAsia="宋体"/>
          <w:sz w:val="24"/>
          <w:szCs w:val="24"/>
        </w:rPr>
        <w:t>餐厨垃圾收终端处置监管子系统实现餐厨垃圾处置运行状况的在线监管及预警管理功能，保证市场化运行的餐厨场精确核算及无害化处置，具体包括：实时计量管理、统计报表管理、运行工况监管、关键点视频监控、排放物管理、产物监管等功能。</w:t>
      </w:r>
    </w:p>
    <w:p w14:paraId="52A88376">
      <w:pPr>
        <w:spacing w:line="276" w:lineRule="auto"/>
        <w:ind w:firstLine="480"/>
        <w:rPr>
          <w:rFonts w:hint="eastAsia" w:ascii="宋体" w:hAnsi="宋体" w:eastAsia="宋体"/>
          <w:sz w:val="24"/>
          <w:szCs w:val="24"/>
        </w:rPr>
      </w:pPr>
      <w:r>
        <w:rPr>
          <w:rFonts w:ascii="宋体" w:hAnsi="宋体" w:eastAsia="宋体"/>
          <w:sz w:val="24"/>
          <w:szCs w:val="24"/>
        </w:rPr>
        <w:t>a.实时计量管理</w:t>
      </w:r>
    </w:p>
    <w:p w14:paraId="30B58D3D">
      <w:pPr>
        <w:spacing w:line="276" w:lineRule="auto"/>
        <w:ind w:firstLine="480"/>
        <w:rPr>
          <w:rFonts w:hint="eastAsia" w:ascii="宋体" w:hAnsi="宋体" w:eastAsia="宋体"/>
          <w:sz w:val="24"/>
          <w:szCs w:val="24"/>
        </w:rPr>
      </w:pPr>
      <w:r>
        <w:rPr>
          <w:rFonts w:hint="eastAsia" w:ascii="宋体" w:hAnsi="宋体" w:eastAsia="宋体"/>
          <w:sz w:val="24"/>
          <w:szCs w:val="24"/>
        </w:rPr>
        <w:t>实时计量数据通过对接终端地磅和车辆识别系统，智能生成对收运车辆进厂、过磅数据的实时记录，包括车辆基本信息、车辆过磅数据（净重、毛重）、车辆称重数据等，改变传统人工记录的方式数据采集和管理方式，减少人力物力，提高计量工作的及时性与准确性，确保数据的真实性，辅助终端补贴精准核拨。</w:t>
      </w:r>
    </w:p>
    <w:p w14:paraId="158E0EBF">
      <w:pPr>
        <w:spacing w:line="276" w:lineRule="auto"/>
        <w:ind w:firstLine="480"/>
        <w:rPr>
          <w:rFonts w:hint="eastAsia" w:ascii="宋体" w:hAnsi="宋体" w:eastAsia="宋体"/>
          <w:sz w:val="24"/>
          <w:szCs w:val="24"/>
        </w:rPr>
      </w:pPr>
      <w:r>
        <w:rPr>
          <w:rFonts w:ascii="宋体" w:hAnsi="宋体" w:eastAsia="宋体"/>
          <w:sz w:val="24"/>
          <w:szCs w:val="24"/>
        </w:rPr>
        <w:t>运输垃圾类型数据库：计量系统包括所有的进场、出场的垃圾类型，方便计量识别；</w:t>
      </w:r>
    </w:p>
    <w:p w14:paraId="4F84BADC">
      <w:pPr>
        <w:spacing w:line="276" w:lineRule="auto"/>
        <w:ind w:firstLine="480"/>
        <w:rPr>
          <w:rFonts w:hint="eastAsia" w:ascii="宋体" w:hAnsi="宋体" w:eastAsia="宋体"/>
          <w:sz w:val="24"/>
          <w:szCs w:val="24"/>
        </w:rPr>
      </w:pPr>
      <w:r>
        <w:rPr>
          <w:rFonts w:ascii="宋体" w:hAnsi="宋体" w:eastAsia="宋体"/>
          <w:sz w:val="24"/>
          <w:szCs w:val="24"/>
        </w:rPr>
        <w:t>进场量监管：</w:t>
      </w:r>
      <w:r>
        <w:rPr>
          <w:rFonts w:hint="eastAsia" w:ascii="宋体" w:hAnsi="宋体" w:eastAsia="宋体"/>
          <w:sz w:val="24"/>
          <w:szCs w:val="24"/>
        </w:rPr>
        <w:t>通过对接</w:t>
      </w:r>
      <w:r>
        <w:rPr>
          <w:rFonts w:ascii="宋体" w:hAnsi="宋体" w:eastAsia="宋体"/>
          <w:sz w:val="24"/>
          <w:szCs w:val="24"/>
        </w:rPr>
        <w:t>餐厨处置场</w:t>
      </w:r>
      <w:r>
        <w:rPr>
          <w:rFonts w:hint="eastAsia" w:ascii="宋体" w:hAnsi="宋体" w:eastAsia="宋体"/>
          <w:sz w:val="24"/>
          <w:szCs w:val="24"/>
        </w:rPr>
        <w:t>已有</w:t>
      </w:r>
      <w:r>
        <w:rPr>
          <w:rFonts w:ascii="宋体" w:hAnsi="宋体" w:eastAsia="宋体"/>
          <w:sz w:val="24"/>
          <w:szCs w:val="24"/>
        </w:rPr>
        <w:t>智能称重系统，进场餐厨垃圾车辆RFID卡识别、自动称重、车身抓拍、上报模式，保证监管单位实时、精确地掌控进场量和处置量数据。各产生单位收运量总和与抵达处置点称重数量不匹配时自动报警，有效防止收运过程掺水；</w:t>
      </w:r>
    </w:p>
    <w:p w14:paraId="5EE47D5E">
      <w:pPr>
        <w:spacing w:line="276" w:lineRule="auto"/>
        <w:ind w:firstLine="480"/>
        <w:rPr>
          <w:rFonts w:hint="eastAsia" w:ascii="宋体" w:hAnsi="宋体" w:eastAsia="宋体"/>
          <w:sz w:val="24"/>
          <w:szCs w:val="24"/>
        </w:rPr>
      </w:pPr>
      <w:r>
        <w:rPr>
          <w:rFonts w:ascii="宋体" w:hAnsi="宋体" w:eastAsia="宋体"/>
          <w:sz w:val="24"/>
          <w:szCs w:val="24"/>
        </w:rPr>
        <w:t>偏差预警：车辆进场计量数据与收集总量进行比对（收集总量为车辆上一次进入终端至本次进入终端的收集总量），将比对结果进行误差量评判，若出现阈值范围的进行预警，系统中进行提示，监管人员调取收运记录与收运视频。</w:t>
      </w:r>
    </w:p>
    <w:p w14:paraId="56AF2AB7">
      <w:pPr>
        <w:spacing w:line="276" w:lineRule="auto"/>
        <w:ind w:firstLine="480"/>
        <w:rPr>
          <w:rFonts w:hint="eastAsia" w:ascii="宋体" w:hAnsi="宋体" w:eastAsia="宋体"/>
          <w:sz w:val="24"/>
          <w:szCs w:val="24"/>
        </w:rPr>
      </w:pPr>
      <w:r>
        <w:rPr>
          <w:rFonts w:ascii="宋体" w:hAnsi="宋体" w:eastAsia="宋体"/>
          <w:sz w:val="24"/>
          <w:szCs w:val="24"/>
        </w:rPr>
        <w:t>出厂计量监管：餐厨场有大量的产物或者排放物需要运出厂，出厂进行计量，实现出厂物的计量管理。</w:t>
      </w:r>
    </w:p>
    <w:p w14:paraId="341D3610">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统计报表管理</w:t>
      </w:r>
    </w:p>
    <w:p w14:paraId="2E132529">
      <w:pPr>
        <w:spacing w:line="276" w:lineRule="auto"/>
        <w:ind w:firstLine="480"/>
        <w:rPr>
          <w:rFonts w:hint="eastAsia" w:ascii="宋体" w:hAnsi="宋体" w:eastAsia="宋体"/>
          <w:sz w:val="24"/>
          <w:szCs w:val="24"/>
        </w:rPr>
      </w:pPr>
      <w:r>
        <w:rPr>
          <w:rFonts w:hint="eastAsia" w:ascii="宋体" w:hAnsi="宋体" w:eastAsia="宋体"/>
          <w:sz w:val="24"/>
          <w:szCs w:val="24"/>
        </w:rPr>
        <w:t>统计报表管理是从时间、区域等维度对餐厨垃圾处理厂的进出厂数据汇总整理成报表，并运用可视化工具对各个维度的数据进行展示和对比，支持报表数据的自定义筛选，并可根据监管部门的数据上报规范进行格式设置，自动统计数据，简化数据整理工作。</w:t>
      </w:r>
    </w:p>
    <w:p w14:paraId="076DEC56">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进厂处置报表：汇总各终端的每日进厂车次和称重数据，从行政片区、进厂时间等维度对进场称重、计量数据进行统计展示，生成日、月、年度以及自定义时间段汇总报表，并支持在线导出打印；</w:t>
      </w:r>
    </w:p>
    <w:p w14:paraId="7768B7F3">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数据综合展示：通过进厂日历和可视化图对餐厨终端的进厂车次、当日进厂总量数据进行直观展示，可生成进厂数据的趋势图，辅助管理人员对终端处理能力进行合理预估。</w:t>
      </w:r>
    </w:p>
    <w:p w14:paraId="116F8B65">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区域产量报表：从车辆绑定收运路线所属行政区划，以及各个餐厨处置厂的服务范围进行数据汇总，分析各个片区的收运企业数量以及餐厨垃圾产量，便于管理人员平衡各个终端负荷情况。</w:t>
      </w:r>
    </w:p>
    <w:p w14:paraId="29B74B79">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运行工况监管</w:t>
      </w:r>
    </w:p>
    <w:p w14:paraId="2AEA5F6C">
      <w:pPr>
        <w:pStyle w:val="35"/>
        <w:spacing w:before="124" w:after="124" w:line="276" w:lineRule="auto"/>
        <w:ind w:firstLine="480"/>
        <w:rPr>
          <w:rFonts w:hint="eastAsia" w:ascii="宋体" w:hAnsi="宋体"/>
          <w:sz w:val="24"/>
          <w:szCs w:val="24"/>
        </w:rPr>
      </w:pPr>
      <w:r>
        <w:rPr>
          <w:rFonts w:hint="eastAsia" w:ascii="宋体" w:hAnsi="宋体"/>
          <w:sz w:val="24"/>
          <w:szCs w:val="24"/>
        </w:rPr>
        <w:t>通过对餐厨厂工控机数据的对接，系统自动采集餐厨垃圾处理工况运行参数及污染物产生过程参数，对餐厨油脂分离、发酵、破碎、饲料化过程中进行实时监控、分析和预警。监控内容主要包括：餐厨污水处理温度、液位、沼气压力炉温；泔水处理机运转频率、电流；地沟油处理分离机运行频率、实时电流；发电处理运行状态；锅炉炉温、压力、蒸汽压力等，具体接入数据类型根据主管单位要求进行接入。在系统中模拟餐厨厂污水处理、泔水处理、地沟油处理、锅炉组态等处理工艺，实时展示关键数据，当发生实时监测数据超出预设的报警阈值，自动以高亮的形式进行实时展现，同时将该异常记录计入工况异常记录。</w:t>
      </w:r>
    </w:p>
    <w:p w14:paraId="340A8F78">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.关键点视频监控</w:t>
      </w:r>
    </w:p>
    <w:p w14:paraId="61E7B4F7">
      <w:pPr>
        <w:spacing w:line="276" w:lineRule="auto"/>
        <w:ind w:firstLine="480"/>
        <w:rPr>
          <w:rFonts w:hint="eastAsia" w:ascii="宋体" w:hAnsi="宋体" w:eastAsia="宋体"/>
          <w:sz w:val="24"/>
          <w:szCs w:val="24"/>
        </w:rPr>
      </w:pPr>
      <w:r>
        <w:rPr>
          <w:rFonts w:hint="eastAsia" w:ascii="宋体" w:hAnsi="宋体" w:eastAsia="宋体"/>
          <w:sz w:val="24"/>
          <w:szCs w:val="24"/>
        </w:rPr>
        <w:t>接入餐厨处置场关键点位视频监控，基于视频平台，实现监管部门对现场状况的远程在线监控</w:t>
      </w:r>
      <w:r>
        <w:rPr>
          <w:rFonts w:ascii="宋体" w:hAnsi="宋体" w:eastAsia="宋体"/>
          <w:sz w:val="24"/>
          <w:szCs w:val="24"/>
        </w:rPr>
        <w:t>,系统提供导出录像功能，可把重要的录像文件，按录像类型、日期时间、摄像机编号、摄像机名称等条件导出，转储（备份）到硬盘、光盘等储存介质，通过文件播放器回放。</w:t>
      </w:r>
    </w:p>
    <w:p w14:paraId="554F3DF6">
      <w:pPr>
        <w:spacing w:line="276" w:lineRule="auto"/>
        <w:ind w:firstLine="480"/>
        <w:rPr>
          <w:rFonts w:hint="eastAsia" w:ascii="宋体" w:hAnsi="宋体" w:eastAsia="宋体"/>
          <w:sz w:val="24"/>
          <w:szCs w:val="24"/>
        </w:rPr>
      </w:pPr>
      <w:r>
        <w:rPr>
          <w:rFonts w:ascii="宋体" w:hAnsi="宋体" w:eastAsia="宋体"/>
          <w:sz w:val="24"/>
          <w:szCs w:val="24"/>
        </w:rPr>
        <w:t>关键监控点包括进出场口、卸料区、场区、产物出口、污染物排放口等；</w:t>
      </w:r>
    </w:p>
    <w:p w14:paraId="3301EDDD">
      <w:pPr>
        <w:spacing w:line="276" w:lineRule="auto"/>
        <w:ind w:firstLine="480"/>
        <w:rPr>
          <w:rFonts w:hint="eastAsia" w:ascii="宋体" w:hAnsi="宋体" w:eastAsia="宋体"/>
          <w:sz w:val="24"/>
          <w:szCs w:val="24"/>
        </w:rPr>
      </w:pPr>
      <w:r>
        <w:rPr>
          <w:rFonts w:ascii="宋体" w:hAnsi="宋体" w:eastAsia="宋体"/>
          <w:sz w:val="24"/>
          <w:szCs w:val="24"/>
        </w:rPr>
        <w:t>视频系统支持远程实时查看，同时也支持历史回看，方便事故调查。</w:t>
      </w:r>
    </w:p>
    <w:p w14:paraId="36050C28">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排放物管理</w:t>
      </w:r>
    </w:p>
    <w:p w14:paraId="62CF88B0">
      <w:pPr>
        <w:pStyle w:val="35"/>
        <w:spacing w:before="124" w:after="124" w:line="276" w:lineRule="auto"/>
        <w:ind w:firstLine="480"/>
        <w:rPr>
          <w:rFonts w:hint="eastAsia" w:ascii="宋体" w:hAnsi="宋体"/>
          <w:sz w:val="24"/>
          <w:szCs w:val="24"/>
        </w:rPr>
      </w:pPr>
      <w:r>
        <w:rPr>
          <w:rFonts w:hint="eastAsia" w:ascii="宋体" w:hAnsi="宋体"/>
          <w:sz w:val="24"/>
          <w:szCs w:val="24"/>
        </w:rPr>
        <w:t>通过接入餐厨厂处置污染物排放点安装的智能监测设备，通过智能网络设备，实现污染物排放指标的在线监测及超阈值的在线报警。污染物监管包括两个部分：一是对污染物质的监管，二是量的监管。</w:t>
      </w:r>
    </w:p>
    <w:p w14:paraId="055CDCD7">
      <w:pPr>
        <w:spacing w:line="276" w:lineRule="auto"/>
        <w:ind w:firstLine="480"/>
        <w:rPr>
          <w:rFonts w:hint="eastAsia" w:ascii="宋体" w:hAnsi="宋体" w:eastAsia="宋体"/>
          <w:sz w:val="24"/>
          <w:szCs w:val="24"/>
        </w:rPr>
      </w:pPr>
      <w:r>
        <w:rPr>
          <w:rFonts w:ascii="宋体" w:hAnsi="宋体" w:eastAsia="宋体"/>
          <w:sz w:val="24"/>
          <w:szCs w:val="24"/>
        </w:rPr>
        <w:t>污染物质的监管：对餐厨处置废弃物如废水、废气、废渣、COD、二氧化碳等成分进行监测并自动传输到平台，系统自动生成各种污染物成分列表。</w:t>
      </w:r>
    </w:p>
    <w:p w14:paraId="211F13BF">
      <w:pPr>
        <w:spacing w:line="276" w:lineRule="auto"/>
        <w:ind w:firstLine="480"/>
        <w:rPr>
          <w:rFonts w:hint="eastAsia" w:ascii="宋体" w:hAnsi="宋体" w:eastAsia="宋体"/>
          <w:sz w:val="24"/>
          <w:szCs w:val="24"/>
        </w:rPr>
      </w:pPr>
      <w:r>
        <w:rPr>
          <w:rFonts w:ascii="宋体" w:hAnsi="宋体" w:eastAsia="宋体"/>
          <w:sz w:val="24"/>
          <w:szCs w:val="24"/>
        </w:rPr>
        <w:t>污染物量的监管：对餐厨废弃物处理污染物的废物排放量进行计量检测，包括废水流量、废渣量等，与系统设置的排放指标阈值形成对比，超出阈值，系统进行预警。</w:t>
      </w:r>
    </w:p>
    <w:p w14:paraId="78796D59">
      <w:pPr>
        <w:spacing w:line="276" w:lineRule="auto"/>
        <w:ind w:firstLine="480"/>
        <w:rPr>
          <w:rFonts w:hint="eastAsia" w:ascii="宋体" w:hAnsi="宋体" w:eastAsia="宋体"/>
          <w:sz w:val="24"/>
          <w:szCs w:val="24"/>
        </w:rPr>
      </w:pPr>
      <w:r>
        <w:rPr>
          <w:rFonts w:ascii="宋体" w:hAnsi="宋体" w:eastAsia="宋体"/>
          <w:sz w:val="24"/>
          <w:szCs w:val="24"/>
        </w:rPr>
        <w:t>出厂排放物计量监管：运输出厂排放物车辆进行计量管理，运用地磅出厂计量系统统计，在排放物可直观查看所有排放物出厂情况。</w:t>
      </w:r>
    </w:p>
    <w:p w14:paraId="56854EF0">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产物监管</w:t>
      </w:r>
    </w:p>
    <w:p w14:paraId="59C514F2">
      <w:pPr>
        <w:spacing w:line="276" w:lineRule="auto"/>
        <w:ind w:firstLine="480"/>
        <w:rPr>
          <w:rFonts w:hint="eastAsia" w:ascii="宋体" w:hAnsi="宋体" w:eastAsia="宋体"/>
          <w:sz w:val="24"/>
          <w:szCs w:val="24"/>
        </w:rPr>
      </w:pPr>
      <w:r>
        <w:rPr>
          <w:rFonts w:hint="eastAsia" w:ascii="宋体" w:hAnsi="宋体" w:eastAsia="宋体"/>
          <w:sz w:val="24"/>
          <w:szCs w:val="24"/>
        </w:rPr>
        <w:t>产物监管实现餐厨场产物数据的数字化管理，餐厨垃圾的产物主要有油脂、堆肥和沼气，系统主要对沼气量数据、生物柴油提炼数据、堆肥重量等进行精细化管理和自动化汇总，辅助政府决策。</w:t>
      </w:r>
    </w:p>
    <w:p w14:paraId="7B2210B1">
      <w:pPr>
        <w:spacing w:line="276" w:lineRule="auto"/>
        <w:ind w:firstLine="480"/>
        <w:rPr>
          <w:rFonts w:hint="eastAsia" w:ascii="宋体" w:hAnsi="宋体" w:eastAsia="宋体"/>
          <w:sz w:val="24"/>
          <w:szCs w:val="24"/>
        </w:rPr>
      </w:pPr>
      <w:r>
        <w:rPr>
          <w:rFonts w:ascii="宋体" w:hAnsi="宋体" w:eastAsia="宋体"/>
          <w:sz w:val="24"/>
          <w:szCs w:val="24"/>
        </w:rPr>
        <w:t>产物计量监管：一是运用地磅计量系统，车辆出场刷卡，识别出场物质类型，称重数据同步上传；二是现场采集数据，如沼气量，通过现场安装沼气探测仪，实时采集沼气浓度与体量，系统进行汇总统计；</w:t>
      </w:r>
    </w:p>
    <w:p w14:paraId="3A567E57">
      <w:pPr>
        <w:spacing w:line="276" w:lineRule="auto"/>
        <w:ind w:firstLine="480"/>
        <w:rPr>
          <w:rFonts w:hint="eastAsia" w:ascii="宋体" w:hAnsi="宋体" w:eastAsia="宋体"/>
          <w:sz w:val="24"/>
          <w:szCs w:val="24"/>
        </w:rPr>
      </w:pPr>
      <w:r>
        <w:rPr>
          <w:rFonts w:ascii="宋体" w:hAnsi="宋体" w:eastAsia="宋体"/>
          <w:sz w:val="24"/>
          <w:szCs w:val="24"/>
        </w:rPr>
        <w:t>产物去向登记：产物去向由地磅房管理人员进行输入上传，系统联动管理，运输轨迹可查询取证；</w:t>
      </w:r>
    </w:p>
    <w:p w14:paraId="45217319">
      <w:pPr>
        <w:pStyle w:val="14"/>
        <w:rPr>
          <w:rFonts w:hint="eastAsia"/>
          <w:bCs w:val="0"/>
        </w:rPr>
      </w:pPr>
      <w:r>
        <w:rPr>
          <w:rFonts w:hint="eastAsia"/>
        </w:rPr>
        <w:t>数据</w:t>
      </w:r>
      <w:r>
        <w:rPr>
          <w:bCs w:val="0"/>
        </w:rPr>
        <w:t>智慧应用子系统</w:t>
      </w:r>
    </w:p>
    <w:p w14:paraId="1558A46E">
      <w:pPr>
        <w:spacing w:line="276" w:lineRule="auto"/>
        <w:ind w:firstLine="480"/>
        <w:rPr>
          <w:rFonts w:hint="eastAsia" w:ascii="宋体" w:hAnsi="宋体" w:eastAsia="宋体"/>
          <w:sz w:val="24"/>
          <w:szCs w:val="24"/>
        </w:rPr>
      </w:pPr>
      <w:r>
        <w:rPr>
          <w:rFonts w:hint="eastAsia" w:ascii="宋体" w:hAnsi="宋体" w:eastAsia="宋体"/>
          <w:sz w:val="24"/>
          <w:szCs w:val="24"/>
        </w:rPr>
        <w:t>数据智慧应用系统基于餐厨垃圾从源头产生、收运到终端处置的全链条数据进行数据汇总和分析，建立数据指挥驾驶舱，包括数据展示指挥中心、应急调度综合管理、数据汇总分析管理等关键模块，数据展示指挥中心基于</w:t>
      </w:r>
      <w:r>
        <w:rPr>
          <w:rFonts w:ascii="宋体" w:hAnsi="宋体" w:eastAsia="宋体"/>
          <w:sz w:val="24"/>
          <w:szCs w:val="24"/>
        </w:rPr>
        <w:t>GIS地图和数据看板，实现餐厨关键数据的可视化监管；应急调度综合管理依托餐厨垃圾管理业务数据和需求反馈对收运</w:t>
      </w:r>
      <w:r>
        <w:rPr>
          <w:rFonts w:hint="eastAsia" w:ascii="宋体" w:hAnsi="宋体" w:eastAsia="宋体"/>
          <w:sz w:val="24"/>
          <w:szCs w:val="24"/>
        </w:rPr>
        <w:t xml:space="preserve"> </w:t>
      </w:r>
      <w:r>
        <w:rPr>
          <w:rFonts w:ascii="宋体" w:hAnsi="宋体" w:eastAsia="宋体"/>
          <w:sz w:val="24"/>
          <w:szCs w:val="24"/>
        </w:rPr>
        <w:t>车辆、收运人员、处置终端等资源进行智慧规划和调度，保障餐厨垃圾管理业务的高效稳定运行；数据汇总分析管理对前序业务板块数据突破流程壁垒，从业务全局的高度对收运处以及产生单位的进行数据分析，提炼数据特点，总结收运业</w:t>
      </w:r>
      <w:r>
        <w:rPr>
          <w:rFonts w:hint="eastAsia" w:ascii="宋体" w:hAnsi="宋体" w:eastAsia="宋体"/>
          <w:sz w:val="24"/>
          <w:szCs w:val="24"/>
        </w:rPr>
        <w:t>务的一般规律，如产生单位规模和收运车辆之间的匹配模型、处置终端辐射范围模型等，增强监管部门大数据分析的能力，真正实现数字赋能。</w:t>
      </w:r>
    </w:p>
    <w:p w14:paraId="555C3E1D">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智慧餐厨地图管理</w:t>
      </w:r>
    </w:p>
    <w:p w14:paraId="33E8021F">
      <w:pPr>
        <w:spacing w:line="276" w:lineRule="auto"/>
        <w:ind w:firstLine="480"/>
        <w:rPr>
          <w:rFonts w:hint="eastAsia" w:ascii="宋体" w:hAnsi="宋体" w:eastAsia="宋体"/>
          <w:sz w:val="24"/>
          <w:szCs w:val="24"/>
        </w:rPr>
      </w:pPr>
      <w:r>
        <w:rPr>
          <w:rFonts w:hint="eastAsia" w:ascii="宋体" w:hAnsi="宋体" w:eastAsia="宋体"/>
          <w:sz w:val="24"/>
          <w:szCs w:val="24"/>
        </w:rPr>
        <w:t>餐厨垃圾管理一张图是运用图层技术将餐厨垃圾监管平台所涉及的监管环节的基本静态数据和动态数据进行可视化呈现，静态数据展示监管对象的属性信息；动态数据管理主要通过</w:t>
      </w:r>
      <w:r>
        <w:rPr>
          <w:rFonts w:ascii="宋体" w:hAnsi="宋体" w:eastAsia="宋体"/>
          <w:sz w:val="24"/>
          <w:szCs w:val="24"/>
        </w:rPr>
        <w:t>GIS地图实时展示产生点、收运车辆、终端处置场的动态数据信息。动态静态信息联动展示，以实时收运车辆为基础管理单位，展示餐饮企业、称重数据、车辆轨迹、作业完成进度等信息，运用热力图对比各区域餐厨垃圾产生量，并对各片区的餐厨垃圾流向进行动态模拟展示，实现餐厨垃圾收运业务数据的一张图全面管理。</w:t>
      </w:r>
    </w:p>
    <w:p w14:paraId="4AC342A7">
      <w:pPr>
        <w:spacing w:line="276" w:lineRule="auto"/>
        <w:ind w:firstLine="480"/>
        <w:rPr>
          <w:rFonts w:hint="eastAsia" w:ascii="宋体" w:hAnsi="宋体" w:eastAsia="宋体"/>
          <w:sz w:val="24"/>
          <w:szCs w:val="24"/>
        </w:rPr>
      </w:pPr>
      <w:r>
        <w:rPr>
          <w:rFonts w:ascii="宋体" w:hAnsi="宋体" w:eastAsia="宋体"/>
          <w:sz w:val="24"/>
          <w:szCs w:val="24"/>
        </w:rPr>
        <w:t>静态信息展示：将产生单位、收集容器、收运单位、处置单位等静态监管对象在地图上进行属性展示。如结合产生单位的详细信息和GIS地图，将餐饮企业直观的展示给操作者，操作者可以一目了然的知道产生单位的分布信息，并可以通过地理位置快速的找到想要查看的产生单位并查看相应信息。</w:t>
      </w:r>
    </w:p>
    <w:p w14:paraId="3C05E7BD">
      <w:pPr>
        <w:spacing w:line="276" w:lineRule="auto"/>
        <w:ind w:firstLine="480"/>
        <w:rPr>
          <w:rFonts w:hint="eastAsia" w:ascii="宋体" w:hAnsi="宋体" w:eastAsia="宋体"/>
          <w:sz w:val="24"/>
          <w:szCs w:val="24"/>
        </w:rPr>
      </w:pPr>
      <w:r>
        <w:rPr>
          <w:rFonts w:ascii="宋体" w:hAnsi="宋体" w:eastAsia="宋体"/>
          <w:sz w:val="24"/>
          <w:szCs w:val="24"/>
        </w:rPr>
        <w:t>动态数据展示：包括产生单位实时收集量、终端运行数据与环保数据；展示中心建立选择树，管理人员根据需求查看相关数据。通过地图，监管人员可以集中查询餐饮企业实时产生量、车辆收运情况，终端收运量等，便于统计与调度。</w:t>
      </w:r>
    </w:p>
    <w:p w14:paraId="76E8B6A5">
      <w:pPr>
        <w:spacing w:line="276" w:lineRule="auto"/>
        <w:ind w:firstLine="480"/>
        <w:rPr>
          <w:rFonts w:hint="eastAsia" w:ascii="宋体" w:hAnsi="宋体" w:eastAsia="宋体"/>
          <w:sz w:val="24"/>
          <w:szCs w:val="24"/>
        </w:rPr>
      </w:pPr>
      <w:r>
        <w:rPr>
          <w:rFonts w:ascii="宋体" w:hAnsi="宋体" w:eastAsia="宋体"/>
          <w:sz w:val="24"/>
          <w:szCs w:val="24"/>
        </w:rPr>
        <w:t>餐饮企业GIS展示：运用图层技术在地图上显示各产生单位的图标信息，用不同的颜色表示不同的收集状态，显示餐饮企业的基本信息，包括餐饮企业名称、地点、收集情况、日产生量等，同时可穿透查看企业收集时视频或者是图片。配之汇总列表，企业总数中已收数量、总产生量。</w:t>
      </w:r>
    </w:p>
    <w:p w14:paraId="6A9D4547">
      <w:pPr>
        <w:spacing w:line="276" w:lineRule="auto"/>
        <w:ind w:firstLine="480"/>
        <w:rPr>
          <w:rFonts w:hint="eastAsia" w:ascii="宋体" w:hAnsi="宋体" w:eastAsia="宋体"/>
          <w:sz w:val="24"/>
          <w:szCs w:val="24"/>
        </w:rPr>
      </w:pPr>
      <w:r>
        <w:rPr>
          <w:rFonts w:ascii="宋体" w:hAnsi="宋体" w:eastAsia="宋体"/>
          <w:sz w:val="24"/>
          <w:szCs w:val="24"/>
        </w:rPr>
        <w:t>收运车辆GIS管理：点击某辆车，显示其当天已经收运的餐饮企业路线和规划的收运路线，收运路线要有箭头，用不同的颜色表示路线、餐饮企业的状态、收集点称重数据。一目了然地了解哪些餐饮企业已经收集，哪些尚未收集，收运路线是否有偏差等。显示所有车辆的运行状态，是在线还是离线等。</w:t>
      </w:r>
    </w:p>
    <w:p w14:paraId="757AB087">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处置终端GIS管理：地图上显示终端处置场的基本信息，点击后进入处置场二维模拟设计，每一个关键环节的监管数据实时更新，如地磅房的计量数据、关键点的监控数据、烟气排放实时监控数据等。</w:t>
      </w:r>
    </w:p>
    <w:p w14:paraId="0C9400F6">
      <w:pPr>
        <w:spacing w:line="276" w:lineRule="auto"/>
        <w:ind w:firstLine="480"/>
        <w:rPr>
          <w:rFonts w:hint="eastAsia" w:ascii="宋体" w:hAnsi="宋体" w:eastAsia="宋体"/>
          <w:sz w:val="24"/>
          <w:szCs w:val="24"/>
        </w:rPr>
      </w:pPr>
      <w:r>
        <w:rPr>
          <w:rFonts w:ascii="宋体" w:hAnsi="宋体" w:eastAsia="宋体"/>
          <w:sz w:val="24"/>
          <w:szCs w:val="24"/>
        </w:rPr>
        <w:t>报警信息：在一张图界面实时展示各种类型的报警信息，不同权限的人员看到的报警信息不同，提醒监管人员及时处理预警信息。</w:t>
      </w:r>
    </w:p>
    <w:p w14:paraId="18F28C2F">
      <w:pPr>
        <w:spacing w:line="276" w:lineRule="auto"/>
        <w:ind w:firstLine="480"/>
        <w:rPr>
          <w:rFonts w:hint="eastAsia" w:ascii="宋体" w:hAnsi="宋体" w:eastAsia="宋体"/>
          <w:sz w:val="24"/>
          <w:szCs w:val="24"/>
        </w:rPr>
      </w:pPr>
      <w:r>
        <w:rPr>
          <w:rFonts w:ascii="宋体" w:hAnsi="宋体" w:eastAsia="宋体"/>
          <w:sz w:val="24"/>
          <w:szCs w:val="24"/>
        </w:rPr>
        <w:t>餐厨垃圾排放热力图：利用不同颜色、深度表示垃圾收运量的多少，实现所有餐饮企业的热力渲染图，让监管人员和社会公众对整个城市餐厨垃圾排放区域有直观了解。</w:t>
      </w:r>
    </w:p>
    <w:p w14:paraId="4B6E6C77">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餐厨垃圾流向图：系统通过对整个城市餐厨企业分布进行分析，划定多个餐饮企业聚集区，实现餐饮企业聚集区到终端处置厂的垃圾流向展示，方便监管人员和社会公众对垃圾流向有直观了解；</w:t>
      </w:r>
    </w:p>
    <w:p w14:paraId="3A2CBC4C">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汇总统计管理</w:t>
      </w:r>
    </w:p>
    <w:p w14:paraId="29D63518">
      <w:pPr>
        <w:spacing w:line="276" w:lineRule="auto"/>
        <w:ind w:firstLine="480"/>
        <w:rPr>
          <w:rFonts w:hint="eastAsia" w:ascii="宋体" w:hAnsi="宋体" w:eastAsia="宋体"/>
          <w:sz w:val="24"/>
          <w:szCs w:val="24"/>
        </w:rPr>
      </w:pPr>
      <w:r>
        <w:rPr>
          <w:rFonts w:hint="eastAsia" w:ascii="宋体" w:hAnsi="宋体" w:eastAsia="宋体"/>
          <w:sz w:val="24"/>
          <w:szCs w:val="24"/>
        </w:rPr>
        <w:t>汇总统计管理实现餐厨垃圾全过程业务数据的快速汇总及自定义汇总功能，具体包括收集量汇总管理、处置量汇总管理、产物汇总管理、超标汇总管理及预警信息汇总管理。</w:t>
      </w:r>
    </w:p>
    <w:p w14:paraId="19284445">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产生分析：产生汇总报表为各区垃圾产生量汇总统计；报表明细展示各区餐饮企业垃圾产生量；实现餐饮企业数量、产生量变化趋势；亦可以实现单家企业产生量的变化趋势。根据餐饮企业申报量、企业规模、历史收运量等数据建立预测模型，实现对餐饮企业的评估，以计分形式提现餐饮企业的餐厨垃圾收集情况。</w:t>
      </w:r>
    </w:p>
    <w:p w14:paraId="5506C35D">
      <w:pPr>
        <w:spacing w:line="276" w:lineRule="auto"/>
        <w:ind w:firstLine="480"/>
        <w:rPr>
          <w:rFonts w:hint="eastAsia" w:ascii="宋体" w:hAnsi="宋体" w:eastAsia="宋体"/>
          <w:sz w:val="24"/>
          <w:szCs w:val="24"/>
        </w:rPr>
      </w:pPr>
      <w:r>
        <w:rPr>
          <w:rFonts w:ascii="宋体" w:hAnsi="宋体" w:eastAsia="宋体"/>
          <w:sz w:val="24"/>
          <w:szCs w:val="24"/>
        </w:rPr>
        <w:t>收运分析：一是车辆的收集量分析，二是车辆的作业量分析。收集量为每辆车每日收集餐饮企业点明细；作业量分析为车辆作业规定进入收集两次，实际收集次数分析。</w:t>
      </w:r>
    </w:p>
    <w:p w14:paraId="34615874">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处置分析：处置分析包括计量分析与产物分析。计量分析以各区为管理单元，实现各区进入终端的量汇总统计；产物产量汇总统计分析。</w:t>
      </w:r>
    </w:p>
    <w:p w14:paraId="2ED96FE2">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数据对比管理</w:t>
      </w:r>
    </w:p>
    <w:p w14:paraId="0CCAEF05">
      <w:pPr>
        <w:spacing w:line="276" w:lineRule="auto"/>
        <w:ind w:firstLine="480"/>
        <w:rPr>
          <w:rFonts w:hint="eastAsia" w:ascii="宋体" w:hAnsi="宋体" w:eastAsia="宋体"/>
          <w:sz w:val="24"/>
          <w:szCs w:val="24"/>
        </w:rPr>
      </w:pPr>
      <w:r>
        <w:rPr>
          <w:rFonts w:hint="eastAsia" w:ascii="宋体" w:hAnsi="宋体" w:eastAsia="宋体"/>
          <w:sz w:val="24"/>
          <w:szCs w:val="24"/>
        </w:rPr>
        <w:t>鉴于餐厨垃圾源头倒卖“地沟油”等行为的严重性，系统建立数据对比功能，分别是企业预计产出量和实际收集量、收运量和实际进场量，对相差超出预设值的收运车辆进行报警。主要包括：企业理论产量与收集量比对、企业之间收集量比对、车辆收运量与进厂量比对、车辆之间收运比对、区域对比、趋势对比等。</w:t>
      </w:r>
    </w:p>
    <w:p w14:paraId="42C1AB5E">
      <w:pPr>
        <w:spacing w:line="276" w:lineRule="auto"/>
        <w:ind w:firstLine="480"/>
        <w:rPr>
          <w:rFonts w:hint="eastAsia" w:ascii="宋体" w:hAnsi="宋体" w:eastAsia="宋体"/>
          <w:sz w:val="24"/>
          <w:szCs w:val="24"/>
        </w:rPr>
      </w:pPr>
      <w:r>
        <w:rPr>
          <w:rFonts w:ascii="宋体" w:hAnsi="宋体" w:eastAsia="宋体"/>
          <w:sz w:val="24"/>
          <w:szCs w:val="24"/>
        </w:rPr>
        <w:t>企业理论产量与收集量比对:企业自身理论产生量与实际收集量的比对，出现偏差较大的实现预警；</w:t>
      </w:r>
    </w:p>
    <w:p w14:paraId="1920EBD4">
      <w:pPr>
        <w:spacing w:line="276" w:lineRule="auto"/>
        <w:ind w:firstLine="480"/>
        <w:rPr>
          <w:rFonts w:hint="eastAsia" w:ascii="宋体" w:hAnsi="宋体" w:eastAsia="宋体"/>
          <w:sz w:val="24"/>
          <w:szCs w:val="24"/>
        </w:rPr>
      </w:pPr>
      <w:r>
        <w:rPr>
          <w:rFonts w:ascii="宋体" w:hAnsi="宋体" w:eastAsia="宋体"/>
          <w:sz w:val="24"/>
          <w:szCs w:val="24"/>
        </w:rPr>
        <w:t>企业收集量比对：两个同等规模的餐饮企业收集量进行比对，出现相差较大情况时进行原因深究；</w:t>
      </w:r>
    </w:p>
    <w:p w14:paraId="0DDB5462">
      <w:pPr>
        <w:spacing w:line="276" w:lineRule="auto"/>
        <w:ind w:firstLine="480"/>
        <w:rPr>
          <w:rFonts w:hint="eastAsia" w:ascii="宋体" w:hAnsi="宋体" w:eastAsia="宋体"/>
          <w:sz w:val="24"/>
          <w:szCs w:val="24"/>
        </w:rPr>
      </w:pPr>
      <w:r>
        <w:rPr>
          <w:rFonts w:ascii="宋体" w:hAnsi="宋体" w:eastAsia="宋体"/>
          <w:sz w:val="24"/>
          <w:szCs w:val="24"/>
        </w:rPr>
        <w:t>车辆收运量与进厂量比对：车辆进入终端数据与收运量汇总数据比对，计算偏差值；</w:t>
      </w:r>
    </w:p>
    <w:p w14:paraId="4680F6AC">
      <w:pPr>
        <w:spacing w:line="276" w:lineRule="auto"/>
        <w:ind w:firstLine="480"/>
        <w:rPr>
          <w:rFonts w:hint="eastAsia" w:ascii="宋体" w:hAnsi="宋体" w:eastAsia="宋体"/>
          <w:sz w:val="24"/>
          <w:szCs w:val="24"/>
        </w:rPr>
      </w:pPr>
      <w:r>
        <w:rPr>
          <w:rFonts w:ascii="宋体" w:hAnsi="宋体" w:eastAsia="宋体"/>
          <w:sz w:val="24"/>
          <w:szCs w:val="24"/>
        </w:rPr>
        <w:t>车辆收运对比：各车辆之间比对，定位至绑定轨迹上的企业，深度分析，找出问题企业；</w:t>
      </w:r>
    </w:p>
    <w:p w14:paraId="6D4C290C">
      <w:pPr>
        <w:spacing w:line="276" w:lineRule="auto"/>
        <w:ind w:firstLine="480"/>
        <w:rPr>
          <w:rFonts w:hint="eastAsia" w:ascii="宋体" w:hAnsi="宋体" w:eastAsia="宋体"/>
          <w:sz w:val="24"/>
          <w:szCs w:val="24"/>
        </w:rPr>
      </w:pPr>
      <w:r>
        <w:rPr>
          <w:rFonts w:ascii="宋体" w:hAnsi="宋体" w:eastAsia="宋体"/>
          <w:sz w:val="24"/>
          <w:szCs w:val="24"/>
        </w:rPr>
        <w:t>各区域产生量比对：实现各区域产生量比对，分析各区餐厨垃圾收运情况；</w:t>
      </w:r>
    </w:p>
    <w:p w14:paraId="4EFF93CB">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相同管理单元时间维度上的对比：一个区域或者是一辆车每个月汇总数据的比对，实现各监管对象的趋势分析。</w:t>
      </w:r>
    </w:p>
    <w:p w14:paraId="5D4DCE31">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.报警统计管理</w:t>
      </w:r>
    </w:p>
    <w:p w14:paraId="4F30FE76">
      <w:pPr>
        <w:spacing w:line="276" w:lineRule="auto"/>
        <w:ind w:firstLine="480"/>
        <w:rPr>
          <w:rFonts w:hint="eastAsia" w:ascii="宋体" w:hAnsi="宋体" w:eastAsia="宋体"/>
          <w:sz w:val="24"/>
          <w:szCs w:val="24"/>
        </w:rPr>
      </w:pPr>
      <w:r>
        <w:rPr>
          <w:rFonts w:hint="eastAsia" w:ascii="宋体" w:hAnsi="宋体" w:eastAsia="宋体"/>
          <w:sz w:val="24"/>
          <w:szCs w:val="24"/>
        </w:rPr>
        <w:t>通过地图和列表两种形式展示所有报警类型信息的分布情况，集中管理所有违规预警信息，方便及时处理。</w:t>
      </w:r>
    </w:p>
    <w:p w14:paraId="62C700D8">
      <w:pPr>
        <w:spacing w:line="276" w:lineRule="auto"/>
        <w:ind w:firstLine="480"/>
        <w:rPr>
          <w:rFonts w:hint="eastAsia" w:ascii="宋体" w:hAnsi="宋体" w:eastAsia="宋体"/>
          <w:sz w:val="24"/>
          <w:szCs w:val="24"/>
        </w:rPr>
      </w:pPr>
      <w:r>
        <w:rPr>
          <w:rFonts w:hint="eastAsia" w:ascii="宋体" w:hAnsi="宋体" w:eastAsia="宋体"/>
          <w:sz w:val="24"/>
          <w:szCs w:val="24"/>
        </w:rPr>
        <w:t>监管人员可以按照类型、时间等不同维度进行数据的统计，根据报表进行管理，例如一个月内油耗异常事件最多，可以相应得做出标准调整，制定相应的奖惩措施。</w:t>
      </w:r>
    </w:p>
    <w:p w14:paraId="310AC1D3">
      <w:pPr>
        <w:spacing w:line="276" w:lineRule="auto"/>
        <w:ind w:firstLine="480"/>
        <w:rPr>
          <w:rFonts w:hint="eastAsia" w:ascii="宋体" w:hAnsi="宋体" w:eastAsia="宋体"/>
          <w:sz w:val="24"/>
          <w:szCs w:val="24"/>
        </w:rPr>
      </w:pPr>
      <w:r>
        <w:rPr>
          <w:rFonts w:hint="eastAsia" w:ascii="宋体" w:hAnsi="宋体" w:eastAsia="宋体"/>
          <w:sz w:val="24"/>
          <w:szCs w:val="24"/>
        </w:rPr>
        <w:t>报警类型包括以下：</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835"/>
        <w:gridCol w:w="3311"/>
      </w:tblGrid>
      <w:tr w14:paraId="748E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3883F4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一级类报表</w:t>
            </w:r>
          </w:p>
        </w:tc>
        <w:tc>
          <w:tcPr>
            <w:tcW w:w="2835" w:type="dxa"/>
          </w:tcPr>
          <w:p w14:paraId="68727FC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二级类报表</w:t>
            </w:r>
          </w:p>
        </w:tc>
        <w:tc>
          <w:tcPr>
            <w:tcW w:w="3311" w:type="dxa"/>
          </w:tcPr>
          <w:p w14:paraId="1B35B17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报表维度</w:t>
            </w:r>
          </w:p>
        </w:tc>
      </w:tr>
      <w:tr w14:paraId="7A14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0272AA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餐饮企业预警</w:t>
            </w:r>
          </w:p>
        </w:tc>
        <w:tc>
          <w:tcPr>
            <w:tcW w:w="2835" w:type="dxa"/>
          </w:tcPr>
          <w:p w14:paraId="7F19395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数据偏差预警</w:t>
            </w:r>
          </w:p>
        </w:tc>
        <w:tc>
          <w:tcPr>
            <w:tcW w:w="3311" w:type="dxa"/>
          </w:tcPr>
          <w:p w14:paraId="09D5658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1323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DE8AE0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车辆预警</w:t>
            </w:r>
          </w:p>
        </w:tc>
        <w:tc>
          <w:tcPr>
            <w:tcW w:w="2835" w:type="dxa"/>
          </w:tcPr>
          <w:p w14:paraId="181ED50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违规开盖预警</w:t>
            </w:r>
          </w:p>
        </w:tc>
        <w:tc>
          <w:tcPr>
            <w:tcW w:w="3311" w:type="dxa"/>
          </w:tcPr>
          <w:p w14:paraId="73B77BC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33B9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E0C14D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14:paraId="1FB3BFA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抛洒滴漏预警</w:t>
            </w:r>
          </w:p>
        </w:tc>
        <w:tc>
          <w:tcPr>
            <w:tcW w:w="3311" w:type="dxa"/>
          </w:tcPr>
          <w:p w14:paraId="34FDCE9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6E4C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E666DF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14:paraId="1E0E801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越区作业预警</w:t>
            </w:r>
          </w:p>
        </w:tc>
        <w:tc>
          <w:tcPr>
            <w:tcW w:w="3311" w:type="dxa"/>
          </w:tcPr>
          <w:p w14:paraId="5E4E3BB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2BF2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D7CD1B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14:paraId="20B846F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油耗异常预警</w:t>
            </w:r>
          </w:p>
        </w:tc>
        <w:tc>
          <w:tcPr>
            <w:tcW w:w="3311" w:type="dxa"/>
          </w:tcPr>
          <w:p w14:paraId="6208F0B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358A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441B44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14:paraId="4A115F3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信号接收超时预警</w:t>
            </w:r>
          </w:p>
        </w:tc>
        <w:tc>
          <w:tcPr>
            <w:tcW w:w="3311" w:type="dxa"/>
          </w:tcPr>
          <w:p w14:paraId="2C65579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71E6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D90391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餐厨厂</w:t>
            </w:r>
          </w:p>
        </w:tc>
        <w:tc>
          <w:tcPr>
            <w:tcW w:w="2835" w:type="dxa"/>
          </w:tcPr>
          <w:p w14:paraId="1726DF8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环保数据超标预警各监管数据</w:t>
            </w:r>
          </w:p>
        </w:tc>
        <w:tc>
          <w:tcPr>
            <w:tcW w:w="3311" w:type="dxa"/>
          </w:tcPr>
          <w:p w14:paraId="2D383EB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bl>
    <w:p w14:paraId="336AE97B">
      <w:pPr>
        <w:pStyle w:val="14"/>
        <w:rPr>
          <w:rFonts w:hint="eastAsia"/>
          <w:bCs w:val="0"/>
        </w:rPr>
      </w:pPr>
      <w:r>
        <w:rPr>
          <w:bCs w:val="0"/>
        </w:rPr>
        <w:t>移动管理小程序</w:t>
      </w:r>
    </w:p>
    <w:p w14:paraId="124C1F77">
      <w:pPr>
        <w:spacing w:line="276" w:lineRule="auto"/>
        <w:ind w:firstLine="480"/>
        <w:rPr>
          <w:rFonts w:hint="eastAsia" w:ascii="宋体" w:hAnsi="宋体" w:eastAsia="宋体"/>
          <w:sz w:val="24"/>
          <w:szCs w:val="24"/>
        </w:rPr>
      </w:pPr>
      <w:r>
        <w:rPr>
          <w:rFonts w:hint="eastAsia" w:ascii="宋体" w:hAnsi="宋体" w:eastAsia="宋体"/>
          <w:sz w:val="24"/>
          <w:szCs w:val="24"/>
        </w:rPr>
        <w:t>根据市工信局全市统一部署，基于“我的盐城”或“盐政通”</w:t>
      </w:r>
      <w:r>
        <w:rPr>
          <w:rFonts w:ascii="宋体" w:hAnsi="宋体" w:eastAsia="宋体"/>
          <w:sz w:val="24"/>
          <w:szCs w:val="24"/>
        </w:rPr>
        <w:t>整体架构，搭建餐厨移动管理小程序，实现餐厨垃圾全流程处置业务的监管群体的使用，确保餐厨垃圾监管的时效性、便利性、移动化。</w:t>
      </w:r>
    </w:p>
    <w:p w14:paraId="1C24A06E">
      <w:pPr>
        <w:spacing w:line="276" w:lineRule="auto"/>
        <w:ind w:firstLine="480"/>
        <w:rPr>
          <w:rFonts w:hint="eastAsia" w:ascii="宋体" w:hAnsi="宋体" w:eastAsia="宋体"/>
          <w:sz w:val="24"/>
          <w:szCs w:val="24"/>
        </w:rPr>
      </w:pPr>
      <w:r>
        <w:rPr>
          <w:rFonts w:ascii="宋体" w:hAnsi="宋体" w:eastAsia="宋体"/>
          <w:sz w:val="24"/>
          <w:szCs w:val="24"/>
        </w:rPr>
        <w:t>a.申报审批备案</w:t>
      </w:r>
    </w:p>
    <w:p w14:paraId="055C8C2E">
      <w:pPr>
        <w:spacing w:line="276" w:lineRule="auto"/>
        <w:ind w:firstLine="480"/>
        <w:rPr>
          <w:rFonts w:hint="eastAsia" w:ascii="宋体" w:hAnsi="宋体" w:eastAsia="宋体"/>
          <w:sz w:val="24"/>
          <w:szCs w:val="24"/>
        </w:rPr>
      </w:pPr>
      <w:r>
        <w:rPr>
          <w:rFonts w:hint="eastAsia" w:ascii="宋体" w:hAnsi="宋体" w:eastAsia="宋体"/>
          <w:sz w:val="24"/>
          <w:szCs w:val="24"/>
        </w:rPr>
        <w:t>开发移动端后台实现对餐饮企业申报的审批和备案管理，对审批通过的餐饮企业自动加入餐饮企业数据库。</w:t>
      </w:r>
    </w:p>
    <w:p w14:paraId="4105E06B">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基础数据查看</w:t>
      </w:r>
    </w:p>
    <w:p w14:paraId="3F954560">
      <w:pPr>
        <w:spacing w:line="276" w:lineRule="auto"/>
        <w:ind w:firstLine="480"/>
        <w:rPr>
          <w:rFonts w:hint="eastAsia" w:ascii="宋体" w:hAnsi="宋体" w:eastAsia="宋体"/>
          <w:sz w:val="24"/>
          <w:szCs w:val="24"/>
        </w:rPr>
      </w:pPr>
      <w:r>
        <w:rPr>
          <w:rFonts w:hint="eastAsia" w:ascii="宋体" w:hAnsi="宋体" w:eastAsia="宋体"/>
          <w:sz w:val="24"/>
          <w:szCs w:val="24"/>
        </w:rPr>
        <w:t>开发移动端实现对系统基础信息的查看，包括车辆数据、餐饮企业数据、设备配置数据、通知公告信息等。</w:t>
      </w:r>
    </w:p>
    <w:p w14:paraId="00E35475">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.业务在线监管</w:t>
      </w:r>
    </w:p>
    <w:p w14:paraId="0ACD2155">
      <w:pPr>
        <w:spacing w:line="276" w:lineRule="auto"/>
        <w:ind w:firstLine="480"/>
        <w:rPr>
          <w:rFonts w:hint="eastAsia" w:ascii="宋体" w:hAnsi="宋体" w:eastAsia="宋体"/>
          <w:sz w:val="24"/>
          <w:szCs w:val="24"/>
        </w:rPr>
      </w:pPr>
      <w:r>
        <w:rPr>
          <w:rFonts w:hint="eastAsia" w:ascii="宋体" w:hAnsi="宋体" w:eastAsia="宋体"/>
          <w:sz w:val="24"/>
          <w:szCs w:val="24"/>
        </w:rPr>
        <w:t>管理人员在移动端实现餐厨垃圾管理相关业务数据的在线查看，包括产生单位数据、收运数据、车辆信息、终端数据等。可根据管理人员的权限配置不同的监管内容，实现现场作业情况的快速获取。</w:t>
      </w:r>
    </w:p>
    <w:p w14:paraId="53C37B3F">
      <w:pPr>
        <w:spacing w:line="276" w:lineRule="auto"/>
        <w:ind w:firstLine="480"/>
        <w:rPr>
          <w:rFonts w:hint="eastAsia" w:ascii="宋体" w:hAnsi="宋体" w:eastAsia="宋体"/>
          <w:sz w:val="24"/>
          <w:szCs w:val="24"/>
        </w:rPr>
      </w:pPr>
      <w:r>
        <w:rPr>
          <w:rFonts w:ascii="宋体" w:hAnsi="宋体" w:eastAsia="宋体"/>
          <w:sz w:val="24"/>
          <w:szCs w:val="24"/>
        </w:rPr>
        <w:t>产生单位可视化：手机端实现对所有产生单位的GIS可视化展示，方便管理人员对产生单位的位置进行管理，同时也能更好的帮助考核人员。</w:t>
      </w:r>
    </w:p>
    <w:p w14:paraId="07F133FB">
      <w:pPr>
        <w:spacing w:line="276" w:lineRule="auto"/>
        <w:ind w:firstLine="480"/>
        <w:rPr>
          <w:rFonts w:hint="eastAsia" w:ascii="宋体" w:hAnsi="宋体" w:eastAsia="宋体"/>
          <w:sz w:val="24"/>
          <w:szCs w:val="24"/>
        </w:rPr>
      </w:pPr>
      <w:r>
        <w:rPr>
          <w:rFonts w:ascii="宋体" w:hAnsi="宋体" w:eastAsia="宋体"/>
          <w:sz w:val="24"/>
          <w:szCs w:val="24"/>
        </w:rPr>
        <w:t>收运过程监管：手机端实现对餐厨车辆的移动监管，包括车辆的实时位置、车辆收运量、车辆历史轨迹、轨迹回放等。</w:t>
      </w:r>
    </w:p>
    <w:p w14:paraId="35AE9AD9">
      <w:pPr>
        <w:spacing w:line="276" w:lineRule="auto"/>
        <w:ind w:firstLine="480"/>
        <w:rPr>
          <w:rFonts w:hint="eastAsia" w:ascii="宋体" w:hAnsi="宋体" w:eastAsia="宋体"/>
          <w:sz w:val="24"/>
          <w:szCs w:val="24"/>
        </w:rPr>
      </w:pPr>
      <w:r>
        <w:rPr>
          <w:rFonts w:ascii="宋体" w:hAnsi="宋体" w:eastAsia="宋体"/>
          <w:sz w:val="24"/>
          <w:szCs w:val="24"/>
        </w:rPr>
        <w:t>车辆违规数据：手机端实现对车辆违规数据的报警与提醒，包括车辆超速、不按规定路线行驶等，方便管理人员及时掌握车辆违规证据，更好的调度、管理车辆，确保餐厨垃圾及时得到收运。</w:t>
      </w:r>
    </w:p>
    <w:p w14:paraId="6E8F40ED">
      <w:pPr>
        <w:pStyle w:val="35"/>
        <w:spacing w:before="124" w:after="124" w:line="276" w:lineRule="auto"/>
        <w:ind w:firstLine="480"/>
        <w:rPr>
          <w:rFonts w:hint="eastAsia" w:ascii="宋体" w:hAnsi="宋体"/>
          <w:sz w:val="24"/>
          <w:szCs w:val="24"/>
        </w:rPr>
      </w:pPr>
      <w:r>
        <w:rPr>
          <w:rFonts w:ascii="宋体" w:hAnsi="宋体"/>
          <w:sz w:val="24"/>
          <w:szCs w:val="24"/>
        </w:rPr>
        <w:t>终端计量：</w:t>
      </w:r>
      <w:r>
        <w:rPr>
          <w:rFonts w:hint="eastAsia" w:ascii="宋体" w:hAnsi="宋体"/>
          <w:sz w:val="24"/>
          <w:szCs w:val="24"/>
        </w:rPr>
        <w:t>展示各餐厨厂餐厨垃圾进场量、车次毛重、皮重、净重等相关信息</w:t>
      </w:r>
      <w:r>
        <w:rPr>
          <w:rFonts w:ascii="宋体" w:hAnsi="宋体"/>
          <w:sz w:val="24"/>
          <w:szCs w:val="24"/>
        </w:rPr>
        <w:t>。</w:t>
      </w:r>
    </w:p>
    <w:p w14:paraId="2C31234D">
      <w:pPr>
        <w:spacing w:line="276" w:lineRule="auto"/>
        <w:ind w:firstLine="480"/>
        <w:rPr>
          <w:rFonts w:hint="eastAsia" w:ascii="宋体" w:hAnsi="宋体" w:eastAsia="宋体"/>
          <w:sz w:val="24"/>
          <w:szCs w:val="24"/>
        </w:rPr>
      </w:pPr>
      <w:r>
        <w:rPr>
          <w:rFonts w:ascii="宋体" w:hAnsi="宋体" w:eastAsia="宋体"/>
          <w:sz w:val="24"/>
          <w:szCs w:val="24"/>
        </w:rPr>
        <w:t>终端指标报警：手机端实现对餐厨厂各项工控、环保指标的移动报警。</w:t>
      </w:r>
    </w:p>
    <w:p w14:paraId="524F3EB5">
      <w:pPr>
        <w:spacing w:line="276" w:lineRule="auto"/>
        <w:ind w:firstLine="480"/>
        <w:rPr>
          <w:rFonts w:hint="eastAsia" w:ascii="宋体" w:hAnsi="宋体" w:eastAsia="宋体"/>
          <w:sz w:val="24"/>
          <w:szCs w:val="24"/>
        </w:rPr>
      </w:pPr>
      <w:r>
        <w:rPr>
          <w:rFonts w:ascii="宋体" w:hAnsi="宋体" w:eastAsia="宋体"/>
          <w:sz w:val="24"/>
          <w:szCs w:val="24"/>
        </w:rPr>
        <w:t>餐厨视频查看：利用手机端可以查看餐厨垃圾监管相关的视频，包括车载视频、终端厂视频等，可以在手机查看实时视频和历史视频。</w:t>
      </w:r>
    </w:p>
    <w:p w14:paraId="1EC82716">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移动考核管理</w:t>
      </w:r>
    </w:p>
    <w:p w14:paraId="46C3BF3A">
      <w:pPr>
        <w:spacing w:line="276" w:lineRule="auto"/>
        <w:ind w:firstLine="480"/>
        <w:rPr>
          <w:rFonts w:hint="eastAsia" w:ascii="宋体" w:hAnsi="宋体" w:eastAsia="宋体"/>
          <w:sz w:val="24"/>
          <w:szCs w:val="24"/>
        </w:rPr>
      </w:pPr>
      <w:r>
        <w:rPr>
          <w:rFonts w:hint="eastAsia" w:ascii="宋体" w:hAnsi="宋体" w:eastAsia="宋体"/>
          <w:sz w:val="24"/>
          <w:szCs w:val="24"/>
        </w:rPr>
        <w:t>实现对餐厨全过程的移动考核，对餐厨垃圾管理中的问题进行上报，接收和派发工单，对已经流转或已经接收工单处理状态进行追踪查看，接收整改完成通知，审核整改结果。</w:t>
      </w:r>
    </w:p>
    <w:p w14:paraId="6374B9D6">
      <w:pPr>
        <w:spacing w:line="276" w:lineRule="auto"/>
        <w:ind w:firstLine="480"/>
        <w:rPr>
          <w:rFonts w:hint="eastAsia" w:ascii="宋体" w:hAnsi="宋体" w:eastAsia="宋体"/>
          <w:sz w:val="24"/>
          <w:szCs w:val="24"/>
        </w:rPr>
      </w:pPr>
      <w:r>
        <w:rPr>
          <w:rFonts w:ascii="宋体" w:hAnsi="宋体" w:eastAsia="宋体"/>
          <w:sz w:val="24"/>
          <w:szCs w:val="24"/>
        </w:rPr>
        <w:t>自主考核工单：利用手机端可以实时问题随时发现随时上报管理，包括问题图片、定位信息和问题描述等；</w:t>
      </w:r>
    </w:p>
    <w:p w14:paraId="0E5FD858">
      <w:pPr>
        <w:spacing w:line="276" w:lineRule="auto"/>
        <w:ind w:firstLine="480"/>
        <w:rPr>
          <w:rFonts w:hint="eastAsia" w:ascii="宋体" w:hAnsi="宋体" w:eastAsia="宋体"/>
          <w:sz w:val="24"/>
          <w:szCs w:val="24"/>
        </w:rPr>
      </w:pPr>
      <w:r>
        <w:rPr>
          <w:rFonts w:ascii="宋体" w:hAnsi="宋体" w:eastAsia="宋体"/>
          <w:sz w:val="24"/>
          <w:szCs w:val="24"/>
        </w:rPr>
        <w:t>工单派发：自主生成的工单和其他来源的工单可以进行在线派发给相关作业单位；</w:t>
      </w:r>
    </w:p>
    <w:p w14:paraId="07C36235">
      <w:pPr>
        <w:spacing w:line="276" w:lineRule="auto"/>
        <w:ind w:firstLine="480"/>
        <w:rPr>
          <w:rFonts w:hint="eastAsia" w:ascii="宋体" w:hAnsi="宋体" w:eastAsia="宋体"/>
          <w:sz w:val="24"/>
          <w:szCs w:val="24"/>
        </w:rPr>
      </w:pPr>
      <w:r>
        <w:rPr>
          <w:rFonts w:ascii="宋体" w:hAnsi="宋体" w:eastAsia="宋体"/>
          <w:sz w:val="24"/>
          <w:szCs w:val="24"/>
        </w:rPr>
        <w:t>工单追踪：对已派发的工单进行流转追踪管理，了解工单的处理进度，对未及时完成的工单及时催促作业单位；</w:t>
      </w:r>
    </w:p>
    <w:p w14:paraId="79508EB6">
      <w:pPr>
        <w:spacing w:line="276" w:lineRule="auto"/>
        <w:ind w:firstLine="480"/>
        <w:rPr>
          <w:rFonts w:hint="eastAsia" w:ascii="宋体" w:hAnsi="宋体" w:eastAsia="宋体"/>
          <w:sz w:val="24"/>
          <w:szCs w:val="24"/>
        </w:rPr>
      </w:pPr>
      <w:r>
        <w:rPr>
          <w:rFonts w:ascii="宋体" w:hAnsi="宋体" w:eastAsia="宋体"/>
          <w:sz w:val="24"/>
          <w:szCs w:val="24"/>
        </w:rPr>
        <w:t>工单完成：企业接收到工单后进行整改并上传，管理人员在手机上查看整改信息，任务整改已完成的可以进行工单结束操作。</w:t>
      </w:r>
    </w:p>
    <w:p w14:paraId="5D372B1C">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.收运调度管理</w:t>
      </w:r>
    </w:p>
    <w:p w14:paraId="17203D5D">
      <w:pPr>
        <w:spacing w:line="276" w:lineRule="auto"/>
        <w:ind w:firstLine="480"/>
        <w:rPr>
          <w:rFonts w:hint="eastAsia" w:ascii="宋体" w:hAnsi="宋体" w:eastAsia="宋体"/>
          <w:sz w:val="24"/>
          <w:szCs w:val="24"/>
        </w:rPr>
      </w:pPr>
      <w:r>
        <w:rPr>
          <w:rFonts w:hint="eastAsia" w:ascii="宋体" w:hAnsi="宋体" w:eastAsia="宋体"/>
          <w:sz w:val="24"/>
          <w:szCs w:val="24"/>
        </w:rPr>
        <w:t>收运调度管理模块是面向管理人员调度任务的移动管理功能，在移动端发送调度需求，调整收运排班计划，根据业务需求对某个收运人员取消、增加收运单位、路线，并可查看作业人员信息接收状态，提醒作业人员及时查看，接收和批复作业人员核销申请，查看排班作业，并根据需求进行调整。</w:t>
      </w:r>
    </w:p>
    <w:p w14:paraId="6E796B3A">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标签设定管理</w:t>
      </w:r>
    </w:p>
    <w:p w14:paraId="40E694C4">
      <w:pPr>
        <w:spacing w:line="276" w:lineRule="auto"/>
        <w:ind w:firstLine="480"/>
        <w:rPr>
          <w:rFonts w:hint="eastAsia" w:ascii="宋体" w:hAnsi="宋体" w:eastAsia="宋体"/>
          <w:sz w:val="24"/>
          <w:szCs w:val="24"/>
        </w:rPr>
      </w:pPr>
      <w:r>
        <w:rPr>
          <w:rFonts w:hint="eastAsia" w:ascii="宋体" w:hAnsi="宋体" w:eastAsia="宋体"/>
          <w:sz w:val="24"/>
          <w:szCs w:val="24"/>
        </w:rPr>
        <w:t>每个产生企业配备的餐厨垃圾专用收集桶，每个桶配置一张标签，标签与餐饮企业进行绑定，垃圾收集时进行标签的读取，实现餐厨垃圾溯源管理。</w:t>
      </w:r>
    </w:p>
    <w:p w14:paraId="1172200B">
      <w:pPr>
        <w:spacing w:line="276" w:lineRule="auto"/>
        <w:ind w:firstLine="480"/>
        <w:rPr>
          <w:rFonts w:hint="eastAsia" w:ascii="宋体" w:hAnsi="宋体" w:eastAsia="宋体"/>
          <w:sz w:val="24"/>
          <w:szCs w:val="24"/>
        </w:rPr>
      </w:pPr>
      <w:r>
        <w:rPr>
          <w:rFonts w:ascii="宋体" w:hAnsi="宋体" w:eastAsia="宋体"/>
          <w:sz w:val="24"/>
          <w:szCs w:val="24"/>
        </w:rPr>
        <w:t>(a)原有桶身份标签设定</w:t>
      </w:r>
    </w:p>
    <w:p w14:paraId="4E6E13C9">
      <w:pPr>
        <w:spacing w:line="276" w:lineRule="auto"/>
        <w:ind w:firstLine="480"/>
        <w:rPr>
          <w:rFonts w:hint="eastAsia" w:ascii="宋体" w:hAnsi="宋体" w:eastAsia="宋体"/>
          <w:sz w:val="24"/>
          <w:szCs w:val="24"/>
        </w:rPr>
      </w:pPr>
      <w:r>
        <w:rPr>
          <w:rFonts w:hint="eastAsia" w:ascii="宋体" w:hAnsi="宋体" w:eastAsia="宋体"/>
          <w:sz w:val="24"/>
          <w:szCs w:val="24"/>
        </w:rPr>
        <w:t>原有桶与企业关系固定，有发卡人员进行现场安装，安装后进行现场读卡并比相应餐饮企业信息进行绑定，手持端标签设定软件进行定位管理，绑定后将餐饮企业名称、位置信息、桶编号、标签编号信息等同步入库。</w:t>
      </w:r>
    </w:p>
    <w:p w14:paraId="31AFB862">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产生企业新增垃圾桶时</w:t>
      </w:r>
    </w:p>
    <w:p w14:paraId="495B2347">
      <w:pPr>
        <w:pStyle w:val="35"/>
        <w:spacing w:before="124" w:after="124" w:line="276" w:lineRule="auto"/>
        <w:ind w:firstLine="480"/>
        <w:rPr>
          <w:rFonts w:hint="eastAsia" w:ascii="宋体" w:hAnsi="宋体"/>
          <w:sz w:val="24"/>
          <w:szCs w:val="24"/>
        </w:rPr>
      </w:pPr>
      <w:r>
        <w:rPr>
          <w:rFonts w:hint="eastAsia" w:ascii="宋体" w:hAnsi="宋体"/>
          <w:sz w:val="24"/>
          <w:szCs w:val="24"/>
        </w:rPr>
        <w:t>发桶申请：产生单位通过</w:t>
      </w:r>
      <w:r>
        <w:rPr>
          <w:rFonts w:hint="eastAsia" w:ascii="宋体" w:hAnsi="宋体"/>
          <w:sz w:val="24"/>
          <w:szCs w:val="24"/>
          <w:lang w:val="en-US" w:eastAsia="zh-CN"/>
        </w:rPr>
        <w:t>移动端</w:t>
      </w:r>
      <w:r>
        <w:rPr>
          <w:rFonts w:ascii="宋体" w:hAnsi="宋体"/>
          <w:sz w:val="24"/>
          <w:szCs w:val="24"/>
        </w:rPr>
        <w:t>等方式进行餐厨垃圾桶申请，上传餐饮企业名称、地址、发放个数需求；</w:t>
      </w:r>
    </w:p>
    <w:p w14:paraId="04C0E756">
      <w:pPr>
        <w:spacing w:line="276" w:lineRule="auto"/>
        <w:ind w:firstLine="480"/>
        <w:rPr>
          <w:rFonts w:hint="eastAsia" w:ascii="宋体" w:hAnsi="宋体" w:eastAsia="宋体"/>
          <w:sz w:val="24"/>
          <w:szCs w:val="24"/>
        </w:rPr>
      </w:pPr>
      <w:r>
        <w:rPr>
          <w:rFonts w:hint="eastAsia" w:ascii="宋体" w:hAnsi="宋体" w:eastAsia="宋体"/>
          <w:sz w:val="24"/>
          <w:szCs w:val="24"/>
        </w:rPr>
        <w:t>审批管理：管理部分人员进行企业发桶申请，进行审批管理，审批通过后进行实地发桶；</w:t>
      </w:r>
    </w:p>
    <w:p w14:paraId="15CB6365">
      <w:pPr>
        <w:spacing w:line="276" w:lineRule="auto"/>
        <w:ind w:firstLine="480"/>
        <w:rPr>
          <w:rFonts w:hint="eastAsia" w:ascii="宋体" w:hAnsi="宋体" w:eastAsia="宋体"/>
          <w:sz w:val="24"/>
          <w:szCs w:val="24"/>
        </w:rPr>
      </w:pPr>
      <w:r>
        <w:rPr>
          <w:rFonts w:hint="eastAsia" w:ascii="宋体" w:hAnsi="宋体" w:eastAsia="宋体"/>
          <w:sz w:val="24"/>
          <w:szCs w:val="24"/>
        </w:rPr>
        <w:t>发卡管理：发桶的同时进行身份识别卡的发放</w:t>
      </w:r>
    </w:p>
    <w:p w14:paraId="46B0D112">
      <w:pPr>
        <w:spacing w:line="276" w:lineRule="auto"/>
        <w:ind w:firstLine="480"/>
        <w:rPr>
          <w:rFonts w:hint="eastAsia" w:ascii="宋体" w:hAnsi="宋体" w:eastAsia="宋体"/>
          <w:sz w:val="24"/>
          <w:szCs w:val="24"/>
        </w:rPr>
      </w:pPr>
      <w:r>
        <w:rPr>
          <w:rFonts w:hint="eastAsia" w:ascii="宋体" w:hAnsi="宋体" w:eastAsia="宋体"/>
          <w:sz w:val="24"/>
          <w:szCs w:val="24"/>
        </w:rPr>
        <w:t>发卡核验：现场稽查人员可进行本地核验，查看标签信息是否属实。</w:t>
      </w:r>
    </w:p>
    <w:p w14:paraId="5258E52E">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出现换桶情况</w:t>
      </w:r>
    </w:p>
    <w:p w14:paraId="1822B927">
      <w:pPr>
        <w:spacing w:line="276" w:lineRule="auto"/>
        <w:ind w:firstLine="480"/>
        <w:rPr>
          <w:rFonts w:hint="eastAsia" w:ascii="宋体" w:hAnsi="宋体" w:eastAsia="宋体"/>
          <w:sz w:val="24"/>
          <w:szCs w:val="24"/>
        </w:rPr>
      </w:pPr>
      <w:r>
        <w:rPr>
          <w:rFonts w:hint="eastAsia" w:ascii="宋体" w:hAnsi="宋体" w:eastAsia="宋体"/>
          <w:sz w:val="24"/>
          <w:szCs w:val="24"/>
        </w:rPr>
        <w:t>方式一：企业标签不变</w:t>
      </w:r>
    </w:p>
    <w:p w14:paraId="4E96CFF9">
      <w:pPr>
        <w:spacing w:line="276" w:lineRule="auto"/>
        <w:ind w:firstLine="480"/>
        <w:rPr>
          <w:rFonts w:hint="eastAsia" w:ascii="宋体" w:hAnsi="宋体" w:eastAsia="宋体"/>
          <w:sz w:val="24"/>
          <w:szCs w:val="24"/>
        </w:rPr>
      </w:pPr>
      <w:r>
        <w:rPr>
          <w:rFonts w:hint="eastAsia" w:ascii="宋体" w:hAnsi="宋体" w:eastAsia="宋体"/>
          <w:sz w:val="24"/>
          <w:szCs w:val="24"/>
        </w:rPr>
        <w:t>每个餐饮配置</w:t>
      </w:r>
      <w:r>
        <w:rPr>
          <w:rFonts w:ascii="宋体" w:hAnsi="宋体" w:eastAsia="宋体"/>
          <w:sz w:val="24"/>
          <w:szCs w:val="24"/>
        </w:rPr>
        <w:t>3张RFID标签，标签信息包含RFID标签编号、餐饮店名称、由换桶人员在换桶时将旧桶的标签进行拆除，安装在新的桶上面，确保企业餐厨垃圾产生量准确上传，同时确保餐饮企业餐厨垃圾收集区域干净清洁。</w:t>
      </w:r>
    </w:p>
    <w:p w14:paraId="4F9A27AF">
      <w:pPr>
        <w:spacing w:line="276" w:lineRule="auto"/>
        <w:ind w:firstLine="480"/>
        <w:rPr>
          <w:rFonts w:hint="eastAsia" w:ascii="宋体" w:hAnsi="宋体" w:eastAsia="宋体"/>
          <w:sz w:val="24"/>
          <w:szCs w:val="24"/>
        </w:rPr>
      </w:pPr>
      <w:r>
        <w:rPr>
          <w:rFonts w:hint="eastAsia" w:ascii="宋体" w:hAnsi="宋体" w:eastAsia="宋体"/>
          <w:sz w:val="24"/>
          <w:szCs w:val="24"/>
        </w:rPr>
        <w:t>方式二：餐厨桶与餐饮企业关系灵活变更</w:t>
      </w:r>
    </w:p>
    <w:p w14:paraId="6D9A990D">
      <w:pPr>
        <w:spacing w:line="276" w:lineRule="auto"/>
        <w:ind w:firstLine="480"/>
        <w:rPr>
          <w:rFonts w:hint="eastAsia" w:ascii="宋体" w:hAnsi="宋体" w:eastAsia="宋体"/>
          <w:sz w:val="24"/>
          <w:szCs w:val="24"/>
        </w:rPr>
      </w:pPr>
      <w:r>
        <w:rPr>
          <w:rFonts w:hint="eastAsia" w:ascii="宋体" w:hAnsi="宋体" w:eastAsia="宋体"/>
          <w:sz w:val="24"/>
          <w:szCs w:val="24"/>
        </w:rPr>
        <w:t>餐饮企业出现缺卡、卡损坏等情况时，收运人员进行现场读取，出现异常时，在</w:t>
      </w:r>
      <w:r>
        <w:rPr>
          <w:rFonts w:hint="eastAsia" w:ascii="宋体" w:hAnsi="宋体" w:eastAsia="宋体"/>
          <w:sz w:val="24"/>
          <w:szCs w:val="24"/>
          <w:lang w:val="en-US" w:eastAsia="zh-CN"/>
        </w:rPr>
        <w:t>移动</w:t>
      </w:r>
      <w:r>
        <w:rPr>
          <w:rFonts w:ascii="宋体" w:hAnsi="宋体" w:eastAsia="宋体"/>
          <w:sz w:val="24"/>
          <w:szCs w:val="24"/>
        </w:rPr>
        <w:t>端进行标注，若是已损坏，系统进行删除、若是缺卡，录入桶编号、餐饮企业名称、位置信息（自动获取）。</w:t>
      </w:r>
    </w:p>
    <w:p w14:paraId="2D3AC705">
      <w:pPr>
        <w:pStyle w:val="35"/>
        <w:spacing w:before="124" w:after="124" w:line="276" w:lineRule="auto"/>
        <w:ind w:firstLine="480"/>
        <w:rPr>
          <w:rFonts w:hint="eastAsia" w:ascii="宋体" w:hAnsi="宋体"/>
          <w:sz w:val="24"/>
          <w:szCs w:val="24"/>
        </w:rPr>
      </w:pPr>
      <w:r>
        <w:rPr>
          <w:rFonts w:hint="eastAsia" w:ascii="宋体" w:hAnsi="宋体"/>
          <w:sz w:val="24"/>
          <w:szCs w:val="24"/>
        </w:rPr>
        <w:t>实现换桶餐厨垃圾桶位置变更后</w:t>
      </w:r>
      <w:r>
        <w:rPr>
          <w:rFonts w:ascii="宋体" w:hAnsi="宋体"/>
          <w:sz w:val="24"/>
          <w:szCs w:val="24"/>
        </w:rPr>
        <w:t>RFID标签关系重新绑定。换桶人员将桶放置在餐饮企业后，收运跟车人员运用手持读卡设备进行读卡，将卡编号</w:t>
      </w:r>
      <w:r>
        <w:rPr>
          <w:rFonts w:hint="eastAsia" w:ascii="宋体" w:hAnsi="宋体"/>
          <w:sz w:val="24"/>
          <w:szCs w:val="24"/>
        </w:rPr>
        <w:t>反馈至平台管理员，平台管理员</w:t>
      </w:r>
      <w:r>
        <w:rPr>
          <w:rFonts w:ascii="宋体" w:hAnsi="宋体"/>
          <w:sz w:val="24"/>
          <w:szCs w:val="24"/>
        </w:rPr>
        <w:t>与新的餐饮企业进行绑定，车载设备实现读卡称重等后续操作，确保桶编号、重量对应准确的餐饮企业。</w:t>
      </w:r>
    </w:p>
    <w:p w14:paraId="3BB95413">
      <w:pPr>
        <w:pStyle w:val="14"/>
        <w:rPr>
          <w:rFonts w:hint="eastAsia"/>
          <w:bCs w:val="0"/>
        </w:rPr>
      </w:pPr>
      <w:r>
        <w:rPr>
          <w:bCs w:val="0"/>
        </w:rPr>
        <w:t>收运人员移动端</w:t>
      </w:r>
    </w:p>
    <w:p w14:paraId="718C8F59">
      <w:pPr>
        <w:spacing w:line="276" w:lineRule="auto"/>
        <w:ind w:firstLine="480"/>
        <w:rPr>
          <w:rFonts w:hint="eastAsia" w:ascii="宋体" w:hAnsi="宋体" w:eastAsia="宋体"/>
          <w:sz w:val="24"/>
          <w:szCs w:val="24"/>
        </w:rPr>
      </w:pPr>
      <w:r>
        <w:rPr>
          <w:rFonts w:hint="eastAsia" w:ascii="宋体" w:hAnsi="宋体" w:eastAsia="宋体"/>
          <w:sz w:val="24"/>
          <w:szCs w:val="24"/>
        </w:rPr>
        <w:t>基于“我的盐城”或“盐政通”</w:t>
      </w:r>
      <w:r>
        <w:rPr>
          <w:rFonts w:ascii="宋体" w:hAnsi="宋体" w:eastAsia="宋体"/>
          <w:sz w:val="24"/>
          <w:szCs w:val="24"/>
        </w:rPr>
        <w:t>开发收运人员移动</w:t>
      </w:r>
      <w:r>
        <w:rPr>
          <w:rFonts w:hint="eastAsia" w:ascii="宋体" w:hAnsi="宋体" w:eastAsia="宋体"/>
          <w:sz w:val="24"/>
          <w:szCs w:val="24"/>
          <w:lang w:val="en-US" w:eastAsia="zh-CN"/>
        </w:rPr>
        <w:t>端</w:t>
      </w:r>
      <w:r>
        <w:rPr>
          <w:rFonts w:ascii="宋体" w:hAnsi="宋体" w:eastAsia="宋体"/>
          <w:sz w:val="24"/>
          <w:szCs w:val="24"/>
        </w:rPr>
        <w:t>，对收运作业人员进行收运任务展示，依托GIS系统汇总收运人员的收作业数据，在收运过程中的实现异常事件上报、调度申请，调度转发等功能。</w:t>
      </w:r>
    </w:p>
    <w:p w14:paraId="59B6B224">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收运任务管理</w:t>
      </w:r>
    </w:p>
    <w:p w14:paraId="0D242A77">
      <w:pPr>
        <w:spacing w:line="276" w:lineRule="auto"/>
        <w:ind w:firstLine="480"/>
        <w:rPr>
          <w:rFonts w:hint="eastAsia" w:ascii="宋体" w:hAnsi="宋体" w:eastAsia="宋体"/>
          <w:sz w:val="24"/>
          <w:szCs w:val="24"/>
        </w:rPr>
      </w:pPr>
      <w:r>
        <w:rPr>
          <w:rFonts w:hint="eastAsia" w:ascii="宋体" w:hAnsi="宋体" w:eastAsia="宋体"/>
          <w:sz w:val="24"/>
          <w:szCs w:val="24"/>
        </w:rPr>
        <w:t>收运人员在收运任务管理模块查看收运的日常任务排班情况和临时调度任务信息，对当日任务以及完成情况进行实时展示。可查看历史收运任务完成情况，历史收运任务管理中可以查看收运汇总数据，如当日收集餐饮企业数量、当日称重数据，以及各个餐饮企业收集的明细数据，包括企业名称、地点、收集时间、称重数据等。</w:t>
      </w:r>
    </w:p>
    <w:p w14:paraId="0AFFBDA1">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收运状态查看</w:t>
      </w:r>
    </w:p>
    <w:p w14:paraId="00AA6C06">
      <w:pPr>
        <w:spacing w:line="276" w:lineRule="auto"/>
        <w:ind w:firstLine="480"/>
        <w:rPr>
          <w:rFonts w:hint="eastAsia" w:ascii="宋体" w:hAnsi="宋体" w:eastAsia="宋体"/>
          <w:sz w:val="24"/>
          <w:szCs w:val="24"/>
        </w:rPr>
      </w:pPr>
      <w:r>
        <w:rPr>
          <w:rFonts w:hint="eastAsia" w:ascii="宋体" w:hAnsi="宋体" w:eastAsia="宋体"/>
          <w:sz w:val="24"/>
          <w:szCs w:val="24"/>
        </w:rPr>
        <w:t>收运人员在收运过程中可通过收运</w:t>
      </w:r>
      <w:r>
        <w:rPr>
          <w:rFonts w:ascii="宋体" w:hAnsi="宋体" w:eastAsia="宋体"/>
          <w:sz w:val="24"/>
          <w:szCs w:val="24"/>
        </w:rPr>
        <w:t>GIS地图，查看当日收集任务路线图和收集餐饮企业分布散点图，对已收单位和未收企业进行区别展示，可在GIS地图中实时更新收运进度和收集称重数据。</w:t>
      </w:r>
    </w:p>
    <w:p w14:paraId="0A5192F5">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数据上传管理</w:t>
      </w:r>
    </w:p>
    <w:p w14:paraId="56D7DA4B">
      <w:pPr>
        <w:spacing w:line="276" w:lineRule="auto"/>
        <w:ind w:firstLine="480"/>
        <w:rPr>
          <w:rFonts w:hint="eastAsia" w:ascii="宋体" w:hAnsi="宋体" w:eastAsia="宋体"/>
          <w:sz w:val="24"/>
          <w:szCs w:val="24"/>
        </w:rPr>
      </w:pPr>
      <w:r>
        <w:rPr>
          <w:rFonts w:hint="eastAsia" w:ascii="宋体" w:hAnsi="宋体" w:eastAsia="宋体"/>
          <w:sz w:val="24"/>
          <w:szCs w:val="24"/>
        </w:rPr>
        <w:t>信息上传功能针对称重数据上传失败、油脂预估重量数据进行手动输入。称重数据存在由于网络问题未同步到管理平台以及</w:t>
      </w:r>
      <w:r>
        <w:rPr>
          <w:rFonts w:hint="eastAsia" w:ascii="宋体" w:hAnsi="宋体" w:eastAsia="宋体"/>
          <w:sz w:val="24"/>
          <w:szCs w:val="24"/>
          <w:lang w:val="en-US" w:eastAsia="zh-CN"/>
        </w:rPr>
        <w:t>移动端</w:t>
      </w:r>
      <w:r>
        <w:rPr>
          <w:rFonts w:ascii="宋体" w:hAnsi="宋体" w:eastAsia="宋体"/>
          <w:sz w:val="24"/>
          <w:szCs w:val="24"/>
        </w:rPr>
        <w:t>的情况，后台设置数据上传时限，读取RFID卡数据超出一定时限，系统自动提醒收运人员补全称重数据，收运人员接收数据遗漏提醒，通过本地称重设备回溯称重数据，补全称重记录。</w:t>
      </w:r>
    </w:p>
    <w:p w14:paraId="00E09EFA">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异常事件管理</w:t>
      </w:r>
    </w:p>
    <w:p w14:paraId="0CBBF9B5">
      <w:pPr>
        <w:spacing w:line="276" w:lineRule="auto"/>
        <w:ind w:firstLine="480"/>
        <w:rPr>
          <w:rFonts w:hint="eastAsia" w:ascii="宋体" w:hAnsi="宋体" w:eastAsia="宋体"/>
          <w:sz w:val="24"/>
          <w:szCs w:val="24"/>
        </w:rPr>
      </w:pPr>
      <w:r>
        <w:rPr>
          <w:rFonts w:hint="eastAsia" w:ascii="宋体" w:hAnsi="宋体" w:eastAsia="宋体"/>
          <w:sz w:val="24"/>
          <w:szCs w:val="24"/>
        </w:rPr>
        <w:t>异常事件管理主要针对收运中的各类型异常问题进行异常记录、异常上报、异常申诉等操作，异常包括：商户信息变更（倒闭、更换）、漏收、超时未收、垃圾量异常、收运任务异常、路线异常、收运量异常等等。并对于任务超时、未完成、数据缺失、企业遗漏等异常情况可根据实际情况进行异常申诉，填写任务状态异常理由。</w:t>
      </w:r>
    </w:p>
    <w:p w14:paraId="1BA58263">
      <w:pPr>
        <w:spacing w:line="276" w:lineRule="auto"/>
        <w:ind w:firstLine="480"/>
        <w:rPr>
          <w:rFonts w:hint="eastAsia" w:ascii="宋体" w:hAnsi="宋体" w:eastAsia="宋体"/>
          <w:sz w:val="24"/>
          <w:szCs w:val="24"/>
        </w:rPr>
      </w:pPr>
      <w:r>
        <w:rPr>
          <w:rFonts w:hint="eastAsia" w:ascii="宋体" w:hAnsi="宋体" w:eastAsia="宋体"/>
          <w:sz w:val="24"/>
          <w:szCs w:val="24"/>
        </w:rPr>
        <w:t>收运人员对收运过程中发现的异常数据进行上报，并对系统针对收运任务智能发现的异常问题进行异常详情反馈。</w:t>
      </w:r>
    </w:p>
    <w:p w14:paraId="5DEA3409">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调度任务管理</w:t>
      </w:r>
    </w:p>
    <w:p w14:paraId="0EA39E3E">
      <w:pPr>
        <w:spacing w:line="276" w:lineRule="auto"/>
        <w:ind w:firstLine="480"/>
        <w:rPr>
          <w:rFonts w:hint="eastAsia" w:ascii="宋体" w:hAnsi="宋体" w:eastAsia="宋体"/>
          <w:sz w:val="24"/>
          <w:szCs w:val="24"/>
        </w:rPr>
      </w:pPr>
      <w:r>
        <w:rPr>
          <w:rFonts w:hint="eastAsia" w:ascii="宋体" w:hAnsi="宋体" w:eastAsia="宋体"/>
          <w:sz w:val="24"/>
          <w:szCs w:val="24"/>
        </w:rPr>
        <w:t>收运人员面对节假日垃圾量暴增需要增加收运次数，道路堵塞、封路等情况，可在移动端上报实际情况和调度需求，需要增加调度车辆或因为收运人员临时请假等情况可选择附近、应急车辆的进行任务调度的转发申请，有权限的管理人员账号，对调度需求进行审批，转发调度任务。</w:t>
      </w:r>
    </w:p>
    <w:p w14:paraId="7CD5EC14">
      <w:pPr>
        <w:pStyle w:val="14"/>
        <w:rPr>
          <w:rFonts w:hint="eastAsia"/>
          <w:bCs w:val="0"/>
        </w:rPr>
      </w:pPr>
      <w:r>
        <w:rPr>
          <w:bCs w:val="0"/>
        </w:rPr>
        <w:t>企业与</w:t>
      </w:r>
      <w:r>
        <w:rPr>
          <w:rFonts w:hint="eastAsia"/>
        </w:rPr>
        <w:t>公众</w:t>
      </w:r>
      <w:r>
        <w:rPr>
          <w:bCs w:val="0"/>
        </w:rPr>
        <w:t>服务移动端</w:t>
      </w:r>
    </w:p>
    <w:p w14:paraId="4AF783C7">
      <w:pPr>
        <w:spacing w:line="276" w:lineRule="auto"/>
        <w:ind w:firstLine="480"/>
        <w:rPr>
          <w:rFonts w:hint="eastAsia" w:ascii="宋体" w:hAnsi="宋体" w:eastAsia="宋体"/>
          <w:sz w:val="24"/>
          <w:szCs w:val="24"/>
        </w:rPr>
      </w:pPr>
      <w:r>
        <w:rPr>
          <w:rFonts w:hint="eastAsia" w:ascii="宋体" w:hAnsi="宋体" w:eastAsia="宋体"/>
          <w:sz w:val="24"/>
          <w:szCs w:val="24"/>
        </w:rPr>
        <w:t>基于“我的盐城”</w:t>
      </w:r>
      <w:r>
        <w:rPr>
          <w:rFonts w:ascii="宋体" w:hAnsi="宋体" w:eastAsia="宋体"/>
          <w:sz w:val="24"/>
          <w:szCs w:val="24"/>
        </w:rPr>
        <w:t>开发企业与公众服务移动端，企业与公众移动端是为餐厨垃圾管理业务中参与的企业单位、公众群体提供信息上传下达的移动平台，便于公众及时获取餐厨垃圾处理的政策公告，填报单位基础信息，餐饮企业可在移动端查看收运车辆的实时动态信息，对收运服务进行投诉建议，辅助提高清运效率和服务质量。</w:t>
      </w:r>
    </w:p>
    <w:p w14:paraId="1BC52440">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通知信息查看</w:t>
      </w:r>
    </w:p>
    <w:p w14:paraId="58D1A644">
      <w:pPr>
        <w:spacing w:line="276" w:lineRule="auto"/>
        <w:ind w:firstLine="480"/>
        <w:rPr>
          <w:rFonts w:hint="eastAsia" w:ascii="宋体" w:hAnsi="宋体" w:eastAsia="宋体"/>
          <w:sz w:val="24"/>
          <w:szCs w:val="24"/>
        </w:rPr>
      </w:pPr>
      <w:r>
        <w:rPr>
          <w:rFonts w:hint="eastAsia" w:ascii="宋体" w:hAnsi="宋体" w:eastAsia="宋体"/>
          <w:sz w:val="24"/>
          <w:szCs w:val="24"/>
        </w:rPr>
        <w:t>餐饮企业和公众可在移动端查看后台下发的餐厨垃圾的政策法规、部门规划、相关奖惩办法、企业榜单等通知信息，有利于公众增强对餐厨业务的理解。</w:t>
      </w:r>
    </w:p>
    <w:p w14:paraId="0BB8ED78">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基础信息上报</w:t>
      </w:r>
    </w:p>
    <w:p w14:paraId="5FC5BAB1">
      <w:pPr>
        <w:spacing w:line="276" w:lineRule="auto"/>
        <w:ind w:firstLine="480"/>
        <w:rPr>
          <w:rFonts w:hint="eastAsia" w:ascii="宋体" w:hAnsi="宋体" w:eastAsia="宋体"/>
          <w:sz w:val="24"/>
          <w:szCs w:val="24"/>
        </w:rPr>
      </w:pPr>
      <w:r>
        <w:rPr>
          <w:rFonts w:hint="eastAsia" w:ascii="宋体" w:hAnsi="宋体" w:eastAsia="宋体"/>
          <w:sz w:val="24"/>
          <w:szCs w:val="24"/>
        </w:rPr>
        <w:t>餐厨垃圾产生单位通过注册预约账号，登陆移动端，对餐饮产生单位的基础数据在移动端进行数据填报操作，包括：单位名称、地址、电话、联系人、行业、规模、企业性质、类型、注册资金、经营范围、成立时间、企业排放量（垃圾桶数）、收运时间等。支持企业对基础信息进行修改、注销等变更管理。</w:t>
      </w:r>
    </w:p>
    <w:p w14:paraId="1C368402">
      <w:pPr>
        <w:spacing w:line="276" w:lineRule="auto"/>
        <w:ind w:firstLine="480"/>
        <w:rPr>
          <w:rFonts w:hint="eastAsia" w:ascii="宋体" w:hAnsi="宋体" w:eastAsia="宋体"/>
          <w:sz w:val="24"/>
          <w:szCs w:val="24"/>
        </w:rPr>
      </w:pPr>
      <w:r>
        <w:rPr>
          <w:rFonts w:hint="eastAsia" w:ascii="宋体" w:hAnsi="宋体" w:eastAsia="宋体"/>
          <w:sz w:val="24"/>
          <w:szCs w:val="24"/>
        </w:rPr>
        <w:t>通过审核的餐饮企业接收审批通过通知，查看绑定收运时段和收运车辆，以及预估收集时间点。</w:t>
      </w:r>
    </w:p>
    <w:p w14:paraId="1FD263E2">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.审批进度查看</w:t>
      </w:r>
    </w:p>
    <w:p w14:paraId="6592D767">
      <w:pPr>
        <w:spacing w:line="276" w:lineRule="auto"/>
        <w:ind w:firstLine="480"/>
        <w:rPr>
          <w:rFonts w:hint="eastAsia" w:ascii="宋体" w:hAnsi="宋体" w:eastAsia="宋体"/>
          <w:sz w:val="24"/>
          <w:szCs w:val="24"/>
        </w:rPr>
      </w:pPr>
      <w:r>
        <w:rPr>
          <w:rFonts w:hint="eastAsia" w:ascii="宋体" w:hAnsi="宋体" w:eastAsia="宋体"/>
          <w:sz w:val="24"/>
          <w:szCs w:val="24"/>
        </w:rPr>
        <w:t>餐饮企业在线申报后，申报信息上传至监管平台，进行管理部门审批审核，餐厨企业根据分配的账号进行审核进度查看，审核状态包括三种：审核中、申报成功、申报失败，若是申报失败，则进行重新申报。餐饮企业通过各申请渠道进行审核进度的查询。</w:t>
      </w:r>
    </w:p>
    <w:p w14:paraId="6EE8D3FB">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收运报站管理</w:t>
      </w:r>
    </w:p>
    <w:p w14:paraId="2093C1D4">
      <w:pPr>
        <w:spacing w:line="276" w:lineRule="auto"/>
        <w:ind w:firstLine="480"/>
        <w:rPr>
          <w:rFonts w:hint="eastAsia" w:ascii="宋体" w:hAnsi="宋体" w:eastAsia="宋体"/>
          <w:sz w:val="24"/>
          <w:szCs w:val="24"/>
        </w:rPr>
      </w:pPr>
      <w:r>
        <w:rPr>
          <w:rFonts w:hint="eastAsia" w:ascii="宋体" w:hAnsi="宋体" w:eastAsia="宋体"/>
          <w:sz w:val="24"/>
          <w:szCs w:val="24"/>
        </w:rPr>
        <w:t>餐厨垃圾收运为产生单位提供收运车辆实时查询的微服务功能，实时接收餐饮企业绑定收运车辆的当前收运进度，间隔未收集点数量、预计到达时间等，并接收车辆即将到达提醒，确认提醒消息的读取状态，为餐饮企业保留空余时间，餐饮企业可提前将餐厨垃圾进行整理投放到规定点位，提高收运效率。</w:t>
      </w:r>
    </w:p>
    <w:p w14:paraId="53AE7D71">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临时预约管理</w:t>
      </w:r>
    </w:p>
    <w:p w14:paraId="23DBC3C6">
      <w:pPr>
        <w:spacing w:line="276" w:lineRule="auto"/>
        <w:ind w:firstLine="480"/>
        <w:rPr>
          <w:rFonts w:hint="eastAsia" w:ascii="宋体" w:hAnsi="宋体" w:eastAsia="宋体"/>
          <w:sz w:val="24"/>
          <w:szCs w:val="24"/>
        </w:rPr>
      </w:pPr>
      <w:r>
        <w:rPr>
          <w:rFonts w:hint="eastAsia" w:ascii="宋体" w:hAnsi="宋体" w:eastAsia="宋体"/>
          <w:sz w:val="24"/>
          <w:szCs w:val="24"/>
        </w:rPr>
        <w:t>临时预约申请作为日常预约的补充功能，主要用于餐饮单位因为个人原因造成常规预约延误，临时增加收运次数等，需要监管中心重新规划路线，满足餐饮单位清运需求的情况，申请人在移动端提交申请，包括收运类型、负责人姓名、联系方式、申请理由等，系统对申请内容审核，申请结果即车辆安排及时告知相关申请人。</w:t>
      </w:r>
    </w:p>
    <w:p w14:paraId="2033808E">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收运记录查看</w:t>
      </w:r>
    </w:p>
    <w:p w14:paraId="15F9DCAB">
      <w:pPr>
        <w:spacing w:line="276" w:lineRule="auto"/>
        <w:ind w:firstLine="480"/>
        <w:rPr>
          <w:rFonts w:hint="eastAsia" w:ascii="宋体" w:hAnsi="宋体" w:eastAsia="宋体"/>
          <w:sz w:val="24"/>
          <w:szCs w:val="24"/>
        </w:rPr>
      </w:pPr>
      <w:r>
        <w:rPr>
          <w:rFonts w:hint="eastAsia" w:ascii="宋体" w:hAnsi="宋体" w:eastAsia="宋体"/>
          <w:sz w:val="24"/>
          <w:szCs w:val="24"/>
        </w:rPr>
        <w:t>餐饮企业登陆后可以查看自己的收运记录，餐饮企业准确的了解自家的垃圾产量，支持汇总统计，通过平台可以查看系统生成的日报表、月报表、年报表等，支持趋势分析。</w:t>
      </w:r>
    </w:p>
    <w:p w14:paraId="69023EEE">
      <w:pPr>
        <w:spacing w:line="276" w:lineRule="auto"/>
        <w:ind w:firstLine="480"/>
        <w:rPr>
          <w:rFonts w:hint="eastAsia" w:ascii="宋体" w:hAnsi="宋体" w:eastAsia="宋体"/>
          <w:sz w:val="24"/>
          <w:szCs w:val="24"/>
        </w:rPr>
      </w:pPr>
      <w:r>
        <w:rPr>
          <w:rFonts w:hint="eastAsia" w:ascii="宋体" w:hAnsi="宋体" w:eastAsia="宋体"/>
          <w:sz w:val="24"/>
          <w:szCs w:val="24"/>
        </w:rPr>
        <w:t>g</w:t>
      </w:r>
      <w:r>
        <w:rPr>
          <w:rFonts w:ascii="宋体" w:hAnsi="宋体" w:eastAsia="宋体"/>
          <w:sz w:val="24"/>
          <w:szCs w:val="24"/>
        </w:rPr>
        <w:t>.投诉建议反馈</w:t>
      </w:r>
    </w:p>
    <w:p w14:paraId="18897176">
      <w:pPr>
        <w:spacing w:line="276" w:lineRule="auto"/>
        <w:ind w:firstLine="480"/>
        <w:rPr>
          <w:rFonts w:hint="eastAsia"/>
          <w:sz w:val="24"/>
        </w:rPr>
      </w:pPr>
      <w:r>
        <w:rPr>
          <w:rFonts w:hint="eastAsia" w:ascii="宋体" w:hAnsi="宋体" w:eastAsia="宋体"/>
          <w:sz w:val="24"/>
          <w:szCs w:val="24"/>
        </w:rPr>
        <w:t>餐厨垃圾产生单位和公众可在移动端投诉建议入口投诉餐厨相关问题，如：收运单位未及时收集、服务态度恶劣、倒卖地沟油等。投诉人可以将投诉内容、图片、定位等信息上传到平台，由管理人员进行调度稽查力量，并及时将处置结果进行反馈。</w:t>
      </w:r>
    </w:p>
    <w:p w14:paraId="05B5FFAC">
      <w:pPr>
        <w:pStyle w:val="8"/>
        <w:rPr>
          <w:rFonts w:hint="eastAsia"/>
        </w:rPr>
      </w:pPr>
      <w:bookmarkStart w:id="165" w:name="_Toc138067489"/>
      <w:bookmarkStart w:id="166" w:name="_Toc138067478"/>
      <w:r>
        <w:rPr>
          <w:rFonts w:hint="eastAsia"/>
        </w:rPr>
        <w:t>固废处置终端监管</w:t>
      </w:r>
      <w:bookmarkEnd w:id="165"/>
    </w:p>
    <w:p w14:paraId="6A9707F8">
      <w:pPr>
        <w:spacing w:line="276" w:lineRule="auto"/>
        <w:ind w:firstLine="480"/>
        <w:rPr>
          <w:rFonts w:hint="eastAsia" w:ascii="宋体" w:hAnsi="宋体" w:eastAsia="宋体"/>
          <w:sz w:val="24"/>
          <w:szCs w:val="24"/>
        </w:rPr>
      </w:pPr>
      <w:r>
        <w:rPr>
          <w:rFonts w:hint="eastAsia" w:ascii="宋体" w:hAnsi="宋体" w:eastAsia="宋体"/>
          <w:sz w:val="24"/>
          <w:szCs w:val="24"/>
        </w:rPr>
        <w:t>终端处置厂（生活垃圾焚烧厂、餐厨垃圾处理厂、建筑垃圾资源化利用中心、生活垃圾填埋场、飞灰填埋场、粪污处置中心）运行监管实现运行工况、环保耗材、环保排放、现场环境和固废排放数据的综合监管，全真模拟焚烧工况工艺流程，采集关键指标实时数据，与国标或欧标进行对比，出现异常及时告警。</w:t>
      </w:r>
    </w:p>
    <w:p w14:paraId="781D4E92">
      <w:pPr>
        <w:pStyle w:val="14"/>
        <w:rPr>
          <w:rFonts w:hint="eastAsia"/>
          <w:bCs w:val="0"/>
        </w:rPr>
      </w:pPr>
      <w:r>
        <w:rPr>
          <w:rFonts w:hint="eastAsia"/>
          <w:bCs w:val="0"/>
        </w:rPr>
        <w:t>监测信息</w:t>
      </w:r>
      <w:r>
        <w:rPr>
          <w:bCs w:val="0"/>
        </w:rPr>
        <w:t>管理</w:t>
      </w:r>
    </w:p>
    <w:p w14:paraId="4DA0B3FF">
      <w:pPr>
        <w:spacing w:line="276" w:lineRule="auto"/>
        <w:ind w:firstLine="480"/>
        <w:rPr>
          <w:rFonts w:hint="eastAsia" w:ascii="宋体" w:hAnsi="宋体" w:eastAsia="宋体"/>
          <w:sz w:val="24"/>
          <w:szCs w:val="24"/>
        </w:rPr>
      </w:pPr>
      <w:r>
        <w:rPr>
          <w:rFonts w:hint="eastAsia" w:ascii="宋体" w:hAnsi="宋体" w:eastAsia="宋体"/>
          <w:sz w:val="24"/>
          <w:szCs w:val="24"/>
        </w:rPr>
        <w:t>垃圾的进厂量是判断终端处理能力的重要依据之一，并且与垃圾处置费用核算直接挂钩，管理部门最为关心数据的真实性。进厂量监管系统实现地磅数据的远程对接，保障底层数据的实时性，系统保留数据的修改痕迹，管理部门进行审核入库。建设内容包括本地称重软件改造、配套硬件改造、进厂量实时监控、历史记录查看、人工填报管理、异常数据处理、计量数据汇总。</w:t>
      </w:r>
    </w:p>
    <w:p w14:paraId="57F4640A">
      <w:pPr>
        <w:pStyle w:val="14"/>
        <w:rPr>
          <w:rFonts w:hint="eastAsia"/>
        </w:rPr>
      </w:pPr>
      <w:r>
        <w:t>本地称重软件</w:t>
      </w:r>
    </w:p>
    <w:p w14:paraId="20DEB6B2">
      <w:pPr>
        <w:spacing w:line="276" w:lineRule="auto"/>
        <w:ind w:firstLine="480"/>
        <w:rPr>
          <w:rFonts w:hint="eastAsia" w:ascii="宋体" w:hAnsi="宋体" w:eastAsia="宋体"/>
          <w:sz w:val="24"/>
          <w:szCs w:val="24"/>
        </w:rPr>
      </w:pPr>
      <w:r>
        <w:rPr>
          <w:rFonts w:hint="eastAsia" w:ascii="宋体" w:hAnsi="宋体" w:eastAsia="宋体"/>
          <w:sz w:val="24"/>
          <w:szCs w:val="24"/>
        </w:rPr>
        <w:t>本地称重软件改造考虑到保障数据的真实性，实现监管目的，根据业主需求对相关厂区进行本地称重软件的改造，将原有外涉设备进行接入，通过监管</w:t>
      </w:r>
      <w:r>
        <w:rPr>
          <w:rFonts w:ascii="宋体" w:hAnsi="宋体" w:eastAsia="宋体"/>
          <w:sz w:val="24"/>
          <w:szCs w:val="24"/>
        </w:rPr>
        <w:t>PLC进行信号的控制，PLC与工控机进行连接，本地称重软件进行称重全过程模拟，监管平台进行对接。</w:t>
      </w:r>
    </w:p>
    <w:p w14:paraId="2CE02711">
      <w:pPr>
        <w:spacing w:line="276" w:lineRule="auto"/>
        <w:ind w:firstLine="480"/>
        <w:rPr>
          <w:rFonts w:hint="eastAsia" w:ascii="宋体" w:hAnsi="宋体" w:eastAsia="宋体"/>
          <w:sz w:val="24"/>
          <w:szCs w:val="24"/>
        </w:rPr>
      </w:pPr>
      <w:r>
        <w:rPr>
          <w:rFonts w:hint="eastAsia" w:ascii="宋体" w:hAnsi="宋体" w:eastAsia="宋体"/>
          <w:sz w:val="24"/>
          <w:szCs w:val="24"/>
        </w:rPr>
        <w:t>本地称重软件实现数据记录、数据防篡改设置，若是数据出现人工修改，系统保留修改痕迹，监控中心审核后，才会计入最终数据。</w:t>
      </w:r>
    </w:p>
    <w:p w14:paraId="346D9692">
      <w:pPr>
        <w:spacing w:line="276" w:lineRule="auto"/>
        <w:ind w:firstLine="480"/>
        <w:rPr>
          <w:rFonts w:hint="eastAsia" w:ascii="宋体" w:hAnsi="宋体" w:eastAsia="宋体"/>
          <w:sz w:val="24"/>
          <w:szCs w:val="24"/>
        </w:rPr>
      </w:pPr>
      <w:r>
        <w:rPr>
          <w:rFonts w:hint="eastAsia" w:ascii="宋体" w:hAnsi="宋体" w:eastAsia="宋体"/>
          <w:sz w:val="24"/>
          <w:szCs w:val="24"/>
        </w:rPr>
        <w:t>管理系统实现了车辆行驶控制、称重数据的采集、过磅车辆的视频显示和抓拍、灵活多样的磅单和报表定制、准确快捷的数据查询等功能。能够满足不同场合的称重需求，提高了称重操作的工作效率，切实保障了客户的经济利益，主要包括以下八大功能：</w:t>
      </w:r>
    </w:p>
    <w:p w14:paraId="2DA7D6F4">
      <w:pPr>
        <w:spacing w:line="276" w:lineRule="auto"/>
        <w:ind w:firstLine="480"/>
        <w:rPr>
          <w:rFonts w:hint="eastAsia" w:ascii="宋体" w:hAnsi="宋体" w:eastAsia="宋体"/>
          <w:sz w:val="24"/>
          <w:szCs w:val="24"/>
        </w:rPr>
      </w:pPr>
      <w:r>
        <w:rPr>
          <w:rFonts w:ascii="宋体" w:hAnsi="宋体" w:eastAsia="宋体"/>
          <w:sz w:val="24"/>
          <w:szCs w:val="24"/>
        </w:rPr>
        <w:t>历史数据对接，本地称重软件支持数据对接，将历史数据进行批量导入；</w:t>
      </w:r>
    </w:p>
    <w:p w14:paraId="750DA683">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各地磅后台数据库数据一致，车辆与转运站、处置场（厂）对应关系准确；</w:t>
      </w:r>
    </w:p>
    <w:p w14:paraId="4F074E75">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称重数据实时上传，本单位作业车辆数据及时采集与显示，动态更新数据。</w:t>
      </w:r>
    </w:p>
    <w:p w14:paraId="752AF94D">
      <w:pPr>
        <w:spacing w:line="276" w:lineRule="auto"/>
        <w:ind w:firstLine="480"/>
        <w:rPr>
          <w:rFonts w:hint="eastAsia" w:ascii="宋体" w:hAnsi="宋体" w:eastAsia="宋体"/>
          <w:sz w:val="24"/>
          <w:szCs w:val="24"/>
        </w:rPr>
      </w:pPr>
      <w:r>
        <w:rPr>
          <w:rFonts w:ascii="宋体" w:hAnsi="宋体" w:eastAsia="宋体"/>
          <w:sz w:val="24"/>
          <w:szCs w:val="24"/>
        </w:rPr>
        <w:t>系统显示车辆过磅模拟图，道闸、信号、红外检测等设备开、关状态都可以进行显示。</w:t>
      </w:r>
    </w:p>
    <w:p w14:paraId="55173C54">
      <w:pPr>
        <w:spacing w:line="276" w:lineRule="auto"/>
        <w:ind w:firstLine="480"/>
        <w:rPr>
          <w:rFonts w:hint="eastAsia" w:ascii="宋体" w:hAnsi="宋体" w:eastAsia="宋体"/>
          <w:sz w:val="24"/>
          <w:szCs w:val="24"/>
        </w:rPr>
      </w:pPr>
      <w:r>
        <w:rPr>
          <w:rFonts w:ascii="宋体" w:hAnsi="宋体" w:eastAsia="宋体"/>
          <w:sz w:val="24"/>
          <w:szCs w:val="24"/>
        </w:rPr>
        <w:t>禁入车辆读卡后进行预警，系统弹出报警窗口，同时实现场区语音通报，提示车辆。</w:t>
      </w:r>
    </w:p>
    <w:p w14:paraId="1420B14D">
      <w:pPr>
        <w:pStyle w:val="35"/>
        <w:spacing w:before="124" w:after="124" w:line="276" w:lineRule="auto"/>
        <w:ind w:firstLine="480"/>
        <w:rPr>
          <w:rFonts w:hint="eastAsia" w:ascii="宋体" w:hAnsi="宋体"/>
          <w:sz w:val="24"/>
          <w:szCs w:val="24"/>
        </w:rPr>
      </w:pPr>
      <w:r>
        <w:rPr>
          <w:rFonts w:ascii="宋体" w:hAnsi="宋体"/>
          <w:sz w:val="24"/>
          <w:szCs w:val="24"/>
        </w:rPr>
        <w:t>称重相关后台参数设置，包括单位、垃圾类型（进厂垃圾、飞灰、炉渣等）、作业区域、</w:t>
      </w:r>
      <w:r>
        <w:rPr>
          <w:rFonts w:hint="eastAsia" w:ascii="宋体" w:hAnsi="宋体"/>
          <w:sz w:val="24"/>
          <w:szCs w:val="24"/>
        </w:rPr>
        <w:t>车牌号</w:t>
      </w:r>
      <w:r>
        <w:rPr>
          <w:rFonts w:ascii="宋体" w:hAnsi="宋体"/>
          <w:sz w:val="24"/>
          <w:szCs w:val="24"/>
        </w:rPr>
        <w:t>等。</w:t>
      </w:r>
    </w:p>
    <w:p w14:paraId="7485946C">
      <w:pPr>
        <w:spacing w:line="276" w:lineRule="auto"/>
        <w:ind w:firstLine="480"/>
        <w:rPr>
          <w:rFonts w:hint="eastAsia" w:ascii="宋体" w:hAnsi="宋体" w:eastAsia="宋体"/>
          <w:sz w:val="24"/>
          <w:szCs w:val="24"/>
        </w:rPr>
      </w:pPr>
      <w:r>
        <w:rPr>
          <w:rFonts w:ascii="宋体" w:hAnsi="宋体" w:eastAsia="宋体"/>
          <w:sz w:val="24"/>
          <w:szCs w:val="24"/>
        </w:rPr>
        <w:t>车辆称重数据统计汇总，包括日报表、周报表、月报表、季度报表、年报表等，同时可按垃圾类型、行政区域、车牌号码等维度生成统计分析报表，用户亦可自定义时间、类型等字段生成相关自定义统计报表。</w:t>
      </w:r>
    </w:p>
    <w:p w14:paraId="71375D4E">
      <w:pPr>
        <w:spacing w:line="276" w:lineRule="auto"/>
        <w:ind w:firstLine="480"/>
        <w:rPr>
          <w:rFonts w:hint="eastAsia" w:ascii="宋体" w:hAnsi="宋体" w:eastAsia="宋体"/>
          <w:sz w:val="24"/>
          <w:szCs w:val="24"/>
        </w:rPr>
      </w:pPr>
      <w:r>
        <w:rPr>
          <w:rFonts w:ascii="宋体" w:hAnsi="宋体" w:eastAsia="宋体"/>
          <w:sz w:val="24"/>
          <w:szCs w:val="24"/>
        </w:rPr>
        <w:t>异常情况响应功能，包括车辆同进同出功能、异常数据处理功能、数据补传、删重等。网络断开时称量相关数据保存在垃圾处理厂计量工控机上，当计量工作站停止工作时，数据保存在地磅智能称重采集发送设备上，网络连通后数据上传计量工作站及垃圾处理厂监管服务器上。</w:t>
      </w:r>
    </w:p>
    <w:p w14:paraId="5C060DEA">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数据实时监管</w:t>
      </w:r>
    </w:p>
    <w:p w14:paraId="3A9FF3FE">
      <w:pPr>
        <w:spacing w:line="276" w:lineRule="auto"/>
        <w:ind w:firstLine="480"/>
        <w:rPr>
          <w:rFonts w:hint="eastAsia" w:ascii="宋体" w:hAnsi="宋体" w:eastAsia="宋体"/>
          <w:sz w:val="24"/>
          <w:szCs w:val="24"/>
        </w:rPr>
      </w:pPr>
      <w:r>
        <w:rPr>
          <w:rFonts w:hint="eastAsia" w:ascii="宋体" w:hAnsi="宋体" w:eastAsia="宋体"/>
          <w:sz w:val="24"/>
          <w:szCs w:val="24"/>
        </w:rPr>
        <w:t>车辆进出各处理设施计量后工控机同步将数据上传至监控中心，实现实时采集到计量数据通过无线数传方式实时回传到监控中心。为了保证数据的完整性和及时性，符合行业标准，除基本在线传输功能以外，数据传输过程中需具备数据重传和数据校验功能。</w:t>
      </w:r>
    </w:p>
    <w:p w14:paraId="2161B4A9">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c)人工录入管理</w:t>
      </w:r>
    </w:p>
    <w:p w14:paraId="0695AF7C">
      <w:pPr>
        <w:spacing w:line="276" w:lineRule="auto"/>
        <w:ind w:firstLine="480"/>
        <w:rPr>
          <w:rFonts w:hint="eastAsia" w:ascii="宋体" w:hAnsi="宋体" w:eastAsia="宋体"/>
          <w:sz w:val="24"/>
          <w:szCs w:val="24"/>
        </w:rPr>
      </w:pPr>
      <w:r>
        <w:rPr>
          <w:rFonts w:hint="eastAsia" w:ascii="宋体" w:hAnsi="宋体" w:eastAsia="宋体"/>
          <w:sz w:val="24"/>
          <w:szCs w:val="24"/>
        </w:rPr>
        <w:t>在车辆身份无法识别的情况下，系统支持司磅员自主录入计量信息，包括垃圾车的编号、总量、皮重、净重、出入场时间等，数据支持报表生成与查询。</w:t>
      </w:r>
    </w:p>
    <w:p w14:paraId="0813F379">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数据历史查看</w:t>
      </w:r>
    </w:p>
    <w:p w14:paraId="67FAA891">
      <w:pPr>
        <w:spacing w:line="276" w:lineRule="auto"/>
        <w:ind w:firstLine="480"/>
        <w:rPr>
          <w:rFonts w:hint="eastAsia" w:ascii="宋体" w:hAnsi="宋体" w:eastAsia="宋体"/>
          <w:sz w:val="24"/>
          <w:szCs w:val="24"/>
        </w:rPr>
      </w:pPr>
      <w:r>
        <w:rPr>
          <w:rFonts w:hint="eastAsia" w:ascii="宋体" w:hAnsi="宋体" w:eastAsia="宋体"/>
          <w:sz w:val="24"/>
          <w:szCs w:val="24"/>
        </w:rPr>
        <w:t>监管人员可以在系统中对计量数据进行远程查看，可以数值显示，亦可是图形，直观形象。系统默认呈现的是实时数据，符合使用习惯，在计量数据首页可以查看处置单位、车牌号、卡号、运输队伍、运输垃圾类型、重量、时间等基本数据。</w:t>
      </w:r>
    </w:p>
    <w:p w14:paraId="37DF04A7">
      <w:pPr>
        <w:spacing w:line="276" w:lineRule="auto"/>
        <w:ind w:firstLine="480"/>
        <w:rPr>
          <w:rFonts w:hint="eastAsia" w:ascii="宋体" w:hAnsi="宋体" w:eastAsia="宋体"/>
          <w:sz w:val="24"/>
          <w:szCs w:val="24"/>
        </w:rPr>
      </w:pPr>
      <w:r>
        <w:rPr>
          <w:rFonts w:hint="eastAsia" w:ascii="宋体" w:hAnsi="宋体" w:eastAsia="宋体"/>
          <w:sz w:val="24"/>
          <w:szCs w:val="24"/>
        </w:rPr>
        <w:t>单一条件查询：单一条件查询可以是根据时间条件查询，查看某一具体时间所有车辆的计量情况，并可以进行求和；按照车牌号进行查询，查看一辆车一天或者一个月的清运量情况；按照处置单位查询，查看各处置终端的垃圾计量情况。</w:t>
      </w:r>
    </w:p>
    <w:p w14:paraId="2A3D3FE1">
      <w:pPr>
        <w:spacing w:line="276" w:lineRule="auto"/>
        <w:ind w:firstLine="480"/>
        <w:rPr>
          <w:rFonts w:hint="eastAsia" w:ascii="宋体" w:hAnsi="宋体" w:eastAsia="宋体"/>
          <w:sz w:val="24"/>
          <w:szCs w:val="24"/>
        </w:rPr>
      </w:pPr>
      <w:r>
        <w:rPr>
          <w:rFonts w:hint="eastAsia" w:ascii="宋体" w:hAnsi="宋体" w:eastAsia="宋体"/>
          <w:sz w:val="24"/>
          <w:szCs w:val="24"/>
        </w:rPr>
        <w:t>多条件查询：根据时间和车牌号，查看特定时间特定车辆的运输量；根据时间和运输队伍，查看特定时间特定运输队伍的运输量等。</w:t>
      </w:r>
    </w:p>
    <w:p w14:paraId="72AAC550">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e)数据汇总统计</w:t>
      </w:r>
    </w:p>
    <w:p w14:paraId="5EB17622">
      <w:pPr>
        <w:spacing w:line="276" w:lineRule="auto"/>
        <w:ind w:firstLine="480"/>
        <w:rPr>
          <w:rFonts w:hint="eastAsia" w:ascii="宋体" w:hAnsi="宋体" w:eastAsia="宋体"/>
          <w:sz w:val="24"/>
          <w:szCs w:val="24"/>
        </w:rPr>
      </w:pPr>
      <w:r>
        <w:rPr>
          <w:rFonts w:hint="eastAsia" w:ascii="宋体" w:hAnsi="宋体" w:eastAsia="宋体"/>
          <w:sz w:val="24"/>
          <w:szCs w:val="24"/>
        </w:rPr>
        <w:t>根据管理需求，在计量记录的基础上进行统计汇总，生成各维度的报表。根据时间维度，可以生成日、周、月、年总量报表，如生成运输维度垃圾量统计报表、垃圾转运量时间维度统计报表、垃圾来源时间维度统计报表、各处置终端时间维度统计报表等，不仅支持传统的表格方式展现统计结果，还支持图形化方式，如饼状图、柱状图及曲线图等。</w:t>
      </w:r>
    </w:p>
    <w:p w14:paraId="52CA3D63">
      <w:pPr>
        <w:pStyle w:val="14"/>
        <w:rPr>
          <w:rFonts w:hint="eastAsia"/>
          <w:bCs w:val="0"/>
        </w:rPr>
      </w:pPr>
      <w:r>
        <w:rPr>
          <w:bCs w:val="0"/>
        </w:rPr>
        <w:t>终端视频</w:t>
      </w:r>
      <w:r>
        <w:rPr>
          <w:rFonts w:hint="eastAsia"/>
        </w:rPr>
        <w:t>监管</w:t>
      </w:r>
    </w:p>
    <w:p w14:paraId="1697BB1D">
      <w:pPr>
        <w:spacing w:line="276" w:lineRule="auto"/>
        <w:ind w:firstLine="480"/>
        <w:rPr>
          <w:rFonts w:hint="eastAsia" w:ascii="宋体" w:hAnsi="宋体" w:eastAsia="宋体"/>
          <w:sz w:val="24"/>
          <w:szCs w:val="24"/>
        </w:rPr>
      </w:pPr>
      <w:r>
        <w:rPr>
          <w:rFonts w:hint="eastAsia" w:ascii="宋体" w:hAnsi="宋体" w:eastAsia="宋体"/>
          <w:sz w:val="24"/>
          <w:szCs w:val="24"/>
        </w:rPr>
        <w:t>视频监控系统通过与各类型场站现有视频资源无缝对接或者新增视频设备，基于视频平台，在监控中心可在线调用关键点位任一监管点位的视频画面，达到远程可视化监管。</w:t>
      </w:r>
    </w:p>
    <w:p w14:paraId="532F0725">
      <w:pPr>
        <w:pStyle w:val="35"/>
        <w:spacing w:before="124" w:after="124" w:line="276" w:lineRule="auto"/>
        <w:ind w:firstLine="480"/>
        <w:rPr>
          <w:rFonts w:hint="eastAsia" w:ascii="宋体" w:hAnsi="宋体"/>
          <w:sz w:val="24"/>
          <w:szCs w:val="24"/>
        </w:rPr>
      </w:pPr>
      <w:r>
        <w:rPr>
          <w:rFonts w:hint="eastAsia" w:ascii="宋体" w:hAnsi="宋体"/>
          <w:sz w:val="24"/>
          <w:szCs w:val="24"/>
        </w:rPr>
        <w:t>处置厂监控点主要包括地磅出入口、卸料车间、焚烧炉、烟囱、垃圾池、作业区、源生仓、洗车区等，具体视业务监管需求。</w:t>
      </w:r>
    </w:p>
    <w:p w14:paraId="73C5343B">
      <w:pPr>
        <w:pStyle w:val="14"/>
        <w:rPr>
          <w:rFonts w:hint="eastAsia"/>
          <w:bCs w:val="0"/>
        </w:rPr>
      </w:pPr>
      <w:r>
        <w:rPr>
          <w:rFonts w:hint="eastAsia"/>
          <w:bCs w:val="0"/>
        </w:rPr>
        <w:t>监测</w:t>
      </w:r>
      <w:r>
        <w:rPr>
          <w:rFonts w:hint="eastAsia"/>
        </w:rPr>
        <w:t>报警</w:t>
      </w:r>
    </w:p>
    <w:p w14:paraId="4B22D73B">
      <w:pPr>
        <w:spacing w:line="276" w:lineRule="auto"/>
        <w:ind w:firstLine="480"/>
        <w:rPr>
          <w:rFonts w:hint="eastAsia" w:ascii="宋体" w:hAnsi="宋体" w:eastAsia="宋体"/>
          <w:sz w:val="24"/>
          <w:szCs w:val="24"/>
        </w:rPr>
      </w:pPr>
      <w:r>
        <w:rPr>
          <w:rFonts w:hint="eastAsia" w:ascii="宋体" w:hAnsi="宋体" w:eastAsia="宋体"/>
          <w:sz w:val="24"/>
          <w:szCs w:val="24"/>
        </w:rPr>
        <w:t>系统自动采集垃圾焚烧厂工况运行参数及污染物产生过程参数，焚烧过程实时监控是对垃圾焚烧运行全过程进行实时监控、分析和预警。监控内容主要包括：入炉垃圾量、炉温、风机风量、布袋压差、含氧量、烟气停留时间、烟气出口流量等数据。</w:t>
      </w:r>
    </w:p>
    <w:p w14:paraId="0580AE8E">
      <w:pPr>
        <w:spacing w:line="276" w:lineRule="auto"/>
        <w:ind w:firstLine="480"/>
        <w:rPr>
          <w:rFonts w:hint="eastAsia" w:ascii="宋体" w:hAnsi="宋体" w:eastAsia="宋体"/>
          <w:sz w:val="24"/>
          <w:szCs w:val="24"/>
        </w:rPr>
      </w:pPr>
      <w:r>
        <w:rPr>
          <w:rFonts w:hint="eastAsia" w:ascii="宋体" w:hAnsi="宋体" w:eastAsia="宋体"/>
          <w:sz w:val="24"/>
          <w:szCs w:val="24"/>
        </w:rPr>
        <w:t>当发生实时监测数据超出预设的报警阈值，自动以高亮的形式进行实时展现，同时将该异常记录计入工况异常记录。</w:t>
      </w:r>
    </w:p>
    <w:p w14:paraId="0797D6FB">
      <w:pPr>
        <w:pStyle w:val="14"/>
        <w:rPr>
          <w:rFonts w:hint="eastAsia"/>
          <w:bCs w:val="0"/>
        </w:rPr>
      </w:pPr>
      <w:r>
        <w:rPr>
          <w:bCs w:val="0"/>
        </w:rPr>
        <w:t>环保耗材监管</w:t>
      </w:r>
    </w:p>
    <w:p w14:paraId="2BE3594F">
      <w:pPr>
        <w:spacing w:line="276" w:lineRule="auto"/>
        <w:ind w:firstLine="480"/>
        <w:rPr>
          <w:rFonts w:hint="eastAsia" w:ascii="宋体" w:hAnsi="宋体" w:eastAsia="宋体"/>
          <w:sz w:val="24"/>
          <w:szCs w:val="24"/>
        </w:rPr>
      </w:pPr>
      <w:r>
        <w:rPr>
          <w:rFonts w:hint="eastAsia" w:ascii="宋体" w:hAnsi="宋体" w:eastAsia="宋体"/>
          <w:sz w:val="24"/>
          <w:szCs w:val="24"/>
        </w:rPr>
        <w:t>环保耗材的投放量关系到排放是否达标，环保耗材的投放量与垃圾处理量、排放物指标值成相关关系，投放量的多少根据排放指标值进行相应幅度的调整，确保氮氧化物、硫化物等污染物质达标排放。实现环保耗材实时监控，出现异常及时告警，确保后续达标排放。</w:t>
      </w:r>
    </w:p>
    <w:p w14:paraId="17B7DC89">
      <w:pPr>
        <w:pStyle w:val="14"/>
        <w:rPr>
          <w:rFonts w:hint="eastAsia"/>
          <w:bCs w:val="0"/>
        </w:rPr>
      </w:pPr>
      <w:r>
        <w:rPr>
          <w:bCs w:val="0"/>
        </w:rPr>
        <w:t>环保排放监管</w:t>
      </w:r>
    </w:p>
    <w:p w14:paraId="17BE1479">
      <w:pPr>
        <w:spacing w:line="276" w:lineRule="auto"/>
        <w:ind w:firstLine="480"/>
        <w:rPr>
          <w:rFonts w:hint="eastAsia" w:ascii="宋体" w:hAnsi="宋体" w:eastAsia="宋体"/>
          <w:sz w:val="24"/>
          <w:szCs w:val="24"/>
        </w:rPr>
      </w:pPr>
      <w:r>
        <w:rPr>
          <w:rFonts w:hint="eastAsia" w:ascii="宋体" w:hAnsi="宋体" w:eastAsia="宋体"/>
          <w:sz w:val="24"/>
          <w:szCs w:val="24"/>
        </w:rPr>
        <w:t>环保排放监管实现固废、废气、废水的实时监测，根据国家标准与欧盟标准设定标准阈值，实时监测值与标准值进行对比，出现异常进行报警；实现二噁英检测数据的上报管理，并上传检测报告，并与国标进行对比分析；实现渗滤液在线监测，实现水质、水量的在线监测，出现异常时及时告警；实现固废的数据对接对炉渣、飞灰固化物的量、去向进行监管。</w:t>
      </w:r>
    </w:p>
    <w:p w14:paraId="3E0B3722">
      <w:pPr>
        <w:pStyle w:val="35"/>
        <w:spacing w:before="124" w:after="124" w:line="276" w:lineRule="auto"/>
        <w:ind w:firstLine="480"/>
        <w:rPr>
          <w:rFonts w:hint="eastAsia" w:ascii="宋体" w:hAnsi="宋体"/>
          <w:sz w:val="24"/>
          <w:szCs w:val="24"/>
        </w:rPr>
      </w:pPr>
      <w:r>
        <w:rPr>
          <w:rFonts w:hint="eastAsia" w:ascii="宋体" w:hAnsi="宋体"/>
          <w:sz w:val="24"/>
          <w:szCs w:val="24"/>
        </w:rPr>
        <w:t>接入各终端处置厂环保排放数据，例如焚烧厂实现烟气排放数据接入监管，包括烟尘浓度、烟气湿度（体积比）、</w:t>
      </w:r>
      <w:r>
        <w:rPr>
          <w:rFonts w:ascii="宋体" w:hAnsi="宋体"/>
          <w:sz w:val="24"/>
          <w:szCs w:val="24"/>
        </w:rPr>
        <w:t>HCL浓度、SO2浓度、NOx浓度、CO浓度、NH3浓度、CO2浓度、HF浓度、烟气温度、烟气压力、烟气流量</w:t>
      </w:r>
      <w:r>
        <w:rPr>
          <w:rFonts w:hint="eastAsia" w:ascii="宋体" w:hAnsi="宋体"/>
          <w:sz w:val="24"/>
          <w:szCs w:val="24"/>
        </w:rPr>
        <w:t>等，具体接入数据根据实际监管需求</w:t>
      </w:r>
      <w:r>
        <w:rPr>
          <w:rFonts w:ascii="宋体" w:hAnsi="宋体"/>
          <w:sz w:val="24"/>
          <w:szCs w:val="24"/>
        </w:rPr>
        <w:t>。系统设置阈值，出现超标时系统进行告警。</w:t>
      </w:r>
    </w:p>
    <w:p w14:paraId="6CB7E440">
      <w:pPr>
        <w:pStyle w:val="14"/>
        <w:rPr>
          <w:rFonts w:hint="eastAsia"/>
          <w:bCs w:val="0"/>
        </w:rPr>
      </w:pPr>
      <w:r>
        <w:rPr>
          <w:bCs w:val="0"/>
        </w:rPr>
        <w:t>产出物管理</w:t>
      </w:r>
    </w:p>
    <w:p w14:paraId="56740106">
      <w:pPr>
        <w:pStyle w:val="9"/>
        <w:spacing w:line="276" w:lineRule="auto"/>
        <w:ind w:firstLine="240"/>
        <w:rPr>
          <w:rFonts w:hint="eastAsia"/>
          <w:sz w:val="24"/>
        </w:rPr>
      </w:pPr>
      <w:r>
        <w:rPr>
          <w:rFonts w:hint="eastAsia"/>
          <w:sz w:val="24"/>
        </w:rPr>
        <w:t>对终端处置厂的产出物，例如建筑资源化利用中心的再生骨料、再生砌块、再生砖、再生环保砂浆、废钢回收等产出物量的统计，具体产出物接入类型视各厂区实际情况。</w:t>
      </w:r>
    </w:p>
    <w:p w14:paraId="3ADFBC10">
      <w:pPr>
        <w:pStyle w:val="14"/>
        <w:rPr>
          <w:rFonts w:hint="eastAsia"/>
          <w:bCs w:val="0"/>
        </w:rPr>
      </w:pPr>
      <w:r>
        <w:rPr>
          <w:bCs w:val="0"/>
        </w:rPr>
        <w:t>厂区作业人员行为管理</w:t>
      </w:r>
    </w:p>
    <w:p w14:paraId="0274FAF5">
      <w:pPr>
        <w:spacing w:line="276" w:lineRule="auto"/>
        <w:ind w:firstLine="480"/>
        <w:rPr>
          <w:rFonts w:hint="eastAsia" w:ascii="宋体" w:hAnsi="宋体" w:eastAsia="宋体"/>
          <w:sz w:val="24"/>
          <w:szCs w:val="24"/>
        </w:rPr>
      </w:pPr>
      <w:r>
        <w:rPr>
          <w:rFonts w:hint="eastAsia" w:ascii="宋体" w:hAnsi="宋体" w:eastAsia="宋体"/>
          <w:sz w:val="24"/>
          <w:szCs w:val="24"/>
        </w:rPr>
        <w:t>运用人脸识别、行为识别模型和多目标监测模型，实现厂区人员识别与行为识别管理，采取实时拍摄、实时分析、实时警示的设计，一旦发现施工现场出现未带安全帽、口罩或者抽烟等危险行为则系统会立即产生报警提示，以期最大可能的降低风险。</w:t>
      </w:r>
    </w:p>
    <w:p w14:paraId="599B5425">
      <w:pPr>
        <w:spacing w:line="276" w:lineRule="auto"/>
        <w:ind w:firstLine="480"/>
        <w:rPr>
          <w:rFonts w:hint="eastAsia" w:ascii="宋体" w:hAnsi="宋体" w:eastAsia="宋体"/>
          <w:sz w:val="24"/>
          <w:szCs w:val="24"/>
        </w:rPr>
      </w:pPr>
      <w:r>
        <w:rPr>
          <w:rFonts w:hint="eastAsia" w:ascii="宋体" w:hAnsi="宋体" w:eastAsia="宋体"/>
          <w:sz w:val="24"/>
          <w:szCs w:val="24"/>
        </w:rPr>
        <w:t>在厂区内安装安防摄像头或利用现有安防摄像头对厂区内工作人员的行为进行监控，通过</w:t>
      </w:r>
      <w:r>
        <w:rPr>
          <w:rFonts w:ascii="宋体" w:hAnsi="宋体" w:eastAsia="宋体"/>
          <w:sz w:val="24"/>
          <w:szCs w:val="24"/>
        </w:rPr>
        <w:t>AI识别服务进行违规行为识别，实现员工装束不规范、未戴安全帽、抽烟、未佩戴口罩等行为，避免作业期间的安全隐患。</w:t>
      </w:r>
    </w:p>
    <w:p w14:paraId="79A05363">
      <w:pPr>
        <w:pStyle w:val="14"/>
        <w:rPr>
          <w:rFonts w:hint="eastAsia"/>
          <w:bCs w:val="0"/>
        </w:rPr>
      </w:pPr>
      <w:r>
        <w:rPr>
          <w:bCs w:val="0"/>
        </w:rPr>
        <w:t>渗滤液监管</w:t>
      </w:r>
    </w:p>
    <w:p w14:paraId="511A69B6">
      <w:pPr>
        <w:spacing w:line="276" w:lineRule="auto"/>
        <w:ind w:firstLine="480"/>
        <w:rPr>
          <w:rFonts w:hint="eastAsia" w:ascii="宋体" w:hAnsi="宋体" w:eastAsia="宋体"/>
          <w:sz w:val="24"/>
          <w:szCs w:val="24"/>
        </w:rPr>
      </w:pPr>
      <w:r>
        <w:rPr>
          <w:rFonts w:hint="eastAsia" w:ascii="宋体" w:hAnsi="宋体" w:eastAsia="宋体"/>
          <w:sz w:val="24"/>
          <w:szCs w:val="24"/>
        </w:rPr>
        <w:t>渗滤液监管系统实现了终端处置厂配套的渗滤液处理厂运行状况的在线监管，主要包括水质、水量及关键点视频监控。</w:t>
      </w:r>
    </w:p>
    <w:p w14:paraId="1CB8DA87">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水质在线监管</w:t>
      </w:r>
    </w:p>
    <w:p w14:paraId="48EFE922">
      <w:pPr>
        <w:spacing w:line="276" w:lineRule="auto"/>
        <w:ind w:firstLine="480"/>
        <w:rPr>
          <w:rFonts w:hint="eastAsia" w:ascii="宋体" w:hAnsi="宋体" w:eastAsia="宋体"/>
          <w:sz w:val="24"/>
          <w:szCs w:val="24"/>
        </w:rPr>
      </w:pPr>
      <w:r>
        <w:rPr>
          <w:rFonts w:hint="eastAsia" w:ascii="宋体" w:hAnsi="宋体" w:eastAsia="宋体"/>
          <w:sz w:val="24"/>
          <w:szCs w:val="24"/>
        </w:rPr>
        <w:t>实现了渗滤液水质情况的实时监管，包括对温度、</w:t>
      </w:r>
      <w:r>
        <w:rPr>
          <w:rFonts w:ascii="宋体" w:hAnsi="宋体" w:eastAsia="宋体"/>
          <w:sz w:val="24"/>
          <w:szCs w:val="24"/>
        </w:rPr>
        <w:t>pH值、COD、BOD、氨氮、总氮、总磷等参数实现在线监控</w:t>
      </w:r>
      <w:r>
        <w:rPr>
          <w:rFonts w:hint="eastAsia" w:ascii="宋体" w:hAnsi="宋体" w:eastAsia="宋体"/>
          <w:sz w:val="24"/>
          <w:szCs w:val="24"/>
        </w:rPr>
        <w:t>，具体接入数据根据实际监管需求。</w:t>
      </w:r>
      <w:r>
        <w:rPr>
          <w:rFonts w:ascii="宋体" w:hAnsi="宋体" w:eastAsia="宋体"/>
          <w:sz w:val="24"/>
          <w:szCs w:val="24"/>
        </w:rPr>
        <w:t>同时系统可定义水质各参数的阈值，在运行过程中超阈值具有报警功能。系统可定期生成水质运行超标情况汇总报表。</w:t>
      </w:r>
    </w:p>
    <w:p w14:paraId="3DC401A2">
      <w:pPr>
        <w:spacing w:line="276" w:lineRule="auto"/>
        <w:ind w:firstLine="480"/>
        <w:rPr>
          <w:rFonts w:hint="eastAsia" w:ascii="宋体" w:hAnsi="宋体" w:eastAsia="宋体"/>
          <w:sz w:val="24"/>
          <w:szCs w:val="24"/>
        </w:rPr>
      </w:pPr>
      <w:r>
        <w:rPr>
          <w:rFonts w:hint="eastAsia" w:ascii="宋体" w:hAnsi="宋体" w:eastAsia="宋体"/>
          <w:sz w:val="24"/>
          <w:szCs w:val="24"/>
        </w:rPr>
        <w:t>保证水质达标排放，实现超标预警。</w:t>
      </w:r>
    </w:p>
    <w:p w14:paraId="57079411">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水量在线监管</w:t>
      </w:r>
    </w:p>
    <w:p w14:paraId="6466FC0B">
      <w:pPr>
        <w:spacing w:line="276" w:lineRule="auto"/>
        <w:ind w:firstLine="480"/>
        <w:rPr>
          <w:rFonts w:hint="eastAsia" w:ascii="宋体" w:hAnsi="宋体" w:eastAsia="宋体"/>
          <w:sz w:val="24"/>
          <w:szCs w:val="24"/>
        </w:rPr>
      </w:pPr>
      <w:r>
        <w:rPr>
          <w:rFonts w:hint="eastAsia" w:ascii="宋体" w:hAnsi="宋体" w:eastAsia="宋体"/>
          <w:sz w:val="24"/>
          <w:szCs w:val="24"/>
        </w:rPr>
        <w:t>实现了渗滤液水量情况的实时监管，包括对进水量和出水量两个参数实现在线监控。通过对处理过的水量数据监测，为与渗滤液处置厂运营单位的经费核算提供精确的数据支撑。</w:t>
      </w:r>
    </w:p>
    <w:p w14:paraId="353D24CC">
      <w:pPr>
        <w:spacing w:line="276" w:lineRule="auto"/>
        <w:ind w:firstLine="480"/>
        <w:rPr>
          <w:rFonts w:hint="eastAsia" w:ascii="宋体" w:hAnsi="宋体" w:eastAsia="宋体"/>
          <w:sz w:val="24"/>
          <w:szCs w:val="24"/>
        </w:rPr>
      </w:pPr>
      <w:r>
        <w:rPr>
          <w:rFonts w:hint="eastAsia" w:ascii="宋体" w:hAnsi="宋体" w:eastAsia="宋体"/>
          <w:sz w:val="24"/>
          <w:szCs w:val="24"/>
        </w:rPr>
        <w:t>水量数据实时监测，经费核算准确高效。</w:t>
      </w:r>
    </w:p>
    <w:p w14:paraId="46571812">
      <w:pPr>
        <w:pStyle w:val="14"/>
        <w:rPr>
          <w:rFonts w:hint="eastAsia"/>
          <w:bCs w:val="0"/>
        </w:rPr>
      </w:pPr>
      <w:r>
        <w:rPr>
          <w:bCs w:val="0"/>
        </w:rPr>
        <w:t>臭气</w:t>
      </w:r>
      <w:r>
        <w:rPr>
          <w:rFonts w:hint="eastAsia"/>
        </w:rPr>
        <w:t>监测</w:t>
      </w:r>
    </w:p>
    <w:p w14:paraId="730B9E0A">
      <w:pPr>
        <w:spacing w:line="276" w:lineRule="auto"/>
        <w:ind w:firstLine="480"/>
        <w:rPr>
          <w:rFonts w:hint="eastAsia" w:ascii="宋体" w:hAnsi="宋体" w:eastAsia="宋体"/>
          <w:sz w:val="24"/>
          <w:szCs w:val="24"/>
        </w:rPr>
      </w:pPr>
      <w:r>
        <w:rPr>
          <w:rFonts w:hint="eastAsia" w:ascii="宋体" w:hAnsi="宋体" w:eastAsia="宋体"/>
          <w:sz w:val="24"/>
          <w:szCs w:val="24"/>
        </w:rPr>
        <w:t>现在利用臭气监测终端对臭气数据进行采集。臭气监测终端包括作业面可移动监测终端和场区周边关键点固定监测终端两种，分别设置于臭气产生源和臭气扩散路径中的关键点，实时监测臭气中典型气体（</w:t>
      </w:r>
      <w:r>
        <w:rPr>
          <w:rFonts w:ascii="宋体" w:hAnsi="宋体" w:eastAsia="宋体"/>
          <w:sz w:val="24"/>
          <w:szCs w:val="24"/>
        </w:rPr>
        <w:t>CH4、H2S、NH3等）浓度，设置安全值，接近安全值时具备报警功能（含现场声光报警），并根据监测结果进行除臭管理。</w:t>
      </w:r>
    </w:p>
    <w:p w14:paraId="3FFC6695">
      <w:pPr>
        <w:spacing w:line="276" w:lineRule="auto"/>
        <w:ind w:firstLine="480"/>
        <w:rPr>
          <w:rFonts w:hint="eastAsia" w:ascii="宋体" w:hAnsi="宋体" w:eastAsia="宋体"/>
          <w:sz w:val="24"/>
          <w:szCs w:val="24"/>
        </w:rPr>
      </w:pPr>
      <w:r>
        <w:rPr>
          <w:rFonts w:hint="eastAsia" w:ascii="宋体" w:hAnsi="宋体" w:eastAsia="宋体"/>
          <w:sz w:val="24"/>
          <w:szCs w:val="24"/>
        </w:rPr>
        <w:t>在系统中记录臭气相关数据，形成统计报表，作为臭气评价分析的基础数据。</w:t>
      </w:r>
    </w:p>
    <w:p w14:paraId="40602EF5">
      <w:pPr>
        <w:pStyle w:val="14"/>
        <w:rPr>
          <w:rFonts w:hint="eastAsia"/>
          <w:bCs w:val="0"/>
        </w:rPr>
      </w:pPr>
      <w:r>
        <w:rPr>
          <w:bCs w:val="0"/>
        </w:rPr>
        <w:t>运行数据上报</w:t>
      </w:r>
    </w:p>
    <w:p w14:paraId="5BC66C4B">
      <w:pPr>
        <w:spacing w:line="276" w:lineRule="auto"/>
        <w:ind w:firstLine="480"/>
        <w:rPr>
          <w:rFonts w:hint="eastAsia" w:ascii="宋体" w:hAnsi="宋体" w:eastAsia="宋体"/>
          <w:sz w:val="24"/>
          <w:szCs w:val="24"/>
        </w:rPr>
      </w:pPr>
      <w:r>
        <w:rPr>
          <w:rFonts w:hint="eastAsia" w:ascii="宋体" w:hAnsi="宋体" w:eastAsia="宋体"/>
          <w:sz w:val="24"/>
          <w:szCs w:val="24"/>
        </w:rPr>
        <w:t>处置终端除</w:t>
      </w:r>
      <w:r>
        <w:rPr>
          <w:rFonts w:ascii="宋体" w:hAnsi="宋体" w:eastAsia="宋体"/>
          <w:sz w:val="24"/>
          <w:szCs w:val="24"/>
        </w:rPr>
        <w:t>DCS系统外还会产生大量的非结构化数据，这些数据主要由终端各类操作人员进行及时的登记并上报，上报内容主要根据终端实际的信息化情况设定，包括发电量、上网电量等数据。系统支持手工填报及数据文件上报两种形式：</w:t>
      </w:r>
    </w:p>
    <w:p w14:paraId="154BC915">
      <w:pPr>
        <w:spacing w:line="276" w:lineRule="auto"/>
        <w:ind w:firstLine="480"/>
        <w:rPr>
          <w:rFonts w:hint="eastAsia" w:ascii="宋体" w:hAnsi="宋体" w:eastAsia="宋体"/>
          <w:sz w:val="24"/>
          <w:szCs w:val="24"/>
        </w:rPr>
      </w:pPr>
      <w:r>
        <w:rPr>
          <w:rFonts w:hint="eastAsia" w:ascii="宋体" w:hAnsi="宋体" w:eastAsia="宋体"/>
          <w:sz w:val="24"/>
          <w:szCs w:val="24"/>
        </w:rPr>
        <w:t>手工填报：终端人员可以直接在界面上数据需要上报的数据需要上报的数据根据实际建设情况进行定制，其主要内容包括：外部送检报告、未进行电子化的数据等。</w:t>
      </w:r>
    </w:p>
    <w:p w14:paraId="1337EBD6">
      <w:pPr>
        <w:spacing w:line="276" w:lineRule="auto"/>
        <w:ind w:firstLine="480"/>
        <w:rPr>
          <w:rFonts w:hint="eastAsia" w:ascii="宋体" w:hAnsi="宋体" w:eastAsia="宋体"/>
          <w:sz w:val="24"/>
          <w:szCs w:val="24"/>
        </w:rPr>
      </w:pPr>
      <w:r>
        <w:rPr>
          <w:rFonts w:hint="eastAsia" w:ascii="宋体" w:hAnsi="宋体" w:eastAsia="宋体"/>
          <w:sz w:val="24"/>
          <w:szCs w:val="24"/>
        </w:rPr>
        <w:t>数据文件上报：终端人员可以下载数据文件下载数据文件的模板，将需要上报的数据按照模板的格式进行调整，完成后可以直接将数据文件上传至服务器，系统自动解析服务器中的数据文件，并自动将数据进行结构化。</w:t>
      </w:r>
    </w:p>
    <w:p w14:paraId="257A0E26">
      <w:pPr>
        <w:pStyle w:val="8"/>
        <w:rPr>
          <w:rFonts w:hint="eastAsia"/>
        </w:rPr>
      </w:pPr>
      <w:r>
        <w:rPr>
          <w:rFonts w:hint="eastAsia"/>
        </w:rPr>
        <w:t>广告店招信息管理系统</w:t>
      </w:r>
      <w:bookmarkEnd w:id="166"/>
      <w:r>
        <w:rPr>
          <w:rFonts w:hint="eastAsia"/>
        </w:rPr>
        <w:t xml:space="preserve"> </w:t>
      </w:r>
    </w:p>
    <w:p w14:paraId="7D3D1987">
      <w:pPr>
        <w:pStyle w:val="14"/>
        <w:rPr>
          <w:rFonts w:hint="eastAsia"/>
          <w:bCs w:val="0"/>
        </w:rPr>
      </w:pPr>
      <w:r>
        <w:rPr>
          <w:bCs w:val="0"/>
        </w:rPr>
        <w:t>档案管理</w:t>
      </w:r>
    </w:p>
    <w:p w14:paraId="77A80D8A">
      <w:pPr>
        <w:spacing w:line="276" w:lineRule="auto"/>
        <w:ind w:firstLine="480"/>
        <w:rPr>
          <w:rFonts w:hint="eastAsia" w:ascii="宋体" w:hAnsi="宋体" w:eastAsia="宋体"/>
          <w:sz w:val="24"/>
          <w:szCs w:val="24"/>
        </w:rPr>
      </w:pPr>
      <w:r>
        <w:rPr>
          <w:rFonts w:hint="eastAsia" w:ascii="宋体" w:hAnsi="宋体" w:eastAsia="宋体"/>
          <w:sz w:val="24"/>
          <w:szCs w:val="24"/>
        </w:rPr>
        <w:t>广告店招档案管理模块对现有广告店招信息进行统一管理，建立广告店招档案信息，包括广告店招新增、详情、编辑、删除、查询、检测新增、检测审核、超期提醒。</w:t>
      </w:r>
    </w:p>
    <w:p w14:paraId="3E16AE66">
      <w:pPr>
        <w:pStyle w:val="14"/>
        <w:rPr>
          <w:rFonts w:hint="eastAsia"/>
          <w:bCs w:val="0"/>
        </w:rPr>
      </w:pPr>
      <w:r>
        <w:rPr>
          <w:bCs w:val="0"/>
        </w:rPr>
        <w:t>移动</w:t>
      </w:r>
      <w:r>
        <w:rPr>
          <w:rFonts w:hint="eastAsia"/>
        </w:rPr>
        <w:t>巡查</w:t>
      </w:r>
    </w:p>
    <w:p w14:paraId="0EAB8E1F">
      <w:pPr>
        <w:spacing w:line="276" w:lineRule="auto"/>
        <w:ind w:firstLine="480"/>
        <w:rPr>
          <w:rFonts w:hint="eastAsia" w:ascii="宋体" w:hAnsi="宋体" w:eastAsia="宋体"/>
          <w:sz w:val="24"/>
          <w:szCs w:val="24"/>
        </w:rPr>
      </w:pPr>
      <w:r>
        <w:rPr>
          <w:rFonts w:hint="eastAsia" w:ascii="宋体" w:hAnsi="宋体" w:eastAsia="宋体"/>
          <w:sz w:val="24"/>
          <w:szCs w:val="24"/>
        </w:rPr>
        <w:t>日常广告店招信息的巡查上报，巡查或管理人员随时上报广告店招相关案件，更新广告店招信息，对广告店招审批信息进行查询。</w:t>
      </w:r>
    </w:p>
    <w:p w14:paraId="2CFB312E">
      <w:pPr>
        <w:pStyle w:val="14"/>
        <w:rPr>
          <w:rFonts w:hint="eastAsia"/>
          <w:bCs w:val="0"/>
        </w:rPr>
      </w:pPr>
      <w:r>
        <w:rPr>
          <w:bCs w:val="0"/>
        </w:rPr>
        <w:t>案卷</w:t>
      </w:r>
      <w:r>
        <w:rPr>
          <w:rFonts w:hint="eastAsia"/>
        </w:rPr>
        <w:t>管理</w:t>
      </w:r>
    </w:p>
    <w:p w14:paraId="12B247F7">
      <w:pPr>
        <w:spacing w:line="276" w:lineRule="auto"/>
        <w:ind w:firstLine="480"/>
        <w:rPr>
          <w:rFonts w:hint="eastAsia" w:ascii="宋体" w:hAnsi="宋体" w:eastAsia="宋体"/>
          <w:sz w:val="24"/>
          <w:szCs w:val="24"/>
        </w:rPr>
      </w:pPr>
      <w:r>
        <w:rPr>
          <w:rFonts w:hint="eastAsia" w:ascii="宋体" w:hAnsi="宋体" w:eastAsia="宋体"/>
          <w:sz w:val="24"/>
          <w:szCs w:val="24"/>
        </w:rPr>
        <w:t>广告店招案卷管理模块通过复用指挥协调系统，获取监督员或其他方式上报的广告店招类案件，由专人负责受理派遣和结案，并实时查看案件办理进度。该功能同样适用于城市亮化的管理。</w:t>
      </w:r>
    </w:p>
    <w:p w14:paraId="33721825">
      <w:pPr>
        <w:pStyle w:val="14"/>
        <w:rPr>
          <w:rFonts w:hint="eastAsia"/>
          <w:bCs w:val="0"/>
        </w:rPr>
      </w:pPr>
      <w:r>
        <w:rPr>
          <w:bCs w:val="0"/>
        </w:rPr>
        <w:t>倾斜</w:t>
      </w:r>
      <w:r>
        <w:rPr>
          <w:rFonts w:hint="eastAsia"/>
        </w:rPr>
        <w:t>监测</w:t>
      </w:r>
    </w:p>
    <w:p w14:paraId="688AAC5D">
      <w:pPr>
        <w:spacing w:line="276" w:lineRule="auto"/>
        <w:ind w:firstLine="480"/>
        <w:rPr>
          <w:rFonts w:hint="eastAsia" w:ascii="宋体" w:hAnsi="宋体" w:eastAsia="宋体"/>
          <w:sz w:val="24"/>
          <w:szCs w:val="24"/>
        </w:rPr>
      </w:pPr>
      <w:r>
        <w:rPr>
          <w:rFonts w:hint="eastAsia" w:ascii="宋体" w:hAnsi="宋体" w:eastAsia="宋体"/>
          <w:sz w:val="24"/>
          <w:szCs w:val="24"/>
        </w:rPr>
        <w:t>对</w:t>
      </w:r>
      <w:r>
        <w:rPr>
          <w:rFonts w:ascii="宋体" w:hAnsi="宋体" w:eastAsia="宋体"/>
          <w:sz w:val="24"/>
          <w:szCs w:val="24"/>
        </w:rPr>
        <w:t>65块市直管的大型户外广告牌安装广告倾斜监测硬件设备，对户外广告倾斜情况进行监测，实时反馈相关数据，若超过倾斜标准范围，则进行告警，在系统上显示告警信息，并可以通过短信或消息的方式提醒相关工作人员及时处理，降低安全事故的风险。</w:t>
      </w:r>
    </w:p>
    <w:p w14:paraId="12142529">
      <w:pPr>
        <w:pStyle w:val="14"/>
        <w:rPr>
          <w:rFonts w:hint="eastAsia"/>
          <w:bCs w:val="0"/>
        </w:rPr>
      </w:pPr>
      <w:r>
        <w:rPr>
          <w:bCs w:val="0"/>
        </w:rPr>
        <w:t>实时监控</w:t>
      </w:r>
    </w:p>
    <w:p w14:paraId="0B238A82">
      <w:pPr>
        <w:spacing w:line="276" w:lineRule="auto"/>
        <w:ind w:firstLine="480"/>
        <w:rPr>
          <w:rFonts w:hint="eastAsia" w:ascii="宋体" w:hAnsi="宋体" w:eastAsia="宋体"/>
          <w:sz w:val="24"/>
          <w:szCs w:val="24"/>
        </w:rPr>
      </w:pPr>
      <w:r>
        <w:rPr>
          <w:rFonts w:hint="eastAsia" w:ascii="宋体" w:hAnsi="宋体" w:eastAsia="宋体"/>
          <w:sz w:val="24"/>
          <w:szCs w:val="24"/>
        </w:rPr>
        <w:t>通过选择公安共享视频和安装固定点位视频的方式，实现对大型户外电子媒体屏的实时监管查看。</w:t>
      </w:r>
    </w:p>
    <w:p w14:paraId="71FB62E1">
      <w:pPr>
        <w:pStyle w:val="14"/>
        <w:rPr>
          <w:rFonts w:hint="eastAsia"/>
          <w:bCs w:val="0"/>
        </w:rPr>
      </w:pPr>
      <w:r>
        <w:rPr>
          <w:rFonts w:hint="eastAsia"/>
        </w:rPr>
        <w:t>查询</w:t>
      </w:r>
      <w:r>
        <w:rPr>
          <w:bCs w:val="0"/>
        </w:rPr>
        <w:t>统计</w:t>
      </w:r>
    </w:p>
    <w:p w14:paraId="69D5B0FD">
      <w:pPr>
        <w:spacing w:line="276" w:lineRule="auto"/>
        <w:ind w:firstLine="480"/>
        <w:rPr>
          <w:rFonts w:hint="eastAsia" w:ascii="宋体" w:hAnsi="宋体" w:eastAsia="宋体"/>
          <w:sz w:val="24"/>
          <w:szCs w:val="24"/>
        </w:rPr>
      </w:pPr>
      <w:r>
        <w:rPr>
          <w:rFonts w:hint="eastAsia" w:ascii="宋体" w:hAnsi="宋体" w:eastAsia="宋体"/>
          <w:sz w:val="24"/>
          <w:szCs w:val="24"/>
        </w:rPr>
        <w:t>对广告店招数据进行统计，统计条件包括时间、区域、类别等，可使用图表方式展示。</w:t>
      </w:r>
    </w:p>
    <w:p w14:paraId="59020D7A">
      <w:pPr>
        <w:pStyle w:val="14"/>
        <w:rPr>
          <w:rFonts w:hint="eastAsia"/>
          <w:bCs w:val="0"/>
        </w:rPr>
      </w:pPr>
      <w:r>
        <w:rPr>
          <w:rFonts w:hint="eastAsia"/>
        </w:rPr>
        <w:t>综合</w:t>
      </w:r>
      <w:r>
        <w:rPr>
          <w:bCs w:val="0"/>
        </w:rPr>
        <w:t>展示</w:t>
      </w:r>
    </w:p>
    <w:p w14:paraId="5B877793">
      <w:pPr>
        <w:spacing w:line="276" w:lineRule="auto"/>
        <w:ind w:firstLine="480"/>
        <w:rPr>
          <w:rFonts w:hint="eastAsia" w:ascii="宋体" w:hAnsi="宋体" w:eastAsia="宋体"/>
          <w:sz w:val="24"/>
          <w:szCs w:val="24"/>
        </w:rPr>
      </w:pPr>
      <w:r>
        <w:rPr>
          <w:rFonts w:hint="eastAsia" w:ascii="宋体" w:hAnsi="宋体" w:eastAsia="宋体"/>
          <w:sz w:val="24"/>
          <w:szCs w:val="24"/>
        </w:rPr>
        <w:t>将广告店招基础数据、统计数据、案件数据、超期数据等与地图结合联动展示。</w:t>
      </w:r>
    </w:p>
    <w:bookmarkEnd w:id="152"/>
    <w:bookmarkEnd w:id="153"/>
    <w:bookmarkEnd w:id="154"/>
    <w:bookmarkEnd w:id="155"/>
    <w:bookmarkEnd w:id="156"/>
    <w:bookmarkEnd w:id="157"/>
    <w:bookmarkEnd w:id="158"/>
    <w:bookmarkEnd w:id="159"/>
    <w:bookmarkEnd w:id="160"/>
    <w:bookmarkEnd w:id="161"/>
    <w:p w14:paraId="31986538">
      <w:pPr>
        <w:pStyle w:val="8"/>
        <w:rPr>
          <w:rFonts w:hint="eastAsia"/>
        </w:rPr>
      </w:pPr>
      <w:bookmarkStart w:id="167" w:name="_Toc51781896"/>
      <w:bookmarkStart w:id="168" w:name="_Toc58504753"/>
      <w:bookmarkStart w:id="169" w:name="_Toc64887254"/>
      <w:bookmarkStart w:id="170" w:name="_Toc62840968"/>
      <w:bookmarkStart w:id="171" w:name="_Toc61694038"/>
      <w:bookmarkStart w:id="172" w:name="_Toc51782106"/>
      <w:bookmarkStart w:id="173" w:name="_Toc51782323"/>
      <w:bookmarkStart w:id="174" w:name="_Toc138067479"/>
      <w:bookmarkStart w:id="175" w:name="_Toc45117751"/>
      <w:bookmarkStart w:id="176" w:name="_Hlk58331364"/>
      <w:bookmarkStart w:id="177" w:name="_Toc45117750"/>
      <w:bookmarkStart w:id="178" w:name="_Toc62840966"/>
      <w:bookmarkStart w:id="179" w:name="_Toc51782105"/>
      <w:bookmarkStart w:id="180" w:name="_Toc61694037"/>
      <w:bookmarkStart w:id="181" w:name="_Toc64887241"/>
      <w:bookmarkStart w:id="182" w:name="_Toc51781895"/>
      <w:bookmarkStart w:id="183" w:name="_Toc51782322"/>
      <w:bookmarkStart w:id="184" w:name="_Toc58504752"/>
      <w:r>
        <w:rPr>
          <w:rFonts w:hint="eastAsia"/>
        </w:rPr>
        <w:t>智能识别分析系统</w:t>
      </w:r>
      <w:bookmarkEnd w:id="167"/>
      <w:bookmarkEnd w:id="168"/>
      <w:bookmarkEnd w:id="169"/>
      <w:bookmarkEnd w:id="170"/>
      <w:bookmarkEnd w:id="171"/>
      <w:bookmarkEnd w:id="172"/>
      <w:bookmarkEnd w:id="173"/>
      <w:bookmarkEnd w:id="174"/>
      <w:bookmarkEnd w:id="175"/>
    </w:p>
    <w:p w14:paraId="2882E6D1">
      <w:pPr>
        <w:spacing w:line="276" w:lineRule="auto"/>
        <w:ind w:firstLine="480"/>
        <w:rPr>
          <w:rFonts w:hint="eastAsia" w:ascii="宋体" w:hAnsi="宋体" w:eastAsia="宋体"/>
          <w:sz w:val="24"/>
          <w:szCs w:val="24"/>
        </w:rPr>
      </w:pPr>
      <w:r>
        <w:rPr>
          <w:rFonts w:hint="eastAsia" w:ascii="宋体" w:hAnsi="宋体" w:eastAsia="宋体"/>
          <w:sz w:val="24"/>
          <w:szCs w:val="24"/>
        </w:rPr>
        <w:t>从视频资源池中选取</w:t>
      </w:r>
      <w:r>
        <w:rPr>
          <w:rFonts w:hint="eastAsia" w:ascii="宋体" w:hAnsi="宋体" w:eastAsia="宋体"/>
          <w:sz w:val="24"/>
          <w:szCs w:val="24"/>
          <w:lang w:val="en-US" w:eastAsia="zh-CN"/>
        </w:rPr>
        <w:t>大丰区部分区域</w:t>
      </w:r>
      <w:r>
        <w:rPr>
          <w:rFonts w:hint="eastAsia" w:ascii="宋体" w:hAnsi="宋体" w:eastAsia="宋体"/>
          <w:sz w:val="24"/>
          <w:szCs w:val="24"/>
        </w:rPr>
        <w:t>视频进行智能分析，对城市管理相关违规事件进行检测。</w:t>
      </w:r>
    </w:p>
    <w:p w14:paraId="4609C3E3">
      <w:pPr>
        <w:spacing w:line="276" w:lineRule="auto"/>
        <w:ind w:firstLine="480"/>
        <w:rPr>
          <w:rFonts w:hint="eastAsia" w:ascii="宋体" w:hAnsi="宋体" w:eastAsia="宋体"/>
          <w:sz w:val="24"/>
          <w:szCs w:val="24"/>
        </w:rPr>
      </w:pPr>
      <w:r>
        <w:rPr>
          <w:rFonts w:hint="eastAsia" w:ascii="宋体" w:hAnsi="宋体" w:eastAsia="宋体"/>
          <w:sz w:val="24"/>
          <w:szCs w:val="24"/>
        </w:rPr>
        <w:t>通过深度学习人工智能技术，让城市违规事件发现从被动响应到主动防范，从大量人工处理转为自动发现和半自动处理，从重点区域人工查看到全域自动监看，从人工交接转换为自动化接口交办，解放人力实现精准研判、精准处理和持续性改进。主要功能需求如下：</w:t>
      </w:r>
    </w:p>
    <w:p w14:paraId="1B17694C">
      <w:pPr>
        <w:pStyle w:val="14"/>
        <w:rPr>
          <w:rFonts w:hint="eastAsia"/>
          <w:bCs w:val="0"/>
        </w:rPr>
      </w:pPr>
      <w:bookmarkStart w:id="185" w:name="_Toc64887255"/>
      <w:r>
        <w:rPr>
          <w:rFonts w:hint="eastAsia"/>
          <w:bCs w:val="0"/>
        </w:rPr>
        <w:t>实时</w:t>
      </w:r>
      <w:r>
        <w:rPr>
          <w:rFonts w:hint="eastAsia"/>
        </w:rPr>
        <w:t>信息</w:t>
      </w:r>
      <w:bookmarkEnd w:id="185"/>
    </w:p>
    <w:p w14:paraId="3AF3DAC3">
      <w:pPr>
        <w:spacing w:line="276" w:lineRule="auto"/>
        <w:ind w:firstLine="480"/>
        <w:rPr>
          <w:rFonts w:hint="eastAsia" w:ascii="宋体" w:hAnsi="宋体" w:eastAsia="宋体"/>
          <w:sz w:val="24"/>
          <w:szCs w:val="24"/>
        </w:rPr>
      </w:pPr>
      <w:r>
        <w:rPr>
          <w:rFonts w:hint="eastAsia" w:ascii="宋体" w:hAnsi="宋体" w:eastAsia="宋体"/>
          <w:sz w:val="24"/>
          <w:szCs w:val="24"/>
        </w:rPr>
        <w:t>主要展示今日设备在线数（设备总数、设备在线数、设备离线数），最新事件展示，</w:t>
      </w:r>
      <w:r>
        <w:rPr>
          <w:rFonts w:ascii="宋体" w:hAnsi="宋体" w:eastAsia="宋体"/>
          <w:sz w:val="24"/>
          <w:szCs w:val="24"/>
        </w:rPr>
        <w:t>AI识别统计，确认违规统计，事件上报业务平台统计，审核率分析，事件发生地点排行，识别有效数/事件发生数，事件发生时段排行，事件类型占比等模块。</w:t>
      </w:r>
    </w:p>
    <w:p w14:paraId="69C91C14">
      <w:pPr>
        <w:pStyle w:val="14"/>
        <w:rPr>
          <w:rFonts w:hint="eastAsia"/>
          <w:bCs w:val="0"/>
        </w:rPr>
      </w:pPr>
      <w:bookmarkStart w:id="186" w:name="_Toc64887256"/>
      <w:r>
        <w:rPr>
          <w:rFonts w:hint="eastAsia"/>
          <w:bCs w:val="0"/>
        </w:rPr>
        <w:t>数据检索</w:t>
      </w:r>
      <w:bookmarkEnd w:id="186"/>
    </w:p>
    <w:p w14:paraId="0BDD22E1">
      <w:pPr>
        <w:spacing w:line="276" w:lineRule="auto"/>
        <w:ind w:firstLine="480"/>
        <w:rPr>
          <w:rFonts w:hint="eastAsia" w:ascii="宋体" w:hAnsi="宋体" w:eastAsia="宋体"/>
          <w:sz w:val="24"/>
          <w:szCs w:val="24"/>
        </w:rPr>
      </w:pPr>
      <w:r>
        <w:rPr>
          <w:rFonts w:hint="eastAsia" w:ascii="宋体" w:hAnsi="宋体" w:eastAsia="宋体"/>
          <w:sz w:val="24"/>
          <w:szCs w:val="24"/>
        </w:rPr>
        <w:t>根据点位信息、违规事件自动识别的时间（今天、近三天、近七天）、事件自动识别类型和事件审核状态对所有的违规事件进行检索，筛选出用户感兴趣的所有事件。包括</w:t>
      </w:r>
      <w:r>
        <w:rPr>
          <w:rFonts w:ascii="宋体" w:hAnsi="宋体" w:eastAsia="宋体"/>
          <w:sz w:val="24"/>
          <w:szCs w:val="24"/>
        </w:rPr>
        <w:t>关键字查询以及条件检索</w:t>
      </w:r>
      <w:r>
        <w:rPr>
          <w:rFonts w:hint="eastAsia" w:ascii="宋体" w:hAnsi="宋体" w:eastAsia="宋体"/>
          <w:sz w:val="24"/>
          <w:szCs w:val="24"/>
        </w:rPr>
        <w:t>、</w:t>
      </w:r>
      <w:r>
        <w:rPr>
          <w:rFonts w:ascii="宋体" w:hAnsi="宋体" w:eastAsia="宋体"/>
          <w:sz w:val="24"/>
          <w:szCs w:val="24"/>
        </w:rPr>
        <w:t>二次检索</w:t>
      </w:r>
      <w:r>
        <w:rPr>
          <w:rFonts w:hint="eastAsia" w:ascii="宋体" w:hAnsi="宋体" w:eastAsia="宋体"/>
          <w:sz w:val="24"/>
          <w:szCs w:val="24"/>
        </w:rPr>
        <w:t>、</w:t>
      </w:r>
      <w:r>
        <w:rPr>
          <w:rFonts w:ascii="宋体" w:hAnsi="宋体" w:eastAsia="宋体"/>
          <w:sz w:val="24"/>
          <w:szCs w:val="24"/>
        </w:rPr>
        <w:t>识别结果导出</w:t>
      </w:r>
      <w:r>
        <w:rPr>
          <w:rFonts w:hint="eastAsia" w:ascii="宋体" w:hAnsi="宋体" w:eastAsia="宋体"/>
          <w:sz w:val="24"/>
          <w:szCs w:val="24"/>
        </w:rPr>
        <w:t>、</w:t>
      </w:r>
      <w:r>
        <w:rPr>
          <w:rFonts w:ascii="宋体" w:hAnsi="宋体" w:eastAsia="宋体"/>
          <w:sz w:val="24"/>
          <w:szCs w:val="24"/>
        </w:rPr>
        <w:t>查看详情与审核上报</w:t>
      </w:r>
      <w:r>
        <w:rPr>
          <w:rFonts w:hint="eastAsia" w:ascii="宋体" w:hAnsi="宋体" w:eastAsia="宋体"/>
          <w:sz w:val="24"/>
          <w:szCs w:val="24"/>
        </w:rPr>
        <w:t>等。</w:t>
      </w:r>
    </w:p>
    <w:p w14:paraId="732AD61E">
      <w:pPr>
        <w:pStyle w:val="14"/>
        <w:rPr>
          <w:rFonts w:hint="eastAsia"/>
          <w:bCs w:val="0"/>
        </w:rPr>
      </w:pPr>
      <w:bookmarkStart w:id="187" w:name="_Toc64887257"/>
      <w:r>
        <w:rPr>
          <w:rFonts w:hint="eastAsia"/>
          <w:bCs w:val="0"/>
        </w:rPr>
        <w:t>审核处理</w:t>
      </w:r>
      <w:bookmarkEnd w:id="187"/>
    </w:p>
    <w:p w14:paraId="0E940CA8">
      <w:pPr>
        <w:spacing w:line="276" w:lineRule="auto"/>
        <w:ind w:firstLine="480"/>
        <w:rPr>
          <w:rFonts w:hint="eastAsia" w:ascii="宋体" w:hAnsi="宋体" w:eastAsia="宋体"/>
          <w:sz w:val="24"/>
          <w:szCs w:val="24"/>
        </w:rPr>
      </w:pPr>
      <w:r>
        <w:rPr>
          <w:rFonts w:hint="eastAsia" w:ascii="宋体" w:hAnsi="宋体" w:eastAsia="宋体"/>
          <w:sz w:val="24"/>
          <w:szCs w:val="24"/>
        </w:rPr>
        <w:t>为确保违规事件上报业务平台的可靠性，减少无效事件上报，降低业务平台处理压力，须通过人工对算法识别结果进行审核处理。包括</w:t>
      </w:r>
      <w:r>
        <w:rPr>
          <w:rFonts w:ascii="宋体" w:hAnsi="宋体" w:eastAsia="宋体"/>
          <w:sz w:val="24"/>
          <w:szCs w:val="24"/>
        </w:rPr>
        <w:t>人工审核与上报</w:t>
      </w:r>
      <w:r>
        <w:rPr>
          <w:rFonts w:hint="eastAsia" w:ascii="宋体" w:hAnsi="宋体" w:eastAsia="宋体"/>
          <w:sz w:val="24"/>
          <w:szCs w:val="24"/>
        </w:rPr>
        <w:t>、视频查看。</w:t>
      </w:r>
    </w:p>
    <w:p w14:paraId="49542830">
      <w:pPr>
        <w:pStyle w:val="14"/>
        <w:rPr>
          <w:rFonts w:hint="eastAsia"/>
          <w:bCs w:val="0"/>
        </w:rPr>
      </w:pPr>
      <w:bookmarkStart w:id="188" w:name="_Toc64887258"/>
      <w:r>
        <w:rPr>
          <w:rFonts w:hint="eastAsia"/>
          <w:bCs w:val="0"/>
        </w:rPr>
        <w:t>AI智能检测</w:t>
      </w:r>
      <w:bookmarkEnd w:id="188"/>
    </w:p>
    <w:p w14:paraId="5D201E35">
      <w:pPr>
        <w:spacing w:line="276" w:lineRule="auto"/>
        <w:ind w:firstLine="480"/>
        <w:rPr>
          <w:rFonts w:hint="eastAsia" w:ascii="宋体" w:hAnsi="宋体" w:eastAsia="宋体"/>
          <w:sz w:val="24"/>
          <w:szCs w:val="24"/>
        </w:rPr>
      </w:pPr>
      <w:bookmarkStart w:id="189" w:name="_Hlk45543657"/>
      <w:r>
        <w:rPr>
          <w:rFonts w:hint="eastAsia" w:ascii="宋体" w:hAnsi="宋体" w:eastAsia="宋体"/>
          <w:sz w:val="24"/>
          <w:szCs w:val="24"/>
        </w:rPr>
        <w:t>针对城市管理中常见的违规行为，如出店经营、流动摊点、乱堆乱放、沿街晾晒、非机动车违停、机动车违停、暴露垃圾、擅设广告、乱搭乱建等进行视频图像AI智能检测识别分析。</w:t>
      </w:r>
      <w:bookmarkEnd w:id="189"/>
    </w:p>
    <w:p w14:paraId="6D8DC939">
      <w:pPr>
        <w:pStyle w:val="14"/>
        <w:rPr>
          <w:rFonts w:hint="eastAsia"/>
          <w:bCs w:val="0"/>
        </w:rPr>
      </w:pPr>
      <w:bookmarkStart w:id="190" w:name="_Toc64887259"/>
      <w:r>
        <w:rPr>
          <w:rFonts w:hint="eastAsia"/>
          <w:bCs w:val="0"/>
        </w:rPr>
        <w:t>智能核查</w:t>
      </w:r>
      <w:bookmarkEnd w:id="190"/>
    </w:p>
    <w:p w14:paraId="7641D9C5">
      <w:pPr>
        <w:spacing w:line="276" w:lineRule="auto"/>
        <w:ind w:firstLine="480"/>
        <w:rPr>
          <w:rFonts w:hint="eastAsia" w:ascii="宋体" w:hAnsi="宋体" w:eastAsia="宋体"/>
          <w:sz w:val="24"/>
          <w:szCs w:val="24"/>
        </w:rPr>
      </w:pPr>
      <w:r>
        <w:rPr>
          <w:rFonts w:hint="eastAsia" w:ascii="宋体" w:hAnsi="宋体" w:eastAsia="宋体"/>
          <w:sz w:val="24"/>
          <w:szCs w:val="24"/>
        </w:rPr>
        <w:t>案件核查模块是对指挥协调处置后的案件进行复核，检验违规案件处置状态。通过接收指挥协调下发核查任务，生成核查结果，并反馈至指挥协调系统，为结案提供依据。</w:t>
      </w:r>
    </w:p>
    <w:p w14:paraId="4BCCA41D">
      <w:pPr>
        <w:pStyle w:val="14"/>
        <w:rPr>
          <w:rFonts w:hint="eastAsia"/>
          <w:bCs w:val="0"/>
        </w:rPr>
      </w:pPr>
      <w:bookmarkStart w:id="191" w:name="_Toc45267462"/>
      <w:bookmarkEnd w:id="191"/>
      <w:bookmarkStart w:id="192" w:name="_Toc45267445"/>
      <w:bookmarkEnd w:id="192"/>
      <w:bookmarkStart w:id="193" w:name="_Toc45267443"/>
      <w:bookmarkEnd w:id="193"/>
      <w:bookmarkStart w:id="194" w:name="_Toc45267471"/>
      <w:bookmarkEnd w:id="194"/>
      <w:bookmarkStart w:id="195" w:name="_Toc45267479"/>
      <w:bookmarkEnd w:id="195"/>
      <w:bookmarkStart w:id="196" w:name="_Toc45267478"/>
      <w:bookmarkEnd w:id="196"/>
      <w:bookmarkStart w:id="197" w:name="_Toc45267435"/>
      <w:bookmarkEnd w:id="197"/>
      <w:bookmarkStart w:id="198" w:name="_Toc45267465"/>
      <w:bookmarkEnd w:id="198"/>
      <w:bookmarkStart w:id="199" w:name="_Toc45267432"/>
      <w:bookmarkEnd w:id="199"/>
      <w:bookmarkStart w:id="200" w:name="_Toc45267455"/>
      <w:bookmarkEnd w:id="200"/>
      <w:bookmarkStart w:id="201" w:name="_Toc45267431"/>
      <w:bookmarkEnd w:id="201"/>
      <w:bookmarkStart w:id="202" w:name="_Toc45267468"/>
      <w:bookmarkEnd w:id="202"/>
      <w:bookmarkStart w:id="203" w:name="_Toc45267436"/>
      <w:bookmarkEnd w:id="203"/>
      <w:bookmarkStart w:id="204" w:name="_Toc45267476"/>
      <w:bookmarkEnd w:id="204"/>
      <w:bookmarkStart w:id="205" w:name="_Toc45267470"/>
      <w:bookmarkEnd w:id="205"/>
      <w:bookmarkStart w:id="206" w:name="_Toc45267474"/>
      <w:bookmarkEnd w:id="206"/>
      <w:bookmarkStart w:id="207" w:name="_Toc45267481"/>
      <w:bookmarkEnd w:id="207"/>
      <w:bookmarkStart w:id="208" w:name="_Toc45267454"/>
      <w:bookmarkEnd w:id="208"/>
      <w:bookmarkStart w:id="209" w:name="_Toc45267433"/>
      <w:bookmarkEnd w:id="209"/>
      <w:bookmarkStart w:id="210" w:name="_Toc45267451"/>
      <w:bookmarkEnd w:id="210"/>
      <w:bookmarkStart w:id="211" w:name="_Toc45267439"/>
      <w:bookmarkEnd w:id="211"/>
      <w:bookmarkStart w:id="212" w:name="_Toc45267441"/>
      <w:bookmarkEnd w:id="212"/>
      <w:bookmarkStart w:id="213" w:name="_Toc45267437"/>
      <w:bookmarkEnd w:id="213"/>
      <w:bookmarkStart w:id="214" w:name="_Toc45267450"/>
      <w:bookmarkEnd w:id="214"/>
      <w:bookmarkStart w:id="215" w:name="_Toc45267458"/>
      <w:bookmarkEnd w:id="215"/>
      <w:bookmarkStart w:id="216" w:name="_Toc45267484"/>
      <w:bookmarkEnd w:id="216"/>
      <w:bookmarkStart w:id="217" w:name="_Toc45267428"/>
      <w:bookmarkEnd w:id="217"/>
      <w:bookmarkStart w:id="218" w:name="_Toc45267459"/>
      <w:bookmarkEnd w:id="218"/>
      <w:bookmarkStart w:id="219" w:name="_Toc45267467"/>
      <w:bookmarkEnd w:id="219"/>
      <w:bookmarkStart w:id="220" w:name="_Toc45267485"/>
      <w:bookmarkEnd w:id="220"/>
      <w:bookmarkStart w:id="221" w:name="_Toc45267477"/>
      <w:bookmarkEnd w:id="221"/>
      <w:bookmarkStart w:id="222" w:name="_Toc45267453"/>
      <w:bookmarkEnd w:id="222"/>
      <w:bookmarkStart w:id="223" w:name="_Toc45267482"/>
      <w:bookmarkEnd w:id="223"/>
      <w:bookmarkStart w:id="224" w:name="_Toc45267457"/>
      <w:bookmarkEnd w:id="224"/>
      <w:bookmarkStart w:id="225" w:name="_Toc45267438"/>
      <w:bookmarkEnd w:id="225"/>
      <w:bookmarkStart w:id="226" w:name="_Toc45267429"/>
      <w:bookmarkEnd w:id="226"/>
      <w:bookmarkStart w:id="227" w:name="_Toc45267449"/>
      <w:bookmarkEnd w:id="227"/>
      <w:bookmarkStart w:id="228" w:name="_Toc45267466"/>
      <w:bookmarkEnd w:id="228"/>
      <w:bookmarkStart w:id="229" w:name="_Toc45267442"/>
      <w:bookmarkEnd w:id="229"/>
      <w:bookmarkStart w:id="230" w:name="_Toc45267463"/>
      <w:bookmarkEnd w:id="230"/>
      <w:bookmarkStart w:id="231" w:name="_Toc45267448"/>
      <w:bookmarkEnd w:id="231"/>
      <w:bookmarkStart w:id="232" w:name="_Toc45267464"/>
      <w:bookmarkEnd w:id="232"/>
      <w:bookmarkStart w:id="233" w:name="_Toc45267460"/>
      <w:bookmarkEnd w:id="233"/>
      <w:bookmarkStart w:id="234" w:name="_Toc45267475"/>
      <w:bookmarkEnd w:id="234"/>
      <w:bookmarkStart w:id="235" w:name="_Toc45267472"/>
      <w:bookmarkEnd w:id="235"/>
      <w:bookmarkStart w:id="236" w:name="_Toc45267452"/>
      <w:bookmarkEnd w:id="236"/>
      <w:bookmarkStart w:id="237" w:name="_Toc45267483"/>
      <w:bookmarkEnd w:id="237"/>
      <w:bookmarkStart w:id="238" w:name="_Toc45267456"/>
      <w:bookmarkEnd w:id="238"/>
      <w:bookmarkStart w:id="239" w:name="_Toc45267480"/>
      <w:bookmarkEnd w:id="239"/>
      <w:bookmarkStart w:id="240" w:name="_Toc45267440"/>
      <w:bookmarkEnd w:id="240"/>
      <w:bookmarkStart w:id="241" w:name="_Toc45267469"/>
      <w:bookmarkEnd w:id="241"/>
      <w:bookmarkStart w:id="242" w:name="_Toc45267430"/>
      <w:bookmarkEnd w:id="242"/>
      <w:bookmarkStart w:id="243" w:name="_Toc45267444"/>
      <w:bookmarkEnd w:id="243"/>
      <w:bookmarkStart w:id="244" w:name="_Toc45267434"/>
      <w:bookmarkEnd w:id="244"/>
      <w:bookmarkStart w:id="245" w:name="_Toc45267473"/>
      <w:bookmarkEnd w:id="245"/>
      <w:bookmarkStart w:id="246" w:name="_Toc45267446"/>
      <w:bookmarkEnd w:id="246"/>
      <w:bookmarkStart w:id="247" w:name="_Toc45267447"/>
      <w:bookmarkEnd w:id="247"/>
      <w:bookmarkStart w:id="248" w:name="_Toc45267461"/>
      <w:bookmarkEnd w:id="248"/>
      <w:bookmarkStart w:id="249" w:name="_Toc64887260"/>
      <w:r>
        <w:rPr>
          <w:rFonts w:hint="eastAsia"/>
          <w:bCs w:val="0"/>
        </w:rPr>
        <w:t>系统管理</w:t>
      </w:r>
      <w:bookmarkEnd w:id="249"/>
    </w:p>
    <w:p w14:paraId="4EA7D37B">
      <w:pPr>
        <w:spacing w:line="276" w:lineRule="auto"/>
        <w:ind w:firstLine="480"/>
        <w:rPr>
          <w:rFonts w:hint="eastAsia" w:ascii="宋体" w:hAnsi="宋体" w:eastAsia="宋体"/>
          <w:sz w:val="24"/>
          <w:szCs w:val="24"/>
        </w:rPr>
      </w:pPr>
      <w:r>
        <w:rPr>
          <w:rFonts w:hint="eastAsia" w:ascii="宋体" w:hAnsi="宋体" w:eastAsia="宋体"/>
          <w:sz w:val="24"/>
          <w:szCs w:val="24"/>
        </w:rPr>
        <w:t>系统管理模块是视频智能识别分析系统正常运行的基础，主要包括视频抓拍点位管理和系统参数设置两个部分，主要供给系统管理人员根据各自管理区域的实际情况进行配置，以达到更佳效果。包括</w:t>
      </w:r>
      <w:r>
        <w:rPr>
          <w:rFonts w:ascii="宋体" w:hAnsi="宋体" w:eastAsia="宋体"/>
          <w:sz w:val="24"/>
          <w:szCs w:val="24"/>
        </w:rPr>
        <w:t>点位管理</w:t>
      </w:r>
      <w:r>
        <w:rPr>
          <w:rFonts w:hint="eastAsia" w:ascii="宋体" w:hAnsi="宋体" w:eastAsia="宋体"/>
          <w:sz w:val="24"/>
          <w:szCs w:val="24"/>
        </w:rPr>
        <w:t>、</w:t>
      </w:r>
      <w:r>
        <w:rPr>
          <w:rFonts w:ascii="宋体" w:hAnsi="宋体" w:eastAsia="宋体"/>
          <w:sz w:val="24"/>
          <w:szCs w:val="24"/>
        </w:rPr>
        <w:t>工作模板管理</w:t>
      </w:r>
      <w:r>
        <w:rPr>
          <w:rFonts w:hint="eastAsia" w:ascii="宋体" w:hAnsi="宋体" w:eastAsia="宋体"/>
          <w:sz w:val="24"/>
          <w:szCs w:val="24"/>
        </w:rPr>
        <w:t>、</w:t>
      </w:r>
      <w:r>
        <w:rPr>
          <w:rFonts w:ascii="宋体" w:hAnsi="宋体" w:eastAsia="宋体"/>
          <w:sz w:val="24"/>
          <w:szCs w:val="24"/>
        </w:rPr>
        <w:t>日志管理</w:t>
      </w:r>
      <w:r>
        <w:rPr>
          <w:rFonts w:hint="eastAsia" w:ascii="宋体" w:hAnsi="宋体" w:eastAsia="宋体"/>
          <w:sz w:val="24"/>
          <w:szCs w:val="24"/>
        </w:rPr>
        <w:t>、</w:t>
      </w:r>
      <w:r>
        <w:rPr>
          <w:rFonts w:ascii="宋体" w:hAnsi="宋体" w:eastAsia="宋体"/>
          <w:sz w:val="24"/>
          <w:szCs w:val="24"/>
        </w:rPr>
        <w:t>单位管理</w:t>
      </w:r>
      <w:r>
        <w:rPr>
          <w:rFonts w:hint="eastAsia" w:ascii="宋体" w:hAnsi="宋体" w:eastAsia="宋体"/>
          <w:sz w:val="24"/>
          <w:szCs w:val="24"/>
        </w:rPr>
        <w:t>、</w:t>
      </w:r>
      <w:r>
        <w:rPr>
          <w:rFonts w:ascii="宋体" w:hAnsi="宋体" w:eastAsia="宋体"/>
          <w:sz w:val="24"/>
          <w:szCs w:val="24"/>
        </w:rPr>
        <w:t>商铺管理</w:t>
      </w:r>
      <w:r>
        <w:rPr>
          <w:rFonts w:hint="eastAsia" w:ascii="宋体" w:hAnsi="宋体" w:eastAsia="宋体"/>
          <w:sz w:val="24"/>
          <w:szCs w:val="24"/>
        </w:rPr>
        <w:t>、</w:t>
      </w:r>
      <w:r>
        <w:rPr>
          <w:rFonts w:ascii="宋体" w:hAnsi="宋体" w:eastAsia="宋体"/>
          <w:sz w:val="24"/>
          <w:szCs w:val="24"/>
        </w:rPr>
        <w:t>用户管理</w:t>
      </w:r>
      <w:r>
        <w:rPr>
          <w:rFonts w:hint="eastAsia" w:ascii="宋体" w:hAnsi="宋体" w:eastAsia="宋体"/>
          <w:sz w:val="24"/>
          <w:szCs w:val="24"/>
        </w:rPr>
        <w:t>、</w:t>
      </w:r>
      <w:r>
        <w:rPr>
          <w:rFonts w:ascii="宋体" w:hAnsi="宋体" w:eastAsia="宋体"/>
          <w:sz w:val="24"/>
          <w:szCs w:val="24"/>
        </w:rPr>
        <w:t>角色管理</w:t>
      </w:r>
      <w:r>
        <w:rPr>
          <w:rFonts w:hint="eastAsia" w:ascii="宋体" w:hAnsi="宋体" w:eastAsia="宋体"/>
          <w:sz w:val="24"/>
          <w:szCs w:val="24"/>
        </w:rPr>
        <w:t>、</w:t>
      </w:r>
      <w:r>
        <w:rPr>
          <w:rFonts w:ascii="宋体" w:hAnsi="宋体" w:eastAsia="宋体"/>
          <w:sz w:val="24"/>
          <w:szCs w:val="24"/>
        </w:rPr>
        <w:t>任务管理</w:t>
      </w:r>
      <w:r>
        <w:rPr>
          <w:rFonts w:hint="eastAsia" w:ascii="宋体" w:hAnsi="宋体" w:eastAsia="宋体"/>
          <w:sz w:val="24"/>
          <w:szCs w:val="24"/>
        </w:rPr>
        <w:t>、</w:t>
      </w:r>
      <w:r>
        <w:rPr>
          <w:rFonts w:ascii="宋体" w:hAnsi="宋体" w:eastAsia="宋体"/>
          <w:sz w:val="24"/>
          <w:szCs w:val="24"/>
        </w:rPr>
        <w:t>集群管理</w:t>
      </w:r>
      <w:r>
        <w:rPr>
          <w:rFonts w:hint="eastAsia" w:ascii="宋体" w:hAnsi="宋体" w:eastAsia="宋体"/>
          <w:sz w:val="24"/>
          <w:szCs w:val="24"/>
        </w:rPr>
        <w:t>等。</w:t>
      </w:r>
      <w:r>
        <w:rPr>
          <w:rFonts w:ascii="宋体" w:hAnsi="宋体" w:eastAsia="宋体"/>
          <w:sz w:val="24"/>
          <w:szCs w:val="24"/>
        </w:rPr>
        <w:t xml:space="preserve"> </w:t>
      </w:r>
    </w:p>
    <w:p w14:paraId="794653AD">
      <w:pPr>
        <w:pStyle w:val="8"/>
        <w:rPr>
          <w:rFonts w:hint="eastAsia"/>
        </w:rPr>
      </w:pPr>
      <w:bookmarkStart w:id="250" w:name="_Toc138067480"/>
      <w:r>
        <w:rPr>
          <w:rFonts w:hint="eastAsia"/>
        </w:rPr>
        <w:t>局内办公应用系统</w:t>
      </w:r>
      <w:bookmarkEnd w:id="250"/>
    </w:p>
    <w:p w14:paraId="550259B5">
      <w:pPr>
        <w:pStyle w:val="14"/>
        <w:rPr>
          <w:rFonts w:hint="eastAsia"/>
          <w:bCs w:val="0"/>
        </w:rPr>
      </w:pPr>
      <w:r>
        <w:rPr>
          <w:rFonts w:hint="eastAsia"/>
          <w:bCs w:val="0"/>
        </w:rPr>
        <w:t>安全监督子系统</w:t>
      </w:r>
    </w:p>
    <w:p w14:paraId="67FA5D40">
      <w:pPr>
        <w:pStyle w:val="6"/>
      </w:pPr>
      <w:bookmarkStart w:id="251" w:name="_Toc97631381"/>
      <w:r>
        <w:rPr>
          <w:rFonts w:hint="eastAsia"/>
        </w:rPr>
        <w:t>（1）安全生产监管</w:t>
      </w:r>
      <w:bookmarkEnd w:id="251"/>
    </w:p>
    <w:p w14:paraId="4865DB59">
      <w:pPr>
        <w:pStyle w:val="6"/>
      </w:pPr>
      <w:r>
        <w:rPr>
          <w:rFonts w:hint="eastAsia"/>
        </w:rPr>
        <w:t>问题关联</w:t>
      </w:r>
    </w:p>
    <w:p w14:paraId="474A2354">
      <w:pPr>
        <w:pStyle w:val="6"/>
      </w:pPr>
      <w:r>
        <w:rPr>
          <w:rFonts w:hint="eastAsia"/>
        </w:rPr>
        <w:t>将监督员、执法队员、亮广巡查人员、技防手段等上报的问题小类和安全监管处（安监处）梳理的有关安全生产事项清单关联，形成安全问题标签，当出现安全类问题时（譬如店招标牌的倾斜损坏），自动标记安全问题标签。该流程自动在系统中完成，不需要（安监处）手动标记或筛选。</w:t>
      </w:r>
    </w:p>
    <w:p w14:paraId="1173253C">
      <w:pPr>
        <w:pStyle w:val="6"/>
      </w:pPr>
      <w:r>
        <w:rPr>
          <w:rFonts w:hint="eastAsia"/>
        </w:rPr>
        <w:t>案件监管</w:t>
      </w:r>
    </w:p>
    <w:p w14:paraId="3A661E7A">
      <w:pPr>
        <w:pStyle w:val="6"/>
      </w:pPr>
      <w:r>
        <w:rPr>
          <w:rFonts w:hint="eastAsia"/>
        </w:rPr>
        <w:t>复用指挥协调系统、监督指挥受理子系统和协同工作子系统中案件详情、查看办理过程等功能，实现对上报的安全生产问题全过程监管。</w:t>
      </w:r>
    </w:p>
    <w:p w14:paraId="456BF578">
      <w:pPr>
        <w:pStyle w:val="6"/>
      </w:pPr>
      <w:r>
        <w:rPr>
          <w:rFonts w:hint="eastAsia"/>
        </w:rPr>
        <w:t xml:space="preserve">结案意见   </w:t>
      </w:r>
    </w:p>
    <w:p w14:paraId="2B626D7F">
      <w:pPr>
        <w:pStyle w:val="6"/>
      </w:pPr>
      <w:r>
        <w:rPr>
          <w:rFonts w:hint="eastAsia"/>
        </w:rPr>
        <w:t>安监处不参与各处室的实际业务工作，只需要对上报的安全生产问题进行全过程监管即可。案件发生后，安监处可以查看案件结果并填写意见，该意见会被批转给案件处置人。</w:t>
      </w:r>
    </w:p>
    <w:p w14:paraId="0D9641F0">
      <w:pPr>
        <w:pStyle w:val="6"/>
      </w:pPr>
      <w:r>
        <w:rPr>
          <w:rFonts w:hint="eastAsia"/>
        </w:rPr>
        <w:t>检查日志</w:t>
      </w:r>
    </w:p>
    <w:p w14:paraId="18C1459F">
      <w:pPr>
        <w:pStyle w:val="6"/>
      </w:pPr>
      <w:r>
        <w:rPr>
          <w:rFonts w:hint="eastAsia"/>
        </w:rPr>
        <w:t>安监处在日常对各处室、单位或企业进行安全生产抽查时，可以通过手机填写检查记录，生成检查报告并同步上传到系统。</w:t>
      </w:r>
      <w:r>
        <w:rPr>
          <w:rFonts w:hint="eastAsia"/>
        </w:rPr>
        <w:tab/>
      </w:r>
    </w:p>
    <w:p w14:paraId="53D23713">
      <w:pPr>
        <w:pStyle w:val="6"/>
      </w:pPr>
      <w:r>
        <w:rPr>
          <w:rFonts w:hint="eastAsia"/>
        </w:rPr>
        <w:t>与市应急局安全生产问题处置监管平台对接</w:t>
      </w:r>
    </w:p>
    <w:p w14:paraId="0E7D8A22">
      <w:pPr>
        <w:pStyle w:val="6"/>
      </w:pPr>
      <w:r>
        <w:rPr>
          <w:rFonts w:hint="eastAsia"/>
        </w:rPr>
        <w:t>与市应急局安全生产问题处置监管平台对接，由安监处手动筛选报送安全生产数据。</w:t>
      </w:r>
    </w:p>
    <w:p w14:paraId="627B2E0C">
      <w:pPr>
        <w:pStyle w:val="6"/>
      </w:pPr>
      <w:bookmarkStart w:id="252" w:name="_Toc97631382"/>
      <w:r>
        <w:rPr>
          <w:rFonts w:hint="eastAsia"/>
        </w:rPr>
        <w:t>（2）应急预案管理</w:t>
      </w:r>
      <w:bookmarkEnd w:id="252"/>
    </w:p>
    <w:p w14:paraId="1D28128F">
      <w:pPr>
        <w:pStyle w:val="6"/>
      </w:pPr>
      <w:r>
        <w:rPr>
          <w:rFonts w:hint="eastAsia"/>
        </w:rPr>
        <w:t>通过应急预案管理模块，实现对应急预案的新增、编辑、修改、删除和查询。</w:t>
      </w:r>
    </w:p>
    <w:p w14:paraId="6BE3965E">
      <w:pPr>
        <w:pStyle w:val="6"/>
      </w:pPr>
      <w:bookmarkStart w:id="253" w:name="_Toc97631383"/>
      <w:r>
        <w:rPr>
          <w:rFonts w:hint="eastAsia"/>
        </w:rPr>
        <w:t>（3）应急指挥调度</w:t>
      </w:r>
      <w:bookmarkEnd w:id="253"/>
    </w:p>
    <w:p w14:paraId="617D2B84">
      <w:pPr>
        <w:pStyle w:val="6"/>
      </w:pPr>
      <w:r>
        <w:rPr>
          <w:rFonts w:hint="eastAsia"/>
        </w:rPr>
        <w:t>复用决策分析系统的指挥调度专题，在遇到突发事件时能快速查看人员、车辆位置以及现场附近的摄像头，查看应急预案，指挥调度现场人员、车辆进行应急事件处置。</w:t>
      </w:r>
    </w:p>
    <w:bookmarkEnd w:id="176"/>
    <w:bookmarkEnd w:id="177"/>
    <w:bookmarkEnd w:id="178"/>
    <w:bookmarkEnd w:id="179"/>
    <w:bookmarkEnd w:id="180"/>
    <w:bookmarkEnd w:id="181"/>
    <w:bookmarkEnd w:id="182"/>
    <w:bookmarkEnd w:id="183"/>
    <w:bookmarkEnd w:id="184"/>
    <w:p w14:paraId="2434EC1E">
      <w:pPr>
        <w:pStyle w:val="7"/>
        <w:rPr>
          <w:rFonts w:hint="eastAsia"/>
        </w:rPr>
      </w:pPr>
      <w:bookmarkStart w:id="254" w:name="_Toc138067482"/>
      <w:bookmarkStart w:id="255" w:name="_Toc21645"/>
      <w:r>
        <w:rPr>
          <w:rFonts w:hint="eastAsia"/>
        </w:rPr>
        <w:t>公众服务系统</w:t>
      </w:r>
      <w:bookmarkEnd w:id="254"/>
      <w:bookmarkEnd w:id="255"/>
    </w:p>
    <w:p w14:paraId="6C6F1E5D">
      <w:pPr>
        <w:spacing w:line="276" w:lineRule="auto"/>
        <w:ind w:firstLine="480"/>
        <w:rPr>
          <w:rFonts w:hint="eastAsia" w:ascii="宋体" w:hAnsi="宋体" w:eastAsia="宋体"/>
          <w:sz w:val="24"/>
          <w:szCs w:val="24"/>
        </w:rPr>
      </w:pPr>
      <w:r>
        <w:rPr>
          <w:rFonts w:hint="eastAsia" w:ascii="宋体" w:hAnsi="宋体" w:eastAsia="宋体"/>
          <w:sz w:val="24"/>
          <w:szCs w:val="24"/>
        </w:rPr>
        <w:t>建设连接城管部门和市民公众的信息双向交换路径，通过建设公众服务系统，既拓宽了城管案件受理、群众问题上报渠道，也为市民提供线上便民服务，提升了城市管理部门的公众形象，减少城管工作和社会群众之间的摩擦和矛盾。</w:t>
      </w:r>
    </w:p>
    <w:p w14:paraId="637E16D0">
      <w:pPr>
        <w:spacing w:line="276" w:lineRule="auto"/>
        <w:ind w:firstLine="480"/>
        <w:rPr>
          <w:rFonts w:hint="eastAsia" w:ascii="宋体" w:hAnsi="宋体" w:eastAsia="宋体"/>
          <w:sz w:val="24"/>
          <w:szCs w:val="24"/>
        </w:rPr>
      </w:pPr>
      <w:r>
        <w:rPr>
          <w:rFonts w:hint="eastAsia" w:ascii="宋体" w:hAnsi="宋体" w:eastAsia="宋体"/>
          <w:sz w:val="24"/>
          <w:szCs w:val="24"/>
        </w:rPr>
        <w:t>公众服务系统包括公众服务号、公众类</w:t>
      </w:r>
      <w:r>
        <w:rPr>
          <w:rFonts w:hint="eastAsia" w:ascii="宋体" w:hAnsi="宋体" w:eastAsia="宋体"/>
          <w:sz w:val="24"/>
          <w:szCs w:val="24"/>
          <w:lang w:val="en-US" w:eastAsia="zh-CN"/>
        </w:rPr>
        <w:t>应用</w:t>
      </w:r>
      <w:r>
        <w:rPr>
          <w:rFonts w:hint="eastAsia" w:ascii="宋体" w:hAnsi="宋体" w:eastAsia="宋体"/>
          <w:sz w:val="24"/>
          <w:szCs w:val="24"/>
        </w:rPr>
        <w:t>。具备通过指挥协调系统对公众诉求进行派单、处置、核查和结案的功能，以及对服务结果及服务满意度进行调查回访的功能。</w:t>
      </w:r>
    </w:p>
    <w:p w14:paraId="3E275206">
      <w:pPr>
        <w:pStyle w:val="8"/>
        <w:rPr>
          <w:rFonts w:hint="eastAsia"/>
        </w:rPr>
      </w:pPr>
      <w:r>
        <w:rPr>
          <w:rFonts w:hint="eastAsia"/>
        </w:rPr>
        <w:t>公众</w:t>
      </w:r>
      <w:r>
        <w:rPr>
          <w:rFonts w:hint="eastAsia"/>
          <w:lang w:val="en-US" w:eastAsia="zh-CN"/>
        </w:rPr>
        <w:t>服务号</w:t>
      </w:r>
    </w:p>
    <w:p w14:paraId="47FCB519">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复用原有“大丰城管”公众号</w:t>
      </w:r>
      <w:bookmarkStart w:id="256" w:name="_Toc58504751"/>
      <w:bookmarkStart w:id="257" w:name="_Toc61694036"/>
      <w:r>
        <w:rPr>
          <w:rFonts w:hint="eastAsia" w:ascii="宋体" w:hAnsi="宋体" w:eastAsia="宋体"/>
          <w:sz w:val="24"/>
          <w:szCs w:val="24"/>
          <w:lang w:val="en-US" w:eastAsia="zh-CN"/>
        </w:rPr>
        <w:t>，并在此基础上，通过</w:t>
      </w:r>
      <w:r>
        <w:rPr>
          <w:rFonts w:hint="eastAsia" w:ascii="宋体" w:hAnsi="宋体" w:eastAsia="宋体"/>
          <w:sz w:val="24"/>
          <w:szCs w:val="24"/>
        </w:rPr>
        <w:t>“大丰城管”微信公众号</w:t>
      </w:r>
      <w:r>
        <w:rPr>
          <w:rFonts w:hint="eastAsia" w:ascii="宋体" w:hAnsi="宋体" w:eastAsia="宋体"/>
          <w:sz w:val="24"/>
          <w:szCs w:val="24"/>
          <w:lang w:val="en-US" w:eastAsia="zh-CN"/>
        </w:rPr>
        <w:t>调用</w:t>
      </w:r>
      <w:r>
        <w:rPr>
          <w:rFonts w:hint="eastAsia" w:ascii="宋体" w:hAnsi="宋体" w:eastAsia="宋体"/>
          <w:sz w:val="24"/>
          <w:szCs w:val="24"/>
        </w:rPr>
        <w:t>“我的盐城”</w:t>
      </w:r>
      <w:r>
        <w:rPr>
          <w:rFonts w:hint="eastAsia" w:ascii="宋体" w:hAnsi="宋体" w:eastAsia="宋体"/>
          <w:sz w:val="24"/>
          <w:szCs w:val="24"/>
          <w:lang w:val="en-US" w:eastAsia="zh-CN"/>
        </w:rPr>
        <w:t>相关功能模块</w:t>
      </w:r>
      <w:r>
        <w:rPr>
          <w:rFonts w:hint="eastAsia" w:ascii="宋体" w:hAnsi="宋体" w:eastAsia="宋体"/>
          <w:sz w:val="24"/>
          <w:szCs w:val="24"/>
        </w:rPr>
        <w:t>，为市民提供</w:t>
      </w:r>
      <w:r>
        <w:rPr>
          <w:rFonts w:hint="eastAsia" w:ascii="宋体" w:hAnsi="宋体" w:eastAsia="宋体"/>
          <w:sz w:val="24"/>
          <w:szCs w:val="24"/>
          <w:lang w:val="en-US" w:eastAsia="zh-CN"/>
        </w:rPr>
        <w:t>便民服务</w:t>
      </w:r>
      <w:r>
        <w:rPr>
          <w:rFonts w:hint="eastAsia" w:ascii="宋体" w:hAnsi="宋体" w:eastAsia="宋体"/>
          <w:sz w:val="24"/>
          <w:szCs w:val="24"/>
        </w:rPr>
        <w:t>查询</w:t>
      </w:r>
      <w:r>
        <w:rPr>
          <w:rFonts w:hint="eastAsia" w:ascii="宋体" w:hAnsi="宋体" w:eastAsia="宋体"/>
          <w:sz w:val="24"/>
          <w:szCs w:val="24"/>
          <w:lang w:val="en-US" w:eastAsia="zh-CN"/>
        </w:rPr>
        <w:t>和</w:t>
      </w:r>
      <w:r>
        <w:rPr>
          <w:rFonts w:ascii="宋体" w:hAnsi="宋体" w:eastAsia="宋体"/>
          <w:sz w:val="24"/>
          <w:szCs w:val="24"/>
        </w:rPr>
        <w:t>城市管理相关问题的上报</w:t>
      </w:r>
      <w:r>
        <w:rPr>
          <w:rFonts w:hint="eastAsia" w:ascii="宋体" w:hAnsi="宋体" w:eastAsia="宋体"/>
          <w:sz w:val="24"/>
          <w:szCs w:val="24"/>
        </w:rPr>
        <w:t>。</w:t>
      </w:r>
    </w:p>
    <w:p w14:paraId="75D01A44">
      <w:pPr>
        <w:pStyle w:val="14"/>
        <w:rPr>
          <w:rFonts w:hint="eastAsia"/>
          <w:bCs w:val="0"/>
        </w:rPr>
      </w:pPr>
      <w:bookmarkStart w:id="258" w:name="_Hlk76432180"/>
      <w:r>
        <w:rPr>
          <w:rFonts w:hint="eastAsia"/>
        </w:rPr>
        <w:t>消息</w:t>
      </w:r>
      <w:r>
        <w:rPr>
          <w:rFonts w:hint="eastAsia"/>
          <w:bCs w:val="0"/>
        </w:rPr>
        <w:t>资讯</w:t>
      </w:r>
    </w:p>
    <w:p w14:paraId="2A8BE3EA">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w:t>
      </w:r>
      <w:r>
        <w:rPr>
          <w:rFonts w:hint="eastAsia" w:ascii="宋体" w:hAnsi="宋体" w:eastAsia="宋体"/>
          <w:sz w:val="24"/>
          <w:szCs w:val="24"/>
        </w:rPr>
        <w:t>城管要</w:t>
      </w:r>
      <w:r>
        <w:rPr>
          <w:rFonts w:hint="eastAsia" w:ascii="宋体" w:hAnsi="宋体" w:eastAsia="宋体" w:cs="宋体"/>
          <w:sz w:val="24"/>
          <w:szCs w:val="24"/>
        </w:rPr>
        <w:t>闻</w:t>
      </w:r>
    </w:p>
    <w:p w14:paraId="5194BC50">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市民可以查看城管新</w:t>
      </w:r>
      <w:r>
        <w:rPr>
          <w:rFonts w:hint="eastAsia" w:ascii="宋体" w:hAnsi="宋体" w:eastAsia="宋体" w:cs="宋体"/>
          <w:sz w:val="24"/>
          <w:szCs w:val="24"/>
        </w:rPr>
        <w:t>闻</w:t>
      </w:r>
      <w:r>
        <w:rPr>
          <w:rFonts w:hint="eastAsia" w:ascii="宋体" w:hAnsi="宋体" w:eastAsia="宋体"/>
          <w:sz w:val="24"/>
          <w:szCs w:val="24"/>
        </w:rPr>
        <w:t>，并对此新</w:t>
      </w:r>
      <w:r>
        <w:rPr>
          <w:rFonts w:hint="eastAsia" w:ascii="宋体" w:hAnsi="宋体" w:eastAsia="宋体" w:cs="宋体"/>
          <w:sz w:val="24"/>
          <w:szCs w:val="24"/>
        </w:rPr>
        <w:t>闻</w:t>
      </w:r>
      <w:r>
        <w:rPr>
          <w:rFonts w:hint="eastAsia" w:ascii="宋体" w:hAnsi="宋体" w:eastAsia="宋体"/>
          <w:sz w:val="24"/>
          <w:szCs w:val="24"/>
        </w:rPr>
        <w:t>进行评论等互动操作。</w:t>
      </w:r>
    </w:p>
    <w:p w14:paraId="20D565FB">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hint="eastAsia" w:ascii="宋体" w:hAnsi="宋体" w:eastAsia="宋体"/>
          <w:sz w:val="24"/>
          <w:szCs w:val="24"/>
        </w:rPr>
        <w:t>通知公告</w:t>
      </w:r>
    </w:p>
    <w:p w14:paraId="5D9ED637">
      <w:pPr>
        <w:spacing w:line="276" w:lineRule="auto"/>
        <w:ind w:firstLine="480"/>
        <w:rPr>
          <w:rFonts w:hint="eastAsia" w:ascii="宋体" w:hAnsi="宋体" w:eastAsia="宋体" w:cs="___WRD_EMBED_SUB_46"/>
          <w:sz w:val="24"/>
          <w:szCs w:val="24"/>
        </w:rPr>
      </w:pPr>
      <w:r>
        <w:rPr>
          <w:rFonts w:ascii="宋体" w:hAnsi="宋体" w:eastAsia="宋体"/>
          <w:sz w:val="24"/>
          <w:szCs w:val="24"/>
        </w:rPr>
        <w:t>城管部门向公众推送各类通知公告信息，市民可以通过此模块实时了解城管部门相关活动、比</w:t>
      </w:r>
      <w:r>
        <w:rPr>
          <w:rFonts w:hint="eastAsia" w:ascii="宋体" w:hAnsi="宋体" w:eastAsia="宋体" w:cs="宋体"/>
          <w:sz w:val="24"/>
          <w:szCs w:val="24"/>
        </w:rPr>
        <w:t>赛</w:t>
      </w:r>
      <w:r>
        <w:rPr>
          <w:rFonts w:hint="eastAsia" w:ascii="宋体" w:hAnsi="宋体" w:eastAsia="宋体" w:cs="___WRD_EMBED_SUB_46"/>
          <w:sz w:val="24"/>
          <w:szCs w:val="24"/>
        </w:rPr>
        <w:t>、评选、通知等信息。</w:t>
      </w:r>
    </w:p>
    <w:bookmarkEnd w:id="258"/>
    <w:p w14:paraId="01B709F9">
      <w:pPr>
        <w:pStyle w:val="14"/>
        <w:rPr>
          <w:rFonts w:hint="eastAsia"/>
          <w:bCs w:val="0"/>
        </w:rPr>
      </w:pPr>
      <w:r>
        <w:rPr>
          <w:bCs w:val="0"/>
        </w:rPr>
        <w:t>公众参与</w:t>
      </w:r>
    </w:p>
    <w:p w14:paraId="5DBA6FA6">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w:t>
      </w:r>
      <w:r>
        <w:rPr>
          <w:rFonts w:hint="eastAsia" w:ascii="宋体" w:hAnsi="宋体" w:eastAsia="宋体"/>
          <w:sz w:val="24"/>
          <w:szCs w:val="24"/>
        </w:rPr>
        <w:t>城管随手拍</w:t>
      </w:r>
    </w:p>
    <w:p w14:paraId="130F47C3">
      <w:pPr>
        <w:spacing w:line="276" w:lineRule="auto"/>
        <w:ind w:firstLine="480"/>
        <w:rPr>
          <w:rFonts w:hint="eastAsia" w:ascii="宋体" w:hAnsi="宋体" w:eastAsia="宋体"/>
          <w:sz w:val="24"/>
          <w:szCs w:val="24"/>
        </w:rPr>
      </w:pPr>
      <w:r>
        <w:rPr>
          <w:rFonts w:hint="eastAsia" w:ascii="宋体" w:hAnsi="宋体" w:eastAsia="宋体"/>
          <w:sz w:val="24"/>
          <w:szCs w:val="24"/>
        </w:rPr>
        <w:t>市民可以通过“我的盐城”中的城管随手拍模块随时上报发现的城市管理问题，包括文字、图片、录像等形式。</w:t>
      </w:r>
    </w:p>
    <w:p w14:paraId="4E212C83">
      <w:pPr>
        <w:pStyle w:val="14"/>
        <w:rPr>
          <w:rFonts w:hint="eastAsia"/>
          <w:bCs w:val="0"/>
        </w:rPr>
      </w:pPr>
      <w:r>
        <w:rPr>
          <w:rFonts w:hint="eastAsia"/>
        </w:rPr>
        <w:t>便民</w:t>
      </w:r>
      <w:r>
        <w:rPr>
          <w:rFonts w:hint="eastAsia"/>
          <w:bCs w:val="0"/>
        </w:rPr>
        <w:t>服务</w:t>
      </w:r>
    </w:p>
    <w:p w14:paraId="4CDB0544">
      <w:pPr>
        <w:spacing w:line="276" w:lineRule="auto"/>
        <w:ind w:firstLine="480"/>
        <w:rPr>
          <w:rFonts w:hint="eastAsia" w:ascii="宋体" w:hAnsi="宋体" w:eastAsia="宋体"/>
          <w:sz w:val="24"/>
          <w:szCs w:val="24"/>
        </w:rPr>
      </w:pPr>
      <w:r>
        <w:rPr>
          <w:rFonts w:ascii="宋体" w:hAnsi="宋体" w:eastAsia="宋体"/>
          <w:sz w:val="24"/>
          <w:szCs w:val="24"/>
        </w:rPr>
        <w:t>a.</w:t>
      </w:r>
      <w:r>
        <w:rPr>
          <w:rFonts w:hint="eastAsia" w:ascii="宋体" w:hAnsi="宋体" w:eastAsia="宋体"/>
          <w:sz w:val="24"/>
          <w:szCs w:val="24"/>
        </w:rPr>
        <w:t>便民查询</w:t>
      </w:r>
    </w:p>
    <w:p w14:paraId="358F64EB">
      <w:pPr>
        <w:spacing w:line="276" w:lineRule="auto"/>
        <w:ind w:firstLine="480"/>
        <w:rPr>
          <w:rFonts w:hint="eastAsia" w:ascii="宋体" w:hAnsi="宋体" w:eastAsia="宋体"/>
          <w:sz w:val="24"/>
          <w:szCs w:val="24"/>
        </w:rPr>
      </w:pPr>
      <w:r>
        <w:rPr>
          <w:rFonts w:hint="eastAsia" w:ascii="宋体" w:hAnsi="宋体" w:eastAsia="宋体"/>
          <w:sz w:val="24"/>
          <w:szCs w:val="24"/>
        </w:rPr>
        <w:t>向公众提供公厕、公园、停车场等兴趣点位置查询服务。</w:t>
      </w:r>
    </w:p>
    <w:bookmarkEnd w:id="256"/>
    <w:bookmarkEnd w:id="257"/>
    <w:p w14:paraId="6714B5B5">
      <w:pPr>
        <w:pStyle w:val="7"/>
        <w:rPr>
          <w:rFonts w:hint="eastAsia"/>
          <w:lang w:val="en-US" w:eastAsia="zh-CN"/>
        </w:rPr>
      </w:pPr>
      <w:bookmarkStart w:id="259" w:name="_Toc25036"/>
      <w:bookmarkStart w:id="260" w:name="_Toc138067496"/>
      <w:bookmarkStart w:id="261" w:name="_Toc61694040"/>
      <w:bookmarkStart w:id="262" w:name="_Toc62842264"/>
      <w:bookmarkStart w:id="263" w:name="_Toc62841161"/>
      <w:bookmarkStart w:id="264" w:name="_Toc51782325"/>
      <w:bookmarkStart w:id="265" w:name="_Toc58504755"/>
      <w:bookmarkStart w:id="266" w:name="_Toc51782108"/>
      <w:bookmarkStart w:id="267" w:name="_Toc64887289"/>
      <w:bookmarkStart w:id="268" w:name="_Toc62840973"/>
      <w:bookmarkStart w:id="269" w:name="_Toc51781898"/>
      <w:bookmarkStart w:id="270" w:name="_Toc62840958"/>
      <w:bookmarkStart w:id="271" w:name="_Toc61694028"/>
      <w:bookmarkStart w:id="272" w:name="_Toc58504746"/>
      <w:bookmarkStart w:id="273" w:name="_Toc64887198"/>
      <w:bookmarkStart w:id="274" w:name="_Toc61694027"/>
      <w:bookmarkStart w:id="275" w:name="_Toc58504745"/>
      <w:bookmarkStart w:id="276" w:name="_Toc62840957"/>
      <w:bookmarkStart w:id="277" w:name="_Toc64887193"/>
      <w:r>
        <w:rPr>
          <w:rFonts w:hint="eastAsia" w:cs="宋体"/>
          <w:b/>
          <w:bCs/>
          <w:kern w:val="2"/>
          <w:sz w:val="24"/>
          <w:szCs w:val="24"/>
          <w:lang w:val="en-US" w:eastAsia="zh-CN" w:bidi="ar-SA"/>
        </w:rPr>
        <w:t>运行监测系统</w:t>
      </w:r>
      <w:bookmarkEnd w:id="259"/>
    </w:p>
    <w:p w14:paraId="02438510">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汇聚局内建设的</w:t>
      </w:r>
      <w:r>
        <w:rPr>
          <w:rFonts w:hint="eastAsia" w:ascii="宋体" w:hAnsi="宋体" w:eastAsia="宋体"/>
          <w:sz w:val="24"/>
          <w:szCs w:val="24"/>
        </w:rPr>
        <w:t>广告倾斜监测系统、固废处置终端监管系统、环卫车辆作业智能监管系统、垃圾一级清运监管系统、垃圾二级转运监管系统、风险防控管理系统</w:t>
      </w:r>
      <w:r>
        <w:rPr>
          <w:rFonts w:hint="eastAsia" w:ascii="宋体" w:hAnsi="宋体" w:eastAsia="宋体"/>
          <w:sz w:val="24"/>
          <w:szCs w:val="24"/>
          <w:lang w:val="en-US" w:eastAsia="zh-CN"/>
        </w:rPr>
        <w:t>等相关数据，</w:t>
      </w:r>
      <w:r>
        <w:rPr>
          <w:rFonts w:hint="eastAsia" w:ascii="宋体" w:hAnsi="宋体" w:eastAsia="宋体"/>
          <w:sz w:val="24"/>
          <w:szCs w:val="24"/>
        </w:rPr>
        <w:t>对城市运行风险进行识别、评估、管理、监测、预警、处置，实现城市运行全生命周期监测管理。</w:t>
      </w:r>
    </w:p>
    <w:p w14:paraId="23D4E63B">
      <w:pPr>
        <w:pStyle w:val="8"/>
        <w:rPr>
          <w:rFonts w:hint="eastAsia"/>
        </w:rPr>
      </w:pPr>
      <w:r>
        <w:rPr>
          <w:rFonts w:hint="eastAsia"/>
          <w:lang w:val="en-US" w:eastAsia="zh-CN"/>
        </w:rPr>
        <w:t>监测报警管理</w:t>
      </w:r>
    </w:p>
    <w:p w14:paraId="050588F2">
      <w:pPr>
        <w:pStyle w:val="14"/>
        <w:rPr>
          <w:rFonts w:hint="eastAsia"/>
          <w:bCs w:val="0"/>
        </w:rPr>
      </w:pPr>
      <w:r>
        <w:rPr>
          <w:rFonts w:hint="eastAsia"/>
          <w:lang w:val="en-US" w:eastAsia="zh-CN"/>
        </w:rPr>
        <w:t>日常检查台账</w:t>
      </w:r>
    </w:p>
    <w:p w14:paraId="48120569">
      <w:pPr>
        <w:spacing w:line="276" w:lineRule="auto"/>
        <w:ind w:firstLine="480"/>
        <w:rPr>
          <w:rFonts w:hint="eastAsia" w:ascii="宋体" w:hAnsi="宋体" w:eastAsia="宋体"/>
          <w:sz w:val="24"/>
          <w:szCs w:val="24"/>
        </w:rPr>
      </w:pPr>
      <w:r>
        <w:rPr>
          <w:rFonts w:hint="eastAsia" w:ascii="宋体" w:hAnsi="宋体" w:eastAsia="宋体"/>
          <w:sz w:val="24"/>
          <w:szCs w:val="24"/>
        </w:rPr>
        <w:t>不同风险点的日常巡查任务统计汇总，并提供不同周期的查询以及导出功能。</w:t>
      </w:r>
    </w:p>
    <w:p w14:paraId="0A31CD8C">
      <w:pPr>
        <w:pStyle w:val="14"/>
        <w:rPr>
          <w:rFonts w:hint="eastAsia"/>
          <w:bCs w:val="0"/>
        </w:rPr>
      </w:pPr>
      <w:r>
        <w:rPr>
          <w:rFonts w:hint="eastAsia"/>
          <w:lang w:val="en-US" w:eastAsia="zh-CN"/>
        </w:rPr>
        <w:t>人防巡查报警</w:t>
      </w:r>
    </w:p>
    <w:p w14:paraId="5C05AAFF">
      <w:pPr>
        <w:spacing w:line="276" w:lineRule="auto"/>
        <w:ind w:firstLine="480"/>
        <w:rPr>
          <w:rFonts w:hint="eastAsia" w:ascii="宋体" w:hAnsi="宋体" w:eastAsia="宋体"/>
          <w:sz w:val="24"/>
          <w:szCs w:val="24"/>
        </w:rPr>
      </w:pPr>
      <w:r>
        <w:rPr>
          <w:rFonts w:hint="eastAsia" w:ascii="宋体" w:hAnsi="宋体" w:eastAsia="宋体"/>
          <w:sz w:val="24"/>
          <w:szCs w:val="24"/>
        </w:rPr>
        <w:t>不同风险点的人工巡查发现的问题以及隐患的报警台账管理，可以针对风险点、处置方式、问题状态、上报时间进行筛选。</w:t>
      </w:r>
    </w:p>
    <w:p w14:paraId="2E4820A3">
      <w:pPr>
        <w:pStyle w:val="14"/>
        <w:rPr>
          <w:rFonts w:hint="eastAsia"/>
          <w:bCs w:val="0"/>
        </w:rPr>
      </w:pPr>
      <w:bookmarkStart w:id="278" w:name="_Toc1458965823"/>
      <w:r>
        <w:rPr>
          <w:rFonts w:hint="eastAsia"/>
          <w:bCs w:val="0"/>
        </w:rPr>
        <w:t>技防监测报警</w:t>
      </w:r>
      <w:bookmarkEnd w:id="278"/>
    </w:p>
    <w:p w14:paraId="6498DFC6">
      <w:pPr>
        <w:spacing w:line="276" w:lineRule="auto"/>
        <w:ind w:firstLine="480"/>
      </w:pPr>
      <w:r>
        <w:rPr>
          <w:rFonts w:hint="eastAsia" w:ascii="宋体" w:hAnsi="宋体" w:eastAsia="宋体"/>
          <w:sz w:val="24"/>
          <w:szCs w:val="24"/>
        </w:rPr>
        <w:t>不同风险点的技术防控发现的问题以及隐患的报警台账管理，可以针对风险点、处置方式、问题状态、上报时间进行筛选。</w:t>
      </w:r>
    </w:p>
    <w:p w14:paraId="42D44E7F">
      <w:pPr>
        <w:pStyle w:val="14"/>
        <w:rPr>
          <w:rFonts w:hint="eastAsia"/>
          <w:bCs w:val="0"/>
        </w:rPr>
      </w:pPr>
      <w:bookmarkStart w:id="279" w:name="_Toc870305715"/>
      <w:r>
        <w:rPr>
          <w:rFonts w:hint="eastAsia"/>
          <w:bCs w:val="0"/>
        </w:rPr>
        <w:t>报警台账</w:t>
      </w:r>
      <w:bookmarkEnd w:id="279"/>
    </w:p>
    <w:p w14:paraId="26C01C49">
      <w:pPr>
        <w:spacing w:line="276" w:lineRule="auto"/>
        <w:ind w:firstLine="480"/>
        <w:rPr>
          <w:rFonts w:hint="eastAsia" w:ascii="宋体" w:hAnsi="宋体" w:eastAsia="宋体"/>
          <w:sz w:val="24"/>
          <w:szCs w:val="24"/>
        </w:rPr>
      </w:pPr>
      <w:r>
        <w:rPr>
          <w:rFonts w:hint="eastAsia" w:ascii="宋体" w:hAnsi="宋体" w:eastAsia="宋体"/>
          <w:sz w:val="24"/>
          <w:szCs w:val="24"/>
        </w:rPr>
        <w:t>不同风险点的问题隐患报警台账管理，可以针对风险点、处置方式、问题状态、上报时间进行筛选。</w:t>
      </w:r>
    </w:p>
    <w:p w14:paraId="05738EE7">
      <w:pPr>
        <w:pStyle w:val="14"/>
        <w:rPr>
          <w:rFonts w:hint="eastAsia"/>
          <w:bCs w:val="0"/>
        </w:rPr>
      </w:pPr>
      <w:bookmarkStart w:id="280" w:name="_Toc717032288"/>
      <w:r>
        <w:rPr>
          <w:rFonts w:hint="eastAsia"/>
          <w:bCs w:val="0"/>
        </w:rPr>
        <w:t>监测及报警信息</w:t>
      </w:r>
      <w:bookmarkEnd w:id="280"/>
    </w:p>
    <w:p w14:paraId="766E0088">
      <w:pPr>
        <w:spacing w:line="276" w:lineRule="auto"/>
        <w:ind w:firstLine="480"/>
        <w:rPr>
          <w:rFonts w:hint="eastAsia" w:ascii="宋体" w:hAnsi="宋体" w:eastAsia="宋体"/>
          <w:sz w:val="24"/>
          <w:szCs w:val="24"/>
        </w:rPr>
      </w:pPr>
      <w:r>
        <w:rPr>
          <w:rFonts w:hint="eastAsia" w:ascii="宋体" w:hAnsi="宋体" w:eastAsia="宋体"/>
          <w:sz w:val="24"/>
          <w:szCs w:val="24"/>
        </w:rPr>
        <w:t>不同类型监测设备对风险点的问题隐患报警管理台账。</w:t>
      </w:r>
    </w:p>
    <w:p w14:paraId="039DED50">
      <w:pPr>
        <w:pStyle w:val="7"/>
        <w:rPr>
          <w:rFonts w:hint="eastAsia"/>
        </w:rPr>
      </w:pPr>
      <w:bookmarkStart w:id="281" w:name="_Toc18330"/>
      <w:r>
        <w:rPr>
          <w:rFonts w:hint="eastAsia"/>
        </w:rPr>
        <w:t>综合评价系统</w:t>
      </w:r>
      <w:bookmarkEnd w:id="260"/>
      <w:bookmarkEnd w:id="281"/>
    </w:p>
    <w:p w14:paraId="01E95B93">
      <w:pPr>
        <w:spacing w:line="276" w:lineRule="auto"/>
        <w:ind w:firstLine="480"/>
        <w:rPr>
          <w:rFonts w:hint="eastAsia" w:ascii="宋体" w:hAnsi="宋体" w:eastAsia="宋体"/>
          <w:sz w:val="24"/>
          <w:szCs w:val="24"/>
        </w:rPr>
      </w:pPr>
      <w:r>
        <w:rPr>
          <w:rFonts w:hint="eastAsia" w:ascii="宋体" w:hAnsi="宋体" w:eastAsia="宋体"/>
          <w:sz w:val="24"/>
          <w:szCs w:val="24"/>
        </w:rPr>
        <w:t>根据城市综合管理服务评价工作要求，围绕</w:t>
      </w:r>
      <w:r>
        <w:rPr>
          <w:rFonts w:hint="eastAsia" w:ascii="宋体" w:hAnsi="宋体" w:eastAsia="宋体" w:cs="仿宋_GB2312"/>
          <w:sz w:val="24"/>
          <w:szCs w:val="24"/>
        </w:rPr>
        <w:t>“市政设施、房屋建筑、交通设施、人员密集区域、群众获得感”和“干净、整洁、有序、群众满意度”等核心指标</w:t>
      </w:r>
      <w:r>
        <w:rPr>
          <w:rFonts w:hint="eastAsia" w:ascii="宋体" w:hAnsi="宋体" w:eastAsia="宋体"/>
          <w:sz w:val="24"/>
          <w:szCs w:val="24"/>
        </w:rPr>
        <w:t>、“十没有、二十有”清单、创建文明城市、创建卫生城市、创建园林城市、创建城市管理示范城市和</w:t>
      </w:r>
      <w:r>
        <w:rPr>
          <w:rFonts w:ascii="宋体" w:hAnsi="宋体" w:eastAsia="宋体"/>
          <w:sz w:val="24"/>
          <w:szCs w:val="24"/>
        </w:rPr>
        <w:t>《</w:t>
      </w:r>
      <w:r>
        <w:rPr>
          <w:rFonts w:hint="eastAsia" w:ascii="宋体" w:hAnsi="宋体" w:eastAsia="宋体"/>
          <w:sz w:val="24"/>
          <w:szCs w:val="24"/>
        </w:rPr>
        <w:t>盐城市城市长效综合管理工作考核办法</w:t>
      </w:r>
      <w:r>
        <w:rPr>
          <w:rFonts w:ascii="宋体" w:hAnsi="宋体" w:eastAsia="宋体"/>
          <w:sz w:val="24"/>
          <w:szCs w:val="24"/>
        </w:rPr>
        <w:t>（试行）》</w:t>
      </w:r>
      <w:r>
        <w:rPr>
          <w:rFonts w:hint="eastAsia" w:ascii="宋体" w:hAnsi="宋体" w:eastAsia="宋体"/>
          <w:sz w:val="24"/>
          <w:szCs w:val="24"/>
        </w:rPr>
        <w:t>等各项检查指标，</w:t>
      </w:r>
      <w:r>
        <w:rPr>
          <w:rFonts w:hint="eastAsia" w:ascii="宋体" w:hAnsi="宋体" w:eastAsia="宋体" w:cs="仿宋_GB2312"/>
          <w:sz w:val="24"/>
          <w:szCs w:val="24"/>
        </w:rPr>
        <w:t>定期开展城市运行管理服务自评价工作，并配合部、省住房和城乡建设（城市管理）主管部门做好第三方实地考察工作</w:t>
      </w:r>
      <w:r>
        <w:rPr>
          <w:rFonts w:hint="eastAsia" w:ascii="宋体" w:hAnsi="宋体" w:eastAsia="宋体"/>
          <w:sz w:val="24"/>
          <w:szCs w:val="24"/>
        </w:rPr>
        <w:t>。系统提供考核指标管理、考核配置管理、考核指标填报、考核任务管理、考核数据审核、考核结果生成等功能模块。</w:t>
      </w:r>
    </w:p>
    <w:p w14:paraId="02CC23E1">
      <w:pPr>
        <w:pStyle w:val="8"/>
        <w:rPr>
          <w:rFonts w:hint="eastAsia"/>
          <w:b w:val="0"/>
        </w:rPr>
      </w:pPr>
      <w:bookmarkStart w:id="282" w:name="_Toc138067497"/>
      <w:bookmarkStart w:id="283" w:name="_Toc64887248"/>
      <w:r>
        <w:rPr>
          <w:rFonts w:hint="eastAsia"/>
        </w:rPr>
        <w:t>考核</w:t>
      </w:r>
      <w:r>
        <w:rPr>
          <w:b w:val="0"/>
        </w:rPr>
        <w:t>指标管理</w:t>
      </w:r>
      <w:bookmarkEnd w:id="282"/>
      <w:bookmarkEnd w:id="283"/>
    </w:p>
    <w:p w14:paraId="52D501A8">
      <w:pPr>
        <w:tabs>
          <w:tab w:val="left" w:pos="3402"/>
        </w:tabs>
        <w:spacing w:line="276" w:lineRule="auto"/>
        <w:ind w:firstLine="480"/>
        <w:rPr>
          <w:rFonts w:hint="eastAsia" w:ascii="宋体" w:hAnsi="宋体" w:eastAsia="宋体"/>
          <w:sz w:val="24"/>
          <w:szCs w:val="24"/>
        </w:rPr>
      </w:pPr>
      <w:r>
        <w:rPr>
          <w:rFonts w:hint="eastAsia" w:ascii="宋体" w:hAnsi="宋体" w:eastAsia="宋体"/>
          <w:sz w:val="24"/>
          <w:szCs w:val="24"/>
        </w:rPr>
        <w:t>考核评价包括填报核查和现场检查两种考核形式。考评指标分为一级指标、二级指标、三级指标，每类考核指标下细分检查项。核查类指标主要是通过各个被考评区域主动填报各类指标的相关数据；检查类指标主要通过考评成员到达被考评现场，进行现场检查打分；检查项属于具体的考评细则，对应于填报核查指标中的填报细项和现场检查指标中的检查细项。</w:t>
      </w:r>
    </w:p>
    <w:p w14:paraId="21A3FBE3">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.评价指标定义</w:t>
      </w:r>
      <w:r>
        <w:rPr>
          <w:rFonts w:hint="eastAsia" w:ascii="宋体" w:hAnsi="宋体" w:eastAsia="宋体"/>
          <w:sz w:val="24"/>
          <w:szCs w:val="24"/>
        </w:rPr>
        <w:t>:支持三级考核指标体系的定义功能，包括定义、指标编号、指标解释、指标名称、考评要求、评价标准、考评方式（填报核查、现场检查）、检查项、计分方法等。</w:t>
      </w:r>
    </w:p>
    <w:p w14:paraId="4E030A19">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.考核项定义</w:t>
      </w:r>
      <w:r>
        <w:rPr>
          <w:rFonts w:hint="eastAsia" w:ascii="宋体" w:hAnsi="宋体" w:eastAsia="宋体"/>
          <w:sz w:val="24"/>
          <w:szCs w:val="24"/>
        </w:rPr>
        <w:t>:支持指标体系下的考核项（填报项、检查项）定义。</w:t>
      </w:r>
    </w:p>
    <w:p w14:paraId="3F5D98FD">
      <w:pPr>
        <w:spacing w:line="276" w:lineRule="auto"/>
        <w:ind w:firstLine="480"/>
        <w:rPr>
          <w:rFonts w:hint="eastAsia" w:ascii="宋体" w:hAnsi="宋体" w:eastAsia="宋体"/>
          <w:sz w:val="24"/>
          <w:szCs w:val="24"/>
        </w:rPr>
      </w:pPr>
      <w:r>
        <w:rPr>
          <w:rFonts w:ascii="宋体" w:hAnsi="宋体" w:eastAsia="宋体"/>
          <w:sz w:val="24"/>
          <w:szCs w:val="24"/>
        </w:rPr>
        <w:t>c.指标计算规则定义</w:t>
      </w:r>
      <w:r>
        <w:rPr>
          <w:rFonts w:hint="eastAsia" w:ascii="宋体" w:hAnsi="宋体" w:eastAsia="宋体"/>
          <w:sz w:val="24"/>
          <w:szCs w:val="24"/>
        </w:rPr>
        <w:t>:支持指标计算规则定义，通过指标中的考核项进行定义最终的指标计算规则。</w:t>
      </w:r>
    </w:p>
    <w:p w14:paraId="103B1C89">
      <w:pPr>
        <w:spacing w:line="276" w:lineRule="auto"/>
        <w:ind w:firstLine="480"/>
        <w:rPr>
          <w:rFonts w:hint="eastAsia" w:ascii="宋体" w:hAnsi="宋体" w:eastAsia="宋体"/>
          <w:sz w:val="24"/>
          <w:szCs w:val="24"/>
        </w:rPr>
      </w:pPr>
      <w:r>
        <w:rPr>
          <w:rFonts w:ascii="宋体" w:hAnsi="宋体" w:eastAsia="宋体"/>
          <w:sz w:val="24"/>
          <w:szCs w:val="24"/>
        </w:rPr>
        <w:t>d.评价规则维护</w:t>
      </w:r>
      <w:r>
        <w:rPr>
          <w:rFonts w:hint="eastAsia" w:ascii="宋体" w:hAnsi="宋体" w:eastAsia="宋体"/>
          <w:sz w:val="24"/>
          <w:szCs w:val="24"/>
        </w:rPr>
        <w:t>:支持评价规则维护，支持规则配置，基于指标计算后，能直接计算该指标的评价得分。一种是按照指标结果分段给出等级和相应的得分；另外一种是指标包含多个填报项，每项都有一个达标值，最终按照达标几项计算相应的得分。</w:t>
      </w:r>
    </w:p>
    <w:tbl>
      <w:tblPr>
        <w:tblStyle w:val="9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959"/>
        <w:gridCol w:w="2093"/>
        <w:gridCol w:w="797"/>
        <w:gridCol w:w="3205"/>
      </w:tblGrid>
      <w:tr w14:paraId="67FC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777" w:type="pct"/>
            <w:tcBorders>
              <w:top w:val="single" w:color="auto" w:sz="4" w:space="0"/>
              <w:left w:val="single" w:color="auto" w:sz="4" w:space="0"/>
              <w:bottom w:val="single" w:color="auto" w:sz="4" w:space="0"/>
              <w:right w:val="single" w:color="auto" w:sz="4" w:space="0"/>
            </w:tcBorders>
            <w:vAlign w:val="center"/>
          </w:tcPr>
          <w:p w14:paraId="6E63498A">
            <w:pPr>
              <w:keepNext w:val="0"/>
              <w:keepLines w:val="0"/>
              <w:suppressLineNumbers w:val="0"/>
              <w:spacing w:before="0" w:beforeAutospacing="0" w:after="0" w:afterAutospacing="0" w:line="276" w:lineRule="auto"/>
              <w:ind w:left="0" w:right="0"/>
              <w:rPr>
                <w:rFonts w:hint="eastAsia" w:ascii="宋体" w:hAnsi="宋体" w:eastAsia="宋体"/>
                <w:sz w:val="21"/>
                <w:szCs w:val="21"/>
              </w:rPr>
            </w:pPr>
            <w:bookmarkStart w:id="284" w:name="_Toc64887249"/>
            <w:r>
              <w:rPr>
                <w:rFonts w:hint="eastAsia" w:ascii="宋体" w:hAnsi="宋体" w:eastAsia="宋体"/>
                <w:sz w:val="21"/>
                <w:szCs w:val="21"/>
              </w:rPr>
              <w:t>一级指标</w:t>
            </w:r>
          </w:p>
        </w:tc>
        <w:tc>
          <w:tcPr>
            <w:tcW w:w="574" w:type="pct"/>
            <w:tcBorders>
              <w:top w:val="single" w:color="auto" w:sz="4" w:space="0"/>
              <w:left w:val="single" w:color="auto" w:sz="4" w:space="0"/>
              <w:bottom w:val="single" w:color="auto" w:sz="4" w:space="0"/>
              <w:right w:val="single" w:color="auto" w:sz="4" w:space="0"/>
            </w:tcBorders>
            <w:vAlign w:val="center"/>
          </w:tcPr>
          <w:p w14:paraId="40FEAA8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序号</w:t>
            </w:r>
          </w:p>
        </w:tc>
        <w:tc>
          <w:tcPr>
            <w:tcW w:w="1253" w:type="pct"/>
            <w:tcBorders>
              <w:top w:val="single" w:color="auto" w:sz="4" w:space="0"/>
              <w:left w:val="single" w:color="auto" w:sz="4" w:space="0"/>
              <w:bottom w:val="single" w:color="auto" w:sz="4" w:space="0"/>
              <w:right w:val="single" w:color="auto" w:sz="4" w:space="0"/>
            </w:tcBorders>
            <w:vAlign w:val="center"/>
          </w:tcPr>
          <w:p w14:paraId="0338A4F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二级指标</w:t>
            </w:r>
          </w:p>
        </w:tc>
        <w:tc>
          <w:tcPr>
            <w:tcW w:w="477" w:type="pct"/>
            <w:tcBorders>
              <w:top w:val="single" w:color="auto" w:sz="4" w:space="0"/>
              <w:left w:val="single" w:color="auto" w:sz="4" w:space="0"/>
              <w:bottom w:val="single" w:color="auto" w:sz="4" w:space="0"/>
              <w:right w:val="single" w:color="auto" w:sz="4" w:space="0"/>
            </w:tcBorders>
            <w:vAlign w:val="center"/>
          </w:tcPr>
          <w:p w14:paraId="2FF369A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序号</w:t>
            </w:r>
          </w:p>
        </w:tc>
        <w:tc>
          <w:tcPr>
            <w:tcW w:w="1919" w:type="pct"/>
            <w:tcBorders>
              <w:top w:val="single" w:color="auto" w:sz="4" w:space="0"/>
              <w:left w:val="single" w:color="auto" w:sz="4" w:space="0"/>
              <w:bottom w:val="single" w:color="auto" w:sz="4" w:space="0"/>
              <w:right w:val="single" w:color="auto" w:sz="4" w:space="0"/>
            </w:tcBorders>
            <w:vAlign w:val="center"/>
          </w:tcPr>
          <w:p w14:paraId="794E25F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三级指标</w:t>
            </w:r>
          </w:p>
        </w:tc>
      </w:tr>
      <w:tr w14:paraId="68F7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14:paraId="0A04F25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1.干净</w:t>
            </w:r>
          </w:p>
        </w:tc>
        <w:tc>
          <w:tcPr>
            <w:tcW w:w="574" w:type="pct"/>
            <w:tcBorders>
              <w:top w:val="single" w:color="auto" w:sz="4" w:space="0"/>
              <w:left w:val="single" w:color="auto" w:sz="4" w:space="0"/>
              <w:bottom w:val="single" w:color="auto" w:sz="4" w:space="0"/>
              <w:right w:val="single" w:color="auto" w:sz="4" w:space="0"/>
            </w:tcBorders>
            <w:vAlign w:val="center"/>
          </w:tcPr>
          <w:p w14:paraId="2FD8C37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1-1</w:t>
            </w:r>
          </w:p>
        </w:tc>
        <w:tc>
          <w:tcPr>
            <w:tcW w:w="1253" w:type="pct"/>
            <w:tcBorders>
              <w:top w:val="single" w:color="auto" w:sz="4" w:space="0"/>
              <w:left w:val="single" w:color="auto" w:sz="4" w:space="0"/>
              <w:bottom w:val="single" w:color="auto" w:sz="4" w:space="0"/>
              <w:right w:val="single" w:color="auto" w:sz="4" w:space="0"/>
            </w:tcBorders>
            <w:vAlign w:val="center"/>
          </w:tcPr>
          <w:p w14:paraId="1C041FD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环卫设施</w:t>
            </w:r>
          </w:p>
        </w:tc>
        <w:tc>
          <w:tcPr>
            <w:tcW w:w="477" w:type="pct"/>
            <w:tcBorders>
              <w:top w:val="single" w:color="auto" w:sz="4" w:space="0"/>
              <w:left w:val="single" w:color="auto" w:sz="4" w:space="0"/>
              <w:bottom w:val="single" w:color="auto" w:sz="4" w:space="0"/>
              <w:right w:val="single" w:color="auto" w:sz="4" w:space="0"/>
            </w:tcBorders>
            <w:vAlign w:val="center"/>
          </w:tcPr>
          <w:p w14:paraId="69ABA88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1-1-1</w:t>
            </w:r>
          </w:p>
        </w:tc>
        <w:tc>
          <w:tcPr>
            <w:tcW w:w="1919" w:type="pct"/>
            <w:tcBorders>
              <w:top w:val="single" w:color="auto" w:sz="4" w:space="0"/>
              <w:left w:val="single" w:color="auto" w:sz="4" w:space="0"/>
              <w:bottom w:val="single" w:color="auto" w:sz="4" w:space="0"/>
              <w:right w:val="single" w:color="auto" w:sz="4" w:space="0"/>
            </w:tcBorders>
            <w:vAlign w:val="center"/>
          </w:tcPr>
          <w:p w14:paraId="28BF589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城市建成区公共卫生间设置密度（座/km</w:t>
            </w:r>
            <w:r>
              <w:rPr>
                <w:rFonts w:hint="eastAsia" w:ascii="宋体" w:hAnsi="宋体" w:eastAsia="宋体"/>
                <w:sz w:val="21"/>
                <w:szCs w:val="21"/>
                <w:vertAlign w:val="superscript"/>
              </w:rPr>
              <w:t>2</w:t>
            </w:r>
            <w:r>
              <w:rPr>
                <w:rFonts w:hint="eastAsia" w:ascii="宋体" w:hAnsi="宋体" w:eastAsia="宋体"/>
                <w:sz w:val="21"/>
                <w:szCs w:val="21"/>
              </w:rPr>
              <w:t>）</w:t>
            </w:r>
          </w:p>
        </w:tc>
      </w:tr>
      <w:tr w14:paraId="0034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56FFDB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6E29379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43F06DC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垃圾处理能力</w:t>
            </w:r>
          </w:p>
        </w:tc>
        <w:tc>
          <w:tcPr>
            <w:tcW w:w="477" w:type="pct"/>
            <w:tcBorders>
              <w:top w:val="single" w:color="auto" w:sz="4" w:space="0"/>
              <w:left w:val="single" w:color="auto" w:sz="4" w:space="0"/>
              <w:bottom w:val="single" w:color="auto" w:sz="4" w:space="0"/>
              <w:right w:val="single" w:color="auto" w:sz="4" w:space="0"/>
            </w:tcBorders>
            <w:vAlign w:val="center"/>
          </w:tcPr>
          <w:p w14:paraId="0C6C783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1-2-1</w:t>
            </w:r>
          </w:p>
        </w:tc>
        <w:tc>
          <w:tcPr>
            <w:tcW w:w="1919" w:type="pct"/>
            <w:tcBorders>
              <w:top w:val="single" w:color="auto" w:sz="4" w:space="0"/>
              <w:left w:val="single" w:color="auto" w:sz="4" w:space="0"/>
              <w:bottom w:val="single" w:color="auto" w:sz="4" w:space="0"/>
              <w:right w:val="single" w:color="auto" w:sz="4" w:space="0"/>
            </w:tcBorders>
            <w:vAlign w:val="center"/>
          </w:tcPr>
          <w:p w14:paraId="65087BE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生活垃圾分类覆盖率（%）</w:t>
            </w:r>
          </w:p>
        </w:tc>
      </w:tr>
      <w:tr w14:paraId="1190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E1803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208B30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FED487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40E3563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1-2-2</w:t>
            </w:r>
          </w:p>
        </w:tc>
        <w:tc>
          <w:tcPr>
            <w:tcW w:w="1919" w:type="pct"/>
            <w:tcBorders>
              <w:top w:val="single" w:color="auto" w:sz="4" w:space="0"/>
              <w:left w:val="single" w:color="auto" w:sz="4" w:space="0"/>
              <w:bottom w:val="single" w:color="auto" w:sz="4" w:space="0"/>
              <w:right w:val="single" w:color="auto" w:sz="4" w:space="0"/>
            </w:tcBorders>
            <w:vAlign w:val="center"/>
          </w:tcPr>
          <w:p w14:paraId="7E76A81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城市生活垃圾资源化利用率（%）</w:t>
            </w:r>
          </w:p>
        </w:tc>
      </w:tr>
      <w:tr w14:paraId="4445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299BF8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6D5F60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B65245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DB6B1C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1-2-3</w:t>
            </w:r>
          </w:p>
        </w:tc>
        <w:tc>
          <w:tcPr>
            <w:tcW w:w="1919" w:type="pct"/>
            <w:tcBorders>
              <w:top w:val="single" w:color="auto" w:sz="4" w:space="0"/>
              <w:left w:val="single" w:color="auto" w:sz="4" w:space="0"/>
              <w:bottom w:val="single" w:color="auto" w:sz="4" w:space="0"/>
              <w:right w:val="single" w:color="auto" w:sz="4" w:space="0"/>
            </w:tcBorders>
            <w:vAlign w:val="center"/>
          </w:tcPr>
          <w:p w14:paraId="20A24A0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生活垃圾处理设计能力与清运量的比例</w:t>
            </w:r>
          </w:p>
        </w:tc>
      </w:tr>
      <w:tr w14:paraId="53A3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1A4519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00C934F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1DD47C6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道路保洁</w:t>
            </w:r>
          </w:p>
        </w:tc>
        <w:tc>
          <w:tcPr>
            <w:tcW w:w="477" w:type="pct"/>
            <w:tcBorders>
              <w:top w:val="single" w:color="auto" w:sz="4" w:space="0"/>
              <w:left w:val="single" w:color="auto" w:sz="4" w:space="0"/>
              <w:bottom w:val="single" w:color="auto" w:sz="4" w:space="0"/>
              <w:right w:val="single" w:color="auto" w:sz="4" w:space="0"/>
            </w:tcBorders>
            <w:vAlign w:val="center"/>
          </w:tcPr>
          <w:p w14:paraId="45BEC01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1-3-1</w:t>
            </w:r>
          </w:p>
        </w:tc>
        <w:tc>
          <w:tcPr>
            <w:tcW w:w="1919" w:type="pct"/>
            <w:tcBorders>
              <w:top w:val="single" w:color="auto" w:sz="4" w:space="0"/>
              <w:left w:val="single" w:color="auto" w:sz="4" w:space="0"/>
              <w:bottom w:val="single" w:color="auto" w:sz="4" w:space="0"/>
              <w:right w:val="single" w:color="auto" w:sz="4" w:space="0"/>
            </w:tcBorders>
            <w:vAlign w:val="center"/>
          </w:tcPr>
          <w:p w14:paraId="0963A07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城市道路机械化清扫率（%）</w:t>
            </w:r>
          </w:p>
        </w:tc>
      </w:tr>
      <w:tr w14:paraId="1FE9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5E7DE8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5A850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C783C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3B08D1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1-3-2</w:t>
            </w:r>
          </w:p>
        </w:tc>
        <w:tc>
          <w:tcPr>
            <w:tcW w:w="1919" w:type="pct"/>
            <w:tcBorders>
              <w:top w:val="single" w:color="auto" w:sz="4" w:space="0"/>
              <w:left w:val="single" w:color="auto" w:sz="4" w:space="0"/>
              <w:bottom w:val="single" w:color="auto" w:sz="4" w:space="0"/>
              <w:right w:val="single" w:color="auto" w:sz="4" w:space="0"/>
            </w:tcBorders>
            <w:vAlign w:val="center"/>
          </w:tcPr>
          <w:p w14:paraId="74C8A78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道路清扫覆盖率（%）</w:t>
            </w:r>
          </w:p>
        </w:tc>
      </w:tr>
      <w:tr w14:paraId="5C1B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6C1EEF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09CDF6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298F01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CE89AA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1-3-3</w:t>
            </w:r>
          </w:p>
        </w:tc>
        <w:tc>
          <w:tcPr>
            <w:tcW w:w="1919" w:type="pct"/>
            <w:tcBorders>
              <w:top w:val="single" w:color="auto" w:sz="4" w:space="0"/>
              <w:left w:val="single" w:color="auto" w:sz="4" w:space="0"/>
              <w:bottom w:val="single" w:color="auto" w:sz="4" w:space="0"/>
              <w:right w:val="single" w:color="auto" w:sz="4" w:space="0"/>
            </w:tcBorders>
            <w:vAlign w:val="center"/>
          </w:tcPr>
          <w:p w14:paraId="595A9A1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各级道路巡回保洁时间（h）</w:t>
            </w:r>
          </w:p>
        </w:tc>
      </w:tr>
      <w:tr w14:paraId="18D3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A482E3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321DF6F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1-4</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0A38B21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建筑垃圾监管</w:t>
            </w:r>
          </w:p>
        </w:tc>
        <w:tc>
          <w:tcPr>
            <w:tcW w:w="477" w:type="pct"/>
            <w:tcBorders>
              <w:top w:val="single" w:color="auto" w:sz="4" w:space="0"/>
              <w:left w:val="single" w:color="auto" w:sz="4" w:space="0"/>
              <w:bottom w:val="single" w:color="auto" w:sz="4" w:space="0"/>
              <w:right w:val="single" w:color="auto" w:sz="4" w:space="0"/>
            </w:tcBorders>
            <w:vAlign w:val="center"/>
          </w:tcPr>
          <w:p w14:paraId="1F2E718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1-4-1</w:t>
            </w:r>
          </w:p>
        </w:tc>
        <w:tc>
          <w:tcPr>
            <w:tcW w:w="1919" w:type="pct"/>
            <w:tcBorders>
              <w:top w:val="single" w:color="auto" w:sz="4" w:space="0"/>
              <w:left w:val="single" w:color="auto" w:sz="4" w:space="0"/>
              <w:bottom w:val="single" w:color="auto" w:sz="4" w:space="0"/>
              <w:right w:val="single" w:color="auto" w:sz="4" w:space="0"/>
            </w:tcBorders>
            <w:vAlign w:val="center"/>
          </w:tcPr>
          <w:p w14:paraId="50E7F9F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建筑垃圾全流程监管达标率（%）</w:t>
            </w:r>
          </w:p>
        </w:tc>
      </w:tr>
      <w:tr w14:paraId="6C2F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E6AD2B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49CDD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59BA7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F4C9C3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1-4-2</w:t>
            </w:r>
          </w:p>
        </w:tc>
        <w:tc>
          <w:tcPr>
            <w:tcW w:w="1919" w:type="pct"/>
            <w:tcBorders>
              <w:top w:val="single" w:color="auto" w:sz="4" w:space="0"/>
              <w:left w:val="single" w:color="auto" w:sz="4" w:space="0"/>
              <w:bottom w:val="single" w:color="auto" w:sz="4" w:space="0"/>
              <w:right w:val="single" w:color="auto" w:sz="4" w:space="0"/>
            </w:tcBorders>
            <w:vAlign w:val="center"/>
          </w:tcPr>
          <w:p w14:paraId="1C61816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建筑垃圾资源化利用率（%）</w:t>
            </w:r>
          </w:p>
        </w:tc>
      </w:tr>
      <w:tr w14:paraId="1FB5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2B1E8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4C48DF0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1-5</w:t>
            </w:r>
          </w:p>
        </w:tc>
        <w:tc>
          <w:tcPr>
            <w:tcW w:w="1253" w:type="pct"/>
            <w:tcBorders>
              <w:top w:val="single" w:color="auto" w:sz="4" w:space="0"/>
              <w:left w:val="single" w:color="auto" w:sz="4" w:space="0"/>
              <w:bottom w:val="single" w:color="auto" w:sz="4" w:space="0"/>
              <w:right w:val="single" w:color="auto" w:sz="4" w:space="0"/>
            </w:tcBorders>
            <w:vAlign w:val="center"/>
          </w:tcPr>
          <w:p w14:paraId="29F98C0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市容环境卫生公众参与</w:t>
            </w:r>
          </w:p>
        </w:tc>
        <w:tc>
          <w:tcPr>
            <w:tcW w:w="477" w:type="pct"/>
            <w:tcBorders>
              <w:top w:val="single" w:color="auto" w:sz="4" w:space="0"/>
              <w:left w:val="single" w:color="auto" w:sz="4" w:space="0"/>
              <w:bottom w:val="single" w:color="auto" w:sz="4" w:space="0"/>
              <w:right w:val="single" w:color="auto" w:sz="4" w:space="0"/>
            </w:tcBorders>
            <w:vAlign w:val="center"/>
          </w:tcPr>
          <w:p w14:paraId="5284D40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1-5-1</w:t>
            </w:r>
          </w:p>
        </w:tc>
        <w:tc>
          <w:tcPr>
            <w:tcW w:w="1919" w:type="pct"/>
            <w:tcBorders>
              <w:top w:val="single" w:color="auto" w:sz="4" w:space="0"/>
              <w:left w:val="single" w:color="auto" w:sz="4" w:space="0"/>
              <w:bottom w:val="single" w:color="auto" w:sz="4" w:space="0"/>
              <w:right w:val="single" w:color="auto" w:sz="4" w:space="0"/>
            </w:tcBorders>
            <w:vAlign w:val="center"/>
          </w:tcPr>
          <w:p w14:paraId="7EEE4FF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城市门前责任区制度履约率（%）</w:t>
            </w:r>
          </w:p>
        </w:tc>
      </w:tr>
      <w:tr w14:paraId="1D2B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670E9F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192DE8D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6A466AF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现场评价（干净）</w:t>
            </w:r>
          </w:p>
        </w:tc>
        <w:tc>
          <w:tcPr>
            <w:tcW w:w="477" w:type="pct"/>
            <w:tcBorders>
              <w:top w:val="single" w:color="auto" w:sz="4" w:space="0"/>
              <w:left w:val="single" w:color="auto" w:sz="4" w:space="0"/>
              <w:bottom w:val="single" w:color="auto" w:sz="4" w:space="0"/>
              <w:right w:val="single" w:color="auto" w:sz="4" w:space="0"/>
            </w:tcBorders>
            <w:vAlign w:val="center"/>
          </w:tcPr>
          <w:p w14:paraId="5433EE6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1-6-1</w:t>
            </w:r>
          </w:p>
        </w:tc>
        <w:tc>
          <w:tcPr>
            <w:tcW w:w="1919" w:type="pct"/>
            <w:tcBorders>
              <w:top w:val="single" w:color="auto" w:sz="4" w:space="0"/>
              <w:left w:val="single" w:color="auto" w:sz="4" w:space="0"/>
              <w:bottom w:val="single" w:color="auto" w:sz="4" w:space="0"/>
              <w:right w:val="single" w:color="auto" w:sz="4" w:space="0"/>
            </w:tcBorders>
            <w:vAlign w:val="center"/>
          </w:tcPr>
          <w:p w14:paraId="03ABCCC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道路干净</w:t>
            </w:r>
          </w:p>
        </w:tc>
      </w:tr>
      <w:tr w14:paraId="1EB6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72CE3B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6EBC5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56B69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8E91CA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1-6-2</w:t>
            </w:r>
          </w:p>
        </w:tc>
        <w:tc>
          <w:tcPr>
            <w:tcW w:w="1919" w:type="pct"/>
            <w:tcBorders>
              <w:top w:val="single" w:color="auto" w:sz="4" w:space="0"/>
              <w:left w:val="single" w:color="auto" w:sz="4" w:space="0"/>
              <w:bottom w:val="single" w:color="auto" w:sz="4" w:space="0"/>
              <w:right w:val="single" w:color="auto" w:sz="4" w:space="0"/>
            </w:tcBorders>
            <w:vAlign w:val="center"/>
          </w:tcPr>
          <w:p w14:paraId="4DDD3B1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建（构）筑物立面干净</w:t>
            </w:r>
          </w:p>
        </w:tc>
      </w:tr>
      <w:tr w14:paraId="0A8A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2896C7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5FEA76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75D198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FC1340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1-6-3</w:t>
            </w:r>
          </w:p>
        </w:tc>
        <w:tc>
          <w:tcPr>
            <w:tcW w:w="1919" w:type="pct"/>
            <w:tcBorders>
              <w:top w:val="single" w:color="auto" w:sz="4" w:space="0"/>
              <w:left w:val="single" w:color="auto" w:sz="4" w:space="0"/>
              <w:bottom w:val="single" w:color="auto" w:sz="4" w:space="0"/>
              <w:right w:val="single" w:color="auto" w:sz="4" w:space="0"/>
            </w:tcBorders>
            <w:vAlign w:val="center"/>
          </w:tcPr>
          <w:p w14:paraId="0ABE9E3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公共场所干净</w:t>
            </w:r>
          </w:p>
        </w:tc>
      </w:tr>
      <w:tr w14:paraId="111A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17F7F2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CE731C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57630D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FBF46A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1-6-4</w:t>
            </w:r>
          </w:p>
        </w:tc>
        <w:tc>
          <w:tcPr>
            <w:tcW w:w="1919" w:type="pct"/>
            <w:tcBorders>
              <w:top w:val="single" w:color="auto" w:sz="4" w:space="0"/>
              <w:left w:val="single" w:color="auto" w:sz="4" w:space="0"/>
              <w:bottom w:val="single" w:color="auto" w:sz="4" w:space="0"/>
              <w:right w:val="single" w:color="auto" w:sz="4" w:space="0"/>
            </w:tcBorders>
            <w:vAlign w:val="center"/>
          </w:tcPr>
          <w:p w14:paraId="623033C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水体干净</w:t>
            </w:r>
          </w:p>
        </w:tc>
      </w:tr>
      <w:tr w14:paraId="1899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B4712A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FB2103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CB611B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13B0C3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1-6-5</w:t>
            </w:r>
          </w:p>
        </w:tc>
        <w:tc>
          <w:tcPr>
            <w:tcW w:w="1919" w:type="pct"/>
            <w:tcBorders>
              <w:top w:val="single" w:color="auto" w:sz="4" w:space="0"/>
              <w:left w:val="single" w:color="auto" w:sz="4" w:space="0"/>
              <w:bottom w:val="single" w:color="auto" w:sz="4" w:space="0"/>
              <w:right w:val="single" w:color="auto" w:sz="4" w:space="0"/>
            </w:tcBorders>
            <w:vAlign w:val="center"/>
          </w:tcPr>
          <w:p w14:paraId="67E5679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施工工地及周边干净</w:t>
            </w:r>
          </w:p>
        </w:tc>
      </w:tr>
      <w:tr w14:paraId="59F2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8AB92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1E76BA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3171EC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710203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1-6-6</w:t>
            </w:r>
          </w:p>
        </w:tc>
        <w:tc>
          <w:tcPr>
            <w:tcW w:w="1919" w:type="pct"/>
            <w:tcBorders>
              <w:top w:val="single" w:color="auto" w:sz="4" w:space="0"/>
              <w:left w:val="single" w:color="auto" w:sz="4" w:space="0"/>
              <w:bottom w:val="single" w:color="auto" w:sz="4" w:space="0"/>
              <w:right w:val="single" w:color="auto" w:sz="4" w:space="0"/>
            </w:tcBorders>
            <w:vAlign w:val="center"/>
          </w:tcPr>
          <w:p w14:paraId="7A8F500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垃圾收集运输设备设施干净</w:t>
            </w:r>
          </w:p>
        </w:tc>
      </w:tr>
      <w:tr w14:paraId="4B76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AB294E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1E0E17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DB0F93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443188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1-6-7</w:t>
            </w:r>
          </w:p>
        </w:tc>
        <w:tc>
          <w:tcPr>
            <w:tcW w:w="1919" w:type="pct"/>
            <w:tcBorders>
              <w:top w:val="single" w:color="auto" w:sz="4" w:space="0"/>
              <w:left w:val="single" w:color="auto" w:sz="4" w:space="0"/>
              <w:bottom w:val="single" w:color="auto" w:sz="4" w:space="0"/>
              <w:right w:val="single" w:color="auto" w:sz="4" w:space="0"/>
            </w:tcBorders>
            <w:vAlign w:val="center"/>
          </w:tcPr>
          <w:p w14:paraId="165CC1E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垃圾中转站干净</w:t>
            </w:r>
          </w:p>
        </w:tc>
      </w:tr>
      <w:tr w14:paraId="34A7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14:paraId="11A4C7D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2.整洁</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2110470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46838BE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绿地服务能力</w:t>
            </w:r>
          </w:p>
        </w:tc>
        <w:tc>
          <w:tcPr>
            <w:tcW w:w="477" w:type="pct"/>
            <w:tcBorders>
              <w:top w:val="single" w:color="auto" w:sz="4" w:space="0"/>
              <w:left w:val="single" w:color="auto" w:sz="4" w:space="0"/>
              <w:bottom w:val="single" w:color="auto" w:sz="4" w:space="0"/>
              <w:right w:val="single" w:color="auto" w:sz="4" w:space="0"/>
            </w:tcBorders>
            <w:vAlign w:val="center"/>
          </w:tcPr>
          <w:p w14:paraId="327E100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2-1-1</w:t>
            </w:r>
          </w:p>
        </w:tc>
        <w:tc>
          <w:tcPr>
            <w:tcW w:w="1919" w:type="pct"/>
            <w:tcBorders>
              <w:top w:val="single" w:color="auto" w:sz="4" w:space="0"/>
              <w:left w:val="single" w:color="auto" w:sz="4" w:space="0"/>
              <w:bottom w:val="single" w:color="auto" w:sz="4" w:space="0"/>
              <w:right w:val="single" w:color="auto" w:sz="4" w:space="0"/>
            </w:tcBorders>
            <w:vAlign w:val="center"/>
          </w:tcPr>
          <w:p w14:paraId="6099AD9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城市建成区公园绿化活动场地服务半径覆盖率（%）</w:t>
            </w:r>
          </w:p>
        </w:tc>
      </w:tr>
      <w:tr w14:paraId="7396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DA7901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C00C5F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2447F2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A3B1FF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2-1-2</w:t>
            </w:r>
          </w:p>
        </w:tc>
        <w:tc>
          <w:tcPr>
            <w:tcW w:w="1919" w:type="pct"/>
            <w:tcBorders>
              <w:top w:val="single" w:color="auto" w:sz="4" w:space="0"/>
              <w:left w:val="single" w:color="auto" w:sz="4" w:space="0"/>
              <w:bottom w:val="single" w:color="auto" w:sz="4" w:space="0"/>
              <w:right w:val="single" w:color="auto" w:sz="4" w:space="0"/>
            </w:tcBorders>
            <w:vAlign w:val="center"/>
          </w:tcPr>
          <w:p w14:paraId="78400DA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城市建成区绿地率（%）</w:t>
            </w:r>
          </w:p>
        </w:tc>
      </w:tr>
      <w:tr w14:paraId="529F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E2043A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C685ED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931128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5D938D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2-1-3</w:t>
            </w:r>
          </w:p>
        </w:tc>
        <w:tc>
          <w:tcPr>
            <w:tcW w:w="1919" w:type="pct"/>
            <w:tcBorders>
              <w:top w:val="single" w:color="auto" w:sz="4" w:space="0"/>
              <w:left w:val="single" w:color="auto" w:sz="4" w:space="0"/>
              <w:bottom w:val="single" w:color="auto" w:sz="4" w:space="0"/>
              <w:right w:val="single" w:color="auto" w:sz="4" w:space="0"/>
            </w:tcBorders>
            <w:vAlign w:val="center"/>
          </w:tcPr>
          <w:p w14:paraId="6FCC3CB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城市建成区绿化覆盖率（%）</w:t>
            </w:r>
          </w:p>
        </w:tc>
      </w:tr>
      <w:tr w14:paraId="0992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C1829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ADCD42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782D7D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D4C24E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2-1-4</w:t>
            </w:r>
          </w:p>
        </w:tc>
        <w:tc>
          <w:tcPr>
            <w:tcW w:w="1919" w:type="pct"/>
            <w:tcBorders>
              <w:top w:val="single" w:color="auto" w:sz="4" w:space="0"/>
              <w:left w:val="single" w:color="auto" w:sz="4" w:space="0"/>
              <w:bottom w:val="single" w:color="auto" w:sz="4" w:space="0"/>
              <w:right w:val="single" w:color="auto" w:sz="4" w:space="0"/>
            </w:tcBorders>
            <w:vAlign w:val="center"/>
          </w:tcPr>
          <w:p w14:paraId="13BFF3F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人均公园绿地面积（m</w:t>
            </w:r>
            <w:r>
              <w:rPr>
                <w:rFonts w:hint="eastAsia" w:ascii="宋体" w:hAnsi="宋体" w:eastAsia="宋体"/>
                <w:sz w:val="21"/>
                <w:szCs w:val="21"/>
                <w:vertAlign w:val="superscript"/>
              </w:rPr>
              <w:t>2</w:t>
            </w:r>
            <w:r>
              <w:rPr>
                <w:rFonts w:hint="eastAsia" w:ascii="宋体" w:hAnsi="宋体" w:eastAsia="宋体"/>
                <w:sz w:val="21"/>
                <w:szCs w:val="21"/>
              </w:rPr>
              <w:t>/人）</w:t>
            </w:r>
          </w:p>
        </w:tc>
      </w:tr>
      <w:tr w14:paraId="4F5D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DA27EB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BFB76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674F6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1B0D1F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2-1-5</w:t>
            </w:r>
          </w:p>
        </w:tc>
        <w:tc>
          <w:tcPr>
            <w:tcW w:w="1919" w:type="pct"/>
            <w:tcBorders>
              <w:top w:val="single" w:color="auto" w:sz="4" w:space="0"/>
              <w:left w:val="single" w:color="auto" w:sz="4" w:space="0"/>
              <w:bottom w:val="single" w:color="auto" w:sz="4" w:space="0"/>
              <w:right w:val="single" w:color="auto" w:sz="4" w:space="0"/>
            </w:tcBorders>
            <w:vAlign w:val="center"/>
          </w:tcPr>
          <w:p w14:paraId="14FAE2D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城市林荫路覆盖率（%）</w:t>
            </w:r>
          </w:p>
        </w:tc>
      </w:tr>
      <w:tr w14:paraId="5F7E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3C89BC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D34C4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539D5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2DCFEE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2-1-6</w:t>
            </w:r>
          </w:p>
        </w:tc>
        <w:tc>
          <w:tcPr>
            <w:tcW w:w="1919" w:type="pct"/>
            <w:tcBorders>
              <w:top w:val="single" w:color="auto" w:sz="4" w:space="0"/>
              <w:left w:val="single" w:color="auto" w:sz="4" w:space="0"/>
              <w:bottom w:val="single" w:color="auto" w:sz="4" w:space="0"/>
              <w:right w:val="single" w:color="auto" w:sz="4" w:space="0"/>
            </w:tcBorders>
            <w:vAlign w:val="center"/>
          </w:tcPr>
          <w:p w14:paraId="12FAEF2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0"/>
                <w:szCs w:val="20"/>
              </w:rPr>
              <w:t>10万人综合公园个数</w:t>
            </w:r>
            <w:r>
              <w:rPr>
                <w:rFonts w:hint="eastAsia" w:ascii="宋体" w:hAnsi="宋体" w:eastAsia="宋体"/>
                <w:sz w:val="20"/>
                <w:szCs w:val="20"/>
                <w:lang w:val="en-US" w:eastAsia="zh-CN"/>
              </w:rPr>
              <w:t>(</w:t>
            </w:r>
            <w:r>
              <w:rPr>
                <w:rFonts w:hint="eastAsia" w:ascii="宋体" w:hAnsi="宋体" w:eastAsia="宋体"/>
                <w:sz w:val="20"/>
                <w:szCs w:val="20"/>
              </w:rPr>
              <w:t>个/10万人</w:t>
            </w:r>
            <w:r>
              <w:rPr>
                <w:rFonts w:hint="eastAsia" w:ascii="宋体" w:hAnsi="宋体" w:eastAsia="宋体"/>
                <w:sz w:val="20"/>
                <w:szCs w:val="20"/>
                <w:lang w:val="en-US" w:eastAsia="zh-CN"/>
              </w:rPr>
              <w:t>)</w:t>
            </w:r>
          </w:p>
        </w:tc>
      </w:tr>
      <w:tr w14:paraId="68CB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ECF2B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FF035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222B8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7BF0FE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2-1-7</w:t>
            </w:r>
          </w:p>
        </w:tc>
        <w:tc>
          <w:tcPr>
            <w:tcW w:w="1919" w:type="pct"/>
            <w:tcBorders>
              <w:top w:val="single" w:color="auto" w:sz="4" w:space="0"/>
              <w:left w:val="single" w:color="auto" w:sz="4" w:space="0"/>
              <w:bottom w:val="single" w:color="auto" w:sz="4" w:space="0"/>
              <w:right w:val="single" w:color="auto" w:sz="4" w:space="0"/>
            </w:tcBorders>
            <w:vAlign w:val="center"/>
          </w:tcPr>
          <w:p w14:paraId="1950A8D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城市古树名木及后备资源保护率（%）</w:t>
            </w:r>
          </w:p>
        </w:tc>
      </w:tr>
      <w:tr w14:paraId="539E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1BEDF4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77A2BFF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2-2</w:t>
            </w:r>
          </w:p>
        </w:tc>
        <w:tc>
          <w:tcPr>
            <w:tcW w:w="1253" w:type="pct"/>
            <w:tcBorders>
              <w:top w:val="single" w:color="auto" w:sz="4" w:space="0"/>
              <w:left w:val="single" w:color="auto" w:sz="4" w:space="0"/>
              <w:bottom w:val="single" w:color="auto" w:sz="4" w:space="0"/>
              <w:right w:val="single" w:color="auto" w:sz="4" w:space="0"/>
            </w:tcBorders>
            <w:vAlign w:val="center"/>
          </w:tcPr>
          <w:p w14:paraId="54933D2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道路养护</w:t>
            </w:r>
          </w:p>
        </w:tc>
        <w:tc>
          <w:tcPr>
            <w:tcW w:w="477" w:type="pct"/>
            <w:tcBorders>
              <w:top w:val="single" w:color="auto" w:sz="4" w:space="0"/>
              <w:left w:val="single" w:color="auto" w:sz="4" w:space="0"/>
              <w:bottom w:val="single" w:color="auto" w:sz="4" w:space="0"/>
              <w:right w:val="single" w:color="auto" w:sz="4" w:space="0"/>
            </w:tcBorders>
            <w:vAlign w:val="center"/>
          </w:tcPr>
          <w:p w14:paraId="5258753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2-2-1</w:t>
            </w:r>
          </w:p>
        </w:tc>
        <w:tc>
          <w:tcPr>
            <w:tcW w:w="1919" w:type="pct"/>
            <w:tcBorders>
              <w:top w:val="single" w:color="auto" w:sz="4" w:space="0"/>
              <w:left w:val="single" w:color="auto" w:sz="4" w:space="0"/>
              <w:bottom w:val="single" w:color="auto" w:sz="4" w:space="0"/>
              <w:right w:val="single" w:color="auto" w:sz="4" w:space="0"/>
            </w:tcBorders>
            <w:vAlign w:val="center"/>
          </w:tcPr>
          <w:p w14:paraId="18D54F6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☆一等养护的城镇道路占比（%）</w:t>
            </w:r>
          </w:p>
        </w:tc>
      </w:tr>
      <w:tr w14:paraId="37AF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5BA9E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3D649CC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13B9948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城市照明</w:t>
            </w:r>
          </w:p>
        </w:tc>
        <w:tc>
          <w:tcPr>
            <w:tcW w:w="477" w:type="pct"/>
            <w:tcBorders>
              <w:top w:val="single" w:color="auto" w:sz="4" w:space="0"/>
              <w:left w:val="single" w:color="auto" w:sz="4" w:space="0"/>
              <w:bottom w:val="single" w:color="auto" w:sz="4" w:space="0"/>
              <w:right w:val="single" w:color="auto" w:sz="4" w:space="0"/>
            </w:tcBorders>
            <w:vAlign w:val="center"/>
          </w:tcPr>
          <w:p w14:paraId="208594D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2-3-1</w:t>
            </w:r>
          </w:p>
        </w:tc>
        <w:tc>
          <w:tcPr>
            <w:tcW w:w="1919" w:type="pct"/>
            <w:tcBorders>
              <w:top w:val="single" w:color="auto" w:sz="4" w:space="0"/>
              <w:left w:val="single" w:color="auto" w:sz="4" w:space="0"/>
              <w:bottom w:val="single" w:color="auto" w:sz="4" w:space="0"/>
              <w:right w:val="single" w:color="auto" w:sz="4" w:space="0"/>
            </w:tcBorders>
            <w:vAlign w:val="center"/>
          </w:tcPr>
          <w:p w14:paraId="5D45B77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道路照明亮灯率（%）</w:t>
            </w:r>
          </w:p>
        </w:tc>
      </w:tr>
      <w:tr w14:paraId="7FDD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3289DA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8E4EDF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0FF913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E50966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2-3-2</w:t>
            </w:r>
          </w:p>
        </w:tc>
        <w:tc>
          <w:tcPr>
            <w:tcW w:w="1919" w:type="pct"/>
            <w:tcBorders>
              <w:top w:val="single" w:color="auto" w:sz="4" w:space="0"/>
              <w:left w:val="single" w:color="auto" w:sz="4" w:space="0"/>
              <w:bottom w:val="single" w:color="auto" w:sz="4" w:space="0"/>
              <w:right w:val="single" w:color="auto" w:sz="4" w:space="0"/>
            </w:tcBorders>
            <w:vAlign w:val="center"/>
          </w:tcPr>
          <w:p w14:paraId="430BC81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☆夜景照明舒适和谐度</w:t>
            </w:r>
          </w:p>
        </w:tc>
      </w:tr>
      <w:tr w14:paraId="60ED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BAD291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7C70DF6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2-4</w:t>
            </w:r>
          </w:p>
        </w:tc>
        <w:tc>
          <w:tcPr>
            <w:tcW w:w="1253" w:type="pct"/>
            <w:tcBorders>
              <w:top w:val="single" w:color="auto" w:sz="4" w:space="0"/>
              <w:left w:val="single" w:color="auto" w:sz="4" w:space="0"/>
              <w:bottom w:val="single" w:color="auto" w:sz="4" w:space="0"/>
              <w:right w:val="single" w:color="auto" w:sz="4" w:space="0"/>
            </w:tcBorders>
            <w:vAlign w:val="center"/>
          </w:tcPr>
          <w:p w14:paraId="2CB0C77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街道景观效果</w:t>
            </w:r>
          </w:p>
        </w:tc>
        <w:tc>
          <w:tcPr>
            <w:tcW w:w="477" w:type="pct"/>
            <w:tcBorders>
              <w:top w:val="single" w:color="auto" w:sz="4" w:space="0"/>
              <w:left w:val="single" w:color="auto" w:sz="4" w:space="0"/>
              <w:bottom w:val="single" w:color="auto" w:sz="4" w:space="0"/>
              <w:right w:val="single" w:color="auto" w:sz="4" w:space="0"/>
            </w:tcBorders>
            <w:vAlign w:val="center"/>
          </w:tcPr>
          <w:p w14:paraId="03E82A9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2-4-1</w:t>
            </w:r>
          </w:p>
        </w:tc>
        <w:tc>
          <w:tcPr>
            <w:tcW w:w="1919" w:type="pct"/>
            <w:tcBorders>
              <w:top w:val="single" w:color="auto" w:sz="4" w:space="0"/>
              <w:left w:val="single" w:color="auto" w:sz="4" w:space="0"/>
              <w:bottom w:val="single" w:color="auto" w:sz="4" w:space="0"/>
              <w:right w:val="single" w:color="auto" w:sz="4" w:space="0"/>
            </w:tcBorders>
            <w:vAlign w:val="center"/>
          </w:tcPr>
          <w:p w14:paraId="6C2B5AC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☆城市建成区街道绿视率（%）</w:t>
            </w:r>
          </w:p>
        </w:tc>
      </w:tr>
      <w:tr w14:paraId="6D12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AEED6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2F6104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7B5B24D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现场评价（整洁）</w:t>
            </w:r>
          </w:p>
        </w:tc>
        <w:tc>
          <w:tcPr>
            <w:tcW w:w="477" w:type="pct"/>
            <w:tcBorders>
              <w:top w:val="single" w:color="auto" w:sz="4" w:space="0"/>
              <w:left w:val="single" w:color="auto" w:sz="4" w:space="0"/>
              <w:bottom w:val="single" w:color="auto" w:sz="4" w:space="0"/>
              <w:right w:val="single" w:color="auto" w:sz="4" w:space="0"/>
            </w:tcBorders>
            <w:vAlign w:val="center"/>
          </w:tcPr>
          <w:p w14:paraId="415D868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2-5-1</w:t>
            </w:r>
          </w:p>
        </w:tc>
        <w:tc>
          <w:tcPr>
            <w:tcW w:w="1919" w:type="pct"/>
            <w:tcBorders>
              <w:top w:val="single" w:color="auto" w:sz="4" w:space="0"/>
              <w:left w:val="single" w:color="auto" w:sz="4" w:space="0"/>
              <w:bottom w:val="single" w:color="auto" w:sz="4" w:space="0"/>
              <w:right w:val="single" w:color="auto" w:sz="4" w:space="0"/>
            </w:tcBorders>
            <w:vAlign w:val="center"/>
          </w:tcPr>
          <w:p w14:paraId="2BBFE3C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各类站亭设置规范</w:t>
            </w:r>
          </w:p>
        </w:tc>
      </w:tr>
      <w:tr w14:paraId="6A8B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885BAA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3A8330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5DA4E7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0079B7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2-5-2</w:t>
            </w:r>
          </w:p>
        </w:tc>
        <w:tc>
          <w:tcPr>
            <w:tcW w:w="1919" w:type="pct"/>
            <w:tcBorders>
              <w:top w:val="single" w:color="auto" w:sz="4" w:space="0"/>
              <w:left w:val="single" w:color="auto" w:sz="4" w:space="0"/>
              <w:bottom w:val="single" w:color="auto" w:sz="4" w:space="0"/>
              <w:right w:val="single" w:color="auto" w:sz="4" w:space="0"/>
            </w:tcBorders>
            <w:vAlign w:val="center"/>
          </w:tcPr>
          <w:p w14:paraId="2B91631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绿化整洁</w:t>
            </w:r>
          </w:p>
        </w:tc>
      </w:tr>
      <w:tr w14:paraId="7ACB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9E981A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F8D13E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4DA712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E0D210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2-5-3</w:t>
            </w:r>
          </w:p>
        </w:tc>
        <w:tc>
          <w:tcPr>
            <w:tcW w:w="1919" w:type="pct"/>
            <w:tcBorders>
              <w:top w:val="single" w:color="auto" w:sz="4" w:space="0"/>
              <w:left w:val="single" w:color="auto" w:sz="4" w:space="0"/>
              <w:bottom w:val="single" w:color="auto" w:sz="4" w:space="0"/>
              <w:right w:val="single" w:color="auto" w:sz="4" w:space="0"/>
            </w:tcBorders>
            <w:vAlign w:val="center"/>
          </w:tcPr>
          <w:p w14:paraId="48A6469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广告设施和招牌整洁</w:t>
            </w:r>
          </w:p>
        </w:tc>
      </w:tr>
      <w:tr w14:paraId="5971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426A42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5718B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5ABF50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F1DFFC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2-5-4</w:t>
            </w:r>
          </w:p>
        </w:tc>
        <w:tc>
          <w:tcPr>
            <w:tcW w:w="1919" w:type="pct"/>
            <w:tcBorders>
              <w:top w:val="single" w:color="auto" w:sz="4" w:space="0"/>
              <w:left w:val="single" w:color="auto" w:sz="4" w:space="0"/>
              <w:bottom w:val="single" w:color="auto" w:sz="4" w:space="0"/>
              <w:right w:val="single" w:color="auto" w:sz="4" w:space="0"/>
            </w:tcBorders>
            <w:vAlign w:val="center"/>
          </w:tcPr>
          <w:p w14:paraId="623423C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城市街道立杆、空中线路规整性</w:t>
            </w:r>
          </w:p>
        </w:tc>
      </w:tr>
      <w:tr w14:paraId="6D33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14:paraId="00DA0BA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3.有序</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3BC9F0F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7F5E595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道路设施</w:t>
            </w:r>
          </w:p>
        </w:tc>
        <w:tc>
          <w:tcPr>
            <w:tcW w:w="477" w:type="pct"/>
            <w:tcBorders>
              <w:top w:val="single" w:color="auto" w:sz="4" w:space="0"/>
              <w:left w:val="single" w:color="auto" w:sz="4" w:space="0"/>
              <w:bottom w:val="single" w:color="auto" w:sz="4" w:space="0"/>
              <w:right w:val="single" w:color="auto" w:sz="4" w:space="0"/>
            </w:tcBorders>
            <w:vAlign w:val="center"/>
          </w:tcPr>
          <w:p w14:paraId="029681E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3-1-1</w:t>
            </w:r>
          </w:p>
        </w:tc>
        <w:tc>
          <w:tcPr>
            <w:tcW w:w="1919" w:type="pct"/>
            <w:tcBorders>
              <w:top w:val="single" w:color="auto" w:sz="4" w:space="0"/>
              <w:left w:val="single" w:color="auto" w:sz="4" w:space="0"/>
              <w:bottom w:val="single" w:color="auto" w:sz="4" w:space="0"/>
              <w:right w:val="single" w:color="auto" w:sz="4" w:space="0"/>
            </w:tcBorders>
            <w:vAlign w:val="center"/>
          </w:tcPr>
          <w:p w14:paraId="49AB6D3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城市建成区道路网密度(km/km</w:t>
            </w:r>
            <w:r>
              <w:rPr>
                <w:rFonts w:hint="eastAsia" w:ascii="宋体" w:hAnsi="宋体" w:eastAsia="宋体"/>
                <w:sz w:val="21"/>
                <w:szCs w:val="21"/>
                <w:vertAlign w:val="superscript"/>
              </w:rPr>
              <w:t>2</w:t>
            </w:r>
            <w:r>
              <w:rPr>
                <w:rFonts w:hint="eastAsia" w:ascii="宋体" w:hAnsi="宋体" w:eastAsia="宋体"/>
                <w:sz w:val="21"/>
                <w:szCs w:val="21"/>
              </w:rPr>
              <w:t>)</w:t>
            </w:r>
          </w:p>
        </w:tc>
      </w:tr>
      <w:tr w14:paraId="585F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6C534A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2C44D5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32BF36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C1C25F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3-1-2</w:t>
            </w:r>
          </w:p>
        </w:tc>
        <w:tc>
          <w:tcPr>
            <w:tcW w:w="1919" w:type="pct"/>
            <w:tcBorders>
              <w:top w:val="single" w:color="auto" w:sz="4" w:space="0"/>
              <w:left w:val="single" w:color="auto" w:sz="4" w:space="0"/>
              <w:bottom w:val="single" w:color="auto" w:sz="4" w:space="0"/>
              <w:right w:val="single" w:color="auto" w:sz="4" w:space="0"/>
            </w:tcBorders>
            <w:vAlign w:val="center"/>
          </w:tcPr>
          <w:p w14:paraId="7C60C41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城市建成区道路面积率(%)</w:t>
            </w:r>
          </w:p>
        </w:tc>
      </w:tr>
      <w:tr w14:paraId="3DBA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25DB79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AC7837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DE0210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22AAF7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3-1-3</w:t>
            </w:r>
          </w:p>
        </w:tc>
        <w:tc>
          <w:tcPr>
            <w:tcW w:w="1919" w:type="pct"/>
            <w:tcBorders>
              <w:top w:val="single" w:color="auto" w:sz="4" w:space="0"/>
              <w:left w:val="single" w:color="auto" w:sz="4" w:space="0"/>
              <w:bottom w:val="single" w:color="auto" w:sz="4" w:space="0"/>
              <w:right w:val="single" w:color="auto" w:sz="4" w:space="0"/>
            </w:tcBorders>
            <w:vAlign w:val="center"/>
          </w:tcPr>
          <w:p w14:paraId="0D516ED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☆城市建成区慢行道密度(km/km</w:t>
            </w:r>
            <w:r>
              <w:rPr>
                <w:rFonts w:hint="eastAsia" w:ascii="宋体" w:hAnsi="宋体" w:eastAsia="宋体"/>
                <w:sz w:val="21"/>
                <w:szCs w:val="21"/>
                <w:vertAlign w:val="superscript"/>
              </w:rPr>
              <w:t>2</w:t>
            </w:r>
            <w:r>
              <w:rPr>
                <w:rFonts w:hint="eastAsia" w:ascii="宋体" w:hAnsi="宋体" w:eastAsia="宋体"/>
                <w:sz w:val="21"/>
                <w:szCs w:val="21"/>
              </w:rPr>
              <w:t>)</w:t>
            </w:r>
          </w:p>
        </w:tc>
      </w:tr>
      <w:tr w14:paraId="06E4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50199A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4D5246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354719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E6164C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3-1-4</w:t>
            </w:r>
          </w:p>
        </w:tc>
        <w:tc>
          <w:tcPr>
            <w:tcW w:w="1919" w:type="pct"/>
            <w:tcBorders>
              <w:top w:val="single" w:color="auto" w:sz="4" w:space="0"/>
              <w:left w:val="single" w:color="auto" w:sz="4" w:space="0"/>
              <w:bottom w:val="single" w:color="auto" w:sz="4" w:space="0"/>
              <w:right w:val="single" w:color="auto" w:sz="4" w:space="0"/>
            </w:tcBorders>
            <w:vAlign w:val="center"/>
          </w:tcPr>
          <w:p w14:paraId="74BA54F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城市建成区公共空间无障碍设施完善度</w:t>
            </w:r>
          </w:p>
        </w:tc>
      </w:tr>
      <w:tr w14:paraId="633E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F6E124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4D8383B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1FEAAE3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社区公共服务设施</w:t>
            </w:r>
          </w:p>
        </w:tc>
        <w:tc>
          <w:tcPr>
            <w:tcW w:w="477" w:type="pct"/>
            <w:tcBorders>
              <w:top w:val="single" w:color="auto" w:sz="4" w:space="0"/>
              <w:left w:val="single" w:color="auto" w:sz="4" w:space="0"/>
              <w:bottom w:val="single" w:color="auto" w:sz="4" w:space="0"/>
              <w:right w:val="single" w:color="auto" w:sz="4" w:space="0"/>
            </w:tcBorders>
            <w:vAlign w:val="center"/>
          </w:tcPr>
          <w:p w14:paraId="408CCFF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3-2-1</w:t>
            </w:r>
          </w:p>
        </w:tc>
        <w:tc>
          <w:tcPr>
            <w:tcW w:w="1919" w:type="pct"/>
            <w:tcBorders>
              <w:top w:val="single" w:color="auto" w:sz="4" w:space="0"/>
              <w:left w:val="single" w:color="auto" w:sz="4" w:space="0"/>
              <w:bottom w:val="single" w:color="auto" w:sz="4" w:space="0"/>
              <w:right w:val="single" w:color="auto" w:sz="4" w:space="0"/>
            </w:tcBorders>
            <w:vAlign w:val="center"/>
          </w:tcPr>
          <w:p w14:paraId="5B4E4E4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人均体育场地面积(m</w:t>
            </w:r>
            <w:r>
              <w:rPr>
                <w:rFonts w:hint="eastAsia" w:ascii="宋体" w:hAnsi="宋体" w:eastAsia="宋体"/>
                <w:sz w:val="21"/>
                <w:szCs w:val="21"/>
                <w:vertAlign w:val="superscript"/>
              </w:rPr>
              <w:t>2</w:t>
            </w:r>
            <w:r>
              <w:rPr>
                <w:rFonts w:hint="eastAsia" w:ascii="宋体" w:hAnsi="宋体" w:eastAsia="宋体"/>
                <w:sz w:val="21"/>
                <w:szCs w:val="21"/>
              </w:rPr>
              <w:t>/人)</w:t>
            </w:r>
          </w:p>
        </w:tc>
      </w:tr>
      <w:tr w14:paraId="48AD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CC2C0E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D5215B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EBAC81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850BF5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3-2-2</w:t>
            </w:r>
          </w:p>
        </w:tc>
        <w:tc>
          <w:tcPr>
            <w:tcW w:w="1919" w:type="pct"/>
            <w:tcBorders>
              <w:top w:val="single" w:color="auto" w:sz="4" w:space="0"/>
              <w:left w:val="single" w:color="auto" w:sz="4" w:space="0"/>
              <w:bottom w:val="single" w:color="auto" w:sz="4" w:space="0"/>
              <w:right w:val="single" w:color="auto" w:sz="4" w:space="0"/>
            </w:tcBorders>
            <w:vAlign w:val="center"/>
          </w:tcPr>
          <w:p w14:paraId="62210B0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万人城市文化建筑面积（m</w:t>
            </w:r>
            <w:r>
              <w:rPr>
                <w:rFonts w:hint="eastAsia" w:ascii="宋体" w:hAnsi="宋体" w:eastAsia="宋体"/>
                <w:sz w:val="21"/>
                <w:szCs w:val="21"/>
                <w:vertAlign w:val="superscript"/>
              </w:rPr>
              <w:t>2</w:t>
            </w:r>
            <w:r>
              <w:rPr>
                <w:rFonts w:hint="eastAsia" w:ascii="宋体" w:hAnsi="宋体" w:eastAsia="宋体"/>
                <w:sz w:val="21"/>
                <w:szCs w:val="21"/>
              </w:rPr>
              <w:t>/万人）</w:t>
            </w:r>
          </w:p>
        </w:tc>
      </w:tr>
      <w:tr w14:paraId="2DA2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99BB04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F18B5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BC452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F6EE42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3-2-3</w:t>
            </w:r>
          </w:p>
        </w:tc>
        <w:tc>
          <w:tcPr>
            <w:tcW w:w="1919" w:type="pct"/>
            <w:tcBorders>
              <w:top w:val="single" w:color="auto" w:sz="4" w:space="0"/>
              <w:left w:val="single" w:color="auto" w:sz="4" w:space="0"/>
              <w:bottom w:val="single" w:color="auto" w:sz="4" w:space="0"/>
              <w:right w:val="single" w:color="auto" w:sz="4" w:space="0"/>
            </w:tcBorders>
            <w:vAlign w:val="center"/>
          </w:tcPr>
          <w:p w14:paraId="0E034A7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☆社区养老服务设施覆盖率</w:t>
            </w:r>
          </w:p>
        </w:tc>
      </w:tr>
      <w:tr w14:paraId="6EF7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5D2835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D80DB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E573F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28554D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3-2-4</w:t>
            </w:r>
          </w:p>
        </w:tc>
        <w:tc>
          <w:tcPr>
            <w:tcW w:w="1919" w:type="pct"/>
            <w:tcBorders>
              <w:top w:val="single" w:color="auto" w:sz="4" w:space="0"/>
              <w:left w:val="single" w:color="auto" w:sz="4" w:space="0"/>
              <w:bottom w:val="single" w:color="auto" w:sz="4" w:space="0"/>
              <w:right w:val="single" w:color="auto" w:sz="4" w:space="0"/>
            </w:tcBorders>
            <w:vAlign w:val="center"/>
          </w:tcPr>
          <w:p w14:paraId="0352E06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社区便民商业服务设施覆盖率（%）</w:t>
            </w:r>
          </w:p>
        </w:tc>
      </w:tr>
      <w:tr w14:paraId="2C7F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576C74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C2D938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E9FDD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86F215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3-2-5</w:t>
            </w:r>
          </w:p>
        </w:tc>
        <w:tc>
          <w:tcPr>
            <w:tcW w:w="1919" w:type="pct"/>
            <w:tcBorders>
              <w:top w:val="single" w:color="auto" w:sz="4" w:space="0"/>
              <w:left w:val="single" w:color="auto" w:sz="4" w:space="0"/>
              <w:bottom w:val="single" w:color="auto" w:sz="4" w:space="0"/>
              <w:right w:val="single" w:color="auto" w:sz="4" w:space="0"/>
            </w:tcBorders>
            <w:vAlign w:val="center"/>
          </w:tcPr>
          <w:p w14:paraId="2EE2FD6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实施专业化物业服务的住宅小区占比（%）</w:t>
            </w:r>
          </w:p>
        </w:tc>
      </w:tr>
      <w:tr w14:paraId="3D62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E2CB4E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C7D3DE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06165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7D9D52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3-2-6</w:t>
            </w:r>
          </w:p>
        </w:tc>
        <w:tc>
          <w:tcPr>
            <w:tcW w:w="1919" w:type="pct"/>
            <w:tcBorders>
              <w:top w:val="single" w:color="auto" w:sz="4" w:space="0"/>
              <w:left w:val="single" w:color="auto" w:sz="4" w:space="0"/>
              <w:bottom w:val="single" w:color="auto" w:sz="4" w:space="0"/>
              <w:right w:val="single" w:color="auto" w:sz="4" w:space="0"/>
            </w:tcBorders>
            <w:vAlign w:val="center"/>
          </w:tcPr>
          <w:p w14:paraId="737CECB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城市建成区网格化管理覆盖率（%）</w:t>
            </w:r>
          </w:p>
        </w:tc>
      </w:tr>
      <w:tr w14:paraId="7796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F70E19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6DE8DD6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15AF92D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交通设施</w:t>
            </w:r>
          </w:p>
        </w:tc>
        <w:tc>
          <w:tcPr>
            <w:tcW w:w="477" w:type="pct"/>
            <w:tcBorders>
              <w:top w:val="single" w:color="auto" w:sz="4" w:space="0"/>
              <w:left w:val="single" w:color="auto" w:sz="4" w:space="0"/>
              <w:bottom w:val="single" w:color="auto" w:sz="4" w:space="0"/>
              <w:right w:val="single" w:color="auto" w:sz="4" w:space="0"/>
            </w:tcBorders>
            <w:vAlign w:val="center"/>
          </w:tcPr>
          <w:p w14:paraId="4603DED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3-3-1</w:t>
            </w:r>
          </w:p>
        </w:tc>
        <w:tc>
          <w:tcPr>
            <w:tcW w:w="1919" w:type="pct"/>
            <w:tcBorders>
              <w:top w:val="single" w:color="auto" w:sz="4" w:space="0"/>
              <w:left w:val="single" w:color="auto" w:sz="4" w:space="0"/>
              <w:bottom w:val="single" w:color="auto" w:sz="4" w:space="0"/>
              <w:right w:val="single" w:color="auto" w:sz="4" w:space="0"/>
            </w:tcBorders>
            <w:vAlign w:val="center"/>
          </w:tcPr>
          <w:p w14:paraId="2F60C88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城市建成区公交站点（或轨道交通站点）服务覆盖率（%）</w:t>
            </w:r>
          </w:p>
        </w:tc>
      </w:tr>
      <w:tr w14:paraId="2D95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3DD550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98934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35DCA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EAA6D5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3-3-2</w:t>
            </w:r>
          </w:p>
        </w:tc>
        <w:tc>
          <w:tcPr>
            <w:tcW w:w="1919" w:type="pct"/>
            <w:tcBorders>
              <w:top w:val="single" w:color="auto" w:sz="4" w:space="0"/>
              <w:left w:val="single" w:color="auto" w:sz="4" w:space="0"/>
              <w:bottom w:val="single" w:color="auto" w:sz="4" w:space="0"/>
              <w:right w:val="single" w:color="auto" w:sz="4" w:space="0"/>
            </w:tcBorders>
            <w:vAlign w:val="center"/>
          </w:tcPr>
          <w:p w14:paraId="201999F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每万人拥有公共汽（电）车（标台/万人）</w:t>
            </w:r>
          </w:p>
        </w:tc>
      </w:tr>
      <w:tr w14:paraId="583C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FBABA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73E2A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2A21E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A614D5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3-3-3</w:t>
            </w:r>
          </w:p>
        </w:tc>
        <w:tc>
          <w:tcPr>
            <w:tcW w:w="1919" w:type="pct"/>
            <w:tcBorders>
              <w:top w:val="single" w:color="auto" w:sz="4" w:space="0"/>
              <w:left w:val="single" w:color="auto" w:sz="4" w:space="0"/>
              <w:bottom w:val="single" w:color="auto" w:sz="4" w:space="0"/>
              <w:right w:val="single" w:color="auto" w:sz="4" w:space="0"/>
            </w:tcBorders>
            <w:vAlign w:val="center"/>
          </w:tcPr>
          <w:p w14:paraId="4C7E620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停车位与小汽车保有量的比例</w:t>
            </w:r>
          </w:p>
        </w:tc>
      </w:tr>
      <w:tr w14:paraId="3972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C9A819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E3DE9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FE988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29FBF2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3-3-4</w:t>
            </w:r>
          </w:p>
        </w:tc>
        <w:tc>
          <w:tcPr>
            <w:tcW w:w="1919" w:type="pct"/>
            <w:tcBorders>
              <w:top w:val="single" w:color="auto" w:sz="4" w:space="0"/>
              <w:left w:val="single" w:color="auto" w:sz="4" w:space="0"/>
              <w:bottom w:val="single" w:color="auto" w:sz="4" w:space="0"/>
              <w:right w:val="single" w:color="auto" w:sz="4" w:space="0"/>
            </w:tcBorders>
            <w:vAlign w:val="center"/>
          </w:tcPr>
          <w:p w14:paraId="029B1B1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人行道步行适宜性</w:t>
            </w:r>
          </w:p>
        </w:tc>
      </w:tr>
      <w:tr w14:paraId="39B3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4C2675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555CF43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4341B2E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交通能力与秩序</w:t>
            </w:r>
          </w:p>
        </w:tc>
        <w:tc>
          <w:tcPr>
            <w:tcW w:w="477" w:type="pct"/>
            <w:tcBorders>
              <w:top w:val="single" w:color="auto" w:sz="4" w:space="0"/>
              <w:left w:val="single" w:color="auto" w:sz="4" w:space="0"/>
              <w:bottom w:val="single" w:color="auto" w:sz="4" w:space="0"/>
              <w:right w:val="single" w:color="auto" w:sz="4" w:space="0"/>
            </w:tcBorders>
            <w:vAlign w:val="center"/>
          </w:tcPr>
          <w:p w14:paraId="61A9C60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3-4-1</w:t>
            </w:r>
          </w:p>
        </w:tc>
        <w:tc>
          <w:tcPr>
            <w:tcW w:w="1919" w:type="pct"/>
            <w:tcBorders>
              <w:top w:val="single" w:color="auto" w:sz="4" w:space="0"/>
              <w:left w:val="single" w:color="auto" w:sz="4" w:space="0"/>
              <w:bottom w:val="single" w:color="auto" w:sz="4" w:space="0"/>
              <w:right w:val="single" w:color="auto" w:sz="4" w:space="0"/>
            </w:tcBorders>
            <w:vAlign w:val="center"/>
          </w:tcPr>
          <w:p w14:paraId="41B305B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☆城市建成区高峰期平均机动车速度（km/h）</w:t>
            </w:r>
          </w:p>
        </w:tc>
      </w:tr>
      <w:tr w14:paraId="2244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615AEF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646ECA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9FE3D7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3E5273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3-4-2</w:t>
            </w:r>
          </w:p>
        </w:tc>
        <w:tc>
          <w:tcPr>
            <w:tcW w:w="1919" w:type="pct"/>
            <w:tcBorders>
              <w:top w:val="single" w:color="auto" w:sz="4" w:space="0"/>
              <w:left w:val="single" w:color="auto" w:sz="4" w:space="0"/>
              <w:bottom w:val="single" w:color="auto" w:sz="4" w:space="0"/>
              <w:right w:val="single" w:color="auto" w:sz="4" w:space="0"/>
            </w:tcBorders>
            <w:vAlign w:val="center"/>
          </w:tcPr>
          <w:p w14:paraId="76F8EBA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道路交叉口机动车守法率(%)</w:t>
            </w:r>
          </w:p>
        </w:tc>
      </w:tr>
      <w:tr w14:paraId="00FB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2D24F4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EEE1E1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50AFEA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A128BD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3-4-3</w:t>
            </w:r>
          </w:p>
        </w:tc>
        <w:tc>
          <w:tcPr>
            <w:tcW w:w="1919" w:type="pct"/>
            <w:tcBorders>
              <w:top w:val="single" w:color="auto" w:sz="4" w:space="0"/>
              <w:left w:val="single" w:color="auto" w:sz="4" w:space="0"/>
              <w:bottom w:val="single" w:color="auto" w:sz="4" w:space="0"/>
              <w:right w:val="single" w:color="auto" w:sz="4" w:space="0"/>
            </w:tcBorders>
            <w:vAlign w:val="center"/>
          </w:tcPr>
          <w:p w14:paraId="471242B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非机动车、行人路口守法率(%)</w:t>
            </w:r>
          </w:p>
        </w:tc>
      </w:tr>
      <w:tr w14:paraId="1DFB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E98F14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4585638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3-5</w:t>
            </w:r>
          </w:p>
        </w:tc>
        <w:tc>
          <w:tcPr>
            <w:tcW w:w="1253" w:type="pct"/>
            <w:tcBorders>
              <w:top w:val="single" w:color="auto" w:sz="4" w:space="0"/>
              <w:left w:val="single" w:color="auto" w:sz="4" w:space="0"/>
              <w:bottom w:val="single" w:color="auto" w:sz="4" w:space="0"/>
              <w:right w:val="single" w:color="auto" w:sz="4" w:space="0"/>
            </w:tcBorders>
            <w:vAlign w:val="center"/>
          </w:tcPr>
          <w:p w14:paraId="3EE149F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街区活力</w:t>
            </w:r>
          </w:p>
        </w:tc>
        <w:tc>
          <w:tcPr>
            <w:tcW w:w="477" w:type="pct"/>
            <w:tcBorders>
              <w:top w:val="single" w:color="auto" w:sz="4" w:space="0"/>
              <w:left w:val="single" w:color="auto" w:sz="4" w:space="0"/>
              <w:bottom w:val="single" w:color="auto" w:sz="4" w:space="0"/>
              <w:right w:val="single" w:color="auto" w:sz="4" w:space="0"/>
            </w:tcBorders>
            <w:vAlign w:val="center"/>
          </w:tcPr>
          <w:p w14:paraId="57504AA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3-5-1</w:t>
            </w:r>
          </w:p>
        </w:tc>
        <w:tc>
          <w:tcPr>
            <w:tcW w:w="1919" w:type="pct"/>
            <w:tcBorders>
              <w:top w:val="single" w:color="auto" w:sz="4" w:space="0"/>
              <w:left w:val="single" w:color="auto" w:sz="4" w:space="0"/>
              <w:bottom w:val="single" w:color="auto" w:sz="4" w:space="0"/>
              <w:right w:val="single" w:color="auto" w:sz="4" w:space="0"/>
            </w:tcBorders>
            <w:vAlign w:val="center"/>
          </w:tcPr>
          <w:p w14:paraId="683735C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☆城市建成区人均信息点（POI）数(个/千人)</w:t>
            </w:r>
          </w:p>
        </w:tc>
      </w:tr>
      <w:tr w14:paraId="79F8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4869A2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0CDAFA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23426B6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现场评价（有序）</w:t>
            </w:r>
          </w:p>
        </w:tc>
        <w:tc>
          <w:tcPr>
            <w:tcW w:w="477" w:type="pct"/>
            <w:tcBorders>
              <w:top w:val="single" w:color="auto" w:sz="4" w:space="0"/>
              <w:left w:val="single" w:color="auto" w:sz="4" w:space="0"/>
              <w:bottom w:val="single" w:color="auto" w:sz="4" w:space="0"/>
              <w:right w:val="single" w:color="auto" w:sz="4" w:space="0"/>
            </w:tcBorders>
            <w:vAlign w:val="center"/>
          </w:tcPr>
          <w:p w14:paraId="37C943F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3-6-1</w:t>
            </w:r>
          </w:p>
        </w:tc>
        <w:tc>
          <w:tcPr>
            <w:tcW w:w="1919" w:type="pct"/>
            <w:tcBorders>
              <w:top w:val="single" w:color="auto" w:sz="4" w:space="0"/>
              <w:left w:val="single" w:color="auto" w:sz="4" w:space="0"/>
              <w:bottom w:val="single" w:color="auto" w:sz="4" w:space="0"/>
              <w:right w:val="single" w:color="auto" w:sz="4" w:space="0"/>
            </w:tcBorders>
            <w:vAlign w:val="center"/>
          </w:tcPr>
          <w:p w14:paraId="4FD049D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便民摊点规范性</w:t>
            </w:r>
          </w:p>
        </w:tc>
      </w:tr>
      <w:tr w14:paraId="2A3B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82A35D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C0D9BA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FC1A99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E45294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3-6-2</w:t>
            </w:r>
          </w:p>
        </w:tc>
        <w:tc>
          <w:tcPr>
            <w:tcW w:w="1919" w:type="pct"/>
            <w:tcBorders>
              <w:top w:val="single" w:color="auto" w:sz="4" w:space="0"/>
              <w:left w:val="single" w:color="auto" w:sz="4" w:space="0"/>
              <w:bottom w:val="single" w:color="auto" w:sz="4" w:space="0"/>
              <w:right w:val="single" w:color="auto" w:sz="4" w:space="0"/>
            </w:tcBorders>
            <w:vAlign w:val="center"/>
          </w:tcPr>
          <w:p w14:paraId="7B925DA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无乱搭乱建</w:t>
            </w:r>
          </w:p>
        </w:tc>
      </w:tr>
      <w:tr w14:paraId="010B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B49224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753B20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E3C79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259DEF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3-6-3</w:t>
            </w:r>
          </w:p>
        </w:tc>
        <w:tc>
          <w:tcPr>
            <w:tcW w:w="1919" w:type="pct"/>
            <w:tcBorders>
              <w:top w:val="single" w:color="auto" w:sz="4" w:space="0"/>
              <w:left w:val="single" w:color="auto" w:sz="4" w:space="0"/>
              <w:bottom w:val="single" w:color="auto" w:sz="4" w:space="0"/>
              <w:right w:val="single" w:color="auto" w:sz="4" w:space="0"/>
            </w:tcBorders>
            <w:vAlign w:val="center"/>
          </w:tcPr>
          <w:p w14:paraId="4BB7E2B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无沿街晾挂</w:t>
            </w:r>
          </w:p>
        </w:tc>
      </w:tr>
      <w:tr w14:paraId="70D9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1316FC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D4DD4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E47F5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5E09E9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3-6-4</w:t>
            </w:r>
          </w:p>
        </w:tc>
        <w:tc>
          <w:tcPr>
            <w:tcW w:w="1919" w:type="pct"/>
            <w:tcBorders>
              <w:top w:val="single" w:color="auto" w:sz="4" w:space="0"/>
              <w:left w:val="single" w:color="auto" w:sz="4" w:space="0"/>
              <w:bottom w:val="single" w:color="auto" w:sz="4" w:space="0"/>
              <w:right w:val="single" w:color="auto" w:sz="4" w:space="0"/>
            </w:tcBorders>
            <w:vAlign w:val="center"/>
          </w:tcPr>
          <w:p w14:paraId="36AF675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无乱泼乱倒</w:t>
            </w:r>
          </w:p>
        </w:tc>
      </w:tr>
      <w:tr w14:paraId="6764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5CB7FD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82200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8859FD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0F42CC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3-6-5</w:t>
            </w:r>
          </w:p>
        </w:tc>
        <w:tc>
          <w:tcPr>
            <w:tcW w:w="1919" w:type="pct"/>
            <w:tcBorders>
              <w:top w:val="single" w:color="auto" w:sz="4" w:space="0"/>
              <w:left w:val="single" w:color="auto" w:sz="4" w:space="0"/>
              <w:bottom w:val="single" w:color="auto" w:sz="4" w:space="0"/>
              <w:right w:val="single" w:color="auto" w:sz="4" w:space="0"/>
            </w:tcBorders>
            <w:vAlign w:val="center"/>
          </w:tcPr>
          <w:p w14:paraId="0BEAA84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无乱贴乱画</w:t>
            </w:r>
          </w:p>
        </w:tc>
      </w:tr>
      <w:tr w14:paraId="3F14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60C672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64ACCB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2D937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EC1EDB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3-6-6</w:t>
            </w:r>
          </w:p>
        </w:tc>
        <w:tc>
          <w:tcPr>
            <w:tcW w:w="1919" w:type="pct"/>
            <w:tcBorders>
              <w:top w:val="single" w:color="auto" w:sz="4" w:space="0"/>
              <w:left w:val="single" w:color="auto" w:sz="4" w:space="0"/>
              <w:bottom w:val="single" w:color="auto" w:sz="4" w:space="0"/>
              <w:right w:val="single" w:color="auto" w:sz="4" w:space="0"/>
            </w:tcBorders>
            <w:vAlign w:val="center"/>
          </w:tcPr>
          <w:p w14:paraId="182FD71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无乱停乱放</w:t>
            </w:r>
          </w:p>
        </w:tc>
      </w:tr>
      <w:tr w14:paraId="77DB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14:paraId="15AD4B5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4.群众满意度</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3DE9DD5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4-1</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3CA1328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信息化水平</w:t>
            </w:r>
          </w:p>
        </w:tc>
        <w:tc>
          <w:tcPr>
            <w:tcW w:w="477" w:type="pct"/>
            <w:tcBorders>
              <w:top w:val="single" w:color="auto" w:sz="4" w:space="0"/>
              <w:left w:val="single" w:color="auto" w:sz="4" w:space="0"/>
              <w:bottom w:val="single" w:color="auto" w:sz="4" w:space="0"/>
              <w:right w:val="single" w:color="auto" w:sz="4" w:space="0"/>
            </w:tcBorders>
            <w:vAlign w:val="center"/>
          </w:tcPr>
          <w:p w14:paraId="33276A9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4-1-1</w:t>
            </w:r>
          </w:p>
        </w:tc>
        <w:tc>
          <w:tcPr>
            <w:tcW w:w="1919" w:type="pct"/>
            <w:tcBorders>
              <w:top w:val="single" w:color="auto" w:sz="4" w:space="0"/>
              <w:left w:val="single" w:color="auto" w:sz="4" w:space="0"/>
              <w:bottom w:val="single" w:color="auto" w:sz="4" w:space="0"/>
              <w:right w:val="single" w:color="auto" w:sz="4" w:space="0"/>
            </w:tcBorders>
            <w:vAlign w:val="center"/>
          </w:tcPr>
          <w:p w14:paraId="479092E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城市运行管理服务平台覆盖率（%）</w:t>
            </w:r>
          </w:p>
        </w:tc>
      </w:tr>
      <w:tr w14:paraId="7F0D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67BA3F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38D70D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144986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B7CC50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4-1-2</w:t>
            </w:r>
          </w:p>
        </w:tc>
        <w:tc>
          <w:tcPr>
            <w:tcW w:w="1919" w:type="pct"/>
            <w:tcBorders>
              <w:top w:val="single" w:color="auto" w:sz="4" w:space="0"/>
              <w:left w:val="single" w:color="auto" w:sz="4" w:space="0"/>
              <w:bottom w:val="single" w:color="auto" w:sz="4" w:space="0"/>
              <w:right w:val="single" w:color="auto" w:sz="4" w:space="0"/>
            </w:tcBorders>
            <w:vAlign w:val="center"/>
          </w:tcPr>
          <w:p w14:paraId="152A861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城市信息模型（CIM）基础平台建设三维数据覆盖率（%）</w:t>
            </w:r>
          </w:p>
        </w:tc>
      </w:tr>
      <w:tr w14:paraId="6A66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CD32E6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42B10AC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482CAD1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问题处置及诉求响应</w:t>
            </w:r>
          </w:p>
        </w:tc>
        <w:tc>
          <w:tcPr>
            <w:tcW w:w="477" w:type="pct"/>
            <w:tcBorders>
              <w:top w:val="single" w:color="auto" w:sz="4" w:space="0"/>
              <w:left w:val="single" w:color="auto" w:sz="4" w:space="0"/>
              <w:bottom w:val="single" w:color="auto" w:sz="4" w:space="0"/>
              <w:right w:val="single" w:color="auto" w:sz="4" w:space="0"/>
            </w:tcBorders>
            <w:vAlign w:val="center"/>
          </w:tcPr>
          <w:p w14:paraId="2401957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4-2-1</w:t>
            </w:r>
          </w:p>
        </w:tc>
        <w:tc>
          <w:tcPr>
            <w:tcW w:w="1919" w:type="pct"/>
            <w:tcBorders>
              <w:top w:val="single" w:color="auto" w:sz="4" w:space="0"/>
              <w:left w:val="single" w:color="auto" w:sz="4" w:space="0"/>
              <w:bottom w:val="single" w:color="auto" w:sz="4" w:space="0"/>
              <w:right w:val="single" w:color="auto" w:sz="4" w:space="0"/>
            </w:tcBorders>
            <w:vAlign w:val="center"/>
          </w:tcPr>
          <w:p w14:paraId="61DAA60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按期处置率（%）</w:t>
            </w:r>
          </w:p>
        </w:tc>
      </w:tr>
      <w:tr w14:paraId="2BCE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97659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C84BBE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AB20E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42C9B4B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4-2-2</w:t>
            </w:r>
          </w:p>
        </w:tc>
        <w:tc>
          <w:tcPr>
            <w:tcW w:w="1919" w:type="pct"/>
            <w:tcBorders>
              <w:top w:val="single" w:color="auto" w:sz="4" w:space="0"/>
              <w:left w:val="single" w:color="auto" w:sz="4" w:space="0"/>
              <w:bottom w:val="single" w:color="auto" w:sz="4" w:space="0"/>
              <w:right w:val="single" w:color="auto" w:sz="4" w:space="0"/>
            </w:tcBorders>
            <w:vAlign w:val="center"/>
          </w:tcPr>
          <w:p w14:paraId="498D96D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群众诉求处置回访满意度</w:t>
            </w:r>
          </w:p>
        </w:tc>
      </w:tr>
      <w:tr w14:paraId="4467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761809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26516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257A16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723586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4-2-3</w:t>
            </w:r>
          </w:p>
        </w:tc>
        <w:tc>
          <w:tcPr>
            <w:tcW w:w="1919" w:type="pct"/>
            <w:tcBorders>
              <w:top w:val="single" w:color="auto" w:sz="4" w:space="0"/>
              <w:left w:val="single" w:color="auto" w:sz="4" w:space="0"/>
              <w:bottom w:val="single" w:color="auto" w:sz="4" w:space="0"/>
              <w:right w:val="single" w:color="auto" w:sz="4" w:space="0"/>
            </w:tcBorders>
            <w:vAlign w:val="center"/>
          </w:tcPr>
          <w:p w14:paraId="18F066E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网络舆情监测</w:t>
            </w:r>
          </w:p>
        </w:tc>
      </w:tr>
      <w:tr w14:paraId="2464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1BCC49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452547F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3BBA909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志愿服务水平</w:t>
            </w:r>
          </w:p>
        </w:tc>
        <w:tc>
          <w:tcPr>
            <w:tcW w:w="477" w:type="pct"/>
            <w:tcBorders>
              <w:top w:val="single" w:color="auto" w:sz="4" w:space="0"/>
              <w:left w:val="single" w:color="auto" w:sz="4" w:space="0"/>
              <w:bottom w:val="single" w:color="auto" w:sz="4" w:space="0"/>
              <w:right w:val="single" w:color="auto" w:sz="4" w:space="0"/>
            </w:tcBorders>
            <w:vAlign w:val="center"/>
          </w:tcPr>
          <w:p w14:paraId="5775255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4-3-1</w:t>
            </w:r>
          </w:p>
        </w:tc>
        <w:tc>
          <w:tcPr>
            <w:tcW w:w="1919" w:type="pct"/>
            <w:tcBorders>
              <w:top w:val="single" w:color="auto" w:sz="4" w:space="0"/>
              <w:left w:val="single" w:color="auto" w:sz="4" w:space="0"/>
              <w:bottom w:val="single" w:color="auto" w:sz="4" w:space="0"/>
              <w:right w:val="single" w:color="auto" w:sz="4" w:space="0"/>
            </w:tcBorders>
            <w:vAlign w:val="center"/>
          </w:tcPr>
          <w:p w14:paraId="0BE1CD7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市民对志愿服务活动认同和支持率（%）</w:t>
            </w:r>
          </w:p>
        </w:tc>
      </w:tr>
      <w:tr w14:paraId="54F8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4E25F9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7BDD22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18725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25B7C2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4-3-2</w:t>
            </w:r>
          </w:p>
        </w:tc>
        <w:tc>
          <w:tcPr>
            <w:tcW w:w="1919" w:type="pct"/>
            <w:tcBorders>
              <w:top w:val="single" w:color="auto" w:sz="4" w:space="0"/>
              <w:left w:val="single" w:color="auto" w:sz="4" w:space="0"/>
              <w:bottom w:val="single" w:color="auto" w:sz="4" w:space="0"/>
              <w:right w:val="single" w:color="auto" w:sz="4" w:space="0"/>
            </w:tcBorders>
            <w:vAlign w:val="center"/>
          </w:tcPr>
          <w:p w14:paraId="5B03661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有志愿服务时间记录的志愿者人数占注册志愿者总人数的比例（%）</w:t>
            </w:r>
          </w:p>
        </w:tc>
      </w:tr>
      <w:tr w14:paraId="4AEA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374BC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3F3C5B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2B49F16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组织保障</w:t>
            </w:r>
          </w:p>
        </w:tc>
        <w:tc>
          <w:tcPr>
            <w:tcW w:w="477" w:type="pct"/>
            <w:tcBorders>
              <w:top w:val="single" w:color="auto" w:sz="4" w:space="0"/>
              <w:left w:val="single" w:color="auto" w:sz="4" w:space="0"/>
              <w:bottom w:val="single" w:color="auto" w:sz="4" w:space="0"/>
              <w:right w:val="single" w:color="auto" w:sz="4" w:space="0"/>
            </w:tcBorders>
            <w:vAlign w:val="center"/>
          </w:tcPr>
          <w:p w14:paraId="2F4E750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4-4-1</w:t>
            </w:r>
          </w:p>
        </w:tc>
        <w:tc>
          <w:tcPr>
            <w:tcW w:w="1919" w:type="pct"/>
            <w:tcBorders>
              <w:top w:val="single" w:color="auto" w:sz="4" w:space="0"/>
              <w:left w:val="single" w:color="auto" w:sz="4" w:space="0"/>
              <w:bottom w:val="single" w:color="auto" w:sz="4" w:space="0"/>
              <w:right w:val="single" w:color="auto" w:sz="4" w:space="0"/>
            </w:tcBorders>
            <w:vAlign w:val="center"/>
          </w:tcPr>
          <w:p w14:paraId="77FA414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规章制度制定情况</w:t>
            </w:r>
          </w:p>
        </w:tc>
      </w:tr>
      <w:tr w14:paraId="27CB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DB02C2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A9C4C4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ED502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4AC453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4-4-2</w:t>
            </w:r>
          </w:p>
        </w:tc>
        <w:tc>
          <w:tcPr>
            <w:tcW w:w="1919" w:type="pct"/>
            <w:tcBorders>
              <w:top w:val="single" w:color="auto" w:sz="4" w:space="0"/>
              <w:left w:val="single" w:color="auto" w:sz="4" w:space="0"/>
              <w:bottom w:val="single" w:color="auto" w:sz="4" w:space="0"/>
              <w:right w:val="single" w:color="auto" w:sz="4" w:space="0"/>
            </w:tcBorders>
            <w:vAlign w:val="center"/>
          </w:tcPr>
          <w:p w14:paraId="3E649BC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统筹协调机制建立情况</w:t>
            </w:r>
          </w:p>
        </w:tc>
      </w:tr>
      <w:tr w14:paraId="0EDD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A762DB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9D7C93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68E789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65449A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4-4-3</w:t>
            </w:r>
          </w:p>
        </w:tc>
        <w:tc>
          <w:tcPr>
            <w:tcW w:w="1919" w:type="pct"/>
            <w:tcBorders>
              <w:top w:val="single" w:color="auto" w:sz="4" w:space="0"/>
              <w:left w:val="single" w:color="auto" w:sz="4" w:space="0"/>
              <w:bottom w:val="single" w:color="auto" w:sz="4" w:space="0"/>
              <w:right w:val="single" w:color="auto" w:sz="4" w:space="0"/>
            </w:tcBorders>
            <w:vAlign w:val="center"/>
          </w:tcPr>
          <w:p w14:paraId="3CB8384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年度绩效考核开展情况</w:t>
            </w:r>
          </w:p>
        </w:tc>
      </w:tr>
      <w:tr w14:paraId="2CD9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6131A2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6EFBED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67A568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FF72B6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4-4-4</w:t>
            </w:r>
          </w:p>
        </w:tc>
        <w:tc>
          <w:tcPr>
            <w:tcW w:w="1919" w:type="pct"/>
            <w:tcBorders>
              <w:top w:val="single" w:color="auto" w:sz="4" w:space="0"/>
              <w:left w:val="single" w:color="auto" w:sz="4" w:space="0"/>
              <w:bottom w:val="single" w:color="auto" w:sz="4" w:space="0"/>
              <w:right w:val="single" w:color="auto" w:sz="4" w:space="0"/>
            </w:tcBorders>
            <w:vAlign w:val="center"/>
          </w:tcPr>
          <w:p w14:paraId="0A017E7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财政预算经费保障情况</w:t>
            </w:r>
          </w:p>
        </w:tc>
      </w:tr>
      <w:tr w14:paraId="695A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5CC8F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486B4EF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4-5</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0A6F60A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满意度</w:t>
            </w:r>
          </w:p>
        </w:tc>
        <w:tc>
          <w:tcPr>
            <w:tcW w:w="477" w:type="pct"/>
            <w:tcBorders>
              <w:top w:val="single" w:color="auto" w:sz="4" w:space="0"/>
              <w:left w:val="single" w:color="auto" w:sz="4" w:space="0"/>
              <w:bottom w:val="single" w:color="auto" w:sz="4" w:space="0"/>
              <w:right w:val="single" w:color="auto" w:sz="4" w:space="0"/>
            </w:tcBorders>
            <w:vAlign w:val="center"/>
          </w:tcPr>
          <w:p w14:paraId="475A217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4-5-1</w:t>
            </w:r>
          </w:p>
        </w:tc>
        <w:tc>
          <w:tcPr>
            <w:tcW w:w="1919" w:type="pct"/>
            <w:tcBorders>
              <w:top w:val="single" w:color="auto" w:sz="4" w:space="0"/>
              <w:left w:val="single" w:color="auto" w:sz="4" w:space="0"/>
              <w:bottom w:val="single" w:color="auto" w:sz="4" w:space="0"/>
              <w:right w:val="single" w:color="auto" w:sz="4" w:space="0"/>
            </w:tcBorders>
            <w:vAlign w:val="center"/>
          </w:tcPr>
          <w:p w14:paraId="55E3EF3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城市管理满意度</w:t>
            </w:r>
          </w:p>
        </w:tc>
      </w:tr>
      <w:tr w14:paraId="2884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880771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99D7AC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31D2FB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B6F410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4-5-2</w:t>
            </w:r>
          </w:p>
        </w:tc>
        <w:tc>
          <w:tcPr>
            <w:tcW w:w="1919" w:type="pct"/>
            <w:tcBorders>
              <w:top w:val="single" w:color="auto" w:sz="4" w:space="0"/>
              <w:left w:val="single" w:color="auto" w:sz="4" w:space="0"/>
              <w:bottom w:val="single" w:color="auto" w:sz="4" w:space="0"/>
              <w:right w:val="single" w:color="auto" w:sz="4" w:space="0"/>
            </w:tcBorders>
            <w:vAlign w:val="center"/>
          </w:tcPr>
          <w:p w14:paraId="0EB9A68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城市人居环境满意度</w:t>
            </w:r>
          </w:p>
        </w:tc>
      </w:tr>
      <w:tr w14:paraId="694C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C5FBD2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28D16E8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4-6</w:t>
            </w:r>
          </w:p>
        </w:tc>
        <w:tc>
          <w:tcPr>
            <w:tcW w:w="1253" w:type="pct"/>
            <w:tcBorders>
              <w:top w:val="single" w:color="auto" w:sz="4" w:space="0"/>
              <w:left w:val="single" w:color="auto" w:sz="4" w:space="0"/>
              <w:bottom w:val="single" w:color="auto" w:sz="4" w:space="0"/>
              <w:right w:val="single" w:color="auto" w:sz="4" w:space="0"/>
            </w:tcBorders>
            <w:vAlign w:val="center"/>
          </w:tcPr>
          <w:p w14:paraId="2B4D5D4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治理行动</w:t>
            </w:r>
          </w:p>
        </w:tc>
        <w:tc>
          <w:tcPr>
            <w:tcW w:w="477" w:type="pct"/>
            <w:tcBorders>
              <w:top w:val="single" w:color="auto" w:sz="4" w:space="0"/>
              <w:left w:val="single" w:color="auto" w:sz="4" w:space="0"/>
              <w:bottom w:val="single" w:color="auto" w:sz="4" w:space="0"/>
              <w:right w:val="single" w:color="auto" w:sz="4" w:space="0"/>
            </w:tcBorders>
            <w:vAlign w:val="center"/>
          </w:tcPr>
          <w:p w14:paraId="1263929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4-6-1</w:t>
            </w:r>
          </w:p>
        </w:tc>
        <w:tc>
          <w:tcPr>
            <w:tcW w:w="1919" w:type="pct"/>
            <w:tcBorders>
              <w:top w:val="single" w:color="auto" w:sz="4" w:space="0"/>
              <w:left w:val="single" w:color="auto" w:sz="4" w:space="0"/>
              <w:bottom w:val="single" w:color="auto" w:sz="4" w:space="0"/>
              <w:right w:val="single" w:color="auto" w:sz="4" w:space="0"/>
            </w:tcBorders>
            <w:vAlign w:val="center"/>
          </w:tcPr>
          <w:p w14:paraId="4881610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☆开展城市治理专项活动</w:t>
            </w:r>
          </w:p>
        </w:tc>
      </w:tr>
      <w:tr w14:paraId="265B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56557E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备注：☆为提高性指标。</w:t>
            </w:r>
          </w:p>
        </w:tc>
      </w:tr>
    </w:tbl>
    <w:p w14:paraId="552565FD">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hint="eastAsia" w:ascii="宋体" w:hAnsi="宋体" w:eastAsia="宋体"/>
          <w:sz w:val="24"/>
          <w:szCs w:val="24"/>
        </w:rPr>
        <w:t xml:space="preserve"> 评价网格划分应符合下列规定：</w:t>
      </w:r>
    </w:p>
    <w:p w14:paraId="5C2A21AC">
      <w:pPr>
        <w:spacing w:line="276" w:lineRule="auto"/>
        <w:ind w:firstLine="480"/>
        <w:rPr>
          <w:rFonts w:hint="eastAsia" w:ascii="宋体" w:hAnsi="宋体" w:eastAsia="宋体"/>
          <w:sz w:val="24"/>
          <w:szCs w:val="24"/>
        </w:rPr>
      </w:pPr>
      <w:r>
        <w:rPr>
          <w:rFonts w:hint="eastAsia" w:ascii="宋体" w:hAnsi="宋体" w:eastAsia="宋体"/>
          <w:sz w:val="24"/>
          <w:szCs w:val="24"/>
        </w:rPr>
        <w:t>a)以按照GB/T 30428.1规定划分的单元网格为基础，集成若干单元网格为一个评价网格；</w:t>
      </w:r>
    </w:p>
    <w:p w14:paraId="3267696E">
      <w:pPr>
        <w:spacing w:line="276" w:lineRule="auto"/>
        <w:ind w:firstLine="480"/>
        <w:rPr>
          <w:rFonts w:hint="eastAsia" w:ascii="宋体" w:hAnsi="宋体" w:eastAsia="宋体"/>
          <w:sz w:val="24"/>
          <w:szCs w:val="24"/>
        </w:rPr>
      </w:pPr>
      <w:r>
        <w:rPr>
          <w:rFonts w:hint="eastAsia" w:ascii="宋体" w:hAnsi="宋体" w:eastAsia="宋体"/>
          <w:sz w:val="24"/>
          <w:szCs w:val="24"/>
        </w:rPr>
        <w:t>b)面积以1平方千米为基准，最小网格不小于0.5平方千米，最大网格原则上不大于3平方千米；</w:t>
      </w:r>
    </w:p>
    <w:p w14:paraId="2B8B1C8D">
      <w:pPr>
        <w:spacing w:line="276" w:lineRule="auto"/>
        <w:ind w:firstLine="480"/>
        <w:rPr>
          <w:rFonts w:hint="eastAsia" w:ascii="宋体" w:hAnsi="宋体" w:eastAsia="宋体"/>
          <w:sz w:val="24"/>
          <w:szCs w:val="24"/>
        </w:rPr>
      </w:pPr>
      <w:r>
        <w:rPr>
          <w:rFonts w:hint="eastAsia" w:ascii="宋体" w:hAnsi="宋体" w:eastAsia="宋体"/>
          <w:sz w:val="24"/>
          <w:szCs w:val="24"/>
        </w:rPr>
        <w:t>c)评价网格划分应考虑地形特征、部件密度和管理便利等因素，并保持稳定；</w:t>
      </w:r>
    </w:p>
    <w:p w14:paraId="3608842B">
      <w:pPr>
        <w:spacing w:line="276" w:lineRule="auto"/>
        <w:ind w:firstLine="480"/>
        <w:rPr>
          <w:rFonts w:hint="eastAsia" w:ascii="宋体" w:hAnsi="宋体" w:eastAsia="宋体"/>
          <w:sz w:val="24"/>
          <w:szCs w:val="24"/>
        </w:rPr>
      </w:pPr>
      <w:r>
        <w:rPr>
          <w:rFonts w:ascii="宋体" w:hAnsi="宋体" w:eastAsia="宋体"/>
          <w:sz w:val="24"/>
          <w:szCs w:val="24"/>
        </w:rPr>
        <w:drawing>
          <wp:anchor distT="0" distB="0" distL="114300" distR="114300" simplePos="0" relativeHeight="251661312" behindDoc="0" locked="0" layoutInCell="1" allowOverlap="1">
            <wp:simplePos x="0" y="0"/>
            <wp:positionH relativeFrom="column">
              <wp:posOffset>57785</wp:posOffset>
            </wp:positionH>
            <wp:positionV relativeFrom="paragraph">
              <wp:posOffset>1216660</wp:posOffset>
            </wp:positionV>
            <wp:extent cx="5274310" cy="1880870"/>
            <wp:effectExtent l="0" t="0" r="0"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1880870"/>
                    </a:xfrm>
                    <a:prstGeom prst="rect">
                      <a:avLst/>
                    </a:prstGeom>
                    <a:noFill/>
                    <a:ln>
                      <a:noFill/>
                    </a:ln>
                  </pic:spPr>
                </pic:pic>
              </a:graphicData>
            </a:graphic>
          </wp:anchor>
        </w:drawing>
      </w:r>
      <w:r>
        <w:rPr>
          <w:rFonts w:hint="eastAsia" w:ascii="宋体" w:hAnsi="宋体" w:eastAsia="宋体"/>
          <w:sz w:val="24"/>
          <w:szCs w:val="24"/>
        </w:rPr>
        <w:t>d)评价网格标识码由12位数字组成，依次为6位县级及县级以上行政区划代码、3位街道（镇、乡）代码和3位评价网格顺序码。标识码结构如图所示。</w:t>
      </w:r>
    </w:p>
    <w:p w14:paraId="018CD688">
      <w:pPr>
        <w:spacing w:line="276" w:lineRule="auto"/>
        <w:ind w:firstLine="480"/>
        <w:rPr>
          <w:rFonts w:hint="eastAsia" w:ascii="宋体" w:hAnsi="宋体" w:eastAsia="宋体"/>
          <w:sz w:val="24"/>
          <w:szCs w:val="24"/>
        </w:rPr>
      </w:pPr>
      <w:r>
        <w:rPr>
          <w:rFonts w:ascii="宋体" w:hAnsi="宋体" w:eastAsia="宋体"/>
          <w:sz w:val="24"/>
          <w:szCs w:val="24"/>
        </w:rPr>
        <w:t xml:space="preserve"> </w:t>
      </w:r>
    </w:p>
    <w:p w14:paraId="70A05362">
      <w:pPr>
        <w:spacing w:line="276" w:lineRule="auto"/>
        <w:ind w:firstLine="480"/>
        <w:rPr>
          <w:rFonts w:hint="eastAsia" w:ascii="宋体" w:hAnsi="宋体" w:eastAsia="宋体"/>
          <w:sz w:val="24"/>
          <w:szCs w:val="24"/>
        </w:rPr>
      </w:pPr>
      <w:r>
        <w:rPr>
          <w:rFonts w:hint="eastAsia" w:ascii="宋体" w:hAnsi="宋体" w:eastAsia="宋体"/>
          <w:sz w:val="24"/>
          <w:szCs w:val="24"/>
        </w:rPr>
        <w:t>示例：（以北京市东城区交道口街道一个评价网格为例）</w:t>
      </w:r>
    </w:p>
    <w:p w14:paraId="411E1504">
      <w:pPr>
        <w:spacing w:line="276" w:lineRule="auto"/>
        <w:ind w:firstLine="480"/>
        <w:rPr>
          <w:rFonts w:hint="eastAsia" w:ascii="宋体" w:hAnsi="宋体" w:eastAsia="宋体"/>
          <w:sz w:val="24"/>
          <w:szCs w:val="24"/>
        </w:rPr>
      </w:pPr>
      <w:r>
        <w:rPr>
          <w:rFonts w:ascii="宋体" w:hAnsi="宋体" w:eastAsia="宋体"/>
          <w:sz w:val="24"/>
          <w:szCs w:val="24"/>
        </w:rPr>
        <w:t>110101003001</w:t>
      </w:r>
    </w:p>
    <w:p w14:paraId="685EEB57">
      <w:pPr>
        <w:spacing w:line="276" w:lineRule="auto"/>
        <w:ind w:firstLine="480"/>
        <w:rPr>
          <w:rFonts w:hint="eastAsia" w:ascii="宋体" w:hAnsi="宋体" w:eastAsia="宋体"/>
          <w:sz w:val="24"/>
          <w:szCs w:val="24"/>
        </w:rPr>
      </w:pPr>
      <w:r>
        <w:rPr>
          <w:rFonts w:hint="eastAsia" w:ascii="宋体" w:hAnsi="宋体" w:eastAsia="宋体"/>
          <w:sz w:val="24"/>
          <w:szCs w:val="24"/>
        </w:rPr>
        <w:t>e)评价网格的基本属性数据应包括评价网格编码、评价网格面积、评价网格类型、初始划分日期、变更日期和备注等；</w:t>
      </w:r>
    </w:p>
    <w:p w14:paraId="219631F7">
      <w:pPr>
        <w:spacing w:line="276" w:lineRule="auto"/>
        <w:ind w:firstLine="480"/>
        <w:rPr>
          <w:rFonts w:hint="eastAsia" w:ascii="宋体" w:hAnsi="宋体" w:eastAsia="宋体"/>
          <w:sz w:val="24"/>
          <w:szCs w:val="24"/>
        </w:rPr>
      </w:pPr>
      <w:r>
        <w:rPr>
          <w:rFonts w:hint="eastAsia" w:ascii="宋体" w:hAnsi="宋体" w:eastAsia="宋体"/>
          <w:sz w:val="24"/>
          <w:szCs w:val="24"/>
        </w:rPr>
        <w:t>f)建立覆盖城市建成区的评价网格专题图层，为评价网格的选取提供数据支撑。</w:t>
      </w:r>
    </w:p>
    <w:p w14:paraId="00A8ED05">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w:t>
      </w:r>
      <w:r>
        <w:rPr>
          <w:rFonts w:hint="eastAsia" w:ascii="宋体" w:hAnsi="宋体" w:eastAsia="宋体"/>
          <w:sz w:val="24"/>
          <w:szCs w:val="24"/>
        </w:rPr>
        <w:t xml:space="preserve">  评价网格选取应符合下列规定：</w:t>
      </w:r>
    </w:p>
    <w:p w14:paraId="664C37D3">
      <w:pPr>
        <w:spacing w:line="276" w:lineRule="auto"/>
        <w:ind w:firstLine="480"/>
        <w:rPr>
          <w:rFonts w:hint="eastAsia" w:ascii="宋体" w:hAnsi="宋体" w:eastAsia="宋体"/>
          <w:sz w:val="24"/>
          <w:szCs w:val="24"/>
        </w:rPr>
      </w:pPr>
      <w:r>
        <w:rPr>
          <w:rFonts w:hint="eastAsia" w:ascii="宋体" w:hAnsi="宋体" w:eastAsia="宋体"/>
          <w:sz w:val="24"/>
          <w:szCs w:val="24"/>
        </w:rPr>
        <w:t>a）应将评价网格专题图层与评价网格类型专题图层叠加，在A、B和C类区域分别随机抽取评价网格，获取位置信息。</w:t>
      </w:r>
    </w:p>
    <w:p w14:paraId="330A97D5">
      <w:pPr>
        <w:spacing w:line="276" w:lineRule="auto"/>
        <w:ind w:firstLine="480"/>
        <w:rPr>
          <w:rFonts w:hint="eastAsia" w:ascii="宋体" w:hAnsi="宋体" w:eastAsia="宋体"/>
          <w:sz w:val="24"/>
          <w:szCs w:val="24"/>
        </w:rPr>
      </w:pPr>
      <w:r>
        <w:rPr>
          <w:rFonts w:hint="eastAsia" w:ascii="宋体" w:hAnsi="宋体" w:eastAsia="宋体"/>
          <w:sz w:val="24"/>
          <w:szCs w:val="24"/>
        </w:rPr>
        <w:t>b）一类城市应从A、B、C三类区域分别随机抽取3个、2个、3个评价网格，共采样8个评价网格；</w:t>
      </w:r>
    </w:p>
    <w:p w14:paraId="31D76F79">
      <w:pPr>
        <w:spacing w:line="276" w:lineRule="auto"/>
        <w:ind w:firstLine="480"/>
        <w:rPr>
          <w:rFonts w:hint="eastAsia" w:ascii="宋体" w:hAnsi="宋体" w:eastAsia="宋体"/>
          <w:sz w:val="24"/>
          <w:szCs w:val="24"/>
        </w:rPr>
      </w:pPr>
      <w:r>
        <w:rPr>
          <w:rFonts w:hint="eastAsia" w:ascii="宋体" w:hAnsi="宋体" w:eastAsia="宋体"/>
          <w:sz w:val="24"/>
          <w:szCs w:val="24"/>
        </w:rPr>
        <w:t>c）二类城市应从A、B、C三类区域分别抽取2个、2个、2个评价网格，共采样6个评价网格；</w:t>
      </w:r>
    </w:p>
    <w:p w14:paraId="4109312C">
      <w:pPr>
        <w:spacing w:line="276" w:lineRule="auto"/>
        <w:ind w:firstLine="480"/>
        <w:rPr>
          <w:rFonts w:hint="eastAsia" w:ascii="宋体" w:hAnsi="宋体" w:eastAsia="宋体"/>
          <w:sz w:val="24"/>
          <w:szCs w:val="24"/>
        </w:rPr>
      </w:pPr>
      <w:r>
        <w:rPr>
          <w:rFonts w:hint="eastAsia" w:ascii="宋体" w:hAnsi="宋体" w:eastAsia="宋体"/>
          <w:sz w:val="24"/>
          <w:szCs w:val="24"/>
        </w:rPr>
        <w:t>d）三类城市应从A、B、C三类区域分别抽取2个、1个、2个评价网格，共采样5个评价网格。</w:t>
      </w:r>
    </w:p>
    <w:p w14:paraId="60631834">
      <w:pPr>
        <w:pStyle w:val="8"/>
        <w:rPr>
          <w:rFonts w:hint="eastAsia"/>
          <w:b w:val="0"/>
        </w:rPr>
      </w:pPr>
      <w:bookmarkStart w:id="285" w:name="_Toc138067498"/>
      <w:r>
        <w:rPr>
          <w:rFonts w:hint="eastAsia"/>
        </w:rPr>
        <w:t>评价</w:t>
      </w:r>
      <w:r>
        <w:rPr>
          <w:b w:val="0"/>
        </w:rPr>
        <w:t>配置管理</w:t>
      </w:r>
      <w:bookmarkEnd w:id="284"/>
      <w:bookmarkEnd w:id="285"/>
    </w:p>
    <w:p w14:paraId="2326270C">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.评价样本点</w:t>
      </w:r>
      <w:r>
        <w:rPr>
          <w:rFonts w:hint="eastAsia" w:ascii="宋体" w:hAnsi="宋体" w:eastAsia="宋体"/>
          <w:sz w:val="24"/>
          <w:szCs w:val="24"/>
        </w:rPr>
        <w:t>位类型</w:t>
      </w:r>
      <w:r>
        <w:rPr>
          <w:rFonts w:ascii="宋体" w:hAnsi="宋体" w:eastAsia="宋体"/>
          <w:sz w:val="24"/>
          <w:szCs w:val="24"/>
        </w:rPr>
        <w:t>管理</w:t>
      </w:r>
    </w:p>
    <w:p w14:paraId="1ED160D8">
      <w:pPr>
        <w:spacing w:line="276" w:lineRule="auto"/>
        <w:ind w:firstLine="480"/>
        <w:rPr>
          <w:rFonts w:hint="eastAsia" w:ascii="宋体" w:hAnsi="宋体" w:eastAsia="宋体"/>
          <w:sz w:val="24"/>
          <w:szCs w:val="24"/>
        </w:rPr>
      </w:pPr>
      <w:r>
        <w:rPr>
          <w:rFonts w:hint="eastAsia" w:ascii="宋体" w:hAnsi="宋体" w:eastAsia="宋体"/>
          <w:sz w:val="24"/>
          <w:szCs w:val="24"/>
        </w:rPr>
        <w:t>用于设定和管理现场检查考核的地点和场所，根据部颁标准，包括</w:t>
      </w:r>
      <w:r>
        <w:rPr>
          <w:rFonts w:hint="eastAsia" w:ascii="宋体" w:hAnsi="宋体" w:eastAsia="宋体" w:cs="宋体"/>
          <w:sz w:val="24"/>
          <w:szCs w:val="24"/>
        </w:rPr>
        <w:t>主次干道、背街小巷、商业步行街、公园、广场、农贸市场、公共厕所、火车站或长途汽车站、河道湖泊、便民摊点规划区、社区、主要交通路口；根据我市考评办法，新增住宅小区、施工工地两处样本点。</w:t>
      </w:r>
    </w:p>
    <w:p w14:paraId="1FFEEA83">
      <w:pPr>
        <w:spacing w:line="276" w:lineRule="auto"/>
        <w:ind w:firstLine="480"/>
        <w:rPr>
          <w:rFonts w:hint="eastAsia" w:ascii="宋体" w:hAnsi="宋体" w:eastAsia="宋体"/>
          <w:sz w:val="24"/>
          <w:szCs w:val="24"/>
        </w:rPr>
      </w:pPr>
      <w:r>
        <w:rPr>
          <w:rFonts w:hint="eastAsia" w:ascii="宋体" w:hAnsi="宋体" w:eastAsia="宋体" w:cs="宋体"/>
          <w:sz w:val="24"/>
          <w:szCs w:val="24"/>
        </w:rPr>
        <w:t>a</w:t>
      </w:r>
      <w:r>
        <w:rPr>
          <w:rFonts w:ascii="宋体" w:hAnsi="宋体" w:eastAsia="宋体" w:cs="宋体"/>
          <w:sz w:val="24"/>
          <w:szCs w:val="24"/>
        </w:rPr>
        <w:t>)</w:t>
      </w:r>
      <w:r>
        <w:rPr>
          <w:rFonts w:hint="eastAsia" w:ascii="宋体" w:hAnsi="宋体" w:eastAsia="宋体"/>
          <w:sz w:val="24"/>
          <w:szCs w:val="24"/>
        </w:rPr>
        <w:t>新增分组：按照样本库的类别进行分组，如道路、公共场所等。</w:t>
      </w:r>
    </w:p>
    <w:p w14:paraId="0A9311ED">
      <w:pPr>
        <w:spacing w:line="276" w:lineRule="auto"/>
        <w:ind w:firstLine="480"/>
        <w:rPr>
          <w:rFonts w:hint="eastAsia" w:ascii="宋体" w:hAnsi="宋体" w:eastAsia="宋体"/>
          <w:sz w:val="24"/>
          <w:szCs w:val="24"/>
        </w:rPr>
      </w:pPr>
      <w:r>
        <w:rPr>
          <w:rFonts w:hint="eastAsia" w:ascii="宋体" w:hAnsi="宋体" w:eastAsia="宋体" w:cs="宋体"/>
          <w:sz w:val="24"/>
          <w:szCs w:val="24"/>
        </w:rPr>
        <w:t>b</w:t>
      </w:r>
      <w:r>
        <w:rPr>
          <w:rFonts w:ascii="宋体" w:hAnsi="宋体" w:eastAsia="宋体" w:cs="宋体"/>
          <w:sz w:val="24"/>
          <w:szCs w:val="24"/>
        </w:rPr>
        <w:t>)</w:t>
      </w:r>
      <w:r>
        <w:rPr>
          <w:rFonts w:hint="eastAsia" w:ascii="宋体" w:hAnsi="宋体" w:eastAsia="宋体"/>
          <w:sz w:val="24"/>
          <w:szCs w:val="24"/>
        </w:rPr>
        <w:t>样本库类型管理：在分组下新增样本库类型，编辑和删除样本库。属性包括：样本库名称、关联的属性，绑定的检查项。</w:t>
      </w:r>
    </w:p>
    <w:p w14:paraId="7C41DB29">
      <w:pPr>
        <w:spacing w:line="276" w:lineRule="auto"/>
        <w:ind w:firstLine="480"/>
        <w:rPr>
          <w:rFonts w:hint="eastAsia" w:ascii="宋体" w:hAnsi="宋体" w:eastAsia="宋体"/>
          <w:sz w:val="24"/>
          <w:szCs w:val="24"/>
        </w:rPr>
      </w:pPr>
      <w:r>
        <w:rPr>
          <w:rFonts w:hint="eastAsia" w:ascii="宋体" w:hAnsi="宋体" w:eastAsia="宋体" w:cs="宋体"/>
          <w:sz w:val="24"/>
          <w:szCs w:val="24"/>
        </w:rPr>
        <w:t>c</w:t>
      </w:r>
      <w:r>
        <w:rPr>
          <w:rFonts w:ascii="宋体" w:hAnsi="宋体" w:eastAsia="宋体" w:cs="宋体"/>
          <w:sz w:val="24"/>
          <w:szCs w:val="24"/>
        </w:rPr>
        <w:t>)</w:t>
      </w:r>
      <w:r>
        <w:rPr>
          <w:rFonts w:hint="eastAsia" w:ascii="宋体" w:hAnsi="宋体" w:eastAsia="宋体"/>
          <w:sz w:val="24"/>
          <w:szCs w:val="24"/>
        </w:rPr>
        <w:t>样本点管理：支持导入样本点，支持新增、编辑、删除样本点。</w:t>
      </w:r>
    </w:p>
    <w:p w14:paraId="2D39888B">
      <w:pPr>
        <w:spacing w:line="276" w:lineRule="auto"/>
        <w:ind w:firstLine="480"/>
        <w:rPr>
          <w:rFonts w:hint="eastAsia" w:ascii="宋体" w:hAnsi="宋体" w:eastAsia="宋体"/>
          <w:sz w:val="24"/>
          <w:szCs w:val="24"/>
        </w:rPr>
      </w:pPr>
      <w:r>
        <w:rPr>
          <w:rFonts w:hint="eastAsia" w:ascii="宋体" w:hAnsi="宋体" w:eastAsia="宋体" w:cs="宋体"/>
          <w:sz w:val="24"/>
          <w:szCs w:val="24"/>
        </w:rPr>
        <w:t>d</w:t>
      </w:r>
      <w:r>
        <w:rPr>
          <w:rFonts w:ascii="宋体" w:hAnsi="宋体" w:eastAsia="宋体" w:cs="宋体"/>
          <w:sz w:val="24"/>
          <w:szCs w:val="24"/>
        </w:rPr>
        <w:t>)</w:t>
      </w:r>
      <w:r>
        <w:rPr>
          <w:rFonts w:hint="eastAsia" w:ascii="宋体" w:hAnsi="宋体" w:eastAsia="宋体"/>
          <w:sz w:val="24"/>
          <w:szCs w:val="24"/>
        </w:rPr>
        <w:t>属性管理：新增和编辑属性字段名称、字段内容。通用属性包括：样本类型、所属区域等。</w:t>
      </w:r>
    </w:p>
    <w:p w14:paraId="2F170C25">
      <w:pPr>
        <w:pStyle w:val="9"/>
        <w:spacing w:line="276" w:lineRule="auto"/>
        <w:ind w:firstLine="240"/>
        <w:rPr>
          <w:rFonts w:hint="eastAsia"/>
          <w:sz w:val="24"/>
        </w:rPr>
      </w:pPr>
      <w:r>
        <w:rPr>
          <w:rFonts w:hint="eastAsia" w:cs="宋体"/>
          <w:sz w:val="24"/>
        </w:rPr>
        <w:t>e</w:t>
      </w:r>
      <w:r>
        <w:rPr>
          <w:rFonts w:cs="宋体"/>
          <w:sz w:val="24"/>
        </w:rPr>
        <w:t>)</w:t>
      </w:r>
      <w:r>
        <w:rPr>
          <w:rFonts w:hint="eastAsia" w:cs="宋体"/>
          <w:sz w:val="24"/>
        </w:rPr>
        <w:t>图层管理：在天地图上增加十四个样本点位专题图层。</w:t>
      </w:r>
    </w:p>
    <w:p w14:paraId="0306FB13">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.评价对象管理</w:t>
      </w:r>
    </w:p>
    <w:p w14:paraId="2CE68C82">
      <w:pPr>
        <w:spacing w:line="276" w:lineRule="auto"/>
        <w:ind w:firstLine="480"/>
        <w:rPr>
          <w:rFonts w:hint="eastAsia" w:ascii="宋体" w:hAnsi="宋体" w:eastAsia="宋体"/>
          <w:sz w:val="24"/>
          <w:szCs w:val="24"/>
        </w:rPr>
      </w:pPr>
      <w:r>
        <w:rPr>
          <w:rFonts w:hint="eastAsia" w:ascii="宋体" w:hAnsi="宋体" w:eastAsia="宋体"/>
          <w:sz w:val="24"/>
          <w:szCs w:val="24"/>
        </w:rPr>
        <w:t>实现对被考评对象的维护管理，包括新增、修改等，支持考评对象按照区域分组管理，主要指各个行政区。用于支撑后续的考评任务抽取。</w:t>
      </w:r>
    </w:p>
    <w:p w14:paraId="7EFC5351">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.评价人员管理</w:t>
      </w:r>
    </w:p>
    <w:p w14:paraId="0C232530">
      <w:pPr>
        <w:spacing w:line="276" w:lineRule="auto"/>
        <w:ind w:firstLine="480"/>
        <w:rPr>
          <w:rFonts w:hint="eastAsia" w:ascii="宋体" w:hAnsi="宋体" w:eastAsia="宋体"/>
          <w:sz w:val="24"/>
          <w:szCs w:val="24"/>
        </w:rPr>
      </w:pPr>
      <w:r>
        <w:rPr>
          <w:rFonts w:hint="eastAsia" w:ascii="宋体" w:hAnsi="宋体" w:eastAsia="宋体"/>
          <w:sz w:val="24"/>
          <w:szCs w:val="24"/>
        </w:rPr>
        <w:t>考评人员指的是参与实际现场考评的人员，一般是考评处人员。考评人员一般是分组工作，分为多个组，同时进行考核，该模块具备以下功能：</w:t>
      </w:r>
    </w:p>
    <w:p w14:paraId="5443BEFD">
      <w:pPr>
        <w:spacing w:line="276" w:lineRule="auto"/>
        <w:ind w:firstLine="480"/>
        <w:rPr>
          <w:rFonts w:hint="eastAsia" w:ascii="宋体" w:hAnsi="宋体" w:eastAsia="宋体"/>
          <w:sz w:val="24"/>
          <w:szCs w:val="24"/>
        </w:rPr>
      </w:pPr>
      <w:r>
        <w:rPr>
          <w:rFonts w:ascii="宋体" w:hAnsi="宋体" w:eastAsia="宋体"/>
          <w:sz w:val="24"/>
          <w:szCs w:val="24"/>
        </w:rPr>
        <w:t>a)考评人员分组管理，增加、删除、修改。</w:t>
      </w:r>
    </w:p>
    <w:p w14:paraId="0C42E98E">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)考评人员管理：增加、删除、修改，主要属性包括姓名、工作编号、手机等。</w:t>
      </w:r>
    </w:p>
    <w:p w14:paraId="4EF988B4">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)考评人员绑定样本点，便于考评人员分组安排。</w:t>
      </w:r>
    </w:p>
    <w:p w14:paraId="0FF2B990">
      <w:pPr>
        <w:pStyle w:val="9"/>
        <w:spacing w:line="276" w:lineRule="auto"/>
        <w:ind w:firstLine="240"/>
        <w:rPr>
          <w:rFonts w:hint="eastAsia"/>
          <w:sz w:val="24"/>
        </w:rPr>
      </w:pPr>
      <w:r>
        <w:rPr>
          <w:rFonts w:hint="eastAsia"/>
          <w:sz w:val="24"/>
        </w:rPr>
        <w:t>d</w:t>
      </w:r>
      <w:r>
        <w:rPr>
          <w:sz w:val="24"/>
        </w:rPr>
        <w:t>.评价</w:t>
      </w:r>
      <w:r>
        <w:rPr>
          <w:rFonts w:hint="eastAsia"/>
          <w:sz w:val="24"/>
        </w:rPr>
        <w:t>点位抽取办法</w:t>
      </w:r>
    </w:p>
    <w:p w14:paraId="4DC3A10C">
      <w:pPr>
        <w:pStyle w:val="9"/>
        <w:spacing w:line="276" w:lineRule="auto"/>
        <w:ind w:firstLine="240"/>
        <w:rPr>
          <w:rFonts w:hint="eastAsia"/>
          <w:sz w:val="24"/>
        </w:rPr>
      </w:pPr>
      <w:r>
        <w:rPr>
          <w:rFonts w:hint="eastAsia"/>
          <w:sz w:val="24"/>
        </w:rPr>
        <w:t>评价点位是评价网格的补充对象，对评价网格中缺失的评价内容应采用随机抽取点位的方法进行实地考察。城市管理监督评价实地考察点位示例参见部颁标准。</w:t>
      </w:r>
    </w:p>
    <w:p w14:paraId="040C87EF">
      <w:pPr>
        <w:pStyle w:val="8"/>
        <w:rPr>
          <w:rFonts w:hint="eastAsia"/>
          <w:b w:val="0"/>
        </w:rPr>
      </w:pPr>
      <w:bookmarkStart w:id="286" w:name="_Toc64887250"/>
      <w:bookmarkStart w:id="287" w:name="_Toc138067499"/>
      <w:r>
        <w:rPr>
          <w:b w:val="0"/>
        </w:rPr>
        <w:t>评价指标填报</w:t>
      </w:r>
      <w:bookmarkEnd w:id="286"/>
      <w:bookmarkEnd w:id="287"/>
    </w:p>
    <w:p w14:paraId="525BB822">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.评价指标填报</w:t>
      </w:r>
    </w:p>
    <w:p w14:paraId="2D4799A1">
      <w:pPr>
        <w:spacing w:line="276" w:lineRule="auto"/>
        <w:ind w:firstLine="480"/>
        <w:rPr>
          <w:rFonts w:hint="eastAsia" w:ascii="宋体" w:hAnsi="宋体" w:eastAsia="宋体"/>
          <w:sz w:val="24"/>
          <w:szCs w:val="24"/>
        </w:rPr>
      </w:pPr>
      <w:r>
        <w:rPr>
          <w:rFonts w:hint="eastAsia" w:ascii="宋体" w:hAnsi="宋体" w:eastAsia="宋体"/>
          <w:sz w:val="24"/>
          <w:szCs w:val="24"/>
        </w:rPr>
        <w:t>根据考评分类体系，该部分填报城市管理的各类运行指标数据，包括城市基础数据和各个相关行业的管理数据，用于评价城市运行管理服务水平。按住建部相关标准制作图表填报、上传。支持导出、打印功能。支持按月度、季度、年度等维度创建报表。</w:t>
      </w:r>
    </w:p>
    <w:p w14:paraId="1A4717D5">
      <w:pPr>
        <w:spacing w:line="276" w:lineRule="auto"/>
        <w:ind w:firstLine="480"/>
        <w:rPr>
          <w:rFonts w:hint="eastAsia" w:ascii="宋体" w:hAnsi="宋体" w:eastAsia="宋体"/>
          <w:sz w:val="24"/>
          <w:szCs w:val="24"/>
        </w:rPr>
      </w:pPr>
      <w:r>
        <w:rPr>
          <w:rFonts w:ascii="宋体" w:hAnsi="宋体" w:eastAsia="宋体"/>
          <w:sz w:val="24"/>
          <w:szCs w:val="24"/>
        </w:rPr>
        <w:t>a)支持填报时段，填报内容、填报提交等填报规则设定。</w:t>
      </w:r>
    </w:p>
    <w:p w14:paraId="5F6BB88B">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)支持填报人信息、区域基础信息、城市运行指标填报内容管理。</w:t>
      </w:r>
    </w:p>
    <w:p w14:paraId="7E5DD5C4">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)填报人信息：填报单位、联系人、联系方式，一般是各区城管局承担填报任务</w:t>
      </w:r>
      <w:r>
        <w:rPr>
          <w:rFonts w:hint="eastAsia" w:ascii="宋体" w:hAnsi="宋体" w:eastAsia="宋体"/>
          <w:sz w:val="24"/>
          <w:szCs w:val="24"/>
        </w:rPr>
        <w:t>、市局可汇总填报</w:t>
      </w:r>
      <w:r>
        <w:rPr>
          <w:rFonts w:ascii="宋体" w:hAnsi="宋体" w:eastAsia="宋体"/>
          <w:sz w:val="24"/>
          <w:szCs w:val="24"/>
        </w:rPr>
        <w:t>。</w:t>
      </w:r>
    </w:p>
    <w:p w14:paraId="72470FE4">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城市基础信息，包括面积：①建成区面积，②中心区建设用地面积，③建成区道路总面积，④建成区内小区总数。人口：①城市常住人口数，②建成区人口，③建城区内居民总户数。基础数据：在后台统一维护，初始化数据从统计年鉴中获取。</w:t>
      </w:r>
    </w:p>
    <w:p w14:paraId="4E53F84F">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)城市运行指标：指标填报项，部分指标数据从基础项加载，不可修改。每项指标后面填写数值、数据来源、提供人、联系方式。</w:t>
      </w:r>
    </w:p>
    <w:p w14:paraId="5239A91D">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.评价指标报送</w:t>
      </w:r>
    </w:p>
    <w:p w14:paraId="58E10328">
      <w:pPr>
        <w:spacing w:line="276" w:lineRule="auto"/>
        <w:ind w:firstLine="480"/>
        <w:rPr>
          <w:rFonts w:hint="eastAsia" w:ascii="宋体" w:hAnsi="宋体" w:eastAsia="宋体"/>
          <w:sz w:val="24"/>
          <w:szCs w:val="24"/>
        </w:rPr>
      </w:pPr>
      <w:r>
        <w:rPr>
          <w:rFonts w:hint="eastAsia" w:ascii="宋体" w:hAnsi="宋体" w:eastAsia="宋体"/>
          <w:sz w:val="24"/>
          <w:szCs w:val="24"/>
        </w:rPr>
        <w:t>被考核对象，在考核填报周期内，按照要求完成所有指标的填报项，然后上报审核，系统可在已报送栏，查看其填报任务状态、报送详情及进度情况，支持时间和填报部门筛选。</w:t>
      </w:r>
    </w:p>
    <w:p w14:paraId="09BFA4A4">
      <w:pPr>
        <w:pStyle w:val="8"/>
        <w:rPr>
          <w:rFonts w:hint="eastAsia"/>
          <w:b w:val="0"/>
        </w:rPr>
      </w:pPr>
      <w:bookmarkStart w:id="288" w:name="_Toc138067500"/>
      <w:bookmarkStart w:id="289" w:name="_Toc64887251"/>
      <w:r>
        <w:rPr>
          <w:b w:val="0"/>
        </w:rPr>
        <w:t>评价任务管理</w:t>
      </w:r>
      <w:bookmarkEnd w:id="288"/>
      <w:bookmarkEnd w:id="289"/>
    </w:p>
    <w:p w14:paraId="04D45C32">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.下发任务</w:t>
      </w:r>
    </w:p>
    <w:p w14:paraId="624F11F3">
      <w:pPr>
        <w:spacing w:line="276" w:lineRule="auto"/>
        <w:ind w:firstLine="480"/>
        <w:rPr>
          <w:rFonts w:hint="eastAsia" w:ascii="宋体" w:hAnsi="宋体" w:eastAsia="宋体"/>
          <w:sz w:val="24"/>
          <w:szCs w:val="24"/>
        </w:rPr>
      </w:pPr>
      <w:r>
        <w:rPr>
          <w:rFonts w:hint="eastAsia" w:ascii="宋体" w:hAnsi="宋体" w:eastAsia="宋体"/>
          <w:sz w:val="24"/>
          <w:szCs w:val="24"/>
        </w:rPr>
        <w:t>根据被考核区域和参与考核人员进行相应现场检查任务的下发。实地考察指标数据的采集方法和评分方法应符合部颁监督管理指标及评价标准附录C的规定。</w:t>
      </w:r>
    </w:p>
    <w:p w14:paraId="163EB637">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)选择考评对象。</w:t>
      </w:r>
    </w:p>
    <w:p w14:paraId="2AF640F5">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)抽取考核样本点，支持根据不同类型的样本点，按照数量比例抽取。支持根据样本点的属性，按照属性比例抽取。</w:t>
      </w:r>
    </w:p>
    <w:p w14:paraId="6E2E653A">
      <w:pPr>
        <w:spacing w:line="276" w:lineRule="auto"/>
        <w:ind w:firstLine="480"/>
        <w:rPr>
          <w:rFonts w:hint="eastAsia" w:ascii="宋体" w:hAnsi="宋体" w:eastAsia="宋体"/>
          <w:sz w:val="24"/>
          <w:szCs w:val="24"/>
        </w:rPr>
      </w:pPr>
      <w:r>
        <w:rPr>
          <w:rFonts w:ascii="宋体" w:hAnsi="宋体" w:eastAsia="宋体"/>
          <w:sz w:val="24"/>
          <w:szCs w:val="24"/>
        </w:rPr>
        <w:t>c)设置考评组及人员。</w:t>
      </w:r>
    </w:p>
    <w:p w14:paraId="7E396631">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)设置考评人员和抽取的考评样本点关联。</w:t>
      </w:r>
    </w:p>
    <w:p w14:paraId="5DB58F84">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.现场考核</w:t>
      </w:r>
    </w:p>
    <w:p w14:paraId="417E62A9">
      <w:pPr>
        <w:spacing w:line="276" w:lineRule="auto"/>
        <w:ind w:firstLine="480"/>
        <w:rPr>
          <w:rFonts w:hint="eastAsia" w:ascii="宋体" w:hAnsi="宋体" w:eastAsia="宋体"/>
          <w:sz w:val="24"/>
          <w:szCs w:val="24"/>
        </w:rPr>
      </w:pPr>
      <w:r>
        <w:rPr>
          <w:rFonts w:hint="eastAsia" w:ascii="宋体" w:hAnsi="宋体" w:eastAsia="宋体"/>
          <w:sz w:val="24"/>
          <w:szCs w:val="24"/>
        </w:rPr>
        <w:t>考评成员到达考评现场，根据考评任务中分配的考评样本点和检查项进行现场考核，应满足《城市运行管理服务平台技术标准》CJJ/T312－2021第4.1.4条第4款的相关要求。发现检查项中的问题进行上报。和指挥协调系统对接，将发现问题同步推送给指挥协调系统。</w:t>
      </w:r>
    </w:p>
    <w:p w14:paraId="4CF026E4">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)选择区域，根据现场定位，自动获取考核区域。</w:t>
      </w:r>
    </w:p>
    <w:p w14:paraId="5ACB9891">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)选择考核点，道路、环卫设施等。</w:t>
      </w:r>
    </w:p>
    <w:p w14:paraId="7C48815B">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)选择现场检查类型，对应考核点的检查类型。</w:t>
      </w:r>
    </w:p>
    <w:p w14:paraId="782669C7">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)针对现场检查项上报检查问题，拍照、自动定位上传平台。</w:t>
      </w:r>
    </w:p>
    <w:p w14:paraId="44FF27EA">
      <w:pPr>
        <w:pStyle w:val="8"/>
        <w:rPr>
          <w:rFonts w:hint="eastAsia"/>
          <w:b w:val="0"/>
        </w:rPr>
      </w:pPr>
      <w:bookmarkStart w:id="290" w:name="_Toc138067501"/>
      <w:bookmarkStart w:id="291" w:name="_Toc64887252"/>
      <w:r>
        <w:rPr>
          <w:rFonts w:hint="eastAsia"/>
          <w:b w:val="0"/>
        </w:rPr>
        <w:t>评价方法</w:t>
      </w:r>
      <w:bookmarkEnd w:id="290"/>
    </w:p>
    <w:p w14:paraId="0A076DDB">
      <w:pPr>
        <w:spacing w:line="276" w:lineRule="auto"/>
        <w:ind w:firstLine="482"/>
        <w:rPr>
          <w:rFonts w:hint="eastAsia" w:ascii="宋体" w:hAnsi="宋体" w:eastAsia="宋体"/>
          <w:sz w:val="24"/>
          <w:szCs w:val="24"/>
        </w:rPr>
      </w:pPr>
      <w:bookmarkStart w:id="292" w:name="_Toc1126987829"/>
      <w:bookmarkStart w:id="293" w:name="_Toc27246"/>
      <w:bookmarkStart w:id="294" w:name="_Toc88214182"/>
      <w:r>
        <w:rPr>
          <w:rFonts w:ascii="宋体" w:hAnsi="宋体" w:eastAsia="宋体" w:cs="Times New Roman Bold"/>
          <w:sz w:val="24"/>
          <w:szCs w:val="24"/>
        </w:rPr>
        <w:t>1</w:t>
      </w:r>
      <w:r>
        <w:rPr>
          <w:rFonts w:hint="eastAsia" w:ascii="宋体" w:hAnsi="宋体" w:eastAsia="宋体" w:cs="Times New Roman Bold"/>
          <w:sz w:val="24"/>
          <w:szCs w:val="24"/>
        </w:rPr>
        <w:t>）</w:t>
      </w:r>
      <w:r>
        <w:rPr>
          <w:rFonts w:hint="eastAsia" w:ascii="宋体" w:hAnsi="宋体" w:eastAsia="宋体"/>
          <w:sz w:val="24"/>
          <w:szCs w:val="24"/>
        </w:rPr>
        <w:t>城市管理监督评价是城市运行管理服务平台综合评价的组成部分，应满足《城市运行管理服务平台技术标准》</w:t>
      </w:r>
      <w:r>
        <w:rPr>
          <w:rFonts w:ascii="宋体" w:hAnsi="宋体" w:eastAsia="宋体"/>
          <w:sz w:val="24"/>
          <w:szCs w:val="24"/>
        </w:rPr>
        <w:t>CJJ/T312</w:t>
      </w:r>
      <w:r>
        <w:rPr>
          <w:rFonts w:hint="eastAsia" w:ascii="宋体" w:hAnsi="宋体" w:eastAsia="宋体" w:cs="宋体"/>
          <w:sz w:val="24"/>
          <w:szCs w:val="24"/>
        </w:rPr>
        <w:t>－</w:t>
      </w:r>
      <w:r>
        <w:rPr>
          <w:rFonts w:ascii="宋体" w:hAnsi="宋体" w:eastAsia="宋体"/>
          <w:sz w:val="24"/>
          <w:szCs w:val="24"/>
        </w:rPr>
        <w:t>2021</w:t>
      </w:r>
      <w:r>
        <w:rPr>
          <w:rFonts w:hint="eastAsia" w:ascii="宋体" w:hAnsi="宋体" w:eastAsia="宋体"/>
          <w:sz w:val="24"/>
          <w:szCs w:val="24"/>
        </w:rPr>
        <w:t>第4</w:t>
      </w:r>
      <w:r>
        <w:rPr>
          <w:rFonts w:ascii="宋体" w:hAnsi="宋体" w:eastAsia="宋体"/>
          <w:sz w:val="24"/>
          <w:szCs w:val="24"/>
        </w:rPr>
        <w:t>.1.4</w:t>
      </w:r>
      <w:r>
        <w:rPr>
          <w:rFonts w:hint="eastAsia" w:ascii="宋体" w:hAnsi="宋体" w:eastAsia="宋体"/>
          <w:sz w:val="24"/>
          <w:szCs w:val="24"/>
        </w:rPr>
        <w:t>条第4款的相关要求。</w:t>
      </w:r>
      <w:bookmarkStart w:id="295" w:name="_Hlk115124277"/>
      <w:r>
        <w:rPr>
          <w:rFonts w:hint="eastAsia" w:ascii="宋体" w:hAnsi="宋体" w:eastAsia="宋体"/>
          <w:sz w:val="24"/>
          <w:szCs w:val="24"/>
        </w:rPr>
        <w:t>城市宜结合地方实际，开展</w:t>
      </w:r>
      <w:r>
        <w:rPr>
          <w:rFonts w:hint="eastAsia" w:ascii="宋体" w:hAnsi="宋体" w:eastAsia="宋体"/>
          <w:sz w:val="24"/>
          <w:szCs w:val="24"/>
          <w:lang w:eastAsia="zh-Hans"/>
        </w:rPr>
        <w:t>城市</w:t>
      </w:r>
      <w:r>
        <w:rPr>
          <w:rFonts w:hint="eastAsia" w:ascii="宋体" w:hAnsi="宋体" w:eastAsia="宋体"/>
          <w:sz w:val="24"/>
          <w:szCs w:val="24"/>
        </w:rPr>
        <w:t>自评价和第三方评价。</w:t>
      </w:r>
      <w:bookmarkEnd w:id="295"/>
    </w:p>
    <w:p w14:paraId="6F20C295">
      <w:pPr>
        <w:spacing w:line="276" w:lineRule="auto"/>
        <w:ind w:firstLine="482"/>
        <w:rPr>
          <w:rFonts w:hint="eastAsia" w:ascii="宋体" w:hAnsi="宋体" w:eastAsia="宋体"/>
          <w:sz w:val="24"/>
          <w:szCs w:val="24"/>
        </w:rPr>
      </w:pPr>
      <w:r>
        <w:rPr>
          <w:rFonts w:ascii="宋体" w:hAnsi="宋体" w:eastAsia="宋体" w:cs="Times New Roman Bold"/>
          <w:sz w:val="24"/>
          <w:szCs w:val="24"/>
        </w:rPr>
        <w:t>2</w:t>
      </w:r>
      <w:r>
        <w:rPr>
          <w:rFonts w:hint="eastAsia" w:ascii="宋体" w:hAnsi="宋体" w:eastAsia="宋体" w:cs="Times New Roman Bold"/>
          <w:sz w:val="24"/>
          <w:szCs w:val="24"/>
        </w:rPr>
        <w:t>）</w:t>
      </w:r>
      <w:r>
        <w:rPr>
          <w:rFonts w:ascii="宋体" w:hAnsi="宋体" w:eastAsia="宋体" w:cs="Times New Roman Bold"/>
          <w:sz w:val="24"/>
          <w:szCs w:val="24"/>
          <w:lang w:eastAsia="zh-Hans"/>
        </w:rPr>
        <w:t xml:space="preserve"> </w:t>
      </w:r>
      <w:r>
        <w:rPr>
          <w:rFonts w:hint="eastAsia" w:ascii="宋体" w:hAnsi="宋体" w:eastAsia="宋体"/>
          <w:sz w:val="24"/>
          <w:szCs w:val="24"/>
        </w:rPr>
        <w:t>城市管理</w:t>
      </w:r>
      <w:r>
        <w:rPr>
          <w:rFonts w:hint="eastAsia" w:ascii="宋体" w:hAnsi="宋体" w:eastAsia="宋体"/>
          <w:sz w:val="24"/>
          <w:szCs w:val="24"/>
          <w:lang w:eastAsia="zh-Hans"/>
        </w:rPr>
        <w:t>监督</w:t>
      </w:r>
      <w:r>
        <w:rPr>
          <w:rFonts w:hint="eastAsia" w:ascii="宋体" w:hAnsi="宋体" w:eastAsia="宋体"/>
          <w:sz w:val="24"/>
          <w:szCs w:val="24"/>
        </w:rPr>
        <w:t>指标评价计分应按照基础性指标和提高</w:t>
      </w:r>
      <w:r>
        <w:rPr>
          <w:rFonts w:hint="eastAsia" w:ascii="宋体" w:hAnsi="宋体" w:eastAsia="宋体"/>
          <w:sz w:val="24"/>
          <w:szCs w:val="24"/>
          <w:lang w:eastAsia="zh-Hans"/>
        </w:rPr>
        <w:t>性</w:t>
      </w:r>
      <w:r>
        <w:rPr>
          <w:rFonts w:hint="eastAsia" w:ascii="宋体" w:hAnsi="宋体" w:eastAsia="宋体"/>
          <w:sz w:val="24"/>
          <w:szCs w:val="24"/>
        </w:rPr>
        <w:t>指标分别评分汇总。</w:t>
      </w:r>
    </w:p>
    <w:p w14:paraId="444D25D9">
      <w:pPr>
        <w:spacing w:line="276" w:lineRule="auto"/>
        <w:ind w:firstLine="482"/>
        <w:rPr>
          <w:rFonts w:hint="eastAsia" w:ascii="宋体" w:hAnsi="宋体" w:eastAsia="宋体"/>
          <w:sz w:val="24"/>
          <w:szCs w:val="24"/>
        </w:rPr>
      </w:pPr>
      <w:r>
        <w:rPr>
          <w:rFonts w:hint="eastAsia" w:ascii="宋体" w:hAnsi="宋体" w:eastAsia="宋体" w:cs="Times New Roman Bold"/>
          <w:sz w:val="24"/>
          <w:szCs w:val="24"/>
        </w:rPr>
        <w:t>a</w:t>
      </w:r>
      <w:r>
        <w:rPr>
          <w:rFonts w:ascii="宋体" w:hAnsi="宋体" w:eastAsia="宋体" w:cs="Times New Roman Bold"/>
          <w:sz w:val="24"/>
          <w:szCs w:val="24"/>
        </w:rPr>
        <w:t>.</w:t>
      </w:r>
      <w:r>
        <w:rPr>
          <w:rFonts w:ascii="宋体" w:hAnsi="宋体" w:eastAsia="宋体" w:cs="Times New Roman Bold"/>
          <w:sz w:val="24"/>
          <w:szCs w:val="24"/>
          <w:lang w:eastAsia="zh-Hans"/>
        </w:rPr>
        <w:t xml:space="preserve"> </w:t>
      </w:r>
      <w:r>
        <w:rPr>
          <w:rFonts w:hint="eastAsia" w:ascii="宋体" w:hAnsi="宋体" w:eastAsia="宋体"/>
          <w:sz w:val="24"/>
          <w:szCs w:val="24"/>
        </w:rPr>
        <w:t>基础性指标总分应为</w:t>
      </w:r>
      <w:r>
        <w:rPr>
          <w:rFonts w:ascii="宋体" w:hAnsi="宋体" w:eastAsia="宋体"/>
          <w:sz w:val="24"/>
          <w:szCs w:val="24"/>
        </w:rPr>
        <w:t>100</w:t>
      </w:r>
      <w:r>
        <w:rPr>
          <w:rFonts w:hint="eastAsia" w:ascii="宋体" w:hAnsi="宋体" w:eastAsia="宋体"/>
          <w:sz w:val="24"/>
          <w:szCs w:val="24"/>
        </w:rPr>
        <w:t>分，分值分配应为：</w:t>
      </w:r>
    </w:p>
    <w:p w14:paraId="35E7FBEC">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干净</w:t>
      </w:r>
      <w:r>
        <w:rPr>
          <w:rFonts w:ascii="宋体" w:hAnsi="宋体" w:eastAsia="宋体"/>
          <w:sz w:val="24"/>
          <w:szCs w:val="24"/>
          <w:lang w:eastAsia="zh-Hans"/>
        </w:rPr>
        <w:t>28</w:t>
      </w:r>
      <w:r>
        <w:rPr>
          <w:rFonts w:hint="eastAsia" w:ascii="宋体" w:hAnsi="宋体" w:eastAsia="宋体"/>
          <w:sz w:val="24"/>
          <w:szCs w:val="24"/>
          <w:lang w:eastAsia="zh-Hans"/>
        </w:rPr>
        <w:t>分</w:t>
      </w:r>
      <w:r>
        <w:rPr>
          <w:rFonts w:hint="eastAsia" w:ascii="宋体" w:hAnsi="宋体" w:eastAsia="宋体"/>
          <w:sz w:val="24"/>
          <w:szCs w:val="24"/>
        </w:rPr>
        <w:t>；</w:t>
      </w:r>
    </w:p>
    <w:p w14:paraId="2136DE98">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整洁</w:t>
      </w:r>
      <w:r>
        <w:rPr>
          <w:rFonts w:ascii="宋体" w:hAnsi="宋体" w:eastAsia="宋体"/>
          <w:sz w:val="24"/>
          <w:szCs w:val="24"/>
          <w:lang w:eastAsia="zh-Hans"/>
        </w:rPr>
        <w:t>17</w:t>
      </w:r>
      <w:r>
        <w:rPr>
          <w:rFonts w:hint="eastAsia" w:ascii="宋体" w:hAnsi="宋体" w:eastAsia="宋体"/>
          <w:sz w:val="24"/>
          <w:szCs w:val="24"/>
          <w:lang w:eastAsia="zh-Hans"/>
        </w:rPr>
        <w:t>分</w:t>
      </w:r>
      <w:r>
        <w:rPr>
          <w:rFonts w:hint="eastAsia" w:ascii="宋体" w:hAnsi="宋体" w:eastAsia="宋体"/>
          <w:sz w:val="24"/>
          <w:szCs w:val="24"/>
        </w:rPr>
        <w:t>；</w:t>
      </w:r>
    </w:p>
    <w:p w14:paraId="169D5AAE">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有序</w:t>
      </w:r>
      <w:r>
        <w:rPr>
          <w:rFonts w:ascii="宋体" w:hAnsi="宋体" w:eastAsia="宋体"/>
          <w:sz w:val="24"/>
          <w:szCs w:val="24"/>
          <w:lang w:eastAsia="zh-Hans"/>
        </w:rPr>
        <w:t>31</w:t>
      </w:r>
      <w:r>
        <w:rPr>
          <w:rFonts w:hint="eastAsia" w:ascii="宋体" w:hAnsi="宋体" w:eastAsia="宋体"/>
          <w:sz w:val="24"/>
          <w:szCs w:val="24"/>
          <w:lang w:eastAsia="zh-Hans"/>
        </w:rPr>
        <w:t>分</w:t>
      </w:r>
      <w:r>
        <w:rPr>
          <w:rFonts w:hint="eastAsia" w:ascii="宋体" w:hAnsi="宋体" w:eastAsia="宋体"/>
          <w:sz w:val="24"/>
          <w:szCs w:val="24"/>
        </w:rPr>
        <w:t>；</w:t>
      </w:r>
    </w:p>
    <w:p w14:paraId="0784C471">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群众满意度24分。</w:t>
      </w:r>
    </w:p>
    <w:p w14:paraId="7DA67D4D">
      <w:pPr>
        <w:spacing w:line="276" w:lineRule="auto"/>
        <w:ind w:firstLine="482"/>
        <w:rPr>
          <w:rFonts w:hint="eastAsia" w:ascii="宋体" w:hAnsi="宋体" w:eastAsia="宋体"/>
          <w:sz w:val="24"/>
          <w:szCs w:val="24"/>
        </w:rPr>
      </w:pPr>
      <w:r>
        <w:rPr>
          <w:rFonts w:hint="eastAsia" w:ascii="宋体" w:hAnsi="宋体" w:eastAsia="宋体" w:cs="Times New Roman Bold"/>
          <w:sz w:val="24"/>
          <w:szCs w:val="24"/>
        </w:rPr>
        <w:t>b</w:t>
      </w:r>
      <w:r>
        <w:rPr>
          <w:rFonts w:ascii="宋体" w:hAnsi="宋体" w:eastAsia="宋体" w:cs="Times New Roman Bold"/>
          <w:sz w:val="24"/>
          <w:szCs w:val="24"/>
        </w:rPr>
        <w:t>.</w:t>
      </w:r>
      <w:r>
        <w:rPr>
          <w:rFonts w:ascii="宋体" w:hAnsi="宋体" w:eastAsia="宋体" w:cs="Times New Roman Bold"/>
          <w:sz w:val="24"/>
          <w:szCs w:val="24"/>
          <w:lang w:eastAsia="zh-Hans"/>
        </w:rPr>
        <w:t xml:space="preserve"> </w:t>
      </w:r>
      <w:r>
        <w:rPr>
          <w:rFonts w:hint="eastAsia" w:ascii="宋体" w:hAnsi="宋体" w:eastAsia="宋体"/>
          <w:sz w:val="24"/>
          <w:szCs w:val="24"/>
        </w:rPr>
        <w:t>提高性指标总分</w:t>
      </w:r>
      <w:r>
        <w:rPr>
          <w:rFonts w:hint="eastAsia" w:ascii="宋体" w:hAnsi="宋体" w:eastAsia="宋体"/>
          <w:sz w:val="24"/>
          <w:szCs w:val="24"/>
          <w:lang w:eastAsia="zh-Hans"/>
        </w:rPr>
        <w:t>应</w:t>
      </w:r>
      <w:r>
        <w:rPr>
          <w:rFonts w:hint="eastAsia" w:ascii="宋体" w:hAnsi="宋体" w:eastAsia="宋体"/>
          <w:sz w:val="24"/>
          <w:szCs w:val="24"/>
        </w:rPr>
        <w:t>为20分，分值分配应为：</w:t>
      </w:r>
    </w:p>
    <w:p w14:paraId="00681293">
      <w:pPr>
        <w:spacing w:line="276" w:lineRule="auto"/>
        <w:ind w:firstLine="480"/>
        <w:rPr>
          <w:rFonts w:hint="eastAsia" w:ascii="宋体" w:hAnsi="宋体" w:eastAsia="宋体"/>
          <w:sz w:val="24"/>
          <w:szCs w:val="24"/>
        </w:rPr>
      </w:pPr>
      <w:r>
        <w:rPr>
          <w:rFonts w:hint="eastAsia" w:ascii="宋体" w:hAnsi="宋体" w:eastAsia="宋体"/>
          <w:sz w:val="24"/>
          <w:szCs w:val="24"/>
        </w:rPr>
        <w:t>整洁</w:t>
      </w:r>
      <w:r>
        <w:rPr>
          <w:rFonts w:ascii="宋体" w:hAnsi="宋体" w:eastAsia="宋体"/>
          <w:sz w:val="24"/>
          <w:szCs w:val="24"/>
        </w:rPr>
        <w:t>8</w:t>
      </w:r>
      <w:r>
        <w:rPr>
          <w:rFonts w:hint="eastAsia" w:ascii="宋体" w:hAnsi="宋体" w:eastAsia="宋体"/>
          <w:sz w:val="24"/>
          <w:szCs w:val="24"/>
        </w:rPr>
        <w:t>分；</w:t>
      </w:r>
    </w:p>
    <w:p w14:paraId="7C9C12E2">
      <w:pPr>
        <w:spacing w:line="276" w:lineRule="auto"/>
        <w:ind w:firstLine="480"/>
        <w:rPr>
          <w:rFonts w:hint="eastAsia" w:ascii="宋体" w:hAnsi="宋体" w:eastAsia="宋体"/>
          <w:sz w:val="24"/>
          <w:szCs w:val="24"/>
        </w:rPr>
      </w:pPr>
      <w:r>
        <w:rPr>
          <w:rFonts w:hint="eastAsia" w:ascii="宋体" w:hAnsi="宋体" w:eastAsia="宋体"/>
          <w:sz w:val="24"/>
          <w:szCs w:val="24"/>
        </w:rPr>
        <w:t>有序</w:t>
      </w:r>
      <w:r>
        <w:rPr>
          <w:rFonts w:ascii="宋体" w:hAnsi="宋体" w:eastAsia="宋体"/>
          <w:sz w:val="24"/>
          <w:szCs w:val="24"/>
        </w:rPr>
        <w:t>9</w:t>
      </w:r>
      <w:r>
        <w:rPr>
          <w:rFonts w:hint="eastAsia" w:ascii="宋体" w:hAnsi="宋体" w:eastAsia="宋体"/>
          <w:sz w:val="24"/>
          <w:szCs w:val="24"/>
        </w:rPr>
        <w:t>分；</w:t>
      </w:r>
    </w:p>
    <w:p w14:paraId="33E60744">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群众满意</w:t>
      </w:r>
      <w:r>
        <w:rPr>
          <w:rFonts w:hint="eastAsia" w:ascii="宋体" w:hAnsi="宋体" w:eastAsia="宋体"/>
          <w:sz w:val="24"/>
          <w:szCs w:val="24"/>
        </w:rPr>
        <w:t>度</w:t>
      </w:r>
      <w:r>
        <w:rPr>
          <w:rFonts w:ascii="宋体" w:hAnsi="宋体" w:eastAsia="宋体"/>
          <w:sz w:val="24"/>
          <w:szCs w:val="24"/>
          <w:lang w:eastAsia="zh-Hans"/>
        </w:rPr>
        <w:t>3</w:t>
      </w:r>
      <w:r>
        <w:rPr>
          <w:rFonts w:hint="eastAsia" w:ascii="宋体" w:hAnsi="宋体" w:eastAsia="宋体"/>
          <w:sz w:val="24"/>
          <w:szCs w:val="24"/>
          <w:lang w:eastAsia="zh-Hans"/>
        </w:rPr>
        <w:t>分</w:t>
      </w:r>
      <w:r>
        <w:rPr>
          <w:rFonts w:hint="eastAsia" w:ascii="宋体" w:hAnsi="宋体" w:eastAsia="宋体"/>
          <w:sz w:val="24"/>
          <w:szCs w:val="24"/>
        </w:rPr>
        <w:t>。</w:t>
      </w:r>
      <w:bookmarkEnd w:id="292"/>
    </w:p>
    <w:p w14:paraId="14C10787">
      <w:pPr>
        <w:spacing w:line="276" w:lineRule="auto"/>
        <w:ind w:firstLine="482"/>
        <w:rPr>
          <w:rFonts w:hint="eastAsia" w:ascii="宋体" w:hAnsi="宋体" w:eastAsia="宋体"/>
          <w:sz w:val="24"/>
          <w:szCs w:val="24"/>
        </w:rPr>
      </w:pPr>
      <w:r>
        <w:rPr>
          <w:rFonts w:ascii="宋体" w:hAnsi="宋体" w:eastAsia="宋体" w:cs="Times New Roman Bold"/>
          <w:sz w:val="24"/>
          <w:szCs w:val="24"/>
        </w:rPr>
        <w:t>3</w:t>
      </w:r>
      <w:r>
        <w:rPr>
          <w:rFonts w:hint="eastAsia" w:ascii="宋体" w:hAnsi="宋体" w:eastAsia="宋体" w:cs="Times New Roman Bold"/>
          <w:sz w:val="24"/>
          <w:szCs w:val="24"/>
        </w:rPr>
        <w:t>）</w:t>
      </w:r>
      <w:r>
        <w:rPr>
          <w:rFonts w:ascii="宋体" w:hAnsi="宋体" w:eastAsia="宋体"/>
          <w:sz w:val="24"/>
          <w:szCs w:val="24"/>
          <w:lang w:eastAsia="zh-Hans"/>
        </w:rPr>
        <w:t xml:space="preserve"> </w:t>
      </w:r>
      <w:r>
        <w:rPr>
          <w:rFonts w:hint="eastAsia" w:ascii="宋体" w:hAnsi="宋体" w:eastAsia="宋体"/>
          <w:sz w:val="24"/>
          <w:szCs w:val="24"/>
        </w:rPr>
        <w:t>城市自评价应按部颁监督管理指标及评价标准附录</w:t>
      </w:r>
      <w:r>
        <w:rPr>
          <w:rFonts w:ascii="宋体" w:hAnsi="宋体" w:eastAsia="宋体"/>
          <w:sz w:val="24"/>
          <w:szCs w:val="24"/>
        </w:rPr>
        <w:t>A</w:t>
      </w:r>
      <w:r>
        <w:rPr>
          <w:rFonts w:hint="eastAsia" w:ascii="宋体" w:hAnsi="宋体" w:eastAsia="宋体"/>
          <w:sz w:val="24"/>
          <w:szCs w:val="24"/>
        </w:rPr>
        <w:t>、附录</w:t>
      </w:r>
      <w:r>
        <w:rPr>
          <w:rFonts w:hint="eastAsia" w:ascii="宋体" w:hAnsi="宋体" w:eastAsia="宋体"/>
          <w:sz w:val="24"/>
          <w:szCs w:val="24"/>
          <w:lang w:eastAsia="zh-Hans"/>
        </w:rPr>
        <w:t>C和</w:t>
      </w:r>
      <w:r>
        <w:rPr>
          <w:rFonts w:hint="eastAsia" w:ascii="宋体" w:hAnsi="宋体" w:eastAsia="宋体"/>
          <w:sz w:val="24"/>
          <w:szCs w:val="24"/>
        </w:rPr>
        <w:t>附录</w:t>
      </w:r>
      <w:r>
        <w:rPr>
          <w:rFonts w:hint="eastAsia" w:ascii="宋体" w:hAnsi="宋体" w:eastAsia="宋体"/>
          <w:sz w:val="24"/>
          <w:szCs w:val="24"/>
          <w:lang w:eastAsia="zh-Hans"/>
        </w:rPr>
        <w:t>D</w:t>
      </w:r>
      <w:r>
        <w:rPr>
          <w:rFonts w:ascii="宋体" w:hAnsi="宋体" w:eastAsia="宋体"/>
          <w:sz w:val="24"/>
          <w:szCs w:val="24"/>
        </w:rPr>
        <w:t>.1</w:t>
      </w:r>
      <w:r>
        <w:rPr>
          <w:rFonts w:hint="eastAsia" w:ascii="宋体" w:hAnsi="宋体" w:eastAsia="宋体"/>
          <w:sz w:val="24"/>
          <w:szCs w:val="24"/>
          <w:lang w:eastAsia="zh-Hans"/>
        </w:rPr>
        <w:t>等的</w:t>
      </w:r>
      <w:r>
        <w:rPr>
          <w:rFonts w:hint="eastAsia" w:ascii="宋体" w:hAnsi="宋体" w:eastAsia="宋体"/>
          <w:sz w:val="24"/>
          <w:szCs w:val="24"/>
        </w:rPr>
        <w:t>要求，提交相关数据和资料；可按附录</w:t>
      </w:r>
      <w:r>
        <w:rPr>
          <w:rFonts w:hint="eastAsia" w:ascii="宋体" w:hAnsi="宋体" w:eastAsia="宋体"/>
          <w:sz w:val="24"/>
          <w:szCs w:val="24"/>
          <w:lang w:eastAsia="zh-Hans"/>
        </w:rPr>
        <w:t>E的</w:t>
      </w:r>
      <w:r>
        <w:rPr>
          <w:rFonts w:hint="eastAsia" w:ascii="宋体" w:hAnsi="宋体" w:eastAsia="宋体"/>
          <w:sz w:val="24"/>
          <w:szCs w:val="24"/>
        </w:rPr>
        <w:t>要求形成城市管理监督自评价报告。</w:t>
      </w:r>
    </w:p>
    <w:p w14:paraId="61471A6C">
      <w:pPr>
        <w:spacing w:line="276" w:lineRule="auto"/>
        <w:ind w:firstLine="482"/>
        <w:rPr>
          <w:rFonts w:hint="eastAsia" w:ascii="宋体" w:hAnsi="宋体" w:eastAsia="宋体"/>
          <w:sz w:val="24"/>
          <w:szCs w:val="24"/>
        </w:rPr>
      </w:pPr>
      <w:r>
        <w:rPr>
          <w:rFonts w:ascii="宋体" w:hAnsi="宋体" w:eastAsia="宋体" w:cs="Times New Roman Bold"/>
          <w:sz w:val="24"/>
          <w:szCs w:val="24"/>
        </w:rPr>
        <w:t>4</w:t>
      </w:r>
      <w:r>
        <w:rPr>
          <w:rFonts w:hint="eastAsia" w:ascii="宋体" w:hAnsi="宋体" w:eastAsia="宋体" w:cs="Times New Roman Bold"/>
          <w:sz w:val="24"/>
          <w:szCs w:val="24"/>
        </w:rPr>
        <w:t xml:space="preserve">） </w:t>
      </w:r>
      <w:r>
        <w:rPr>
          <w:rFonts w:hint="eastAsia" w:ascii="宋体" w:hAnsi="宋体" w:eastAsia="宋体"/>
          <w:sz w:val="24"/>
          <w:szCs w:val="24"/>
          <w:lang w:eastAsia="zh-Hans"/>
        </w:rPr>
        <w:t>第三方评价</w:t>
      </w:r>
      <w:r>
        <w:rPr>
          <w:rFonts w:hint="eastAsia" w:ascii="宋体" w:hAnsi="宋体" w:eastAsia="宋体"/>
          <w:sz w:val="24"/>
          <w:szCs w:val="24"/>
        </w:rPr>
        <w:t>应按部颁监督管理指标及评价标准附录</w:t>
      </w:r>
      <w:r>
        <w:rPr>
          <w:rFonts w:hint="eastAsia" w:ascii="宋体" w:hAnsi="宋体" w:eastAsia="宋体"/>
          <w:sz w:val="24"/>
          <w:szCs w:val="24"/>
          <w:lang w:eastAsia="zh-Hans"/>
        </w:rPr>
        <w:t>C和</w:t>
      </w:r>
      <w:r>
        <w:rPr>
          <w:rFonts w:hint="eastAsia" w:ascii="宋体" w:hAnsi="宋体" w:eastAsia="宋体"/>
          <w:sz w:val="24"/>
          <w:szCs w:val="24"/>
        </w:rPr>
        <w:t>附录</w:t>
      </w:r>
      <w:r>
        <w:rPr>
          <w:rFonts w:hint="eastAsia" w:ascii="宋体" w:hAnsi="宋体" w:eastAsia="宋体"/>
          <w:sz w:val="24"/>
          <w:szCs w:val="24"/>
          <w:lang w:eastAsia="zh-Hans"/>
        </w:rPr>
        <w:t>D</w:t>
      </w:r>
      <w:r>
        <w:rPr>
          <w:rFonts w:ascii="宋体" w:hAnsi="宋体" w:eastAsia="宋体"/>
          <w:sz w:val="24"/>
          <w:szCs w:val="24"/>
        </w:rPr>
        <w:t>.1</w:t>
      </w:r>
      <w:r>
        <w:rPr>
          <w:rFonts w:hint="eastAsia" w:ascii="宋体" w:hAnsi="宋体" w:eastAsia="宋体"/>
          <w:sz w:val="24"/>
          <w:szCs w:val="24"/>
          <w:lang w:eastAsia="zh-Hans"/>
        </w:rPr>
        <w:t>的</w:t>
      </w:r>
      <w:r>
        <w:rPr>
          <w:rFonts w:hint="eastAsia" w:ascii="宋体" w:hAnsi="宋体" w:eastAsia="宋体"/>
          <w:sz w:val="24"/>
          <w:szCs w:val="24"/>
        </w:rPr>
        <w:t>要求，提交相关数据和资料，可按附录</w:t>
      </w:r>
      <w:r>
        <w:rPr>
          <w:rFonts w:hint="eastAsia" w:ascii="宋体" w:hAnsi="宋体" w:eastAsia="宋体"/>
          <w:sz w:val="24"/>
          <w:szCs w:val="24"/>
          <w:lang w:eastAsia="zh-Hans"/>
        </w:rPr>
        <w:t>F</w:t>
      </w:r>
      <w:r>
        <w:rPr>
          <w:rFonts w:hint="eastAsia" w:ascii="宋体" w:hAnsi="宋体" w:eastAsia="宋体"/>
          <w:sz w:val="24"/>
          <w:szCs w:val="24"/>
        </w:rPr>
        <w:t>形成城市管理监督第三方评价报告。</w:t>
      </w:r>
    </w:p>
    <w:p w14:paraId="3F681C3B">
      <w:pPr>
        <w:spacing w:line="276" w:lineRule="auto"/>
        <w:ind w:firstLine="482"/>
        <w:rPr>
          <w:rFonts w:hint="eastAsia" w:ascii="宋体" w:hAnsi="宋体" w:eastAsia="宋体"/>
          <w:sz w:val="24"/>
          <w:szCs w:val="24"/>
        </w:rPr>
      </w:pPr>
      <w:r>
        <w:rPr>
          <w:rFonts w:ascii="宋体" w:hAnsi="宋体" w:eastAsia="宋体" w:cs="Times New Roman Bold"/>
          <w:sz w:val="24"/>
          <w:szCs w:val="24"/>
        </w:rPr>
        <w:t>5</w:t>
      </w:r>
      <w:r>
        <w:rPr>
          <w:rFonts w:hint="eastAsia" w:ascii="宋体" w:hAnsi="宋体" w:eastAsia="宋体" w:cs="Times New Roman Bold"/>
          <w:sz w:val="24"/>
          <w:szCs w:val="24"/>
        </w:rPr>
        <w:t>）</w:t>
      </w:r>
      <w:r>
        <w:rPr>
          <w:rFonts w:hint="eastAsia" w:ascii="宋体" w:hAnsi="宋体" w:eastAsia="宋体"/>
          <w:sz w:val="24"/>
          <w:szCs w:val="24"/>
        </w:rPr>
        <w:t>城市</w:t>
      </w:r>
      <w:r>
        <w:rPr>
          <w:rFonts w:hint="eastAsia" w:ascii="宋体" w:hAnsi="宋体" w:eastAsia="宋体"/>
          <w:sz w:val="24"/>
          <w:szCs w:val="24"/>
          <w:lang w:eastAsia="zh-Hans"/>
        </w:rPr>
        <w:t>自评价宜每年开</w:t>
      </w:r>
      <w:r>
        <w:rPr>
          <w:rFonts w:hint="eastAsia" w:ascii="宋体" w:hAnsi="宋体" w:eastAsia="宋体"/>
          <w:sz w:val="24"/>
          <w:szCs w:val="24"/>
        </w:rPr>
        <w:t>展两次，上半年和下半年各一次。</w:t>
      </w:r>
    </w:p>
    <w:p w14:paraId="4222DA8C">
      <w:pPr>
        <w:spacing w:line="276" w:lineRule="auto"/>
        <w:ind w:firstLine="482"/>
        <w:rPr>
          <w:rFonts w:hint="eastAsia" w:ascii="宋体" w:hAnsi="宋体" w:eastAsia="宋体"/>
          <w:sz w:val="24"/>
          <w:szCs w:val="24"/>
          <w:lang w:eastAsia="zh-Hans"/>
        </w:rPr>
      </w:pPr>
      <w:r>
        <w:rPr>
          <w:rFonts w:ascii="宋体" w:hAnsi="宋体" w:eastAsia="宋体" w:cs="Times New Roman Bold"/>
          <w:sz w:val="24"/>
          <w:szCs w:val="24"/>
        </w:rPr>
        <w:t>6</w:t>
      </w:r>
      <w:r>
        <w:rPr>
          <w:rFonts w:hint="eastAsia" w:ascii="宋体" w:hAnsi="宋体" w:eastAsia="宋体" w:cs="Times New Roman Bold"/>
          <w:sz w:val="24"/>
          <w:szCs w:val="24"/>
        </w:rPr>
        <w:t>）</w:t>
      </w:r>
      <w:r>
        <w:rPr>
          <w:rFonts w:ascii="宋体" w:hAnsi="宋体" w:eastAsia="宋体"/>
          <w:sz w:val="24"/>
          <w:szCs w:val="24"/>
          <w:lang w:eastAsia="zh-Hans"/>
        </w:rPr>
        <w:t xml:space="preserve"> </w:t>
      </w:r>
      <w:r>
        <w:rPr>
          <w:rFonts w:hint="eastAsia" w:ascii="宋体" w:hAnsi="宋体" w:eastAsia="宋体"/>
          <w:sz w:val="24"/>
          <w:szCs w:val="24"/>
        </w:rPr>
        <w:t>城市管理监督第三方评价频次由城市、省级和国家级主管部门根据工作需要确定。</w:t>
      </w:r>
    </w:p>
    <w:bookmarkEnd w:id="293"/>
    <w:bookmarkEnd w:id="294"/>
    <w:p w14:paraId="367B678A">
      <w:pPr>
        <w:pStyle w:val="8"/>
        <w:rPr>
          <w:rFonts w:hint="eastAsia"/>
          <w:b w:val="0"/>
        </w:rPr>
      </w:pPr>
      <w:bookmarkStart w:id="296" w:name="_Toc138067502"/>
      <w:r>
        <w:rPr>
          <w:b w:val="0"/>
        </w:rPr>
        <w:t>评价数据审核</w:t>
      </w:r>
      <w:bookmarkEnd w:id="291"/>
      <w:bookmarkEnd w:id="296"/>
    </w:p>
    <w:p w14:paraId="039C2898">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.填报审核</w:t>
      </w:r>
    </w:p>
    <w:p w14:paraId="08CC0281">
      <w:pPr>
        <w:spacing w:line="276" w:lineRule="auto"/>
        <w:ind w:firstLine="480"/>
        <w:rPr>
          <w:rFonts w:hint="eastAsia" w:ascii="宋体" w:hAnsi="宋体" w:eastAsia="宋体"/>
          <w:sz w:val="24"/>
          <w:szCs w:val="24"/>
        </w:rPr>
      </w:pPr>
      <w:r>
        <w:rPr>
          <w:rFonts w:hint="eastAsia" w:ascii="宋体" w:hAnsi="宋体" w:eastAsia="宋体"/>
          <w:sz w:val="24"/>
          <w:szCs w:val="24"/>
        </w:rPr>
        <w:t>对于核查上报的填报项和计算的指标进行审核。发现填报的内容有明显异常的，系统做审核标记，并能查看审核记录；检查无疑义后，列表中和指标上显示通过标记。</w:t>
      </w:r>
    </w:p>
    <w:p w14:paraId="6F7E3300">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)现场考评上报列表：列表展示城市现场考评上报的所有问题。</w:t>
      </w:r>
    </w:p>
    <w:p w14:paraId="386E8117">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)考评信息查看：查看考评上报的详细信息。</w:t>
      </w:r>
    </w:p>
    <w:p w14:paraId="65DDA843">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)考评上报审核：通过或不通过，并给出理由。</w:t>
      </w:r>
    </w:p>
    <w:p w14:paraId="40BA68BC">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.考评审核</w:t>
      </w:r>
    </w:p>
    <w:p w14:paraId="05B58EFE">
      <w:pPr>
        <w:spacing w:line="276" w:lineRule="auto"/>
        <w:ind w:firstLine="480"/>
        <w:rPr>
          <w:rFonts w:hint="eastAsia" w:ascii="宋体" w:hAnsi="宋体" w:eastAsia="宋体"/>
          <w:sz w:val="24"/>
          <w:szCs w:val="24"/>
        </w:rPr>
      </w:pPr>
      <w:r>
        <w:rPr>
          <w:rFonts w:hint="eastAsia" w:ascii="宋体" w:hAnsi="宋体" w:eastAsia="宋体"/>
          <w:sz w:val="24"/>
          <w:szCs w:val="24"/>
        </w:rPr>
        <w:t>对于现场考评上报的检查问题，进行审核。现场检查发现有问题的，需要进行扣分，审核是否合适；现场检查发现没问题的，根据现场上报的照片和其他渠道获取的信息，认定是否合理。</w:t>
      </w:r>
    </w:p>
    <w:p w14:paraId="49DF87BA">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)现场考评上报列表：列表展示现场考评上报的所有问题。</w:t>
      </w:r>
    </w:p>
    <w:p w14:paraId="2BF586B2">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)考评信息查看：查看考评上报的详细信息。</w:t>
      </w:r>
    </w:p>
    <w:p w14:paraId="109A619D">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)考评上报审核：通过或不通过，并给出理由。</w:t>
      </w:r>
    </w:p>
    <w:p w14:paraId="04833225">
      <w:pPr>
        <w:pStyle w:val="8"/>
        <w:rPr>
          <w:rFonts w:hint="eastAsia"/>
          <w:b w:val="0"/>
        </w:rPr>
      </w:pPr>
      <w:bookmarkStart w:id="297" w:name="_Toc138067503"/>
      <w:bookmarkStart w:id="298" w:name="_Toc64887253"/>
      <w:r>
        <w:rPr>
          <w:b w:val="0"/>
        </w:rPr>
        <w:t>评价结果生成</w:t>
      </w:r>
      <w:bookmarkEnd w:id="297"/>
      <w:bookmarkEnd w:id="298"/>
    </w:p>
    <w:p w14:paraId="50B39596">
      <w:pPr>
        <w:spacing w:line="276" w:lineRule="auto"/>
        <w:ind w:firstLine="480"/>
        <w:rPr>
          <w:rFonts w:hint="eastAsia" w:ascii="宋体" w:hAnsi="宋体" w:eastAsia="宋体"/>
          <w:sz w:val="24"/>
          <w:szCs w:val="24"/>
        </w:rPr>
      </w:pPr>
      <w:r>
        <w:rPr>
          <w:rFonts w:hint="eastAsia" w:ascii="宋体" w:hAnsi="宋体" w:eastAsia="宋体"/>
          <w:sz w:val="24"/>
          <w:szCs w:val="24"/>
        </w:rPr>
        <w:t>评价结果生成模块具备基于评价指标数据和评价任务完成情况，按规定的评价周期生成评价结果的功能，评价结果可采用文字、图表等可视化方式表达。</w:t>
      </w:r>
    </w:p>
    <w:p w14:paraId="2351B5BA">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.分类评价统计</w:t>
      </w:r>
      <w:r>
        <w:rPr>
          <w:rFonts w:hint="eastAsia" w:ascii="宋体" w:hAnsi="宋体" w:eastAsia="宋体"/>
          <w:sz w:val="24"/>
          <w:szCs w:val="24"/>
        </w:rPr>
        <w:t>:围绕“干净、整洁、有序、群众满意” 等4项一级指标，23项二级指标，70项三级指标，提供考核时间、参与考核区域、检查类型（填报、现场）等统计条件，按照分类考核展示各个区域的分数，查看各类指标的得分详情；对于填报指标可以查看详细填报信息，对于现场考评可以查看现场上报的扣分详情。</w:t>
      </w:r>
    </w:p>
    <w:p w14:paraId="312D2C9B">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.综合评价统计</w:t>
      </w:r>
      <w:r>
        <w:rPr>
          <w:rFonts w:hint="eastAsia" w:ascii="宋体" w:hAnsi="宋体" w:eastAsia="宋体"/>
          <w:sz w:val="24"/>
          <w:szCs w:val="24"/>
        </w:rPr>
        <w:t>:根据城市综合管理服务评价指标体系，选择考核时间、参与考核区域，提供按照一级、二级、三级、四级指标分类，展示各项的分数和综合得分。</w:t>
      </w:r>
    </w:p>
    <w:p w14:paraId="61442786">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hint="eastAsia" w:ascii="宋体" w:hAnsi="宋体" w:eastAsia="宋体"/>
          <w:sz w:val="24"/>
          <w:szCs w:val="24"/>
        </w:rPr>
        <w:t>评价结果推送:评价结果生成后，可以按照设定的文字模板，将评价结果通过消息、短信的方式推送至相关人员。</w:t>
      </w:r>
    </w:p>
    <w:p w14:paraId="389E4ED1">
      <w:pPr>
        <w:pStyle w:val="7"/>
        <w:rPr>
          <w:rFonts w:hint="eastAsia"/>
        </w:rPr>
      </w:pPr>
      <w:bookmarkStart w:id="299" w:name="_Toc138067504"/>
      <w:bookmarkStart w:id="300" w:name="_Toc26243"/>
      <w:r>
        <w:rPr>
          <w:rFonts w:hint="eastAsia"/>
        </w:rPr>
        <w:t>决策建议系统</w:t>
      </w:r>
      <w:bookmarkEnd w:id="261"/>
      <w:bookmarkEnd w:id="262"/>
      <w:bookmarkEnd w:id="263"/>
      <w:bookmarkEnd w:id="264"/>
      <w:bookmarkEnd w:id="265"/>
      <w:bookmarkEnd w:id="266"/>
      <w:bookmarkEnd w:id="267"/>
      <w:bookmarkEnd w:id="268"/>
      <w:bookmarkEnd w:id="269"/>
      <w:bookmarkEnd w:id="299"/>
      <w:bookmarkEnd w:id="300"/>
    </w:p>
    <w:p w14:paraId="51C52D05">
      <w:pPr>
        <w:spacing w:line="276" w:lineRule="auto"/>
        <w:ind w:firstLine="480"/>
        <w:rPr>
          <w:rFonts w:hint="eastAsia" w:ascii="宋体" w:hAnsi="宋体" w:eastAsia="宋体"/>
          <w:sz w:val="24"/>
          <w:szCs w:val="24"/>
        </w:rPr>
      </w:pPr>
      <w:r>
        <w:rPr>
          <w:rFonts w:hint="eastAsia" w:ascii="宋体" w:hAnsi="宋体" w:eastAsia="宋体"/>
          <w:sz w:val="24"/>
          <w:szCs w:val="24"/>
        </w:rPr>
        <w:t>基于综合性城市运行管理服务数据库，获取城市管理各类数据，开展分析研判，提炼工作成果，结合地图进行可视化展示，为相关部门分舱动态掌握城市运行管理服务态势、及时做出处置响应、部署相关工作、开展专项行动、制定相关政策等提供决策建议。</w:t>
      </w:r>
      <w:bookmarkStart w:id="301" w:name="_Hlk55867174"/>
    </w:p>
    <w:bookmarkEnd w:id="301"/>
    <w:p w14:paraId="4CA7DB4F">
      <w:pPr>
        <w:pStyle w:val="8"/>
        <w:rPr>
          <w:rFonts w:hint="eastAsia"/>
          <w:b w:val="0"/>
          <w:bCs w:val="0"/>
        </w:rPr>
      </w:pPr>
      <w:bookmarkStart w:id="302" w:name="_Toc138067505"/>
      <w:bookmarkStart w:id="303" w:name="_Toc64887320"/>
      <w:bookmarkStart w:id="304" w:name="_Toc45117765"/>
      <w:r>
        <w:rPr>
          <w:rFonts w:hint="eastAsia"/>
          <w:b w:val="0"/>
          <w:bCs w:val="0"/>
        </w:rPr>
        <w:t>运行体征态势感知</w:t>
      </w:r>
      <w:bookmarkEnd w:id="302"/>
    </w:p>
    <w:p w14:paraId="422E3CA7">
      <w:pPr>
        <w:spacing w:line="276" w:lineRule="auto"/>
        <w:ind w:firstLine="480"/>
        <w:rPr>
          <w:rFonts w:hint="eastAsia" w:ascii="宋体" w:hAnsi="宋体" w:eastAsia="宋体"/>
          <w:sz w:val="24"/>
          <w:szCs w:val="24"/>
        </w:rPr>
      </w:pPr>
      <w:r>
        <w:rPr>
          <w:rFonts w:hint="eastAsia" w:ascii="宋体" w:hAnsi="宋体" w:eastAsia="宋体"/>
          <w:sz w:val="24"/>
          <w:szCs w:val="24"/>
        </w:rPr>
        <w:t>作为“城市驾驶舱城管分舱”的主要场景，在大屏幕上展示城市管理的总体状况，呈现城市管理基本信息、运行指标、实时数据、部件数据、城市管理问题等多维分析图表，实现智慧城管重要数据分析指标一屏统览，辅助监督与决策。</w:t>
      </w:r>
    </w:p>
    <w:p w14:paraId="4A7F5502">
      <w:pPr>
        <w:pStyle w:val="8"/>
        <w:rPr>
          <w:rFonts w:hint="eastAsia"/>
          <w:b w:val="0"/>
          <w:bCs w:val="0"/>
        </w:rPr>
      </w:pPr>
      <w:bookmarkStart w:id="305" w:name="_Toc138067506"/>
      <w:r>
        <w:rPr>
          <w:rFonts w:hint="eastAsia"/>
          <w:b w:val="0"/>
          <w:bCs w:val="0"/>
        </w:rPr>
        <w:t>智慧环卫分析研判</w:t>
      </w:r>
      <w:bookmarkEnd w:id="305"/>
    </w:p>
    <w:p w14:paraId="266F2BE7">
      <w:pPr>
        <w:spacing w:line="276" w:lineRule="auto"/>
        <w:ind w:firstLine="480"/>
        <w:rPr>
          <w:rFonts w:hint="eastAsia" w:ascii="宋体" w:hAnsi="宋体" w:eastAsia="宋体"/>
          <w:sz w:val="24"/>
          <w:szCs w:val="24"/>
        </w:rPr>
      </w:pPr>
      <w:r>
        <w:rPr>
          <w:rFonts w:hint="eastAsia" w:ascii="宋体" w:hAnsi="宋体" w:eastAsia="宋体"/>
          <w:sz w:val="24"/>
          <w:szCs w:val="24"/>
        </w:rPr>
        <w:t xml:space="preserve">   通过对环卫作业车辆行驶轨迹、作业状态和作业路段匹配，车辆摄像头对道路情况、司机状态的AI智能识别，实现对机械化作业道路的保洁作业完成情况、驾驶员作业状态的精确把控，帮助环卫监管部门了解当日及历史的道路作业进展情况、车辆作业情况、驾驶员工作状态，进行作业调度决策，提高作业效率。</w:t>
      </w:r>
    </w:p>
    <w:p w14:paraId="2DB5A795">
      <w:pPr>
        <w:pStyle w:val="8"/>
        <w:rPr>
          <w:rFonts w:hint="eastAsia"/>
          <w:b w:val="0"/>
          <w:bCs w:val="0"/>
        </w:rPr>
      </w:pPr>
      <w:r>
        <w:rPr>
          <w:rFonts w:hint="eastAsia"/>
          <w:b w:val="0"/>
          <w:bCs w:val="0"/>
        </w:rPr>
        <w:t>垃圾分类</w:t>
      </w:r>
      <w:r>
        <w:rPr>
          <w:rFonts w:hint="eastAsia"/>
          <w:b w:val="0"/>
        </w:rPr>
        <w:t>分析</w:t>
      </w:r>
      <w:r>
        <w:rPr>
          <w:rFonts w:hint="eastAsia"/>
          <w:b w:val="0"/>
          <w:bCs w:val="0"/>
        </w:rPr>
        <w:t>研判</w:t>
      </w:r>
    </w:p>
    <w:p w14:paraId="3B3935A5">
      <w:pPr>
        <w:spacing w:line="276" w:lineRule="auto"/>
        <w:ind w:firstLine="480"/>
        <w:rPr>
          <w:rFonts w:hint="eastAsia" w:ascii="宋体" w:hAnsi="宋体" w:eastAsia="宋体"/>
          <w:sz w:val="24"/>
          <w:szCs w:val="24"/>
        </w:rPr>
      </w:pPr>
      <w:r>
        <w:rPr>
          <w:rFonts w:hint="eastAsia" w:ascii="宋体" w:hAnsi="宋体" w:eastAsia="宋体"/>
          <w:sz w:val="24"/>
          <w:szCs w:val="24"/>
        </w:rPr>
        <w:t>实现垃圾分类投收运处的全流程监管。通过对垃圾分类源头分类设施的监管，如智能清洁屋、垃圾房地磅、智能AI分析摄像头等，实现对居民投放行为的智能监管分析，识别投放行为及违规行为并实现现场提醒，有效推动垃圾分类工作的有效进展，提高分类效率；通过对收运转运车辆</w:t>
      </w:r>
      <w:r>
        <w:rPr>
          <w:rFonts w:hint="eastAsia" w:ascii="宋体" w:hAnsi="宋体" w:eastAsia="宋体"/>
          <w:sz w:val="24"/>
          <w:szCs w:val="24"/>
          <w:lang w:val="en-US" w:eastAsia="zh-CN"/>
        </w:rPr>
        <w:t>位置定位</w:t>
      </w:r>
      <w:r>
        <w:rPr>
          <w:rFonts w:hint="eastAsia" w:ascii="宋体" w:hAnsi="宋体" w:eastAsia="宋体"/>
          <w:sz w:val="24"/>
          <w:szCs w:val="24"/>
        </w:rPr>
        <w:t>和终端处置场的监管，帮助相关部门实时了解车辆运行情况，实现小区生活垃圾由投放到收运到分类处置的全流程监管，促进垃圾分类工作有效开展进行。</w:t>
      </w:r>
    </w:p>
    <w:p w14:paraId="6DD9C079">
      <w:pPr>
        <w:pStyle w:val="8"/>
        <w:rPr>
          <w:rFonts w:hint="eastAsia"/>
          <w:b w:val="0"/>
          <w:bCs w:val="0"/>
        </w:rPr>
      </w:pPr>
      <w:bookmarkStart w:id="306" w:name="_Toc138067508"/>
      <w:r>
        <w:rPr>
          <w:rFonts w:hint="eastAsia"/>
          <w:b w:val="0"/>
          <w:bCs w:val="0"/>
        </w:rPr>
        <w:t>餐厨垃圾监管分析研判</w:t>
      </w:r>
      <w:bookmarkEnd w:id="306"/>
    </w:p>
    <w:p w14:paraId="58DA5076">
      <w:pPr>
        <w:spacing w:line="276" w:lineRule="auto"/>
        <w:ind w:firstLine="480"/>
        <w:rPr>
          <w:rFonts w:hint="eastAsia" w:ascii="宋体" w:hAnsi="宋体" w:eastAsia="宋体"/>
          <w:sz w:val="24"/>
          <w:szCs w:val="24"/>
        </w:rPr>
      </w:pPr>
      <w:r>
        <w:rPr>
          <w:rFonts w:hint="eastAsia" w:ascii="宋体" w:hAnsi="宋体" w:eastAsia="宋体"/>
          <w:sz w:val="24"/>
          <w:szCs w:val="24"/>
        </w:rPr>
        <w:t>通过采集商户信息，安装餐厨桶RFID物联网标签卡和餐厨收运车车载识别设备，实时传输餐厨称重数据、车辆轨迹数据、厂区地磅数据，填报终端处理相关数据，实现对餐厨垃圾收集、运输、处置全流程监管。</w:t>
      </w:r>
    </w:p>
    <w:p w14:paraId="0A31A17A">
      <w:pPr>
        <w:pStyle w:val="8"/>
        <w:rPr>
          <w:rFonts w:hint="eastAsia"/>
          <w:b w:val="0"/>
          <w:bCs w:val="0"/>
        </w:rPr>
      </w:pPr>
      <w:bookmarkStart w:id="307" w:name="_Toc138067509"/>
      <w:r>
        <w:rPr>
          <w:rFonts w:hint="eastAsia"/>
          <w:b w:val="0"/>
          <w:bCs w:val="0"/>
        </w:rPr>
        <w:t>垃圾</w:t>
      </w:r>
      <w:r>
        <w:rPr>
          <w:rFonts w:hint="eastAsia"/>
          <w:b w:val="0"/>
        </w:rPr>
        <w:t>终端</w:t>
      </w:r>
      <w:r>
        <w:rPr>
          <w:rFonts w:hint="eastAsia"/>
          <w:b w:val="0"/>
          <w:bCs w:val="0"/>
        </w:rPr>
        <w:t>处置分析研判</w:t>
      </w:r>
      <w:bookmarkEnd w:id="307"/>
    </w:p>
    <w:p w14:paraId="7AAA3948">
      <w:pPr>
        <w:spacing w:line="276" w:lineRule="auto"/>
        <w:ind w:firstLine="480"/>
        <w:rPr>
          <w:rFonts w:hint="eastAsia" w:ascii="宋体" w:hAnsi="宋体" w:eastAsia="宋体"/>
          <w:sz w:val="24"/>
          <w:szCs w:val="24"/>
        </w:rPr>
      </w:pPr>
      <w:r>
        <w:rPr>
          <w:rFonts w:hint="eastAsia" w:ascii="宋体" w:hAnsi="宋体" w:eastAsia="宋体"/>
          <w:sz w:val="24"/>
          <w:szCs w:val="24"/>
        </w:rPr>
        <w:t>通过对接全市垃圾焚烧厂、建筑垃圾处置厂的工况、地磅、视频数据，掌握厂区货物、生活垃圾、建筑垃圾的进厂量；对接工况数采仪，实时采集烟气、炉温等运行数据，设置阈值监管，并实现对异常情况的及时反馈预警，监督厂区安全有序生产。</w:t>
      </w:r>
    </w:p>
    <w:p w14:paraId="4F02CB10">
      <w:pPr>
        <w:pStyle w:val="8"/>
        <w:rPr>
          <w:rFonts w:hint="eastAsia"/>
          <w:b w:val="0"/>
          <w:bCs w:val="0"/>
        </w:rPr>
      </w:pPr>
      <w:bookmarkStart w:id="308" w:name="_Toc138067507"/>
      <w:bookmarkStart w:id="309" w:name="_Toc138067510"/>
      <w:r>
        <w:rPr>
          <w:rFonts w:hint="eastAsia"/>
          <w:b w:val="0"/>
          <w:bCs w:val="0"/>
        </w:rPr>
        <w:t>综合</w:t>
      </w:r>
      <w:r>
        <w:rPr>
          <w:rFonts w:hint="eastAsia"/>
          <w:b w:val="0"/>
        </w:rPr>
        <w:t>执法</w:t>
      </w:r>
      <w:r>
        <w:rPr>
          <w:rFonts w:hint="eastAsia"/>
          <w:b w:val="0"/>
          <w:bCs w:val="0"/>
        </w:rPr>
        <w:t>调度指挥</w:t>
      </w:r>
      <w:bookmarkEnd w:id="308"/>
    </w:p>
    <w:p w14:paraId="66610F54">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网格化管理划分</w:t>
      </w:r>
    </w:p>
    <w:p w14:paraId="5367231B">
      <w:pPr>
        <w:spacing w:line="276" w:lineRule="auto"/>
        <w:ind w:firstLine="480"/>
        <w:rPr>
          <w:rFonts w:hint="eastAsia" w:ascii="宋体" w:hAnsi="宋体" w:eastAsia="宋体"/>
          <w:sz w:val="24"/>
          <w:szCs w:val="24"/>
        </w:rPr>
      </w:pPr>
      <w:r>
        <w:rPr>
          <w:rFonts w:hint="eastAsia" w:ascii="宋体" w:hAnsi="宋体" w:eastAsia="宋体"/>
          <w:sz w:val="24"/>
          <w:szCs w:val="24"/>
        </w:rPr>
        <w:t>设置各执法大队、中队、执法队员的责任网格，做到责任</w:t>
      </w:r>
      <w:r>
        <w:rPr>
          <w:rFonts w:ascii="宋体" w:hAnsi="宋体" w:eastAsia="宋体"/>
          <w:sz w:val="24"/>
          <w:szCs w:val="24"/>
        </w:rPr>
        <w:t xml:space="preserve"> 明晰，实现对执法队员日常巡查、任务处置的工作监管。</w:t>
      </w:r>
    </w:p>
    <w:p w14:paraId="56247096">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重点区域关键点位</w:t>
      </w:r>
    </w:p>
    <w:p w14:paraId="02FC19A8">
      <w:pPr>
        <w:spacing w:line="276" w:lineRule="auto"/>
        <w:ind w:firstLine="480"/>
        <w:rPr>
          <w:rFonts w:hint="eastAsia" w:ascii="宋体" w:hAnsi="宋体" w:eastAsia="宋体"/>
          <w:sz w:val="24"/>
          <w:szCs w:val="24"/>
        </w:rPr>
      </w:pPr>
      <w:r>
        <w:rPr>
          <w:rFonts w:hint="eastAsia" w:ascii="宋体" w:hAnsi="宋体" w:eastAsia="宋体"/>
          <w:sz w:val="24"/>
          <w:szCs w:val="24"/>
        </w:rPr>
        <w:t>根据日常巡查发现的案件数量、类型等自动生成重点区域</w:t>
      </w:r>
      <w:r>
        <w:rPr>
          <w:rFonts w:ascii="宋体" w:hAnsi="宋体" w:eastAsia="宋体"/>
          <w:sz w:val="24"/>
          <w:szCs w:val="24"/>
        </w:rPr>
        <w:t xml:space="preserve"> 关键点位，也可以手动绘制区域点位，在系统里突出显示。针对重点区域可制定不同的巡查、考核规则。</w:t>
      </w:r>
    </w:p>
    <w:p w14:paraId="3981AC67">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地图漫游</w:t>
      </w:r>
    </w:p>
    <w:p w14:paraId="4AE604F8">
      <w:pPr>
        <w:spacing w:line="276" w:lineRule="auto"/>
        <w:ind w:firstLine="480"/>
        <w:rPr>
          <w:rFonts w:hint="eastAsia" w:ascii="宋体" w:hAnsi="宋体" w:eastAsia="宋体"/>
          <w:sz w:val="24"/>
          <w:szCs w:val="24"/>
        </w:rPr>
      </w:pPr>
      <w:r>
        <w:rPr>
          <w:rFonts w:hint="eastAsia" w:ascii="宋体" w:hAnsi="宋体" w:eastAsia="宋体"/>
          <w:sz w:val="24"/>
          <w:szCs w:val="24"/>
        </w:rPr>
        <w:t>具备对地图的放大、缩小、漫游、全图、量距、查询、定</w:t>
      </w:r>
      <w:r>
        <w:rPr>
          <w:rFonts w:ascii="宋体" w:hAnsi="宋体" w:eastAsia="宋体"/>
          <w:sz w:val="24"/>
          <w:szCs w:val="24"/>
        </w:rPr>
        <w:t xml:space="preserve"> 位等基本功能。</w:t>
      </w:r>
    </w:p>
    <w:p w14:paraId="0A0AE2DF">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模式切换</w:t>
      </w:r>
    </w:p>
    <w:p w14:paraId="203B1CF4">
      <w:pPr>
        <w:spacing w:line="276" w:lineRule="auto"/>
        <w:ind w:firstLine="480"/>
        <w:rPr>
          <w:rFonts w:hint="eastAsia" w:ascii="宋体" w:hAnsi="宋体" w:eastAsia="宋体"/>
          <w:sz w:val="24"/>
          <w:szCs w:val="24"/>
        </w:rPr>
      </w:pPr>
      <w:r>
        <w:rPr>
          <w:rFonts w:hint="eastAsia" w:ascii="宋体" w:hAnsi="宋体" w:eastAsia="宋体"/>
          <w:sz w:val="24"/>
          <w:szCs w:val="24"/>
        </w:rPr>
        <w:t>具备不同地图模式的切换，如二维标准地图、卫星地图的切换和二、三维地图切换。</w:t>
      </w:r>
    </w:p>
    <w:p w14:paraId="0DEBE157">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案件多来源汇聚</w:t>
      </w:r>
    </w:p>
    <w:p w14:paraId="4EC21F93">
      <w:pPr>
        <w:spacing w:line="276" w:lineRule="auto"/>
        <w:ind w:firstLine="480"/>
        <w:rPr>
          <w:rFonts w:hint="eastAsia" w:ascii="宋体" w:hAnsi="宋体" w:eastAsia="宋体"/>
          <w:sz w:val="24"/>
          <w:szCs w:val="24"/>
        </w:rPr>
      </w:pPr>
      <w:r>
        <w:rPr>
          <w:rFonts w:hint="eastAsia" w:ascii="宋体" w:hAnsi="宋体" w:eastAsia="宋体"/>
          <w:sz w:val="24"/>
          <w:szCs w:val="24"/>
        </w:rPr>
        <w:t>具备汇聚不同渠道来源的案件信息，如巡查发现、</w:t>
      </w:r>
      <w:r>
        <w:rPr>
          <w:rFonts w:ascii="宋体" w:hAnsi="宋体" w:eastAsia="宋体"/>
          <w:sz w:val="24"/>
          <w:szCs w:val="24"/>
        </w:rPr>
        <w:t>AI 智能分析、上级交办、公安视频、数字城管、12345等。在地图上标识案件发生位置，可以查看案件详情。</w:t>
      </w:r>
    </w:p>
    <w:p w14:paraId="5AAE8FB4">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智能派遣</w:t>
      </w:r>
    </w:p>
    <w:p w14:paraId="472C6DCC">
      <w:pPr>
        <w:spacing w:line="276" w:lineRule="auto"/>
        <w:ind w:firstLine="480"/>
        <w:rPr>
          <w:rFonts w:hint="eastAsia" w:ascii="宋体" w:hAnsi="宋体" w:eastAsia="宋体"/>
          <w:sz w:val="24"/>
          <w:szCs w:val="24"/>
        </w:rPr>
      </w:pPr>
      <w:r>
        <w:rPr>
          <w:rFonts w:hint="eastAsia" w:ascii="宋体" w:hAnsi="宋体" w:eastAsia="宋体"/>
          <w:sz w:val="24"/>
          <w:szCs w:val="24"/>
        </w:rPr>
        <w:t>根据案件发生的位置，将受理的问题直接派遣至一线责任网格队员和小组长，中队长、大队长、支队长等各级领导均为可选模式。</w:t>
      </w:r>
    </w:p>
    <w:p w14:paraId="6A566596">
      <w:pPr>
        <w:spacing w:line="276" w:lineRule="auto"/>
        <w:ind w:firstLine="480"/>
        <w:rPr>
          <w:rFonts w:hint="eastAsia" w:ascii="宋体" w:hAnsi="宋体" w:eastAsia="宋体"/>
          <w:sz w:val="24"/>
          <w:szCs w:val="24"/>
        </w:rPr>
      </w:pPr>
      <w:r>
        <w:rPr>
          <w:rFonts w:ascii="宋体" w:hAnsi="宋体" w:eastAsia="宋体"/>
          <w:sz w:val="24"/>
          <w:szCs w:val="24"/>
        </w:rPr>
        <w:t>g.指挥调度</w:t>
      </w:r>
    </w:p>
    <w:p w14:paraId="74B361C8">
      <w:pPr>
        <w:spacing w:line="276" w:lineRule="auto"/>
        <w:ind w:firstLine="480"/>
        <w:rPr>
          <w:rFonts w:hint="eastAsia" w:ascii="宋体" w:hAnsi="宋体" w:eastAsia="宋体"/>
          <w:sz w:val="24"/>
          <w:szCs w:val="24"/>
        </w:rPr>
      </w:pPr>
      <w:r>
        <w:rPr>
          <w:rFonts w:hint="eastAsia" w:ascii="宋体" w:hAnsi="宋体" w:eastAsia="宋体"/>
          <w:sz w:val="24"/>
          <w:szCs w:val="24"/>
        </w:rPr>
        <w:t>一张图指挥：将执法人员、上报案件、执法车辆、重点区</w:t>
      </w:r>
      <w:r>
        <w:rPr>
          <w:rFonts w:ascii="宋体" w:hAnsi="宋体" w:eastAsia="宋体"/>
          <w:sz w:val="24"/>
          <w:szCs w:val="24"/>
        </w:rPr>
        <w:t xml:space="preserve"> 域、固定摄像头等分布信息在一张电子地图上集中展示。</w:t>
      </w:r>
    </w:p>
    <w:p w14:paraId="6A9DE3B8">
      <w:pPr>
        <w:spacing w:line="276" w:lineRule="auto"/>
        <w:ind w:firstLine="480"/>
        <w:rPr>
          <w:rFonts w:hint="eastAsia" w:ascii="宋体" w:hAnsi="宋体" w:eastAsia="宋体"/>
          <w:sz w:val="24"/>
          <w:szCs w:val="24"/>
        </w:rPr>
      </w:pPr>
      <w:r>
        <w:rPr>
          <w:rFonts w:hint="eastAsia" w:ascii="宋体" w:hAnsi="宋体" w:eastAsia="宋体"/>
          <w:sz w:val="24"/>
          <w:szCs w:val="24"/>
        </w:rPr>
        <w:t>现场视频调取：调取案件位置的执法记录仪视频、固定监</w:t>
      </w:r>
      <w:r>
        <w:rPr>
          <w:rFonts w:ascii="宋体" w:hAnsi="宋体" w:eastAsia="宋体"/>
          <w:sz w:val="24"/>
          <w:szCs w:val="24"/>
        </w:rPr>
        <w:t>控视频、高空鹰眼等。</w:t>
      </w:r>
    </w:p>
    <w:p w14:paraId="6C35CBCB">
      <w:pPr>
        <w:spacing w:line="276" w:lineRule="auto"/>
        <w:ind w:firstLine="480"/>
        <w:rPr>
          <w:rFonts w:hint="eastAsia" w:ascii="宋体" w:hAnsi="宋体" w:eastAsia="宋体"/>
          <w:sz w:val="24"/>
          <w:szCs w:val="24"/>
        </w:rPr>
      </w:pPr>
      <w:r>
        <w:rPr>
          <w:rFonts w:hint="eastAsia" w:ascii="宋体" w:hAnsi="宋体" w:eastAsia="宋体"/>
          <w:sz w:val="24"/>
          <w:szCs w:val="24"/>
        </w:rPr>
        <w:t>车载视频调取：调取案件位置的执法车辆车载视频。</w:t>
      </w:r>
    </w:p>
    <w:p w14:paraId="57670560">
      <w:pPr>
        <w:spacing w:line="276" w:lineRule="auto"/>
        <w:ind w:firstLine="480"/>
        <w:rPr>
          <w:rFonts w:hint="eastAsia" w:ascii="宋体" w:hAnsi="宋体" w:eastAsia="宋体"/>
          <w:sz w:val="24"/>
          <w:szCs w:val="24"/>
        </w:rPr>
      </w:pPr>
      <w:r>
        <w:rPr>
          <w:rFonts w:hint="eastAsia" w:ascii="宋体" w:hAnsi="宋体" w:eastAsia="宋体"/>
          <w:sz w:val="24"/>
          <w:szCs w:val="24"/>
        </w:rPr>
        <w:t>语音通话：与现场执法队员实现语音通话，实时了解现场</w:t>
      </w:r>
      <w:r>
        <w:rPr>
          <w:rFonts w:ascii="宋体" w:hAnsi="宋体" w:eastAsia="宋体"/>
          <w:sz w:val="24"/>
          <w:szCs w:val="24"/>
        </w:rPr>
        <w:t xml:space="preserve"> 实际情况，并且及时下发指令，实现应急指挥调度。</w:t>
      </w:r>
    </w:p>
    <w:p w14:paraId="06DEA951">
      <w:pPr>
        <w:spacing w:line="276" w:lineRule="auto"/>
        <w:ind w:firstLine="480"/>
        <w:rPr>
          <w:rFonts w:hint="eastAsia" w:ascii="宋体" w:hAnsi="宋体" w:eastAsia="宋体"/>
          <w:sz w:val="24"/>
          <w:szCs w:val="24"/>
        </w:rPr>
      </w:pPr>
      <w:r>
        <w:rPr>
          <w:rFonts w:hint="eastAsia" w:ascii="宋体" w:hAnsi="宋体" w:eastAsia="宋体"/>
          <w:sz w:val="24"/>
          <w:szCs w:val="24"/>
        </w:rPr>
        <w:t>一键求助：通过执法记录仪上的按键进行一键求助，求助</w:t>
      </w:r>
      <w:r>
        <w:rPr>
          <w:rFonts w:ascii="宋体" w:hAnsi="宋体" w:eastAsia="宋体"/>
          <w:sz w:val="24"/>
          <w:szCs w:val="24"/>
        </w:rPr>
        <w:t xml:space="preserve"> 的画面会同步传输到指挥调度平台并在后台进行云存储。</w:t>
      </w:r>
    </w:p>
    <w:p w14:paraId="5F481F5E">
      <w:pPr>
        <w:spacing w:line="276" w:lineRule="auto"/>
        <w:ind w:firstLine="480"/>
        <w:rPr>
          <w:rFonts w:hint="eastAsia" w:ascii="宋体" w:hAnsi="宋体" w:eastAsia="宋体"/>
          <w:sz w:val="24"/>
          <w:szCs w:val="24"/>
        </w:rPr>
      </w:pPr>
      <w:r>
        <w:rPr>
          <w:rFonts w:hint="eastAsia" w:ascii="宋体" w:hAnsi="宋体" w:eastAsia="宋体"/>
          <w:sz w:val="24"/>
          <w:szCs w:val="24"/>
        </w:rPr>
        <w:t>多方会商：指挥调度平台可以通过选取若干执法队员，创</w:t>
      </w:r>
      <w:r>
        <w:rPr>
          <w:rFonts w:ascii="宋体" w:hAnsi="宋体" w:eastAsia="宋体"/>
          <w:sz w:val="24"/>
          <w:szCs w:val="24"/>
        </w:rPr>
        <w:t xml:space="preserve"> 建视频会商频道，被选择的执法队员可以通过执法记录仪实现 视频通话会商。</w:t>
      </w:r>
    </w:p>
    <w:p w14:paraId="24B97BBC">
      <w:pPr>
        <w:spacing w:line="276" w:lineRule="auto"/>
        <w:ind w:firstLine="480"/>
        <w:rPr>
          <w:rFonts w:hint="eastAsia" w:ascii="宋体" w:hAnsi="宋体" w:eastAsia="宋体"/>
          <w:sz w:val="24"/>
          <w:szCs w:val="24"/>
        </w:rPr>
      </w:pPr>
      <w:r>
        <w:rPr>
          <w:rFonts w:hint="eastAsia" w:ascii="宋体" w:hAnsi="宋体" w:eastAsia="宋体"/>
          <w:sz w:val="24"/>
          <w:szCs w:val="24"/>
        </w:rPr>
        <w:t>移动指挥：具备移动指挥调度的功能。</w:t>
      </w:r>
    </w:p>
    <w:p w14:paraId="2D2258F8">
      <w:pPr>
        <w:spacing w:line="276" w:lineRule="auto"/>
        <w:ind w:firstLine="480"/>
        <w:rPr>
          <w:rFonts w:hint="eastAsia" w:ascii="宋体" w:hAnsi="宋体" w:eastAsia="宋体"/>
          <w:sz w:val="24"/>
          <w:szCs w:val="24"/>
        </w:rPr>
      </w:pPr>
      <w:r>
        <w:rPr>
          <w:rFonts w:ascii="宋体" w:hAnsi="宋体" w:eastAsia="宋体"/>
          <w:sz w:val="24"/>
          <w:szCs w:val="24"/>
        </w:rPr>
        <w:t xml:space="preserve"> h.巡岗考勤和统计</w:t>
      </w:r>
    </w:p>
    <w:p w14:paraId="14D151B4">
      <w:pPr>
        <w:spacing w:line="276" w:lineRule="auto"/>
        <w:ind w:firstLine="480"/>
        <w:rPr>
          <w:rFonts w:hint="eastAsia" w:ascii="宋体" w:hAnsi="宋体" w:eastAsia="宋体"/>
          <w:sz w:val="24"/>
          <w:szCs w:val="24"/>
        </w:rPr>
      </w:pPr>
      <w:r>
        <w:rPr>
          <w:rFonts w:hint="eastAsia" w:ascii="宋体" w:hAnsi="宋体" w:eastAsia="宋体"/>
          <w:sz w:val="24"/>
          <w:szCs w:val="24"/>
        </w:rPr>
        <w:t>自动打卡：上下班时间到岗自动打卡。</w:t>
      </w:r>
    </w:p>
    <w:p w14:paraId="5BCE094F">
      <w:pPr>
        <w:spacing w:line="276" w:lineRule="auto"/>
        <w:ind w:firstLine="480"/>
        <w:rPr>
          <w:rFonts w:hint="eastAsia" w:ascii="宋体" w:hAnsi="宋体" w:eastAsia="宋体"/>
          <w:sz w:val="24"/>
          <w:szCs w:val="24"/>
        </w:rPr>
      </w:pPr>
      <w:r>
        <w:rPr>
          <w:rFonts w:hint="eastAsia" w:ascii="宋体" w:hAnsi="宋体" w:eastAsia="宋体"/>
          <w:sz w:val="24"/>
          <w:szCs w:val="24"/>
        </w:rPr>
        <w:t>定时定位：设定时间定时获取执法队员定位信息。</w:t>
      </w:r>
    </w:p>
    <w:p w14:paraId="245F0CC9">
      <w:pPr>
        <w:spacing w:line="276" w:lineRule="auto"/>
        <w:ind w:firstLine="480"/>
        <w:rPr>
          <w:rFonts w:hint="eastAsia" w:ascii="宋体" w:hAnsi="宋体" w:eastAsia="宋体"/>
          <w:sz w:val="24"/>
          <w:szCs w:val="24"/>
        </w:rPr>
      </w:pPr>
      <w:r>
        <w:rPr>
          <w:rFonts w:hint="eastAsia" w:ascii="宋体" w:hAnsi="宋体" w:eastAsia="宋体"/>
          <w:sz w:val="24"/>
          <w:szCs w:val="24"/>
        </w:rPr>
        <w:t>巡逻里程：实时查看巡逻轨迹，自动统计每日巡逻里程。较长时间未移动位置。</w:t>
      </w:r>
    </w:p>
    <w:p w14:paraId="1102AD74">
      <w:pPr>
        <w:spacing w:line="276" w:lineRule="auto"/>
        <w:ind w:firstLine="480"/>
        <w:rPr>
          <w:rFonts w:hint="eastAsia" w:ascii="宋体" w:hAnsi="宋体" w:eastAsia="宋体"/>
          <w:sz w:val="24"/>
          <w:szCs w:val="24"/>
        </w:rPr>
      </w:pPr>
      <w:r>
        <w:rPr>
          <w:rFonts w:hint="eastAsia" w:ascii="宋体" w:hAnsi="宋体" w:eastAsia="宋体"/>
          <w:sz w:val="24"/>
          <w:szCs w:val="24"/>
        </w:rPr>
        <w:t>事件统计：对执法队员上报和处理的案件进行统计。</w:t>
      </w:r>
    </w:p>
    <w:p w14:paraId="3E407366">
      <w:pPr>
        <w:spacing w:line="276" w:lineRule="auto"/>
        <w:ind w:firstLine="480"/>
        <w:rPr>
          <w:rFonts w:hint="eastAsia" w:ascii="宋体" w:hAnsi="宋体" w:eastAsia="宋体"/>
          <w:sz w:val="24"/>
          <w:szCs w:val="24"/>
        </w:rPr>
      </w:pPr>
      <w:r>
        <w:rPr>
          <w:rFonts w:ascii="宋体" w:hAnsi="宋体" w:eastAsia="宋体"/>
          <w:sz w:val="24"/>
          <w:szCs w:val="24"/>
        </w:rPr>
        <w:t>i.任务管理</w:t>
      </w:r>
    </w:p>
    <w:p w14:paraId="4711415A">
      <w:pPr>
        <w:spacing w:line="276" w:lineRule="auto"/>
        <w:ind w:firstLine="480"/>
        <w:rPr>
          <w:rFonts w:hint="eastAsia" w:ascii="宋体" w:hAnsi="宋体" w:eastAsia="宋体"/>
          <w:sz w:val="24"/>
          <w:szCs w:val="24"/>
        </w:rPr>
      </w:pPr>
      <w:r>
        <w:rPr>
          <w:rFonts w:hint="eastAsia" w:ascii="宋体" w:hAnsi="宋体" w:eastAsia="宋体"/>
          <w:sz w:val="24"/>
          <w:szCs w:val="24"/>
        </w:rPr>
        <w:t>任务下发：指挥中心向大队、中队下发任务，也可以直接下发至执法管理人员。对任务的内容、时间、要点进行说明。</w:t>
      </w:r>
    </w:p>
    <w:p w14:paraId="5D010433">
      <w:pPr>
        <w:spacing w:line="276" w:lineRule="auto"/>
        <w:ind w:firstLine="480"/>
        <w:rPr>
          <w:rFonts w:hint="eastAsia" w:ascii="宋体" w:hAnsi="宋体" w:eastAsia="宋体"/>
          <w:sz w:val="24"/>
          <w:szCs w:val="24"/>
        </w:rPr>
      </w:pPr>
      <w:r>
        <w:rPr>
          <w:rFonts w:hint="eastAsia" w:ascii="宋体" w:hAnsi="宋体" w:eastAsia="宋体"/>
          <w:sz w:val="24"/>
          <w:szCs w:val="24"/>
        </w:rPr>
        <w:t>任务流转：任务可以在各级领导和人员中流转，也可以直接扁平化精确到人。</w:t>
      </w:r>
    </w:p>
    <w:p w14:paraId="5AABB7F4">
      <w:pPr>
        <w:spacing w:line="276" w:lineRule="auto"/>
        <w:ind w:firstLine="480"/>
        <w:rPr>
          <w:rFonts w:hint="eastAsia" w:ascii="宋体" w:hAnsi="宋体" w:eastAsia="宋体"/>
          <w:sz w:val="24"/>
          <w:szCs w:val="24"/>
        </w:rPr>
      </w:pPr>
      <w:r>
        <w:rPr>
          <w:rFonts w:hint="eastAsia" w:ascii="宋体" w:hAnsi="宋体" w:eastAsia="宋体"/>
          <w:sz w:val="24"/>
          <w:szCs w:val="24"/>
        </w:rPr>
        <w:t>日常任务：定制日常任务模板，包含巡逻区域、路线、时</w:t>
      </w:r>
      <w:r>
        <w:rPr>
          <w:rFonts w:ascii="宋体" w:hAnsi="宋体" w:eastAsia="宋体"/>
          <w:sz w:val="24"/>
          <w:szCs w:val="24"/>
        </w:rPr>
        <w:t xml:space="preserve"> 间、重点区域等信息，设定时间会自动生成日常任务，并向执 法队员进行下发。</w:t>
      </w:r>
    </w:p>
    <w:p w14:paraId="58D5DE0C">
      <w:pPr>
        <w:spacing w:line="276" w:lineRule="auto"/>
        <w:ind w:firstLine="480"/>
        <w:rPr>
          <w:rFonts w:hint="eastAsia" w:ascii="宋体" w:hAnsi="宋体" w:eastAsia="宋体"/>
          <w:sz w:val="24"/>
          <w:szCs w:val="24"/>
        </w:rPr>
      </w:pPr>
      <w:r>
        <w:rPr>
          <w:rFonts w:hint="eastAsia" w:ascii="宋体" w:hAnsi="宋体" w:eastAsia="宋体"/>
          <w:sz w:val="24"/>
          <w:szCs w:val="24"/>
        </w:rPr>
        <w:t>临时任务：针对渣土管控、大型赛事活动、应急保障等形成专项任务。</w:t>
      </w:r>
    </w:p>
    <w:p w14:paraId="4CD7655D">
      <w:pPr>
        <w:spacing w:line="276" w:lineRule="auto"/>
        <w:ind w:firstLine="480"/>
        <w:rPr>
          <w:rFonts w:hint="eastAsia" w:ascii="宋体" w:hAnsi="宋体" w:eastAsia="宋体"/>
          <w:sz w:val="24"/>
          <w:szCs w:val="24"/>
        </w:rPr>
      </w:pPr>
      <w:r>
        <w:rPr>
          <w:rFonts w:hint="eastAsia" w:ascii="宋体" w:hAnsi="宋体" w:eastAsia="宋体"/>
          <w:sz w:val="24"/>
          <w:szCs w:val="24"/>
        </w:rPr>
        <w:t>保障任务：对指挥协调、</w:t>
      </w:r>
      <w:r>
        <w:rPr>
          <w:rFonts w:ascii="宋体" w:hAnsi="宋体" w:eastAsia="宋体"/>
          <w:sz w:val="24"/>
          <w:szCs w:val="24"/>
        </w:rPr>
        <w:t>12345、领导交办等临时任务进行指派，根据任务时间、位置和事项自动下发给执法队员。</w:t>
      </w:r>
    </w:p>
    <w:p w14:paraId="0192D697">
      <w:pPr>
        <w:spacing w:line="276" w:lineRule="auto"/>
        <w:ind w:firstLine="480"/>
        <w:rPr>
          <w:rFonts w:hint="eastAsia" w:ascii="宋体" w:hAnsi="宋体" w:eastAsia="宋体"/>
          <w:sz w:val="24"/>
          <w:szCs w:val="24"/>
        </w:rPr>
      </w:pPr>
      <w:r>
        <w:rPr>
          <w:rFonts w:hint="eastAsia" w:ascii="宋体" w:hAnsi="宋体" w:eastAsia="宋体"/>
          <w:sz w:val="24"/>
          <w:szCs w:val="24"/>
        </w:rPr>
        <w:t>统计报表：根据任务时间、类型、大队、中队、执</w:t>
      </w:r>
      <w:r>
        <w:rPr>
          <w:rFonts w:ascii="宋体" w:hAnsi="宋体" w:eastAsia="宋体"/>
          <w:sz w:val="24"/>
          <w:szCs w:val="24"/>
        </w:rPr>
        <w:tab/>
      </w:r>
      <w:r>
        <w:rPr>
          <w:rFonts w:ascii="宋体" w:hAnsi="宋体" w:eastAsia="宋体"/>
          <w:sz w:val="24"/>
          <w:szCs w:val="24"/>
        </w:rPr>
        <w:t>法管理人员等自动生成任务统计报表。</w:t>
      </w:r>
    </w:p>
    <w:p w14:paraId="170897B5">
      <w:pPr>
        <w:spacing w:line="276" w:lineRule="auto"/>
        <w:ind w:firstLine="480"/>
        <w:rPr>
          <w:rFonts w:hint="eastAsia" w:ascii="宋体" w:hAnsi="宋体" w:eastAsia="宋体"/>
          <w:sz w:val="24"/>
          <w:szCs w:val="24"/>
        </w:rPr>
      </w:pPr>
      <w:r>
        <w:rPr>
          <w:rFonts w:hint="eastAsia" w:ascii="宋体" w:hAnsi="宋体" w:eastAsia="宋体"/>
          <w:sz w:val="24"/>
          <w:szCs w:val="24"/>
        </w:rPr>
        <w:t>问题提醒：按照问题时间、区域、类型等对问题进行统计分析，找出问题多发重点区域。</w:t>
      </w:r>
    </w:p>
    <w:p w14:paraId="57D5F794">
      <w:pPr>
        <w:spacing w:line="276" w:lineRule="auto"/>
        <w:ind w:firstLine="480"/>
        <w:rPr>
          <w:rFonts w:hint="eastAsia" w:ascii="宋体" w:hAnsi="宋体" w:eastAsia="宋体"/>
          <w:sz w:val="24"/>
          <w:szCs w:val="24"/>
        </w:rPr>
      </w:pPr>
      <w:r>
        <w:rPr>
          <w:rFonts w:ascii="宋体" w:hAnsi="宋体" w:eastAsia="宋体"/>
          <w:sz w:val="24"/>
          <w:szCs w:val="24"/>
        </w:rPr>
        <w:t>j.督查管理</w:t>
      </w:r>
    </w:p>
    <w:p w14:paraId="725C846E">
      <w:pPr>
        <w:spacing w:line="276" w:lineRule="auto"/>
        <w:ind w:firstLine="480"/>
        <w:rPr>
          <w:rFonts w:hint="eastAsia" w:ascii="宋体" w:hAnsi="宋体" w:eastAsia="宋体"/>
          <w:sz w:val="24"/>
          <w:szCs w:val="24"/>
        </w:rPr>
      </w:pPr>
      <w:r>
        <w:rPr>
          <w:rFonts w:hint="eastAsia" w:ascii="宋体" w:hAnsi="宋体" w:eastAsia="宋体"/>
          <w:sz w:val="24"/>
          <w:szCs w:val="24"/>
        </w:rPr>
        <w:t>队员在岗情况：查看执法管理人员在岗人数和在岗率。</w:t>
      </w:r>
    </w:p>
    <w:p w14:paraId="13BA94D9">
      <w:pPr>
        <w:spacing w:line="276" w:lineRule="auto"/>
        <w:ind w:firstLine="480"/>
        <w:rPr>
          <w:rFonts w:hint="eastAsia" w:ascii="宋体" w:hAnsi="宋体" w:eastAsia="宋体"/>
          <w:sz w:val="24"/>
          <w:szCs w:val="24"/>
        </w:rPr>
      </w:pPr>
      <w:r>
        <w:rPr>
          <w:rFonts w:hint="eastAsia" w:ascii="宋体" w:hAnsi="宋体" w:eastAsia="宋体"/>
          <w:sz w:val="24"/>
          <w:szCs w:val="24"/>
        </w:rPr>
        <w:t>个人信息：查看执法管理人员基础信息、问题上报、问题处理信息。</w:t>
      </w:r>
    </w:p>
    <w:p w14:paraId="40A6FDD7">
      <w:pPr>
        <w:spacing w:line="276" w:lineRule="auto"/>
        <w:ind w:firstLine="480"/>
        <w:rPr>
          <w:rFonts w:hint="eastAsia" w:ascii="宋体" w:hAnsi="宋体" w:eastAsia="宋体"/>
          <w:sz w:val="24"/>
          <w:szCs w:val="24"/>
        </w:rPr>
      </w:pPr>
      <w:r>
        <w:rPr>
          <w:rFonts w:hint="eastAsia" w:ascii="宋体" w:hAnsi="宋体" w:eastAsia="宋体"/>
          <w:sz w:val="24"/>
          <w:szCs w:val="24"/>
        </w:rPr>
        <w:t>脱岗提醒：执法管理人员脱离责任网格时自动报警。</w:t>
      </w:r>
    </w:p>
    <w:p w14:paraId="67208629">
      <w:pPr>
        <w:spacing w:line="276" w:lineRule="auto"/>
        <w:ind w:firstLine="480"/>
        <w:rPr>
          <w:rFonts w:hint="eastAsia" w:ascii="宋体" w:hAnsi="宋体" w:eastAsia="宋体"/>
          <w:sz w:val="24"/>
          <w:szCs w:val="24"/>
        </w:rPr>
      </w:pPr>
      <w:r>
        <w:rPr>
          <w:rFonts w:hint="eastAsia" w:ascii="宋体" w:hAnsi="宋体" w:eastAsia="宋体"/>
          <w:sz w:val="24"/>
          <w:szCs w:val="24"/>
        </w:rPr>
        <w:t>视频对接：一键调阅执法管理人员的执法记录仪视频，查看执法、巡查现场。</w:t>
      </w:r>
    </w:p>
    <w:p w14:paraId="732291CE">
      <w:pPr>
        <w:spacing w:line="276" w:lineRule="auto"/>
        <w:ind w:firstLine="480"/>
        <w:rPr>
          <w:rFonts w:hint="eastAsia" w:ascii="宋体" w:hAnsi="宋体" w:eastAsia="宋体"/>
          <w:sz w:val="24"/>
          <w:szCs w:val="24"/>
        </w:rPr>
      </w:pPr>
      <w:r>
        <w:rPr>
          <w:rFonts w:hint="eastAsia" w:ascii="宋体" w:hAnsi="宋体" w:eastAsia="宋体"/>
          <w:sz w:val="24"/>
          <w:szCs w:val="24"/>
        </w:rPr>
        <w:t>轨迹调阅：播放在地图上的轨迹，可查看执法管理</w:t>
      </w:r>
      <w:r>
        <w:rPr>
          <w:rFonts w:ascii="宋体" w:hAnsi="宋体" w:eastAsia="宋体"/>
          <w:sz w:val="24"/>
          <w:szCs w:val="24"/>
        </w:rPr>
        <w:tab/>
      </w:r>
      <w:r>
        <w:rPr>
          <w:rFonts w:ascii="宋体" w:hAnsi="宋体" w:eastAsia="宋体"/>
          <w:sz w:val="24"/>
          <w:szCs w:val="24"/>
        </w:rPr>
        <w:t>人员在不同时间段内的不同行为，控制执法管理人员</w:t>
      </w:r>
      <w:r>
        <w:rPr>
          <w:rFonts w:ascii="宋体" w:hAnsi="宋体" w:eastAsia="宋体"/>
          <w:sz w:val="24"/>
          <w:szCs w:val="24"/>
        </w:rPr>
        <w:tab/>
      </w:r>
      <w:r>
        <w:rPr>
          <w:rFonts w:ascii="宋体" w:hAnsi="宋体" w:eastAsia="宋体"/>
          <w:sz w:val="24"/>
          <w:szCs w:val="24"/>
        </w:rPr>
        <w:t>运行轨迹播放速度、开始时间和结束时间。</w:t>
      </w:r>
    </w:p>
    <w:p w14:paraId="7F33A1B3">
      <w:pPr>
        <w:spacing w:line="276" w:lineRule="auto"/>
        <w:ind w:firstLine="480"/>
        <w:rPr>
          <w:rFonts w:hint="eastAsia" w:ascii="宋体" w:hAnsi="宋体" w:eastAsia="宋体"/>
          <w:sz w:val="24"/>
          <w:szCs w:val="24"/>
        </w:rPr>
      </w:pPr>
      <w:r>
        <w:rPr>
          <w:rFonts w:hint="eastAsia" w:ascii="宋体" w:hAnsi="宋体" w:eastAsia="宋体"/>
          <w:sz w:val="24"/>
          <w:szCs w:val="24"/>
        </w:rPr>
        <w:t>异常报警：执法管理人员行为出现异常时，如长时间位置不变就会进行告警。</w:t>
      </w:r>
    </w:p>
    <w:p w14:paraId="62119BD2">
      <w:pPr>
        <w:pStyle w:val="8"/>
        <w:rPr>
          <w:rFonts w:hint="eastAsia"/>
          <w:b w:val="0"/>
          <w:bCs w:val="0"/>
        </w:rPr>
      </w:pPr>
      <w:r>
        <w:rPr>
          <w:rFonts w:hint="eastAsia"/>
          <w:b w:val="0"/>
          <w:bCs w:val="0"/>
        </w:rPr>
        <w:t>市政公用</w:t>
      </w:r>
      <w:bookmarkEnd w:id="303"/>
      <w:r>
        <w:rPr>
          <w:rFonts w:hint="eastAsia"/>
          <w:b w:val="0"/>
          <w:bCs w:val="0"/>
        </w:rPr>
        <w:t>分析研判</w:t>
      </w:r>
      <w:bookmarkEnd w:id="309"/>
    </w:p>
    <w:p w14:paraId="05B07697">
      <w:pPr>
        <w:spacing w:line="276" w:lineRule="auto"/>
        <w:ind w:firstLine="480"/>
        <w:rPr>
          <w:rFonts w:hint="eastAsia" w:ascii="宋体" w:hAnsi="宋体" w:eastAsia="宋体"/>
          <w:sz w:val="24"/>
          <w:szCs w:val="24"/>
        </w:rPr>
      </w:pPr>
      <w:r>
        <w:rPr>
          <w:rFonts w:hint="eastAsia" w:ascii="宋体" w:hAnsi="宋体" w:eastAsia="宋体"/>
          <w:sz w:val="24"/>
          <w:szCs w:val="24"/>
        </w:rPr>
        <w:t>汇聚市政公用数据，包括市政概况、市政地图、运行指标、监测设备、城市生命线数据等，直观呈现市政公用的基本情况和运行情况。</w:t>
      </w:r>
    </w:p>
    <w:p w14:paraId="4DF179C0">
      <w:pPr>
        <w:spacing w:line="276" w:lineRule="auto"/>
        <w:ind w:firstLine="480"/>
        <w:rPr>
          <w:rFonts w:hint="eastAsia" w:ascii="宋体" w:hAnsi="宋体" w:eastAsia="宋体"/>
          <w:sz w:val="24"/>
          <w:szCs w:val="24"/>
        </w:rPr>
      </w:pPr>
      <w:r>
        <w:rPr>
          <w:rFonts w:ascii="宋体" w:hAnsi="宋体" w:eastAsia="宋体"/>
          <w:sz w:val="24"/>
          <w:szCs w:val="24"/>
        </w:rPr>
        <w:t>市政概况</w:t>
      </w:r>
      <w:r>
        <w:rPr>
          <w:rFonts w:hint="eastAsia" w:ascii="宋体" w:hAnsi="宋体" w:eastAsia="宋体"/>
          <w:sz w:val="24"/>
          <w:szCs w:val="24"/>
        </w:rPr>
        <w:t>：展示市政设施的总体情况</w:t>
      </w:r>
      <w:r>
        <w:rPr>
          <w:rFonts w:ascii="宋体" w:hAnsi="宋体" w:eastAsia="宋体"/>
          <w:sz w:val="24"/>
          <w:szCs w:val="24"/>
        </w:rPr>
        <w:t>,主要包括以下内容:</w:t>
      </w:r>
      <w:r>
        <w:rPr>
          <w:rFonts w:hint="eastAsia" w:ascii="宋体" w:hAnsi="宋体" w:eastAsia="宋体"/>
          <w:sz w:val="24"/>
          <w:szCs w:val="24"/>
        </w:rPr>
        <w:t>道路、排水、桥梁、燃气等。</w:t>
      </w:r>
    </w:p>
    <w:p w14:paraId="2B702D29">
      <w:pPr>
        <w:spacing w:line="276" w:lineRule="auto"/>
        <w:ind w:firstLine="480"/>
        <w:rPr>
          <w:rFonts w:hint="eastAsia" w:ascii="宋体" w:hAnsi="宋体" w:eastAsia="宋体"/>
          <w:sz w:val="24"/>
          <w:szCs w:val="24"/>
        </w:rPr>
      </w:pPr>
      <w:r>
        <w:rPr>
          <w:rFonts w:hint="eastAsia" w:ascii="宋体" w:hAnsi="宋体" w:eastAsia="宋体"/>
          <w:sz w:val="24"/>
          <w:szCs w:val="24"/>
        </w:rPr>
        <w:t>市政地图：集中在地图上展示市政各专题图层，如道路、桥梁、隧道等。</w:t>
      </w:r>
    </w:p>
    <w:p w14:paraId="4D5CF430">
      <w:pPr>
        <w:spacing w:line="276" w:lineRule="auto"/>
        <w:ind w:firstLine="480"/>
        <w:rPr>
          <w:rFonts w:hint="eastAsia" w:ascii="宋体" w:hAnsi="宋体" w:eastAsia="宋体"/>
          <w:sz w:val="24"/>
          <w:szCs w:val="24"/>
        </w:rPr>
      </w:pPr>
      <w:r>
        <w:rPr>
          <w:rFonts w:ascii="宋体" w:hAnsi="宋体" w:eastAsia="宋体"/>
          <w:sz w:val="24"/>
          <w:szCs w:val="24"/>
        </w:rPr>
        <w:t>运行指标</w:t>
      </w:r>
      <w:r>
        <w:rPr>
          <w:rFonts w:hint="eastAsia" w:ascii="宋体" w:hAnsi="宋体" w:eastAsia="宋体"/>
          <w:sz w:val="24"/>
          <w:szCs w:val="24"/>
        </w:rPr>
        <w:t>：综合展示各市政设施的运行情况，如在修道路数量、在建工程数等。</w:t>
      </w:r>
    </w:p>
    <w:p w14:paraId="1D0D1EE5">
      <w:pPr>
        <w:spacing w:line="276" w:lineRule="auto"/>
        <w:ind w:firstLine="480"/>
        <w:rPr>
          <w:rFonts w:hint="eastAsia" w:ascii="宋体" w:hAnsi="宋体" w:eastAsia="宋体"/>
          <w:sz w:val="24"/>
          <w:szCs w:val="24"/>
        </w:rPr>
      </w:pPr>
      <w:r>
        <w:rPr>
          <w:rFonts w:ascii="宋体" w:hAnsi="宋体" w:eastAsia="宋体"/>
          <w:sz w:val="24"/>
          <w:szCs w:val="24"/>
        </w:rPr>
        <w:t>物联设备</w:t>
      </w:r>
      <w:r>
        <w:rPr>
          <w:rFonts w:hint="eastAsia" w:ascii="宋体" w:hAnsi="宋体" w:eastAsia="宋体"/>
          <w:sz w:val="24"/>
          <w:szCs w:val="24"/>
        </w:rPr>
        <w:t>：综合展示市政物联设备总体概况，包括物联设备总数和告警数。</w:t>
      </w:r>
    </w:p>
    <w:p w14:paraId="1B77BF18">
      <w:pPr>
        <w:spacing w:line="276" w:lineRule="auto"/>
        <w:ind w:firstLine="480"/>
        <w:rPr>
          <w:rFonts w:hint="eastAsia" w:ascii="宋体" w:hAnsi="宋体" w:eastAsia="宋体"/>
          <w:sz w:val="24"/>
          <w:szCs w:val="24"/>
        </w:rPr>
      </w:pPr>
      <w:r>
        <w:rPr>
          <w:rFonts w:ascii="宋体" w:hAnsi="宋体" w:eastAsia="宋体"/>
          <w:sz w:val="24"/>
          <w:szCs w:val="24"/>
        </w:rPr>
        <w:t>最新</w:t>
      </w:r>
      <w:r>
        <w:rPr>
          <w:rFonts w:hint="eastAsia" w:ascii="宋体" w:hAnsi="宋体" w:eastAsia="宋体"/>
          <w:sz w:val="24"/>
          <w:szCs w:val="24"/>
        </w:rPr>
        <w:t>告警：展示各市政物联设备最新告警情况。</w:t>
      </w:r>
    </w:p>
    <w:p w14:paraId="3F16BC7B">
      <w:pPr>
        <w:pStyle w:val="8"/>
        <w:rPr>
          <w:rFonts w:hint="eastAsia"/>
          <w:b w:val="0"/>
          <w:bCs w:val="0"/>
        </w:rPr>
      </w:pPr>
      <w:bookmarkStart w:id="310" w:name="_Toc64887321"/>
      <w:bookmarkStart w:id="311" w:name="_Toc45117768"/>
      <w:bookmarkStart w:id="312" w:name="_Toc138067511"/>
      <w:r>
        <w:rPr>
          <w:rFonts w:hint="eastAsia"/>
          <w:b w:val="0"/>
          <w:bCs w:val="0"/>
        </w:rPr>
        <w:t>园林</w:t>
      </w:r>
      <w:r>
        <w:rPr>
          <w:rFonts w:hint="eastAsia"/>
          <w:b w:val="0"/>
        </w:rPr>
        <w:t>绿化</w:t>
      </w:r>
      <w:bookmarkEnd w:id="310"/>
      <w:bookmarkEnd w:id="311"/>
      <w:r>
        <w:rPr>
          <w:rFonts w:hint="eastAsia"/>
          <w:b w:val="0"/>
          <w:bCs w:val="0"/>
        </w:rPr>
        <w:t>分析研判</w:t>
      </w:r>
      <w:bookmarkEnd w:id="312"/>
    </w:p>
    <w:p w14:paraId="46015FD4">
      <w:pPr>
        <w:spacing w:line="276" w:lineRule="auto"/>
        <w:ind w:firstLine="480"/>
        <w:rPr>
          <w:rFonts w:hint="eastAsia" w:ascii="宋体" w:hAnsi="宋体" w:eastAsia="宋体"/>
          <w:sz w:val="24"/>
          <w:szCs w:val="24"/>
        </w:rPr>
      </w:pPr>
      <w:r>
        <w:rPr>
          <w:rFonts w:hint="eastAsia" w:ascii="宋体" w:hAnsi="宋体" w:eastAsia="宋体"/>
          <w:sz w:val="24"/>
          <w:szCs w:val="24"/>
        </w:rPr>
        <w:t>汇聚园林绿化数据，包括绿地、公园、古树名木、园林绿化案件等，直观呈现园林绿化的基本情况和运行情况。</w:t>
      </w:r>
    </w:p>
    <w:p w14:paraId="3816CCA4">
      <w:pPr>
        <w:spacing w:line="276" w:lineRule="auto"/>
        <w:ind w:firstLine="480"/>
        <w:rPr>
          <w:rFonts w:hint="eastAsia" w:ascii="宋体" w:hAnsi="宋体" w:eastAsia="宋体"/>
          <w:sz w:val="24"/>
          <w:szCs w:val="24"/>
        </w:rPr>
      </w:pPr>
      <w:r>
        <w:rPr>
          <w:rFonts w:hint="eastAsia" w:ascii="宋体" w:hAnsi="宋体" w:eastAsia="宋体"/>
          <w:sz w:val="24"/>
          <w:szCs w:val="24"/>
        </w:rPr>
        <w:t>总体概览：展示园林绿化的总体情况，如绿化覆盖率、绿地率、人均公园面积等。</w:t>
      </w:r>
    </w:p>
    <w:p w14:paraId="39864F70">
      <w:pPr>
        <w:spacing w:line="276" w:lineRule="auto"/>
        <w:ind w:firstLine="480"/>
        <w:rPr>
          <w:rFonts w:hint="eastAsia" w:ascii="宋体" w:hAnsi="宋体" w:eastAsia="宋体"/>
          <w:sz w:val="24"/>
          <w:szCs w:val="24"/>
        </w:rPr>
      </w:pPr>
      <w:r>
        <w:rPr>
          <w:rFonts w:hint="eastAsia" w:ascii="宋体" w:hAnsi="宋体" w:eastAsia="宋体"/>
          <w:sz w:val="24"/>
          <w:szCs w:val="24"/>
        </w:rPr>
        <w:t>基础设施：展示园林绿化的基础情况，如绿地数、公园数、古树名木数等。</w:t>
      </w:r>
    </w:p>
    <w:p w14:paraId="6A91F47C">
      <w:pPr>
        <w:spacing w:line="276" w:lineRule="auto"/>
        <w:ind w:firstLine="480"/>
        <w:rPr>
          <w:rFonts w:hint="eastAsia" w:ascii="宋体" w:hAnsi="宋体" w:eastAsia="宋体"/>
          <w:sz w:val="24"/>
          <w:szCs w:val="24"/>
        </w:rPr>
      </w:pPr>
      <w:r>
        <w:rPr>
          <w:rFonts w:hint="eastAsia" w:ascii="宋体" w:hAnsi="宋体" w:eastAsia="宋体"/>
          <w:sz w:val="24"/>
          <w:szCs w:val="24"/>
        </w:rPr>
        <w:t>园林地图：将园林绿化和地图结合起来进行展示。</w:t>
      </w:r>
    </w:p>
    <w:p w14:paraId="52942229">
      <w:pPr>
        <w:spacing w:line="276" w:lineRule="auto"/>
        <w:ind w:firstLine="480"/>
        <w:rPr>
          <w:rFonts w:hint="eastAsia" w:ascii="宋体" w:hAnsi="宋体" w:eastAsia="宋体"/>
          <w:sz w:val="24"/>
          <w:szCs w:val="24"/>
        </w:rPr>
      </w:pPr>
      <w:r>
        <w:rPr>
          <w:rFonts w:hint="eastAsia" w:ascii="宋体" w:hAnsi="宋体" w:eastAsia="宋体"/>
          <w:sz w:val="24"/>
          <w:szCs w:val="24"/>
        </w:rPr>
        <w:t>园林详情：查看园林绿化的具体详情，包括位置、面积、照片等。</w:t>
      </w:r>
    </w:p>
    <w:p w14:paraId="4CE6C536">
      <w:pPr>
        <w:spacing w:line="276" w:lineRule="auto"/>
        <w:ind w:firstLine="480"/>
        <w:rPr>
          <w:rFonts w:hint="eastAsia" w:ascii="宋体" w:hAnsi="宋体" w:eastAsia="宋体"/>
          <w:sz w:val="24"/>
          <w:szCs w:val="24"/>
        </w:rPr>
      </w:pPr>
      <w:r>
        <w:rPr>
          <w:rFonts w:hint="eastAsia" w:ascii="宋体" w:hAnsi="宋体" w:eastAsia="宋体"/>
          <w:sz w:val="24"/>
          <w:szCs w:val="24"/>
        </w:rPr>
        <w:t>园林案件：查看园林绿化相关的案件及处置情况。</w:t>
      </w:r>
    </w:p>
    <w:bookmarkEnd w:id="304"/>
    <w:p w14:paraId="5C16E74C">
      <w:pPr>
        <w:spacing w:line="276" w:lineRule="auto"/>
        <w:ind w:firstLine="480"/>
        <w:rPr>
          <w:rFonts w:hint="eastAsia" w:ascii="宋体" w:hAnsi="宋体" w:eastAsia="宋体"/>
          <w:sz w:val="24"/>
          <w:szCs w:val="24"/>
        </w:rPr>
      </w:pPr>
      <w:bookmarkStart w:id="313" w:name="_Toc64887323"/>
      <w:r>
        <w:rPr>
          <w:rFonts w:hint="eastAsia" w:ascii="宋体" w:hAnsi="宋体" w:eastAsia="宋体"/>
          <w:sz w:val="24"/>
          <w:szCs w:val="24"/>
        </w:rPr>
        <w:t>c</w:t>
      </w:r>
      <w:r>
        <w:rPr>
          <w:rFonts w:ascii="宋体" w:hAnsi="宋体" w:eastAsia="宋体"/>
          <w:sz w:val="24"/>
          <w:szCs w:val="24"/>
        </w:rPr>
        <w:t>.</w:t>
      </w:r>
      <w:r>
        <w:rPr>
          <w:rFonts w:hint="eastAsia" w:ascii="宋体" w:hAnsi="宋体" w:eastAsia="宋体"/>
          <w:sz w:val="24"/>
          <w:szCs w:val="24"/>
        </w:rPr>
        <w:t>综合执法专题</w:t>
      </w:r>
      <w:bookmarkEnd w:id="313"/>
    </w:p>
    <w:p w14:paraId="4DC8BD6F">
      <w:pPr>
        <w:spacing w:line="276" w:lineRule="auto"/>
        <w:ind w:firstLine="480"/>
        <w:rPr>
          <w:rFonts w:hint="eastAsia" w:ascii="宋体" w:hAnsi="宋体" w:eastAsia="宋体"/>
          <w:sz w:val="24"/>
          <w:szCs w:val="24"/>
        </w:rPr>
      </w:pPr>
      <w:bookmarkStart w:id="314" w:name="_Toc64887324"/>
      <w:r>
        <w:rPr>
          <w:rFonts w:hint="eastAsia" w:ascii="宋体" w:hAnsi="宋体" w:eastAsia="宋体"/>
          <w:sz w:val="24"/>
          <w:szCs w:val="24"/>
        </w:rPr>
        <w:t>执法人员、执法车辆的基础和动态监督信息（定位、轨迹等）、案卷数量、案件类型、案件区域等，在大屏进行集中展示。</w:t>
      </w:r>
    </w:p>
    <w:p w14:paraId="455D636E">
      <w:pPr>
        <w:spacing w:line="276" w:lineRule="auto"/>
        <w:ind w:firstLine="480"/>
        <w:rPr>
          <w:rFonts w:hint="eastAsia" w:ascii="宋体" w:hAnsi="宋体" w:eastAsia="宋体"/>
          <w:sz w:val="24"/>
          <w:szCs w:val="24"/>
        </w:rPr>
      </w:pPr>
      <w:r>
        <w:rPr>
          <w:rFonts w:hint="eastAsia" w:ascii="宋体" w:hAnsi="宋体" w:eastAsia="宋体"/>
          <w:sz w:val="24"/>
          <w:szCs w:val="24"/>
        </w:rPr>
        <w:t>执法人员：执法人员基础信息、定位轨迹、责任网格。</w:t>
      </w:r>
    </w:p>
    <w:p w14:paraId="1E2EEA83">
      <w:pPr>
        <w:spacing w:line="276" w:lineRule="auto"/>
        <w:ind w:firstLine="480"/>
        <w:rPr>
          <w:rFonts w:hint="eastAsia" w:ascii="宋体" w:hAnsi="宋体" w:eastAsia="宋体"/>
          <w:sz w:val="24"/>
          <w:szCs w:val="24"/>
        </w:rPr>
      </w:pPr>
      <w:r>
        <w:rPr>
          <w:rFonts w:hint="eastAsia" w:ascii="宋体" w:hAnsi="宋体" w:eastAsia="宋体"/>
          <w:sz w:val="24"/>
          <w:szCs w:val="24"/>
        </w:rPr>
        <w:t>执法车辆：执法车辆基础信息、定位轨迹、巡查网格。</w:t>
      </w:r>
    </w:p>
    <w:p w14:paraId="0E4D7F6A">
      <w:pPr>
        <w:spacing w:line="276" w:lineRule="auto"/>
        <w:ind w:firstLine="480"/>
        <w:rPr>
          <w:rFonts w:hint="eastAsia" w:ascii="宋体" w:hAnsi="宋体" w:eastAsia="宋体"/>
          <w:sz w:val="24"/>
          <w:szCs w:val="24"/>
        </w:rPr>
      </w:pPr>
      <w:r>
        <w:rPr>
          <w:rFonts w:hint="eastAsia" w:ascii="宋体" w:hAnsi="宋体" w:eastAsia="宋体"/>
          <w:sz w:val="24"/>
          <w:szCs w:val="24"/>
        </w:rPr>
        <w:t>视频播放：执法记录仪、巡查车辆、固定点视频、渣土相关监控。</w:t>
      </w:r>
    </w:p>
    <w:p w14:paraId="000DCDB2">
      <w:pPr>
        <w:spacing w:line="276" w:lineRule="auto"/>
        <w:ind w:firstLine="480"/>
        <w:rPr>
          <w:rFonts w:hint="eastAsia" w:ascii="宋体" w:hAnsi="宋体" w:eastAsia="宋体"/>
          <w:sz w:val="24"/>
          <w:szCs w:val="24"/>
        </w:rPr>
      </w:pPr>
      <w:r>
        <w:rPr>
          <w:rFonts w:hint="eastAsia" w:ascii="宋体" w:hAnsi="宋体" w:eastAsia="宋体"/>
          <w:sz w:val="24"/>
          <w:szCs w:val="24"/>
        </w:rPr>
        <w:t>执法案件：巡查上报、案卷统计、来源分析、实时案卷、高发问题、重点区域。</w:t>
      </w:r>
    </w:p>
    <w:p w14:paraId="00A1CAC5">
      <w:pPr>
        <w:spacing w:line="276" w:lineRule="auto"/>
        <w:ind w:firstLine="480"/>
        <w:rPr>
          <w:rFonts w:hint="eastAsia" w:ascii="宋体" w:hAnsi="宋体" w:eastAsia="宋体"/>
          <w:sz w:val="24"/>
          <w:szCs w:val="24"/>
        </w:rPr>
      </w:pPr>
      <w:r>
        <w:rPr>
          <w:rFonts w:hint="eastAsia" w:ascii="宋体" w:hAnsi="宋体" w:eastAsia="宋体"/>
          <w:sz w:val="24"/>
          <w:szCs w:val="24"/>
        </w:rPr>
        <w:t>智能识别：识别数、上报数、立案数、识别率、实时识别、识别类型。</w:t>
      </w:r>
    </w:p>
    <w:p w14:paraId="5DE99BFF">
      <w:pPr>
        <w:spacing w:line="276" w:lineRule="auto"/>
        <w:ind w:firstLine="480"/>
        <w:rPr>
          <w:rFonts w:hint="eastAsia" w:ascii="宋体" w:hAnsi="宋体" w:eastAsia="宋体"/>
          <w:sz w:val="24"/>
          <w:szCs w:val="24"/>
        </w:rPr>
      </w:pPr>
      <w:r>
        <w:rPr>
          <w:rFonts w:hint="eastAsia" w:ascii="宋体" w:hAnsi="宋体" w:eastAsia="宋体"/>
          <w:sz w:val="24"/>
          <w:szCs w:val="24"/>
        </w:rPr>
        <w:t>任务统计：下发任务、当前任务、任务进度。</w:t>
      </w:r>
    </w:p>
    <w:bookmarkEnd w:id="314"/>
    <w:p w14:paraId="5D6D1699">
      <w:pPr>
        <w:spacing w:line="276" w:lineRule="auto"/>
        <w:ind w:firstLine="480"/>
        <w:rPr>
          <w:rFonts w:hint="eastAsia" w:ascii="宋体" w:hAnsi="宋体" w:eastAsia="宋体"/>
          <w:sz w:val="24"/>
          <w:szCs w:val="24"/>
        </w:rPr>
      </w:pPr>
      <w:bookmarkStart w:id="315" w:name="_Toc64887325"/>
      <w:r>
        <w:rPr>
          <w:rFonts w:hint="eastAsia" w:ascii="宋体" w:hAnsi="宋体" w:eastAsia="宋体"/>
          <w:sz w:val="24"/>
          <w:szCs w:val="24"/>
        </w:rPr>
        <w:t>d</w:t>
      </w:r>
      <w:r>
        <w:rPr>
          <w:rFonts w:ascii="宋体" w:hAnsi="宋体" w:eastAsia="宋体"/>
          <w:sz w:val="24"/>
          <w:szCs w:val="24"/>
        </w:rPr>
        <w:t>.</w:t>
      </w:r>
      <w:r>
        <w:rPr>
          <w:rFonts w:hint="eastAsia" w:ascii="宋体" w:hAnsi="宋体" w:eastAsia="宋体"/>
          <w:sz w:val="24"/>
          <w:szCs w:val="24"/>
        </w:rPr>
        <w:t>亮化广告专题</w:t>
      </w:r>
      <w:bookmarkEnd w:id="315"/>
    </w:p>
    <w:p w14:paraId="21F0AC25">
      <w:pPr>
        <w:spacing w:line="276" w:lineRule="auto"/>
        <w:ind w:firstLine="480"/>
        <w:rPr>
          <w:rFonts w:hint="eastAsia" w:ascii="宋体" w:hAnsi="宋体" w:eastAsia="宋体"/>
          <w:sz w:val="24"/>
          <w:szCs w:val="24"/>
        </w:rPr>
      </w:pPr>
      <w:bookmarkStart w:id="316" w:name="_Toc45117767"/>
      <w:r>
        <w:rPr>
          <w:rFonts w:hint="eastAsia" w:ascii="宋体" w:hAnsi="宋体" w:eastAsia="宋体"/>
          <w:sz w:val="24"/>
          <w:szCs w:val="24"/>
        </w:rPr>
        <w:t>对接盐城市城市楼宇亮化系统，获取楼宇亮化设备基础数据并展示。从广告店招信息管理系统获取广告店招基础数据、巡查数据，实现对亮化广告的综合监管。</w:t>
      </w:r>
    </w:p>
    <w:p w14:paraId="03855671">
      <w:pPr>
        <w:spacing w:line="276" w:lineRule="auto"/>
        <w:ind w:firstLine="480"/>
        <w:rPr>
          <w:rFonts w:hint="eastAsia" w:ascii="宋体" w:hAnsi="宋体" w:eastAsia="宋体"/>
          <w:sz w:val="24"/>
          <w:szCs w:val="24"/>
        </w:rPr>
      </w:pPr>
      <w:r>
        <w:rPr>
          <w:rFonts w:hint="eastAsia" w:ascii="宋体" w:hAnsi="宋体" w:eastAsia="宋体"/>
          <w:sz w:val="24"/>
          <w:szCs w:val="24"/>
        </w:rPr>
        <w:t>楼宇亮化：亮化设备总数、在线数、开关状态、亮化案件。</w:t>
      </w:r>
    </w:p>
    <w:p w14:paraId="1DC14CD7">
      <w:pPr>
        <w:spacing w:line="276" w:lineRule="auto"/>
        <w:ind w:firstLine="480"/>
        <w:rPr>
          <w:rFonts w:hint="eastAsia" w:ascii="宋体" w:hAnsi="宋体" w:eastAsia="宋体"/>
          <w:sz w:val="24"/>
          <w:szCs w:val="24"/>
        </w:rPr>
      </w:pPr>
      <w:r>
        <w:rPr>
          <w:rFonts w:hint="eastAsia" w:ascii="宋体" w:hAnsi="宋体" w:eastAsia="宋体"/>
          <w:sz w:val="24"/>
          <w:szCs w:val="24"/>
        </w:rPr>
        <w:t>户外广告：广告审批、广告档案、广告案件、倾斜监测、视频监控、超期提醒。</w:t>
      </w:r>
    </w:p>
    <w:bookmarkEnd w:id="316"/>
    <w:p w14:paraId="641A37AF">
      <w:pPr>
        <w:spacing w:line="276" w:lineRule="auto"/>
        <w:ind w:firstLine="480"/>
        <w:rPr>
          <w:rFonts w:hint="eastAsia" w:ascii="宋体" w:hAnsi="宋体" w:eastAsia="宋体"/>
          <w:sz w:val="24"/>
          <w:szCs w:val="24"/>
        </w:rPr>
      </w:pPr>
      <w:bookmarkStart w:id="317" w:name="_Toc64887326"/>
      <w:r>
        <w:rPr>
          <w:rFonts w:hint="eastAsia" w:ascii="宋体" w:hAnsi="宋体" w:eastAsia="宋体"/>
          <w:sz w:val="24"/>
          <w:szCs w:val="24"/>
        </w:rPr>
        <w:t>e</w:t>
      </w:r>
      <w:r>
        <w:rPr>
          <w:rFonts w:ascii="宋体" w:hAnsi="宋体" w:eastAsia="宋体"/>
          <w:sz w:val="24"/>
          <w:szCs w:val="24"/>
        </w:rPr>
        <w:t>.</w:t>
      </w:r>
      <w:r>
        <w:rPr>
          <w:rFonts w:hint="eastAsia" w:ascii="宋体" w:hAnsi="宋体" w:eastAsia="宋体"/>
          <w:sz w:val="24"/>
          <w:szCs w:val="24"/>
        </w:rPr>
        <w:t>共享单车专题</w:t>
      </w:r>
      <w:bookmarkEnd w:id="317"/>
    </w:p>
    <w:p w14:paraId="053ADEA3">
      <w:pPr>
        <w:spacing w:line="276" w:lineRule="auto"/>
        <w:ind w:firstLine="480"/>
        <w:rPr>
          <w:rFonts w:hint="eastAsia" w:ascii="宋体" w:hAnsi="宋体" w:eastAsia="宋体"/>
          <w:sz w:val="24"/>
          <w:szCs w:val="24"/>
        </w:rPr>
      </w:pPr>
      <w:r>
        <w:rPr>
          <w:rFonts w:hint="eastAsia" w:ascii="宋体" w:hAnsi="宋体" w:eastAsia="宋体"/>
          <w:sz w:val="24"/>
          <w:szCs w:val="24"/>
        </w:rPr>
        <w:t>通过对接盐城市现有共享单车企业系统，获取共享单车基础数据，从指挥协调系统中获取共享单车案件数据并展示，实现对共享单车的综合监管。</w:t>
      </w:r>
    </w:p>
    <w:p w14:paraId="1D3A08ED">
      <w:pPr>
        <w:spacing w:line="276" w:lineRule="auto"/>
        <w:ind w:firstLine="480"/>
        <w:rPr>
          <w:rFonts w:hint="eastAsia" w:ascii="宋体" w:hAnsi="宋体" w:eastAsia="宋体"/>
          <w:sz w:val="24"/>
          <w:szCs w:val="24"/>
        </w:rPr>
      </w:pPr>
      <w:r>
        <w:rPr>
          <w:rFonts w:hint="eastAsia" w:ascii="宋体" w:hAnsi="宋体" w:eastAsia="宋体"/>
          <w:sz w:val="24"/>
          <w:szCs w:val="24"/>
        </w:rPr>
        <w:t>基础数据：投放总量、</w:t>
      </w:r>
      <w:r>
        <w:rPr>
          <w:rFonts w:ascii="宋体" w:hAnsi="宋体" w:eastAsia="宋体"/>
          <w:sz w:val="24"/>
          <w:szCs w:val="24"/>
        </w:rPr>
        <w:t>地图分布</w:t>
      </w:r>
      <w:r>
        <w:rPr>
          <w:rFonts w:hint="eastAsia" w:ascii="宋体" w:hAnsi="宋体" w:eastAsia="宋体"/>
          <w:sz w:val="24"/>
          <w:szCs w:val="24"/>
        </w:rPr>
        <w:t>、活跃量。</w:t>
      </w:r>
    </w:p>
    <w:p w14:paraId="1B5843AF">
      <w:pPr>
        <w:spacing w:line="276" w:lineRule="auto"/>
        <w:ind w:firstLine="480"/>
        <w:rPr>
          <w:rFonts w:hint="eastAsia" w:ascii="宋体" w:hAnsi="宋体" w:eastAsia="宋体"/>
          <w:sz w:val="24"/>
          <w:szCs w:val="24"/>
        </w:rPr>
      </w:pPr>
      <w:r>
        <w:rPr>
          <w:rFonts w:hint="eastAsia" w:ascii="宋体" w:hAnsi="宋体" w:eastAsia="宋体"/>
          <w:sz w:val="24"/>
          <w:szCs w:val="24"/>
        </w:rPr>
        <w:t>区域分析：不活跃区域、</w:t>
      </w:r>
      <w:r>
        <w:rPr>
          <w:rFonts w:ascii="宋体" w:hAnsi="宋体" w:eastAsia="宋体"/>
          <w:sz w:val="24"/>
          <w:szCs w:val="24"/>
        </w:rPr>
        <w:t>高峰区域</w:t>
      </w:r>
      <w:r>
        <w:rPr>
          <w:rFonts w:hint="eastAsia" w:ascii="宋体" w:hAnsi="宋体" w:eastAsia="宋体"/>
          <w:sz w:val="24"/>
          <w:szCs w:val="24"/>
        </w:rPr>
        <w:t>。</w:t>
      </w:r>
    </w:p>
    <w:p w14:paraId="2995A72E">
      <w:pPr>
        <w:spacing w:line="276" w:lineRule="auto"/>
        <w:ind w:firstLine="480"/>
        <w:rPr>
          <w:rFonts w:hint="eastAsia" w:ascii="宋体" w:hAnsi="宋体" w:eastAsia="宋体"/>
          <w:sz w:val="24"/>
          <w:szCs w:val="24"/>
        </w:rPr>
      </w:pPr>
      <w:r>
        <w:rPr>
          <w:rFonts w:hint="eastAsia" w:ascii="宋体" w:hAnsi="宋体" w:eastAsia="宋体"/>
          <w:sz w:val="24"/>
          <w:szCs w:val="24"/>
        </w:rPr>
        <w:t>案件监控：最新案件、案件动态、处理进度。</w:t>
      </w:r>
    </w:p>
    <w:p w14:paraId="709D4E27">
      <w:pPr>
        <w:pStyle w:val="8"/>
        <w:rPr>
          <w:rFonts w:hint="eastAsia"/>
          <w:b w:val="0"/>
          <w:bCs w:val="0"/>
        </w:rPr>
      </w:pPr>
      <w:bookmarkStart w:id="318" w:name="_Toc138067512"/>
      <w:bookmarkStart w:id="319" w:name="_Toc64887247"/>
      <w:bookmarkStart w:id="320" w:name="_Toc62840967"/>
      <w:r>
        <w:rPr>
          <w:rFonts w:hint="eastAsia"/>
          <w:b w:val="0"/>
          <w:bCs w:val="0"/>
        </w:rPr>
        <w:t>亮化广告专题</w:t>
      </w:r>
      <w:bookmarkEnd w:id="318"/>
    </w:p>
    <w:p w14:paraId="032F1475">
      <w:pPr>
        <w:spacing w:line="276" w:lineRule="auto"/>
        <w:ind w:firstLine="480"/>
        <w:rPr>
          <w:rFonts w:hint="eastAsia" w:ascii="宋体" w:hAnsi="宋体" w:eastAsia="宋体"/>
          <w:sz w:val="24"/>
          <w:szCs w:val="24"/>
        </w:rPr>
      </w:pPr>
      <w:r>
        <w:rPr>
          <w:rFonts w:hint="eastAsia" w:ascii="宋体" w:hAnsi="宋体" w:eastAsia="宋体"/>
          <w:sz w:val="24"/>
          <w:szCs w:val="24"/>
        </w:rPr>
        <w:t>对接现有亮化平台，针对大丰区路灯管理目前存在的现状，采集与路灯相关的基础数据和业务运行数据，通过相关数据分析，提高路灯监管工作效率。</w:t>
      </w:r>
    </w:p>
    <w:p w14:paraId="12E99DC0">
      <w:pPr>
        <w:spacing w:line="276" w:lineRule="auto"/>
        <w:ind w:firstLine="480"/>
        <w:rPr>
          <w:rFonts w:hint="eastAsia" w:ascii="宋体" w:hAnsi="宋体" w:eastAsia="宋体"/>
          <w:sz w:val="24"/>
          <w:szCs w:val="24"/>
        </w:rPr>
      </w:pPr>
      <w:r>
        <w:rPr>
          <w:rFonts w:hint="eastAsia" w:ascii="宋体" w:hAnsi="宋体" w:eastAsia="宋体"/>
          <w:sz w:val="24"/>
          <w:szCs w:val="24"/>
        </w:rPr>
        <w:t>基础数据统计：店招标牌数、户外广告数、广告案件数。</w:t>
      </w:r>
    </w:p>
    <w:p w14:paraId="2062D8BE">
      <w:pPr>
        <w:spacing w:line="276" w:lineRule="auto"/>
        <w:ind w:firstLine="480"/>
        <w:rPr>
          <w:rFonts w:hint="eastAsia" w:ascii="宋体" w:hAnsi="宋体" w:eastAsia="宋体"/>
          <w:sz w:val="24"/>
          <w:szCs w:val="24"/>
        </w:rPr>
      </w:pPr>
      <w:r>
        <w:rPr>
          <w:rFonts w:hint="eastAsia" w:ascii="宋体" w:hAnsi="宋体" w:eastAsia="宋体"/>
          <w:sz w:val="24"/>
          <w:szCs w:val="24"/>
        </w:rPr>
        <w:t>区域分布数据：各区户外广告、楼宇亮化的占比情况。</w:t>
      </w:r>
    </w:p>
    <w:p w14:paraId="2FC816ED">
      <w:pPr>
        <w:spacing w:line="276" w:lineRule="auto"/>
        <w:ind w:firstLine="480"/>
        <w:rPr>
          <w:rFonts w:hint="eastAsia" w:ascii="宋体" w:hAnsi="宋体" w:eastAsia="宋体"/>
          <w:sz w:val="24"/>
          <w:szCs w:val="24"/>
        </w:rPr>
      </w:pPr>
      <w:r>
        <w:rPr>
          <w:rFonts w:hint="eastAsia" w:ascii="宋体" w:hAnsi="宋体" w:eastAsia="宋体"/>
          <w:sz w:val="24"/>
          <w:szCs w:val="24"/>
        </w:rPr>
        <w:t>数据审批统计：日办件数、月办件数。</w:t>
      </w:r>
    </w:p>
    <w:p w14:paraId="762E7396">
      <w:pPr>
        <w:spacing w:line="276" w:lineRule="auto"/>
        <w:ind w:firstLine="480"/>
        <w:rPr>
          <w:rFonts w:hint="eastAsia" w:ascii="宋体" w:hAnsi="宋体" w:eastAsia="宋体"/>
          <w:sz w:val="24"/>
          <w:szCs w:val="24"/>
        </w:rPr>
      </w:pPr>
      <w:r>
        <w:rPr>
          <w:rFonts w:hint="eastAsia" w:ascii="宋体" w:hAnsi="宋体" w:eastAsia="宋体"/>
          <w:sz w:val="24"/>
          <w:szCs w:val="24"/>
        </w:rPr>
        <w:t>强电：在线率、在线数、离线数。</w:t>
      </w:r>
    </w:p>
    <w:p w14:paraId="13FDB310">
      <w:pPr>
        <w:spacing w:line="276" w:lineRule="auto"/>
        <w:ind w:firstLine="480"/>
        <w:rPr>
          <w:rFonts w:hint="eastAsia" w:ascii="宋体" w:hAnsi="宋体" w:eastAsia="宋体"/>
          <w:sz w:val="24"/>
          <w:szCs w:val="24"/>
        </w:rPr>
      </w:pPr>
      <w:r>
        <w:rPr>
          <w:rFonts w:hint="eastAsia" w:ascii="宋体" w:hAnsi="宋体" w:eastAsia="宋体"/>
          <w:sz w:val="24"/>
          <w:szCs w:val="24"/>
        </w:rPr>
        <w:t>弱电：在线率、在线数、离线数。</w:t>
      </w:r>
    </w:p>
    <w:p w14:paraId="07F6C6E5">
      <w:pPr>
        <w:spacing w:line="276" w:lineRule="auto"/>
        <w:ind w:firstLine="480"/>
        <w:rPr>
          <w:rFonts w:hint="eastAsia" w:ascii="宋体" w:hAnsi="宋体" w:eastAsia="宋体"/>
          <w:sz w:val="24"/>
          <w:szCs w:val="24"/>
        </w:rPr>
      </w:pPr>
      <w:r>
        <w:rPr>
          <w:rFonts w:hint="eastAsia" w:ascii="宋体" w:hAnsi="宋体" w:eastAsia="宋体"/>
          <w:sz w:val="24"/>
          <w:szCs w:val="24"/>
        </w:rPr>
        <w:t>告警列表：展示相关电力告警情况。</w:t>
      </w:r>
    </w:p>
    <w:p w14:paraId="5A0248E5">
      <w:pPr>
        <w:spacing w:line="276" w:lineRule="auto"/>
        <w:ind w:firstLine="480"/>
        <w:rPr>
          <w:rFonts w:hint="eastAsia" w:ascii="宋体" w:hAnsi="宋体" w:eastAsia="宋体"/>
          <w:sz w:val="24"/>
          <w:szCs w:val="24"/>
        </w:rPr>
      </w:pPr>
      <w:r>
        <w:rPr>
          <w:rFonts w:hint="eastAsia" w:ascii="宋体" w:hAnsi="宋体" w:eastAsia="宋体"/>
          <w:sz w:val="24"/>
          <w:szCs w:val="24"/>
        </w:rPr>
        <w:t>视频资源：展示相关视频资源，支持播放。</w:t>
      </w:r>
    </w:p>
    <w:bookmarkEnd w:id="319"/>
    <w:bookmarkEnd w:id="320"/>
    <w:p w14:paraId="47CA644D">
      <w:pPr>
        <w:pStyle w:val="7"/>
        <w:rPr>
          <w:rFonts w:hint="eastAsia"/>
        </w:rPr>
      </w:pPr>
      <w:bookmarkStart w:id="321" w:name="_Toc138067515"/>
      <w:bookmarkStart w:id="322" w:name="_Toc28156"/>
      <w:r>
        <w:rPr>
          <w:rFonts w:hint="eastAsia"/>
        </w:rPr>
        <w:t>数据交换系统</w:t>
      </w:r>
      <w:bookmarkEnd w:id="321"/>
      <w:bookmarkEnd w:id="322"/>
    </w:p>
    <w:p w14:paraId="661E801E">
      <w:pPr>
        <w:spacing w:line="276" w:lineRule="auto"/>
        <w:ind w:firstLine="480"/>
        <w:rPr>
          <w:rFonts w:hint="eastAsia" w:ascii="宋体" w:hAnsi="宋体" w:eastAsia="宋体"/>
          <w:sz w:val="24"/>
          <w:szCs w:val="24"/>
        </w:rPr>
      </w:pPr>
      <w:r>
        <w:rPr>
          <w:rFonts w:hint="eastAsia" w:ascii="宋体" w:hAnsi="宋体" w:eastAsia="宋体"/>
          <w:sz w:val="24"/>
          <w:szCs w:val="24"/>
        </w:rPr>
        <w:t>按照统一的标准和规范，为支持跨部门、层级间信息共享以及业务协同而建设的数据接入服务体系。数据交换是将不同的业务系统的数据加载到数据仓库中，涉及数据抽取、数据转换、数据验证和数据推送等功能。</w:t>
      </w:r>
    </w:p>
    <w:p w14:paraId="07296FFE">
      <w:pPr>
        <w:spacing w:line="276" w:lineRule="auto"/>
        <w:ind w:firstLine="480"/>
        <w:rPr>
          <w:rFonts w:hint="eastAsia" w:ascii="宋体" w:hAnsi="宋体" w:eastAsia="宋体"/>
          <w:sz w:val="24"/>
          <w:szCs w:val="24"/>
        </w:rPr>
      </w:pPr>
      <w:r>
        <w:rPr>
          <w:rFonts w:hint="eastAsia" w:ascii="宋体" w:hAnsi="宋体" w:eastAsia="宋体"/>
          <w:sz w:val="24"/>
          <w:szCs w:val="24"/>
        </w:rPr>
        <w:t>数据交换系统包括接口服务发布、接口服务订阅、数据交换和接口状态监控等功能。</w:t>
      </w:r>
    </w:p>
    <w:p w14:paraId="58E69685">
      <w:pPr>
        <w:spacing w:line="276" w:lineRule="auto"/>
        <w:ind w:firstLine="480"/>
        <w:rPr>
          <w:rFonts w:hint="eastAsia" w:ascii="宋体" w:hAnsi="宋体" w:eastAsia="宋体"/>
          <w:sz w:val="24"/>
          <w:szCs w:val="24"/>
        </w:rPr>
      </w:pPr>
      <w:bookmarkStart w:id="323" w:name="_Toc138067516"/>
      <w:bookmarkStart w:id="324" w:name="_Toc64887194"/>
      <w:r>
        <w:rPr>
          <w:rFonts w:hint="eastAsia" w:ascii="宋体" w:hAnsi="宋体" w:eastAsia="宋体"/>
          <w:sz w:val="24"/>
          <w:szCs w:val="24"/>
        </w:rPr>
        <w:t>从指挥协调、行业应用、公众服务、运行监测、综合评价等系统，以及其他外部系统采集城市基础数据，运行、管理、服务和综合评价等数据，通过数据交换系统向国家平台、省级平台共享。</w:t>
      </w:r>
    </w:p>
    <w:p w14:paraId="2B66E960">
      <w:pPr>
        <w:pStyle w:val="8"/>
        <w:rPr>
          <w:rFonts w:hint="eastAsia"/>
          <w:b w:val="0"/>
          <w:bCs w:val="0"/>
        </w:rPr>
      </w:pPr>
      <w:r>
        <w:rPr>
          <w:b w:val="0"/>
        </w:rPr>
        <w:t>接口</w:t>
      </w:r>
      <w:r>
        <w:rPr>
          <w:b w:val="0"/>
          <w:bCs w:val="0"/>
        </w:rPr>
        <w:t>服务发布</w:t>
      </w:r>
      <w:bookmarkEnd w:id="323"/>
      <w:bookmarkEnd w:id="324"/>
    </w:p>
    <w:p w14:paraId="528BE4AF">
      <w:pPr>
        <w:spacing w:line="276" w:lineRule="auto"/>
        <w:ind w:firstLine="480"/>
        <w:rPr>
          <w:rFonts w:hint="eastAsia" w:ascii="宋体" w:hAnsi="宋体" w:eastAsia="宋体"/>
          <w:sz w:val="24"/>
          <w:szCs w:val="24"/>
        </w:rPr>
      </w:pPr>
      <w:r>
        <w:rPr>
          <w:rFonts w:hint="eastAsia" w:ascii="宋体" w:hAnsi="宋体" w:eastAsia="宋体"/>
          <w:sz w:val="24"/>
          <w:szCs w:val="24"/>
        </w:rPr>
        <w:t>针对平台的数据接口，提供对接口发布的功能。系统管理员可以对需要共享的数据进行服务发布。</w:t>
      </w:r>
    </w:p>
    <w:p w14:paraId="76D497E6">
      <w:pPr>
        <w:pStyle w:val="14"/>
        <w:rPr>
          <w:rFonts w:hint="eastAsia"/>
          <w:bCs w:val="0"/>
        </w:rPr>
      </w:pPr>
      <w:r>
        <w:rPr>
          <w:bCs w:val="0"/>
        </w:rPr>
        <w:t>API</w:t>
      </w:r>
      <w:r>
        <w:rPr>
          <w:rFonts w:hint="eastAsia"/>
          <w:bCs w:val="0"/>
        </w:rPr>
        <w:t>管理</w:t>
      </w:r>
    </w:p>
    <w:p w14:paraId="2A19AD5E">
      <w:pPr>
        <w:spacing w:line="276" w:lineRule="auto"/>
        <w:ind w:firstLine="480"/>
        <w:rPr>
          <w:rFonts w:hint="eastAsia" w:ascii="宋体" w:hAnsi="宋体" w:eastAsia="宋体"/>
          <w:sz w:val="24"/>
          <w:szCs w:val="24"/>
        </w:rPr>
      </w:pPr>
      <w:r>
        <w:rPr>
          <w:rFonts w:ascii="宋体" w:hAnsi="宋体" w:eastAsia="宋体"/>
          <w:sz w:val="24"/>
          <w:szCs w:val="24"/>
        </w:rPr>
        <w:t>API</w:t>
      </w:r>
      <w:r>
        <w:rPr>
          <w:rFonts w:hint="eastAsia" w:ascii="宋体" w:hAnsi="宋体" w:eastAsia="宋体"/>
          <w:sz w:val="24"/>
          <w:szCs w:val="24"/>
        </w:rPr>
        <w:t>管理</w:t>
      </w:r>
      <w:r>
        <w:rPr>
          <w:rFonts w:ascii="宋体" w:hAnsi="宋体" w:eastAsia="宋体"/>
          <w:sz w:val="24"/>
          <w:szCs w:val="24"/>
        </w:rPr>
        <w:t>实现数据共享平台中API接口的综合管理，直观展示各类API。提供API的管理、统计和查询等功能。</w:t>
      </w:r>
    </w:p>
    <w:p w14:paraId="3EEF83D3">
      <w:pPr>
        <w:pStyle w:val="14"/>
        <w:rPr>
          <w:rFonts w:hint="eastAsia"/>
          <w:bCs w:val="0"/>
        </w:rPr>
      </w:pPr>
      <w:r>
        <w:rPr>
          <w:bCs w:val="0"/>
        </w:rPr>
        <w:t>共享管理</w:t>
      </w:r>
    </w:p>
    <w:p w14:paraId="6C265661">
      <w:pPr>
        <w:spacing w:line="276" w:lineRule="auto"/>
        <w:ind w:firstLine="480"/>
        <w:rPr>
          <w:rFonts w:hint="eastAsia" w:ascii="宋体" w:hAnsi="宋体" w:eastAsia="宋体"/>
          <w:sz w:val="24"/>
          <w:szCs w:val="24"/>
        </w:rPr>
      </w:pPr>
      <w:r>
        <w:rPr>
          <w:rFonts w:hint="eastAsia" w:ascii="宋体" w:hAnsi="宋体" w:eastAsia="宋体"/>
          <w:sz w:val="24"/>
          <w:szCs w:val="24"/>
        </w:rPr>
        <w:t>数据资源共享主要指将汇集的数据资源以</w:t>
      </w:r>
      <w:r>
        <w:rPr>
          <w:rFonts w:ascii="宋体" w:hAnsi="宋体" w:eastAsia="宋体"/>
          <w:sz w:val="24"/>
          <w:szCs w:val="24"/>
        </w:rPr>
        <w:t>API接口的形式对外进行开放使用。共享管理主要针对对外发布的API服务进行管理，包括第三方应用申请API服务的状态（应用名称、密</w:t>
      </w:r>
      <w:r>
        <w:rPr>
          <w:rFonts w:hint="eastAsia" w:ascii="宋体" w:hAnsi="宋体" w:eastAsia="宋体" w:cs="宋体"/>
          <w:sz w:val="24"/>
          <w:szCs w:val="24"/>
        </w:rPr>
        <w:t>钥</w:t>
      </w:r>
      <w:r>
        <w:rPr>
          <w:rFonts w:hint="eastAsia" w:ascii="宋体" w:hAnsi="宋体" w:eastAsia="宋体" w:cs="___WRD_EMBED_SUB_46"/>
          <w:sz w:val="24"/>
          <w:szCs w:val="24"/>
        </w:rPr>
        <w:t>、授权状态等信息）。</w:t>
      </w:r>
    </w:p>
    <w:p w14:paraId="45A3E057">
      <w:pPr>
        <w:pStyle w:val="8"/>
        <w:rPr>
          <w:rFonts w:hint="eastAsia"/>
          <w:b w:val="0"/>
          <w:bCs w:val="0"/>
        </w:rPr>
      </w:pPr>
      <w:bookmarkStart w:id="325" w:name="_Toc138067517"/>
      <w:bookmarkStart w:id="326" w:name="_Toc64887195"/>
      <w:r>
        <w:rPr>
          <w:b w:val="0"/>
          <w:bCs w:val="0"/>
        </w:rPr>
        <w:t>接口服务订阅</w:t>
      </w:r>
      <w:bookmarkEnd w:id="325"/>
      <w:bookmarkEnd w:id="326"/>
    </w:p>
    <w:p w14:paraId="4346C13F">
      <w:pPr>
        <w:spacing w:line="276" w:lineRule="auto"/>
        <w:ind w:firstLine="480"/>
        <w:rPr>
          <w:rFonts w:hint="eastAsia" w:ascii="宋体" w:hAnsi="宋体" w:eastAsia="宋体"/>
          <w:sz w:val="24"/>
          <w:szCs w:val="24"/>
        </w:rPr>
      </w:pPr>
      <w:r>
        <w:rPr>
          <w:rFonts w:hint="eastAsia" w:ascii="宋体" w:hAnsi="宋体" w:eastAsia="宋体"/>
          <w:sz w:val="24"/>
          <w:szCs w:val="24"/>
        </w:rPr>
        <w:t>接口服务订阅主要根据平台应用的数据共享需求，由第三方应用提供数据接收地址，平台按照规定格式定期向其推送数据资源。</w:t>
      </w:r>
    </w:p>
    <w:p w14:paraId="1610DB2F">
      <w:pPr>
        <w:pStyle w:val="14"/>
        <w:rPr>
          <w:rFonts w:hint="eastAsia"/>
          <w:bCs w:val="0"/>
        </w:rPr>
      </w:pPr>
      <w:r>
        <w:rPr>
          <w:bCs w:val="0"/>
        </w:rPr>
        <w:t>订阅申请</w:t>
      </w:r>
    </w:p>
    <w:p w14:paraId="4DE8861D">
      <w:pPr>
        <w:spacing w:line="276" w:lineRule="auto"/>
        <w:ind w:firstLine="480"/>
        <w:rPr>
          <w:rFonts w:hint="eastAsia" w:ascii="宋体" w:hAnsi="宋体" w:eastAsia="宋体"/>
          <w:sz w:val="24"/>
          <w:szCs w:val="24"/>
        </w:rPr>
      </w:pPr>
      <w:r>
        <w:rPr>
          <w:rFonts w:hint="eastAsia" w:ascii="宋体" w:hAnsi="宋体" w:eastAsia="宋体"/>
          <w:sz w:val="24"/>
          <w:szCs w:val="24"/>
        </w:rPr>
        <w:t>接口服务订阅流程为：第三方应用提出交换申请，并提供数据接收地址与格式；资源提供方对订阅申请进行审核，设置必要的订阅属性，如：订阅处理组件等；经资源提供方审核通过后，启动数据信息订阅服务，定期推送数据资源。</w:t>
      </w:r>
    </w:p>
    <w:p w14:paraId="084CD6F0">
      <w:pPr>
        <w:pStyle w:val="14"/>
        <w:rPr>
          <w:rFonts w:hint="eastAsia"/>
          <w:bCs w:val="0"/>
        </w:rPr>
      </w:pPr>
      <w:r>
        <w:rPr>
          <w:bCs w:val="0"/>
        </w:rPr>
        <w:t>订阅</w:t>
      </w:r>
      <w:r>
        <w:rPr>
          <w:rFonts w:hint="eastAsia"/>
        </w:rPr>
        <w:t>查看</w:t>
      </w:r>
    </w:p>
    <w:p w14:paraId="6EAF6243">
      <w:pPr>
        <w:spacing w:line="276" w:lineRule="auto"/>
        <w:ind w:firstLine="480"/>
        <w:rPr>
          <w:rFonts w:hint="eastAsia" w:ascii="宋体" w:hAnsi="宋体" w:eastAsia="宋体"/>
          <w:sz w:val="24"/>
          <w:szCs w:val="24"/>
        </w:rPr>
      </w:pPr>
      <w:r>
        <w:rPr>
          <w:rFonts w:hint="eastAsia" w:ascii="宋体" w:hAnsi="宋体" w:eastAsia="宋体"/>
          <w:sz w:val="24"/>
          <w:szCs w:val="24"/>
        </w:rPr>
        <w:t>管理订阅的数据资源情况，提供条件检索功能，根据资源名称、授权状态等条件快速定位到已获取的订阅资源内容。</w:t>
      </w:r>
    </w:p>
    <w:p w14:paraId="14373F2D">
      <w:pPr>
        <w:pStyle w:val="14"/>
        <w:rPr>
          <w:rFonts w:hint="eastAsia"/>
          <w:bCs w:val="0"/>
        </w:rPr>
      </w:pPr>
      <w:r>
        <w:rPr>
          <w:bCs w:val="0"/>
        </w:rPr>
        <w:t>订阅审核</w:t>
      </w:r>
    </w:p>
    <w:p w14:paraId="6C4B300E">
      <w:pPr>
        <w:spacing w:line="276" w:lineRule="auto"/>
        <w:ind w:firstLine="480"/>
        <w:rPr>
          <w:rFonts w:hint="eastAsia" w:ascii="宋体" w:hAnsi="宋体" w:eastAsia="宋体"/>
          <w:sz w:val="24"/>
          <w:szCs w:val="24"/>
        </w:rPr>
      </w:pPr>
      <w:r>
        <w:rPr>
          <w:rFonts w:hint="eastAsia" w:ascii="宋体" w:hAnsi="宋体" w:eastAsia="宋体"/>
          <w:sz w:val="24"/>
          <w:szCs w:val="24"/>
        </w:rPr>
        <w:t>用于对审核订阅申请的操作人员进行授权。通过审核，即为向第三方应用提供的地址推送数据获取权限，被授权的第三方应用可进行资源订阅和请求操作。</w:t>
      </w:r>
    </w:p>
    <w:p w14:paraId="407B76B9">
      <w:pPr>
        <w:pStyle w:val="8"/>
        <w:rPr>
          <w:rFonts w:hint="eastAsia"/>
          <w:b w:val="0"/>
          <w:bCs w:val="0"/>
        </w:rPr>
      </w:pPr>
      <w:bookmarkStart w:id="327" w:name="_Toc64887196"/>
      <w:bookmarkStart w:id="328" w:name="_Toc138067518"/>
      <w:r>
        <w:rPr>
          <w:b w:val="0"/>
          <w:bCs w:val="0"/>
        </w:rPr>
        <w:t>接口状态监控</w:t>
      </w:r>
      <w:bookmarkEnd w:id="327"/>
      <w:bookmarkEnd w:id="328"/>
    </w:p>
    <w:p w14:paraId="2CF2AFF2">
      <w:pPr>
        <w:spacing w:line="276" w:lineRule="auto"/>
        <w:ind w:firstLine="480"/>
        <w:rPr>
          <w:rFonts w:hint="eastAsia" w:ascii="宋体" w:hAnsi="宋体" w:eastAsia="宋体"/>
          <w:sz w:val="24"/>
          <w:szCs w:val="24"/>
        </w:rPr>
      </w:pPr>
      <w:r>
        <w:rPr>
          <w:rFonts w:hint="eastAsia" w:ascii="宋体" w:hAnsi="宋体" w:eastAsia="宋体"/>
          <w:sz w:val="24"/>
          <w:szCs w:val="24"/>
        </w:rPr>
        <w:t>根据接口服务监控结果，支持对接口调用情况、热门调用情况、最新发布的接口等信息进行浏览，同时支持对接口进行检索。</w:t>
      </w:r>
    </w:p>
    <w:p w14:paraId="1E07CD33">
      <w:pPr>
        <w:pStyle w:val="14"/>
        <w:rPr>
          <w:rFonts w:hint="eastAsia"/>
          <w:bCs w:val="0"/>
        </w:rPr>
      </w:pPr>
      <w:r>
        <w:rPr>
          <w:bCs w:val="0"/>
        </w:rPr>
        <w:t>接口调用</w:t>
      </w:r>
      <w:r>
        <w:rPr>
          <w:rFonts w:hint="eastAsia"/>
        </w:rPr>
        <w:t>次数</w:t>
      </w:r>
      <w:r>
        <w:rPr>
          <w:bCs w:val="0"/>
        </w:rPr>
        <w:t>监控</w:t>
      </w:r>
    </w:p>
    <w:p w14:paraId="44EC0F9E">
      <w:pPr>
        <w:spacing w:line="276" w:lineRule="auto"/>
        <w:ind w:firstLine="480"/>
        <w:rPr>
          <w:rFonts w:hint="eastAsia" w:ascii="宋体" w:hAnsi="宋体" w:eastAsia="宋体"/>
          <w:sz w:val="24"/>
          <w:szCs w:val="24"/>
        </w:rPr>
      </w:pPr>
      <w:r>
        <w:rPr>
          <w:rFonts w:hint="eastAsia" w:ascii="宋体" w:hAnsi="宋体" w:eastAsia="宋体"/>
          <w:sz w:val="24"/>
          <w:szCs w:val="24"/>
        </w:rPr>
        <w:t>支持对指定接口服务访问量的统计数据进行实时查询，此功能只面向开放接口的用户。</w:t>
      </w:r>
    </w:p>
    <w:p w14:paraId="718584C3">
      <w:pPr>
        <w:pStyle w:val="14"/>
        <w:rPr>
          <w:rFonts w:hint="eastAsia"/>
          <w:bCs w:val="0"/>
        </w:rPr>
      </w:pPr>
      <w:r>
        <w:rPr>
          <w:bCs w:val="0"/>
        </w:rPr>
        <w:t>服务访问</w:t>
      </w:r>
      <w:r>
        <w:rPr>
          <w:rFonts w:hint="eastAsia"/>
        </w:rPr>
        <w:t>频率</w:t>
      </w:r>
      <w:r>
        <w:rPr>
          <w:bCs w:val="0"/>
        </w:rPr>
        <w:t>监控</w:t>
      </w:r>
    </w:p>
    <w:p w14:paraId="1EC73165">
      <w:pPr>
        <w:spacing w:line="276" w:lineRule="auto"/>
        <w:ind w:firstLine="480"/>
        <w:rPr>
          <w:rFonts w:hint="eastAsia" w:ascii="宋体" w:hAnsi="宋体" w:eastAsia="宋体"/>
          <w:sz w:val="24"/>
          <w:szCs w:val="24"/>
        </w:rPr>
      </w:pPr>
      <w:r>
        <w:rPr>
          <w:rFonts w:hint="eastAsia" w:ascii="宋体" w:hAnsi="宋体" w:eastAsia="宋体"/>
          <w:sz w:val="24"/>
          <w:szCs w:val="24"/>
        </w:rPr>
        <w:t>支持对指定接口服务访问频率的统计数据进行实时查询，此功能只面向开放接口的用户。用户针对指定接口的访问频率可以用于请求操作是否正常的依据，以及根据访问频率展示出热门访问的接口列表。</w:t>
      </w:r>
    </w:p>
    <w:p w14:paraId="71F06518">
      <w:pPr>
        <w:pStyle w:val="14"/>
        <w:rPr>
          <w:rFonts w:hint="eastAsia"/>
          <w:bCs w:val="0"/>
        </w:rPr>
      </w:pPr>
      <w:r>
        <w:rPr>
          <w:bCs w:val="0"/>
        </w:rPr>
        <w:t>服务发布监控</w:t>
      </w:r>
    </w:p>
    <w:p w14:paraId="186BD9EB">
      <w:pPr>
        <w:spacing w:line="276" w:lineRule="auto"/>
        <w:ind w:firstLine="480"/>
        <w:rPr>
          <w:rFonts w:hint="eastAsia" w:ascii="宋体" w:hAnsi="宋体" w:eastAsia="宋体"/>
          <w:sz w:val="24"/>
          <w:szCs w:val="24"/>
        </w:rPr>
      </w:pPr>
      <w:r>
        <w:rPr>
          <w:rFonts w:hint="eastAsia" w:ascii="宋体" w:hAnsi="宋体" w:eastAsia="宋体"/>
          <w:sz w:val="24"/>
          <w:szCs w:val="24"/>
        </w:rPr>
        <w:t>支持对接口服务的发布情况进行实时更新，展示最新发布的接口服务。</w:t>
      </w:r>
    </w:p>
    <w:p w14:paraId="2FBE5CBE">
      <w:pPr>
        <w:pStyle w:val="14"/>
        <w:rPr>
          <w:rFonts w:hint="eastAsia"/>
          <w:bCs w:val="0"/>
        </w:rPr>
      </w:pPr>
      <w:r>
        <w:rPr>
          <w:bCs w:val="0"/>
        </w:rPr>
        <w:t>请求异常监控</w:t>
      </w:r>
    </w:p>
    <w:p w14:paraId="0DFEF85A">
      <w:pPr>
        <w:spacing w:line="276" w:lineRule="auto"/>
        <w:ind w:firstLine="480"/>
        <w:rPr>
          <w:rFonts w:hint="eastAsia" w:ascii="宋体" w:hAnsi="宋体" w:eastAsia="宋体"/>
          <w:sz w:val="24"/>
          <w:szCs w:val="24"/>
        </w:rPr>
      </w:pPr>
      <w:r>
        <w:rPr>
          <w:rFonts w:hint="eastAsia" w:ascii="宋体" w:hAnsi="宋体" w:eastAsia="宋体"/>
          <w:sz w:val="24"/>
          <w:szCs w:val="24"/>
        </w:rPr>
        <w:t>支持对指定接口服务请求异常进行实时报警，有助于系统管理员及时处理异常状况，保证接口正常使用。</w:t>
      </w:r>
    </w:p>
    <w:p w14:paraId="3BAE0A4B">
      <w:pPr>
        <w:pStyle w:val="8"/>
        <w:rPr>
          <w:rFonts w:hint="eastAsia"/>
          <w:b w:val="0"/>
          <w:bCs w:val="0"/>
        </w:rPr>
      </w:pPr>
      <w:bookmarkStart w:id="329" w:name="_Toc138067519"/>
      <w:bookmarkStart w:id="330" w:name="_Toc64887197"/>
      <w:r>
        <w:rPr>
          <w:rFonts w:hint="eastAsia"/>
          <w:b w:val="0"/>
          <w:bCs w:val="0"/>
        </w:rPr>
        <w:t>数据</w:t>
      </w:r>
      <w:r>
        <w:rPr>
          <w:rFonts w:hint="eastAsia"/>
          <w:b w:val="0"/>
        </w:rPr>
        <w:t>交换</w:t>
      </w:r>
      <w:r>
        <w:rPr>
          <w:rFonts w:hint="eastAsia"/>
          <w:b w:val="0"/>
          <w:bCs w:val="0"/>
        </w:rPr>
        <w:t>接口</w:t>
      </w:r>
      <w:bookmarkEnd w:id="329"/>
      <w:bookmarkEnd w:id="330"/>
    </w:p>
    <w:p w14:paraId="6C344872">
      <w:pPr>
        <w:spacing w:line="276" w:lineRule="auto"/>
        <w:ind w:firstLine="480"/>
        <w:rPr>
          <w:rFonts w:hint="eastAsia" w:ascii="宋体" w:hAnsi="宋体" w:eastAsia="宋体" w:cs="___WRD_EMBED_SUB_46"/>
          <w:sz w:val="24"/>
          <w:szCs w:val="24"/>
        </w:rPr>
      </w:pPr>
      <w:r>
        <w:rPr>
          <w:rFonts w:hint="eastAsia" w:ascii="宋体" w:hAnsi="宋体" w:eastAsia="宋体"/>
          <w:sz w:val="24"/>
          <w:szCs w:val="24"/>
        </w:rPr>
        <w:t>详见下文系统对接部分，在此不做</w:t>
      </w:r>
      <w:r>
        <w:rPr>
          <w:rFonts w:hint="eastAsia" w:ascii="宋体" w:hAnsi="宋体" w:eastAsia="宋体" w:cs="宋体"/>
          <w:sz w:val="24"/>
          <w:szCs w:val="24"/>
        </w:rPr>
        <w:t>赘</w:t>
      </w:r>
      <w:r>
        <w:rPr>
          <w:rFonts w:hint="eastAsia" w:ascii="宋体" w:hAnsi="宋体" w:eastAsia="宋体" w:cs="___WRD_EMBED_SUB_46"/>
          <w:sz w:val="24"/>
          <w:szCs w:val="24"/>
        </w:rPr>
        <w:t>述。</w:t>
      </w:r>
    </w:p>
    <w:p w14:paraId="27FCD9E9">
      <w:pPr>
        <w:pStyle w:val="7"/>
        <w:rPr>
          <w:rFonts w:hint="eastAsia"/>
        </w:rPr>
      </w:pPr>
      <w:bookmarkStart w:id="331" w:name="_Toc27489"/>
      <w:bookmarkStart w:id="332" w:name="_Toc138067520"/>
      <w:r>
        <w:rPr>
          <w:rFonts w:hint="eastAsia"/>
        </w:rPr>
        <w:t>数据汇聚系统</w:t>
      </w:r>
      <w:bookmarkEnd w:id="270"/>
      <w:bookmarkEnd w:id="271"/>
      <w:bookmarkEnd w:id="272"/>
      <w:bookmarkEnd w:id="273"/>
      <w:bookmarkEnd w:id="331"/>
      <w:bookmarkEnd w:id="332"/>
    </w:p>
    <w:p w14:paraId="635EB4F0">
      <w:pPr>
        <w:spacing w:line="276" w:lineRule="auto"/>
        <w:ind w:firstLine="480"/>
        <w:rPr>
          <w:rFonts w:hint="eastAsia" w:ascii="宋体" w:hAnsi="宋体" w:eastAsia="宋体"/>
          <w:sz w:val="24"/>
          <w:szCs w:val="24"/>
        </w:rPr>
      </w:pPr>
      <w:bookmarkStart w:id="333" w:name="_Toc51781888"/>
      <w:bookmarkStart w:id="334" w:name="_Toc51782098"/>
      <w:bookmarkStart w:id="335" w:name="_Toc51782315"/>
      <w:r>
        <w:rPr>
          <w:rFonts w:hint="eastAsia" w:ascii="宋体" w:hAnsi="宋体" w:eastAsia="宋体"/>
          <w:sz w:val="24"/>
          <w:szCs w:val="24"/>
        </w:rPr>
        <w:t>根据城市运行管理服务工作需要，汇聚城市基础数据，运行、管理、服务和综合评价等数据，对各类数据进行清洗、校验、抽取、融合，形成市级综合性城市运行管理服务数据库。该系统包括数据获取、数据清洗、数据融合、数据资源编目等功能模块。</w:t>
      </w:r>
    </w:p>
    <w:p w14:paraId="64F2C79F">
      <w:pPr>
        <w:pStyle w:val="8"/>
        <w:rPr>
          <w:rFonts w:hint="eastAsia"/>
          <w:b w:val="0"/>
          <w:bCs w:val="0"/>
        </w:rPr>
      </w:pPr>
      <w:bookmarkStart w:id="336" w:name="_Toc138067521"/>
      <w:bookmarkStart w:id="337" w:name="_Toc64887199"/>
      <w:r>
        <w:rPr>
          <w:b w:val="0"/>
        </w:rPr>
        <w:t>数据</w:t>
      </w:r>
      <w:r>
        <w:rPr>
          <w:b w:val="0"/>
          <w:bCs w:val="0"/>
        </w:rPr>
        <w:t>获取</w:t>
      </w:r>
      <w:bookmarkEnd w:id="336"/>
      <w:bookmarkEnd w:id="337"/>
    </w:p>
    <w:p w14:paraId="3D4CFFF9">
      <w:pPr>
        <w:spacing w:line="276" w:lineRule="auto"/>
        <w:ind w:firstLine="480"/>
        <w:rPr>
          <w:rFonts w:hint="eastAsia" w:ascii="宋体" w:hAnsi="宋体" w:eastAsia="宋体"/>
          <w:sz w:val="24"/>
          <w:szCs w:val="24"/>
        </w:rPr>
      </w:pPr>
      <w:r>
        <w:rPr>
          <w:rFonts w:hint="eastAsia" w:ascii="宋体" w:hAnsi="宋体" w:eastAsia="宋体"/>
          <w:sz w:val="24"/>
          <w:szCs w:val="24"/>
        </w:rPr>
        <w:t>获取公众服务数据</w:t>
      </w:r>
      <w:r>
        <w:rPr>
          <w:rFonts w:ascii="宋体" w:hAnsi="宋体" w:eastAsia="宋体"/>
          <w:sz w:val="24"/>
          <w:szCs w:val="24"/>
        </w:rPr>
        <w:t>、监督员采集数据、行业应用数据、相关行业数据等。</w:t>
      </w:r>
    </w:p>
    <w:p w14:paraId="29836BC4">
      <w:pPr>
        <w:pStyle w:val="8"/>
        <w:rPr>
          <w:rFonts w:hint="eastAsia"/>
          <w:b w:val="0"/>
          <w:bCs w:val="0"/>
        </w:rPr>
      </w:pPr>
      <w:bookmarkStart w:id="338" w:name="_Toc64887200"/>
      <w:bookmarkStart w:id="339" w:name="_Toc138067522"/>
      <w:r>
        <w:rPr>
          <w:b w:val="0"/>
          <w:bCs w:val="0"/>
        </w:rPr>
        <w:t>数据</w:t>
      </w:r>
      <w:bookmarkEnd w:id="338"/>
      <w:r>
        <w:rPr>
          <w:rFonts w:hint="eastAsia"/>
          <w:b w:val="0"/>
        </w:rPr>
        <w:t>清洗</w:t>
      </w:r>
      <w:bookmarkEnd w:id="339"/>
    </w:p>
    <w:p w14:paraId="1FA132EF">
      <w:pPr>
        <w:spacing w:line="276" w:lineRule="auto"/>
        <w:ind w:firstLine="480"/>
        <w:rPr>
          <w:rFonts w:hint="eastAsia" w:ascii="宋体" w:hAnsi="宋体" w:eastAsia="宋体"/>
          <w:sz w:val="24"/>
          <w:szCs w:val="24"/>
        </w:rPr>
      </w:pPr>
      <w:r>
        <w:rPr>
          <w:rFonts w:hint="eastAsia" w:ascii="宋体" w:hAnsi="宋体" w:eastAsia="宋体"/>
          <w:sz w:val="24"/>
          <w:szCs w:val="24"/>
        </w:rPr>
        <w:t>数据清洗模块用于按照设定的规则对通过数据交换接口接收到的数据进行核验，将不符合要求的数据单独存放并反馈给数据提供方进行整改。</w:t>
      </w:r>
    </w:p>
    <w:p w14:paraId="05E4A295">
      <w:pPr>
        <w:pStyle w:val="8"/>
        <w:rPr>
          <w:rFonts w:hint="eastAsia"/>
          <w:b w:val="0"/>
          <w:bCs w:val="0"/>
        </w:rPr>
      </w:pPr>
      <w:bookmarkStart w:id="340" w:name="_Toc138067523"/>
      <w:bookmarkStart w:id="341" w:name="_Toc64887201"/>
      <w:r>
        <w:rPr>
          <w:b w:val="0"/>
          <w:bCs w:val="0"/>
        </w:rPr>
        <w:t>数据</w:t>
      </w:r>
      <w:r>
        <w:rPr>
          <w:b w:val="0"/>
        </w:rPr>
        <w:t>融合</w:t>
      </w:r>
      <w:bookmarkEnd w:id="340"/>
      <w:bookmarkEnd w:id="341"/>
    </w:p>
    <w:p w14:paraId="3D45BB91">
      <w:pPr>
        <w:spacing w:line="276" w:lineRule="auto"/>
        <w:ind w:firstLine="480"/>
        <w:rPr>
          <w:rFonts w:hint="eastAsia" w:ascii="宋体" w:hAnsi="宋体" w:eastAsia="宋体"/>
          <w:sz w:val="24"/>
          <w:szCs w:val="24"/>
        </w:rPr>
      </w:pPr>
      <w:r>
        <w:rPr>
          <w:rFonts w:hint="eastAsia" w:ascii="宋体" w:hAnsi="宋体" w:eastAsia="宋体"/>
          <w:sz w:val="24"/>
          <w:szCs w:val="24"/>
        </w:rPr>
        <w:t>以城市综合管理服务评价体系为依据，按照综合性城市管理数据库建库标准，通过数据接口、</w:t>
      </w:r>
      <w:r>
        <w:rPr>
          <w:rFonts w:ascii="宋体" w:hAnsi="宋体" w:eastAsia="宋体"/>
          <w:sz w:val="24"/>
          <w:szCs w:val="24"/>
        </w:rPr>
        <w:t>ETL工具等多样化的数据交换方式，动态获取城市管理基础数据和运行数据，以及相关部门的信息资源；并通过数据清洗、比对、去重、合并等技术手段，对获取的城市管理多源数据进行融合处理，确保数据获取的实效性和准确性。</w:t>
      </w:r>
    </w:p>
    <w:p w14:paraId="6AFA3307">
      <w:pPr>
        <w:pStyle w:val="14"/>
        <w:rPr>
          <w:rFonts w:hint="eastAsia"/>
          <w:bCs w:val="0"/>
        </w:rPr>
      </w:pPr>
      <w:r>
        <w:rPr>
          <w:rFonts w:hint="eastAsia"/>
        </w:rPr>
        <w:t>流程</w:t>
      </w:r>
      <w:r>
        <w:rPr>
          <w:bCs w:val="0"/>
        </w:rPr>
        <w:t>概览</w:t>
      </w:r>
    </w:p>
    <w:p w14:paraId="3F7D8105">
      <w:pPr>
        <w:spacing w:line="276" w:lineRule="auto"/>
        <w:ind w:firstLine="480"/>
        <w:rPr>
          <w:rFonts w:hint="eastAsia" w:ascii="宋体" w:hAnsi="宋体" w:eastAsia="宋体"/>
          <w:sz w:val="24"/>
          <w:szCs w:val="24"/>
        </w:rPr>
      </w:pPr>
      <w:r>
        <w:rPr>
          <w:rFonts w:hint="eastAsia" w:ascii="宋体" w:hAnsi="宋体" w:eastAsia="宋体"/>
          <w:sz w:val="24"/>
          <w:szCs w:val="24"/>
        </w:rPr>
        <w:t>系统支持通过动态图的形式展示数据融合的业务流程。</w:t>
      </w:r>
    </w:p>
    <w:p w14:paraId="577E4E98">
      <w:pPr>
        <w:pStyle w:val="14"/>
        <w:rPr>
          <w:rFonts w:hint="eastAsia"/>
          <w:bCs w:val="0"/>
        </w:rPr>
      </w:pPr>
      <w:r>
        <w:rPr>
          <w:bCs w:val="0"/>
        </w:rPr>
        <w:t>应用</w:t>
      </w:r>
      <w:r>
        <w:rPr>
          <w:rFonts w:hint="eastAsia"/>
        </w:rPr>
        <w:t>管理</w:t>
      </w:r>
    </w:p>
    <w:p w14:paraId="2133A3B8">
      <w:pPr>
        <w:spacing w:line="276" w:lineRule="auto"/>
        <w:ind w:firstLine="480"/>
        <w:rPr>
          <w:rFonts w:hint="eastAsia" w:ascii="宋体" w:hAnsi="宋体" w:eastAsia="宋体"/>
          <w:sz w:val="24"/>
          <w:szCs w:val="24"/>
        </w:rPr>
      </w:pPr>
      <w:r>
        <w:rPr>
          <w:rFonts w:hint="eastAsia" w:ascii="宋体" w:hAnsi="宋体" w:eastAsia="宋体"/>
          <w:sz w:val="24"/>
          <w:szCs w:val="24"/>
        </w:rPr>
        <w:t>支持对接入的系统应用进行相关编辑及启动管理功能。</w:t>
      </w:r>
    </w:p>
    <w:p w14:paraId="33A8DEC5">
      <w:pPr>
        <w:pStyle w:val="14"/>
        <w:rPr>
          <w:rFonts w:hint="eastAsia"/>
          <w:bCs w:val="0"/>
        </w:rPr>
      </w:pPr>
      <w:r>
        <w:rPr>
          <w:bCs w:val="0"/>
        </w:rPr>
        <w:t>实体管理</w:t>
      </w:r>
    </w:p>
    <w:p w14:paraId="0585F7E4">
      <w:pPr>
        <w:spacing w:line="276" w:lineRule="auto"/>
        <w:ind w:firstLine="480"/>
        <w:rPr>
          <w:rFonts w:hint="eastAsia" w:ascii="宋体" w:hAnsi="宋体" w:eastAsia="宋体"/>
          <w:sz w:val="24"/>
          <w:szCs w:val="24"/>
        </w:rPr>
      </w:pPr>
      <w:r>
        <w:rPr>
          <w:rFonts w:hint="eastAsia" w:ascii="宋体" w:hAnsi="宋体" w:eastAsia="宋体"/>
          <w:sz w:val="24"/>
          <w:szCs w:val="24"/>
        </w:rPr>
        <w:t>系统支持对所接入的数据按照实体类型进行管理。</w:t>
      </w:r>
    </w:p>
    <w:p w14:paraId="38DDC35C">
      <w:pPr>
        <w:pStyle w:val="14"/>
        <w:rPr>
          <w:rFonts w:hint="eastAsia"/>
          <w:bCs w:val="0"/>
        </w:rPr>
      </w:pPr>
      <w:r>
        <w:rPr>
          <w:bCs w:val="0"/>
        </w:rPr>
        <w:t>任务</w:t>
      </w:r>
      <w:r>
        <w:rPr>
          <w:rFonts w:hint="eastAsia"/>
        </w:rPr>
        <w:t>调度</w:t>
      </w:r>
      <w:r>
        <w:rPr>
          <w:bCs w:val="0"/>
        </w:rPr>
        <w:t>管理</w:t>
      </w:r>
    </w:p>
    <w:p w14:paraId="132C0C12">
      <w:pPr>
        <w:spacing w:line="276" w:lineRule="auto"/>
        <w:ind w:firstLine="480"/>
        <w:rPr>
          <w:rFonts w:hint="eastAsia" w:ascii="宋体" w:hAnsi="宋体" w:eastAsia="宋体"/>
          <w:sz w:val="24"/>
          <w:szCs w:val="24"/>
        </w:rPr>
      </w:pPr>
      <w:r>
        <w:rPr>
          <w:rFonts w:hint="eastAsia" w:ascii="宋体" w:hAnsi="宋体" w:eastAsia="宋体"/>
          <w:sz w:val="24"/>
          <w:szCs w:val="24"/>
        </w:rPr>
        <w:t>调度任务即通过数据库</w:t>
      </w:r>
      <w:r>
        <w:rPr>
          <w:rFonts w:ascii="宋体" w:hAnsi="宋体" w:eastAsia="宋体"/>
          <w:sz w:val="24"/>
          <w:szCs w:val="24"/>
        </w:rPr>
        <w:t>定期获取第三方数据。</w:t>
      </w:r>
    </w:p>
    <w:p w14:paraId="4E8CF40C">
      <w:pPr>
        <w:pStyle w:val="14"/>
        <w:rPr>
          <w:rFonts w:hint="eastAsia"/>
          <w:bCs w:val="0"/>
        </w:rPr>
      </w:pPr>
      <w:r>
        <w:rPr>
          <w:bCs w:val="0"/>
        </w:rPr>
        <w:t>日志查询</w:t>
      </w:r>
    </w:p>
    <w:p w14:paraId="5A842BB8">
      <w:pPr>
        <w:spacing w:line="276" w:lineRule="auto"/>
        <w:ind w:firstLine="480"/>
        <w:rPr>
          <w:rFonts w:hint="eastAsia" w:ascii="宋体" w:hAnsi="宋体" w:eastAsia="宋体"/>
          <w:sz w:val="24"/>
          <w:szCs w:val="24"/>
        </w:rPr>
      </w:pPr>
      <w:r>
        <w:rPr>
          <w:rFonts w:hint="eastAsia" w:ascii="宋体" w:hAnsi="宋体" w:eastAsia="宋体"/>
          <w:sz w:val="24"/>
          <w:szCs w:val="24"/>
        </w:rPr>
        <w:t>支持订阅任务、调度任务的日志查询，图表列表查阅功能。</w:t>
      </w:r>
    </w:p>
    <w:p w14:paraId="11CF968A">
      <w:pPr>
        <w:pStyle w:val="8"/>
        <w:rPr>
          <w:rFonts w:hint="eastAsia"/>
          <w:b w:val="0"/>
          <w:bCs w:val="0"/>
        </w:rPr>
      </w:pPr>
      <w:bookmarkStart w:id="342" w:name="_Toc138067524"/>
      <w:r>
        <w:rPr>
          <w:b w:val="0"/>
          <w:bCs w:val="0"/>
        </w:rPr>
        <w:t>数据编目</w:t>
      </w:r>
      <w:bookmarkEnd w:id="342"/>
    </w:p>
    <w:p w14:paraId="235EF988">
      <w:pPr>
        <w:spacing w:line="276" w:lineRule="auto"/>
        <w:ind w:firstLine="480"/>
        <w:rPr>
          <w:rFonts w:hint="eastAsia" w:ascii="宋体" w:hAnsi="宋体" w:eastAsia="宋体"/>
          <w:sz w:val="24"/>
          <w:szCs w:val="24"/>
        </w:rPr>
      </w:pPr>
      <w:r>
        <w:rPr>
          <w:rFonts w:hint="eastAsia" w:ascii="宋体" w:hAnsi="宋体" w:eastAsia="宋体"/>
          <w:sz w:val="24"/>
          <w:szCs w:val="24"/>
        </w:rPr>
        <w:t>利用目录技术和元数据技术，遵循国家相关标准，构造全市统一的城市综合管理数据资源目录，支持按业务类型进行数据归集，支持按专业部门进行数据归集。</w:t>
      </w:r>
    </w:p>
    <w:p w14:paraId="6E47DB08">
      <w:pPr>
        <w:pStyle w:val="14"/>
        <w:rPr>
          <w:rFonts w:hint="eastAsia"/>
          <w:bCs w:val="0"/>
        </w:rPr>
      </w:pPr>
      <w:r>
        <w:rPr>
          <w:bCs w:val="0"/>
        </w:rPr>
        <w:t>资源概览</w:t>
      </w:r>
    </w:p>
    <w:p w14:paraId="56544130">
      <w:pPr>
        <w:spacing w:line="276" w:lineRule="auto"/>
        <w:ind w:firstLine="480"/>
        <w:rPr>
          <w:rFonts w:hint="eastAsia" w:ascii="宋体" w:hAnsi="宋体" w:eastAsia="宋体"/>
          <w:sz w:val="24"/>
          <w:szCs w:val="24"/>
        </w:rPr>
      </w:pPr>
      <w:r>
        <w:rPr>
          <w:rFonts w:hint="eastAsia" w:ascii="宋体" w:hAnsi="宋体" w:eastAsia="宋体"/>
          <w:sz w:val="24"/>
          <w:szCs w:val="24"/>
        </w:rPr>
        <w:t>系统支持对接入的数据进行总量统计、新增数据量统计、数据服务量统计、基础资源统计、接入部门统计、主体资源统计等功能。</w:t>
      </w:r>
    </w:p>
    <w:p w14:paraId="5E1EFA0D">
      <w:pPr>
        <w:pStyle w:val="14"/>
        <w:rPr>
          <w:rFonts w:hint="eastAsia"/>
          <w:bCs w:val="0"/>
        </w:rPr>
      </w:pPr>
      <w:r>
        <w:rPr>
          <w:bCs w:val="0"/>
        </w:rPr>
        <w:t>资源</w:t>
      </w:r>
      <w:r>
        <w:rPr>
          <w:rFonts w:hint="eastAsia"/>
        </w:rPr>
        <w:t>概要</w:t>
      </w:r>
    </w:p>
    <w:p w14:paraId="3BE69A8E">
      <w:pPr>
        <w:spacing w:line="276" w:lineRule="auto"/>
        <w:ind w:firstLine="480"/>
        <w:rPr>
          <w:rFonts w:hint="eastAsia" w:ascii="宋体" w:hAnsi="宋体" w:eastAsia="宋体"/>
          <w:sz w:val="24"/>
          <w:szCs w:val="24"/>
        </w:rPr>
      </w:pPr>
      <w:r>
        <w:rPr>
          <w:rFonts w:hint="eastAsia" w:ascii="宋体" w:hAnsi="宋体" w:eastAsia="宋体"/>
          <w:sz w:val="24"/>
          <w:szCs w:val="24"/>
        </w:rPr>
        <w:t>系统支持以树状列表的形式展示数据资源目录，按照资源大类和资源小类逐层级展示资源目录，并支持查询。</w:t>
      </w:r>
    </w:p>
    <w:p w14:paraId="42EC4E52">
      <w:pPr>
        <w:spacing w:line="276" w:lineRule="auto"/>
        <w:ind w:firstLine="480"/>
        <w:rPr>
          <w:rFonts w:hint="eastAsia" w:ascii="宋体" w:hAnsi="宋体" w:eastAsia="宋体"/>
          <w:sz w:val="24"/>
          <w:szCs w:val="24"/>
        </w:rPr>
      </w:pPr>
      <w:r>
        <w:rPr>
          <w:rFonts w:hint="eastAsia" w:ascii="宋体" w:hAnsi="宋体" w:eastAsia="宋体"/>
          <w:sz w:val="24"/>
          <w:szCs w:val="24"/>
        </w:rPr>
        <w:t>系统支持对资源实体按资源名称、共享类型、开放属性、发布时间、更新周期等条件进行查询。系统支持对数据资源详情进行查看，包括基本属性、信息项详情等。</w:t>
      </w:r>
    </w:p>
    <w:p w14:paraId="10E5113D">
      <w:pPr>
        <w:pStyle w:val="14"/>
        <w:rPr>
          <w:rFonts w:hint="eastAsia"/>
          <w:bCs w:val="0"/>
        </w:rPr>
      </w:pPr>
      <w:r>
        <w:rPr>
          <w:bCs w:val="0"/>
        </w:rPr>
        <w:t>资源</w:t>
      </w:r>
      <w:r>
        <w:rPr>
          <w:rFonts w:hint="eastAsia"/>
        </w:rPr>
        <w:t>编目</w:t>
      </w:r>
    </w:p>
    <w:p w14:paraId="446FC420">
      <w:pPr>
        <w:spacing w:line="276" w:lineRule="auto"/>
        <w:ind w:firstLine="480"/>
        <w:rPr>
          <w:rFonts w:hint="eastAsia" w:ascii="宋体" w:hAnsi="宋体" w:eastAsia="宋体"/>
          <w:sz w:val="24"/>
          <w:szCs w:val="24"/>
        </w:rPr>
      </w:pPr>
      <w:r>
        <w:rPr>
          <w:rFonts w:hint="eastAsia" w:ascii="宋体" w:hAnsi="宋体" w:eastAsia="宋体"/>
          <w:sz w:val="24"/>
          <w:szCs w:val="24"/>
        </w:rPr>
        <w:t>系统支持新建目录、资源，并进行相关编辑功能，系统支持对编辑完成的信息资源进行发布，发布后的信息资源可对外进行共享。</w:t>
      </w:r>
    </w:p>
    <w:bookmarkEnd w:id="274"/>
    <w:bookmarkEnd w:id="275"/>
    <w:bookmarkEnd w:id="276"/>
    <w:bookmarkEnd w:id="277"/>
    <w:bookmarkEnd w:id="333"/>
    <w:bookmarkEnd w:id="334"/>
    <w:bookmarkEnd w:id="335"/>
    <w:p w14:paraId="769D3A81">
      <w:pPr>
        <w:pStyle w:val="7"/>
        <w:rPr>
          <w:rFonts w:hint="eastAsia"/>
        </w:rPr>
      </w:pPr>
      <w:bookmarkStart w:id="343" w:name="_Toc138067525"/>
      <w:bookmarkStart w:id="344" w:name="_Toc13938"/>
      <w:r>
        <w:rPr>
          <w:rFonts w:hint="eastAsia"/>
        </w:rPr>
        <w:t>应用维护系统</w:t>
      </w:r>
      <w:bookmarkEnd w:id="343"/>
      <w:bookmarkEnd w:id="344"/>
    </w:p>
    <w:p w14:paraId="14234FCE">
      <w:pPr>
        <w:spacing w:line="276" w:lineRule="auto"/>
        <w:ind w:firstLine="480"/>
        <w:rPr>
          <w:rFonts w:hint="eastAsia" w:ascii="宋体" w:hAnsi="宋体" w:eastAsia="宋体"/>
          <w:sz w:val="24"/>
          <w:szCs w:val="24"/>
        </w:rPr>
      </w:pPr>
      <w:r>
        <w:rPr>
          <w:rFonts w:hint="eastAsia" w:ascii="宋体" w:hAnsi="宋体" w:eastAsia="宋体"/>
          <w:sz w:val="24"/>
          <w:szCs w:val="24"/>
        </w:rPr>
        <w:t>根据系统运维管理需要，对人员权限、业务流程、工作表单、功能参数等事项进行日常管理和维护。该系统具备权限配置、流程配置、表单配置、统计配置和系统配置等功能。对通过统一身份认证系统获取的机构和人员信息，可进行权限配置、备注信息。</w:t>
      </w:r>
    </w:p>
    <w:p w14:paraId="3DAA5EF7">
      <w:pPr>
        <w:pStyle w:val="8"/>
        <w:rPr>
          <w:rFonts w:hint="eastAsia"/>
          <w:b w:val="0"/>
        </w:rPr>
      </w:pPr>
      <w:r>
        <w:rPr>
          <w:rFonts w:hint="eastAsia"/>
          <w:b w:val="0"/>
        </w:rPr>
        <w:t>应用监控</w:t>
      </w:r>
    </w:p>
    <w:p w14:paraId="2E846148">
      <w:pPr>
        <w:spacing w:line="276" w:lineRule="auto"/>
        <w:ind w:firstLine="480"/>
        <w:rPr>
          <w:rFonts w:hint="eastAsia" w:ascii="宋体" w:hAnsi="宋体" w:eastAsia="宋体"/>
          <w:sz w:val="24"/>
          <w:szCs w:val="24"/>
        </w:rPr>
      </w:pPr>
      <w:r>
        <w:rPr>
          <w:rFonts w:hint="eastAsia" w:ascii="宋体" w:hAnsi="宋体" w:eastAsia="宋体"/>
          <w:sz w:val="24"/>
          <w:szCs w:val="24"/>
        </w:rPr>
        <w:t>对应用体系中包含的各类应用系统服务器部署运行情况监控，如</w:t>
      </w:r>
      <w:r>
        <w:rPr>
          <w:rFonts w:ascii="宋体" w:hAnsi="宋体" w:eastAsia="宋体"/>
          <w:sz w:val="24"/>
          <w:szCs w:val="24"/>
        </w:rPr>
        <w:t>资源使用情况、应用软件是否正常运行、系统登录/退出记录、系统设置变更记录等。</w:t>
      </w:r>
    </w:p>
    <w:p w14:paraId="09C49C05">
      <w:pPr>
        <w:pStyle w:val="8"/>
        <w:rPr>
          <w:rFonts w:hint="eastAsia"/>
          <w:b w:val="0"/>
        </w:rPr>
      </w:pPr>
      <w:r>
        <w:rPr>
          <w:rFonts w:hint="eastAsia"/>
          <w:b w:val="0"/>
        </w:rPr>
        <w:t>接口监控</w:t>
      </w:r>
    </w:p>
    <w:p w14:paraId="0F867518">
      <w:pPr>
        <w:spacing w:line="276" w:lineRule="auto"/>
        <w:ind w:firstLine="480"/>
        <w:rPr>
          <w:rFonts w:hint="eastAsia" w:ascii="宋体" w:hAnsi="宋体" w:eastAsia="宋体"/>
          <w:sz w:val="24"/>
          <w:szCs w:val="24"/>
        </w:rPr>
      </w:pPr>
      <w:r>
        <w:rPr>
          <w:rFonts w:hint="eastAsia" w:ascii="宋体" w:hAnsi="宋体" w:eastAsia="宋体"/>
          <w:sz w:val="24"/>
          <w:szCs w:val="24"/>
        </w:rPr>
        <w:t>对数据交换系统中涉及的各类接口运行情况进行监控，如接口数量、异常数量、调用次数等。</w:t>
      </w:r>
    </w:p>
    <w:p w14:paraId="61FB431B">
      <w:pPr>
        <w:pStyle w:val="8"/>
        <w:rPr>
          <w:rFonts w:hint="eastAsia"/>
          <w:b w:val="0"/>
        </w:rPr>
      </w:pPr>
      <w:r>
        <w:rPr>
          <w:rFonts w:hint="eastAsia"/>
          <w:b w:val="0"/>
        </w:rPr>
        <w:t>报警信息</w:t>
      </w:r>
    </w:p>
    <w:p w14:paraId="5F97AB67">
      <w:pPr>
        <w:spacing w:line="276" w:lineRule="auto"/>
        <w:ind w:firstLine="480"/>
        <w:rPr>
          <w:rFonts w:hint="eastAsia"/>
        </w:rPr>
      </w:pPr>
      <w:r>
        <w:rPr>
          <w:rFonts w:hint="eastAsia" w:ascii="宋体" w:hAnsi="宋体" w:eastAsia="宋体"/>
          <w:sz w:val="24"/>
          <w:szCs w:val="24"/>
        </w:rPr>
        <w:t>对应用系统、对接接口</w:t>
      </w:r>
      <w:r>
        <w:rPr>
          <w:rFonts w:ascii="宋体" w:hAnsi="宋体" w:eastAsia="宋体"/>
          <w:sz w:val="24"/>
          <w:szCs w:val="24"/>
        </w:rPr>
        <w:t>等运行过程中的超期响应、异常登录、调用异常等故障进行自动告警和统计。</w:t>
      </w:r>
      <w:bookmarkEnd w:id="149"/>
    </w:p>
    <w:p w14:paraId="5EA5AC85">
      <w:pPr>
        <w:pStyle w:val="5"/>
        <w:rPr>
          <w:rFonts w:hint="eastAsia"/>
        </w:rPr>
      </w:pPr>
      <w:bookmarkStart w:id="345" w:name="_Toc20334"/>
      <w:r>
        <w:rPr>
          <w:rFonts w:hint="eastAsia"/>
        </w:rPr>
        <w:t>城市综合管理数据库方案</w:t>
      </w:r>
      <w:bookmarkEnd w:id="345"/>
    </w:p>
    <w:p w14:paraId="7920DA12">
      <w:pPr>
        <w:spacing w:line="276" w:lineRule="auto"/>
        <w:ind w:firstLine="480"/>
        <w:rPr>
          <w:rFonts w:hint="eastAsia" w:ascii="宋体" w:hAnsi="宋体" w:eastAsia="宋体"/>
          <w:sz w:val="24"/>
          <w:szCs w:val="24"/>
        </w:rPr>
      </w:pPr>
      <w:r>
        <w:rPr>
          <w:rFonts w:hint="eastAsia" w:ascii="宋体" w:hAnsi="宋体" w:eastAsia="宋体"/>
          <w:sz w:val="24"/>
          <w:szCs w:val="24"/>
        </w:rPr>
        <w:t>按照城市运行管理服务平台的标准要求，本次将建设综合性城市运行管理服务平台数据库，包括城市基础数据库，城市管理数据、城市运行数据库、城市服务数据库、综合评价数据库。</w:t>
      </w:r>
    </w:p>
    <w:p w14:paraId="0E8B8091">
      <w:pPr>
        <w:pStyle w:val="7"/>
        <w:rPr>
          <w:rFonts w:hint="eastAsia" w:ascii="宋体" w:hAnsi="宋体" w:eastAsia="宋体"/>
        </w:rPr>
      </w:pPr>
      <w:bookmarkStart w:id="346" w:name="_Toc2590"/>
      <w:bookmarkStart w:id="347" w:name="_Toc8171"/>
      <w:r>
        <w:rPr>
          <w:rFonts w:hint="eastAsia" w:ascii="宋体" w:hAnsi="宋体" w:eastAsia="宋体"/>
        </w:rPr>
        <w:t>城市基础数据建设</w:t>
      </w:r>
      <w:bookmarkEnd w:id="346"/>
    </w:p>
    <w:bookmarkEnd w:id="347"/>
    <w:p w14:paraId="77529E99">
      <w:pPr>
        <w:pStyle w:val="8"/>
        <w:rPr>
          <w:rFonts w:hint="eastAsia"/>
        </w:rPr>
      </w:pPr>
      <w:bookmarkStart w:id="348" w:name="_Toc515893111"/>
      <w:bookmarkStart w:id="349" w:name="_Toc22475888"/>
      <w:r>
        <w:rPr>
          <w:rFonts w:hint="eastAsia"/>
        </w:rPr>
        <w:t>基础空间数据库</w:t>
      </w:r>
    </w:p>
    <w:bookmarkEnd w:id="348"/>
    <w:bookmarkEnd w:id="349"/>
    <w:p w14:paraId="226AE72E">
      <w:pPr>
        <w:spacing w:line="276" w:lineRule="auto"/>
        <w:ind w:firstLine="480"/>
        <w:rPr>
          <w:rFonts w:hint="eastAsia" w:ascii="宋体" w:hAnsi="宋体" w:eastAsia="宋体"/>
          <w:sz w:val="24"/>
          <w:szCs w:val="24"/>
        </w:rPr>
      </w:pPr>
      <w:r>
        <w:rPr>
          <w:rFonts w:hint="eastAsia" w:ascii="宋体" w:hAnsi="宋体" w:eastAsia="宋体"/>
          <w:sz w:val="24"/>
          <w:szCs w:val="24"/>
        </w:rPr>
        <w:t>按照相关国家标准规定的关于城市地理空间定位的基本数据需求建设基础空间数据库。基础空间数据库是地理信息的基础组成信息，在平台运行阶段作为基础性的底图，并根据业务需要叠加各种专题数据。</w:t>
      </w:r>
    </w:p>
    <w:p w14:paraId="5F8FF87B">
      <w:pPr>
        <w:pStyle w:val="14"/>
        <w:rPr>
          <w:rFonts w:hint="eastAsia"/>
        </w:rPr>
      </w:pPr>
      <w:bookmarkStart w:id="350" w:name="_Toc22475889"/>
      <w:bookmarkStart w:id="351" w:name="_Toc515893112"/>
      <w:r>
        <w:rPr>
          <w:rFonts w:hint="eastAsia"/>
        </w:rPr>
        <w:t>基础空间框架数据库</w:t>
      </w:r>
    </w:p>
    <w:p w14:paraId="7E6FC211">
      <w:pPr>
        <w:spacing w:line="276" w:lineRule="auto"/>
        <w:ind w:firstLine="480"/>
        <w:rPr>
          <w:rFonts w:hint="eastAsia" w:ascii="宋体" w:hAnsi="宋体" w:eastAsia="宋体"/>
          <w:sz w:val="24"/>
          <w:szCs w:val="24"/>
        </w:rPr>
      </w:pPr>
      <w:r>
        <w:rPr>
          <w:rFonts w:hint="eastAsia" w:ascii="宋体" w:hAnsi="宋体" w:eastAsia="宋体"/>
          <w:sz w:val="24"/>
          <w:szCs w:val="24"/>
        </w:rPr>
        <w:t>地理空间框架数据包括大比例尺地形数据及相关数据；地理空间框架数据的内容和组织符合国家现行标准《城市地理空间框架数据标准》</w:t>
      </w:r>
      <w:r>
        <w:rPr>
          <w:rFonts w:ascii="宋体" w:hAnsi="宋体" w:eastAsia="宋体"/>
          <w:sz w:val="24"/>
          <w:szCs w:val="24"/>
        </w:rPr>
        <w:t>CJJ103</w:t>
      </w:r>
      <w:r>
        <w:rPr>
          <w:rFonts w:hint="eastAsia" w:ascii="宋体" w:hAnsi="宋体" w:eastAsia="宋体"/>
          <w:sz w:val="24"/>
          <w:szCs w:val="24"/>
        </w:rPr>
        <w:t>和《城市基础地理信息系统技术规范》</w:t>
      </w:r>
      <w:r>
        <w:rPr>
          <w:rFonts w:ascii="宋体" w:hAnsi="宋体" w:eastAsia="宋体"/>
          <w:sz w:val="24"/>
          <w:szCs w:val="24"/>
        </w:rPr>
        <w:t>CJ100</w:t>
      </w:r>
      <w:r>
        <w:rPr>
          <w:rFonts w:hint="eastAsia" w:ascii="宋体" w:hAnsi="宋体" w:eastAsia="宋体"/>
          <w:sz w:val="24"/>
          <w:szCs w:val="24"/>
        </w:rPr>
        <w:t>的规定。</w:t>
      </w:r>
    </w:p>
    <w:p w14:paraId="472346CD">
      <w:pPr>
        <w:spacing w:line="276" w:lineRule="auto"/>
        <w:ind w:firstLine="480"/>
        <w:rPr>
          <w:rFonts w:hint="eastAsia" w:ascii="宋体" w:hAnsi="宋体" w:eastAsia="宋体"/>
          <w:sz w:val="24"/>
          <w:szCs w:val="24"/>
        </w:rPr>
      </w:pPr>
      <w:r>
        <w:rPr>
          <w:rFonts w:hint="eastAsia" w:ascii="宋体" w:hAnsi="宋体" w:eastAsia="宋体"/>
          <w:sz w:val="24"/>
          <w:szCs w:val="24"/>
        </w:rPr>
        <w:t>地理空间框架数据库是用于反映城市地貌和位置的背景数据，地理空间框架数据可由国土或规划部门提供也可采用第三方地图框架。</w:t>
      </w:r>
    </w:p>
    <w:p w14:paraId="083FF7EF">
      <w:pPr>
        <w:spacing w:line="276" w:lineRule="auto"/>
        <w:ind w:firstLine="480"/>
        <w:rPr>
          <w:rFonts w:hint="eastAsia" w:ascii="宋体" w:hAnsi="宋体" w:eastAsia="宋体"/>
          <w:sz w:val="24"/>
          <w:szCs w:val="24"/>
        </w:rPr>
      </w:pPr>
      <w:r>
        <w:rPr>
          <w:rFonts w:hint="eastAsia" w:ascii="宋体" w:hAnsi="宋体" w:eastAsia="宋体"/>
          <w:sz w:val="24"/>
          <w:szCs w:val="24"/>
        </w:rPr>
        <w:t>地理空间框架数据库一般包括建筑物、面状道路、线状道路、河流、地名注记等图层。</w:t>
      </w:r>
    </w:p>
    <w:p w14:paraId="77E9BCC3">
      <w:pPr>
        <w:pStyle w:val="14"/>
        <w:rPr>
          <w:rFonts w:hint="eastAsia"/>
          <w:lang w:val="en-GB"/>
        </w:rPr>
      </w:pPr>
      <w:r>
        <w:rPr>
          <w:rFonts w:hint="eastAsia"/>
          <w:lang w:val="en-GB"/>
        </w:rPr>
        <w:t>管理地理信息数据库</w:t>
      </w:r>
    </w:p>
    <w:p w14:paraId="77F63502">
      <w:pPr>
        <w:spacing w:line="276" w:lineRule="auto"/>
        <w:ind w:firstLine="480"/>
        <w:rPr>
          <w:rFonts w:hint="eastAsia"/>
        </w:rPr>
      </w:pPr>
      <w:r>
        <w:rPr>
          <w:rFonts w:hint="eastAsia" w:ascii="宋体" w:hAnsi="宋体" w:eastAsia="宋体"/>
          <w:sz w:val="24"/>
          <w:szCs w:val="24"/>
        </w:rPr>
        <w:t>地理信息数据库为与本项目有关的各种业务地理信息数据，主要包括：</w:t>
      </w:r>
    </w:p>
    <w:p w14:paraId="24DD6C1B">
      <w:pPr>
        <w:spacing w:line="276" w:lineRule="auto"/>
        <w:ind w:firstLine="480"/>
        <w:rPr>
          <w:rFonts w:hint="eastAsia" w:ascii="宋体" w:hAnsi="宋体" w:eastAsia="宋体"/>
          <w:sz w:val="24"/>
          <w:szCs w:val="24"/>
        </w:rPr>
      </w:pPr>
      <w:r>
        <w:rPr>
          <w:rFonts w:hint="eastAsia" w:ascii="宋体" w:hAnsi="宋体" w:eastAsia="宋体"/>
          <w:sz w:val="24"/>
          <w:szCs w:val="24"/>
        </w:rPr>
        <w:t>城市管理网格数据库：包括城市管理单元网格、城市运行管理服务平台工作网格、环卫巡查网格、环卫绿化养护区域网格、城管执法巡查网格等，设计符合国家现行标准国家标准《数字化城市管理信息系统</w:t>
      </w:r>
      <w:r>
        <w:rPr>
          <w:rFonts w:ascii="宋体" w:hAnsi="宋体" w:eastAsia="宋体"/>
          <w:sz w:val="24"/>
          <w:szCs w:val="24"/>
        </w:rPr>
        <w:t xml:space="preserve"> </w:t>
      </w:r>
      <w:r>
        <w:rPr>
          <w:rFonts w:hint="eastAsia" w:ascii="宋体" w:hAnsi="宋体" w:eastAsia="宋体"/>
          <w:sz w:val="24"/>
          <w:szCs w:val="24"/>
        </w:rPr>
        <w:t>第</w:t>
      </w:r>
      <w:r>
        <w:rPr>
          <w:rFonts w:ascii="宋体" w:hAnsi="宋体" w:eastAsia="宋体"/>
          <w:sz w:val="24"/>
          <w:szCs w:val="24"/>
        </w:rPr>
        <w:t>1</w:t>
      </w:r>
      <w:r>
        <w:rPr>
          <w:rFonts w:hint="eastAsia" w:ascii="宋体" w:hAnsi="宋体" w:eastAsia="宋体"/>
          <w:sz w:val="24"/>
          <w:szCs w:val="24"/>
        </w:rPr>
        <w:t>部分：单元网格》（</w:t>
      </w:r>
      <w:r>
        <w:rPr>
          <w:rFonts w:ascii="宋体" w:hAnsi="宋体" w:eastAsia="宋体"/>
          <w:sz w:val="24"/>
          <w:szCs w:val="24"/>
        </w:rPr>
        <w:t>GB/T 30428.1-2013)</w:t>
      </w:r>
      <w:r>
        <w:rPr>
          <w:rFonts w:hint="eastAsia" w:ascii="宋体" w:hAnsi="宋体" w:eastAsia="宋体"/>
          <w:sz w:val="24"/>
          <w:szCs w:val="24"/>
        </w:rPr>
        <w:t>的规定。</w:t>
      </w:r>
    </w:p>
    <w:p w14:paraId="4602EF23">
      <w:pPr>
        <w:spacing w:line="276" w:lineRule="auto"/>
        <w:ind w:firstLine="480"/>
        <w:rPr>
          <w:rFonts w:hint="eastAsia" w:ascii="宋体" w:hAnsi="宋体" w:eastAsia="宋体"/>
          <w:sz w:val="24"/>
          <w:szCs w:val="24"/>
        </w:rPr>
      </w:pPr>
      <w:r>
        <w:rPr>
          <w:rFonts w:hint="eastAsia" w:ascii="宋体" w:hAnsi="宋体" w:eastAsia="宋体"/>
          <w:sz w:val="24"/>
          <w:szCs w:val="24"/>
        </w:rPr>
        <w:t>定位数据库：针对区城市管理中人员移动终端、车载终端实时与北斗定位数据进行基础管理，应符合国家、省的定位数据传输、存储规定。</w:t>
      </w:r>
    </w:p>
    <w:bookmarkEnd w:id="350"/>
    <w:bookmarkEnd w:id="351"/>
    <w:p w14:paraId="44C39BA0">
      <w:pPr>
        <w:pStyle w:val="8"/>
        <w:rPr>
          <w:rFonts w:hint="eastAsia"/>
        </w:rPr>
      </w:pPr>
      <w:bookmarkStart w:id="352" w:name="_Toc22475892"/>
      <w:bookmarkStart w:id="353" w:name="_Toc22475890"/>
      <w:bookmarkStart w:id="354" w:name="_Toc515893117"/>
      <w:r>
        <w:rPr>
          <w:rFonts w:hint="eastAsia"/>
        </w:rPr>
        <w:t>地理编码数据库</w:t>
      </w:r>
      <w:bookmarkEnd w:id="352"/>
    </w:p>
    <w:p w14:paraId="74FF0B69">
      <w:pPr>
        <w:spacing w:line="276" w:lineRule="auto"/>
        <w:ind w:firstLine="480"/>
        <w:rPr>
          <w:rFonts w:hint="eastAsia" w:ascii="宋体" w:hAnsi="宋体" w:eastAsia="宋体"/>
          <w:sz w:val="24"/>
          <w:szCs w:val="24"/>
        </w:rPr>
      </w:pPr>
      <w:r>
        <w:rPr>
          <w:rFonts w:hint="eastAsia" w:ascii="宋体" w:hAnsi="宋体" w:eastAsia="宋体"/>
          <w:sz w:val="24"/>
          <w:szCs w:val="24"/>
        </w:rPr>
        <w:t>城市编码数据库建设依托《数字化城市管理信息系统第</w:t>
      </w:r>
      <w:r>
        <w:rPr>
          <w:rFonts w:ascii="宋体" w:hAnsi="宋体" w:eastAsia="宋体"/>
          <w:sz w:val="24"/>
          <w:szCs w:val="24"/>
        </w:rPr>
        <w:t xml:space="preserve"> 3 部分：</w:t>
      </w:r>
      <w:r>
        <w:rPr>
          <w:rFonts w:hint="eastAsia" w:ascii="宋体" w:hAnsi="宋体" w:eastAsia="宋体"/>
          <w:sz w:val="24"/>
          <w:szCs w:val="24"/>
        </w:rPr>
        <w:t>地理编码</w:t>
      </w:r>
      <w:r>
        <w:rPr>
          <w:rFonts w:ascii="宋体" w:hAnsi="宋体" w:eastAsia="宋体"/>
          <w:sz w:val="24"/>
          <w:szCs w:val="24"/>
        </w:rPr>
        <w:t>》（GB/T 30428.3-2016）</w:t>
      </w:r>
      <w:r>
        <w:rPr>
          <w:rFonts w:hint="eastAsia" w:ascii="宋体" w:hAnsi="宋体" w:eastAsia="宋体"/>
          <w:sz w:val="24"/>
          <w:szCs w:val="24"/>
        </w:rPr>
        <w:t>进行建设。</w:t>
      </w:r>
    </w:p>
    <w:p w14:paraId="70559B53">
      <w:pPr>
        <w:pStyle w:val="14"/>
        <w:rPr>
          <w:rFonts w:hint="eastAsia"/>
        </w:rPr>
      </w:pPr>
      <w:r>
        <w:rPr>
          <w:rFonts w:hint="eastAsia"/>
        </w:rPr>
        <w:t>地理编码分类</w:t>
      </w:r>
    </w:p>
    <w:p w14:paraId="157DEFEF">
      <w:pPr>
        <w:spacing w:line="276" w:lineRule="auto"/>
        <w:ind w:firstLine="480"/>
        <w:rPr>
          <w:rFonts w:hint="eastAsia" w:ascii="宋体" w:hAnsi="宋体" w:eastAsia="宋体"/>
          <w:sz w:val="24"/>
          <w:szCs w:val="24"/>
        </w:rPr>
      </w:pPr>
      <w:r>
        <w:rPr>
          <w:rFonts w:hint="eastAsia" w:ascii="宋体" w:hAnsi="宋体" w:eastAsia="宋体"/>
          <w:sz w:val="24"/>
          <w:szCs w:val="24"/>
        </w:rPr>
        <w:t>基本地点名称类型分为区域数据、地片与区片数据、街巷数据、门（楼）牌数据、兴趣点数据。</w:t>
      </w:r>
    </w:p>
    <w:p w14:paraId="2D343B51">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区域包括各级行政区域、社区（村）及单元网格；</w:t>
      </w:r>
    </w:p>
    <w:p w14:paraId="3DB38637">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地片与区片包含居民小区、功能区、单位、院落等；</w:t>
      </w:r>
    </w:p>
    <w:p w14:paraId="74B0105D">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街巷包含街、大街、道、大道、路、巷、胡同、里、弄、条等；</w:t>
      </w:r>
    </w:p>
    <w:p w14:paraId="7C31E5F2">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门（楼）牌包含门、院、楼、座、栋、幢、斋、馆、堂等的标牌；</w:t>
      </w:r>
    </w:p>
    <w:p w14:paraId="644A529C">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兴趣点包含具有地理标识作用的建筑物、单位、店铺、车站、码头、广场、桥、碑、亭、雕塑、喷泉等。</w:t>
      </w:r>
    </w:p>
    <w:p w14:paraId="50B3D7AD">
      <w:pPr>
        <w:pStyle w:val="14"/>
        <w:rPr>
          <w:rFonts w:hint="eastAsia"/>
        </w:rPr>
      </w:pPr>
      <w:r>
        <w:rPr>
          <w:rFonts w:hint="eastAsia"/>
        </w:rPr>
        <w:t>地理编码规则</w:t>
      </w:r>
    </w:p>
    <w:p w14:paraId="0F29755A">
      <w:pPr>
        <w:pStyle w:val="524"/>
        <w:keepNext w:val="0"/>
        <w:keepLines w:val="0"/>
        <w:pageBreakBefore w:val="0"/>
        <w:widowControl w:val="0"/>
        <w:kinsoku/>
        <w:wordWrap/>
        <w:overflowPunct/>
        <w:topLinePunct w:val="0"/>
        <w:autoSpaceDE/>
        <w:autoSpaceDN/>
        <w:bidi w:val="0"/>
        <w:adjustRightInd/>
        <w:snapToGrid/>
        <w:spacing w:after="60"/>
        <w:ind w:left="0" w:firstLine="482"/>
        <w:jc w:val="left"/>
        <w:textAlignment w:val="auto"/>
        <w:rPr>
          <w:rFonts w:hint="eastAsia"/>
          <w:b/>
        </w:rPr>
      </w:pPr>
      <w:r>
        <w:rPr>
          <w:rFonts w:hint="eastAsia"/>
          <w:b/>
        </w:rPr>
        <w:t>1、地点定位要求</w:t>
      </w:r>
    </w:p>
    <w:p w14:paraId="043F1650">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宜优先基于门（楼）牌数据或兴趣点数据进行地点定位。基于门（楼）牌数据定位时，可按门（楼）牌号插值进行概略定位；基于兴趣点数据进行定位时，可辅助使用方位、距离等信息。</w:t>
      </w:r>
    </w:p>
    <w:p w14:paraId="3D28D163">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利用基本地点数据进行定位时，可使用的方式为:</w:t>
      </w:r>
    </w:p>
    <w:p w14:paraId="3C212870">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门（楼）牌可按标牌位置或标识码实现定位；</w:t>
      </w:r>
    </w:p>
    <w:p w14:paraId="7B4FA8D3">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兴趣点可按名称或标识码实现定位；</w:t>
      </w:r>
    </w:p>
    <w:p w14:paraId="24CC79CA">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街巷宜按名称或标识码实现定位；</w:t>
      </w:r>
    </w:p>
    <w:p w14:paraId="7478FA6F">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地名与区片可按其名称或标识码实现定位；</w:t>
      </w:r>
    </w:p>
    <w:p w14:paraId="7A3A0EAA">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区域可按其名称或代码实现定位。</w:t>
      </w:r>
    </w:p>
    <w:p w14:paraId="134AE53F">
      <w:pPr>
        <w:pStyle w:val="524"/>
        <w:keepNext w:val="0"/>
        <w:keepLines w:val="0"/>
        <w:pageBreakBefore w:val="0"/>
        <w:widowControl w:val="0"/>
        <w:kinsoku/>
        <w:wordWrap/>
        <w:overflowPunct/>
        <w:topLinePunct w:val="0"/>
        <w:autoSpaceDE/>
        <w:autoSpaceDN/>
        <w:bidi w:val="0"/>
        <w:adjustRightInd/>
        <w:snapToGrid/>
        <w:spacing w:after="60"/>
        <w:ind w:left="0" w:firstLine="482"/>
        <w:jc w:val="left"/>
        <w:textAlignment w:val="auto"/>
        <w:rPr>
          <w:rFonts w:hint="eastAsia"/>
          <w:b/>
        </w:rPr>
      </w:pPr>
      <w:r>
        <w:rPr>
          <w:rFonts w:hint="eastAsia"/>
          <w:b/>
        </w:rPr>
        <w:t>2、分段组合规则</w:t>
      </w:r>
    </w:p>
    <w:p w14:paraId="66D5871C">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①定位描述的分段应符合下列规定：</w:t>
      </w:r>
    </w:p>
    <w:p w14:paraId="5D51BD5B">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区域名称按[市|区/县|街道/镇/乡|社区/村]分段；</w:t>
      </w:r>
    </w:p>
    <w:p w14:paraId="27CD93BE">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地片与区片按[市|区/县|街道/镇/乡|地片/区片]分段；</w:t>
      </w:r>
    </w:p>
    <w:p w14:paraId="66748BA2">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街巷按[市|区/县|街巷名称]分段；</w:t>
      </w:r>
    </w:p>
    <w:p w14:paraId="554AB128">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门牌名称按[门牌上的街巷名称/门牌上的地片名称/门牌上的区片名称|顺序号|号/院]分段；</w:t>
      </w:r>
    </w:p>
    <w:p w14:paraId="4F820E8B">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楼牌名称按[楼牌上的街巷名称/楼牌上的地片名称/楼牌上的区片名称|顺序号|号/楼]分段；</w:t>
      </w:r>
    </w:p>
    <w:p w14:paraId="4C2E82B9">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兴趣点名称按[地片/区片/街巷/门牌/楼牌|兴趣点名称]分段。</w:t>
      </w:r>
    </w:p>
    <w:p w14:paraId="1A81AAC3">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②定位描述组合规则应符合下列规定：</w:t>
      </w:r>
    </w:p>
    <w:p w14:paraId="17534497">
      <w:pPr>
        <w:pStyle w:val="524"/>
        <w:keepNext w:val="0"/>
        <w:keepLines w:val="0"/>
        <w:pageBreakBefore w:val="0"/>
        <w:widowControl w:val="0"/>
        <w:numPr>
          <w:ilvl w:val="0"/>
          <w:numId w:val="124"/>
        </w:numPr>
        <w:kinsoku/>
        <w:wordWrap/>
        <w:overflowPunct/>
        <w:topLinePunct w:val="0"/>
        <w:autoSpaceDE/>
        <w:autoSpaceDN/>
        <w:bidi w:val="0"/>
        <w:adjustRightInd/>
        <w:snapToGrid/>
        <w:spacing w:after="78" w:afterLines="25"/>
        <w:ind w:left="0" w:firstLine="629" w:firstLineChars="0"/>
        <w:jc w:val="left"/>
        <w:textAlignment w:val="auto"/>
        <w:rPr>
          <w:rFonts w:hint="eastAsia"/>
        </w:rPr>
      </w:pPr>
      <w:r>
        <w:rPr>
          <w:rFonts w:hint="eastAsia"/>
        </w:rPr>
        <w:t>定位描述按[区域地名|地片/区片/街巷/门牌/楼牌|(方位)|兴趣点|(方位)|(补充说明)]的基本地点名称分段；</w:t>
      </w:r>
    </w:p>
    <w:p w14:paraId="5E7CC667">
      <w:pPr>
        <w:pStyle w:val="524"/>
        <w:keepNext w:val="0"/>
        <w:keepLines w:val="0"/>
        <w:pageBreakBefore w:val="0"/>
        <w:widowControl w:val="0"/>
        <w:numPr>
          <w:ilvl w:val="0"/>
          <w:numId w:val="124"/>
        </w:numPr>
        <w:kinsoku/>
        <w:wordWrap/>
        <w:overflowPunct/>
        <w:topLinePunct w:val="0"/>
        <w:autoSpaceDE/>
        <w:autoSpaceDN/>
        <w:bidi w:val="0"/>
        <w:adjustRightInd/>
        <w:snapToGrid/>
        <w:spacing w:after="78" w:afterLines="25"/>
        <w:ind w:left="0" w:firstLine="629" w:firstLineChars="0"/>
        <w:jc w:val="left"/>
        <w:textAlignment w:val="auto"/>
        <w:rPr>
          <w:rFonts w:hint="eastAsia"/>
        </w:rPr>
      </w:pPr>
      <w:r>
        <w:rPr>
          <w:rFonts w:hint="eastAsia"/>
        </w:rPr>
        <w:t>定位描述中方位描述宜按东/南/西/北/东南/西北/东北/西南/前/后/左/右/上/下/内/外/旁/相向/相邻，可按需要扩展。</w:t>
      </w:r>
    </w:p>
    <w:p w14:paraId="5C902781">
      <w:pPr>
        <w:pStyle w:val="524"/>
        <w:keepNext w:val="0"/>
        <w:keepLines w:val="0"/>
        <w:pageBreakBefore w:val="0"/>
        <w:widowControl w:val="0"/>
        <w:numPr>
          <w:ilvl w:val="0"/>
          <w:numId w:val="124"/>
        </w:numPr>
        <w:kinsoku/>
        <w:wordWrap/>
        <w:overflowPunct/>
        <w:topLinePunct w:val="0"/>
        <w:autoSpaceDE/>
        <w:autoSpaceDN/>
        <w:bidi w:val="0"/>
        <w:adjustRightInd/>
        <w:snapToGrid/>
        <w:spacing w:after="78" w:afterLines="25"/>
        <w:ind w:left="0" w:firstLine="629" w:firstLineChars="0"/>
        <w:jc w:val="left"/>
        <w:textAlignment w:val="auto"/>
        <w:rPr>
          <w:rFonts w:hint="eastAsia"/>
        </w:rPr>
      </w:pPr>
      <w:r>
        <w:rPr>
          <w:rFonts w:hint="eastAsia"/>
        </w:rPr>
        <w:t>定位描述中补充说明是与基本地点相对地理位置关系的描述。</w:t>
      </w:r>
    </w:p>
    <w:p w14:paraId="27AFB21A">
      <w:pPr>
        <w:pStyle w:val="14"/>
        <w:rPr>
          <w:rFonts w:hint="eastAsia"/>
        </w:rPr>
      </w:pPr>
      <w:r>
        <w:rPr>
          <w:rFonts w:hint="eastAsia"/>
        </w:rPr>
        <w:t>地理编码属性信息要求</w:t>
      </w:r>
    </w:p>
    <w:p w14:paraId="469BFD23">
      <w:pPr>
        <w:pStyle w:val="524"/>
        <w:spacing w:after="60"/>
        <w:ind w:left="960" w:firstLine="480"/>
        <w:jc w:val="left"/>
        <w:rPr>
          <w:rFonts w:hint="eastAsia"/>
        </w:rPr>
      </w:pPr>
      <w:r>
        <w:rPr>
          <w:rFonts w:hint="eastAsia"/>
        </w:rPr>
        <w:t>1、区域数据</w:t>
      </w:r>
    </w:p>
    <w:p w14:paraId="75ABDB69">
      <w:pPr>
        <w:pStyle w:val="524"/>
        <w:spacing w:after="60"/>
        <w:ind w:left="960" w:firstLine="480"/>
        <w:jc w:val="left"/>
        <w:rPr>
          <w:rFonts w:hint="eastAsia"/>
        </w:rPr>
      </w:pPr>
      <w:r>
        <w:rPr>
          <w:rFonts w:hint="eastAsia"/>
        </w:rPr>
        <w:t>区域代码结构应符合下表规定：</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771"/>
        <w:gridCol w:w="2827"/>
      </w:tblGrid>
      <w:tr w14:paraId="57FE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AEEB6AC">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sz w:val="21"/>
                <w:szCs w:val="21"/>
              </w:rPr>
            </w:pPr>
            <w:r>
              <w:rPr>
                <w:rFonts w:hint="eastAsia"/>
                <w:b/>
                <w:sz w:val="21"/>
                <w:szCs w:val="21"/>
              </w:rPr>
              <w:t>序号</w:t>
            </w:r>
          </w:p>
        </w:tc>
        <w:tc>
          <w:tcPr>
            <w:tcW w:w="5005" w:type="dxa"/>
            <w:vAlign w:val="center"/>
          </w:tcPr>
          <w:p w14:paraId="2A21E8CF">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sz w:val="21"/>
                <w:szCs w:val="21"/>
              </w:rPr>
            </w:pPr>
            <w:r>
              <w:rPr>
                <w:rFonts w:hint="eastAsia"/>
                <w:b/>
                <w:sz w:val="21"/>
                <w:szCs w:val="21"/>
              </w:rPr>
              <w:t>区域代码</w:t>
            </w:r>
          </w:p>
        </w:tc>
        <w:tc>
          <w:tcPr>
            <w:tcW w:w="2982" w:type="dxa"/>
            <w:vAlign w:val="center"/>
          </w:tcPr>
          <w:p w14:paraId="031D9C4A">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sz w:val="21"/>
                <w:szCs w:val="21"/>
              </w:rPr>
            </w:pPr>
            <w:r>
              <w:rPr>
                <w:rFonts w:hint="eastAsia"/>
                <w:b/>
                <w:sz w:val="21"/>
                <w:szCs w:val="21"/>
              </w:rPr>
              <w:t>区域级别</w:t>
            </w:r>
          </w:p>
        </w:tc>
      </w:tr>
      <w:tr w14:paraId="0F14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BD3B7BC">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1</w:t>
            </w:r>
          </w:p>
        </w:tc>
        <w:tc>
          <w:tcPr>
            <w:tcW w:w="5005" w:type="dxa"/>
          </w:tcPr>
          <w:p w14:paraId="75E6488F">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w:t>
            </w:r>
          </w:p>
        </w:tc>
        <w:tc>
          <w:tcPr>
            <w:tcW w:w="2982" w:type="dxa"/>
          </w:tcPr>
          <w:p w14:paraId="68699B89">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县级及县级以上行政区域</w:t>
            </w:r>
          </w:p>
        </w:tc>
      </w:tr>
      <w:tr w14:paraId="1BC5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D568838">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2</w:t>
            </w:r>
          </w:p>
        </w:tc>
        <w:tc>
          <w:tcPr>
            <w:tcW w:w="5005" w:type="dxa"/>
          </w:tcPr>
          <w:p w14:paraId="0FE3D7B9">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  ×××</w:t>
            </w:r>
          </w:p>
        </w:tc>
        <w:tc>
          <w:tcPr>
            <w:tcW w:w="2982" w:type="dxa"/>
          </w:tcPr>
          <w:p w14:paraId="1957CAFD">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街道、镇、乡级行政区域</w:t>
            </w:r>
          </w:p>
        </w:tc>
      </w:tr>
      <w:tr w14:paraId="675A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7008A40">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3</w:t>
            </w:r>
          </w:p>
        </w:tc>
        <w:tc>
          <w:tcPr>
            <w:tcW w:w="5005" w:type="dxa"/>
          </w:tcPr>
          <w:p w14:paraId="442B5CAF">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  ×××  ×××</w:t>
            </w:r>
          </w:p>
        </w:tc>
        <w:tc>
          <w:tcPr>
            <w:tcW w:w="2982" w:type="dxa"/>
          </w:tcPr>
          <w:p w14:paraId="0A5F1A84">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社区、村</w:t>
            </w:r>
          </w:p>
        </w:tc>
      </w:tr>
      <w:tr w14:paraId="39C7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90925E7">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4</w:t>
            </w:r>
          </w:p>
        </w:tc>
        <w:tc>
          <w:tcPr>
            <w:tcW w:w="5005" w:type="dxa"/>
          </w:tcPr>
          <w:p w14:paraId="5E24A259">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  ×××  ×××  ×××</w:t>
            </w:r>
          </w:p>
        </w:tc>
        <w:tc>
          <w:tcPr>
            <w:tcW w:w="2982" w:type="dxa"/>
          </w:tcPr>
          <w:p w14:paraId="356BE973">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单元网格</w:t>
            </w:r>
          </w:p>
        </w:tc>
      </w:tr>
    </w:tbl>
    <w:p w14:paraId="7A3BA404">
      <w:pPr>
        <w:pStyle w:val="524"/>
        <w:spacing w:after="60"/>
        <w:ind w:left="960" w:firstLine="480"/>
        <w:jc w:val="left"/>
        <w:rPr>
          <w:rFonts w:hint="eastAsia"/>
          <w:szCs w:val="24"/>
        </w:rPr>
      </w:pPr>
      <w:r>
        <w:rPr>
          <w:rFonts w:hint="eastAsia"/>
          <w:szCs w:val="24"/>
        </w:rPr>
        <w:t>区域基本属性数据的内容、结构和字段代码应符合下表的规定：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959"/>
        <w:gridCol w:w="897"/>
        <w:gridCol w:w="754"/>
        <w:gridCol w:w="730"/>
        <w:gridCol w:w="3596"/>
        <w:gridCol w:w="1093"/>
      </w:tblGrid>
      <w:tr w14:paraId="0BCC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4DC42609">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563" w:type="pct"/>
            <w:vAlign w:val="center"/>
          </w:tcPr>
          <w:p w14:paraId="5151B9CD">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526" w:type="pct"/>
            <w:vAlign w:val="center"/>
          </w:tcPr>
          <w:p w14:paraId="053D4483">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42" w:type="pct"/>
            <w:vAlign w:val="center"/>
          </w:tcPr>
          <w:p w14:paraId="119A93DF">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428" w:type="pct"/>
            <w:vAlign w:val="center"/>
          </w:tcPr>
          <w:p w14:paraId="25F9D84F">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2110" w:type="pct"/>
            <w:vAlign w:val="center"/>
          </w:tcPr>
          <w:p w14:paraId="73E66242">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641" w:type="pct"/>
            <w:vAlign w:val="center"/>
          </w:tcPr>
          <w:p w14:paraId="6A71BA69">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5ECF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B5CDB6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563" w:type="pct"/>
            <w:vAlign w:val="center"/>
          </w:tcPr>
          <w:p w14:paraId="569FC5A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526" w:type="pct"/>
            <w:vAlign w:val="center"/>
          </w:tcPr>
          <w:p w14:paraId="11DFDBA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AddName</w:t>
            </w:r>
          </w:p>
        </w:tc>
        <w:tc>
          <w:tcPr>
            <w:tcW w:w="442" w:type="pct"/>
            <w:vAlign w:val="center"/>
          </w:tcPr>
          <w:p w14:paraId="7AB0A70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35AD433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2110" w:type="pct"/>
            <w:vAlign w:val="center"/>
          </w:tcPr>
          <w:p w14:paraId="2DEB3FC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区域的标准名称</w:t>
            </w:r>
          </w:p>
        </w:tc>
        <w:tc>
          <w:tcPr>
            <w:tcW w:w="641" w:type="pct"/>
            <w:vAlign w:val="center"/>
          </w:tcPr>
          <w:p w14:paraId="2357614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C/非单元网格？</w:t>
            </w:r>
          </w:p>
        </w:tc>
      </w:tr>
      <w:tr w14:paraId="79FD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1F2087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563" w:type="pct"/>
            <w:vAlign w:val="center"/>
          </w:tcPr>
          <w:p w14:paraId="3539A31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526" w:type="pct"/>
            <w:vAlign w:val="center"/>
          </w:tcPr>
          <w:p w14:paraId="4A95482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AddID</w:t>
            </w:r>
          </w:p>
        </w:tc>
        <w:tc>
          <w:tcPr>
            <w:tcW w:w="442" w:type="pct"/>
            <w:vAlign w:val="center"/>
          </w:tcPr>
          <w:p w14:paraId="376C4A9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4B9AD81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2110" w:type="pct"/>
            <w:vAlign w:val="center"/>
          </w:tcPr>
          <w:p w14:paraId="5B7BF35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区域代码，数据集中应唯一</w:t>
            </w:r>
          </w:p>
        </w:tc>
        <w:tc>
          <w:tcPr>
            <w:tcW w:w="641" w:type="pct"/>
            <w:vAlign w:val="center"/>
          </w:tcPr>
          <w:p w14:paraId="100DE80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379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252144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563" w:type="pct"/>
            <w:vAlign w:val="center"/>
          </w:tcPr>
          <w:p w14:paraId="1984F8F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别名</w:t>
            </w:r>
          </w:p>
        </w:tc>
        <w:tc>
          <w:tcPr>
            <w:tcW w:w="526" w:type="pct"/>
            <w:vAlign w:val="center"/>
          </w:tcPr>
          <w:p w14:paraId="49B27FC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Alias</w:t>
            </w:r>
          </w:p>
        </w:tc>
        <w:tc>
          <w:tcPr>
            <w:tcW w:w="442" w:type="pct"/>
            <w:vAlign w:val="center"/>
          </w:tcPr>
          <w:p w14:paraId="10A1218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24BEB39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10" w:type="pct"/>
            <w:vAlign w:val="center"/>
          </w:tcPr>
          <w:p w14:paraId="47E489F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标准名称以外的其他名称，{别名1/…/别名n}</w:t>
            </w:r>
          </w:p>
        </w:tc>
        <w:tc>
          <w:tcPr>
            <w:tcW w:w="641" w:type="pct"/>
            <w:vAlign w:val="center"/>
          </w:tcPr>
          <w:p w14:paraId="2E615ED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115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0BB66D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563" w:type="pct"/>
            <w:vAlign w:val="center"/>
          </w:tcPr>
          <w:p w14:paraId="35841B2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526" w:type="pct"/>
            <w:vAlign w:val="center"/>
          </w:tcPr>
          <w:p w14:paraId="6A191CC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42" w:type="pct"/>
            <w:vAlign w:val="center"/>
          </w:tcPr>
          <w:p w14:paraId="09AFC00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3006D41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10" w:type="pct"/>
            <w:vAlign w:val="center"/>
          </w:tcPr>
          <w:p w14:paraId="7F0588D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641" w:type="pct"/>
            <w:vAlign w:val="center"/>
          </w:tcPr>
          <w:p w14:paraId="73BF335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A89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57EA7B4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563" w:type="pct"/>
            <w:vAlign w:val="center"/>
          </w:tcPr>
          <w:p w14:paraId="26FBB7E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526" w:type="pct"/>
            <w:vAlign w:val="center"/>
          </w:tcPr>
          <w:p w14:paraId="08474F6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42" w:type="pct"/>
            <w:vAlign w:val="center"/>
          </w:tcPr>
          <w:p w14:paraId="5F1E780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0570258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2110" w:type="pct"/>
            <w:vAlign w:val="center"/>
          </w:tcPr>
          <w:p w14:paraId="4466EED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641" w:type="pct"/>
            <w:vAlign w:val="center"/>
          </w:tcPr>
          <w:p w14:paraId="0251C1C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0365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550A4B8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563" w:type="pct"/>
            <w:vAlign w:val="center"/>
          </w:tcPr>
          <w:p w14:paraId="25E30E7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526" w:type="pct"/>
            <w:vAlign w:val="center"/>
          </w:tcPr>
          <w:p w14:paraId="6A2A9CB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42" w:type="pct"/>
            <w:vAlign w:val="center"/>
          </w:tcPr>
          <w:p w14:paraId="7351BB2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8" w:type="pct"/>
            <w:vAlign w:val="center"/>
          </w:tcPr>
          <w:p w14:paraId="5A15E46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10" w:type="pct"/>
            <w:vAlign w:val="center"/>
          </w:tcPr>
          <w:p w14:paraId="2C1732C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641" w:type="pct"/>
            <w:vAlign w:val="center"/>
          </w:tcPr>
          <w:p w14:paraId="1E4FFB2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45DF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B3D5BB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563" w:type="pct"/>
            <w:vAlign w:val="center"/>
          </w:tcPr>
          <w:p w14:paraId="1A1710A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526" w:type="pct"/>
            <w:vAlign w:val="center"/>
          </w:tcPr>
          <w:p w14:paraId="3BFB875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42" w:type="pct"/>
            <w:vAlign w:val="center"/>
          </w:tcPr>
          <w:p w14:paraId="72951B8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8" w:type="pct"/>
            <w:vAlign w:val="center"/>
          </w:tcPr>
          <w:p w14:paraId="0A325A5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10" w:type="pct"/>
            <w:vAlign w:val="center"/>
          </w:tcPr>
          <w:p w14:paraId="31ECF81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641" w:type="pct"/>
            <w:vAlign w:val="center"/>
          </w:tcPr>
          <w:p w14:paraId="3151892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537E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17F0E8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563" w:type="pct"/>
            <w:vAlign w:val="center"/>
          </w:tcPr>
          <w:p w14:paraId="56C4B47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526" w:type="pct"/>
            <w:vAlign w:val="center"/>
          </w:tcPr>
          <w:p w14:paraId="3BCC2EC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42" w:type="pct"/>
            <w:vAlign w:val="center"/>
          </w:tcPr>
          <w:p w14:paraId="59982EA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776F248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10" w:type="pct"/>
            <w:vAlign w:val="center"/>
          </w:tcPr>
          <w:p w14:paraId="6A00370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641" w:type="pct"/>
            <w:vAlign w:val="center"/>
          </w:tcPr>
          <w:p w14:paraId="4AFBE50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15D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485283A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179702F3">
      <w:pPr>
        <w:pStyle w:val="524"/>
        <w:spacing w:after="60"/>
        <w:ind w:left="960" w:firstLine="480"/>
        <w:jc w:val="left"/>
        <w:rPr>
          <w:rFonts w:hint="eastAsia"/>
          <w:szCs w:val="24"/>
        </w:rPr>
      </w:pPr>
      <w:r>
        <w:rPr>
          <w:rFonts w:hint="eastAsia"/>
          <w:szCs w:val="24"/>
        </w:rPr>
        <w:t>2、地片与区片数据</w:t>
      </w:r>
    </w:p>
    <w:p w14:paraId="03F37590">
      <w:pPr>
        <w:pStyle w:val="524"/>
        <w:spacing w:after="60"/>
        <w:ind w:left="960" w:firstLine="480"/>
        <w:jc w:val="left"/>
        <w:rPr>
          <w:rFonts w:hint="eastAsia"/>
          <w:szCs w:val="24"/>
        </w:rPr>
      </w:pPr>
      <w:r>
        <w:rPr>
          <w:rFonts w:hint="eastAsia"/>
          <w:szCs w:val="24"/>
        </w:rPr>
        <w:t>地片与区片基本属性数据的内容、结构和字段代码应符合下表的规定：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386"/>
        <w:gridCol w:w="1266"/>
        <w:gridCol w:w="700"/>
        <w:gridCol w:w="671"/>
        <w:gridCol w:w="3126"/>
        <w:gridCol w:w="902"/>
      </w:tblGrid>
      <w:tr w14:paraId="6955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7699044">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814" w:type="pct"/>
            <w:vAlign w:val="center"/>
          </w:tcPr>
          <w:p w14:paraId="3A90E2FD">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741" w:type="pct"/>
            <w:vAlign w:val="center"/>
          </w:tcPr>
          <w:p w14:paraId="6FB6750A">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11" w:type="pct"/>
            <w:vAlign w:val="center"/>
          </w:tcPr>
          <w:p w14:paraId="3A21CDD2">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394" w:type="pct"/>
            <w:vAlign w:val="center"/>
          </w:tcPr>
          <w:p w14:paraId="26C7A1A1">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1834" w:type="pct"/>
            <w:vAlign w:val="center"/>
          </w:tcPr>
          <w:p w14:paraId="0E220EBA">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529" w:type="pct"/>
            <w:vAlign w:val="center"/>
          </w:tcPr>
          <w:p w14:paraId="2F2CDFF2">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180B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4AB69B9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814" w:type="pct"/>
            <w:vAlign w:val="center"/>
          </w:tcPr>
          <w:p w14:paraId="655D513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741" w:type="pct"/>
            <w:vAlign w:val="center"/>
          </w:tcPr>
          <w:p w14:paraId="530C41C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ZoneName</w:t>
            </w:r>
          </w:p>
        </w:tc>
        <w:tc>
          <w:tcPr>
            <w:tcW w:w="411" w:type="pct"/>
            <w:vAlign w:val="center"/>
          </w:tcPr>
          <w:p w14:paraId="181BB71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1CDA40D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834" w:type="pct"/>
            <w:vAlign w:val="center"/>
          </w:tcPr>
          <w:p w14:paraId="30A908C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地片或区片的标准名称</w:t>
            </w:r>
          </w:p>
        </w:tc>
        <w:tc>
          <w:tcPr>
            <w:tcW w:w="529" w:type="pct"/>
            <w:vAlign w:val="center"/>
          </w:tcPr>
          <w:p w14:paraId="3999EA0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7653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421701A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814" w:type="pct"/>
            <w:vAlign w:val="center"/>
          </w:tcPr>
          <w:p w14:paraId="2B8A034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741" w:type="pct"/>
            <w:vAlign w:val="center"/>
          </w:tcPr>
          <w:p w14:paraId="7109761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ZoneID</w:t>
            </w:r>
          </w:p>
        </w:tc>
        <w:tc>
          <w:tcPr>
            <w:tcW w:w="411" w:type="pct"/>
            <w:vAlign w:val="center"/>
          </w:tcPr>
          <w:p w14:paraId="17713D4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1FB7E1C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1834" w:type="pct"/>
            <w:vAlign w:val="center"/>
          </w:tcPr>
          <w:p w14:paraId="5A24A25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地片或区片代码，数据集中应唯一</w:t>
            </w:r>
          </w:p>
        </w:tc>
        <w:tc>
          <w:tcPr>
            <w:tcW w:w="529" w:type="pct"/>
            <w:vAlign w:val="center"/>
          </w:tcPr>
          <w:p w14:paraId="6831EED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4EE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7AAF3D0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814" w:type="pct"/>
            <w:vAlign w:val="center"/>
          </w:tcPr>
          <w:p w14:paraId="2D6870C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别名</w:t>
            </w:r>
          </w:p>
        </w:tc>
        <w:tc>
          <w:tcPr>
            <w:tcW w:w="741" w:type="pct"/>
            <w:vAlign w:val="center"/>
          </w:tcPr>
          <w:p w14:paraId="75ECBE1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Alias</w:t>
            </w:r>
          </w:p>
        </w:tc>
        <w:tc>
          <w:tcPr>
            <w:tcW w:w="411" w:type="pct"/>
            <w:vAlign w:val="center"/>
          </w:tcPr>
          <w:p w14:paraId="7F6E71C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6B809F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834" w:type="pct"/>
            <w:vAlign w:val="center"/>
          </w:tcPr>
          <w:p w14:paraId="620A08B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标准名称以外的其他名称，{别名1/…/别名n}</w:t>
            </w:r>
          </w:p>
        </w:tc>
        <w:tc>
          <w:tcPr>
            <w:tcW w:w="529" w:type="pct"/>
            <w:vAlign w:val="center"/>
          </w:tcPr>
          <w:p w14:paraId="78DF5D7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FDF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A8932C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814" w:type="pct"/>
            <w:vAlign w:val="center"/>
          </w:tcPr>
          <w:p w14:paraId="038829A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741" w:type="pct"/>
            <w:vAlign w:val="center"/>
          </w:tcPr>
          <w:p w14:paraId="03FAAE6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11" w:type="pct"/>
            <w:vAlign w:val="center"/>
          </w:tcPr>
          <w:p w14:paraId="15E0053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74CF9FD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834" w:type="pct"/>
            <w:vAlign w:val="center"/>
          </w:tcPr>
          <w:p w14:paraId="2C4C599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529" w:type="pct"/>
            <w:vAlign w:val="center"/>
          </w:tcPr>
          <w:p w14:paraId="7FC03DC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95F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001B65A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814" w:type="pct"/>
            <w:vAlign w:val="center"/>
          </w:tcPr>
          <w:p w14:paraId="78A8116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四至范围</w:t>
            </w:r>
          </w:p>
        </w:tc>
        <w:tc>
          <w:tcPr>
            <w:tcW w:w="741" w:type="pct"/>
            <w:vAlign w:val="center"/>
          </w:tcPr>
          <w:p w14:paraId="6AE9719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Boundary</w:t>
            </w:r>
          </w:p>
        </w:tc>
        <w:tc>
          <w:tcPr>
            <w:tcW w:w="411" w:type="pct"/>
            <w:vAlign w:val="center"/>
          </w:tcPr>
          <w:p w14:paraId="0A9B6AD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4F9ED87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256</w:t>
            </w:r>
          </w:p>
        </w:tc>
        <w:tc>
          <w:tcPr>
            <w:tcW w:w="1834" w:type="pct"/>
            <w:vAlign w:val="center"/>
          </w:tcPr>
          <w:p w14:paraId="190BAFE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文字描述地片或区片的四至范围</w:t>
            </w:r>
          </w:p>
        </w:tc>
        <w:tc>
          <w:tcPr>
            <w:tcW w:w="529" w:type="pct"/>
            <w:vAlign w:val="center"/>
          </w:tcPr>
          <w:p w14:paraId="0F4E13C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6B23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23F83EB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814" w:type="pct"/>
            <w:vAlign w:val="center"/>
          </w:tcPr>
          <w:p w14:paraId="65CC3FC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741" w:type="pct"/>
            <w:vAlign w:val="center"/>
          </w:tcPr>
          <w:p w14:paraId="6E9A54A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SubDisName</w:t>
            </w:r>
          </w:p>
        </w:tc>
        <w:tc>
          <w:tcPr>
            <w:tcW w:w="411" w:type="pct"/>
            <w:vAlign w:val="center"/>
          </w:tcPr>
          <w:p w14:paraId="40B6237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31897AA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834" w:type="pct"/>
            <w:vAlign w:val="center"/>
          </w:tcPr>
          <w:p w14:paraId="107E4B3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529" w:type="pct"/>
            <w:vAlign w:val="center"/>
          </w:tcPr>
          <w:p w14:paraId="5483F8D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13E1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0677FB7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814" w:type="pct"/>
            <w:vAlign w:val="center"/>
          </w:tcPr>
          <w:p w14:paraId="4A8A1EC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741" w:type="pct"/>
            <w:vAlign w:val="center"/>
          </w:tcPr>
          <w:p w14:paraId="6423F96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SubDisCode</w:t>
            </w:r>
          </w:p>
        </w:tc>
        <w:tc>
          <w:tcPr>
            <w:tcW w:w="411" w:type="pct"/>
            <w:vAlign w:val="center"/>
          </w:tcPr>
          <w:p w14:paraId="24E6277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681C5BF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1834" w:type="pct"/>
            <w:vAlign w:val="center"/>
          </w:tcPr>
          <w:p w14:paraId="6738841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529" w:type="pct"/>
            <w:vAlign w:val="center"/>
          </w:tcPr>
          <w:p w14:paraId="5D3DAC2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1ED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3CEA3EB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814" w:type="pct"/>
            <w:vAlign w:val="center"/>
          </w:tcPr>
          <w:p w14:paraId="2AE91A3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741" w:type="pct"/>
            <w:vAlign w:val="center"/>
          </w:tcPr>
          <w:p w14:paraId="27F6E32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CommuName</w:t>
            </w:r>
          </w:p>
        </w:tc>
        <w:tc>
          <w:tcPr>
            <w:tcW w:w="411" w:type="pct"/>
            <w:vAlign w:val="center"/>
          </w:tcPr>
          <w:p w14:paraId="57E2804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5C21898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834" w:type="pct"/>
            <w:vAlign w:val="center"/>
          </w:tcPr>
          <w:p w14:paraId="30CD9A3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529" w:type="pct"/>
            <w:vAlign w:val="center"/>
          </w:tcPr>
          <w:p w14:paraId="05961A0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66C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E41A5A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814" w:type="pct"/>
            <w:vAlign w:val="center"/>
          </w:tcPr>
          <w:p w14:paraId="4C8B0F7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741" w:type="pct"/>
            <w:vAlign w:val="center"/>
          </w:tcPr>
          <w:p w14:paraId="1061FA0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CommuCode</w:t>
            </w:r>
          </w:p>
        </w:tc>
        <w:tc>
          <w:tcPr>
            <w:tcW w:w="411" w:type="pct"/>
            <w:vAlign w:val="center"/>
          </w:tcPr>
          <w:p w14:paraId="170DBD8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777316D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1834" w:type="pct"/>
            <w:vAlign w:val="center"/>
          </w:tcPr>
          <w:p w14:paraId="6B927DD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529" w:type="pct"/>
            <w:vAlign w:val="center"/>
          </w:tcPr>
          <w:p w14:paraId="51CD19F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074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3E63BDB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w:t>
            </w:r>
          </w:p>
        </w:tc>
        <w:tc>
          <w:tcPr>
            <w:tcW w:w="814" w:type="pct"/>
            <w:vAlign w:val="center"/>
          </w:tcPr>
          <w:p w14:paraId="18F598E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741" w:type="pct"/>
            <w:vAlign w:val="center"/>
          </w:tcPr>
          <w:p w14:paraId="38559FF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11" w:type="pct"/>
            <w:vAlign w:val="center"/>
          </w:tcPr>
          <w:p w14:paraId="181649E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13D66DD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1834" w:type="pct"/>
            <w:vAlign w:val="center"/>
          </w:tcPr>
          <w:p w14:paraId="240730F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529" w:type="pct"/>
            <w:vAlign w:val="center"/>
          </w:tcPr>
          <w:p w14:paraId="360D9C6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74C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30CFE4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11</w:t>
            </w:r>
          </w:p>
        </w:tc>
        <w:tc>
          <w:tcPr>
            <w:tcW w:w="814" w:type="pct"/>
            <w:vAlign w:val="center"/>
          </w:tcPr>
          <w:p w14:paraId="35BB505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741" w:type="pct"/>
            <w:vAlign w:val="center"/>
          </w:tcPr>
          <w:p w14:paraId="188C608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11" w:type="pct"/>
            <w:vAlign w:val="center"/>
          </w:tcPr>
          <w:p w14:paraId="72DBA2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94" w:type="pct"/>
            <w:vAlign w:val="center"/>
          </w:tcPr>
          <w:p w14:paraId="15BBB5F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834" w:type="pct"/>
            <w:vAlign w:val="center"/>
          </w:tcPr>
          <w:p w14:paraId="2226D9F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529" w:type="pct"/>
            <w:vAlign w:val="center"/>
          </w:tcPr>
          <w:p w14:paraId="2680E53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14CC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0EF46CF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814" w:type="pct"/>
            <w:vAlign w:val="center"/>
          </w:tcPr>
          <w:p w14:paraId="160757E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741" w:type="pct"/>
            <w:vAlign w:val="center"/>
          </w:tcPr>
          <w:p w14:paraId="4C4DC02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11" w:type="pct"/>
            <w:vAlign w:val="center"/>
          </w:tcPr>
          <w:p w14:paraId="63A7D96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94" w:type="pct"/>
            <w:vAlign w:val="center"/>
          </w:tcPr>
          <w:p w14:paraId="086E12F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834" w:type="pct"/>
            <w:vAlign w:val="center"/>
          </w:tcPr>
          <w:p w14:paraId="35E6FFF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529" w:type="pct"/>
            <w:vAlign w:val="center"/>
          </w:tcPr>
          <w:p w14:paraId="7548BD3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680E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446ACC2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13</w:t>
            </w:r>
          </w:p>
        </w:tc>
        <w:tc>
          <w:tcPr>
            <w:tcW w:w="814" w:type="pct"/>
            <w:vAlign w:val="center"/>
          </w:tcPr>
          <w:p w14:paraId="0F849AE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741" w:type="pct"/>
            <w:vAlign w:val="center"/>
          </w:tcPr>
          <w:p w14:paraId="5E25CD8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11" w:type="pct"/>
            <w:vAlign w:val="center"/>
          </w:tcPr>
          <w:p w14:paraId="7913F2F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7241F42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834" w:type="pct"/>
            <w:vAlign w:val="center"/>
          </w:tcPr>
          <w:p w14:paraId="61C1776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529" w:type="pct"/>
            <w:vAlign w:val="center"/>
          </w:tcPr>
          <w:p w14:paraId="6C286B9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C56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49A4091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712B3A5B">
      <w:pPr>
        <w:pStyle w:val="524"/>
        <w:spacing w:after="60"/>
        <w:ind w:left="960" w:firstLine="480"/>
        <w:jc w:val="left"/>
        <w:rPr>
          <w:rFonts w:hint="eastAsia"/>
          <w:szCs w:val="24"/>
        </w:rPr>
      </w:pPr>
      <w:r>
        <w:rPr>
          <w:rFonts w:hint="eastAsia"/>
          <w:szCs w:val="24"/>
        </w:rPr>
        <w:t>3、街巷数据</w:t>
      </w:r>
    </w:p>
    <w:p w14:paraId="2CC93385">
      <w:pPr>
        <w:pStyle w:val="524"/>
        <w:spacing w:after="60"/>
        <w:ind w:left="960" w:firstLine="480"/>
        <w:jc w:val="left"/>
        <w:rPr>
          <w:rFonts w:hint="eastAsia"/>
          <w:szCs w:val="24"/>
        </w:rPr>
      </w:pPr>
      <w:r>
        <w:rPr>
          <w:rFonts w:hint="eastAsia"/>
          <w:szCs w:val="24"/>
        </w:rPr>
        <w:t>街巷基本属性数据的内容、结构和字段代码应符合下表的规定：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178"/>
        <w:gridCol w:w="1307"/>
        <w:gridCol w:w="696"/>
        <w:gridCol w:w="669"/>
        <w:gridCol w:w="3306"/>
        <w:gridCol w:w="913"/>
      </w:tblGrid>
      <w:tr w14:paraId="4BC0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 w:type="pct"/>
            <w:vAlign w:val="center"/>
          </w:tcPr>
          <w:p w14:paraId="017363E3">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708" w:type="pct"/>
            <w:vAlign w:val="center"/>
          </w:tcPr>
          <w:p w14:paraId="6D503DF5">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667" w:type="pct"/>
            <w:vAlign w:val="center"/>
          </w:tcPr>
          <w:p w14:paraId="44CFADB8">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25" w:type="pct"/>
            <w:vAlign w:val="center"/>
          </w:tcPr>
          <w:p w14:paraId="0A0D0010">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409" w:type="pct"/>
            <w:vAlign w:val="center"/>
          </w:tcPr>
          <w:p w14:paraId="420AF32D">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1956" w:type="pct"/>
            <w:vAlign w:val="center"/>
          </w:tcPr>
          <w:p w14:paraId="4D6A3767">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553" w:type="pct"/>
            <w:vAlign w:val="center"/>
          </w:tcPr>
          <w:p w14:paraId="4FC78320">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3673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26F4160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708" w:type="pct"/>
            <w:vAlign w:val="center"/>
          </w:tcPr>
          <w:p w14:paraId="73E2835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667" w:type="pct"/>
            <w:vAlign w:val="center"/>
          </w:tcPr>
          <w:p w14:paraId="6C849CB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StrName</w:t>
            </w:r>
          </w:p>
        </w:tc>
        <w:tc>
          <w:tcPr>
            <w:tcW w:w="425" w:type="pct"/>
            <w:vAlign w:val="center"/>
          </w:tcPr>
          <w:p w14:paraId="42C5B5A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574205E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26EF8D5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街巷的标准名称</w:t>
            </w:r>
          </w:p>
        </w:tc>
        <w:tc>
          <w:tcPr>
            <w:tcW w:w="553" w:type="pct"/>
            <w:vAlign w:val="center"/>
          </w:tcPr>
          <w:p w14:paraId="04188E6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34BC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161BD34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708" w:type="pct"/>
            <w:vAlign w:val="center"/>
          </w:tcPr>
          <w:p w14:paraId="254F87C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667" w:type="pct"/>
            <w:vAlign w:val="center"/>
          </w:tcPr>
          <w:p w14:paraId="0B02A04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StrID</w:t>
            </w:r>
          </w:p>
        </w:tc>
        <w:tc>
          <w:tcPr>
            <w:tcW w:w="425" w:type="pct"/>
            <w:vAlign w:val="center"/>
          </w:tcPr>
          <w:p w14:paraId="535FE08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35A0ACB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1956" w:type="pct"/>
            <w:vAlign w:val="center"/>
          </w:tcPr>
          <w:p w14:paraId="67378B6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街巷代码，数据集中应唯一</w:t>
            </w:r>
          </w:p>
        </w:tc>
        <w:tc>
          <w:tcPr>
            <w:tcW w:w="553" w:type="pct"/>
            <w:vAlign w:val="center"/>
          </w:tcPr>
          <w:p w14:paraId="2712074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39B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2683782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708" w:type="pct"/>
            <w:vAlign w:val="center"/>
          </w:tcPr>
          <w:p w14:paraId="5DB4870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别名</w:t>
            </w:r>
          </w:p>
        </w:tc>
        <w:tc>
          <w:tcPr>
            <w:tcW w:w="667" w:type="pct"/>
            <w:vAlign w:val="center"/>
          </w:tcPr>
          <w:p w14:paraId="58ABB70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Alias</w:t>
            </w:r>
          </w:p>
        </w:tc>
        <w:tc>
          <w:tcPr>
            <w:tcW w:w="425" w:type="pct"/>
            <w:vAlign w:val="center"/>
          </w:tcPr>
          <w:p w14:paraId="2A95C74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51A552E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956" w:type="pct"/>
            <w:vAlign w:val="center"/>
          </w:tcPr>
          <w:p w14:paraId="5ABF20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标准名称以外的其他名称，{别名1/…/别名n}</w:t>
            </w:r>
          </w:p>
        </w:tc>
        <w:tc>
          <w:tcPr>
            <w:tcW w:w="553" w:type="pct"/>
            <w:vAlign w:val="center"/>
          </w:tcPr>
          <w:p w14:paraId="3275A68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89C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0F40AF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708" w:type="pct"/>
            <w:vAlign w:val="center"/>
          </w:tcPr>
          <w:p w14:paraId="05D36FA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667" w:type="pct"/>
            <w:vAlign w:val="center"/>
          </w:tcPr>
          <w:p w14:paraId="571AC58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25" w:type="pct"/>
            <w:vAlign w:val="center"/>
          </w:tcPr>
          <w:p w14:paraId="17C82EA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0A9C2E9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956" w:type="pct"/>
            <w:vAlign w:val="center"/>
          </w:tcPr>
          <w:p w14:paraId="423433D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553" w:type="pct"/>
            <w:vAlign w:val="center"/>
          </w:tcPr>
          <w:p w14:paraId="73D9292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5A7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D1E7C2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708" w:type="pct"/>
            <w:vAlign w:val="center"/>
          </w:tcPr>
          <w:p w14:paraId="00C6C6E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最小门（楼）牌号</w:t>
            </w:r>
          </w:p>
        </w:tc>
        <w:tc>
          <w:tcPr>
            <w:tcW w:w="667" w:type="pct"/>
            <w:vAlign w:val="center"/>
          </w:tcPr>
          <w:p w14:paraId="0751B445">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SHousenum</w:t>
            </w:r>
          </w:p>
        </w:tc>
        <w:tc>
          <w:tcPr>
            <w:tcW w:w="425" w:type="pct"/>
            <w:vAlign w:val="center"/>
          </w:tcPr>
          <w:p w14:paraId="3615785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1016D7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16</w:t>
            </w:r>
          </w:p>
        </w:tc>
        <w:tc>
          <w:tcPr>
            <w:tcW w:w="1956" w:type="pct"/>
            <w:vAlign w:val="center"/>
          </w:tcPr>
          <w:p w14:paraId="56B9023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最小门（楼）牌号</w:t>
            </w:r>
          </w:p>
        </w:tc>
        <w:tc>
          <w:tcPr>
            <w:tcW w:w="553" w:type="pct"/>
            <w:vAlign w:val="center"/>
          </w:tcPr>
          <w:p w14:paraId="64B607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0931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227951D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708" w:type="pct"/>
            <w:vAlign w:val="center"/>
          </w:tcPr>
          <w:p w14:paraId="50A04C7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最大门（楼）牌号</w:t>
            </w:r>
          </w:p>
        </w:tc>
        <w:tc>
          <w:tcPr>
            <w:tcW w:w="667" w:type="pct"/>
            <w:vAlign w:val="center"/>
          </w:tcPr>
          <w:p w14:paraId="6C88D17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LHousenum</w:t>
            </w:r>
          </w:p>
        </w:tc>
        <w:tc>
          <w:tcPr>
            <w:tcW w:w="425" w:type="pct"/>
            <w:vAlign w:val="center"/>
          </w:tcPr>
          <w:p w14:paraId="061A9C4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45D8058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16</w:t>
            </w:r>
          </w:p>
        </w:tc>
        <w:tc>
          <w:tcPr>
            <w:tcW w:w="1956" w:type="pct"/>
            <w:vAlign w:val="center"/>
          </w:tcPr>
          <w:p w14:paraId="62F9380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最大门（楼）牌号</w:t>
            </w:r>
          </w:p>
        </w:tc>
        <w:tc>
          <w:tcPr>
            <w:tcW w:w="553" w:type="pct"/>
            <w:vAlign w:val="center"/>
          </w:tcPr>
          <w:p w14:paraId="1A98034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83E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FB7A94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708" w:type="pct"/>
            <w:vAlign w:val="center"/>
          </w:tcPr>
          <w:p w14:paraId="267DA4F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起点名称</w:t>
            </w:r>
          </w:p>
        </w:tc>
        <w:tc>
          <w:tcPr>
            <w:tcW w:w="667" w:type="pct"/>
            <w:vAlign w:val="center"/>
          </w:tcPr>
          <w:p w14:paraId="612B9DB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Beginning</w:t>
            </w:r>
          </w:p>
        </w:tc>
        <w:tc>
          <w:tcPr>
            <w:tcW w:w="425" w:type="pct"/>
            <w:vAlign w:val="center"/>
          </w:tcPr>
          <w:p w14:paraId="712966A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677E8E9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447A0F5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街巷起点位置的名称</w:t>
            </w:r>
          </w:p>
        </w:tc>
        <w:tc>
          <w:tcPr>
            <w:tcW w:w="553" w:type="pct"/>
            <w:vAlign w:val="center"/>
          </w:tcPr>
          <w:p w14:paraId="79BA7EB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1E7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15479D6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708" w:type="pct"/>
            <w:vAlign w:val="center"/>
          </w:tcPr>
          <w:p w14:paraId="1FB6AB0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止点名称</w:t>
            </w:r>
          </w:p>
        </w:tc>
        <w:tc>
          <w:tcPr>
            <w:tcW w:w="667" w:type="pct"/>
            <w:vAlign w:val="center"/>
          </w:tcPr>
          <w:p w14:paraId="23347A9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Ending</w:t>
            </w:r>
          </w:p>
        </w:tc>
        <w:tc>
          <w:tcPr>
            <w:tcW w:w="425" w:type="pct"/>
            <w:vAlign w:val="center"/>
          </w:tcPr>
          <w:p w14:paraId="3428CBF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3CC6848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030D2E1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街巷终点位置的名称</w:t>
            </w:r>
          </w:p>
        </w:tc>
        <w:tc>
          <w:tcPr>
            <w:tcW w:w="553" w:type="pct"/>
            <w:vAlign w:val="center"/>
          </w:tcPr>
          <w:p w14:paraId="5F86540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00D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31608BB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708" w:type="pct"/>
            <w:vAlign w:val="center"/>
          </w:tcPr>
          <w:p w14:paraId="1E09B07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走向</w:t>
            </w:r>
          </w:p>
        </w:tc>
        <w:tc>
          <w:tcPr>
            <w:tcW w:w="667" w:type="pct"/>
            <w:vAlign w:val="center"/>
          </w:tcPr>
          <w:p w14:paraId="5D9F792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Direction</w:t>
            </w:r>
          </w:p>
        </w:tc>
        <w:tc>
          <w:tcPr>
            <w:tcW w:w="425" w:type="pct"/>
            <w:vAlign w:val="center"/>
          </w:tcPr>
          <w:p w14:paraId="665C623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396BAA6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4A4FE3B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街巷胡同方向</w:t>
            </w:r>
          </w:p>
        </w:tc>
        <w:tc>
          <w:tcPr>
            <w:tcW w:w="553" w:type="pct"/>
            <w:vAlign w:val="center"/>
          </w:tcPr>
          <w:p w14:paraId="372EDDE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E6D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606A0B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w:t>
            </w:r>
          </w:p>
        </w:tc>
        <w:tc>
          <w:tcPr>
            <w:tcW w:w="708" w:type="pct"/>
            <w:vAlign w:val="center"/>
          </w:tcPr>
          <w:p w14:paraId="741BF86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所属道路名称</w:t>
            </w:r>
          </w:p>
        </w:tc>
        <w:tc>
          <w:tcPr>
            <w:tcW w:w="667" w:type="pct"/>
            <w:vAlign w:val="center"/>
          </w:tcPr>
          <w:p w14:paraId="154047B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RouteName</w:t>
            </w:r>
          </w:p>
        </w:tc>
        <w:tc>
          <w:tcPr>
            <w:tcW w:w="425" w:type="pct"/>
            <w:vAlign w:val="center"/>
          </w:tcPr>
          <w:p w14:paraId="2489042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41BB28C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1B62E34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包括该街巷的复合道路总称</w:t>
            </w:r>
          </w:p>
        </w:tc>
        <w:tc>
          <w:tcPr>
            <w:tcW w:w="553" w:type="pct"/>
            <w:vAlign w:val="center"/>
          </w:tcPr>
          <w:p w14:paraId="2101931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BDF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4DC979F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11</w:t>
            </w:r>
          </w:p>
        </w:tc>
        <w:tc>
          <w:tcPr>
            <w:tcW w:w="708" w:type="pct"/>
            <w:vAlign w:val="center"/>
          </w:tcPr>
          <w:p w14:paraId="6477D1B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667" w:type="pct"/>
            <w:vAlign w:val="center"/>
          </w:tcPr>
          <w:p w14:paraId="0389ED4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25" w:type="pct"/>
            <w:vAlign w:val="center"/>
          </w:tcPr>
          <w:p w14:paraId="7861991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36DEC75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1956" w:type="pct"/>
            <w:vAlign w:val="center"/>
          </w:tcPr>
          <w:p w14:paraId="5CE4F5C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553" w:type="pct"/>
            <w:vAlign w:val="center"/>
          </w:tcPr>
          <w:p w14:paraId="4EC6436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539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12EE320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708" w:type="pct"/>
            <w:vAlign w:val="center"/>
          </w:tcPr>
          <w:p w14:paraId="1D88A2E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667" w:type="pct"/>
            <w:vAlign w:val="center"/>
          </w:tcPr>
          <w:p w14:paraId="0E129C1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25" w:type="pct"/>
            <w:vAlign w:val="center"/>
          </w:tcPr>
          <w:p w14:paraId="3CA787D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09" w:type="pct"/>
            <w:vAlign w:val="center"/>
          </w:tcPr>
          <w:p w14:paraId="7B20AC0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956" w:type="pct"/>
            <w:vAlign w:val="center"/>
          </w:tcPr>
          <w:p w14:paraId="625D664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553" w:type="pct"/>
            <w:vAlign w:val="center"/>
          </w:tcPr>
          <w:p w14:paraId="53601F7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55E6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29A976C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13</w:t>
            </w:r>
          </w:p>
        </w:tc>
        <w:tc>
          <w:tcPr>
            <w:tcW w:w="708" w:type="pct"/>
            <w:vAlign w:val="center"/>
          </w:tcPr>
          <w:p w14:paraId="3FC5AD4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667" w:type="pct"/>
            <w:vAlign w:val="center"/>
          </w:tcPr>
          <w:p w14:paraId="0D208DA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25" w:type="pct"/>
            <w:vAlign w:val="center"/>
          </w:tcPr>
          <w:p w14:paraId="5148081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09" w:type="pct"/>
            <w:vAlign w:val="center"/>
          </w:tcPr>
          <w:p w14:paraId="53525C2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956" w:type="pct"/>
            <w:vAlign w:val="center"/>
          </w:tcPr>
          <w:p w14:paraId="1BAF32D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553" w:type="pct"/>
            <w:vAlign w:val="center"/>
          </w:tcPr>
          <w:p w14:paraId="5BD135E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09F8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3E02BB0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14</w:t>
            </w:r>
          </w:p>
        </w:tc>
        <w:tc>
          <w:tcPr>
            <w:tcW w:w="708" w:type="pct"/>
            <w:vAlign w:val="center"/>
          </w:tcPr>
          <w:p w14:paraId="608E682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667" w:type="pct"/>
            <w:vAlign w:val="center"/>
          </w:tcPr>
          <w:p w14:paraId="4AF1DFF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25" w:type="pct"/>
            <w:vAlign w:val="center"/>
          </w:tcPr>
          <w:p w14:paraId="202770E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77F4C34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956" w:type="pct"/>
            <w:vAlign w:val="center"/>
          </w:tcPr>
          <w:p w14:paraId="066DA92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553" w:type="pct"/>
            <w:vAlign w:val="center"/>
          </w:tcPr>
          <w:p w14:paraId="209A379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CE3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1036D7F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1297B692">
      <w:pPr>
        <w:pStyle w:val="524"/>
        <w:spacing w:after="60"/>
        <w:ind w:left="960" w:firstLine="480"/>
        <w:jc w:val="left"/>
        <w:rPr>
          <w:rFonts w:hint="eastAsia"/>
          <w:szCs w:val="24"/>
        </w:rPr>
      </w:pPr>
      <w:r>
        <w:rPr>
          <w:rFonts w:hint="eastAsia"/>
          <w:szCs w:val="24"/>
        </w:rPr>
        <w:t>4、门（楼）牌数据</w:t>
      </w:r>
    </w:p>
    <w:p w14:paraId="691F2543">
      <w:pPr>
        <w:pStyle w:val="524"/>
        <w:spacing w:after="60"/>
        <w:ind w:left="960" w:firstLine="480"/>
        <w:jc w:val="left"/>
        <w:rPr>
          <w:rFonts w:hint="eastAsia"/>
          <w:szCs w:val="24"/>
        </w:rPr>
      </w:pPr>
      <w:r>
        <w:rPr>
          <w:rFonts w:hint="eastAsia"/>
          <w:szCs w:val="24"/>
        </w:rPr>
        <w:t>门（楼）牌基本属性数据的内容、结构和字段代码应符合下表的规定：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342"/>
        <w:gridCol w:w="1266"/>
        <w:gridCol w:w="688"/>
        <w:gridCol w:w="657"/>
        <w:gridCol w:w="3012"/>
        <w:gridCol w:w="1091"/>
      </w:tblGrid>
      <w:tr w14:paraId="1F6D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7FBB7F79">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788" w:type="pct"/>
            <w:vAlign w:val="center"/>
          </w:tcPr>
          <w:p w14:paraId="381AC77A">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741" w:type="pct"/>
            <w:vAlign w:val="center"/>
          </w:tcPr>
          <w:p w14:paraId="513EF774">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04" w:type="pct"/>
            <w:vAlign w:val="center"/>
          </w:tcPr>
          <w:p w14:paraId="20F8562D">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386" w:type="pct"/>
            <w:vAlign w:val="center"/>
          </w:tcPr>
          <w:p w14:paraId="103C881F">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1767" w:type="pct"/>
            <w:vAlign w:val="center"/>
          </w:tcPr>
          <w:p w14:paraId="5E4DB868">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641" w:type="pct"/>
            <w:vAlign w:val="center"/>
          </w:tcPr>
          <w:p w14:paraId="673E2DA1">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28CD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192477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788" w:type="pct"/>
            <w:vAlign w:val="center"/>
          </w:tcPr>
          <w:p w14:paraId="76AD44F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741" w:type="pct"/>
            <w:vAlign w:val="center"/>
          </w:tcPr>
          <w:p w14:paraId="25910CC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AddName</w:t>
            </w:r>
          </w:p>
        </w:tc>
        <w:tc>
          <w:tcPr>
            <w:tcW w:w="404" w:type="pct"/>
            <w:vAlign w:val="center"/>
          </w:tcPr>
          <w:p w14:paraId="009F4B2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3C5348A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767" w:type="pct"/>
            <w:vAlign w:val="center"/>
          </w:tcPr>
          <w:p w14:paraId="206DD1A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门（楼）牌上完整的内容</w:t>
            </w:r>
          </w:p>
        </w:tc>
        <w:tc>
          <w:tcPr>
            <w:tcW w:w="641" w:type="pct"/>
            <w:vAlign w:val="center"/>
          </w:tcPr>
          <w:p w14:paraId="3307B35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26D9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E790E1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788" w:type="pct"/>
            <w:vAlign w:val="center"/>
          </w:tcPr>
          <w:p w14:paraId="55B3FE6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741" w:type="pct"/>
            <w:vAlign w:val="center"/>
          </w:tcPr>
          <w:p w14:paraId="2D74A67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AddID</w:t>
            </w:r>
          </w:p>
        </w:tc>
        <w:tc>
          <w:tcPr>
            <w:tcW w:w="404" w:type="pct"/>
            <w:vAlign w:val="center"/>
          </w:tcPr>
          <w:p w14:paraId="0412D3C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5A94D99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1767" w:type="pct"/>
            <w:vAlign w:val="center"/>
          </w:tcPr>
          <w:p w14:paraId="43B8EA3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门（楼）牌代码，数据集中应唯一</w:t>
            </w:r>
          </w:p>
        </w:tc>
        <w:tc>
          <w:tcPr>
            <w:tcW w:w="641" w:type="pct"/>
            <w:vAlign w:val="center"/>
          </w:tcPr>
          <w:p w14:paraId="32B29BE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D66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55069A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788" w:type="pct"/>
            <w:vAlign w:val="center"/>
          </w:tcPr>
          <w:p w14:paraId="32042C2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所在街巷</w:t>
            </w:r>
          </w:p>
        </w:tc>
        <w:tc>
          <w:tcPr>
            <w:tcW w:w="741" w:type="pct"/>
            <w:vAlign w:val="center"/>
          </w:tcPr>
          <w:p w14:paraId="553445F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RoadName</w:t>
            </w:r>
          </w:p>
        </w:tc>
        <w:tc>
          <w:tcPr>
            <w:tcW w:w="404" w:type="pct"/>
            <w:vAlign w:val="center"/>
          </w:tcPr>
          <w:p w14:paraId="0C61BFD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4E29D7F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767" w:type="pct"/>
            <w:vAlign w:val="center"/>
          </w:tcPr>
          <w:p w14:paraId="3CF62A4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门（楼）牌所在街巷的名称</w:t>
            </w:r>
          </w:p>
        </w:tc>
        <w:tc>
          <w:tcPr>
            <w:tcW w:w="641" w:type="pct"/>
            <w:vAlign w:val="center"/>
          </w:tcPr>
          <w:p w14:paraId="28DE23B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C/街巷沿线？</w:t>
            </w:r>
          </w:p>
        </w:tc>
      </w:tr>
      <w:tr w14:paraId="4A14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515A0D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788" w:type="pct"/>
            <w:vAlign w:val="center"/>
          </w:tcPr>
          <w:p w14:paraId="7778E7D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所在地片区片</w:t>
            </w:r>
          </w:p>
        </w:tc>
        <w:tc>
          <w:tcPr>
            <w:tcW w:w="741" w:type="pct"/>
            <w:vAlign w:val="center"/>
          </w:tcPr>
          <w:p w14:paraId="07A0252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ZoneName</w:t>
            </w:r>
          </w:p>
        </w:tc>
        <w:tc>
          <w:tcPr>
            <w:tcW w:w="404" w:type="pct"/>
            <w:vAlign w:val="center"/>
          </w:tcPr>
          <w:p w14:paraId="3D83357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3D0A207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767" w:type="pct"/>
            <w:vAlign w:val="center"/>
          </w:tcPr>
          <w:p w14:paraId="38A99B4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门（楼）牌所在地片区片的名称</w:t>
            </w:r>
          </w:p>
        </w:tc>
        <w:tc>
          <w:tcPr>
            <w:tcW w:w="641" w:type="pct"/>
            <w:vAlign w:val="center"/>
          </w:tcPr>
          <w:p w14:paraId="698895D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C/地片、区片内部？</w:t>
            </w:r>
          </w:p>
        </w:tc>
      </w:tr>
      <w:tr w14:paraId="1D04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730D6E8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788" w:type="pct"/>
            <w:vAlign w:val="center"/>
          </w:tcPr>
          <w:p w14:paraId="496F950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门（楼）牌号</w:t>
            </w:r>
          </w:p>
        </w:tc>
        <w:tc>
          <w:tcPr>
            <w:tcW w:w="741" w:type="pct"/>
            <w:vAlign w:val="center"/>
          </w:tcPr>
          <w:p w14:paraId="3E60951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HouseName</w:t>
            </w:r>
          </w:p>
        </w:tc>
        <w:tc>
          <w:tcPr>
            <w:tcW w:w="404" w:type="pct"/>
            <w:vAlign w:val="center"/>
          </w:tcPr>
          <w:p w14:paraId="4A7671C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1106A37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16</w:t>
            </w:r>
          </w:p>
        </w:tc>
        <w:tc>
          <w:tcPr>
            <w:tcW w:w="1767" w:type="pct"/>
            <w:vAlign w:val="center"/>
          </w:tcPr>
          <w:p w14:paraId="6628F58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门（楼）牌号码</w:t>
            </w:r>
          </w:p>
        </w:tc>
        <w:tc>
          <w:tcPr>
            <w:tcW w:w="641" w:type="pct"/>
            <w:vAlign w:val="center"/>
          </w:tcPr>
          <w:p w14:paraId="213C017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75C1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159973A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788" w:type="pct"/>
            <w:vAlign w:val="center"/>
          </w:tcPr>
          <w:p w14:paraId="212C9CD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741" w:type="pct"/>
            <w:vAlign w:val="center"/>
          </w:tcPr>
          <w:p w14:paraId="60423B4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SubDisName</w:t>
            </w:r>
          </w:p>
        </w:tc>
        <w:tc>
          <w:tcPr>
            <w:tcW w:w="404" w:type="pct"/>
            <w:vAlign w:val="center"/>
          </w:tcPr>
          <w:p w14:paraId="2F1C7F0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1CA55D3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767" w:type="pct"/>
            <w:vAlign w:val="center"/>
          </w:tcPr>
          <w:p w14:paraId="16D4A1D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641" w:type="pct"/>
            <w:vAlign w:val="center"/>
          </w:tcPr>
          <w:p w14:paraId="24E2886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AF6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1F372A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788" w:type="pct"/>
            <w:vAlign w:val="center"/>
          </w:tcPr>
          <w:p w14:paraId="63D9B0F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741" w:type="pct"/>
            <w:vAlign w:val="center"/>
          </w:tcPr>
          <w:p w14:paraId="56219A8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SubDisCode</w:t>
            </w:r>
          </w:p>
        </w:tc>
        <w:tc>
          <w:tcPr>
            <w:tcW w:w="404" w:type="pct"/>
            <w:vAlign w:val="center"/>
          </w:tcPr>
          <w:p w14:paraId="1C87BA8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4B09D83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1767" w:type="pct"/>
            <w:vAlign w:val="center"/>
          </w:tcPr>
          <w:p w14:paraId="44EBA92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641" w:type="pct"/>
            <w:vAlign w:val="center"/>
          </w:tcPr>
          <w:p w14:paraId="085F74A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EF6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69F78B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788" w:type="pct"/>
            <w:vAlign w:val="center"/>
          </w:tcPr>
          <w:p w14:paraId="03DDC01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741" w:type="pct"/>
            <w:vAlign w:val="center"/>
          </w:tcPr>
          <w:p w14:paraId="2B9E8E2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CommuName</w:t>
            </w:r>
          </w:p>
        </w:tc>
        <w:tc>
          <w:tcPr>
            <w:tcW w:w="404" w:type="pct"/>
            <w:vAlign w:val="center"/>
          </w:tcPr>
          <w:p w14:paraId="1FCBBB6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2A6AD30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767" w:type="pct"/>
            <w:vAlign w:val="center"/>
          </w:tcPr>
          <w:p w14:paraId="4CAFEFC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641" w:type="pct"/>
            <w:vAlign w:val="center"/>
          </w:tcPr>
          <w:p w14:paraId="6C97A5D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B56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5454F48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788" w:type="pct"/>
            <w:vAlign w:val="center"/>
          </w:tcPr>
          <w:p w14:paraId="1200106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741" w:type="pct"/>
            <w:vAlign w:val="center"/>
          </w:tcPr>
          <w:p w14:paraId="468D94D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CommuCode</w:t>
            </w:r>
          </w:p>
        </w:tc>
        <w:tc>
          <w:tcPr>
            <w:tcW w:w="404" w:type="pct"/>
            <w:vAlign w:val="center"/>
          </w:tcPr>
          <w:p w14:paraId="41C221E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10386B2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1767" w:type="pct"/>
            <w:vAlign w:val="center"/>
          </w:tcPr>
          <w:p w14:paraId="15CE591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641" w:type="pct"/>
            <w:vAlign w:val="center"/>
          </w:tcPr>
          <w:p w14:paraId="34F088A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E25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1A5767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w:t>
            </w:r>
          </w:p>
        </w:tc>
        <w:tc>
          <w:tcPr>
            <w:tcW w:w="788" w:type="pct"/>
            <w:vAlign w:val="center"/>
          </w:tcPr>
          <w:p w14:paraId="2300FA5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741" w:type="pct"/>
            <w:vAlign w:val="center"/>
          </w:tcPr>
          <w:p w14:paraId="0F54BEF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04" w:type="pct"/>
            <w:vAlign w:val="center"/>
          </w:tcPr>
          <w:p w14:paraId="02D0ABF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57F4D2B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1767" w:type="pct"/>
            <w:vAlign w:val="center"/>
          </w:tcPr>
          <w:p w14:paraId="66FCD01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641" w:type="pct"/>
            <w:vAlign w:val="center"/>
          </w:tcPr>
          <w:p w14:paraId="5E4179C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1663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7FAFF4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11</w:t>
            </w:r>
          </w:p>
        </w:tc>
        <w:tc>
          <w:tcPr>
            <w:tcW w:w="788" w:type="pct"/>
            <w:vAlign w:val="center"/>
          </w:tcPr>
          <w:p w14:paraId="35DA4CD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741" w:type="pct"/>
            <w:vAlign w:val="center"/>
          </w:tcPr>
          <w:p w14:paraId="35ED98D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04" w:type="pct"/>
            <w:vAlign w:val="center"/>
          </w:tcPr>
          <w:p w14:paraId="27143ED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86" w:type="pct"/>
            <w:vAlign w:val="center"/>
          </w:tcPr>
          <w:p w14:paraId="03C805D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767" w:type="pct"/>
            <w:vAlign w:val="center"/>
          </w:tcPr>
          <w:p w14:paraId="77E97D5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641" w:type="pct"/>
            <w:vAlign w:val="center"/>
          </w:tcPr>
          <w:p w14:paraId="42F2261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22CA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4" w:type="pct"/>
            <w:vAlign w:val="center"/>
          </w:tcPr>
          <w:p w14:paraId="0FBA7C6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788" w:type="pct"/>
            <w:vAlign w:val="center"/>
          </w:tcPr>
          <w:p w14:paraId="6797687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741" w:type="pct"/>
            <w:vAlign w:val="center"/>
          </w:tcPr>
          <w:p w14:paraId="27239CF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04" w:type="pct"/>
            <w:vAlign w:val="center"/>
          </w:tcPr>
          <w:p w14:paraId="09BE148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86" w:type="pct"/>
            <w:vAlign w:val="center"/>
          </w:tcPr>
          <w:p w14:paraId="5C2C550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767" w:type="pct"/>
            <w:vAlign w:val="center"/>
          </w:tcPr>
          <w:p w14:paraId="2753FD7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641" w:type="pct"/>
            <w:vAlign w:val="center"/>
          </w:tcPr>
          <w:p w14:paraId="02895F9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5923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98A8DB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13</w:t>
            </w:r>
          </w:p>
        </w:tc>
        <w:tc>
          <w:tcPr>
            <w:tcW w:w="788" w:type="pct"/>
            <w:vAlign w:val="center"/>
          </w:tcPr>
          <w:p w14:paraId="26AC49E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741" w:type="pct"/>
            <w:vAlign w:val="center"/>
          </w:tcPr>
          <w:p w14:paraId="51F56BF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04" w:type="pct"/>
            <w:vAlign w:val="center"/>
          </w:tcPr>
          <w:p w14:paraId="78B3D25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5FF2BF9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767" w:type="pct"/>
            <w:vAlign w:val="center"/>
          </w:tcPr>
          <w:p w14:paraId="69E44C0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641" w:type="pct"/>
            <w:vAlign w:val="center"/>
          </w:tcPr>
          <w:p w14:paraId="0B66187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386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37DE82B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5E3EDEC4">
      <w:pPr>
        <w:pStyle w:val="524"/>
        <w:spacing w:after="60"/>
        <w:ind w:left="960" w:firstLine="480"/>
        <w:jc w:val="left"/>
        <w:rPr>
          <w:rFonts w:hint="eastAsia"/>
          <w:szCs w:val="24"/>
        </w:rPr>
      </w:pPr>
      <w:r>
        <w:rPr>
          <w:rFonts w:hint="eastAsia"/>
          <w:szCs w:val="24"/>
        </w:rPr>
        <w:t>5、兴趣点数据</w:t>
      </w:r>
    </w:p>
    <w:p w14:paraId="612A0C81">
      <w:pPr>
        <w:pStyle w:val="524"/>
        <w:spacing w:after="60"/>
        <w:ind w:left="960" w:firstLine="480"/>
        <w:jc w:val="left"/>
        <w:rPr>
          <w:rFonts w:hint="eastAsia"/>
          <w:szCs w:val="24"/>
        </w:rPr>
      </w:pPr>
      <w:r>
        <w:rPr>
          <w:rFonts w:hint="eastAsia"/>
          <w:szCs w:val="24"/>
        </w:rPr>
        <w:t>兴趣点基本属性数据的内容、结构和字段代码应符合下表的规定：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767"/>
        <w:gridCol w:w="1266"/>
        <w:gridCol w:w="724"/>
        <w:gridCol w:w="704"/>
        <w:gridCol w:w="3623"/>
        <w:gridCol w:w="973"/>
      </w:tblGrid>
      <w:tr w14:paraId="7E7C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09771FFE">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464" w:type="pct"/>
            <w:vAlign w:val="center"/>
          </w:tcPr>
          <w:p w14:paraId="764AABDE">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658" w:type="pct"/>
            <w:vAlign w:val="center"/>
          </w:tcPr>
          <w:p w14:paraId="13082F62">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39" w:type="pct"/>
            <w:vAlign w:val="center"/>
          </w:tcPr>
          <w:p w14:paraId="1DA1908B">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427" w:type="pct"/>
            <w:vAlign w:val="center"/>
          </w:tcPr>
          <w:p w14:paraId="5F3F3F7C">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2140" w:type="pct"/>
            <w:vAlign w:val="center"/>
          </w:tcPr>
          <w:p w14:paraId="70AD16AA">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586" w:type="pct"/>
            <w:vAlign w:val="center"/>
          </w:tcPr>
          <w:p w14:paraId="596A6C54">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5ACF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79F52BF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464" w:type="pct"/>
            <w:vAlign w:val="center"/>
          </w:tcPr>
          <w:p w14:paraId="7DFF1DD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658" w:type="pct"/>
            <w:vAlign w:val="center"/>
          </w:tcPr>
          <w:p w14:paraId="682075C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POIName</w:t>
            </w:r>
          </w:p>
        </w:tc>
        <w:tc>
          <w:tcPr>
            <w:tcW w:w="439" w:type="pct"/>
            <w:vAlign w:val="center"/>
          </w:tcPr>
          <w:p w14:paraId="4631726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7A7CEDA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2140" w:type="pct"/>
            <w:vAlign w:val="center"/>
          </w:tcPr>
          <w:p w14:paraId="116D87A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兴趣点名称</w:t>
            </w:r>
          </w:p>
        </w:tc>
        <w:tc>
          <w:tcPr>
            <w:tcW w:w="586" w:type="pct"/>
            <w:vAlign w:val="center"/>
          </w:tcPr>
          <w:p w14:paraId="6D9DE2D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258B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2F3C363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464" w:type="pct"/>
            <w:vAlign w:val="center"/>
          </w:tcPr>
          <w:p w14:paraId="5A6B1BC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658" w:type="pct"/>
            <w:vAlign w:val="center"/>
          </w:tcPr>
          <w:p w14:paraId="2581F68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POIID</w:t>
            </w:r>
          </w:p>
        </w:tc>
        <w:tc>
          <w:tcPr>
            <w:tcW w:w="439" w:type="pct"/>
            <w:vAlign w:val="center"/>
          </w:tcPr>
          <w:p w14:paraId="48743C0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309028D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2140" w:type="pct"/>
            <w:vAlign w:val="center"/>
          </w:tcPr>
          <w:p w14:paraId="2BD5A94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兴趣点代码，数据集中唯一</w:t>
            </w:r>
          </w:p>
        </w:tc>
        <w:tc>
          <w:tcPr>
            <w:tcW w:w="586" w:type="pct"/>
            <w:vAlign w:val="center"/>
          </w:tcPr>
          <w:p w14:paraId="6F3D13C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809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25C89AF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464" w:type="pct"/>
            <w:vAlign w:val="center"/>
          </w:tcPr>
          <w:p w14:paraId="31A88B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658" w:type="pct"/>
            <w:vAlign w:val="center"/>
          </w:tcPr>
          <w:p w14:paraId="3C34A0E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39" w:type="pct"/>
            <w:vAlign w:val="center"/>
          </w:tcPr>
          <w:p w14:paraId="189E49C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1C1D54A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40" w:type="pct"/>
            <w:vAlign w:val="center"/>
          </w:tcPr>
          <w:p w14:paraId="4E0C652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586" w:type="pct"/>
            <w:vAlign w:val="center"/>
          </w:tcPr>
          <w:p w14:paraId="6A39E13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DD5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0F8B97C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464" w:type="pct"/>
            <w:vAlign w:val="center"/>
          </w:tcPr>
          <w:p w14:paraId="7F4B2DD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所在层</w:t>
            </w:r>
          </w:p>
        </w:tc>
        <w:tc>
          <w:tcPr>
            <w:tcW w:w="658" w:type="pct"/>
            <w:vAlign w:val="center"/>
          </w:tcPr>
          <w:p w14:paraId="424B3B8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Floor</w:t>
            </w:r>
          </w:p>
        </w:tc>
        <w:tc>
          <w:tcPr>
            <w:tcW w:w="439" w:type="pct"/>
            <w:vAlign w:val="center"/>
          </w:tcPr>
          <w:p w14:paraId="0CC30AF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54F5593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2140" w:type="pct"/>
            <w:vAlign w:val="center"/>
          </w:tcPr>
          <w:p w14:paraId="6A2A279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所在建（构）筑物的层数{-n，-1}{1…n}</w:t>
            </w:r>
          </w:p>
        </w:tc>
        <w:tc>
          <w:tcPr>
            <w:tcW w:w="586" w:type="pct"/>
            <w:vAlign w:val="center"/>
          </w:tcPr>
          <w:p w14:paraId="08F2B4E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532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0C968F3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464" w:type="pct"/>
            <w:vAlign w:val="center"/>
          </w:tcPr>
          <w:p w14:paraId="7C13505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658" w:type="pct"/>
            <w:vAlign w:val="center"/>
          </w:tcPr>
          <w:p w14:paraId="1D02C5C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39" w:type="pct"/>
            <w:vAlign w:val="center"/>
          </w:tcPr>
          <w:p w14:paraId="1E732C9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77C163B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2140" w:type="pct"/>
            <w:vAlign w:val="center"/>
          </w:tcPr>
          <w:p w14:paraId="0EC9608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586" w:type="pct"/>
            <w:vAlign w:val="center"/>
          </w:tcPr>
          <w:p w14:paraId="717ABB8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787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5B94BC6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464" w:type="pct"/>
            <w:vAlign w:val="center"/>
          </w:tcPr>
          <w:p w14:paraId="364C8E5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658" w:type="pct"/>
            <w:vAlign w:val="center"/>
          </w:tcPr>
          <w:p w14:paraId="7E86512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39" w:type="pct"/>
            <w:vAlign w:val="center"/>
          </w:tcPr>
          <w:p w14:paraId="4C78959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7" w:type="pct"/>
            <w:vAlign w:val="center"/>
          </w:tcPr>
          <w:p w14:paraId="0D5927C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40" w:type="pct"/>
            <w:vAlign w:val="center"/>
          </w:tcPr>
          <w:p w14:paraId="1468284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586" w:type="pct"/>
            <w:vAlign w:val="center"/>
          </w:tcPr>
          <w:p w14:paraId="128F323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53A8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24B40D7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464" w:type="pct"/>
            <w:vAlign w:val="center"/>
          </w:tcPr>
          <w:p w14:paraId="0F185F5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658" w:type="pct"/>
            <w:vAlign w:val="center"/>
          </w:tcPr>
          <w:p w14:paraId="6C62D9E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39" w:type="pct"/>
            <w:vAlign w:val="center"/>
          </w:tcPr>
          <w:p w14:paraId="6215AA7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7" w:type="pct"/>
            <w:vAlign w:val="center"/>
          </w:tcPr>
          <w:p w14:paraId="68273BB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40" w:type="pct"/>
            <w:vAlign w:val="center"/>
          </w:tcPr>
          <w:p w14:paraId="744F591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586" w:type="pct"/>
            <w:vAlign w:val="center"/>
          </w:tcPr>
          <w:p w14:paraId="6F4AF78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55E5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7DCBC01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464" w:type="pct"/>
            <w:vAlign w:val="center"/>
          </w:tcPr>
          <w:p w14:paraId="6A8C308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658" w:type="pct"/>
            <w:vAlign w:val="center"/>
          </w:tcPr>
          <w:p w14:paraId="06F3737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39" w:type="pct"/>
            <w:vAlign w:val="center"/>
          </w:tcPr>
          <w:p w14:paraId="1A1C33B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2F96ADC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40" w:type="pct"/>
            <w:vAlign w:val="center"/>
          </w:tcPr>
          <w:p w14:paraId="335E4DD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586" w:type="pct"/>
            <w:vAlign w:val="center"/>
          </w:tcPr>
          <w:p w14:paraId="69313EE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90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78C4C64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736BDE79">
      <w:pPr>
        <w:pStyle w:val="14"/>
        <w:rPr>
          <w:rFonts w:hint="eastAsia"/>
        </w:rPr>
      </w:pPr>
      <w:r>
        <w:rPr>
          <w:rFonts w:hint="eastAsia"/>
        </w:rPr>
        <w:t>地理编码普查</w:t>
      </w:r>
    </w:p>
    <w:p w14:paraId="341C1229">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1、普查范围</w:t>
      </w:r>
    </w:p>
    <w:p w14:paraId="0909FF63">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普查的内容应覆盖规定范围内的所有地点。</w:t>
      </w:r>
    </w:p>
    <w:p w14:paraId="37DD6373">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2、普查内容</w:t>
      </w:r>
    </w:p>
    <w:p w14:paraId="1B32FF12">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地址普查的对象包括区域数据、地片与区片数据、街巷数据、门（楼）牌数据、兴趣点数据。地址普查主要获取调查对象的边界范围和地址数据（包括地点描述信息和坐标信息等），建立地理编码数据库。</w:t>
      </w:r>
    </w:p>
    <w:p w14:paraId="6D00D4B9">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3、地理编码普查技术指标</w:t>
      </w:r>
    </w:p>
    <w:p w14:paraId="6754F08B">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地理编码普查错误允许指标：地理编码普查中所属街道和小区属性错误每平方公里不得超出总数的</w:t>
      </w:r>
      <w:r>
        <w:t>3%</w:t>
      </w:r>
      <w:r>
        <w:rPr>
          <w:rFonts w:hint="eastAsia"/>
        </w:rPr>
        <w:t>，门牌号错误不得超出</w:t>
      </w:r>
      <w:r>
        <w:t>3%</w:t>
      </w:r>
      <w:r>
        <w:rPr>
          <w:rFonts w:hint="eastAsia"/>
        </w:rPr>
        <w:t>。</w:t>
      </w:r>
    </w:p>
    <w:p w14:paraId="1565A762">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地理编码普查遗漏允许指标：每平方公里内遗漏个数不得超出总数的5%。</w:t>
      </w:r>
    </w:p>
    <w:p w14:paraId="7FECACF7">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4、普查数据处理与入库</w:t>
      </w:r>
    </w:p>
    <w:p w14:paraId="1D4B6B8B">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将普查后的地点信息逐一核实后输入到地理编码数据库中。以常用的空间数据格式和属性格式对普查的图形数据和属性数据进行录入，以形成完整的地理编码库。为保证空间基准的统一，应采用与城市基础地形图相一致的空间参考。</w:t>
      </w:r>
    </w:p>
    <w:p w14:paraId="7E7F0F34">
      <w:pPr>
        <w:pStyle w:val="8"/>
        <w:rPr>
          <w:rFonts w:hint="eastAsia"/>
        </w:rPr>
      </w:pPr>
      <w:r>
        <w:rPr>
          <w:rFonts w:hint="eastAsia"/>
        </w:rPr>
        <w:t>视频监控数据</w:t>
      </w:r>
    </w:p>
    <w:p w14:paraId="06826637">
      <w:pPr>
        <w:spacing w:line="276" w:lineRule="auto"/>
        <w:ind w:firstLine="480"/>
        <w:rPr>
          <w:rFonts w:hint="eastAsia" w:ascii="宋体" w:hAnsi="宋体" w:eastAsia="宋体"/>
          <w:sz w:val="24"/>
          <w:szCs w:val="24"/>
        </w:rPr>
      </w:pPr>
      <w:r>
        <w:rPr>
          <w:rFonts w:hint="eastAsia" w:ascii="宋体" w:hAnsi="宋体" w:eastAsia="宋体"/>
          <w:sz w:val="24"/>
          <w:szCs w:val="24"/>
        </w:rPr>
        <w:t>建设或整合的视频资源接入整合至城市运行管理服务平台，实现城市管理问题的实时监控。</w:t>
      </w:r>
    </w:p>
    <w:p w14:paraId="20DC58C1">
      <w:pPr>
        <w:pStyle w:val="8"/>
        <w:rPr>
          <w:rFonts w:hint="eastAsia"/>
          <w:lang w:eastAsia="zh-Hans"/>
        </w:rPr>
      </w:pPr>
      <w:r>
        <w:rPr>
          <w:rFonts w:hint="eastAsia"/>
          <w:lang w:eastAsia="zh-Hans"/>
        </w:rPr>
        <w:t>评价点位数据</w:t>
      </w:r>
    </w:p>
    <w:p w14:paraId="6F102B69">
      <w:pPr>
        <w:spacing w:line="276" w:lineRule="auto"/>
        <w:ind w:firstLine="480"/>
        <w:rPr>
          <w:rFonts w:hint="eastAsia" w:ascii="宋体" w:hAnsi="宋体" w:eastAsia="宋体"/>
          <w:sz w:val="24"/>
          <w:szCs w:val="24"/>
        </w:rPr>
      </w:pPr>
      <w:r>
        <w:rPr>
          <w:rFonts w:hint="eastAsia" w:ascii="宋体" w:hAnsi="宋体" w:eastAsia="宋体"/>
          <w:sz w:val="24"/>
          <w:szCs w:val="24"/>
        </w:rPr>
        <w:t>评价点位数据包括主次干道、背街小巷、商业步行街、公园、广场、农贸市场、公共厕所、火车站或长途汽车站、河流湖泊、便民摊点规划区、社区、主要交通路口等12种类型</w:t>
      </w:r>
      <w:r>
        <w:rPr>
          <w:rFonts w:ascii="宋体" w:hAnsi="宋体" w:eastAsia="宋体"/>
          <w:sz w:val="24"/>
          <w:szCs w:val="24"/>
        </w:rPr>
        <w:t>，</w:t>
      </w:r>
      <w:r>
        <w:rPr>
          <w:rFonts w:hint="eastAsia" w:ascii="宋体" w:hAnsi="宋体" w:eastAsia="宋体"/>
          <w:sz w:val="24"/>
          <w:szCs w:val="24"/>
        </w:rPr>
        <w:t>评价点位类型代码及评价点位主要属性项</w:t>
      </w:r>
      <w:r>
        <w:rPr>
          <w:rFonts w:ascii="宋体" w:hAnsi="宋体" w:eastAsia="宋体"/>
          <w:sz w:val="24"/>
          <w:szCs w:val="24"/>
        </w:rPr>
        <w:t>见</w:t>
      </w:r>
      <w:r>
        <w:rPr>
          <w:rFonts w:hint="eastAsia" w:ascii="宋体" w:hAnsi="宋体" w:eastAsia="宋体"/>
          <w:sz w:val="24"/>
          <w:szCs w:val="24"/>
        </w:rPr>
        <w:t>下</w:t>
      </w:r>
      <w:r>
        <w:rPr>
          <w:rFonts w:ascii="宋体" w:hAnsi="宋体" w:eastAsia="宋体"/>
          <w:sz w:val="24"/>
          <w:szCs w:val="24"/>
        </w:rPr>
        <w:t>表。</w:t>
      </w:r>
    </w:p>
    <w:p w14:paraId="3C1DC2B9">
      <w:pPr>
        <w:spacing w:after="60"/>
        <w:jc w:val="center"/>
        <w:rPr>
          <w:rFonts w:hint="eastAsia" w:ascii="宋体" w:hAnsi="宋体" w:eastAsia="宋体"/>
        </w:rPr>
      </w:pPr>
      <w:r>
        <w:rPr>
          <w:rFonts w:hint="eastAsia" w:ascii="宋体" w:hAnsi="宋体" w:eastAsia="宋体"/>
        </w:rPr>
        <w:t>评价点位类型代码表</w:t>
      </w:r>
    </w:p>
    <w:tbl>
      <w:tblPr>
        <w:tblStyle w:val="90"/>
        <w:tblW w:w="4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2440"/>
      </w:tblGrid>
      <w:tr w14:paraId="25C0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vAlign w:val="center"/>
          </w:tcPr>
          <w:p w14:paraId="4C956006">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类型代码</w:t>
            </w:r>
          </w:p>
        </w:tc>
        <w:tc>
          <w:tcPr>
            <w:tcW w:w="2440" w:type="dxa"/>
            <w:vAlign w:val="center"/>
          </w:tcPr>
          <w:p w14:paraId="5D0ED666">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类型名称</w:t>
            </w:r>
          </w:p>
        </w:tc>
      </w:tr>
      <w:tr w14:paraId="1C6E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vAlign w:val="center"/>
          </w:tcPr>
          <w:p w14:paraId="1BABD26D">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01</w:t>
            </w:r>
          </w:p>
        </w:tc>
        <w:tc>
          <w:tcPr>
            <w:tcW w:w="2440" w:type="dxa"/>
            <w:vAlign w:val="center"/>
          </w:tcPr>
          <w:p w14:paraId="2FE189AB">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主次干道</w:t>
            </w:r>
          </w:p>
        </w:tc>
      </w:tr>
      <w:tr w14:paraId="54A4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vAlign w:val="center"/>
          </w:tcPr>
          <w:p w14:paraId="6E2E1D59">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02</w:t>
            </w:r>
          </w:p>
        </w:tc>
        <w:tc>
          <w:tcPr>
            <w:tcW w:w="2440" w:type="dxa"/>
            <w:vAlign w:val="center"/>
          </w:tcPr>
          <w:p w14:paraId="620C0D96">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背街小巷</w:t>
            </w:r>
          </w:p>
        </w:tc>
      </w:tr>
      <w:tr w14:paraId="292F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bottom w:val="single" w:color="auto" w:sz="4" w:space="0"/>
            </w:tcBorders>
            <w:vAlign w:val="center"/>
          </w:tcPr>
          <w:p w14:paraId="5EE99975">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03</w:t>
            </w:r>
          </w:p>
        </w:tc>
        <w:tc>
          <w:tcPr>
            <w:tcW w:w="2440" w:type="dxa"/>
            <w:tcBorders>
              <w:bottom w:val="single" w:color="auto" w:sz="4" w:space="0"/>
            </w:tcBorders>
            <w:vAlign w:val="center"/>
          </w:tcPr>
          <w:p w14:paraId="5C86B77D">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商业步行街</w:t>
            </w:r>
          </w:p>
        </w:tc>
      </w:tr>
      <w:tr w14:paraId="0BBA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4095BCC6">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04</w:t>
            </w:r>
          </w:p>
        </w:tc>
        <w:tc>
          <w:tcPr>
            <w:tcW w:w="2440" w:type="dxa"/>
            <w:tcBorders>
              <w:top w:val="single" w:color="auto" w:sz="4" w:space="0"/>
              <w:left w:val="single" w:color="auto" w:sz="4" w:space="0"/>
              <w:bottom w:val="single" w:color="auto" w:sz="4" w:space="0"/>
              <w:right w:val="single" w:color="auto" w:sz="4" w:space="0"/>
            </w:tcBorders>
            <w:vAlign w:val="center"/>
          </w:tcPr>
          <w:p w14:paraId="6391C5AF">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公园</w:t>
            </w:r>
          </w:p>
        </w:tc>
      </w:tr>
      <w:tr w14:paraId="3EB3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662F3BAF">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05</w:t>
            </w:r>
          </w:p>
        </w:tc>
        <w:tc>
          <w:tcPr>
            <w:tcW w:w="2440" w:type="dxa"/>
            <w:tcBorders>
              <w:top w:val="single" w:color="auto" w:sz="4" w:space="0"/>
              <w:left w:val="single" w:color="auto" w:sz="4" w:space="0"/>
              <w:bottom w:val="single" w:color="auto" w:sz="4" w:space="0"/>
              <w:right w:val="single" w:color="auto" w:sz="4" w:space="0"/>
            </w:tcBorders>
            <w:vAlign w:val="center"/>
          </w:tcPr>
          <w:p w14:paraId="3504504B">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广场</w:t>
            </w:r>
          </w:p>
        </w:tc>
      </w:tr>
      <w:tr w14:paraId="0CDE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6707E7C8">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06</w:t>
            </w:r>
          </w:p>
        </w:tc>
        <w:tc>
          <w:tcPr>
            <w:tcW w:w="2440" w:type="dxa"/>
            <w:tcBorders>
              <w:top w:val="single" w:color="auto" w:sz="4" w:space="0"/>
              <w:left w:val="single" w:color="auto" w:sz="4" w:space="0"/>
              <w:bottom w:val="single" w:color="auto" w:sz="4" w:space="0"/>
              <w:right w:val="single" w:color="auto" w:sz="4" w:space="0"/>
            </w:tcBorders>
            <w:vAlign w:val="center"/>
          </w:tcPr>
          <w:p w14:paraId="4EE682EE">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农贸市场</w:t>
            </w:r>
          </w:p>
        </w:tc>
      </w:tr>
      <w:tr w14:paraId="2DF1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4A3074A6">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07</w:t>
            </w:r>
          </w:p>
        </w:tc>
        <w:tc>
          <w:tcPr>
            <w:tcW w:w="2440" w:type="dxa"/>
            <w:tcBorders>
              <w:top w:val="single" w:color="auto" w:sz="4" w:space="0"/>
              <w:left w:val="single" w:color="auto" w:sz="4" w:space="0"/>
              <w:bottom w:val="single" w:color="auto" w:sz="4" w:space="0"/>
              <w:right w:val="single" w:color="auto" w:sz="4" w:space="0"/>
            </w:tcBorders>
            <w:vAlign w:val="center"/>
          </w:tcPr>
          <w:p w14:paraId="78F111E4">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公共厕所</w:t>
            </w:r>
          </w:p>
        </w:tc>
      </w:tr>
      <w:tr w14:paraId="1B18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12626AD5">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08</w:t>
            </w:r>
          </w:p>
        </w:tc>
        <w:tc>
          <w:tcPr>
            <w:tcW w:w="2440" w:type="dxa"/>
            <w:tcBorders>
              <w:top w:val="single" w:color="auto" w:sz="4" w:space="0"/>
              <w:left w:val="single" w:color="auto" w:sz="4" w:space="0"/>
              <w:bottom w:val="single" w:color="auto" w:sz="4" w:space="0"/>
              <w:right w:val="single" w:color="auto" w:sz="4" w:space="0"/>
            </w:tcBorders>
            <w:vAlign w:val="center"/>
          </w:tcPr>
          <w:p w14:paraId="57EC4053">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火车站或长途汽车站</w:t>
            </w:r>
          </w:p>
        </w:tc>
      </w:tr>
      <w:tr w14:paraId="43C9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7339E00D">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09</w:t>
            </w:r>
          </w:p>
        </w:tc>
        <w:tc>
          <w:tcPr>
            <w:tcW w:w="2440" w:type="dxa"/>
            <w:tcBorders>
              <w:top w:val="single" w:color="auto" w:sz="4" w:space="0"/>
              <w:left w:val="single" w:color="auto" w:sz="4" w:space="0"/>
              <w:bottom w:val="single" w:color="auto" w:sz="4" w:space="0"/>
              <w:right w:val="single" w:color="auto" w:sz="4" w:space="0"/>
            </w:tcBorders>
            <w:vAlign w:val="center"/>
          </w:tcPr>
          <w:p w14:paraId="2AD931C3">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河流湖泊</w:t>
            </w:r>
          </w:p>
        </w:tc>
      </w:tr>
      <w:tr w14:paraId="29F4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7AFA5479">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10</w:t>
            </w:r>
          </w:p>
        </w:tc>
        <w:tc>
          <w:tcPr>
            <w:tcW w:w="2440" w:type="dxa"/>
            <w:tcBorders>
              <w:top w:val="single" w:color="auto" w:sz="4" w:space="0"/>
              <w:left w:val="single" w:color="auto" w:sz="4" w:space="0"/>
              <w:bottom w:val="single" w:color="auto" w:sz="4" w:space="0"/>
              <w:right w:val="single" w:color="auto" w:sz="4" w:space="0"/>
            </w:tcBorders>
            <w:vAlign w:val="center"/>
          </w:tcPr>
          <w:p w14:paraId="568C8915">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便民摊点规划区</w:t>
            </w:r>
          </w:p>
        </w:tc>
      </w:tr>
      <w:tr w14:paraId="6F1C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4E6D0F96">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11</w:t>
            </w:r>
          </w:p>
        </w:tc>
        <w:tc>
          <w:tcPr>
            <w:tcW w:w="2440" w:type="dxa"/>
            <w:tcBorders>
              <w:top w:val="single" w:color="auto" w:sz="4" w:space="0"/>
              <w:left w:val="single" w:color="auto" w:sz="4" w:space="0"/>
              <w:bottom w:val="single" w:color="auto" w:sz="4" w:space="0"/>
              <w:right w:val="single" w:color="auto" w:sz="4" w:space="0"/>
            </w:tcBorders>
            <w:vAlign w:val="center"/>
          </w:tcPr>
          <w:p w14:paraId="269AD42F">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社区</w:t>
            </w:r>
          </w:p>
        </w:tc>
      </w:tr>
      <w:tr w14:paraId="2A0A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27231DF9">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12</w:t>
            </w:r>
          </w:p>
        </w:tc>
        <w:tc>
          <w:tcPr>
            <w:tcW w:w="2440" w:type="dxa"/>
            <w:tcBorders>
              <w:top w:val="single" w:color="auto" w:sz="4" w:space="0"/>
              <w:left w:val="single" w:color="auto" w:sz="4" w:space="0"/>
              <w:bottom w:val="single" w:color="auto" w:sz="4" w:space="0"/>
              <w:right w:val="single" w:color="auto" w:sz="4" w:space="0"/>
            </w:tcBorders>
            <w:vAlign w:val="center"/>
          </w:tcPr>
          <w:p w14:paraId="3D599C89">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主要交通路口</w:t>
            </w:r>
          </w:p>
        </w:tc>
      </w:tr>
    </w:tbl>
    <w:p w14:paraId="615FB813">
      <w:pPr>
        <w:spacing w:after="60"/>
        <w:jc w:val="center"/>
        <w:rPr>
          <w:rFonts w:hint="eastAsia" w:ascii="宋体" w:hAnsi="宋体" w:eastAsia="宋体"/>
        </w:rPr>
      </w:pPr>
      <w:r>
        <w:rPr>
          <w:rFonts w:hint="eastAsia" w:ascii="宋体" w:hAnsi="宋体" w:eastAsia="宋体"/>
        </w:rPr>
        <w:t>评价点位属性主要数据项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782"/>
        <w:gridCol w:w="2027"/>
      </w:tblGrid>
      <w:tr w14:paraId="39B4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576259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1509" w:type="dxa"/>
            <w:vAlign w:val="center"/>
          </w:tcPr>
          <w:p w14:paraId="3E64C67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1139" w:type="dxa"/>
            <w:vAlign w:val="center"/>
          </w:tcPr>
          <w:p w14:paraId="3DA7C2C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1231" w:type="dxa"/>
            <w:vAlign w:val="center"/>
          </w:tcPr>
          <w:p w14:paraId="6743E72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1100" w:type="dxa"/>
            <w:vAlign w:val="center"/>
          </w:tcPr>
          <w:p w14:paraId="39E1DDC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782" w:type="dxa"/>
          </w:tcPr>
          <w:p w14:paraId="4A3954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2027" w:type="dxa"/>
            <w:vAlign w:val="center"/>
          </w:tcPr>
          <w:p w14:paraId="1637765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6F80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23" w:type="dxa"/>
            <w:vAlign w:val="center"/>
          </w:tcPr>
          <w:p w14:paraId="5E0681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p>
        </w:tc>
        <w:tc>
          <w:tcPr>
            <w:tcW w:w="1509" w:type="dxa"/>
            <w:vAlign w:val="center"/>
          </w:tcPr>
          <w:p w14:paraId="06D938A0">
            <w:pPr>
              <w:keepNext w:val="0"/>
              <w:keepLines w:val="0"/>
              <w:suppressLineNumbers w:val="0"/>
              <w:spacing w:before="0" w:beforeAutospacing="0" w:after="0" w:afterAutospacing="0"/>
              <w:ind w:left="0" w:right="0"/>
              <w:jc w:val="center"/>
              <w:rPr>
                <w:rFonts w:hint="eastAsia" w:ascii="宋体" w:hAnsi="宋体" w:eastAsia="宋体"/>
                <w:color w:val="FF0000"/>
                <w:lang w:eastAsia="zh-Hans"/>
              </w:rPr>
            </w:pPr>
            <w:r>
              <w:rPr>
                <w:rFonts w:hint="eastAsia" w:ascii="宋体" w:hAnsi="宋体" w:eastAsia="宋体"/>
                <w:lang w:eastAsia="zh-Hans"/>
              </w:rPr>
              <w:t>标识码</w:t>
            </w:r>
          </w:p>
        </w:tc>
        <w:tc>
          <w:tcPr>
            <w:tcW w:w="1139" w:type="dxa"/>
            <w:vAlign w:val="center"/>
          </w:tcPr>
          <w:p w14:paraId="0BFC0EBE">
            <w:pPr>
              <w:keepNext w:val="0"/>
              <w:keepLines w:val="0"/>
              <w:suppressLineNumbers w:val="0"/>
              <w:spacing w:before="0" w:beforeAutospacing="0" w:after="0" w:afterAutospacing="0"/>
              <w:ind w:left="0" w:right="0"/>
              <w:jc w:val="center"/>
              <w:rPr>
                <w:rFonts w:hint="eastAsia" w:ascii="宋体" w:hAnsi="宋体" w:eastAsia="宋体"/>
                <w:color w:val="FF0000"/>
                <w:lang w:eastAsia="zh-Hans"/>
              </w:rPr>
            </w:pPr>
            <w:r>
              <w:rPr>
                <w:rFonts w:hint="eastAsia" w:ascii="宋体" w:hAnsi="宋体" w:eastAsia="宋体"/>
                <w:lang w:eastAsia="zh-Hans"/>
              </w:rPr>
              <w:t>BSM</w:t>
            </w:r>
          </w:p>
        </w:tc>
        <w:tc>
          <w:tcPr>
            <w:tcW w:w="1231" w:type="dxa"/>
            <w:vAlign w:val="center"/>
          </w:tcPr>
          <w:p w14:paraId="60144B3F">
            <w:pPr>
              <w:keepNext w:val="0"/>
              <w:keepLines w:val="0"/>
              <w:suppressLineNumbers w:val="0"/>
              <w:spacing w:before="0" w:beforeAutospacing="0" w:after="0" w:afterAutospacing="0"/>
              <w:ind w:left="0" w:right="0"/>
              <w:jc w:val="center"/>
              <w:rPr>
                <w:rFonts w:hint="eastAsia" w:ascii="宋体" w:hAnsi="宋体" w:eastAsia="宋体"/>
                <w:color w:val="FF0000"/>
                <w:lang w:eastAsia="zh-Hans"/>
              </w:rPr>
            </w:pPr>
            <w:r>
              <w:rPr>
                <w:rFonts w:hint="default" w:ascii="宋体" w:hAnsi="宋体" w:eastAsia="宋体"/>
                <w:lang w:eastAsia="zh-Hans"/>
              </w:rPr>
              <w:t>char</w:t>
            </w:r>
          </w:p>
        </w:tc>
        <w:tc>
          <w:tcPr>
            <w:tcW w:w="1100" w:type="dxa"/>
            <w:vAlign w:val="center"/>
          </w:tcPr>
          <w:p w14:paraId="6BBAD864">
            <w:pPr>
              <w:keepNext w:val="0"/>
              <w:keepLines w:val="0"/>
              <w:suppressLineNumbers w:val="0"/>
              <w:spacing w:before="0" w:beforeAutospacing="0" w:after="0" w:afterAutospacing="0"/>
              <w:ind w:left="0" w:right="0"/>
              <w:jc w:val="center"/>
              <w:rPr>
                <w:rFonts w:hint="eastAsia" w:ascii="宋体" w:hAnsi="宋体" w:eastAsia="宋体"/>
                <w:color w:val="FF0000"/>
              </w:rPr>
            </w:pPr>
            <w:r>
              <w:rPr>
                <w:rFonts w:hint="default" w:ascii="宋体" w:hAnsi="宋体" w:eastAsia="宋体"/>
              </w:rPr>
              <w:t>20</w:t>
            </w:r>
          </w:p>
        </w:tc>
        <w:tc>
          <w:tcPr>
            <w:tcW w:w="782" w:type="dxa"/>
            <w:vAlign w:val="center"/>
          </w:tcPr>
          <w:p w14:paraId="6E5E9F33">
            <w:pPr>
              <w:keepNext w:val="0"/>
              <w:keepLines w:val="0"/>
              <w:suppressLineNumbers w:val="0"/>
              <w:spacing w:before="0" w:beforeAutospacing="0" w:after="0" w:afterAutospacing="0"/>
              <w:ind w:left="0" w:right="0"/>
              <w:jc w:val="center"/>
              <w:rPr>
                <w:rFonts w:hint="eastAsia" w:ascii="宋体" w:hAnsi="宋体" w:eastAsia="宋体"/>
                <w:color w:val="FF0000"/>
              </w:rPr>
            </w:pPr>
            <w:r>
              <w:rPr>
                <w:rFonts w:hint="eastAsia" w:ascii="宋体" w:hAnsi="宋体" w:eastAsia="宋体"/>
              </w:rPr>
              <w:t>M</w:t>
            </w:r>
          </w:p>
        </w:tc>
        <w:tc>
          <w:tcPr>
            <w:tcW w:w="2027" w:type="dxa"/>
            <w:vAlign w:val="center"/>
          </w:tcPr>
          <w:p w14:paraId="7B9CC424">
            <w:pPr>
              <w:keepNext w:val="0"/>
              <w:keepLines w:val="0"/>
              <w:suppressLineNumbers w:val="0"/>
              <w:spacing w:before="0" w:beforeAutospacing="0" w:after="0" w:afterAutospacing="0"/>
              <w:ind w:left="0" w:right="0"/>
              <w:jc w:val="left"/>
              <w:rPr>
                <w:rFonts w:hint="eastAsia" w:ascii="宋体" w:hAnsi="宋体" w:eastAsia="宋体"/>
                <w:color w:val="FF0000"/>
              </w:rPr>
            </w:pPr>
          </w:p>
        </w:tc>
      </w:tr>
      <w:tr w14:paraId="003A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395556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p>
        </w:tc>
        <w:tc>
          <w:tcPr>
            <w:tcW w:w="1509" w:type="dxa"/>
            <w:vAlign w:val="center"/>
          </w:tcPr>
          <w:p w14:paraId="26855B8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类型代码</w:t>
            </w:r>
          </w:p>
        </w:tc>
        <w:tc>
          <w:tcPr>
            <w:tcW w:w="1139" w:type="dxa"/>
            <w:vAlign w:val="center"/>
          </w:tcPr>
          <w:p w14:paraId="0D6E0A2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LXDM</w:t>
            </w:r>
          </w:p>
        </w:tc>
        <w:tc>
          <w:tcPr>
            <w:tcW w:w="1231" w:type="dxa"/>
            <w:vAlign w:val="center"/>
          </w:tcPr>
          <w:p w14:paraId="216A3C8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1100" w:type="dxa"/>
            <w:vAlign w:val="center"/>
          </w:tcPr>
          <w:p w14:paraId="7FD0AF9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82" w:type="dxa"/>
          </w:tcPr>
          <w:p w14:paraId="03BC56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2027" w:type="dxa"/>
            <w:vAlign w:val="center"/>
          </w:tcPr>
          <w:p w14:paraId="3512B6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代码见表</w:t>
            </w:r>
            <w:r>
              <w:rPr>
                <w:rFonts w:hint="default" w:ascii="宋体" w:hAnsi="宋体" w:eastAsia="宋体"/>
                <w:lang w:eastAsia="zh-Hans"/>
              </w:rPr>
              <w:t>76</w:t>
            </w:r>
          </w:p>
        </w:tc>
      </w:tr>
      <w:tr w14:paraId="2A3A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117CAF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p>
        </w:tc>
        <w:tc>
          <w:tcPr>
            <w:tcW w:w="1509" w:type="dxa"/>
            <w:vAlign w:val="center"/>
          </w:tcPr>
          <w:p w14:paraId="2CC9AA1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位置信息</w:t>
            </w:r>
          </w:p>
        </w:tc>
        <w:tc>
          <w:tcPr>
            <w:tcW w:w="1139" w:type="dxa"/>
            <w:vAlign w:val="center"/>
          </w:tcPr>
          <w:p w14:paraId="764BEFA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WZXX</w:t>
            </w:r>
          </w:p>
        </w:tc>
        <w:tc>
          <w:tcPr>
            <w:tcW w:w="1231" w:type="dxa"/>
            <w:vAlign w:val="center"/>
          </w:tcPr>
          <w:p w14:paraId="433A4E6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1100" w:type="dxa"/>
            <w:vAlign w:val="center"/>
          </w:tcPr>
          <w:p w14:paraId="0F7E409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255</w:t>
            </w:r>
          </w:p>
        </w:tc>
        <w:tc>
          <w:tcPr>
            <w:tcW w:w="782" w:type="dxa"/>
            <w:vAlign w:val="center"/>
          </w:tcPr>
          <w:p w14:paraId="3888E5E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2027" w:type="dxa"/>
            <w:vAlign w:val="center"/>
          </w:tcPr>
          <w:p w14:paraId="5A582BEE">
            <w:pPr>
              <w:keepNext w:val="0"/>
              <w:keepLines w:val="0"/>
              <w:suppressLineNumbers w:val="0"/>
              <w:spacing w:before="0" w:beforeAutospacing="0" w:after="0" w:afterAutospacing="0"/>
              <w:ind w:left="0" w:right="0"/>
              <w:jc w:val="left"/>
              <w:rPr>
                <w:rFonts w:hint="eastAsia" w:ascii="宋体" w:hAnsi="宋体" w:eastAsia="宋体"/>
                <w:lang w:eastAsia="zh-Hans"/>
              </w:rPr>
            </w:pPr>
          </w:p>
        </w:tc>
      </w:tr>
    </w:tbl>
    <w:p w14:paraId="1FAD2498">
      <w:pPr>
        <w:pStyle w:val="8"/>
        <w:rPr>
          <w:rFonts w:hint="eastAsia"/>
          <w:lang w:eastAsia="zh-Hans"/>
        </w:rPr>
      </w:pPr>
      <w:bookmarkStart w:id="355" w:name="_Toc627144482"/>
      <w:bookmarkStart w:id="356" w:name="_Toc448425312"/>
      <w:r>
        <w:rPr>
          <w:rFonts w:hint="eastAsia"/>
        </w:rPr>
        <w:t>城市</w:t>
      </w:r>
      <w:r>
        <w:rPr>
          <w:rFonts w:hint="eastAsia"/>
          <w:lang w:eastAsia="zh-Hans"/>
        </w:rPr>
        <w:t>统计年鉴数据</w:t>
      </w:r>
    </w:p>
    <w:p w14:paraId="0D215716">
      <w:pPr>
        <w:spacing w:line="276" w:lineRule="auto"/>
        <w:ind w:firstLine="480"/>
        <w:rPr>
          <w:rFonts w:hint="eastAsia" w:ascii="宋体" w:hAnsi="宋体" w:eastAsia="宋体"/>
          <w:sz w:val="24"/>
          <w:szCs w:val="24"/>
        </w:rPr>
      </w:pPr>
      <w:r>
        <w:rPr>
          <w:rFonts w:hint="eastAsia" w:ascii="宋体" w:hAnsi="宋体" w:eastAsia="宋体"/>
          <w:sz w:val="24"/>
          <w:szCs w:val="24"/>
        </w:rPr>
        <w:t>城市统计年鉴从统计年鉴获取</w:t>
      </w:r>
      <w:r>
        <w:rPr>
          <w:rFonts w:ascii="宋体" w:hAnsi="宋体" w:eastAsia="宋体"/>
          <w:sz w:val="24"/>
          <w:szCs w:val="24"/>
        </w:rPr>
        <w:t>，</w:t>
      </w:r>
      <w:r>
        <w:rPr>
          <w:rFonts w:hint="eastAsia" w:ascii="宋体" w:hAnsi="宋体" w:eastAsia="宋体"/>
          <w:sz w:val="24"/>
          <w:szCs w:val="24"/>
        </w:rPr>
        <w:t>主要数据项见下表。</w:t>
      </w:r>
      <w:bookmarkEnd w:id="355"/>
      <w:bookmarkEnd w:id="356"/>
    </w:p>
    <w:p w14:paraId="67CE1AA5">
      <w:pPr>
        <w:spacing w:after="60"/>
        <w:jc w:val="center"/>
        <w:rPr>
          <w:rFonts w:hint="eastAsia" w:ascii="宋体" w:hAnsi="宋体" w:eastAsia="宋体"/>
        </w:rPr>
      </w:pPr>
      <w:bookmarkStart w:id="357" w:name="_Toc1148062371"/>
      <w:bookmarkStart w:id="358" w:name="_Toc165774257"/>
      <w:bookmarkStart w:id="359" w:name="_Toc294546612"/>
      <w:r>
        <w:rPr>
          <w:rFonts w:hint="eastAsia" w:ascii="宋体" w:hAnsi="宋体" w:eastAsia="宋体"/>
        </w:rPr>
        <w:t>城市</w:t>
      </w:r>
      <w:bookmarkEnd w:id="357"/>
      <w:bookmarkEnd w:id="358"/>
      <w:bookmarkEnd w:id="359"/>
      <w:r>
        <w:rPr>
          <w:rFonts w:hint="eastAsia" w:ascii="宋体" w:hAnsi="宋体" w:eastAsia="宋体"/>
        </w:rPr>
        <w:t>统计年鉴主要数据项</w:t>
      </w:r>
    </w:p>
    <w:tbl>
      <w:tblPr>
        <w:tblStyle w:val="90"/>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614"/>
        <w:gridCol w:w="1437"/>
        <w:gridCol w:w="1052"/>
        <w:gridCol w:w="1052"/>
        <w:gridCol w:w="994"/>
        <w:gridCol w:w="1461"/>
      </w:tblGrid>
      <w:tr w14:paraId="423A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260E82A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975" w:type="pct"/>
            <w:vAlign w:val="center"/>
          </w:tcPr>
          <w:p w14:paraId="096B977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868" w:type="pct"/>
            <w:vAlign w:val="center"/>
          </w:tcPr>
          <w:p w14:paraId="645F676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635" w:type="pct"/>
            <w:vAlign w:val="center"/>
          </w:tcPr>
          <w:p w14:paraId="0986CA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5" w:type="pct"/>
            <w:vAlign w:val="center"/>
          </w:tcPr>
          <w:p w14:paraId="028012A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600" w:type="pct"/>
            <w:vAlign w:val="center"/>
          </w:tcPr>
          <w:p w14:paraId="4742AD2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882" w:type="pct"/>
            <w:vAlign w:val="center"/>
          </w:tcPr>
          <w:p w14:paraId="2E0911D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265A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2F68C2C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1</w:t>
            </w:r>
          </w:p>
        </w:tc>
        <w:tc>
          <w:tcPr>
            <w:tcW w:w="975" w:type="pct"/>
            <w:vAlign w:val="center"/>
          </w:tcPr>
          <w:p w14:paraId="337BC56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868" w:type="pct"/>
            <w:vAlign w:val="center"/>
          </w:tcPr>
          <w:p w14:paraId="53EAF8D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BSM</w:t>
            </w:r>
          </w:p>
        </w:tc>
        <w:tc>
          <w:tcPr>
            <w:tcW w:w="635" w:type="pct"/>
            <w:vAlign w:val="center"/>
          </w:tcPr>
          <w:p w14:paraId="666A169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35" w:type="pct"/>
            <w:vAlign w:val="center"/>
          </w:tcPr>
          <w:p w14:paraId="08AAA62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600" w:type="pct"/>
            <w:vAlign w:val="center"/>
          </w:tcPr>
          <w:p w14:paraId="55FFBEC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vAlign w:val="bottom"/>
          </w:tcPr>
          <w:p w14:paraId="7C5F85B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6347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3654814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2</w:t>
            </w:r>
          </w:p>
        </w:tc>
        <w:tc>
          <w:tcPr>
            <w:tcW w:w="975" w:type="pct"/>
            <w:tcBorders>
              <w:top w:val="single" w:color="auto" w:sz="4" w:space="0"/>
              <w:left w:val="single" w:color="auto" w:sz="4" w:space="0"/>
              <w:bottom w:val="single" w:color="auto" w:sz="4" w:space="0"/>
              <w:right w:val="single" w:color="auto" w:sz="4" w:space="0"/>
            </w:tcBorders>
            <w:vAlign w:val="center"/>
          </w:tcPr>
          <w:p w14:paraId="369CBB1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统计年份</w:t>
            </w:r>
          </w:p>
        </w:tc>
        <w:tc>
          <w:tcPr>
            <w:tcW w:w="868" w:type="pct"/>
            <w:tcBorders>
              <w:top w:val="single" w:color="auto" w:sz="4" w:space="0"/>
              <w:left w:val="single" w:color="auto" w:sz="4" w:space="0"/>
              <w:bottom w:val="single" w:color="auto" w:sz="4" w:space="0"/>
              <w:right w:val="single" w:color="auto" w:sz="4" w:space="0"/>
            </w:tcBorders>
            <w:vAlign w:val="center"/>
          </w:tcPr>
          <w:p w14:paraId="217785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TJNF</w:t>
            </w:r>
          </w:p>
        </w:tc>
        <w:tc>
          <w:tcPr>
            <w:tcW w:w="635" w:type="pct"/>
            <w:tcBorders>
              <w:top w:val="single" w:color="auto" w:sz="4" w:space="0"/>
              <w:left w:val="single" w:color="auto" w:sz="4" w:space="0"/>
              <w:bottom w:val="single" w:color="auto" w:sz="4" w:space="0"/>
              <w:right w:val="single" w:color="auto" w:sz="4" w:space="0"/>
            </w:tcBorders>
            <w:vAlign w:val="center"/>
          </w:tcPr>
          <w:p w14:paraId="53C69EE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int</w:t>
            </w:r>
          </w:p>
        </w:tc>
        <w:tc>
          <w:tcPr>
            <w:tcW w:w="635" w:type="pct"/>
            <w:tcBorders>
              <w:top w:val="single" w:color="auto" w:sz="4" w:space="0"/>
              <w:left w:val="single" w:color="auto" w:sz="4" w:space="0"/>
              <w:bottom w:val="single" w:color="auto" w:sz="4" w:space="0"/>
              <w:right w:val="single" w:color="auto" w:sz="4" w:space="0"/>
            </w:tcBorders>
            <w:vAlign w:val="center"/>
          </w:tcPr>
          <w:p w14:paraId="4845F2FC">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008BACC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5AB8099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yyyy</w:t>
            </w:r>
          </w:p>
        </w:tc>
      </w:tr>
      <w:tr w14:paraId="770F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21612AD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3</w:t>
            </w:r>
          </w:p>
        </w:tc>
        <w:tc>
          <w:tcPr>
            <w:tcW w:w="975" w:type="pct"/>
            <w:tcBorders>
              <w:top w:val="single" w:color="auto" w:sz="4" w:space="0"/>
              <w:left w:val="single" w:color="auto" w:sz="4" w:space="0"/>
              <w:bottom w:val="single" w:color="auto" w:sz="4" w:space="0"/>
              <w:right w:val="single" w:color="auto" w:sz="4" w:space="0"/>
            </w:tcBorders>
            <w:vAlign w:val="center"/>
          </w:tcPr>
          <w:p w14:paraId="7F5580F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行政区域面积</w:t>
            </w:r>
          </w:p>
        </w:tc>
        <w:tc>
          <w:tcPr>
            <w:tcW w:w="868" w:type="pct"/>
            <w:tcBorders>
              <w:top w:val="single" w:color="auto" w:sz="4" w:space="0"/>
              <w:left w:val="single" w:color="auto" w:sz="4" w:space="0"/>
              <w:bottom w:val="single" w:color="auto" w:sz="4" w:space="0"/>
              <w:right w:val="single" w:color="auto" w:sz="4" w:space="0"/>
            </w:tcBorders>
            <w:vAlign w:val="center"/>
          </w:tcPr>
          <w:p w14:paraId="45B59F6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XZQYMJ</w:t>
            </w:r>
          </w:p>
        </w:tc>
        <w:tc>
          <w:tcPr>
            <w:tcW w:w="635" w:type="pct"/>
            <w:tcBorders>
              <w:top w:val="single" w:color="auto" w:sz="4" w:space="0"/>
              <w:left w:val="single" w:color="auto" w:sz="4" w:space="0"/>
              <w:bottom w:val="single" w:color="auto" w:sz="4" w:space="0"/>
              <w:right w:val="single" w:color="auto" w:sz="4" w:space="0"/>
            </w:tcBorders>
            <w:vAlign w:val="center"/>
          </w:tcPr>
          <w:p w14:paraId="5A40EDA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14:paraId="764CA985">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3E78426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6040EEF4">
            <w:pPr>
              <w:keepNext w:val="0"/>
              <w:keepLines w:val="0"/>
              <w:suppressLineNumbers w:val="0"/>
              <w:spacing w:before="0" w:beforeAutospacing="0" w:after="0" w:afterAutospacing="0"/>
              <w:ind w:left="0" w:right="0"/>
              <w:jc w:val="center"/>
              <w:rPr>
                <w:rFonts w:hint="eastAsia" w:ascii="宋体" w:hAnsi="宋体" w:eastAsia="宋体"/>
              </w:rPr>
            </w:pPr>
          </w:p>
        </w:tc>
      </w:tr>
      <w:tr w14:paraId="01F5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0FCA91B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4</w:t>
            </w:r>
          </w:p>
        </w:tc>
        <w:tc>
          <w:tcPr>
            <w:tcW w:w="975" w:type="pct"/>
            <w:tcBorders>
              <w:top w:val="single" w:color="auto" w:sz="4" w:space="0"/>
              <w:left w:val="single" w:color="auto" w:sz="4" w:space="0"/>
              <w:bottom w:val="single" w:color="auto" w:sz="4" w:space="0"/>
              <w:right w:val="single" w:color="auto" w:sz="4" w:space="0"/>
            </w:tcBorders>
            <w:vAlign w:val="center"/>
          </w:tcPr>
          <w:p w14:paraId="542DB3F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建成区面积</w:t>
            </w:r>
          </w:p>
        </w:tc>
        <w:tc>
          <w:tcPr>
            <w:tcW w:w="868" w:type="pct"/>
            <w:tcBorders>
              <w:top w:val="single" w:color="auto" w:sz="4" w:space="0"/>
              <w:left w:val="single" w:color="auto" w:sz="4" w:space="0"/>
              <w:bottom w:val="single" w:color="auto" w:sz="4" w:space="0"/>
              <w:right w:val="single" w:color="auto" w:sz="4" w:space="0"/>
            </w:tcBorders>
            <w:vAlign w:val="center"/>
          </w:tcPr>
          <w:p w14:paraId="6D60B7D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JCQMJ</w:t>
            </w:r>
          </w:p>
        </w:tc>
        <w:tc>
          <w:tcPr>
            <w:tcW w:w="635" w:type="pct"/>
            <w:tcBorders>
              <w:top w:val="single" w:color="auto" w:sz="4" w:space="0"/>
              <w:left w:val="single" w:color="auto" w:sz="4" w:space="0"/>
              <w:bottom w:val="single" w:color="auto" w:sz="4" w:space="0"/>
              <w:right w:val="single" w:color="auto" w:sz="4" w:space="0"/>
            </w:tcBorders>
            <w:vAlign w:val="center"/>
          </w:tcPr>
          <w:p w14:paraId="42FE8F6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14:paraId="06B5CF98">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7883128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362F52F4">
            <w:pPr>
              <w:keepNext w:val="0"/>
              <w:keepLines w:val="0"/>
              <w:suppressLineNumbers w:val="0"/>
              <w:spacing w:before="0" w:beforeAutospacing="0" w:after="0" w:afterAutospacing="0"/>
              <w:ind w:left="0" w:right="0"/>
              <w:jc w:val="center"/>
              <w:rPr>
                <w:rFonts w:hint="eastAsia" w:ascii="宋体" w:hAnsi="宋体" w:eastAsia="宋体"/>
                <w:lang w:eastAsia="zh-Hans"/>
              </w:rPr>
            </w:pPr>
          </w:p>
        </w:tc>
      </w:tr>
      <w:tr w14:paraId="1775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457A8D9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5</w:t>
            </w:r>
          </w:p>
        </w:tc>
        <w:tc>
          <w:tcPr>
            <w:tcW w:w="975" w:type="pct"/>
            <w:tcBorders>
              <w:top w:val="single" w:color="auto" w:sz="4" w:space="0"/>
              <w:left w:val="single" w:color="auto" w:sz="4" w:space="0"/>
              <w:bottom w:val="single" w:color="auto" w:sz="4" w:space="0"/>
              <w:right w:val="single" w:color="auto" w:sz="4" w:space="0"/>
            </w:tcBorders>
            <w:vAlign w:val="center"/>
          </w:tcPr>
          <w:p w14:paraId="08A9561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常住人口</w:t>
            </w:r>
          </w:p>
        </w:tc>
        <w:tc>
          <w:tcPr>
            <w:tcW w:w="868" w:type="pct"/>
            <w:tcBorders>
              <w:top w:val="single" w:color="auto" w:sz="4" w:space="0"/>
              <w:left w:val="single" w:color="auto" w:sz="4" w:space="0"/>
              <w:bottom w:val="single" w:color="auto" w:sz="4" w:space="0"/>
              <w:right w:val="single" w:color="auto" w:sz="4" w:space="0"/>
            </w:tcBorders>
            <w:vAlign w:val="center"/>
          </w:tcPr>
          <w:p w14:paraId="391E7FE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CZRK</w:t>
            </w:r>
          </w:p>
        </w:tc>
        <w:tc>
          <w:tcPr>
            <w:tcW w:w="635" w:type="pct"/>
            <w:tcBorders>
              <w:top w:val="single" w:color="auto" w:sz="4" w:space="0"/>
              <w:left w:val="single" w:color="auto" w:sz="4" w:space="0"/>
              <w:bottom w:val="single" w:color="auto" w:sz="4" w:space="0"/>
              <w:right w:val="single" w:color="auto" w:sz="4" w:space="0"/>
            </w:tcBorders>
            <w:vAlign w:val="center"/>
          </w:tcPr>
          <w:p w14:paraId="323530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35" w:type="pct"/>
            <w:tcBorders>
              <w:top w:val="single" w:color="auto" w:sz="4" w:space="0"/>
              <w:left w:val="single" w:color="auto" w:sz="4" w:space="0"/>
              <w:bottom w:val="single" w:color="auto" w:sz="4" w:space="0"/>
              <w:right w:val="single" w:color="auto" w:sz="4" w:space="0"/>
            </w:tcBorders>
            <w:vAlign w:val="center"/>
          </w:tcPr>
          <w:p w14:paraId="2EA1EFDB">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4C8D671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13E1565B">
            <w:pPr>
              <w:keepNext w:val="0"/>
              <w:keepLines w:val="0"/>
              <w:suppressLineNumbers w:val="0"/>
              <w:spacing w:before="0" w:beforeAutospacing="0" w:after="0" w:afterAutospacing="0"/>
              <w:ind w:left="0" w:right="0"/>
              <w:jc w:val="center"/>
              <w:rPr>
                <w:rFonts w:hint="eastAsia" w:ascii="宋体" w:hAnsi="宋体" w:eastAsia="宋体"/>
              </w:rPr>
            </w:pPr>
          </w:p>
        </w:tc>
      </w:tr>
      <w:tr w14:paraId="7DEC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388F079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6</w:t>
            </w:r>
          </w:p>
        </w:tc>
        <w:tc>
          <w:tcPr>
            <w:tcW w:w="975" w:type="pct"/>
            <w:tcBorders>
              <w:top w:val="single" w:color="auto" w:sz="4" w:space="0"/>
              <w:left w:val="single" w:color="auto" w:sz="4" w:space="0"/>
              <w:bottom w:val="single" w:color="auto" w:sz="4" w:space="0"/>
              <w:right w:val="single" w:color="auto" w:sz="4" w:space="0"/>
            </w:tcBorders>
            <w:vAlign w:val="center"/>
          </w:tcPr>
          <w:p w14:paraId="4931838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建成区常住人口</w:t>
            </w:r>
          </w:p>
        </w:tc>
        <w:tc>
          <w:tcPr>
            <w:tcW w:w="868" w:type="pct"/>
            <w:tcBorders>
              <w:top w:val="single" w:color="auto" w:sz="4" w:space="0"/>
              <w:left w:val="single" w:color="auto" w:sz="4" w:space="0"/>
              <w:bottom w:val="single" w:color="auto" w:sz="4" w:space="0"/>
              <w:right w:val="single" w:color="auto" w:sz="4" w:space="0"/>
            </w:tcBorders>
            <w:vAlign w:val="center"/>
          </w:tcPr>
          <w:p w14:paraId="028D82D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JCQCZRK</w:t>
            </w:r>
          </w:p>
        </w:tc>
        <w:tc>
          <w:tcPr>
            <w:tcW w:w="635" w:type="pct"/>
            <w:tcBorders>
              <w:top w:val="single" w:color="auto" w:sz="4" w:space="0"/>
              <w:left w:val="single" w:color="auto" w:sz="4" w:space="0"/>
              <w:bottom w:val="single" w:color="auto" w:sz="4" w:space="0"/>
              <w:right w:val="single" w:color="auto" w:sz="4" w:space="0"/>
            </w:tcBorders>
            <w:vAlign w:val="center"/>
          </w:tcPr>
          <w:p w14:paraId="7B0DD4E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int</w:t>
            </w:r>
          </w:p>
        </w:tc>
        <w:tc>
          <w:tcPr>
            <w:tcW w:w="635" w:type="pct"/>
            <w:tcBorders>
              <w:top w:val="single" w:color="auto" w:sz="4" w:space="0"/>
              <w:left w:val="single" w:color="auto" w:sz="4" w:space="0"/>
              <w:bottom w:val="single" w:color="auto" w:sz="4" w:space="0"/>
              <w:right w:val="single" w:color="auto" w:sz="4" w:space="0"/>
            </w:tcBorders>
            <w:vAlign w:val="center"/>
          </w:tcPr>
          <w:p w14:paraId="6B03AF02">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76744C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882" w:type="pct"/>
            <w:tcBorders>
              <w:top w:val="single" w:color="auto" w:sz="4" w:space="0"/>
              <w:left w:val="single" w:color="auto" w:sz="4" w:space="0"/>
              <w:bottom w:val="single" w:color="auto" w:sz="4" w:space="0"/>
              <w:right w:val="single" w:color="auto" w:sz="4" w:space="0"/>
            </w:tcBorders>
            <w:vAlign w:val="center"/>
          </w:tcPr>
          <w:p w14:paraId="70D7C83F">
            <w:pPr>
              <w:keepNext w:val="0"/>
              <w:keepLines w:val="0"/>
              <w:suppressLineNumbers w:val="0"/>
              <w:spacing w:before="0" w:beforeAutospacing="0" w:after="0" w:afterAutospacing="0"/>
              <w:ind w:left="0" w:right="0"/>
              <w:jc w:val="center"/>
              <w:rPr>
                <w:rFonts w:hint="eastAsia" w:ascii="宋体" w:hAnsi="宋体" w:eastAsia="宋体"/>
              </w:rPr>
            </w:pPr>
          </w:p>
        </w:tc>
      </w:tr>
      <w:tr w14:paraId="1A1C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1047DB40">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default" w:ascii="宋体" w:hAnsi="宋体" w:eastAsia="宋体"/>
                <w:color w:val="000000"/>
                <w:kern w:val="0"/>
                <w:lang w:bidi="ar"/>
              </w:rPr>
              <w:t>7</w:t>
            </w:r>
          </w:p>
        </w:tc>
        <w:tc>
          <w:tcPr>
            <w:tcW w:w="975" w:type="pct"/>
            <w:tcBorders>
              <w:top w:val="single" w:color="auto" w:sz="4" w:space="0"/>
              <w:left w:val="single" w:color="auto" w:sz="4" w:space="0"/>
              <w:bottom w:val="single" w:color="auto" w:sz="4" w:space="0"/>
              <w:right w:val="single" w:color="auto" w:sz="4" w:space="0"/>
            </w:tcBorders>
            <w:vAlign w:val="center"/>
          </w:tcPr>
          <w:p w14:paraId="151DB4A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生产总值</w:t>
            </w:r>
          </w:p>
        </w:tc>
        <w:tc>
          <w:tcPr>
            <w:tcW w:w="868" w:type="pct"/>
            <w:tcBorders>
              <w:top w:val="single" w:color="auto" w:sz="4" w:space="0"/>
              <w:left w:val="single" w:color="auto" w:sz="4" w:space="0"/>
              <w:bottom w:val="single" w:color="auto" w:sz="4" w:space="0"/>
              <w:right w:val="single" w:color="auto" w:sz="4" w:space="0"/>
            </w:tcBorders>
            <w:vAlign w:val="center"/>
          </w:tcPr>
          <w:p w14:paraId="7F23845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SCZZ</w:t>
            </w:r>
          </w:p>
        </w:tc>
        <w:tc>
          <w:tcPr>
            <w:tcW w:w="635" w:type="pct"/>
            <w:tcBorders>
              <w:top w:val="single" w:color="auto" w:sz="4" w:space="0"/>
              <w:left w:val="single" w:color="auto" w:sz="4" w:space="0"/>
              <w:bottom w:val="single" w:color="auto" w:sz="4" w:space="0"/>
              <w:right w:val="single" w:color="auto" w:sz="4" w:space="0"/>
            </w:tcBorders>
            <w:vAlign w:val="center"/>
          </w:tcPr>
          <w:p w14:paraId="6D666F1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14:paraId="0199F047">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34D9CF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6E40AA70">
            <w:pPr>
              <w:keepNext w:val="0"/>
              <w:keepLines w:val="0"/>
              <w:suppressLineNumbers w:val="0"/>
              <w:spacing w:before="0" w:beforeAutospacing="0" w:after="0" w:afterAutospacing="0"/>
              <w:ind w:left="0" w:right="0"/>
              <w:jc w:val="center"/>
              <w:rPr>
                <w:rFonts w:hint="eastAsia" w:ascii="宋体" w:hAnsi="宋体" w:eastAsia="宋体"/>
              </w:rPr>
            </w:pPr>
          </w:p>
        </w:tc>
      </w:tr>
      <w:tr w14:paraId="22C4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75F79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default" w:ascii="宋体" w:hAnsi="宋体" w:eastAsia="宋体"/>
                <w:color w:val="000000"/>
                <w:kern w:val="0"/>
                <w:lang w:bidi="ar"/>
              </w:rPr>
              <w:t>8</w:t>
            </w:r>
          </w:p>
        </w:tc>
        <w:tc>
          <w:tcPr>
            <w:tcW w:w="975" w:type="pct"/>
            <w:tcBorders>
              <w:top w:val="single" w:color="auto" w:sz="4" w:space="0"/>
              <w:left w:val="single" w:color="auto" w:sz="4" w:space="0"/>
              <w:bottom w:val="single" w:color="auto" w:sz="4" w:space="0"/>
              <w:right w:val="single" w:color="auto" w:sz="4" w:space="0"/>
            </w:tcBorders>
            <w:vAlign w:val="center"/>
          </w:tcPr>
          <w:p w14:paraId="752CDF1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人均生产总值</w:t>
            </w:r>
          </w:p>
        </w:tc>
        <w:tc>
          <w:tcPr>
            <w:tcW w:w="868" w:type="pct"/>
            <w:tcBorders>
              <w:top w:val="single" w:color="auto" w:sz="4" w:space="0"/>
              <w:left w:val="single" w:color="auto" w:sz="4" w:space="0"/>
              <w:bottom w:val="single" w:color="auto" w:sz="4" w:space="0"/>
              <w:right w:val="single" w:color="auto" w:sz="4" w:space="0"/>
            </w:tcBorders>
            <w:vAlign w:val="center"/>
          </w:tcPr>
          <w:p w14:paraId="625ADF4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RJSCZZ</w:t>
            </w:r>
          </w:p>
        </w:tc>
        <w:tc>
          <w:tcPr>
            <w:tcW w:w="635" w:type="pct"/>
            <w:tcBorders>
              <w:top w:val="single" w:color="auto" w:sz="4" w:space="0"/>
              <w:left w:val="single" w:color="auto" w:sz="4" w:space="0"/>
              <w:bottom w:val="single" w:color="auto" w:sz="4" w:space="0"/>
              <w:right w:val="single" w:color="auto" w:sz="4" w:space="0"/>
            </w:tcBorders>
            <w:vAlign w:val="center"/>
          </w:tcPr>
          <w:p w14:paraId="565B1BA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14:paraId="09F61E5E">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297DA6A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76FB0E4A">
            <w:pPr>
              <w:keepNext w:val="0"/>
              <w:keepLines w:val="0"/>
              <w:suppressLineNumbers w:val="0"/>
              <w:spacing w:before="0" w:beforeAutospacing="0" w:after="0" w:afterAutospacing="0"/>
              <w:ind w:left="0" w:right="0"/>
              <w:jc w:val="center"/>
              <w:rPr>
                <w:rFonts w:hint="eastAsia" w:ascii="宋体" w:hAnsi="宋体" w:eastAsia="宋体"/>
              </w:rPr>
            </w:pPr>
          </w:p>
        </w:tc>
      </w:tr>
      <w:bookmarkEnd w:id="353"/>
      <w:bookmarkEnd w:id="354"/>
    </w:tbl>
    <w:p w14:paraId="79384F7D">
      <w:pPr>
        <w:pStyle w:val="7"/>
        <w:rPr>
          <w:rFonts w:hint="eastAsia" w:ascii="宋体" w:hAnsi="宋体" w:eastAsia="宋体"/>
        </w:rPr>
      </w:pPr>
      <w:bookmarkStart w:id="360" w:name="_Toc11416"/>
      <w:bookmarkStart w:id="361" w:name="_Toc16567"/>
      <w:r>
        <w:rPr>
          <w:rFonts w:hint="eastAsia" w:ascii="宋体" w:hAnsi="宋体" w:eastAsia="宋体"/>
        </w:rPr>
        <w:t>管理数据</w:t>
      </w:r>
      <w:bookmarkEnd w:id="360"/>
    </w:p>
    <w:bookmarkEnd w:id="361"/>
    <w:p w14:paraId="5525BD91">
      <w:pPr>
        <w:pStyle w:val="8"/>
        <w:rPr>
          <w:rFonts w:hint="eastAsia"/>
        </w:rPr>
      </w:pPr>
      <w:r>
        <w:rPr>
          <w:rFonts w:hint="eastAsia"/>
        </w:rPr>
        <w:t>城市部件事件监管数据</w:t>
      </w:r>
    </w:p>
    <w:p w14:paraId="474D2A37">
      <w:pPr>
        <w:pStyle w:val="14"/>
        <w:rPr>
          <w:rFonts w:hint="eastAsia"/>
        </w:rPr>
      </w:pPr>
      <w:r>
        <w:rPr>
          <w:rFonts w:hint="eastAsia"/>
        </w:rPr>
        <w:t>城市事件数据库</w:t>
      </w:r>
    </w:p>
    <w:p w14:paraId="2D243E43">
      <w:pPr>
        <w:spacing w:line="276" w:lineRule="auto"/>
        <w:ind w:firstLine="480"/>
        <w:rPr>
          <w:rFonts w:hint="eastAsia" w:ascii="宋体" w:hAnsi="宋体" w:eastAsia="宋体"/>
          <w:sz w:val="24"/>
          <w:szCs w:val="24"/>
        </w:rPr>
      </w:pPr>
      <w:bookmarkStart w:id="362" w:name="_Toc410717635"/>
      <w:bookmarkStart w:id="363" w:name="_Toc515893118"/>
      <w:bookmarkStart w:id="364" w:name="_Toc410657960"/>
      <w:bookmarkStart w:id="365" w:name="_Toc271011167"/>
      <w:bookmarkStart w:id="366" w:name="_Toc236152857"/>
      <w:r>
        <w:rPr>
          <w:rFonts w:hint="eastAsia" w:ascii="宋体" w:hAnsi="宋体" w:eastAsia="宋体"/>
          <w:sz w:val="24"/>
          <w:szCs w:val="24"/>
        </w:rPr>
        <w:t>1、城市事件分类</w:t>
      </w:r>
      <w:bookmarkEnd w:id="362"/>
      <w:bookmarkEnd w:id="363"/>
      <w:bookmarkEnd w:id="364"/>
      <w:bookmarkEnd w:id="365"/>
      <w:bookmarkEnd w:id="366"/>
    </w:p>
    <w:p w14:paraId="67B1716B">
      <w:pPr>
        <w:spacing w:line="276" w:lineRule="auto"/>
        <w:ind w:firstLine="480"/>
        <w:rPr>
          <w:rFonts w:hint="eastAsia" w:ascii="宋体" w:hAnsi="宋体" w:eastAsia="宋体"/>
          <w:sz w:val="24"/>
          <w:szCs w:val="24"/>
        </w:rPr>
      </w:pPr>
      <w:r>
        <w:rPr>
          <w:rFonts w:hint="eastAsia" w:ascii="宋体" w:hAnsi="宋体" w:eastAsia="宋体"/>
          <w:sz w:val="24"/>
          <w:szCs w:val="24"/>
        </w:rPr>
        <w:t>城市事件数据库建设依托《数字化城市管理信息系统第</w:t>
      </w:r>
      <w:r>
        <w:rPr>
          <w:rFonts w:ascii="宋体" w:hAnsi="宋体" w:eastAsia="宋体"/>
          <w:sz w:val="24"/>
          <w:szCs w:val="24"/>
        </w:rPr>
        <w:t xml:space="preserve"> 2 部分：管理部件和事件》（GB/T 30428.2-2013），按照其性质和特点划分为大类和小类，事件的大类包括：市容环境类、宣传广告类、施工管理类、街面秩序类、突发事件类以及其他事件类。</w:t>
      </w:r>
    </w:p>
    <w:p w14:paraId="5FB0F113">
      <w:pPr>
        <w:spacing w:line="276" w:lineRule="auto"/>
        <w:ind w:firstLine="480"/>
        <w:rPr>
          <w:rFonts w:hint="eastAsia" w:ascii="宋体" w:hAnsi="宋体" w:eastAsia="宋体"/>
          <w:sz w:val="24"/>
          <w:szCs w:val="24"/>
        </w:rPr>
      </w:pPr>
      <w:r>
        <w:rPr>
          <w:rFonts w:hint="eastAsia" w:ascii="宋体" w:hAnsi="宋体" w:eastAsia="宋体"/>
          <w:sz w:val="24"/>
          <w:szCs w:val="24"/>
        </w:rPr>
        <w:t>其中：</w:t>
      </w:r>
    </w:p>
    <w:p w14:paraId="24C952BD">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市容环境类主要包括私搭乱建、违章接坡、建筑物外立面不洁、暴露垃圾、积存垃圾渣土、道路破损等；</w:t>
      </w:r>
    </w:p>
    <w:p w14:paraId="5A843169">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宣传广告类主要包括非法小广告、违规户外广告、违规牌匾标识、广告语言文字不规范等；</w:t>
      </w:r>
    </w:p>
    <w:p w14:paraId="633EE750">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施工管理类主要包括施工扰民、工地扬尘、施工废弃料、施工工地围挡问题、施工占道等；</w:t>
      </w:r>
    </w:p>
    <w:p w14:paraId="1910E8A4">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街面秩序类主要包括无照经营游商、早（夜）市管理问题、流浪乞讨、占道废品收购、店外经营等；</w:t>
      </w:r>
    </w:p>
    <w:p w14:paraId="1ED24843">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突发事件类主要包括供水管道破裂、燃气管道破裂、路面塌陷、排水管道阻塞、群发性事件等；</w:t>
      </w:r>
    </w:p>
    <w:p w14:paraId="70D567B8">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其他事件类主要包括违规高空悬吊作业、临街屠宰等。</w:t>
      </w:r>
    </w:p>
    <w:p w14:paraId="731538FB">
      <w:pPr>
        <w:ind w:firstLine="480"/>
        <w:rPr>
          <w:rFonts w:hint="eastAsia" w:ascii="宋体" w:hAnsi="宋体" w:eastAsia="宋体"/>
        </w:rPr>
      </w:pPr>
      <w:bookmarkStart w:id="367" w:name="_Toc515893119"/>
      <w:bookmarkStart w:id="368" w:name="_Toc410717636"/>
      <w:bookmarkStart w:id="369" w:name="_Toc236152858"/>
      <w:bookmarkStart w:id="370" w:name="_Toc271011168"/>
      <w:bookmarkStart w:id="371" w:name="_Toc410657961"/>
      <w:r>
        <w:rPr>
          <w:rFonts w:hint="eastAsia" w:ascii="宋体" w:hAnsi="宋体" w:eastAsia="宋体"/>
        </w:rPr>
        <w:t>2、城市事件编码</w:t>
      </w:r>
      <w:bookmarkEnd w:id="367"/>
      <w:bookmarkEnd w:id="368"/>
      <w:bookmarkEnd w:id="369"/>
      <w:bookmarkEnd w:id="370"/>
      <w:bookmarkEnd w:id="371"/>
    </w:p>
    <w:p w14:paraId="7ACA822B">
      <w:pPr>
        <w:ind w:firstLine="480"/>
        <w:rPr>
          <w:rFonts w:hint="eastAsia" w:ascii="宋体" w:hAnsi="宋体" w:eastAsia="宋体"/>
        </w:rPr>
      </w:pPr>
      <w:r>
        <w:rPr>
          <w:rFonts w:hint="eastAsia" w:ascii="宋体" w:hAnsi="宋体" w:eastAsia="宋体"/>
        </w:rPr>
        <w:t>事件分类代码由3个码段共10位数字组成，依次为：6位县级及县级以上行政区划代码、2位大类代码、2位小类代码。编码结构如下图所示。</w:t>
      </w:r>
    </w:p>
    <w:p w14:paraId="39174D14">
      <w:pPr>
        <w:jc w:val="center"/>
        <w:rPr>
          <w:rFonts w:hint="eastAsia"/>
          <w:color w:val="000000"/>
        </w:rPr>
      </w:pPr>
      <w:r>
        <w:rPr>
          <w:color w:val="000000"/>
        </w:rPr>
        <w:drawing>
          <wp:inline distT="0" distB="0" distL="0" distR="0">
            <wp:extent cx="4809490" cy="11753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9490" cy="1175385"/>
                    </a:xfrm>
                    <a:prstGeom prst="rect">
                      <a:avLst/>
                    </a:prstGeom>
                    <a:noFill/>
                    <a:ln>
                      <a:noFill/>
                    </a:ln>
                  </pic:spPr>
                </pic:pic>
              </a:graphicData>
            </a:graphic>
          </wp:inline>
        </w:drawing>
      </w:r>
    </w:p>
    <w:p w14:paraId="4B0AD019">
      <w:pPr>
        <w:ind w:firstLine="480"/>
        <w:rPr>
          <w:rFonts w:hint="eastAsia" w:ascii="宋体" w:hAnsi="宋体" w:eastAsia="宋体"/>
        </w:rPr>
      </w:pPr>
      <w:r>
        <w:rPr>
          <w:rFonts w:hint="eastAsia" w:ascii="宋体" w:hAnsi="宋体" w:eastAsia="宋体"/>
        </w:rPr>
        <w:t>县级及县级以上行政区划代码按照GB/T 2260的规定执行。</w:t>
      </w:r>
    </w:p>
    <w:p w14:paraId="16ED6161">
      <w:pPr>
        <w:ind w:firstLine="480"/>
        <w:rPr>
          <w:rFonts w:hint="eastAsia" w:ascii="宋体" w:hAnsi="宋体" w:eastAsia="宋体"/>
        </w:rPr>
      </w:pPr>
      <w:r>
        <w:rPr>
          <w:rFonts w:hint="eastAsia" w:ascii="宋体" w:hAnsi="宋体" w:eastAsia="宋体"/>
        </w:rPr>
        <w:t>大类代码为2位，表示事件大类，具体划分为：</w:t>
      </w:r>
    </w:p>
    <w:p w14:paraId="371ECDC9">
      <w:pPr>
        <w:ind w:firstLine="480"/>
        <w:rPr>
          <w:rFonts w:hint="eastAsia" w:ascii="宋体" w:hAnsi="宋体" w:eastAsia="宋体"/>
        </w:rPr>
      </w:pPr>
      <w:r>
        <w:rPr>
          <w:rFonts w:hint="eastAsia" w:ascii="宋体" w:hAnsi="宋体" w:eastAsia="宋体"/>
        </w:rPr>
        <w:t>01</w:t>
      </w:r>
      <w:r>
        <w:rPr>
          <w:rFonts w:ascii="宋体" w:hAnsi="宋体" w:eastAsia="宋体"/>
        </w:rPr>
        <w:sym w:font="Symbol" w:char="F07E"/>
      </w:r>
      <w:r>
        <w:rPr>
          <w:rFonts w:hint="eastAsia" w:ascii="宋体" w:hAnsi="宋体" w:eastAsia="宋体"/>
        </w:rPr>
        <w:t>0</w:t>
      </w:r>
      <w:r>
        <w:rPr>
          <w:rFonts w:ascii="宋体" w:hAnsi="宋体" w:eastAsia="宋体"/>
        </w:rPr>
        <w:t>6</w:t>
      </w:r>
      <w:r>
        <w:rPr>
          <w:rFonts w:hint="eastAsia" w:ascii="宋体" w:hAnsi="宋体" w:eastAsia="宋体"/>
        </w:rPr>
        <w:t>分别表示市容环境类、宣传广告类、施工管理类、街面秩序类、突发事件类及其他事件类。</w:t>
      </w:r>
    </w:p>
    <w:p w14:paraId="778E5853">
      <w:pPr>
        <w:ind w:firstLine="480"/>
        <w:rPr>
          <w:rFonts w:hint="eastAsia" w:ascii="宋体" w:hAnsi="宋体" w:eastAsia="宋体"/>
        </w:rPr>
      </w:pPr>
      <w:r>
        <w:rPr>
          <w:rFonts w:hint="eastAsia" w:ascii="宋体" w:hAnsi="宋体" w:eastAsia="宋体"/>
        </w:rPr>
        <w:t>小类代码为2位，表示事件小类，具体编码方法为：</w:t>
      </w:r>
    </w:p>
    <w:p w14:paraId="69C5AFE3">
      <w:pPr>
        <w:ind w:firstLine="480"/>
        <w:rPr>
          <w:rFonts w:hint="eastAsia" w:ascii="宋体" w:hAnsi="宋体" w:eastAsia="宋体"/>
        </w:rPr>
      </w:pPr>
      <w:r>
        <w:rPr>
          <w:rFonts w:hint="eastAsia" w:ascii="宋体" w:hAnsi="宋体" w:eastAsia="宋体"/>
        </w:rPr>
        <w:t>每一事件大类细分的小类从0</w:t>
      </w:r>
      <w:r>
        <w:rPr>
          <w:rFonts w:ascii="宋体" w:hAnsi="宋体" w:eastAsia="宋体"/>
        </w:rPr>
        <w:t>1</w:t>
      </w:r>
      <w:r>
        <w:rPr>
          <w:rFonts w:hint="eastAsia" w:ascii="宋体" w:hAnsi="宋体" w:eastAsia="宋体"/>
        </w:rPr>
        <w:t>~</w:t>
      </w:r>
      <w:r>
        <w:rPr>
          <w:rFonts w:ascii="宋体" w:hAnsi="宋体" w:eastAsia="宋体"/>
        </w:rPr>
        <w:t>79</w:t>
      </w:r>
      <w:r>
        <w:rPr>
          <w:rFonts w:hint="eastAsia" w:ascii="宋体" w:hAnsi="宋体" w:eastAsia="宋体"/>
        </w:rPr>
        <w:t>顺序编排，8</w:t>
      </w:r>
      <w:r>
        <w:rPr>
          <w:rFonts w:ascii="宋体" w:hAnsi="宋体" w:eastAsia="宋体"/>
        </w:rPr>
        <w:t>0</w:t>
      </w:r>
      <w:r>
        <w:rPr>
          <w:rFonts w:hint="eastAsia" w:ascii="宋体" w:hAnsi="宋体" w:eastAsia="宋体"/>
        </w:rPr>
        <w:t>~</w:t>
      </w:r>
      <w:r>
        <w:rPr>
          <w:rFonts w:ascii="宋体" w:hAnsi="宋体" w:eastAsia="宋体"/>
        </w:rPr>
        <w:t>99</w:t>
      </w:r>
      <w:r>
        <w:rPr>
          <w:rFonts w:hint="eastAsia" w:ascii="宋体" w:hAnsi="宋体" w:eastAsia="宋体"/>
        </w:rPr>
        <w:t>用于扩充的小类。</w:t>
      </w:r>
    </w:p>
    <w:p w14:paraId="034DEB91">
      <w:pPr>
        <w:pStyle w:val="14"/>
        <w:rPr>
          <w:rFonts w:hint="eastAsia"/>
        </w:rPr>
      </w:pPr>
      <w:bookmarkStart w:id="372" w:name="_Toc515893121"/>
      <w:bookmarkStart w:id="373" w:name="_Toc22475891"/>
      <w:r>
        <w:rPr>
          <w:rFonts w:hint="eastAsia"/>
        </w:rPr>
        <w:t>城市部件数据库</w:t>
      </w:r>
      <w:bookmarkEnd w:id="372"/>
      <w:bookmarkEnd w:id="373"/>
    </w:p>
    <w:p w14:paraId="2016FC34">
      <w:pPr>
        <w:ind w:firstLine="480"/>
        <w:rPr>
          <w:rFonts w:hint="eastAsia" w:ascii="宋体" w:hAnsi="宋体" w:eastAsia="宋体"/>
        </w:rPr>
      </w:pPr>
      <w:bookmarkStart w:id="374" w:name="_Toc271011163"/>
      <w:bookmarkStart w:id="375" w:name="_Toc236152853"/>
      <w:bookmarkStart w:id="376" w:name="_Toc410657956"/>
      <w:bookmarkStart w:id="377" w:name="_Toc515893122"/>
      <w:bookmarkStart w:id="378" w:name="_Toc410717631"/>
      <w:r>
        <w:rPr>
          <w:rFonts w:hint="eastAsia" w:ascii="宋体" w:hAnsi="宋体" w:eastAsia="宋体"/>
        </w:rPr>
        <w:t>1、城市部件分类</w:t>
      </w:r>
      <w:bookmarkEnd w:id="374"/>
      <w:bookmarkEnd w:id="375"/>
      <w:bookmarkEnd w:id="376"/>
      <w:bookmarkEnd w:id="377"/>
      <w:bookmarkEnd w:id="378"/>
    </w:p>
    <w:p w14:paraId="07C0936C">
      <w:pPr>
        <w:ind w:firstLine="480"/>
        <w:rPr>
          <w:rFonts w:hint="eastAsia" w:ascii="宋体" w:hAnsi="宋体" w:eastAsia="宋体"/>
        </w:rPr>
      </w:pPr>
      <w:r>
        <w:rPr>
          <w:rFonts w:hint="eastAsia" w:ascii="宋体" w:hAnsi="宋体" w:eastAsia="宋体"/>
        </w:rPr>
        <w:t>城市部件数据库建设依托《数字化城市管理信息系统第</w:t>
      </w:r>
      <w:r>
        <w:rPr>
          <w:rFonts w:ascii="宋体" w:hAnsi="宋体" w:eastAsia="宋体"/>
        </w:rPr>
        <w:t xml:space="preserve"> 2 部分：管理部件和事件》（GB/T 30428.2-2013）</w:t>
      </w:r>
      <w:r>
        <w:rPr>
          <w:rFonts w:hint="eastAsia" w:ascii="宋体" w:hAnsi="宋体" w:eastAsia="宋体"/>
        </w:rPr>
        <w:t>，按其性质和特点划分为大类和小类，部件的大类分为：公用设施、交通设施、市容环境设施、园林绿化设施以及其他部件。</w:t>
      </w:r>
    </w:p>
    <w:p w14:paraId="2A9D46CA">
      <w:pPr>
        <w:ind w:firstLine="480"/>
        <w:rPr>
          <w:rFonts w:hint="eastAsia" w:ascii="宋体" w:hAnsi="宋体" w:eastAsia="宋体"/>
        </w:rPr>
      </w:pPr>
      <w:r>
        <w:rPr>
          <w:rFonts w:hint="eastAsia" w:ascii="宋体" w:hAnsi="宋体" w:eastAsia="宋体"/>
        </w:rPr>
        <w:t>其中：</w:t>
      </w:r>
    </w:p>
    <w:p w14:paraId="793907AC">
      <w:pPr>
        <w:pStyle w:val="175"/>
        <w:numPr>
          <w:ilvl w:val="0"/>
          <w:numId w:val="126"/>
        </w:numPr>
        <w:spacing w:before="166" w:after="78" w:afterLines="25" w:line="360" w:lineRule="auto"/>
        <w:ind w:firstLineChars="0"/>
        <w:rPr>
          <w:rFonts w:hint="eastAsia" w:ascii="宋体" w:hAnsi="宋体" w:eastAsia="宋体"/>
        </w:rPr>
      </w:pPr>
      <w:r>
        <w:rPr>
          <w:rFonts w:ascii="宋体" w:hAnsi="宋体" w:eastAsia="宋体"/>
        </w:rPr>
        <w:t>公用设施主要包括水、电、气、热等各种检查井盖，以及相关公用设施等；</w:t>
      </w:r>
    </w:p>
    <w:p w14:paraId="3898C75E">
      <w:pPr>
        <w:pStyle w:val="175"/>
        <w:numPr>
          <w:ilvl w:val="0"/>
          <w:numId w:val="126"/>
        </w:numPr>
        <w:spacing w:before="166" w:after="78" w:afterLines="25" w:line="360" w:lineRule="auto"/>
        <w:ind w:firstLineChars="0"/>
        <w:rPr>
          <w:rFonts w:hint="eastAsia" w:ascii="宋体" w:hAnsi="宋体" w:eastAsia="宋体"/>
        </w:rPr>
      </w:pPr>
      <w:r>
        <w:rPr>
          <w:rFonts w:hint="eastAsia" w:ascii="宋体" w:hAnsi="宋体" w:eastAsia="宋体"/>
        </w:rPr>
        <w:t>交通设施主要包括停车场、</w:t>
      </w:r>
      <w:r>
        <w:rPr>
          <w:rFonts w:ascii="宋体" w:hAnsi="宋体" w:eastAsia="宋体"/>
        </w:rPr>
        <w:t>交通标志</w:t>
      </w:r>
      <w:r>
        <w:rPr>
          <w:rFonts w:hint="eastAsia" w:ascii="宋体" w:hAnsi="宋体" w:eastAsia="宋体"/>
        </w:rPr>
        <w:t>牌</w:t>
      </w:r>
      <w:r>
        <w:rPr>
          <w:rFonts w:ascii="宋体" w:hAnsi="宋体" w:eastAsia="宋体"/>
        </w:rPr>
        <w:t>、公交站亭、立交桥等；</w:t>
      </w:r>
    </w:p>
    <w:p w14:paraId="6042BFAB">
      <w:pPr>
        <w:pStyle w:val="175"/>
        <w:numPr>
          <w:ilvl w:val="0"/>
          <w:numId w:val="126"/>
        </w:numPr>
        <w:spacing w:before="166" w:after="78" w:afterLines="25" w:line="360" w:lineRule="auto"/>
        <w:ind w:firstLineChars="0"/>
        <w:rPr>
          <w:rFonts w:hint="eastAsia" w:ascii="宋体" w:hAnsi="宋体" w:eastAsia="宋体"/>
        </w:rPr>
      </w:pPr>
      <w:r>
        <w:rPr>
          <w:rFonts w:ascii="宋体" w:hAnsi="宋体" w:eastAsia="宋体"/>
        </w:rPr>
        <w:t>市容环境</w:t>
      </w:r>
      <w:r>
        <w:rPr>
          <w:rFonts w:hint="eastAsia" w:ascii="宋体" w:hAnsi="宋体" w:eastAsia="宋体"/>
        </w:rPr>
        <w:t>设施</w:t>
      </w:r>
      <w:r>
        <w:rPr>
          <w:rFonts w:ascii="宋体" w:hAnsi="宋体" w:eastAsia="宋体"/>
        </w:rPr>
        <w:t>主要包括公共厕所、垃圾箱、</w:t>
      </w:r>
      <w:r>
        <w:rPr>
          <w:rFonts w:hint="eastAsia" w:ascii="宋体" w:hAnsi="宋体" w:eastAsia="宋体"/>
        </w:rPr>
        <w:t>户外广告、牌匾标识</w:t>
      </w:r>
      <w:r>
        <w:rPr>
          <w:rFonts w:ascii="宋体" w:hAnsi="宋体" w:eastAsia="宋体"/>
        </w:rPr>
        <w:t>等；</w:t>
      </w:r>
    </w:p>
    <w:p w14:paraId="2061371B">
      <w:pPr>
        <w:pStyle w:val="175"/>
        <w:numPr>
          <w:ilvl w:val="0"/>
          <w:numId w:val="126"/>
        </w:numPr>
        <w:spacing w:before="166" w:after="78" w:afterLines="25" w:line="360" w:lineRule="auto"/>
        <w:ind w:firstLineChars="0"/>
        <w:rPr>
          <w:rFonts w:hint="eastAsia" w:ascii="宋体" w:hAnsi="宋体" w:eastAsia="宋体"/>
        </w:rPr>
      </w:pPr>
      <w:r>
        <w:rPr>
          <w:rFonts w:ascii="宋体" w:hAnsi="宋体" w:eastAsia="宋体"/>
        </w:rPr>
        <w:t>园林绿化</w:t>
      </w:r>
      <w:r>
        <w:rPr>
          <w:rFonts w:hint="eastAsia" w:ascii="宋体" w:hAnsi="宋体" w:eastAsia="宋体"/>
        </w:rPr>
        <w:t>设施</w:t>
      </w:r>
      <w:r>
        <w:rPr>
          <w:rFonts w:ascii="宋体" w:hAnsi="宋体" w:eastAsia="宋体"/>
        </w:rPr>
        <w:t>主要包括古树名木、雕塑、街头坐椅等；</w:t>
      </w:r>
    </w:p>
    <w:p w14:paraId="31BFA26D">
      <w:pPr>
        <w:pStyle w:val="175"/>
        <w:numPr>
          <w:ilvl w:val="0"/>
          <w:numId w:val="126"/>
        </w:numPr>
        <w:spacing w:before="166" w:after="78" w:afterLines="25" w:line="360" w:lineRule="auto"/>
        <w:ind w:firstLineChars="0"/>
        <w:rPr>
          <w:rFonts w:hint="eastAsia" w:ascii="宋体" w:hAnsi="宋体" w:eastAsia="宋体"/>
        </w:rPr>
      </w:pPr>
      <w:r>
        <w:rPr>
          <w:rFonts w:hint="eastAsia" w:ascii="宋体" w:hAnsi="宋体" w:eastAsia="宋体"/>
        </w:rPr>
        <w:t>其他部件主要包括人防工事、公房地下室、重大危险源、水域附属设施、文物古迹等。</w:t>
      </w:r>
    </w:p>
    <w:p w14:paraId="487365E6">
      <w:pPr>
        <w:ind w:firstLine="480"/>
        <w:rPr>
          <w:rFonts w:hint="eastAsia" w:ascii="宋体" w:hAnsi="宋体" w:eastAsia="宋体"/>
        </w:rPr>
      </w:pPr>
      <w:bookmarkStart w:id="379" w:name="_Toc236152854"/>
      <w:bookmarkStart w:id="380" w:name="_Toc410717632"/>
      <w:bookmarkStart w:id="381" w:name="_Toc410657957"/>
      <w:bookmarkStart w:id="382" w:name="_Toc271011164"/>
      <w:bookmarkStart w:id="383" w:name="_Toc515893123"/>
      <w:r>
        <w:rPr>
          <w:rFonts w:hint="eastAsia" w:ascii="宋体" w:hAnsi="宋体" w:eastAsia="宋体"/>
        </w:rPr>
        <w:t>2、城市部件编码</w:t>
      </w:r>
      <w:bookmarkEnd w:id="379"/>
      <w:bookmarkEnd w:id="380"/>
      <w:bookmarkEnd w:id="381"/>
      <w:bookmarkEnd w:id="382"/>
      <w:bookmarkEnd w:id="383"/>
    </w:p>
    <w:p w14:paraId="2CBC898B">
      <w:pPr>
        <w:ind w:firstLine="480"/>
        <w:rPr>
          <w:rFonts w:hint="eastAsia" w:ascii="宋体" w:hAnsi="宋体" w:eastAsia="宋体"/>
        </w:rPr>
      </w:pPr>
      <w:r>
        <w:rPr>
          <w:rFonts w:hint="eastAsia" w:ascii="宋体" w:hAnsi="宋体" w:eastAsia="宋体"/>
        </w:rPr>
        <w:t>部件代码由3个码段共10位数字组成，依次为：6位县级及县级以上行政区划代码、2位大类代码、2位小类代码。代码结构如下图所示。</w:t>
      </w:r>
    </w:p>
    <w:p w14:paraId="6029FCD4">
      <w:pPr>
        <w:jc w:val="center"/>
        <w:rPr>
          <w:rFonts w:hint="eastAsia"/>
          <w:color w:val="000000"/>
        </w:rPr>
      </w:pPr>
      <w:r>
        <w:rPr>
          <w:color w:val="000000"/>
        </w:rPr>
        <w:drawing>
          <wp:inline distT="0" distB="0" distL="0" distR="0">
            <wp:extent cx="4809490" cy="1175385"/>
            <wp:effectExtent l="0" t="0" r="0" b="5715"/>
            <wp:docPr id="1101366778" name="图片 110136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66778" name="图片 11013667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9490" cy="1175385"/>
                    </a:xfrm>
                    <a:prstGeom prst="rect">
                      <a:avLst/>
                    </a:prstGeom>
                    <a:noFill/>
                    <a:ln>
                      <a:noFill/>
                    </a:ln>
                  </pic:spPr>
                </pic:pic>
              </a:graphicData>
            </a:graphic>
          </wp:inline>
        </w:drawing>
      </w:r>
    </w:p>
    <w:p w14:paraId="523F4C37">
      <w:pPr>
        <w:ind w:firstLine="480"/>
        <w:rPr>
          <w:rFonts w:hint="eastAsia" w:ascii="宋体" w:hAnsi="宋体" w:eastAsia="宋体"/>
        </w:rPr>
      </w:pPr>
      <w:r>
        <w:rPr>
          <w:rFonts w:hint="eastAsia" w:ascii="宋体" w:hAnsi="宋体" w:eastAsia="宋体"/>
        </w:rPr>
        <w:t>县级及县级以上行政区划代码按照GB/T 2260的规定执行。</w:t>
      </w:r>
    </w:p>
    <w:p w14:paraId="2F62AACE">
      <w:pPr>
        <w:ind w:firstLine="480"/>
        <w:rPr>
          <w:rFonts w:hint="eastAsia" w:ascii="宋体" w:hAnsi="宋体" w:eastAsia="宋体"/>
        </w:rPr>
      </w:pPr>
      <w:r>
        <w:rPr>
          <w:rFonts w:hint="eastAsia" w:ascii="宋体" w:hAnsi="宋体" w:eastAsia="宋体"/>
        </w:rPr>
        <w:t>大类代码为2位，表示部件大类，具体划分为：</w:t>
      </w:r>
    </w:p>
    <w:p w14:paraId="279855CC">
      <w:pPr>
        <w:ind w:firstLine="480"/>
        <w:rPr>
          <w:rFonts w:hint="eastAsia" w:ascii="宋体" w:hAnsi="宋体" w:eastAsia="宋体"/>
        </w:rPr>
      </w:pPr>
      <w:r>
        <w:rPr>
          <w:rFonts w:hint="eastAsia" w:ascii="宋体" w:hAnsi="宋体" w:eastAsia="宋体"/>
        </w:rPr>
        <w:t>01~0</w:t>
      </w:r>
      <w:r>
        <w:rPr>
          <w:rFonts w:ascii="宋体" w:hAnsi="宋体" w:eastAsia="宋体"/>
        </w:rPr>
        <w:t>5</w:t>
      </w:r>
      <w:r>
        <w:rPr>
          <w:rFonts w:hint="eastAsia" w:ascii="宋体" w:hAnsi="宋体" w:eastAsia="宋体"/>
        </w:rPr>
        <w:t>分别表示公用设施、交通设施、市容环境设施、园林绿化设施及其它部件。</w:t>
      </w:r>
    </w:p>
    <w:p w14:paraId="2F7B2212">
      <w:pPr>
        <w:ind w:firstLine="480"/>
        <w:rPr>
          <w:rFonts w:hint="eastAsia" w:ascii="宋体" w:hAnsi="宋体" w:eastAsia="宋体"/>
        </w:rPr>
      </w:pPr>
      <w:r>
        <w:rPr>
          <w:rFonts w:hint="eastAsia" w:ascii="宋体" w:hAnsi="宋体" w:eastAsia="宋体"/>
        </w:rPr>
        <w:t>小类代码为2位，表示部件小类，具体编码方法为：</w:t>
      </w:r>
    </w:p>
    <w:p w14:paraId="37D2EC87">
      <w:pPr>
        <w:ind w:firstLine="480"/>
        <w:rPr>
          <w:rFonts w:hint="eastAsia" w:ascii="宋体" w:hAnsi="宋体" w:eastAsia="宋体"/>
        </w:rPr>
      </w:pPr>
      <w:r>
        <w:rPr>
          <w:rFonts w:hint="eastAsia" w:ascii="宋体" w:hAnsi="宋体" w:eastAsia="宋体"/>
        </w:rPr>
        <w:t>前四个部件大类细分的小类从0</w:t>
      </w:r>
      <w:r>
        <w:rPr>
          <w:rFonts w:ascii="宋体" w:hAnsi="宋体" w:eastAsia="宋体"/>
        </w:rPr>
        <w:t>1</w:t>
      </w:r>
      <w:r>
        <w:rPr>
          <w:rFonts w:hint="eastAsia" w:ascii="宋体" w:hAnsi="宋体" w:eastAsia="宋体"/>
        </w:rPr>
        <w:t>~</w:t>
      </w:r>
      <w:r>
        <w:rPr>
          <w:rFonts w:ascii="宋体" w:hAnsi="宋体" w:eastAsia="宋体"/>
        </w:rPr>
        <w:t>79</w:t>
      </w:r>
      <w:r>
        <w:rPr>
          <w:rFonts w:hint="eastAsia" w:ascii="宋体" w:hAnsi="宋体" w:eastAsia="宋体"/>
        </w:rPr>
        <w:t>顺序编排，8</w:t>
      </w:r>
      <w:r>
        <w:rPr>
          <w:rFonts w:ascii="宋体" w:hAnsi="宋体" w:eastAsia="宋体"/>
        </w:rPr>
        <w:t>0</w:t>
      </w:r>
      <w:r>
        <w:rPr>
          <w:rFonts w:hint="eastAsia" w:ascii="宋体" w:hAnsi="宋体" w:eastAsia="宋体"/>
        </w:rPr>
        <w:t>~</w:t>
      </w:r>
      <w:r>
        <w:rPr>
          <w:rFonts w:ascii="宋体" w:hAnsi="宋体" w:eastAsia="宋体"/>
        </w:rPr>
        <w:t>99</w:t>
      </w:r>
      <w:r>
        <w:rPr>
          <w:rFonts w:hint="eastAsia" w:ascii="宋体" w:hAnsi="宋体" w:eastAsia="宋体"/>
        </w:rPr>
        <w:t>用于扩充的小类。</w:t>
      </w:r>
    </w:p>
    <w:p w14:paraId="7ED1AD5D">
      <w:pPr>
        <w:ind w:firstLine="480"/>
        <w:rPr>
          <w:rFonts w:hint="eastAsia" w:ascii="宋体" w:hAnsi="宋体" w:eastAsia="宋体"/>
        </w:rPr>
      </w:pPr>
      <w:r>
        <w:rPr>
          <w:rFonts w:hint="eastAsia" w:ascii="宋体" w:hAnsi="宋体" w:eastAsia="宋体"/>
        </w:rPr>
        <w:t>3、城市部件普查</w:t>
      </w:r>
    </w:p>
    <w:p w14:paraId="6E082971">
      <w:pPr>
        <w:ind w:firstLine="480"/>
        <w:rPr>
          <w:rFonts w:hint="eastAsia" w:ascii="宋体" w:hAnsi="宋体" w:eastAsia="宋体"/>
        </w:rPr>
      </w:pPr>
      <w:r>
        <w:rPr>
          <w:rFonts w:hint="eastAsia" w:ascii="宋体" w:hAnsi="宋体" w:eastAsia="宋体"/>
        </w:rPr>
        <w:t>为全面掌握城市辖区内部件（即物化的城市管理对象）的分布和现状情况，需制定在同一时间内统一开始进行中心城区内的城市部件“地毯式”的普查工作，普查内容包括：城市部件的平面位置、所属专业部门、使用性质、目前状况、所在单元网格等。普查以1：500或1:1000地形图和正射影像图作底图，按照城市部件的功能分类、分层绘图，把每一个城市部件与其属性信息表建立关联，将其全部定位到所属单元网格中，建立城市部件数据库。</w:t>
      </w:r>
    </w:p>
    <w:p w14:paraId="516E3134">
      <w:pPr>
        <w:ind w:firstLine="482"/>
        <w:rPr>
          <w:rFonts w:hint="eastAsia" w:ascii="宋体" w:hAnsi="宋体" w:eastAsia="宋体"/>
          <w:b/>
        </w:rPr>
      </w:pPr>
      <w:r>
        <w:rPr>
          <w:rFonts w:hint="eastAsia" w:ascii="宋体" w:hAnsi="宋体" w:eastAsia="宋体"/>
          <w:b/>
        </w:rPr>
        <w:t>1、普查范围</w:t>
      </w:r>
    </w:p>
    <w:p w14:paraId="486B62D8">
      <w:pPr>
        <w:ind w:firstLine="480"/>
        <w:rPr>
          <w:rFonts w:hint="eastAsia" w:ascii="宋体" w:hAnsi="宋体" w:eastAsia="宋体"/>
        </w:rPr>
      </w:pPr>
      <w:r>
        <w:rPr>
          <w:rFonts w:hint="eastAsia" w:ascii="宋体" w:hAnsi="宋体" w:eastAsia="宋体"/>
        </w:rPr>
        <w:t>普查的内容应覆盖规定范围内的所有城市部件。</w:t>
      </w:r>
    </w:p>
    <w:p w14:paraId="29375FB5">
      <w:pPr>
        <w:ind w:firstLine="482"/>
        <w:rPr>
          <w:rFonts w:hint="eastAsia" w:ascii="宋体" w:hAnsi="宋体" w:eastAsia="宋体"/>
          <w:b/>
        </w:rPr>
      </w:pPr>
      <w:r>
        <w:rPr>
          <w:rFonts w:hint="eastAsia" w:ascii="宋体" w:hAnsi="宋体" w:eastAsia="宋体"/>
          <w:b/>
        </w:rPr>
        <w:t>2、普查内容</w:t>
      </w:r>
    </w:p>
    <w:p w14:paraId="3D2580B9">
      <w:pPr>
        <w:ind w:firstLine="480"/>
        <w:rPr>
          <w:rFonts w:hint="eastAsia" w:ascii="宋体" w:hAnsi="宋体" w:eastAsia="宋体"/>
        </w:rPr>
      </w:pPr>
      <w:r>
        <w:rPr>
          <w:rFonts w:hint="eastAsia" w:ascii="宋体" w:hAnsi="宋体" w:eastAsia="宋体"/>
        </w:rPr>
        <w:t>部件普查的内容为室外公共空间的城市管理公共设施，主要分为五大类：公用设施、交通设施、市容环境设施、园林绿化设施以及其他部件。调查城市部件的空间位置、实际位置描述、物理属性及管理属性，根据有关技术规范要求，通过普查分类获取城市部件的各种属性数据，建立城市部件数据库。</w:t>
      </w:r>
    </w:p>
    <w:p w14:paraId="6CC852ED">
      <w:pPr>
        <w:ind w:firstLine="480"/>
        <w:rPr>
          <w:rFonts w:hint="eastAsia" w:ascii="宋体" w:hAnsi="宋体" w:eastAsia="宋体"/>
        </w:rPr>
      </w:pPr>
      <w:r>
        <w:rPr>
          <w:rFonts w:hint="eastAsia" w:ascii="宋体" w:hAnsi="宋体" w:eastAsia="宋体"/>
        </w:rPr>
        <w:t>城市部件的基本属性信息应包括：标识码、名称、主管部门、权属单位、养护单位、所在单元网格、状态、初始时间、变更时间、数据来源、位置描述、现势性、源比例尺分母、备注以及照片资料；详细属性（附加属性）向相关市政部门收集资料。</w:t>
      </w:r>
    </w:p>
    <w:p w14:paraId="0631FD23">
      <w:pPr>
        <w:ind w:firstLine="482"/>
        <w:rPr>
          <w:rFonts w:hint="eastAsia" w:ascii="宋体" w:hAnsi="宋体" w:eastAsia="宋体"/>
          <w:b/>
        </w:rPr>
      </w:pPr>
      <w:r>
        <w:rPr>
          <w:rFonts w:hint="eastAsia" w:ascii="宋体" w:hAnsi="宋体" w:eastAsia="宋体"/>
          <w:b/>
        </w:rPr>
        <w:t>3、部件普查技术指标</w:t>
      </w:r>
    </w:p>
    <w:p w14:paraId="468ED753">
      <w:pPr>
        <w:ind w:firstLine="480"/>
        <w:rPr>
          <w:rFonts w:hint="eastAsia" w:ascii="宋体" w:hAnsi="宋体" w:eastAsia="宋体"/>
        </w:rPr>
      </w:pPr>
      <w:r>
        <w:rPr>
          <w:rFonts w:hint="eastAsia" w:ascii="宋体" w:hAnsi="宋体" w:eastAsia="宋体"/>
        </w:rPr>
        <w:t>部件定位精度要求：每平方公里内位置误差超出允许范围的个数与该范围内部件总数之比不应超过5%。</w:t>
      </w:r>
    </w:p>
    <w:p w14:paraId="51A9285C">
      <w:pPr>
        <w:ind w:firstLine="480"/>
        <w:rPr>
          <w:rFonts w:hint="eastAsia" w:ascii="宋体" w:hAnsi="宋体" w:eastAsia="宋体"/>
        </w:rPr>
      </w:pPr>
      <w:r>
        <w:rPr>
          <w:rFonts w:hint="eastAsia" w:ascii="宋体" w:hAnsi="宋体" w:eastAsia="宋体"/>
        </w:rPr>
        <w:t>部件普查遗漏允许指标：每平方公里内遗漏个数不得超出总数的5%。</w:t>
      </w:r>
    </w:p>
    <w:p w14:paraId="451E2C3D">
      <w:pPr>
        <w:ind w:firstLine="480"/>
        <w:rPr>
          <w:rFonts w:hint="eastAsia" w:ascii="宋体" w:hAnsi="宋体" w:eastAsia="宋体"/>
        </w:rPr>
      </w:pPr>
      <w:r>
        <w:rPr>
          <w:rFonts w:hint="eastAsia" w:ascii="宋体" w:hAnsi="宋体" w:eastAsia="宋体"/>
        </w:rPr>
        <w:t>部件普查属性错误允许指标：部件属性中有一个属性项错误即认为该部件的属性错误，每平方公里内部件属性错误个数不得超出部件总数的5%。</w:t>
      </w:r>
    </w:p>
    <w:p w14:paraId="6A52858B">
      <w:pPr>
        <w:ind w:firstLine="482"/>
        <w:rPr>
          <w:rFonts w:hint="eastAsia" w:ascii="宋体" w:hAnsi="宋体" w:eastAsia="宋体"/>
          <w:b/>
        </w:rPr>
      </w:pPr>
      <w:r>
        <w:rPr>
          <w:rFonts w:hint="eastAsia" w:ascii="宋体" w:hAnsi="宋体" w:eastAsia="宋体"/>
          <w:b/>
        </w:rPr>
        <w:t>4、普查数据处理与入库</w:t>
      </w:r>
    </w:p>
    <w:p w14:paraId="705CB621">
      <w:pPr>
        <w:ind w:firstLine="480"/>
        <w:rPr>
          <w:rFonts w:hint="eastAsia" w:ascii="宋体" w:hAnsi="宋体" w:eastAsia="宋体"/>
        </w:rPr>
      </w:pPr>
      <w:r>
        <w:rPr>
          <w:rFonts w:hint="eastAsia" w:ascii="宋体" w:hAnsi="宋体" w:eastAsia="宋体"/>
        </w:rPr>
        <w:t>将普查后的部件信息逐一核实后输入到部件数据库中。要求以常用的空间数据格式和属性格式对普查的图形数据和属性数据进行录入，形成完整的部件库。为保证空间基准的统一，应采用与城市基础测绘相一致的空间参考坐标系。</w:t>
      </w:r>
    </w:p>
    <w:p w14:paraId="664F460F">
      <w:pPr>
        <w:ind w:firstLine="480"/>
        <w:rPr>
          <w:rFonts w:hint="eastAsia" w:ascii="宋体" w:hAnsi="宋体" w:eastAsia="宋体"/>
        </w:rPr>
      </w:pPr>
      <w:r>
        <w:rPr>
          <w:rFonts w:hint="eastAsia" w:ascii="宋体" w:hAnsi="宋体" w:eastAsia="宋体"/>
        </w:rPr>
        <w:t>1）图形数据的处理</w:t>
      </w:r>
    </w:p>
    <w:p w14:paraId="549BCBC6">
      <w:pPr>
        <w:ind w:firstLine="480"/>
        <w:rPr>
          <w:rFonts w:hint="eastAsia" w:ascii="宋体" w:hAnsi="宋体" w:eastAsia="宋体"/>
        </w:rPr>
      </w:pPr>
      <w:r>
        <w:rPr>
          <w:rFonts w:hint="eastAsia" w:ascii="宋体" w:hAnsi="宋体" w:eastAsia="宋体"/>
        </w:rPr>
        <w:t>按照普查所得的城市部件内容以及对应的标识码进行图形数据录入，并按照规定的符号进行符号配置，完成图形数据的处理。</w:t>
      </w:r>
    </w:p>
    <w:p w14:paraId="1EB3D9A0">
      <w:pPr>
        <w:ind w:firstLine="480"/>
        <w:rPr>
          <w:rFonts w:hint="eastAsia" w:ascii="宋体" w:hAnsi="宋体" w:eastAsia="宋体"/>
        </w:rPr>
      </w:pPr>
      <w:r>
        <w:rPr>
          <w:rFonts w:hint="eastAsia" w:ascii="宋体" w:hAnsi="宋体" w:eastAsia="宋体"/>
        </w:rPr>
        <w:t>2）属性数据的处理</w:t>
      </w:r>
    </w:p>
    <w:p w14:paraId="660A2C0F">
      <w:pPr>
        <w:ind w:firstLine="480"/>
        <w:rPr>
          <w:rFonts w:hint="eastAsia" w:ascii="宋体" w:hAnsi="宋体" w:eastAsia="宋体"/>
        </w:rPr>
      </w:pPr>
      <w:r>
        <w:rPr>
          <w:rFonts w:hint="eastAsia" w:ascii="宋体" w:hAnsi="宋体" w:eastAsia="宋体"/>
        </w:rPr>
        <w:t>根据普查所得的部件的属性记录，对照部件图形数据进行属性数据挂接，并利用已有的资料进行基本属性的补充、整合、处理。做到图形数据与属性数据一一对应，属性内容全面。</w:t>
      </w:r>
    </w:p>
    <w:p w14:paraId="072850A8">
      <w:pPr>
        <w:pStyle w:val="14"/>
        <w:rPr>
          <w:rFonts w:hint="eastAsia"/>
          <w:lang w:eastAsia="zh-Hans"/>
        </w:rPr>
      </w:pPr>
      <w:r>
        <w:rPr>
          <w:rFonts w:hint="eastAsia"/>
          <w:lang w:eastAsia="zh-Hans"/>
        </w:rPr>
        <w:t>部件统计主要数据项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67"/>
        <w:gridCol w:w="117"/>
        <w:gridCol w:w="1299"/>
        <w:gridCol w:w="234"/>
        <w:gridCol w:w="779"/>
        <w:gridCol w:w="438"/>
        <w:gridCol w:w="682"/>
        <w:gridCol w:w="385"/>
        <w:gridCol w:w="669"/>
        <w:gridCol w:w="289"/>
        <w:gridCol w:w="950"/>
        <w:gridCol w:w="55"/>
        <w:gridCol w:w="1663"/>
        <w:gridCol w:w="135"/>
      </w:tblGrid>
      <w:tr w14:paraId="2826E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shd w:val="clear" w:color="auto" w:fill="FFFFFF"/>
            <w:vAlign w:val="bottom"/>
          </w:tcPr>
          <w:p w14:paraId="704C47B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917" w:type="pct"/>
            <w:gridSpan w:val="2"/>
            <w:shd w:val="clear" w:color="auto" w:fill="FFFFFF"/>
            <w:vAlign w:val="bottom"/>
          </w:tcPr>
          <w:p w14:paraId="3C5CB43F">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728" w:type="pct"/>
            <w:gridSpan w:val="2"/>
            <w:shd w:val="clear" w:color="auto" w:fill="FFFFFF"/>
            <w:vAlign w:val="bottom"/>
          </w:tcPr>
          <w:p w14:paraId="2915C86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638" w:type="pct"/>
            <w:gridSpan w:val="2"/>
            <w:shd w:val="clear" w:color="auto" w:fill="FFFFFF"/>
            <w:vAlign w:val="bottom"/>
          </w:tcPr>
          <w:p w14:paraId="5DDCA87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573" w:type="pct"/>
            <w:gridSpan w:val="2"/>
            <w:shd w:val="clear" w:color="auto" w:fill="FFFFFF"/>
            <w:vAlign w:val="bottom"/>
          </w:tcPr>
          <w:p w14:paraId="294B565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568" w:type="pct"/>
            <w:shd w:val="clear" w:color="auto" w:fill="FFFFFF"/>
            <w:vAlign w:val="bottom"/>
          </w:tcPr>
          <w:p w14:paraId="50762D0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1027" w:type="pct"/>
            <w:gridSpan w:val="2"/>
            <w:shd w:val="clear" w:color="auto" w:fill="FFFFFF"/>
            <w:vAlign w:val="bottom"/>
          </w:tcPr>
          <w:p w14:paraId="4626137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14:paraId="5E69A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Height w:val="373" w:hRule="atLeast"/>
        </w:trPr>
        <w:tc>
          <w:tcPr>
            <w:tcW w:w="469" w:type="pct"/>
            <w:gridSpan w:val="2"/>
            <w:vAlign w:val="center"/>
          </w:tcPr>
          <w:p w14:paraId="58A9117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p>
        </w:tc>
        <w:tc>
          <w:tcPr>
            <w:tcW w:w="917" w:type="pct"/>
            <w:gridSpan w:val="2"/>
            <w:vAlign w:val="center"/>
          </w:tcPr>
          <w:p w14:paraId="4BF26B1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28" w:type="pct"/>
            <w:gridSpan w:val="2"/>
            <w:vAlign w:val="center"/>
          </w:tcPr>
          <w:p w14:paraId="11F69F7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638" w:type="pct"/>
            <w:gridSpan w:val="2"/>
            <w:vAlign w:val="center"/>
          </w:tcPr>
          <w:p w14:paraId="26BEA8A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573" w:type="pct"/>
            <w:gridSpan w:val="2"/>
            <w:vAlign w:val="center"/>
          </w:tcPr>
          <w:p w14:paraId="1032169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68" w:type="pct"/>
            <w:vAlign w:val="center"/>
          </w:tcPr>
          <w:p w14:paraId="2BBB306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27" w:type="pct"/>
            <w:gridSpan w:val="2"/>
            <w:vAlign w:val="center"/>
          </w:tcPr>
          <w:p w14:paraId="6220DC2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561B4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Height w:val="373" w:hRule="atLeast"/>
        </w:trPr>
        <w:tc>
          <w:tcPr>
            <w:tcW w:w="469" w:type="pct"/>
            <w:gridSpan w:val="2"/>
            <w:vAlign w:val="center"/>
          </w:tcPr>
          <w:p w14:paraId="45DAE47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1C6564A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53E65CC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3B36B76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date</w:t>
            </w:r>
            <w:r>
              <w:rPr>
                <w:rFonts w:hint="eastAsia" w:ascii="宋体" w:hAnsi="宋体" w:eastAsia="宋体"/>
              </w:rPr>
              <w:t>time</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486D299E">
            <w:pPr>
              <w:keepNext w:val="0"/>
              <w:keepLines w:val="0"/>
              <w:suppressLineNumbers w:val="0"/>
              <w:spacing w:before="0" w:beforeAutospacing="0" w:after="0" w:afterAutospacing="0"/>
              <w:ind w:left="0" w:right="0"/>
              <w:jc w:val="center"/>
              <w:rPr>
                <w:rFonts w:hint="eastAsia" w:ascii="宋体" w:hAnsi="宋体" w:eastAsia="宋体"/>
              </w:rPr>
            </w:pPr>
          </w:p>
        </w:tc>
        <w:tc>
          <w:tcPr>
            <w:tcW w:w="568" w:type="pct"/>
            <w:tcBorders>
              <w:top w:val="single" w:color="auto" w:sz="6" w:space="0"/>
              <w:left w:val="single" w:color="auto" w:sz="6" w:space="0"/>
              <w:bottom w:val="single" w:color="auto" w:sz="6" w:space="0"/>
              <w:right w:val="single" w:color="auto" w:sz="6" w:space="0"/>
            </w:tcBorders>
            <w:vAlign w:val="center"/>
          </w:tcPr>
          <w:p w14:paraId="0730F1F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4ACBD40C">
            <w:pPr>
              <w:keepNext w:val="0"/>
              <w:keepLines w:val="0"/>
              <w:suppressLineNumbers w:val="0"/>
              <w:spacing w:before="0" w:beforeAutospacing="0" w:after="0" w:afterAutospacing="0"/>
              <w:ind w:left="0" w:right="0"/>
              <w:jc w:val="center"/>
              <w:rPr>
                <w:rFonts w:hint="eastAsia" w:ascii="宋体" w:hAnsi="宋体" w:eastAsia="宋体"/>
              </w:rPr>
            </w:pPr>
          </w:p>
        </w:tc>
      </w:tr>
      <w:tr w14:paraId="0668F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Height w:val="373" w:hRule="atLeast"/>
        </w:trPr>
        <w:tc>
          <w:tcPr>
            <w:tcW w:w="469" w:type="pct"/>
            <w:gridSpan w:val="2"/>
            <w:vAlign w:val="center"/>
          </w:tcPr>
          <w:p w14:paraId="30FC9E9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473507B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大类代码</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25F1CA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DLDM</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10CD42F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7BE3F2C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w:t>
            </w:r>
          </w:p>
        </w:tc>
        <w:tc>
          <w:tcPr>
            <w:tcW w:w="568" w:type="pct"/>
            <w:tcBorders>
              <w:top w:val="single" w:color="auto" w:sz="6" w:space="0"/>
              <w:left w:val="single" w:color="auto" w:sz="6" w:space="0"/>
              <w:bottom w:val="single" w:color="auto" w:sz="6" w:space="0"/>
              <w:right w:val="single" w:color="auto" w:sz="6" w:space="0"/>
            </w:tcBorders>
            <w:vAlign w:val="center"/>
          </w:tcPr>
          <w:p w14:paraId="2B0749AD">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3743F0C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14:paraId="61D2A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14:paraId="65846CC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4</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4403B7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w:t>
            </w:r>
            <w:r>
              <w:rPr>
                <w:rFonts w:hint="eastAsia" w:ascii="宋体" w:hAnsi="宋体" w:eastAsia="宋体"/>
                <w:lang w:eastAsia="zh-Hans"/>
              </w:rPr>
              <w:t>名称</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2F1D3CE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w:t>
            </w:r>
            <w:r>
              <w:rPr>
                <w:rFonts w:hint="eastAsia" w:ascii="宋体" w:hAnsi="宋体" w:eastAsia="宋体"/>
                <w:lang w:eastAsia="zh-Hans"/>
              </w:rPr>
              <w:t>MC</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518D8AD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1D05D35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20</w:t>
            </w:r>
          </w:p>
        </w:tc>
        <w:tc>
          <w:tcPr>
            <w:tcW w:w="568" w:type="pct"/>
            <w:tcBorders>
              <w:top w:val="single" w:color="auto" w:sz="6" w:space="0"/>
              <w:left w:val="single" w:color="auto" w:sz="6" w:space="0"/>
              <w:bottom w:val="single" w:color="auto" w:sz="6" w:space="0"/>
              <w:right w:val="single" w:color="auto" w:sz="6" w:space="0"/>
            </w:tcBorders>
            <w:vAlign w:val="center"/>
          </w:tcPr>
          <w:p w14:paraId="22C7406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7781C15E">
            <w:pPr>
              <w:keepNext w:val="0"/>
              <w:keepLines w:val="0"/>
              <w:suppressLineNumbers w:val="0"/>
              <w:spacing w:before="0" w:beforeAutospacing="0" w:after="0" w:afterAutospacing="0"/>
              <w:ind w:left="0" w:right="0"/>
              <w:jc w:val="center"/>
              <w:rPr>
                <w:rFonts w:hint="eastAsia" w:ascii="宋体" w:hAnsi="宋体" w:eastAsia="宋体"/>
                <w:lang w:eastAsia="zh-Hans"/>
              </w:rPr>
            </w:pPr>
          </w:p>
        </w:tc>
      </w:tr>
      <w:tr w14:paraId="0D817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14:paraId="0513BE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5</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7D905B4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小类</w:t>
            </w:r>
            <w:r>
              <w:rPr>
                <w:rFonts w:hint="eastAsia" w:ascii="宋体" w:hAnsi="宋体" w:eastAsia="宋体"/>
              </w:rPr>
              <w:t>代码</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45B79F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XLDM</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339411C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78E42A3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w:t>
            </w:r>
          </w:p>
        </w:tc>
        <w:tc>
          <w:tcPr>
            <w:tcW w:w="568" w:type="pct"/>
            <w:tcBorders>
              <w:top w:val="single" w:color="auto" w:sz="6" w:space="0"/>
              <w:left w:val="single" w:color="auto" w:sz="6" w:space="0"/>
              <w:bottom w:val="single" w:color="auto" w:sz="6" w:space="0"/>
              <w:right w:val="single" w:color="auto" w:sz="6" w:space="0"/>
            </w:tcBorders>
            <w:vAlign w:val="center"/>
          </w:tcPr>
          <w:p w14:paraId="2F84C873">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60281BE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14:paraId="00958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14:paraId="116E1F1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6</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4855B6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小类</w:t>
            </w:r>
            <w:r>
              <w:rPr>
                <w:rFonts w:hint="eastAsia" w:ascii="宋体" w:hAnsi="宋体" w:eastAsia="宋体"/>
                <w:lang w:eastAsia="zh-Hans"/>
              </w:rPr>
              <w:t>名称</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6E282C7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XL</w:t>
            </w:r>
            <w:r>
              <w:rPr>
                <w:rFonts w:hint="eastAsia" w:ascii="宋体" w:hAnsi="宋体" w:eastAsia="宋体"/>
                <w:lang w:eastAsia="zh-Hans"/>
              </w:rPr>
              <w:t>MC</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3A56E31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56E2C21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40</w:t>
            </w:r>
          </w:p>
        </w:tc>
        <w:tc>
          <w:tcPr>
            <w:tcW w:w="568" w:type="pct"/>
            <w:tcBorders>
              <w:top w:val="single" w:color="auto" w:sz="6" w:space="0"/>
              <w:left w:val="single" w:color="auto" w:sz="6" w:space="0"/>
              <w:bottom w:val="single" w:color="auto" w:sz="6" w:space="0"/>
              <w:right w:val="single" w:color="auto" w:sz="6" w:space="0"/>
            </w:tcBorders>
            <w:vAlign w:val="center"/>
          </w:tcPr>
          <w:p w14:paraId="746609A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20720244">
            <w:pPr>
              <w:keepNext w:val="0"/>
              <w:keepLines w:val="0"/>
              <w:suppressLineNumbers w:val="0"/>
              <w:spacing w:before="0" w:beforeAutospacing="0" w:after="0" w:afterAutospacing="0"/>
              <w:ind w:left="0" w:right="0"/>
              <w:jc w:val="center"/>
              <w:rPr>
                <w:rFonts w:hint="eastAsia" w:ascii="宋体" w:hAnsi="宋体" w:eastAsia="宋体"/>
              </w:rPr>
            </w:pPr>
          </w:p>
        </w:tc>
      </w:tr>
      <w:tr w14:paraId="010E8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14:paraId="2CF5C20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7</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468DED4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数量</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2F12B2F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SL</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566044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6465B410">
            <w:pPr>
              <w:keepNext w:val="0"/>
              <w:keepLines w:val="0"/>
              <w:suppressLineNumbers w:val="0"/>
              <w:spacing w:before="0" w:beforeAutospacing="0" w:after="0" w:afterAutospacing="0"/>
              <w:ind w:left="0" w:right="0"/>
              <w:jc w:val="center"/>
              <w:rPr>
                <w:rFonts w:hint="eastAsia" w:ascii="宋体" w:hAnsi="宋体" w:eastAsia="宋体"/>
              </w:rPr>
            </w:pPr>
          </w:p>
        </w:tc>
        <w:tc>
          <w:tcPr>
            <w:tcW w:w="568" w:type="pct"/>
            <w:tcBorders>
              <w:top w:val="single" w:color="auto" w:sz="6" w:space="0"/>
              <w:left w:val="single" w:color="auto" w:sz="6" w:space="0"/>
              <w:bottom w:val="single" w:color="auto" w:sz="6" w:space="0"/>
              <w:right w:val="single" w:color="auto" w:sz="6" w:space="0"/>
            </w:tcBorders>
            <w:vAlign w:val="center"/>
          </w:tcPr>
          <w:p w14:paraId="1EF16DEE">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6DBE0C88">
            <w:pPr>
              <w:keepNext w:val="0"/>
              <w:keepLines w:val="0"/>
              <w:suppressLineNumbers w:val="0"/>
              <w:spacing w:before="0" w:beforeAutospacing="0" w:after="0" w:afterAutospacing="0"/>
              <w:ind w:left="0" w:right="0"/>
              <w:jc w:val="center"/>
              <w:rPr>
                <w:rFonts w:hint="eastAsia" w:ascii="宋体" w:hAnsi="宋体" w:eastAsia="宋体"/>
              </w:rPr>
            </w:pPr>
          </w:p>
        </w:tc>
      </w:tr>
      <w:tr w14:paraId="72AE9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5000" w:type="pct"/>
            <w:gridSpan w:val="14"/>
            <w:tcBorders>
              <w:top w:val="nil"/>
              <w:left w:val="nil"/>
              <w:bottom w:val="single" w:color="000000" w:sz="4" w:space="0"/>
              <w:right w:val="nil"/>
            </w:tcBorders>
            <w:vAlign w:val="center"/>
          </w:tcPr>
          <w:p w14:paraId="0672BED1">
            <w:pPr>
              <w:keepNext w:val="0"/>
              <w:keepLines w:val="0"/>
              <w:suppressLineNumbers w:val="0"/>
              <w:spacing w:before="0" w:beforeAutospacing="0" w:after="0" w:afterAutospacing="0"/>
              <w:ind w:left="0" w:right="0" w:firstLine="480"/>
              <w:rPr>
                <w:rFonts w:hint="eastAsia" w:ascii="宋体" w:hAnsi="宋体" w:eastAsia="宋体"/>
                <w:kern w:val="0"/>
                <w:lang w:bidi="ar"/>
              </w:rPr>
            </w:pPr>
          </w:p>
        </w:tc>
      </w:tr>
      <w:tr w14:paraId="4AC67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5000" w:type="pct"/>
            <w:gridSpan w:val="14"/>
            <w:tcBorders>
              <w:top w:val="nil"/>
              <w:left w:val="nil"/>
              <w:bottom w:val="single" w:color="000000" w:sz="4" w:space="0"/>
              <w:right w:val="nil"/>
            </w:tcBorders>
            <w:vAlign w:val="center"/>
          </w:tcPr>
          <w:p w14:paraId="6B7CA9FB">
            <w:pPr>
              <w:pStyle w:val="14"/>
              <w:suppressLineNumbers w:val="0"/>
              <w:spacing w:beforeAutospacing="0" w:afterAutospacing="0"/>
              <w:ind w:left="0" w:right="0"/>
              <w:rPr>
                <w:rFonts w:hint="eastAsia"/>
                <w:lang w:eastAsia="zh-Hans"/>
              </w:rPr>
            </w:pPr>
            <w:r>
              <w:rPr>
                <w:rFonts w:hint="eastAsia"/>
                <w:lang w:eastAsia="zh-Hans"/>
              </w:rPr>
              <w:t>部件统计主要数据项</w:t>
            </w:r>
          </w:p>
        </w:tc>
      </w:tr>
      <w:tr w14:paraId="640F8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37704E7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7788E4C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6DD0B8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4C9960F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02A87E8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6FF874B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3C63E65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47B37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22D8014">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1</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53FC1A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11B8867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37205E2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39111BB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7D85F2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3A33A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p>
        </w:tc>
      </w:tr>
      <w:tr w14:paraId="519B2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74586570">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2</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6956F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所属省份</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71D03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SSSF</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452A8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627F8AD9">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20</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7686BC9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5671C296">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p>
        </w:tc>
      </w:tr>
      <w:tr w14:paraId="70CB4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592A0B79">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3</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5539D574">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城市名称</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6D7AA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CSMC</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16F33336">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6CE86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32</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0950082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608DC008">
            <w:pPr>
              <w:keepNext w:val="0"/>
              <w:keepLines w:val="0"/>
              <w:suppressLineNumbers w:val="0"/>
              <w:spacing w:before="0" w:beforeAutospacing="0" w:after="0" w:afterAutospacing="0"/>
              <w:ind w:left="0" w:right="0"/>
              <w:jc w:val="center"/>
              <w:rPr>
                <w:rFonts w:hint="eastAsia" w:ascii="宋体" w:hAnsi="宋体" w:eastAsia="宋体"/>
                <w:color w:val="000000"/>
              </w:rPr>
            </w:pPr>
          </w:p>
        </w:tc>
      </w:tr>
      <w:tr w14:paraId="7A8C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1C365DA7">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4</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66351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所在区域</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69D5C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SZQY</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7DE23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15A66207">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6</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696A4BA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653F4C9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323B6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07784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5</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72852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上报日期</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7E216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SBRQ</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05E510CB">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datetime</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3344F01A">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3983287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7C089B36">
            <w:pPr>
              <w:keepNext w:val="0"/>
              <w:keepLines w:val="0"/>
              <w:suppressLineNumbers w:val="0"/>
              <w:spacing w:before="0" w:beforeAutospacing="0" w:after="0" w:afterAutospacing="0"/>
              <w:ind w:left="0" w:right="0"/>
              <w:jc w:val="center"/>
              <w:rPr>
                <w:rFonts w:hint="eastAsia" w:ascii="宋体" w:hAnsi="宋体" w:eastAsia="宋体"/>
                <w:color w:val="000000"/>
              </w:rPr>
            </w:pPr>
          </w:p>
        </w:tc>
      </w:tr>
    </w:tbl>
    <w:p w14:paraId="37DA9BD2">
      <w:pPr>
        <w:pStyle w:val="3017"/>
        <w:tabs>
          <w:tab w:val="left" w:pos="420"/>
        </w:tabs>
        <w:spacing w:after="0"/>
        <w:ind w:left="0" w:leftChars="0" w:firstLine="0" w:firstLineChars="0"/>
        <w:rPr>
          <w:rFonts w:hint="eastAsia" w:ascii="黑体" w:hAnsi="黑体" w:eastAsia="黑体" w:cs="黑体"/>
          <w:szCs w:val="21"/>
          <w:lang w:eastAsia="zh-Hans"/>
        </w:rPr>
      </w:pPr>
    </w:p>
    <w:p w14:paraId="4160285C">
      <w:pPr>
        <w:pStyle w:val="14"/>
        <w:rPr>
          <w:rFonts w:hint="eastAsia"/>
          <w:lang w:eastAsia="zh-Hans"/>
        </w:rPr>
      </w:pPr>
      <w:r>
        <w:rPr>
          <w:rFonts w:hint="eastAsia"/>
          <w:lang w:eastAsia="zh-Hans"/>
        </w:rPr>
        <w:t>案件来源统计主要数据项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431"/>
        <w:gridCol w:w="1320"/>
        <w:gridCol w:w="1321"/>
        <w:gridCol w:w="1321"/>
        <w:gridCol w:w="1320"/>
        <w:gridCol w:w="1321"/>
        <w:gridCol w:w="1328"/>
      </w:tblGrid>
      <w:tr w14:paraId="20D46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shd w:val="clear" w:color="auto" w:fill="FFFFFF"/>
            <w:vAlign w:val="center"/>
          </w:tcPr>
          <w:p w14:paraId="4059AD9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789" w:type="pct"/>
            <w:shd w:val="clear" w:color="auto" w:fill="FFFFFF"/>
            <w:vAlign w:val="center"/>
          </w:tcPr>
          <w:p w14:paraId="6AD0B98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790" w:type="pct"/>
            <w:shd w:val="clear" w:color="auto" w:fill="FFFFFF"/>
            <w:vAlign w:val="center"/>
          </w:tcPr>
          <w:p w14:paraId="436A5F9D">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790" w:type="pct"/>
            <w:shd w:val="clear" w:color="auto" w:fill="FFFFFF"/>
            <w:vAlign w:val="center"/>
          </w:tcPr>
          <w:p w14:paraId="5CBA14A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789" w:type="pct"/>
            <w:shd w:val="clear" w:color="auto" w:fill="FFFFFF"/>
            <w:vAlign w:val="center"/>
          </w:tcPr>
          <w:p w14:paraId="5D80F34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790" w:type="pct"/>
            <w:shd w:val="clear" w:color="auto" w:fill="FFFFFF"/>
            <w:vAlign w:val="center"/>
          </w:tcPr>
          <w:p w14:paraId="2F98663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794" w:type="pct"/>
            <w:shd w:val="clear" w:color="auto" w:fill="FFFFFF"/>
            <w:vAlign w:val="center"/>
          </w:tcPr>
          <w:p w14:paraId="08108C6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14:paraId="040B3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trPr>
        <w:tc>
          <w:tcPr>
            <w:tcW w:w="258" w:type="pct"/>
            <w:vAlign w:val="center"/>
          </w:tcPr>
          <w:p w14:paraId="67C0ED9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789" w:type="pct"/>
            <w:vAlign w:val="center"/>
          </w:tcPr>
          <w:p w14:paraId="76D7B9D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90" w:type="pct"/>
            <w:vAlign w:val="center"/>
          </w:tcPr>
          <w:p w14:paraId="2CE1963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90" w:type="pct"/>
            <w:vAlign w:val="center"/>
          </w:tcPr>
          <w:p w14:paraId="4267B75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789" w:type="pct"/>
            <w:vAlign w:val="center"/>
          </w:tcPr>
          <w:p w14:paraId="65DD6EE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90" w:type="pct"/>
            <w:vAlign w:val="center"/>
          </w:tcPr>
          <w:p w14:paraId="33B55BC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794" w:type="pct"/>
            <w:vAlign w:val="center"/>
          </w:tcPr>
          <w:p w14:paraId="69FE2A2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04E36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6B6DEB5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789" w:type="pct"/>
            <w:tcBorders>
              <w:top w:val="single" w:color="auto" w:sz="6" w:space="0"/>
              <w:left w:val="single" w:color="auto" w:sz="6" w:space="0"/>
              <w:bottom w:val="single" w:color="auto" w:sz="6" w:space="0"/>
              <w:right w:val="single" w:color="auto" w:sz="6" w:space="0"/>
            </w:tcBorders>
            <w:vAlign w:val="center"/>
          </w:tcPr>
          <w:p w14:paraId="693296A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790" w:type="pct"/>
            <w:tcBorders>
              <w:top w:val="single" w:color="auto" w:sz="6" w:space="0"/>
              <w:left w:val="single" w:color="auto" w:sz="6" w:space="0"/>
              <w:bottom w:val="single" w:color="auto" w:sz="6" w:space="0"/>
              <w:right w:val="single" w:color="auto" w:sz="6" w:space="0"/>
            </w:tcBorders>
            <w:vAlign w:val="center"/>
          </w:tcPr>
          <w:p w14:paraId="47575FE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790" w:type="pct"/>
            <w:tcBorders>
              <w:top w:val="single" w:color="auto" w:sz="6" w:space="0"/>
              <w:left w:val="single" w:color="auto" w:sz="6" w:space="0"/>
              <w:bottom w:val="single" w:color="auto" w:sz="6" w:space="0"/>
              <w:right w:val="single" w:color="auto" w:sz="6" w:space="0"/>
            </w:tcBorders>
            <w:vAlign w:val="center"/>
          </w:tcPr>
          <w:p w14:paraId="3893DB4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789" w:type="pct"/>
            <w:tcBorders>
              <w:top w:val="single" w:color="auto" w:sz="6" w:space="0"/>
              <w:left w:val="single" w:color="auto" w:sz="6" w:space="0"/>
              <w:bottom w:val="single" w:color="auto" w:sz="6" w:space="0"/>
              <w:right w:val="single" w:color="auto" w:sz="6" w:space="0"/>
            </w:tcBorders>
            <w:vAlign w:val="center"/>
          </w:tcPr>
          <w:p w14:paraId="5912F6C1">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14:paraId="4698864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32BF6D4D">
            <w:pPr>
              <w:keepNext w:val="0"/>
              <w:keepLines w:val="0"/>
              <w:suppressLineNumbers w:val="0"/>
              <w:spacing w:before="0" w:beforeAutospacing="0" w:after="0" w:afterAutospacing="0"/>
              <w:ind w:left="0" w:right="0"/>
              <w:jc w:val="center"/>
              <w:rPr>
                <w:rFonts w:hint="eastAsia" w:ascii="宋体" w:hAnsi="宋体" w:eastAsia="宋体"/>
              </w:rPr>
            </w:pPr>
          </w:p>
        </w:tc>
      </w:tr>
      <w:tr w14:paraId="078BF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098CFA3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789" w:type="pct"/>
            <w:tcBorders>
              <w:top w:val="single" w:color="auto" w:sz="6" w:space="0"/>
              <w:left w:val="single" w:color="auto" w:sz="6" w:space="0"/>
              <w:bottom w:val="single" w:color="auto" w:sz="6" w:space="0"/>
              <w:right w:val="single" w:color="auto" w:sz="6" w:space="0"/>
            </w:tcBorders>
            <w:vAlign w:val="center"/>
          </w:tcPr>
          <w:p w14:paraId="27AE41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bCs/>
                <w:lang w:eastAsia="zh-Hans"/>
              </w:rPr>
              <w:t>监督</w:t>
            </w:r>
            <w:r>
              <w:rPr>
                <w:rFonts w:hint="default" w:ascii="宋体" w:hAnsi="宋体" w:eastAsia="宋体"/>
                <w:bCs/>
              </w:rPr>
              <w:t>员发现数量</w:t>
            </w:r>
          </w:p>
        </w:tc>
        <w:tc>
          <w:tcPr>
            <w:tcW w:w="790" w:type="pct"/>
            <w:tcBorders>
              <w:top w:val="single" w:color="auto" w:sz="6" w:space="0"/>
              <w:left w:val="single" w:color="auto" w:sz="6" w:space="0"/>
              <w:bottom w:val="single" w:color="auto" w:sz="6" w:space="0"/>
              <w:right w:val="single" w:color="auto" w:sz="6" w:space="0"/>
            </w:tcBorders>
            <w:vAlign w:val="center"/>
          </w:tcPr>
          <w:p w14:paraId="1EF7C0E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JDY</w:t>
            </w:r>
            <w:r>
              <w:rPr>
                <w:rFonts w:hint="default" w:ascii="宋体" w:hAnsi="宋体" w:eastAsia="宋体"/>
              </w:rPr>
              <w:t>FXSL</w:t>
            </w:r>
          </w:p>
        </w:tc>
        <w:tc>
          <w:tcPr>
            <w:tcW w:w="790" w:type="pct"/>
            <w:tcBorders>
              <w:top w:val="single" w:color="auto" w:sz="6" w:space="0"/>
              <w:left w:val="single" w:color="auto" w:sz="6" w:space="0"/>
              <w:bottom w:val="single" w:color="auto" w:sz="6" w:space="0"/>
              <w:right w:val="single" w:color="auto" w:sz="6" w:space="0"/>
            </w:tcBorders>
            <w:vAlign w:val="center"/>
          </w:tcPr>
          <w:p w14:paraId="723E56E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14:paraId="69A2E345">
            <w:pPr>
              <w:keepNext w:val="0"/>
              <w:keepLines w:val="0"/>
              <w:suppressLineNumbers w:val="0"/>
              <w:spacing w:before="0" w:beforeAutospacing="0" w:after="0" w:afterAutospacing="0"/>
              <w:ind w:left="0" w:right="0"/>
              <w:jc w:val="center"/>
              <w:rPr>
                <w:rFonts w:hint="eastAsia" w:ascii="宋体" w:hAnsi="宋体" w:eastAsia="宋体"/>
                <w:lang w:eastAsia="zh-Hans"/>
              </w:rPr>
            </w:pPr>
          </w:p>
        </w:tc>
        <w:tc>
          <w:tcPr>
            <w:tcW w:w="790" w:type="pct"/>
            <w:tcBorders>
              <w:top w:val="single" w:color="auto" w:sz="6" w:space="0"/>
              <w:left w:val="single" w:color="auto" w:sz="6" w:space="0"/>
              <w:bottom w:val="single" w:color="auto" w:sz="6" w:space="0"/>
              <w:right w:val="single" w:color="auto" w:sz="6" w:space="0"/>
            </w:tcBorders>
            <w:vAlign w:val="center"/>
          </w:tcPr>
          <w:p w14:paraId="0213065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1A42082A">
            <w:pPr>
              <w:keepNext w:val="0"/>
              <w:keepLines w:val="0"/>
              <w:suppressLineNumbers w:val="0"/>
              <w:spacing w:before="0" w:beforeAutospacing="0" w:after="0" w:afterAutospacing="0"/>
              <w:ind w:left="0" w:right="0"/>
              <w:jc w:val="center"/>
              <w:rPr>
                <w:rFonts w:hint="eastAsia" w:ascii="宋体" w:hAnsi="宋体" w:eastAsia="宋体"/>
              </w:rPr>
            </w:pPr>
          </w:p>
        </w:tc>
      </w:tr>
      <w:tr w14:paraId="0DF71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6375F6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789" w:type="pct"/>
            <w:tcBorders>
              <w:top w:val="single" w:color="auto" w:sz="6" w:space="0"/>
              <w:left w:val="single" w:color="auto" w:sz="6" w:space="0"/>
              <w:bottom w:val="single" w:color="auto" w:sz="6" w:space="0"/>
              <w:right w:val="single" w:color="auto" w:sz="6" w:space="0"/>
            </w:tcBorders>
            <w:vAlign w:val="center"/>
          </w:tcPr>
          <w:p w14:paraId="615DA81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市民发现数量</w:t>
            </w:r>
          </w:p>
        </w:tc>
        <w:tc>
          <w:tcPr>
            <w:tcW w:w="790" w:type="pct"/>
            <w:tcBorders>
              <w:top w:val="single" w:color="auto" w:sz="6" w:space="0"/>
              <w:left w:val="single" w:color="auto" w:sz="6" w:space="0"/>
              <w:bottom w:val="single" w:color="auto" w:sz="6" w:space="0"/>
              <w:right w:val="single" w:color="auto" w:sz="6" w:space="0"/>
            </w:tcBorders>
            <w:vAlign w:val="center"/>
          </w:tcPr>
          <w:p w14:paraId="34EBE65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SMFXSL</w:t>
            </w:r>
          </w:p>
        </w:tc>
        <w:tc>
          <w:tcPr>
            <w:tcW w:w="790" w:type="pct"/>
            <w:tcBorders>
              <w:top w:val="single" w:color="auto" w:sz="6" w:space="0"/>
              <w:left w:val="single" w:color="auto" w:sz="6" w:space="0"/>
              <w:bottom w:val="single" w:color="auto" w:sz="6" w:space="0"/>
              <w:right w:val="single" w:color="auto" w:sz="6" w:space="0"/>
            </w:tcBorders>
            <w:vAlign w:val="center"/>
          </w:tcPr>
          <w:p w14:paraId="4302D5B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14:paraId="65C8C16F">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14:paraId="13597514">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1251BDC8">
            <w:pPr>
              <w:keepNext w:val="0"/>
              <w:keepLines w:val="0"/>
              <w:suppressLineNumbers w:val="0"/>
              <w:spacing w:before="0" w:beforeAutospacing="0" w:after="0" w:afterAutospacing="0"/>
              <w:ind w:left="0" w:right="0"/>
              <w:jc w:val="center"/>
              <w:rPr>
                <w:rFonts w:hint="eastAsia" w:ascii="宋体" w:hAnsi="宋体" w:eastAsia="宋体"/>
              </w:rPr>
            </w:pPr>
          </w:p>
        </w:tc>
      </w:tr>
      <w:tr w14:paraId="421B3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18AEAC8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789" w:type="pct"/>
            <w:tcBorders>
              <w:top w:val="single" w:color="auto" w:sz="6" w:space="0"/>
              <w:left w:val="single" w:color="auto" w:sz="6" w:space="0"/>
              <w:bottom w:val="single" w:color="auto" w:sz="6" w:space="0"/>
              <w:right w:val="single" w:color="auto" w:sz="6" w:space="0"/>
            </w:tcBorders>
            <w:vAlign w:val="center"/>
          </w:tcPr>
          <w:p w14:paraId="74CC2A3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智能发现数量</w:t>
            </w:r>
          </w:p>
        </w:tc>
        <w:tc>
          <w:tcPr>
            <w:tcW w:w="790" w:type="pct"/>
            <w:tcBorders>
              <w:top w:val="single" w:color="auto" w:sz="6" w:space="0"/>
              <w:left w:val="single" w:color="auto" w:sz="6" w:space="0"/>
              <w:bottom w:val="single" w:color="auto" w:sz="6" w:space="0"/>
              <w:right w:val="single" w:color="auto" w:sz="6" w:space="0"/>
            </w:tcBorders>
            <w:vAlign w:val="center"/>
          </w:tcPr>
          <w:p w14:paraId="5F208A8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ZNFXSL</w:t>
            </w:r>
          </w:p>
        </w:tc>
        <w:tc>
          <w:tcPr>
            <w:tcW w:w="790" w:type="pct"/>
            <w:tcBorders>
              <w:top w:val="single" w:color="auto" w:sz="6" w:space="0"/>
              <w:left w:val="single" w:color="auto" w:sz="6" w:space="0"/>
              <w:bottom w:val="single" w:color="auto" w:sz="6" w:space="0"/>
              <w:right w:val="single" w:color="auto" w:sz="6" w:space="0"/>
            </w:tcBorders>
            <w:vAlign w:val="center"/>
          </w:tcPr>
          <w:p w14:paraId="7FF64BE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14:paraId="19FD4AE3">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14:paraId="6C5CF986">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3B0E8B6A">
            <w:pPr>
              <w:keepNext w:val="0"/>
              <w:keepLines w:val="0"/>
              <w:suppressLineNumbers w:val="0"/>
              <w:spacing w:before="0" w:beforeAutospacing="0" w:after="0" w:afterAutospacing="0"/>
              <w:ind w:left="0" w:right="0"/>
              <w:jc w:val="center"/>
              <w:rPr>
                <w:rFonts w:hint="eastAsia" w:ascii="宋体" w:hAnsi="宋体" w:eastAsia="宋体"/>
              </w:rPr>
            </w:pPr>
          </w:p>
        </w:tc>
      </w:tr>
      <w:tr w14:paraId="61ACB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6DC4165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789" w:type="pct"/>
            <w:tcBorders>
              <w:top w:val="single" w:color="auto" w:sz="6" w:space="0"/>
              <w:left w:val="single" w:color="auto" w:sz="6" w:space="0"/>
              <w:bottom w:val="single" w:color="auto" w:sz="6" w:space="0"/>
              <w:right w:val="single" w:color="auto" w:sz="6" w:space="0"/>
            </w:tcBorders>
            <w:vAlign w:val="center"/>
          </w:tcPr>
          <w:p w14:paraId="10C5136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其他发现数量</w:t>
            </w:r>
          </w:p>
        </w:tc>
        <w:tc>
          <w:tcPr>
            <w:tcW w:w="790" w:type="pct"/>
            <w:tcBorders>
              <w:top w:val="single" w:color="auto" w:sz="6" w:space="0"/>
              <w:left w:val="single" w:color="auto" w:sz="6" w:space="0"/>
              <w:bottom w:val="single" w:color="auto" w:sz="6" w:space="0"/>
              <w:right w:val="single" w:color="auto" w:sz="6" w:space="0"/>
            </w:tcBorders>
            <w:vAlign w:val="center"/>
          </w:tcPr>
          <w:p w14:paraId="147D7FB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QTFXSL</w:t>
            </w:r>
          </w:p>
        </w:tc>
        <w:tc>
          <w:tcPr>
            <w:tcW w:w="790" w:type="pct"/>
            <w:tcBorders>
              <w:top w:val="single" w:color="auto" w:sz="6" w:space="0"/>
              <w:left w:val="single" w:color="auto" w:sz="6" w:space="0"/>
              <w:bottom w:val="single" w:color="auto" w:sz="6" w:space="0"/>
              <w:right w:val="single" w:color="auto" w:sz="6" w:space="0"/>
            </w:tcBorders>
            <w:vAlign w:val="center"/>
          </w:tcPr>
          <w:p w14:paraId="08AEABD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14:paraId="1072B85A">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14:paraId="5A1755D1">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12CD4CFA">
            <w:pPr>
              <w:keepNext w:val="0"/>
              <w:keepLines w:val="0"/>
              <w:suppressLineNumbers w:val="0"/>
              <w:spacing w:before="0" w:beforeAutospacing="0" w:after="0" w:afterAutospacing="0"/>
              <w:ind w:left="0" w:right="0"/>
              <w:jc w:val="center"/>
              <w:rPr>
                <w:rFonts w:hint="eastAsia" w:ascii="宋体" w:hAnsi="宋体" w:eastAsia="宋体"/>
              </w:rPr>
            </w:pPr>
          </w:p>
        </w:tc>
      </w:tr>
    </w:tbl>
    <w:p w14:paraId="4D23BD64">
      <w:pPr>
        <w:pStyle w:val="14"/>
        <w:rPr>
          <w:rFonts w:hint="eastAsia"/>
          <w:lang w:eastAsia="zh-Hans"/>
        </w:rPr>
      </w:pPr>
      <w:r>
        <w:rPr>
          <w:rFonts w:hint="eastAsia"/>
          <w:lang w:eastAsia="zh-Hans"/>
        </w:rPr>
        <w:t>案件类别统计主要数据项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453"/>
        <w:gridCol w:w="169"/>
        <w:gridCol w:w="1248"/>
        <w:gridCol w:w="124"/>
        <w:gridCol w:w="868"/>
        <w:gridCol w:w="102"/>
        <w:gridCol w:w="1184"/>
        <w:gridCol w:w="1010"/>
        <w:gridCol w:w="1331"/>
        <w:gridCol w:w="60"/>
        <w:gridCol w:w="1813"/>
      </w:tblGrid>
      <w:tr w14:paraId="34175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shd w:val="clear" w:color="auto" w:fill="FFFFFF"/>
            <w:vAlign w:val="center"/>
          </w:tcPr>
          <w:p w14:paraId="456425B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847" w:type="pct"/>
            <w:gridSpan w:val="2"/>
            <w:shd w:val="clear" w:color="auto" w:fill="FFFFFF"/>
            <w:vAlign w:val="center"/>
          </w:tcPr>
          <w:p w14:paraId="01C7222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593" w:type="pct"/>
            <w:gridSpan w:val="2"/>
            <w:shd w:val="clear" w:color="auto" w:fill="FFFFFF"/>
            <w:vAlign w:val="center"/>
          </w:tcPr>
          <w:p w14:paraId="7B16327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769" w:type="pct"/>
            <w:gridSpan w:val="2"/>
            <w:shd w:val="clear" w:color="auto" w:fill="FFFFFF"/>
            <w:vAlign w:val="center"/>
          </w:tcPr>
          <w:p w14:paraId="4ACEC82F">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604" w:type="pct"/>
            <w:shd w:val="clear" w:color="auto" w:fill="FFFFFF"/>
            <w:vAlign w:val="center"/>
          </w:tcPr>
          <w:p w14:paraId="1866504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832" w:type="pct"/>
            <w:gridSpan w:val="2"/>
            <w:shd w:val="clear" w:color="auto" w:fill="FFFFFF"/>
            <w:vAlign w:val="center"/>
          </w:tcPr>
          <w:p w14:paraId="011C1E7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1084" w:type="pct"/>
            <w:shd w:val="clear" w:color="auto" w:fill="FFFFFF"/>
            <w:vAlign w:val="center"/>
          </w:tcPr>
          <w:p w14:paraId="3781F9C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14:paraId="6CDD4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trPr>
        <w:tc>
          <w:tcPr>
            <w:tcW w:w="271" w:type="pct"/>
            <w:vAlign w:val="center"/>
          </w:tcPr>
          <w:p w14:paraId="4231899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7" w:type="pct"/>
            <w:gridSpan w:val="2"/>
            <w:vAlign w:val="center"/>
          </w:tcPr>
          <w:p w14:paraId="665A610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593" w:type="pct"/>
            <w:gridSpan w:val="2"/>
            <w:vAlign w:val="center"/>
          </w:tcPr>
          <w:p w14:paraId="0AD2EB5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69" w:type="pct"/>
            <w:gridSpan w:val="2"/>
            <w:vAlign w:val="center"/>
          </w:tcPr>
          <w:p w14:paraId="2B33584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04" w:type="pct"/>
            <w:vAlign w:val="center"/>
          </w:tcPr>
          <w:p w14:paraId="3831FD7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832" w:type="pct"/>
            <w:gridSpan w:val="2"/>
            <w:vAlign w:val="center"/>
          </w:tcPr>
          <w:p w14:paraId="478C864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084" w:type="pct"/>
            <w:vAlign w:val="center"/>
          </w:tcPr>
          <w:p w14:paraId="7F00C45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2A1AA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07E74BC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129FDF3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2AB4819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599E834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604" w:type="pct"/>
            <w:tcBorders>
              <w:top w:val="single" w:color="auto" w:sz="6" w:space="0"/>
              <w:left w:val="single" w:color="auto" w:sz="6" w:space="0"/>
              <w:bottom w:val="single" w:color="auto" w:sz="6" w:space="0"/>
              <w:right w:val="single" w:color="auto" w:sz="6" w:space="0"/>
            </w:tcBorders>
            <w:vAlign w:val="center"/>
          </w:tcPr>
          <w:p w14:paraId="6F79500B">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302346B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14:paraId="763788C3">
            <w:pPr>
              <w:keepNext w:val="0"/>
              <w:keepLines w:val="0"/>
              <w:suppressLineNumbers w:val="0"/>
              <w:spacing w:before="0" w:beforeAutospacing="0" w:after="0" w:afterAutospacing="0"/>
              <w:ind w:left="0" w:right="0"/>
              <w:jc w:val="center"/>
              <w:rPr>
                <w:rFonts w:hint="eastAsia" w:ascii="宋体" w:hAnsi="宋体" w:eastAsia="宋体"/>
              </w:rPr>
            </w:pPr>
          </w:p>
        </w:tc>
      </w:tr>
      <w:tr w14:paraId="12E64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7" w:hRule="atLeast"/>
        </w:trPr>
        <w:tc>
          <w:tcPr>
            <w:tcW w:w="271" w:type="pct"/>
            <w:vAlign w:val="center"/>
          </w:tcPr>
          <w:p w14:paraId="0D773B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4BC5B4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案件类别代码</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443CCD8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AJLBDM</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56A9BC0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14:paraId="43BAE311">
            <w:pPr>
              <w:keepNext w:val="0"/>
              <w:keepLines w:val="0"/>
              <w:suppressLineNumbers w:val="0"/>
              <w:spacing w:before="0" w:beforeAutospacing="0" w:after="0" w:afterAutospacing="0"/>
              <w:ind w:left="0" w:right="0"/>
              <w:jc w:val="center"/>
              <w:rPr>
                <w:rFonts w:hint="eastAsia" w:ascii="宋体" w:hAnsi="宋体" w:eastAsia="宋体"/>
                <w:lang w:eastAsia="zh-Hans"/>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4B0EFCB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7039B9E0">
            <w:pPr>
              <w:keepNext w:val="0"/>
              <w:keepLines w:val="0"/>
              <w:suppressLineNumbers w:val="0"/>
              <w:spacing w:before="0" w:beforeAutospacing="0" w:after="0" w:afterAutospacing="0"/>
              <w:ind w:left="0" w:right="0"/>
              <w:jc w:val="center"/>
              <w:rPr>
                <w:rFonts w:hint="eastAsia" w:ascii="宋体" w:hAnsi="宋体" w:eastAsia="宋体"/>
              </w:rPr>
            </w:pPr>
          </w:p>
        </w:tc>
      </w:tr>
      <w:tr w14:paraId="1D674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3AD334F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4BA33D2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案件类别</w:t>
            </w:r>
            <w:r>
              <w:rPr>
                <w:rFonts w:hint="eastAsia" w:ascii="宋体" w:hAnsi="宋体" w:eastAsia="宋体"/>
                <w:lang w:eastAsia="zh-Hans"/>
              </w:rPr>
              <w:t>名称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0A51ACC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AJLB</w:t>
            </w:r>
            <w:r>
              <w:rPr>
                <w:rFonts w:hint="eastAsia" w:ascii="宋体" w:hAnsi="宋体" w:eastAsia="宋体"/>
                <w:lang w:eastAsia="zh-Hans"/>
              </w:rPr>
              <w:t>MC</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1BAC91C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0D03F60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10</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71082E3C">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49303264">
            <w:pPr>
              <w:keepNext w:val="0"/>
              <w:keepLines w:val="0"/>
              <w:suppressLineNumbers w:val="0"/>
              <w:spacing w:before="0" w:beforeAutospacing="0" w:after="0" w:afterAutospacing="0"/>
              <w:ind w:left="0" w:right="0"/>
              <w:jc w:val="center"/>
              <w:rPr>
                <w:rFonts w:hint="eastAsia" w:ascii="宋体" w:hAnsi="宋体" w:eastAsia="宋体"/>
              </w:rPr>
            </w:pPr>
          </w:p>
        </w:tc>
      </w:tr>
      <w:tr w14:paraId="3862C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166CCB4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5</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700DCFE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大类代码</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3BBF4AC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DLDM</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68BA3B3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10C6DBF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04A977ED">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66DF052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14:paraId="75401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206A9EC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7B001E2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w:t>
            </w:r>
            <w:r>
              <w:rPr>
                <w:rFonts w:hint="eastAsia" w:ascii="宋体" w:hAnsi="宋体" w:eastAsia="宋体"/>
                <w:lang w:eastAsia="zh-Hans"/>
              </w:rPr>
              <w:t>名称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43495D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w:t>
            </w:r>
            <w:r>
              <w:rPr>
                <w:rFonts w:hint="eastAsia" w:ascii="宋体" w:hAnsi="宋体" w:eastAsia="宋体"/>
                <w:lang w:eastAsia="zh-Hans"/>
              </w:rPr>
              <w:t>MC</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5305A83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0A842E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20</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1ADFD8C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28A6C4FA">
            <w:pPr>
              <w:keepNext w:val="0"/>
              <w:keepLines w:val="0"/>
              <w:suppressLineNumbers w:val="0"/>
              <w:spacing w:before="0" w:beforeAutospacing="0" w:after="0" w:afterAutospacing="0"/>
              <w:ind w:left="0" w:right="0"/>
              <w:jc w:val="center"/>
              <w:rPr>
                <w:rFonts w:hint="eastAsia" w:ascii="宋体" w:hAnsi="宋体" w:eastAsia="宋体"/>
                <w:lang w:eastAsia="zh-Hans"/>
              </w:rPr>
            </w:pPr>
          </w:p>
        </w:tc>
      </w:tr>
      <w:tr w14:paraId="0C7F3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4069B45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7</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13A0115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小类</w:t>
            </w:r>
            <w:r>
              <w:rPr>
                <w:rFonts w:hint="eastAsia" w:ascii="宋体" w:hAnsi="宋体" w:eastAsia="宋体"/>
              </w:rPr>
              <w:t>代码</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37EDFE1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XLDM</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3ECEA35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49E498F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0C164518">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457E0B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14:paraId="6AC8E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2F4AA1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3AC3479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小类</w:t>
            </w:r>
            <w:r>
              <w:rPr>
                <w:rFonts w:hint="eastAsia" w:ascii="宋体" w:hAnsi="宋体" w:eastAsia="宋体"/>
                <w:lang w:eastAsia="zh-Hans"/>
              </w:rPr>
              <w:t>名称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15A7EC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XL</w:t>
            </w:r>
            <w:r>
              <w:rPr>
                <w:rFonts w:hint="eastAsia" w:ascii="宋体" w:hAnsi="宋体" w:eastAsia="宋体"/>
                <w:lang w:eastAsia="zh-Hans"/>
              </w:rPr>
              <w:t>MC</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1E2F4F0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5ADF9C2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40</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24EDFD0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2BA77E70">
            <w:pPr>
              <w:keepNext w:val="0"/>
              <w:keepLines w:val="0"/>
              <w:suppressLineNumbers w:val="0"/>
              <w:spacing w:before="0" w:beforeAutospacing="0" w:after="0" w:afterAutospacing="0"/>
              <w:ind w:left="0" w:right="0"/>
              <w:jc w:val="center"/>
              <w:rPr>
                <w:rFonts w:hint="eastAsia" w:ascii="宋体" w:hAnsi="宋体" w:eastAsia="宋体"/>
              </w:rPr>
            </w:pPr>
          </w:p>
        </w:tc>
      </w:tr>
      <w:tr w14:paraId="1C422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5CF2EC7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726A133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bCs/>
                <w:lang w:eastAsia="zh-Hans"/>
              </w:rPr>
              <w:t>案件数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6A97D01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AJS</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5B5706C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14:paraId="3D6C510B">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54FA70FD">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14:paraId="274A2635">
            <w:pPr>
              <w:keepNext w:val="0"/>
              <w:keepLines w:val="0"/>
              <w:suppressLineNumbers w:val="0"/>
              <w:spacing w:before="0" w:beforeAutospacing="0" w:after="0" w:afterAutospacing="0"/>
              <w:ind w:left="0" w:right="0"/>
              <w:jc w:val="center"/>
              <w:rPr>
                <w:rFonts w:hint="eastAsia" w:ascii="宋体" w:hAnsi="宋体" w:eastAsia="宋体"/>
              </w:rPr>
            </w:pPr>
          </w:p>
        </w:tc>
      </w:tr>
      <w:tr w14:paraId="215FD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3A402C9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158F71D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立案数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4D505F6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LAS</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1BAFC17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14:paraId="5F23A3D0">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198A6E2A">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14:paraId="71089F52">
            <w:pPr>
              <w:keepNext w:val="0"/>
              <w:keepLines w:val="0"/>
              <w:suppressLineNumbers w:val="0"/>
              <w:spacing w:before="0" w:beforeAutospacing="0" w:after="0" w:afterAutospacing="0"/>
              <w:ind w:left="0" w:right="0"/>
              <w:jc w:val="center"/>
              <w:rPr>
                <w:rFonts w:hint="eastAsia" w:ascii="宋体" w:hAnsi="宋体" w:eastAsia="宋体"/>
              </w:rPr>
            </w:pPr>
          </w:p>
        </w:tc>
      </w:tr>
      <w:tr w14:paraId="0CA76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3AD3344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11</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17043BE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办结数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6008290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BJS</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665E394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14:paraId="41CF717B">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4D1766C1">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14:paraId="48AD4763">
            <w:pPr>
              <w:keepNext w:val="0"/>
              <w:keepLines w:val="0"/>
              <w:suppressLineNumbers w:val="0"/>
              <w:spacing w:before="0" w:beforeAutospacing="0" w:after="0" w:afterAutospacing="0"/>
              <w:ind w:left="0" w:right="0"/>
              <w:jc w:val="center"/>
              <w:rPr>
                <w:rFonts w:hint="eastAsia" w:ascii="宋体" w:hAnsi="宋体" w:eastAsia="宋体"/>
              </w:rPr>
            </w:pPr>
          </w:p>
        </w:tc>
      </w:tr>
      <w:tr w14:paraId="591DF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4995" w:type="pct"/>
            <w:gridSpan w:val="11"/>
            <w:tcBorders>
              <w:top w:val="nil"/>
              <w:left w:val="nil"/>
              <w:bottom w:val="single" w:color="000000" w:sz="4" w:space="0"/>
              <w:right w:val="nil"/>
            </w:tcBorders>
            <w:vAlign w:val="center"/>
          </w:tcPr>
          <w:p w14:paraId="0DC42B6D">
            <w:pPr>
              <w:pStyle w:val="14"/>
              <w:suppressLineNumbers w:val="0"/>
              <w:spacing w:beforeAutospacing="0" w:afterAutospacing="0"/>
              <w:ind w:left="0" w:right="0"/>
              <w:rPr>
                <w:rFonts w:hint="eastAsia"/>
                <w:lang w:eastAsia="zh-Hans"/>
              </w:rPr>
            </w:pPr>
            <w:r>
              <w:rPr>
                <w:rFonts w:hint="eastAsia"/>
                <w:lang w:eastAsia="zh-Hans"/>
              </w:rPr>
              <w:t>案件状态统计主要数据项</w:t>
            </w:r>
          </w:p>
        </w:tc>
      </w:tr>
      <w:tr w14:paraId="3A467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6368AA0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453B9F0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4B5F2C9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703" w:type="pct"/>
            <w:tcBorders>
              <w:top w:val="single" w:color="000000" w:sz="4" w:space="0"/>
              <w:left w:val="single" w:color="000000" w:sz="4" w:space="0"/>
              <w:bottom w:val="single" w:color="000000" w:sz="4" w:space="0"/>
              <w:right w:val="single" w:color="000000" w:sz="4" w:space="0"/>
            </w:tcBorders>
            <w:vAlign w:val="center"/>
          </w:tcPr>
          <w:p w14:paraId="10759D2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04" w:type="pct"/>
            <w:tcBorders>
              <w:top w:val="single" w:color="000000" w:sz="4" w:space="0"/>
              <w:left w:val="single" w:color="000000" w:sz="4" w:space="0"/>
              <w:bottom w:val="single" w:color="000000" w:sz="4" w:space="0"/>
              <w:right w:val="single" w:color="000000" w:sz="4" w:space="0"/>
            </w:tcBorders>
            <w:vAlign w:val="center"/>
          </w:tcPr>
          <w:p w14:paraId="5179118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96" w:type="pct"/>
            <w:tcBorders>
              <w:top w:val="single" w:color="000000" w:sz="4" w:space="0"/>
              <w:left w:val="single" w:color="000000" w:sz="4" w:space="0"/>
              <w:bottom w:val="single" w:color="000000" w:sz="4" w:space="0"/>
              <w:right w:val="single" w:color="000000" w:sz="4" w:space="0"/>
            </w:tcBorders>
            <w:vAlign w:val="center"/>
          </w:tcPr>
          <w:p w14:paraId="6AEC70F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412685C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226F1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62B1C5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6B54AD9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0043FC6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703" w:type="pct"/>
            <w:tcBorders>
              <w:top w:val="single" w:color="000000" w:sz="4" w:space="0"/>
              <w:left w:val="single" w:color="000000" w:sz="4" w:space="0"/>
              <w:bottom w:val="single" w:color="000000" w:sz="4" w:space="0"/>
              <w:right w:val="single" w:color="000000" w:sz="4" w:space="0"/>
            </w:tcBorders>
            <w:vAlign w:val="center"/>
          </w:tcPr>
          <w:p w14:paraId="014BC4C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04" w:type="pct"/>
            <w:tcBorders>
              <w:top w:val="single" w:color="000000" w:sz="4" w:space="0"/>
              <w:left w:val="single" w:color="000000" w:sz="4" w:space="0"/>
              <w:bottom w:val="single" w:color="000000" w:sz="4" w:space="0"/>
              <w:right w:val="single" w:color="000000" w:sz="4" w:space="0"/>
            </w:tcBorders>
            <w:vAlign w:val="center"/>
          </w:tcPr>
          <w:p w14:paraId="0863A32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96" w:type="pct"/>
            <w:tcBorders>
              <w:top w:val="single" w:color="000000" w:sz="4" w:space="0"/>
              <w:left w:val="single" w:color="000000" w:sz="4" w:space="0"/>
              <w:bottom w:val="single" w:color="000000" w:sz="4" w:space="0"/>
              <w:right w:val="single" w:color="000000" w:sz="4" w:space="0"/>
            </w:tcBorders>
            <w:vAlign w:val="center"/>
          </w:tcPr>
          <w:p w14:paraId="60B3D9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4C4AED1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53F18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383DEB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6AB74C9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统计时间</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4C5A29D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TJSJ</w:t>
            </w:r>
          </w:p>
        </w:tc>
        <w:tc>
          <w:tcPr>
            <w:tcW w:w="703" w:type="pct"/>
            <w:tcBorders>
              <w:top w:val="single" w:color="000000" w:sz="4" w:space="0"/>
              <w:left w:val="single" w:color="000000" w:sz="4" w:space="0"/>
              <w:bottom w:val="single" w:color="000000" w:sz="4" w:space="0"/>
              <w:right w:val="single" w:color="000000" w:sz="4" w:space="0"/>
            </w:tcBorders>
            <w:vAlign w:val="center"/>
          </w:tcPr>
          <w:p w14:paraId="44E528C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604" w:type="pct"/>
            <w:tcBorders>
              <w:top w:val="single" w:color="000000" w:sz="4" w:space="0"/>
              <w:left w:val="single" w:color="000000" w:sz="4" w:space="0"/>
              <w:bottom w:val="single" w:color="000000" w:sz="4" w:space="0"/>
              <w:right w:val="single" w:color="000000" w:sz="4" w:space="0"/>
            </w:tcBorders>
            <w:vAlign w:val="center"/>
          </w:tcPr>
          <w:p w14:paraId="7459B0B8">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55EC262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43EA9894">
            <w:pPr>
              <w:keepNext w:val="0"/>
              <w:keepLines w:val="0"/>
              <w:suppressLineNumbers w:val="0"/>
              <w:spacing w:before="0" w:beforeAutospacing="0" w:after="0" w:afterAutospacing="0"/>
              <w:ind w:left="0" w:right="0"/>
              <w:jc w:val="center"/>
              <w:rPr>
                <w:rFonts w:hint="eastAsia" w:ascii="宋体" w:hAnsi="宋体" w:eastAsia="宋体"/>
              </w:rPr>
            </w:pPr>
          </w:p>
        </w:tc>
      </w:tr>
      <w:tr w14:paraId="284A7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248B07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7E9946D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上报数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72C7ACF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SBS</w:t>
            </w:r>
          </w:p>
        </w:tc>
        <w:tc>
          <w:tcPr>
            <w:tcW w:w="703" w:type="pct"/>
            <w:tcBorders>
              <w:top w:val="single" w:color="000000" w:sz="4" w:space="0"/>
              <w:left w:val="single" w:color="000000" w:sz="4" w:space="0"/>
              <w:bottom w:val="single" w:color="000000" w:sz="4" w:space="0"/>
              <w:right w:val="single" w:color="000000" w:sz="4" w:space="0"/>
            </w:tcBorders>
            <w:vAlign w:val="center"/>
          </w:tcPr>
          <w:p w14:paraId="006FE26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14:paraId="7F25E753">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194BF3E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6BC3060A">
            <w:pPr>
              <w:keepNext w:val="0"/>
              <w:keepLines w:val="0"/>
              <w:suppressLineNumbers w:val="0"/>
              <w:spacing w:before="0" w:beforeAutospacing="0" w:after="0" w:afterAutospacing="0"/>
              <w:ind w:left="0" w:right="0"/>
              <w:jc w:val="center"/>
              <w:rPr>
                <w:rFonts w:hint="eastAsia" w:ascii="宋体" w:hAnsi="宋体" w:eastAsia="宋体"/>
              </w:rPr>
            </w:pPr>
          </w:p>
        </w:tc>
      </w:tr>
      <w:tr w14:paraId="6FA66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4B73C4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05A846A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立案数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484E0FF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LAS</w:t>
            </w:r>
          </w:p>
        </w:tc>
        <w:tc>
          <w:tcPr>
            <w:tcW w:w="703" w:type="pct"/>
            <w:tcBorders>
              <w:top w:val="single" w:color="000000" w:sz="4" w:space="0"/>
              <w:left w:val="single" w:color="000000" w:sz="4" w:space="0"/>
              <w:bottom w:val="single" w:color="000000" w:sz="4" w:space="0"/>
              <w:right w:val="single" w:color="000000" w:sz="4" w:space="0"/>
            </w:tcBorders>
            <w:vAlign w:val="center"/>
          </w:tcPr>
          <w:p w14:paraId="5A62EAE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14:paraId="1D7AC900">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46B59FFE">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64FA7005">
            <w:pPr>
              <w:keepNext w:val="0"/>
              <w:keepLines w:val="0"/>
              <w:suppressLineNumbers w:val="0"/>
              <w:spacing w:before="0" w:beforeAutospacing="0" w:after="0" w:afterAutospacing="0"/>
              <w:ind w:left="0" w:right="0"/>
              <w:jc w:val="center"/>
              <w:rPr>
                <w:rFonts w:hint="eastAsia" w:ascii="宋体" w:hAnsi="宋体" w:eastAsia="宋体"/>
              </w:rPr>
            </w:pPr>
          </w:p>
        </w:tc>
      </w:tr>
      <w:tr w14:paraId="13591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291A985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36D7284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按时结案数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3CD6665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ASJAS</w:t>
            </w:r>
          </w:p>
        </w:tc>
        <w:tc>
          <w:tcPr>
            <w:tcW w:w="703" w:type="pct"/>
            <w:tcBorders>
              <w:top w:val="single" w:color="000000" w:sz="4" w:space="0"/>
              <w:left w:val="single" w:color="000000" w:sz="4" w:space="0"/>
              <w:bottom w:val="single" w:color="000000" w:sz="4" w:space="0"/>
              <w:right w:val="single" w:color="000000" w:sz="4" w:space="0"/>
            </w:tcBorders>
            <w:vAlign w:val="center"/>
          </w:tcPr>
          <w:p w14:paraId="696725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14:paraId="295999CD">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244FB55A">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20F899B7">
            <w:pPr>
              <w:keepNext w:val="0"/>
              <w:keepLines w:val="0"/>
              <w:suppressLineNumbers w:val="0"/>
              <w:spacing w:before="0" w:beforeAutospacing="0" w:after="0" w:afterAutospacing="0"/>
              <w:ind w:left="0" w:right="0"/>
              <w:jc w:val="center"/>
              <w:rPr>
                <w:rFonts w:hint="eastAsia" w:ascii="宋体" w:hAnsi="宋体" w:eastAsia="宋体"/>
              </w:rPr>
            </w:pPr>
          </w:p>
        </w:tc>
      </w:tr>
      <w:tr w14:paraId="49CE2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458FFE6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3B4A8E1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办结数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56C8F43E">
            <w:pPr>
              <w:keepNext w:val="0"/>
              <w:keepLines w:val="0"/>
              <w:suppressLineNumbers w:val="0"/>
              <w:tabs>
                <w:tab w:val="left" w:pos="544"/>
                <w:tab w:val="center" w:pos="716"/>
              </w:tabs>
              <w:spacing w:before="0" w:beforeAutospacing="0" w:after="0" w:afterAutospacing="0"/>
              <w:ind w:left="0" w:right="0"/>
              <w:jc w:val="center"/>
              <w:rPr>
                <w:rFonts w:hint="eastAsia" w:ascii="宋体" w:hAnsi="宋体" w:eastAsia="宋体"/>
              </w:rPr>
            </w:pPr>
            <w:r>
              <w:rPr>
                <w:rFonts w:hint="default" w:ascii="宋体" w:hAnsi="宋体" w:eastAsia="宋体"/>
              </w:rPr>
              <w:t>BJS</w:t>
            </w:r>
          </w:p>
        </w:tc>
        <w:tc>
          <w:tcPr>
            <w:tcW w:w="703" w:type="pct"/>
            <w:tcBorders>
              <w:top w:val="single" w:color="000000" w:sz="4" w:space="0"/>
              <w:left w:val="single" w:color="000000" w:sz="4" w:space="0"/>
              <w:bottom w:val="single" w:color="000000" w:sz="4" w:space="0"/>
              <w:right w:val="single" w:color="000000" w:sz="4" w:space="0"/>
            </w:tcBorders>
            <w:vAlign w:val="center"/>
          </w:tcPr>
          <w:p w14:paraId="7D024BF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14:paraId="0A2CAC47">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7271706E">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3B3C70DB">
            <w:pPr>
              <w:keepNext w:val="0"/>
              <w:keepLines w:val="0"/>
              <w:suppressLineNumbers w:val="0"/>
              <w:spacing w:before="0" w:beforeAutospacing="0" w:after="0" w:afterAutospacing="0"/>
              <w:ind w:left="0" w:right="0"/>
              <w:jc w:val="center"/>
              <w:rPr>
                <w:rFonts w:hint="eastAsia" w:ascii="宋体" w:hAnsi="宋体" w:eastAsia="宋体"/>
              </w:rPr>
            </w:pPr>
          </w:p>
        </w:tc>
      </w:tr>
    </w:tbl>
    <w:p w14:paraId="7DDA4113">
      <w:pPr>
        <w:pStyle w:val="14"/>
        <w:ind w:left="0" w:firstLine="0"/>
        <w:rPr>
          <w:rFonts w:hint="eastAsia"/>
          <w:lang w:eastAsia="zh-Hans"/>
        </w:rPr>
      </w:pPr>
      <w:r>
        <w:rPr>
          <w:rFonts w:hint="eastAsia"/>
          <w:lang w:eastAsia="zh-Hans"/>
        </w:rPr>
        <w:t>案件部门统计主要数据项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98"/>
        <w:gridCol w:w="1560"/>
        <w:gridCol w:w="1238"/>
        <w:gridCol w:w="1084"/>
        <w:gridCol w:w="972"/>
        <w:gridCol w:w="1086"/>
        <w:gridCol w:w="1624"/>
      </w:tblGrid>
      <w:tr w14:paraId="58E8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shd w:val="clear" w:color="auto" w:fill="FFFFFF"/>
            <w:vAlign w:val="bottom"/>
          </w:tcPr>
          <w:p w14:paraId="6F639A1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932" w:type="pct"/>
            <w:shd w:val="clear" w:color="auto" w:fill="FFFFFF"/>
            <w:vAlign w:val="bottom"/>
          </w:tcPr>
          <w:p w14:paraId="234823F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740" w:type="pct"/>
            <w:shd w:val="clear" w:color="auto" w:fill="FFFFFF"/>
            <w:vAlign w:val="bottom"/>
          </w:tcPr>
          <w:p w14:paraId="4CA6CBA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648" w:type="pct"/>
            <w:shd w:val="clear" w:color="auto" w:fill="FFFFFF"/>
            <w:vAlign w:val="bottom"/>
          </w:tcPr>
          <w:p w14:paraId="6787C98F">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581" w:type="pct"/>
            <w:shd w:val="clear" w:color="auto" w:fill="FFFFFF"/>
            <w:vAlign w:val="bottom"/>
          </w:tcPr>
          <w:p w14:paraId="488F641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649" w:type="pct"/>
            <w:shd w:val="clear" w:color="auto" w:fill="FFFFFF"/>
            <w:vAlign w:val="bottom"/>
          </w:tcPr>
          <w:p w14:paraId="369FE57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970" w:type="pct"/>
            <w:shd w:val="clear" w:color="auto" w:fill="FFFFFF"/>
            <w:vAlign w:val="bottom"/>
          </w:tcPr>
          <w:p w14:paraId="11616D0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14:paraId="5F50C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trPr>
        <w:tc>
          <w:tcPr>
            <w:tcW w:w="477" w:type="pct"/>
            <w:vAlign w:val="center"/>
          </w:tcPr>
          <w:p w14:paraId="5049E9D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w:t>
            </w:r>
          </w:p>
        </w:tc>
        <w:tc>
          <w:tcPr>
            <w:tcW w:w="932" w:type="pct"/>
            <w:vAlign w:val="center"/>
          </w:tcPr>
          <w:p w14:paraId="277A1F5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40" w:type="pct"/>
            <w:vAlign w:val="center"/>
          </w:tcPr>
          <w:p w14:paraId="7FADE59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648" w:type="pct"/>
            <w:vAlign w:val="center"/>
          </w:tcPr>
          <w:p w14:paraId="5E24016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581" w:type="pct"/>
            <w:vAlign w:val="center"/>
          </w:tcPr>
          <w:p w14:paraId="145CCC3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649" w:type="pct"/>
            <w:vAlign w:val="center"/>
          </w:tcPr>
          <w:p w14:paraId="11B6D0D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970" w:type="pct"/>
            <w:vAlign w:val="center"/>
          </w:tcPr>
          <w:p w14:paraId="06FD5BF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代码应符合</w:t>
            </w:r>
          </w:p>
          <w:p w14:paraId="016BE7D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eastAsia="zh-Hans" w:bidi="ar"/>
              </w:rPr>
              <w:t>GB/T 2260</w:t>
            </w:r>
          </w:p>
        </w:tc>
      </w:tr>
      <w:tr w14:paraId="598FD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7E433A5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w:t>
            </w:r>
          </w:p>
        </w:tc>
        <w:tc>
          <w:tcPr>
            <w:tcW w:w="932" w:type="pct"/>
            <w:tcBorders>
              <w:top w:val="single" w:color="auto" w:sz="6" w:space="0"/>
              <w:left w:val="single" w:color="auto" w:sz="6" w:space="0"/>
              <w:bottom w:val="single" w:color="auto" w:sz="6" w:space="0"/>
              <w:right w:val="single" w:color="auto" w:sz="6" w:space="0"/>
            </w:tcBorders>
            <w:vAlign w:val="center"/>
          </w:tcPr>
          <w:p w14:paraId="5DE9E5F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740" w:type="pct"/>
            <w:tcBorders>
              <w:top w:val="single" w:color="auto" w:sz="6" w:space="0"/>
              <w:left w:val="single" w:color="auto" w:sz="6" w:space="0"/>
              <w:bottom w:val="single" w:color="auto" w:sz="6" w:space="0"/>
              <w:right w:val="single" w:color="auto" w:sz="6" w:space="0"/>
            </w:tcBorders>
            <w:vAlign w:val="center"/>
          </w:tcPr>
          <w:p w14:paraId="27E8B4F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648" w:type="pct"/>
            <w:tcBorders>
              <w:top w:val="single" w:color="auto" w:sz="6" w:space="0"/>
              <w:left w:val="single" w:color="auto" w:sz="6" w:space="0"/>
              <w:bottom w:val="single" w:color="auto" w:sz="6" w:space="0"/>
              <w:right w:val="single" w:color="auto" w:sz="6" w:space="0"/>
            </w:tcBorders>
            <w:vAlign w:val="center"/>
          </w:tcPr>
          <w:p w14:paraId="0F58D6A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581" w:type="pct"/>
            <w:tcBorders>
              <w:top w:val="single" w:color="auto" w:sz="6" w:space="0"/>
              <w:left w:val="single" w:color="auto" w:sz="6" w:space="0"/>
              <w:bottom w:val="single" w:color="auto" w:sz="6" w:space="0"/>
              <w:right w:val="single" w:color="auto" w:sz="6" w:space="0"/>
            </w:tcBorders>
            <w:vAlign w:val="center"/>
          </w:tcPr>
          <w:p w14:paraId="71D39532">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14:paraId="50C6C1F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482248C8">
            <w:pPr>
              <w:keepNext w:val="0"/>
              <w:keepLines w:val="0"/>
              <w:suppressLineNumbers w:val="0"/>
              <w:spacing w:before="0" w:beforeAutospacing="0" w:after="0" w:afterAutospacing="0"/>
              <w:ind w:left="0" w:right="0"/>
              <w:jc w:val="center"/>
              <w:rPr>
                <w:rFonts w:hint="eastAsia" w:ascii="宋体" w:hAnsi="宋体" w:eastAsia="宋体"/>
              </w:rPr>
            </w:pPr>
          </w:p>
        </w:tc>
      </w:tr>
      <w:tr w14:paraId="64F04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117E921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w:t>
            </w:r>
          </w:p>
        </w:tc>
        <w:tc>
          <w:tcPr>
            <w:tcW w:w="932" w:type="pct"/>
            <w:tcBorders>
              <w:top w:val="single" w:color="auto" w:sz="6" w:space="0"/>
              <w:left w:val="single" w:color="auto" w:sz="6" w:space="0"/>
              <w:bottom w:val="single" w:color="auto" w:sz="6" w:space="0"/>
              <w:right w:val="single" w:color="auto" w:sz="6" w:space="0"/>
            </w:tcBorders>
            <w:vAlign w:val="center"/>
          </w:tcPr>
          <w:p w14:paraId="72D488E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考核周期</w:t>
            </w:r>
          </w:p>
        </w:tc>
        <w:tc>
          <w:tcPr>
            <w:tcW w:w="740" w:type="pct"/>
            <w:tcBorders>
              <w:top w:val="single" w:color="auto" w:sz="6" w:space="0"/>
              <w:left w:val="single" w:color="auto" w:sz="6" w:space="0"/>
              <w:bottom w:val="single" w:color="auto" w:sz="6" w:space="0"/>
              <w:right w:val="single" w:color="auto" w:sz="6" w:space="0"/>
            </w:tcBorders>
            <w:vAlign w:val="center"/>
          </w:tcPr>
          <w:p w14:paraId="32E031B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KHZQ</w:t>
            </w:r>
          </w:p>
        </w:tc>
        <w:tc>
          <w:tcPr>
            <w:tcW w:w="648" w:type="pct"/>
            <w:tcBorders>
              <w:top w:val="single" w:color="auto" w:sz="6" w:space="0"/>
              <w:left w:val="single" w:color="auto" w:sz="6" w:space="0"/>
              <w:bottom w:val="single" w:color="auto" w:sz="6" w:space="0"/>
              <w:right w:val="single" w:color="auto" w:sz="6" w:space="0"/>
            </w:tcBorders>
            <w:vAlign w:val="center"/>
          </w:tcPr>
          <w:p w14:paraId="3A6E37D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581" w:type="pct"/>
            <w:tcBorders>
              <w:top w:val="single" w:color="auto" w:sz="6" w:space="0"/>
              <w:left w:val="single" w:color="auto" w:sz="6" w:space="0"/>
              <w:bottom w:val="single" w:color="auto" w:sz="6" w:space="0"/>
              <w:right w:val="single" w:color="auto" w:sz="6" w:space="0"/>
            </w:tcBorders>
            <w:vAlign w:val="center"/>
          </w:tcPr>
          <w:p w14:paraId="19A7D6B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2</w:t>
            </w:r>
            <w:r>
              <w:rPr>
                <w:rFonts w:hint="eastAsia" w:ascii="宋体" w:hAnsi="宋体" w:eastAsia="宋体"/>
                <w:bCs/>
              </w:rPr>
              <w:t>00</w:t>
            </w:r>
          </w:p>
        </w:tc>
        <w:tc>
          <w:tcPr>
            <w:tcW w:w="649" w:type="pct"/>
            <w:tcBorders>
              <w:top w:val="single" w:color="auto" w:sz="6" w:space="0"/>
              <w:left w:val="single" w:color="auto" w:sz="6" w:space="0"/>
              <w:bottom w:val="single" w:color="auto" w:sz="6" w:space="0"/>
              <w:right w:val="single" w:color="auto" w:sz="6" w:space="0"/>
            </w:tcBorders>
            <w:vAlign w:val="center"/>
          </w:tcPr>
          <w:p w14:paraId="7D17E73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11F477E6">
            <w:pPr>
              <w:keepNext w:val="0"/>
              <w:keepLines w:val="0"/>
              <w:suppressLineNumbers w:val="0"/>
              <w:spacing w:before="0" w:beforeAutospacing="0" w:after="0" w:afterAutospacing="0"/>
              <w:ind w:left="0" w:right="0"/>
              <w:jc w:val="center"/>
              <w:rPr>
                <w:rFonts w:hint="eastAsia" w:ascii="宋体" w:hAnsi="宋体" w:eastAsia="宋体"/>
              </w:rPr>
            </w:pPr>
          </w:p>
        </w:tc>
      </w:tr>
      <w:tr w14:paraId="4B626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02154C0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w:t>
            </w:r>
          </w:p>
        </w:tc>
        <w:tc>
          <w:tcPr>
            <w:tcW w:w="932" w:type="pct"/>
            <w:tcBorders>
              <w:top w:val="single" w:color="auto" w:sz="6" w:space="0"/>
              <w:left w:val="single" w:color="auto" w:sz="6" w:space="0"/>
              <w:bottom w:val="single" w:color="auto" w:sz="6" w:space="0"/>
              <w:right w:val="single" w:color="auto" w:sz="6" w:space="0"/>
            </w:tcBorders>
            <w:vAlign w:val="center"/>
          </w:tcPr>
          <w:p w14:paraId="2E32F5B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部门名称</w:t>
            </w:r>
          </w:p>
        </w:tc>
        <w:tc>
          <w:tcPr>
            <w:tcW w:w="740" w:type="pct"/>
            <w:tcBorders>
              <w:top w:val="single" w:color="auto" w:sz="6" w:space="0"/>
              <w:left w:val="single" w:color="auto" w:sz="6" w:space="0"/>
              <w:bottom w:val="single" w:color="auto" w:sz="6" w:space="0"/>
              <w:right w:val="single" w:color="auto" w:sz="6" w:space="0"/>
            </w:tcBorders>
            <w:vAlign w:val="center"/>
          </w:tcPr>
          <w:p w14:paraId="7CB14B0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BMMC</w:t>
            </w:r>
          </w:p>
        </w:tc>
        <w:tc>
          <w:tcPr>
            <w:tcW w:w="648" w:type="pct"/>
            <w:tcBorders>
              <w:top w:val="single" w:color="auto" w:sz="6" w:space="0"/>
              <w:left w:val="single" w:color="auto" w:sz="6" w:space="0"/>
              <w:bottom w:val="single" w:color="auto" w:sz="6" w:space="0"/>
              <w:right w:val="single" w:color="auto" w:sz="6" w:space="0"/>
            </w:tcBorders>
            <w:vAlign w:val="center"/>
          </w:tcPr>
          <w:p w14:paraId="4777B16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581" w:type="pct"/>
            <w:tcBorders>
              <w:top w:val="single" w:color="auto" w:sz="6" w:space="0"/>
              <w:left w:val="single" w:color="auto" w:sz="6" w:space="0"/>
              <w:bottom w:val="single" w:color="auto" w:sz="6" w:space="0"/>
              <w:right w:val="single" w:color="auto" w:sz="6" w:space="0"/>
            </w:tcBorders>
            <w:vAlign w:val="center"/>
          </w:tcPr>
          <w:p w14:paraId="5C6515D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2</w:t>
            </w:r>
            <w:r>
              <w:rPr>
                <w:rFonts w:hint="eastAsia" w:ascii="宋体" w:hAnsi="宋体" w:eastAsia="宋体"/>
                <w:bCs/>
              </w:rPr>
              <w:t>00</w:t>
            </w:r>
          </w:p>
        </w:tc>
        <w:tc>
          <w:tcPr>
            <w:tcW w:w="649" w:type="pct"/>
            <w:tcBorders>
              <w:top w:val="single" w:color="auto" w:sz="6" w:space="0"/>
              <w:left w:val="single" w:color="auto" w:sz="6" w:space="0"/>
              <w:bottom w:val="single" w:color="auto" w:sz="6" w:space="0"/>
              <w:right w:val="single" w:color="auto" w:sz="6" w:space="0"/>
            </w:tcBorders>
            <w:vAlign w:val="center"/>
          </w:tcPr>
          <w:p w14:paraId="42549CF9">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423168FC">
            <w:pPr>
              <w:keepNext w:val="0"/>
              <w:keepLines w:val="0"/>
              <w:suppressLineNumbers w:val="0"/>
              <w:spacing w:before="0" w:beforeAutospacing="0" w:after="0" w:afterAutospacing="0"/>
              <w:ind w:left="0" w:right="0"/>
              <w:jc w:val="center"/>
              <w:rPr>
                <w:rFonts w:hint="eastAsia" w:ascii="宋体" w:hAnsi="宋体" w:eastAsia="宋体"/>
              </w:rPr>
            </w:pPr>
          </w:p>
        </w:tc>
      </w:tr>
      <w:tr w14:paraId="4F7E4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306C8F8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w:t>
            </w:r>
          </w:p>
        </w:tc>
        <w:tc>
          <w:tcPr>
            <w:tcW w:w="932" w:type="pct"/>
            <w:tcBorders>
              <w:top w:val="single" w:color="auto" w:sz="6" w:space="0"/>
              <w:left w:val="single" w:color="auto" w:sz="6" w:space="0"/>
              <w:bottom w:val="single" w:color="auto" w:sz="6" w:space="0"/>
              <w:right w:val="single" w:color="auto" w:sz="6" w:space="0"/>
            </w:tcBorders>
            <w:vAlign w:val="center"/>
          </w:tcPr>
          <w:p w14:paraId="1328332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应处置数</w:t>
            </w:r>
          </w:p>
        </w:tc>
        <w:tc>
          <w:tcPr>
            <w:tcW w:w="740" w:type="pct"/>
            <w:tcBorders>
              <w:top w:val="single" w:color="auto" w:sz="6" w:space="0"/>
              <w:left w:val="single" w:color="auto" w:sz="6" w:space="0"/>
              <w:bottom w:val="single" w:color="auto" w:sz="6" w:space="0"/>
              <w:right w:val="single" w:color="auto" w:sz="6" w:space="0"/>
            </w:tcBorders>
            <w:vAlign w:val="center"/>
          </w:tcPr>
          <w:p w14:paraId="60C3F04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YCZS</w:t>
            </w:r>
          </w:p>
        </w:tc>
        <w:tc>
          <w:tcPr>
            <w:tcW w:w="648" w:type="pct"/>
            <w:tcBorders>
              <w:top w:val="single" w:color="auto" w:sz="6" w:space="0"/>
              <w:left w:val="single" w:color="auto" w:sz="6" w:space="0"/>
              <w:bottom w:val="single" w:color="auto" w:sz="6" w:space="0"/>
              <w:right w:val="single" w:color="auto" w:sz="6" w:space="0"/>
            </w:tcBorders>
            <w:vAlign w:val="center"/>
          </w:tcPr>
          <w:p w14:paraId="25ED1A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14:paraId="6F952FB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ab/>
            </w:r>
          </w:p>
        </w:tc>
        <w:tc>
          <w:tcPr>
            <w:tcW w:w="649" w:type="pct"/>
            <w:tcBorders>
              <w:top w:val="single" w:color="auto" w:sz="6" w:space="0"/>
              <w:left w:val="single" w:color="auto" w:sz="6" w:space="0"/>
              <w:bottom w:val="single" w:color="auto" w:sz="6" w:space="0"/>
              <w:right w:val="single" w:color="auto" w:sz="6" w:space="0"/>
            </w:tcBorders>
            <w:vAlign w:val="center"/>
          </w:tcPr>
          <w:p w14:paraId="27BB21BE">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1DF975EA">
            <w:pPr>
              <w:keepNext w:val="0"/>
              <w:keepLines w:val="0"/>
              <w:suppressLineNumbers w:val="0"/>
              <w:spacing w:before="0" w:beforeAutospacing="0" w:after="0" w:afterAutospacing="0"/>
              <w:ind w:left="0" w:right="0"/>
              <w:jc w:val="center"/>
              <w:rPr>
                <w:rFonts w:hint="eastAsia" w:ascii="宋体" w:hAnsi="宋体" w:eastAsia="宋体"/>
              </w:rPr>
            </w:pPr>
          </w:p>
        </w:tc>
      </w:tr>
      <w:tr w14:paraId="4D692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7F454EE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w:t>
            </w:r>
          </w:p>
        </w:tc>
        <w:tc>
          <w:tcPr>
            <w:tcW w:w="932" w:type="pct"/>
            <w:tcBorders>
              <w:top w:val="single" w:color="auto" w:sz="6" w:space="0"/>
              <w:left w:val="single" w:color="auto" w:sz="6" w:space="0"/>
              <w:bottom w:val="single" w:color="auto" w:sz="6" w:space="0"/>
              <w:right w:val="single" w:color="auto" w:sz="6" w:space="0"/>
            </w:tcBorders>
            <w:vAlign w:val="center"/>
          </w:tcPr>
          <w:p w14:paraId="4390565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 xml:space="preserve"> 处置数</w:t>
            </w:r>
          </w:p>
        </w:tc>
        <w:tc>
          <w:tcPr>
            <w:tcW w:w="740" w:type="pct"/>
            <w:tcBorders>
              <w:top w:val="single" w:color="auto" w:sz="6" w:space="0"/>
              <w:left w:val="single" w:color="auto" w:sz="6" w:space="0"/>
              <w:bottom w:val="single" w:color="auto" w:sz="6" w:space="0"/>
              <w:right w:val="single" w:color="auto" w:sz="6" w:space="0"/>
            </w:tcBorders>
            <w:vAlign w:val="center"/>
          </w:tcPr>
          <w:p w14:paraId="17E38F7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CZS</w:t>
            </w:r>
          </w:p>
        </w:tc>
        <w:tc>
          <w:tcPr>
            <w:tcW w:w="648" w:type="pct"/>
            <w:tcBorders>
              <w:top w:val="single" w:color="auto" w:sz="6" w:space="0"/>
              <w:left w:val="single" w:color="auto" w:sz="6" w:space="0"/>
              <w:bottom w:val="single" w:color="auto" w:sz="6" w:space="0"/>
              <w:right w:val="single" w:color="auto" w:sz="6" w:space="0"/>
            </w:tcBorders>
            <w:vAlign w:val="center"/>
          </w:tcPr>
          <w:p w14:paraId="47905A5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14:paraId="02CAA787">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14:paraId="49AD1F55">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547C8E91">
            <w:pPr>
              <w:keepNext w:val="0"/>
              <w:keepLines w:val="0"/>
              <w:suppressLineNumbers w:val="0"/>
              <w:spacing w:before="0" w:beforeAutospacing="0" w:after="0" w:afterAutospacing="0"/>
              <w:ind w:left="0" w:right="0"/>
              <w:jc w:val="center"/>
              <w:rPr>
                <w:rFonts w:hint="eastAsia" w:ascii="宋体" w:hAnsi="宋体" w:eastAsia="宋体"/>
              </w:rPr>
            </w:pPr>
          </w:p>
        </w:tc>
      </w:tr>
      <w:tr w14:paraId="3F6D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7B4155C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w:t>
            </w:r>
          </w:p>
        </w:tc>
        <w:tc>
          <w:tcPr>
            <w:tcW w:w="932" w:type="pct"/>
            <w:tcBorders>
              <w:top w:val="single" w:color="auto" w:sz="6" w:space="0"/>
              <w:left w:val="single" w:color="auto" w:sz="6" w:space="0"/>
              <w:bottom w:val="single" w:color="auto" w:sz="6" w:space="0"/>
              <w:right w:val="single" w:color="auto" w:sz="6" w:space="0"/>
            </w:tcBorders>
            <w:vAlign w:val="center"/>
          </w:tcPr>
          <w:p w14:paraId="6878B6A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按时处置数</w:t>
            </w:r>
          </w:p>
        </w:tc>
        <w:tc>
          <w:tcPr>
            <w:tcW w:w="740" w:type="pct"/>
            <w:tcBorders>
              <w:top w:val="single" w:color="auto" w:sz="6" w:space="0"/>
              <w:left w:val="single" w:color="auto" w:sz="6" w:space="0"/>
              <w:bottom w:val="single" w:color="auto" w:sz="6" w:space="0"/>
              <w:right w:val="single" w:color="auto" w:sz="6" w:space="0"/>
            </w:tcBorders>
            <w:vAlign w:val="center"/>
          </w:tcPr>
          <w:p w14:paraId="7924D42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ASCZS</w:t>
            </w:r>
          </w:p>
        </w:tc>
        <w:tc>
          <w:tcPr>
            <w:tcW w:w="648" w:type="pct"/>
            <w:tcBorders>
              <w:top w:val="single" w:color="auto" w:sz="6" w:space="0"/>
              <w:left w:val="single" w:color="auto" w:sz="6" w:space="0"/>
              <w:bottom w:val="single" w:color="auto" w:sz="6" w:space="0"/>
              <w:right w:val="single" w:color="auto" w:sz="6" w:space="0"/>
            </w:tcBorders>
            <w:vAlign w:val="center"/>
          </w:tcPr>
          <w:p w14:paraId="465FF5A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14:paraId="13869491">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14:paraId="746BC0C7">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780D6E27">
            <w:pPr>
              <w:keepNext w:val="0"/>
              <w:keepLines w:val="0"/>
              <w:suppressLineNumbers w:val="0"/>
              <w:spacing w:before="0" w:beforeAutospacing="0" w:after="0" w:afterAutospacing="0"/>
              <w:ind w:left="0" w:right="0"/>
              <w:jc w:val="center"/>
              <w:rPr>
                <w:rFonts w:hint="eastAsia" w:ascii="宋体" w:hAnsi="宋体" w:eastAsia="宋体"/>
              </w:rPr>
            </w:pPr>
          </w:p>
        </w:tc>
      </w:tr>
      <w:tr w14:paraId="0EE30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389D4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default" w:ascii="宋体" w:hAnsi="宋体" w:eastAsia="宋体"/>
                <w:color w:val="000000"/>
                <w:kern w:val="0"/>
                <w:lang w:bidi="ar"/>
              </w:rPr>
              <w:t>8</w:t>
            </w:r>
          </w:p>
        </w:tc>
        <w:tc>
          <w:tcPr>
            <w:tcW w:w="932" w:type="pct"/>
            <w:tcBorders>
              <w:top w:val="single" w:color="auto" w:sz="6" w:space="0"/>
              <w:left w:val="single" w:color="auto" w:sz="6" w:space="0"/>
              <w:bottom w:val="single" w:color="auto" w:sz="6" w:space="0"/>
              <w:right w:val="single" w:color="auto" w:sz="6" w:space="0"/>
            </w:tcBorders>
            <w:vAlign w:val="center"/>
          </w:tcPr>
          <w:p w14:paraId="144B105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二次返工数</w:t>
            </w:r>
          </w:p>
        </w:tc>
        <w:tc>
          <w:tcPr>
            <w:tcW w:w="740" w:type="pct"/>
            <w:tcBorders>
              <w:top w:val="single" w:color="auto" w:sz="6" w:space="0"/>
              <w:left w:val="single" w:color="auto" w:sz="6" w:space="0"/>
              <w:bottom w:val="single" w:color="auto" w:sz="6" w:space="0"/>
              <w:right w:val="single" w:color="auto" w:sz="6" w:space="0"/>
            </w:tcBorders>
            <w:vAlign w:val="center"/>
          </w:tcPr>
          <w:p w14:paraId="707041A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ECFGS</w:t>
            </w:r>
          </w:p>
        </w:tc>
        <w:tc>
          <w:tcPr>
            <w:tcW w:w="648" w:type="pct"/>
            <w:tcBorders>
              <w:top w:val="single" w:color="auto" w:sz="6" w:space="0"/>
              <w:left w:val="single" w:color="auto" w:sz="6" w:space="0"/>
              <w:bottom w:val="single" w:color="auto" w:sz="6" w:space="0"/>
              <w:right w:val="single" w:color="auto" w:sz="6" w:space="0"/>
            </w:tcBorders>
            <w:vAlign w:val="center"/>
          </w:tcPr>
          <w:p w14:paraId="6BFC2F1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14:paraId="37425485">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14:paraId="01E60F7E">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78288E79">
            <w:pPr>
              <w:keepNext w:val="0"/>
              <w:keepLines w:val="0"/>
              <w:suppressLineNumbers w:val="0"/>
              <w:spacing w:before="0" w:beforeAutospacing="0" w:after="0" w:afterAutospacing="0"/>
              <w:ind w:left="0" w:right="0"/>
              <w:jc w:val="center"/>
              <w:rPr>
                <w:rFonts w:hint="eastAsia" w:ascii="宋体" w:hAnsi="宋体" w:eastAsia="宋体"/>
              </w:rPr>
            </w:pPr>
          </w:p>
        </w:tc>
      </w:tr>
    </w:tbl>
    <w:p w14:paraId="2DD59F6E">
      <w:pPr>
        <w:pStyle w:val="8"/>
        <w:rPr>
          <w:rFonts w:hint="eastAsia"/>
        </w:rPr>
      </w:pPr>
      <w:r>
        <w:rPr>
          <w:rFonts w:hint="eastAsia"/>
        </w:rPr>
        <w:t>城市管理行业应用数据</w:t>
      </w:r>
    </w:p>
    <w:p w14:paraId="7C514715">
      <w:pPr>
        <w:pStyle w:val="14"/>
        <w:rPr>
          <w:rFonts w:hint="eastAsia"/>
          <w:lang w:eastAsia="zh-Hans"/>
        </w:rPr>
      </w:pPr>
      <w:r>
        <w:rPr>
          <w:rFonts w:hint="eastAsia"/>
          <w:lang w:eastAsia="zh-Hans"/>
        </w:rPr>
        <w:t>市政公用数据库</w:t>
      </w:r>
    </w:p>
    <w:p w14:paraId="70E11020">
      <w:pPr>
        <w:ind w:firstLine="480"/>
        <w:rPr>
          <w:rFonts w:hint="eastAsia" w:ascii="宋体" w:hAnsi="宋体" w:eastAsia="宋体"/>
          <w:sz w:val="24"/>
          <w:szCs w:val="28"/>
        </w:rPr>
      </w:pPr>
      <w:r>
        <w:rPr>
          <w:rFonts w:hint="eastAsia" w:ascii="宋体" w:hAnsi="宋体" w:eastAsia="宋体"/>
          <w:sz w:val="24"/>
          <w:szCs w:val="28"/>
        </w:rPr>
        <w:t>市政公用行业数据应包括道路、桥梁、隧道、排水、供水、供热、燃气、照明和管廊等建设和运行数据。除记录标识码、名称、主管代码、主管部门、权责单位、养护单位、所属网格、状态、初始时间、变更时间等常规信息外，还应该存储相应的业务数据信息。主要数据项符合GB/T 36625.5的规定。</w:t>
      </w:r>
    </w:p>
    <w:p w14:paraId="117377E2">
      <w:pPr>
        <w:pStyle w:val="14"/>
        <w:rPr>
          <w:rFonts w:hint="eastAsia"/>
          <w:lang w:eastAsia="zh-Hans"/>
        </w:rPr>
      </w:pPr>
      <w:bookmarkStart w:id="384" w:name="_Toc22475897"/>
      <w:r>
        <w:rPr>
          <w:rFonts w:hint="eastAsia"/>
          <w:lang w:eastAsia="zh-Hans"/>
        </w:rPr>
        <w:t>环境卫生数据库</w:t>
      </w:r>
      <w:bookmarkEnd w:id="384"/>
    </w:p>
    <w:p w14:paraId="68490B90">
      <w:pPr>
        <w:pStyle w:val="47"/>
        <w:numPr>
          <w:ilvl w:val="0"/>
          <w:numId w:val="127"/>
        </w:numPr>
        <w:spacing w:line="360" w:lineRule="auto"/>
        <w:ind w:left="240" w:hanging="240" w:hangingChars="100"/>
        <w:rPr>
          <w:sz w:val="24"/>
          <w:szCs w:val="24"/>
          <w:lang w:eastAsia="zh-Hans"/>
        </w:rPr>
      </w:pPr>
      <w:bookmarkStart w:id="385" w:name="_Toc500585352"/>
      <w:r>
        <w:rPr>
          <w:rFonts w:hint="eastAsia"/>
          <w:sz w:val="24"/>
          <w:szCs w:val="24"/>
          <w:lang w:eastAsia="zh-Hans"/>
        </w:rPr>
        <w:t>市容环卫行业数据</w:t>
      </w:r>
      <w:r>
        <w:rPr>
          <w:sz w:val="24"/>
          <w:szCs w:val="24"/>
          <w:lang w:eastAsia="zh-Hans"/>
        </w:rPr>
        <w:t>应包括</w:t>
      </w:r>
      <w:r>
        <w:rPr>
          <w:rFonts w:hint="eastAsia"/>
          <w:sz w:val="24"/>
          <w:szCs w:val="24"/>
          <w:lang w:eastAsia="zh-Hans"/>
        </w:rPr>
        <w:t>城市容貌、</w:t>
      </w:r>
      <w:r>
        <w:rPr>
          <w:sz w:val="24"/>
          <w:szCs w:val="24"/>
          <w:lang w:eastAsia="zh-Hans"/>
        </w:rPr>
        <w:t>环境卫生</w:t>
      </w:r>
      <w:r>
        <w:rPr>
          <w:rFonts w:hint="eastAsia"/>
          <w:sz w:val="24"/>
          <w:szCs w:val="24"/>
          <w:lang w:eastAsia="zh-Hans"/>
        </w:rPr>
        <w:t>、</w:t>
      </w:r>
      <w:r>
        <w:rPr>
          <w:sz w:val="24"/>
          <w:szCs w:val="24"/>
          <w:lang w:eastAsia="zh-Hans"/>
        </w:rPr>
        <w:t>建筑垃圾管理和</w:t>
      </w:r>
      <w:r>
        <w:rPr>
          <w:rFonts w:hint="eastAsia"/>
          <w:sz w:val="24"/>
          <w:szCs w:val="24"/>
          <w:lang w:eastAsia="zh-Hans"/>
        </w:rPr>
        <w:t>户外广告</w:t>
      </w:r>
      <w:r>
        <w:rPr>
          <w:sz w:val="24"/>
          <w:szCs w:val="24"/>
          <w:lang w:eastAsia="zh-Hans"/>
        </w:rPr>
        <w:t>（</w:t>
      </w:r>
      <w:r>
        <w:rPr>
          <w:rFonts w:hint="eastAsia"/>
          <w:sz w:val="24"/>
          <w:szCs w:val="24"/>
          <w:lang w:eastAsia="zh-Hans"/>
        </w:rPr>
        <w:t>招牌</w:t>
      </w:r>
      <w:r>
        <w:rPr>
          <w:sz w:val="24"/>
          <w:szCs w:val="24"/>
          <w:lang w:eastAsia="zh-Hans"/>
        </w:rPr>
        <w:t>）</w:t>
      </w:r>
      <w:r>
        <w:rPr>
          <w:rFonts w:hint="eastAsia"/>
          <w:sz w:val="24"/>
          <w:szCs w:val="24"/>
          <w:lang w:eastAsia="zh-Hans"/>
        </w:rPr>
        <w:t>等数据</w:t>
      </w:r>
      <w:r>
        <w:rPr>
          <w:sz w:val="24"/>
          <w:szCs w:val="24"/>
          <w:lang w:eastAsia="zh-Hans"/>
        </w:rPr>
        <w:t>；</w:t>
      </w:r>
      <w:bookmarkEnd w:id="385"/>
    </w:p>
    <w:p w14:paraId="0C1E1E08">
      <w:pPr>
        <w:pStyle w:val="47"/>
        <w:numPr>
          <w:ilvl w:val="0"/>
          <w:numId w:val="127"/>
        </w:numPr>
        <w:spacing w:line="360" w:lineRule="auto"/>
        <w:ind w:left="240" w:hanging="240" w:hangingChars="100"/>
        <w:rPr>
          <w:sz w:val="24"/>
          <w:szCs w:val="24"/>
          <w:lang w:eastAsia="zh-Hans"/>
        </w:rPr>
      </w:pPr>
      <w:bookmarkStart w:id="386" w:name="_Toc1644565765"/>
      <w:r>
        <w:rPr>
          <w:rFonts w:hint="eastAsia"/>
          <w:sz w:val="24"/>
          <w:szCs w:val="24"/>
          <w:lang w:eastAsia="zh-Hans"/>
        </w:rPr>
        <w:t>城市容貌数据应符合</w:t>
      </w:r>
      <w:r>
        <w:rPr>
          <w:rFonts w:hint="eastAsia" w:ascii="宋体" w:hAnsi="宋体" w:cs="宋体"/>
          <w:bCs/>
          <w:sz w:val="24"/>
          <w:szCs w:val="24"/>
          <w:lang w:eastAsia="zh-Hans"/>
        </w:rPr>
        <w:t>GB/T 30428.</w:t>
      </w:r>
      <w:r>
        <w:rPr>
          <w:rFonts w:ascii="宋体" w:hAnsi="宋体" w:cs="宋体"/>
          <w:bCs/>
          <w:sz w:val="24"/>
          <w:szCs w:val="24"/>
          <w:lang w:eastAsia="zh-Hans"/>
        </w:rPr>
        <w:t>2</w:t>
      </w:r>
      <w:r>
        <w:rPr>
          <w:rFonts w:hint="eastAsia" w:ascii="宋体" w:hAnsi="宋体" w:cs="宋体"/>
          <w:bCs/>
          <w:sz w:val="24"/>
          <w:szCs w:val="24"/>
          <w:lang w:eastAsia="zh-Hans"/>
        </w:rPr>
        <w:t>的</w:t>
      </w:r>
      <w:r>
        <w:rPr>
          <w:rFonts w:ascii="宋体" w:hAnsi="宋体" w:cs="宋体"/>
          <w:bCs/>
          <w:sz w:val="24"/>
          <w:szCs w:val="24"/>
          <w:lang w:eastAsia="zh-Hans"/>
        </w:rPr>
        <w:t>规定；</w:t>
      </w:r>
    </w:p>
    <w:p w14:paraId="1E9B8E02">
      <w:pPr>
        <w:pStyle w:val="47"/>
        <w:numPr>
          <w:ilvl w:val="0"/>
          <w:numId w:val="127"/>
        </w:numPr>
        <w:spacing w:line="360" w:lineRule="auto"/>
        <w:ind w:left="480" w:hanging="480" w:hangingChars="200"/>
        <w:rPr>
          <w:sz w:val="24"/>
          <w:szCs w:val="24"/>
          <w:lang w:eastAsia="zh-Hans"/>
        </w:rPr>
      </w:pPr>
      <w:r>
        <w:rPr>
          <w:sz w:val="24"/>
          <w:szCs w:val="24"/>
          <w:lang w:eastAsia="zh-Hans"/>
        </w:rPr>
        <w:t>环境卫生数据</w:t>
      </w:r>
      <w:r>
        <w:rPr>
          <w:rFonts w:hint="eastAsia"/>
          <w:sz w:val="24"/>
          <w:szCs w:val="24"/>
          <w:lang w:eastAsia="zh-Hans"/>
        </w:rPr>
        <w:t>应包括垃圾收集设施、垃圾转运站、生活垃圾焚烧厂、生活垃圾卫生填埋场、厨余垃圾处理厂、粪便处理厂、公共厕所、清扫保洁作业等数据；</w:t>
      </w:r>
      <w:bookmarkEnd w:id="386"/>
    </w:p>
    <w:tbl>
      <w:tblPr>
        <w:tblStyle w:val="90"/>
        <w:tblW w:w="5000" w:type="pct"/>
        <w:tblInd w:w="0" w:type="dxa"/>
        <w:tblLayout w:type="autofit"/>
        <w:tblCellMar>
          <w:top w:w="0" w:type="dxa"/>
          <w:left w:w="108" w:type="dxa"/>
          <w:bottom w:w="0" w:type="dxa"/>
          <w:right w:w="108" w:type="dxa"/>
        </w:tblCellMar>
      </w:tblPr>
      <w:tblGrid>
        <w:gridCol w:w="664"/>
        <w:gridCol w:w="1355"/>
        <w:gridCol w:w="1125"/>
        <w:gridCol w:w="1120"/>
        <w:gridCol w:w="1103"/>
        <w:gridCol w:w="1212"/>
        <w:gridCol w:w="1943"/>
      </w:tblGrid>
      <w:tr w14:paraId="73C6F30C">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5946DC86">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垃圾收集设施主要数据项</w:t>
            </w:r>
          </w:p>
        </w:tc>
      </w:tr>
      <w:tr w14:paraId="02C87610">
        <w:tblPrEx>
          <w:tblCellMar>
            <w:top w:w="0" w:type="dxa"/>
            <w:left w:w="108" w:type="dxa"/>
            <w:bottom w:w="0" w:type="dxa"/>
            <w:right w:w="108" w:type="dxa"/>
          </w:tblCellMar>
        </w:tblPrEx>
        <w:trPr>
          <w:cantSplit/>
          <w:trHeight w:val="255" w:hRule="atLeast"/>
          <w:tblHeader/>
        </w:trPr>
        <w:tc>
          <w:tcPr>
            <w:tcW w:w="390" w:type="pct"/>
            <w:tcBorders>
              <w:top w:val="single" w:color="000000" w:sz="4" w:space="0"/>
              <w:left w:val="single" w:color="000000" w:sz="4" w:space="0"/>
              <w:bottom w:val="single" w:color="auto" w:sz="4" w:space="0"/>
              <w:right w:val="single" w:color="000000" w:sz="4" w:space="0"/>
            </w:tcBorders>
            <w:vAlign w:val="center"/>
          </w:tcPr>
          <w:p w14:paraId="3E2B994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795" w:type="pct"/>
            <w:tcBorders>
              <w:top w:val="single" w:color="000000" w:sz="4" w:space="0"/>
              <w:left w:val="single" w:color="000000" w:sz="4" w:space="0"/>
              <w:bottom w:val="single" w:color="auto" w:sz="4" w:space="0"/>
              <w:right w:val="single" w:color="000000" w:sz="4" w:space="0"/>
            </w:tcBorders>
            <w:vAlign w:val="center"/>
          </w:tcPr>
          <w:p w14:paraId="7221E23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60" w:type="pct"/>
            <w:tcBorders>
              <w:top w:val="single" w:color="000000" w:sz="4" w:space="0"/>
              <w:left w:val="single" w:color="000000" w:sz="4" w:space="0"/>
              <w:bottom w:val="single" w:color="auto" w:sz="4" w:space="0"/>
              <w:right w:val="single" w:color="000000" w:sz="4" w:space="0"/>
            </w:tcBorders>
            <w:vAlign w:val="center"/>
          </w:tcPr>
          <w:p w14:paraId="582411C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57" w:type="pct"/>
            <w:tcBorders>
              <w:top w:val="single" w:color="000000" w:sz="4" w:space="0"/>
              <w:left w:val="single" w:color="000000" w:sz="4" w:space="0"/>
              <w:bottom w:val="single" w:color="auto" w:sz="4" w:space="0"/>
              <w:right w:val="single" w:color="000000" w:sz="4" w:space="0"/>
            </w:tcBorders>
            <w:vAlign w:val="center"/>
          </w:tcPr>
          <w:p w14:paraId="2BA8CC1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47" w:type="pct"/>
            <w:tcBorders>
              <w:top w:val="single" w:color="000000" w:sz="4" w:space="0"/>
              <w:left w:val="single" w:color="000000" w:sz="4" w:space="0"/>
              <w:bottom w:val="single" w:color="auto" w:sz="4" w:space="0"/>
              <w:right w:val="single" w:color="000000" w:sz="4" w:space="0"/>
            </w:tcBorders>
            <w:vAlign w:val="center"/>
          </w:tcPr>
          <w:p w14:paraId="62B8C76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11" w:type="pct"/>
            <w:tcBorders>
              <w:top w:val="single" w:color="000000" w:sz="4" w:space="0"/>
              <w:left w:val="single" w:color="000000" w:sz="4" w:space="0"/>
              <w:bottom w:val="single" w:color="auto" w:sz="4" w:space="0"/>
              <w:right w:val="single" w:color="000000" w:sz="4" w:space="0"/>
            </w:tcBorders>
            <w:vAlign w:val="center"/>
          </w:tcPr>
          <w:p w14:paraId="1DA7902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138" w:type="pct"/>
            <w:tcBorders>
              <w:top w:val="single" w:color="000000" w:sz="4" w:space="0"/>
              <w:left w:val="single" w:color="000000" w:sz="4" w:space="0"/>
              <w:bottom w:val="single" w:color="auto" w:sz="4" w:space="0"/>
              <w:right w:val="single" w:color="000000" w:sz="4" w:space="0"/>
            </w:tcBorders>
            <w:vAlign w:val="center"/>
          </w:tcPr>
          <w:p w14:paraId="15E63F1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45D23B72">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4343E18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p>
        </w:tc>
        <w:tc>
          <w:tcPr>
            <w:tcW w:w="795" w:type="pct"/>
            <w:tcBorders>
              <w:top w:val="single" w:color="auto" w:sz="4" w:space="0"/>
              <w:left w:val="single" w:color="auto" w:sz="4" w:space="0"/>
              <w:bottom w:val="single" w:color="auto" w:sz="4" w:space="0"/>
              <w:right w:val="single" w:color="auto" w:sz="4" w:space="0"/>
            </w:tcBorders>
            <w:vAlign w:val="center"/>
          </w:tcPr>
          <w:p w14:paraId="358EE4A8">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标识码</w:t>
            </w:r>
          </w:p>
        </w:tc>
        <w:tc>
          <w:tcPr>
            <w:tcW w:w="660" w:type="pct"/>
            <w:tcBorders>
              <w:top w:val="single" w:color="auto" w:sz="4" w:space="0"/>
              <w:left w:val="single" w:color="auto" w:sz="4" w:space="0"/>
              <w:bottom w:val="single" w:color="auto" w:sz="4" w:space="0"/>
              <w:right w:val="single" w:color="auto" w:sz="4" w:space="0"/>
            </w:tcBorders>
            <w:vAlign w:val="center"/>
          </w:tcPr>
          <w:p w14:paraId="17E59FD7">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BSM</w:t>
            </w:r>
          </w:p>
        </w:tc>
        <w:tc>
          <w:tcPr>
            <w:tcW w:w="657" w:type="pct"/>
            <w:tcBorders>
              <w:top w:val="single" w:color="auto" w:sz="4" w:space="0"/>
              <w:left w:val="single" w:color="auto" w:sz="4" w:space="0"/>
              <w:bottom w:val="single" w:color="auto" w:sz="4" w:space="0"/>
              <w:right w:val="single" w:color="auto" w:sz="4" w:space="0"/>
            </w:tcBorders>
            <w:vAlign w:val="center"/>
          </w:tcPr>
          <w:p w14:paraId="239E36C3">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lang w:eastAsia="zh-Hans"/>
              </w:rPr>
              <w:t>char</w:t>
            </w:r>
          </w:p>
        </w:tc>
        <w:tc>
          <w:tcPr>
            <w:tcW w:w="647" w:type="pct"/>
            <w:tcBorders>
              <w:top w:val="single" w:color="auto" w:sz="4" w:space="0"/>
              <w:left w:val="single" w:color="auto" w:sz="4" w:space="0"/>
              <w:bottom w:val="single" w:color="auto" w:sz="4" w:space="0"/>
              <w:right w:val="single" w:color="auto" w:sz="4" w:space="0"/>
            </w:tcBorders>
            <w:vAlign w:val="center"/>
          </w:tcPr>
          <w:p w14:paraId="5CE77C87">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rPr>
              <w:t>20</w:t>
            </w:r>
          </w:p>
        </w:tc>
        <w:tc>
          <w:tcPr>
            <w:tcW w:w="711" w:type="pct"/>
            <w:tcBorders>
              <w:top w:val="single" w:color="auto" w:sz="4" w:space="0"/>
              <w:left w:val="single" w:color="auto" w:sz="4" w:space="0"/>
              <w:bottom w:val="single" w:color="auto" w:sz="4" w:space="0"/>
              <w:right w:val="single" w:color="auto" w:sz="4" w:space="0"/>
            </w:tcBorders>
            <w:vAlign w:val="center"/>
          </w:tcPr>
          <w:p w14:paraId="3D1650E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14:paraId="6935A68E">
            <w:pPr>
              <w:keepNext w:val="0"/>
              <w:keepLines w:val="0"/>
              <w:suppressLineNumbers w:val="0"/>
              <w:spacing w:before="0" w:beforeAutospacing="0" w:after="0" w:afterAutospacing="0"/>
              <w:ind w:left="0" w:right="0"/>
              <w:jc w:val="center"/>
              <w:rPr>
                <w:rFonts w:hint="eastAsia" w:ascii="宋体" w:hAnsi="宋体" w:eastAsia="宋体"/>
              </w:rPr>
            </w:pPr>
          </w:p>
        </w:tc>
      </w:tr>
      <w:tr w14:paraId="7D447E1F">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13E6CDE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p>
        </w:tc>
        <w:tc>
          <w:tcPr>
            <w:tcW w:w="795" w:type="pct"/>
            <w:tcBorders>
              <w:top w:val="single" w:color="auto" w:sz="4" w:space="0"/>
              <w:left w:val="single" w:color="auto" w:sz="4" w:space="0"/>
              <w:bottom w:val="single" w:color="auto" w:sz="4" w:space="0"/>
              <w:right w:val="single" w:color="auto" w:sz="4" w:space="0"/>
            </w:tcBorders>
            <w:vAlign w:val="center"/>
          </w:tcPr>
          <w:p w14:paraId="711968E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名称</w:t>
            </w:r>
          </w:p>
        </w:tc>
        <w:tc>
          <w:tcPr>
            <w:tcW w:w="660" w:type="pct"/>
            <w:tcBorders>
              <w:top w:val="single" w:color="auto" w:sz="4" w:space="0"/>
              <w:left w:val="single" w:color="auto" w:sz="4" w:space="0"/>
              <w:bottom w:val="single" w:color="auto" w:sz="4" w:space="0"/>
              <w:right w:val="single" w:color="auto" w:sz="4" w:space="0"/>
            </w:tcBorders>
            <w:vAlign w:val="center"/>
          </w:tcPr>
          <w:p w14:paraId="44B131C2">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MC</w:t>
            </w:r>
          </w:p>
        </w:tc>
        <w:tc>
          <w:tcPr>
            <w:tcW w:w="657" w:type="pct"/>
            <w:tcBorders>
              <w:top w:val="single" w:color="auto" w:sz="4" w:space="0"/>
              <w:left w:val="single" w:color="auto" w:sz="4" w:space="0"/>
              <w:bottom w:val="single" w:color="auto" w:sz="4" w:space="0"/>
              <w:right w:val="single" w:color="auto" w:sz="4" w:space="0"/>
            </w:tcBorders>
            <w:vAlign w:val="center"/>
          </w:tcPr>
          <w:p w14:paraId="380B8E18">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bCs/>
                <w:sz w:val="20"/>
                <w:szCs w:val="20"/>
              </w:rPr>
              <w:t>char</w:t>
            </w:r>
          </w:p>
        </w:tc>
        <w:tc>
          <w:tcPr>
            <w:tcW w:w="647" w:type="pct"/>
            <w:tcBorders>
              <w:top w:val="single" w:color="auto" w:sz="4" w:space="0"/>
              <w:left w:val="single" w:color="auto" w:sz="4" w:space="0"/>
              <w:bottom w:val="single" w:color="auto" w:sz="4" w:space="0"/>
              <w:right w:val="single" w:color="auto" w:sz="4" w:space="0"/>
            </w:tcBorders>
            <w:vAlign w:val="center"/>
          </w:tcPr>
          <w:p w14:paraId="77B20A7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40</w:t>
            </w:r>
          </w:p>
        </w:tc>
        <w:tc>
          <w:tcPr>
            <w:tcW w:w="711" w:type="pct"/>
            <w:tcBorders>
              <w:top w:val="single" w:color="auto" w:sz="4" w:space="0"/>
              <w:left w:val="single" w:color="auto" w:sz="4" w:space="0"/>
              <w:bottom w:val="single" w:color="auto" w:sz="4" w:space="0"/>
              <w:right w:val="single" w:color="auto" w:sz="4" w:space="0"/>
            </w:tcBorders>
            <w:vAlign w:val="center"/>
          </w:tcPr>
          <w:p w14:paraId="67F57C9E">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14:paraId="0081D76D">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010DE155">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7FCA9A7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p>
        </w:tc>
        <w:tc>
          <w:tcPr>
            <w:tcW w:w="795" w:type="pct"/>
            <w:tcBorders>
              <w:top w:val="single" w:color="auto" w:sz="4" w:space="0"/>
              <w:left w:val="single" w:color="auto" w:sz="4" w:space="0"/>
              <w:bottom w:val="single" w:color="auto" w:sz="4" w:space="0"/>
              <w:right w:val="single" w:color="auto" w:sz="4" w:space="0"/>
            </w:tcBorders>
            <w:vAlign w:val="center"/>
          </w:tcPr>
          <w:p w14:paraId="2DDFEDA6">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类型</w:t>
            </w:r>
          </w:p>
        </w:tc>
        <w:tc>
          <w:tcPr>
            <w:tcW w:w="660" w:type="pct"/>
            <w:tcBorders>
              <w:top w:val="single" w:color="auto" w:sz="4" w:space="0"/>
              <w:left w:val="single" w:color="auto" w:sz="4" w:space="0"/>
              <w:bottom w:val="single" w:color="auto" w:sz="4" w:space="0"/>
              <w:right w:val="single" w:color="auto" w:sz="4" w:space="0"/>
            </w:tcBorders>
            <w:vAlign w:val="center"/>
          </w:tcPr>
          <w:p w14:paraId="61ED237B">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L</w:t>
            </w:r>
            <w:r>
              <w:rPr>
                <w:rFonts w:hint="eastAsia" w:ascii="宋体" w:hAnsi="宋体" w:eastAsia="宋体"/>
                <w:bCs/>
                <w:sz w:val="20"/>
                <w:szCs w:val="20"/>
                <w:lang w:eastAsia="zh-Hans"/>
              </w:rPr>
              <w:t>X</w:t>
            </w:r>
          </w:p>
        </w:tc>
        <w:tc>
          <w:tcPr>
            <w:tcW w:w="657" w:type="pct"/>
            <w:tcBorders>
              <w:top w:val="single" w:color="auto" w:sz="4" w:space="0"/>
              <w:left w:val="single" w:color="auto" w:sz="4" w:space="0"/>
              <w:bottom w:val="single" w:color="auto" w:sz="4" w:space="0"/>
              <w:right w:val="single" w:color="auto" w:sz="4" w:space="0"/>
            </w:tcBorders>
            <w:vAlign w:val="center"/>
          </w:tcPr>
          <w:p w14:paraId="617B632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int</w:t>
            </w:r>
          </w:p>
        </w:tc>
        <w:tc>
          <w:tcPr>
            <w:tcW w:w="647" w:type="pct"/>
            <w:tcBorders>
              <w:top w:val="single" w:color="auto" w:sz="4" w:space="0"/>
              <w:left w:val="single" w:color="auto" w:sz="4" w:space="0"/>
              <w:bottom w:val="single" w:color="auto" w:sz="4" w:space="0"/>
              <w:right w:val="single" w:color="auto" w:sz="4" w:space="0"/>
            </w:tcBorders>
            <w:vAlign w:val="center"/>
          </w:tcPr>
          <w:p w14:paraId="5DD394EC">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5571BF8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14:paraId="5DD42863">
            <w:pPr>
              <w:keepNext w:val="0"/>
              <w:keepLines w:val="0"/>
              <w:suppressLineNumbers w:val="0"/>
              <w:spacing w:before="0" w:beforeAutospacing="0" w:after="0" w:afterAutospacing="0"/>
              <w:ind w:left="0" w:right="0"/>
              <w:jc w:val="center"/>
              <w:rPr>
                <w:rFonts w:hint="eastAsia" w:ascii="宋体" w:hAnsi="宋体" w:eastAsia="宋体"/>
                <w:sz w:val="20"/>
                <w:szCs w:val="20"/>
                <w:lang w:eastAsia="zh-Hans"/>
              </w:rPr>
            </w:pPr>
            <w:r>
              <w:rPr>
                <w:rFonts w:hint="default" w:ascii="宋体" w:hAnsi="宋体" w:eastAsia="宋体"/>
                <w:sz w:val="20"/>
                <w:szCs w:val="20"/>
              </w:rPr>
              <w:t>1：</w:t>
            </w:r>
            <w:r>
              <w:rPr>
                <w:rFonts w:hint="eastAsia" w:ascii="宋体" w:hAnsi="宋体" w:eastAsia="宋体"/>
                <w:sz w:val="20"/>
                <w:szCs w:val="20"/>
                <w:lang w:eastAsia="zh-Hans"/>
              </w:rPr>
              <w:t>生活垃圾收集点</w:t>
            </w:r>
          </w:p>
          <w:p w14:paraId="0B52420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lang w:eastAsia="zh-Hans"/>
              </w:rPr>
              <w:t>2：</w:t>
            </w:r>
            <w:r>
              <w:rPr>
                <w:rFonts w:hint="eastAsia" w:ascii="宋体" w:hAnsi="宋体" w:eastAsia="宋体"/>
                <w:sz w:val="20"/>
                <w:szCs w:val="20"/>
                <w:lang w:eastAsia="zh-Hans"/>
              </w:rPr>
              <w:t>生活垃圾收集站</w:t>
            </w:r>
          </w:p>
        </w:tc>
      </w:tr>
      <w:tr w14:paraId="6F52F31E">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6021A7D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4</w:t>
            </w:r>
          </w:p>
        </w:tc>
        <w:tc>
          <w:tcPr>
            <w:tcW w:w="795" w:type="pct"/>
            <w:tcBorders>
              <w:top w:val="single" w:color="auto" w:sz="4" w:space="0"/>
              <w:left w:val="single" w:color="auto" w:sz="4" w:space="0"/>
              <w:bottom w:val="single" w:color="auto" w:sz="4" w:space="0"/>
              <w:right w:val="single" w:color="auto" w:sz="4" w:space="0"/>
            </w:tcBorders>
            <w:vAlign w:val="center"/>
          </w:tcPr>
          <w:p w14:paraId="0575965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地址</w:t>
            </w:r>
          </w:p>
        </w:tc>
        <w:tc>
          <w:tcPr>
            <w:tcW w:w="660" w:type="pct"/>
            <w:tcBorders>
              <w:top w:val="single" w:color="auto" w:sz="4" w:space="0"/>
              <w:left w:val="single" w:color="auto" w:sz="4" w:space="0"/>
              <w:bottom w:val="single" w:color="auto" w:sz="4" w:space="0"/>
              <w:right w:val="single" w:color="auto" w:sz="4" w:space="0"/>
            </w:tcBorders>
            <w:vAlign w:val="center"/>
          </w:tcPr>
          <w:p w14:paraId="447FF818">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DZ</w:t>
            </w:r>
          </w:p>
        </w:tc>
        <w:tc>
          <w:tcPr>
            <w:tcW w:w="657" w:type="pct"/>
            <w:tcBorders>
              <w:top w:val="single" w:color="auto" w:sz="4" w:space="0"/>
              <w:left w:val="single" w:color="auto" w:sz="4" w:space="0"/>
              <w:bottom w:val="single" w:color="auto" w:sz="4" w:space="0"/>
              <w:right w:val="single" w:color="auto" w:sz="4" w:space="0"/>
            </w:tcBorders>
            <w:vAlign w:val="center"/>
          </w:tcPr>
          <w:p w14:paraId="56174FBD">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bCs/>
                <w:sz w:val="20"/>
                <w:szCs w:val="20"/>
              </w:rPr>
              <w:t>char</w:t>
            </w:r>
          </w:p>
        </w:tc>
        <w:tc>
          <w:tcPr>
            <w:tcW w:w="647" w:type="pct"/>
            <w:tcBorders>
              <w:top w:val="single" w:color="auto" w:sz="4" w:space="0"/>
              <w:left w:val="single" w:color="auto" w:sz="4" w:space="0"/>
              <w:bottom w:val="single" w:color="auto" w:sz="4" w:space="0"/>
              <w:right w:val="single" w:color="auto" w:sz="4" w:space="0"/>
            </w:tcBorders>
            <w:vAlign w:val="center"/>
          </w:tcPr>
          <w:p w14:paraId="4C93C53B">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400</w:t>
            </w:r>
          </w:p>
        </w:tc>
        <w:tc>
          <w:tcPr>
            <w:tcW w:w="711" w:type="pct"/>
            <w:tcBorders>
              <w:top w:val="single" w:color="auto" w:sz="4" w:space="0"/>
              <w:left w:val="single" w:color="auto" w:sz="4" w:space="0"/>
              <w:bottom w:val="single" w:color="auto" w:sz="4" w:space="0"/>
              <w:right w:val="single" w:color="auto" w:sz="4" w:space="0"/>
            </w:tcBorders>
            <w:vAlign w:val="center"/>
          </w:tcPr>
          <w:p w14:paraId="5262BBAF">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14:paraId="45C21595">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6673F299">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1F3914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5</w:t>
            </w:r>
          </w:p>
        </w:tc>
        <w:tc>
          <w:tcPr>
            <w:tcW w:w="795" w:type="pct"/>
            <w:tcBorders>
              <w:top w:val="single" w:color="auto" w:sz="4" w:space="0"/>
              <w:left w:val="single" w:color="auto" w:sz="4" w:space="0"/>
              <w:bottom w:val="single" w:color="auto" w:sz="4" w:space="0"/>
              <w:right w:val="single" w:color="auto" w:sz="4" w:space="0"/>
            </w:tcBorders>
            <w:vAlign w:val="center"/>
          </w:tcPr>
          <w:p w14:paraId="3E0543E9">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坐标X</w:t>
            </w:r>
          </w:p>
        </w:tc>
        <w:tc>
          <w:tcPr>
            <w:tcW w:w="660" w:type="pct"/>
            <w:tcBorders>
              <w:top w:val="single" w:color="auto" w:sz="4" w:space="0"/>
              <w:left w:val="single" w:color="auto" w:sz="4" w:space="0"/>
              <w:bottom w:val="single" w:color="auto" w:sz="4" w:space="0"/>
              <w:right w:val="single" w:color="auto" w:sz="4" w:space="0"/>
            </w:tcBorders>
            <w:vAlign w:val="center"/>
          </w:tcPr>
          <w:p w14:paraId="1405F1F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ZBX</w:t>
            </w:r>
          </w:p>
        </w:tc>
        <w:tc>
          <w:tcPr>
            <w:tcW w:w="657" w:type="pct"/>
            <w:tcBorders>
              <w:top w:val="single" w:color="auto" w:sz="4" w:space="0"/>
              <w:left w:val="single" w:color="auto" w:sz="4" w:space="0"/>
              <w:bottom w:val="single" w:color="auto" w:sz="4" w:space="0"/>
              <w:right w:val="single" w:color="auto" w:sz="4" w:space="0"/>
            </w:tcBorders>
            <w:vAlign w:val="center"/>
          </w:tcPr>
          <w:p w14:paraId="36B15F3C">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float</w:t>
            </w:r>
          </w:p>
        </w:tc>
        <w:tc>
          <w:tcPr>
            <w:tcW w:w="647" w:type="pct"/>
            <w:tcBorders>
              <w:top w:val="single" w:color="auto" w:sz="4" w:space="0"/>
              <w:left w:val="single" w:color="auto" w:sz="4" w:space="0"/>
              <w:bottom w:val="single" w:color="auto" w:sz="4" w:space="0"/>
              <w:right w:val="single" w:color="auto" w:sz="4" w:space="0"/>
            </w:tcBorders>
            <w:vAlign w:val="center"/>
          </w:tcPr>
          <w:p w14:paraId="12531838">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07A2EE40">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16E0889A">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57656D31">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355B22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6</w:t>
            </w:r>
          </w:p>
        </w:tc>
        <w:tc>
          <w:tcPr>
            <w:tcW w:w="795" w:type="pct"/>
            <w:tcBorders>
              <w:top w:val="single" w:color="auto" w:sz="4" w:space="0"/>
              <w:left w:val="single" w:color="auto" w:sz="4" w:space="0"/>
              <w:bottom w:val="single" w:color="auto" w:sz="4" w:space="0"/>
              <w:right w:val="single" w:color="auto" w:sz="4" w:space="0"/>
            </w:tcBorders>
            <w:vAlign w:val="center"/>
          </w:tcPr>
          <w:p w14:paraId="0485542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坐标Y</w:t>
            </w:r>
          </w:p>
        </w:tc>
        <w:tc>
          <w:tcPr>
            <w:tcW w:w="660" w:type="pct"/>
            <w:tcBorders>
              <w:top w:val="single" w:color="auto" w:sz="4" w:space="0"/>
              <w:left w:val="single" w:color="auto" w:sz="4" w:space="0"/>
              <w:bottom w:val="single" w:color="auto" w:sz="4" w:space="0"/>
              <w:right w:val="single" w:color="auto" w:sz="4" w:space="0"/>
            </w:tcBorders>
            <w:vAlign w:val="center"/>
          </w:tcPr>
          <w:p w14:paraId="50A9EA1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ZBY</w:t>
            </w:r>
          </w:p>
        </w:tc>
        <w:tc>
          <w:tcPr>
            <w:tcW w:w="657" w:type="pct"/>
            <w:tcBorders>
              <w:top w:val="single" w:color="auto" w:sz="4" w:space="0"/>
              <w:left w:val="single" w:color="auto" w:sz="4" w:space="0"/>
              <w:bottom w:val="single" w:color="auto" w:sz="4" w:space="0"/>
              <w:right w:val="single" w:color="auto" w:sz="4" w:space="0"/>
            </w:tcBorders>
            <w:vAlign w:val="center"/>
          </w:tcPr>
          <w:p w14:paraId="16333E33">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float</w:t>
            </w:r>
          </w:p>
        </w:tc>
        <w:tc>
          <w:tcPr>
            <w:tcW w:w="647" w:type="pct"/>
            <w:tcBorders>
              <w:top w:val="single" w:color="auto" w:sz="4" w:space="0"/>
              <w:left w:val="single" w:color="auto" w:sz="4" w:space="0"/>
              <w:bottom w:val="single" w:color="auto" w:sz="4" w:space="0"/>
              <w:right w:val="single" w:color="auto" w:sz="4" w:space="0"/>
            </w:tcBorders>
            <w:vAlign w:val="center"/>
          </w:tcPr>
          <w:p w14:paraId="5A7477B7">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4715C9AA">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3D2AD2CA">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77C0A93D">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1AD7CA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7</w:t>
            </w:r>
          </w:p>
        </w:tc>
        <w:tc>
          <w:tcPr>
            <w:tcW w:w="795" w:type="pct"/>
            <w:tcBorders>
              <w:top w:val="single" w:color="auto" w:sz="4" w:space="0"/>
              <w:left w:val="single" w:color="auto" w:sz="4" w:space="0"/>
              <w:bottom w:val="single" w:color="auto" w:sz="4" w:space="0"/>
              <w:right w:val="single" w:color="auto" w:sz="4" w:space="0"/>
            </w:tcBorders>
            <w:vAlign w:val="center"/>
          </w:tcPr>
          <w:p w14:paraId="1B8CE57B">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启用日期</w:t>
            </w:r>
          </w:p>
        </w:tc>
        <w:tc>
          <w:tcPr>
            <w:tcW w:w="660" w:type="pct"/>
            <w:tcBorders>
              <w:top w:val="single" w:color="auto" w:sz="4" w:space="0"/>
              <w:left w:val="single" w:color="auto" w:sz="4" w:space="0"/>
              <w:bottom w:val="single" w:color="auto" w:sz="4" w:space="0"/>
              <w:right w:val="single" w:color="auto" w:sz="4" w:space="0"/>
            </w:tcBorders>
            <w:vAlign w:val="center"/>
          </w:tcPr>
          <w:p w14:paraId="5754366E">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QYRQ</w:t>
            </w:r>
          </w:p>
        </w:tc>
        <w:tc>
          <w:tcPr>
            <w:tcW w:w="657" w:type="pct"/>
            <w:tcBorders>
              <w:top w:val="single" w:color="auto" w:sz="4" w:space="0"/>
              <w:left w:val="single" w:color="auto" w:sz="4" w:space="0"/>
              <w:bottom w:val="single" w:color="auto" w:sz="4" w:space="0"/>
              <w:right w:val="single" w:color="auto" w:sz="4" w:space="0"/>
            </w:tcBorders>
            <w:vAlign w:val="center"/>
          </w:tcPr>
          <w:p w14:paraId="5A7B3D29">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date</w:t>
            </w:r>
          </w:p>
        </w:tc>
        <w:tc>
          <w:tcPr>
            <w:tcW w:w="647" w:type="pct"/>
            <w:tcBorders>
              <w:top w:val="single" w:color="auto" w:sz="4" w:space="0"/>
              <w:left w:val="single" w:color="auto" w:sz="4" w:space="0"/>
              <w:bottom w:val="single" w:color="auto" w:sz="4" w:space="0"/>
              <w:right w:val="single" w:color="auto" w:sz="4" w:space="0"/>
            </w:tcBorders>
            <w:vAlign w:val="center"/>
          </w:tcPr>
          <w:p w14:paraId="72322337">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65F70C46">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4B1CC10B">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74A4AF81">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4CF4BF3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8</w:t>
            </w:r>
          </w:p>
        </w:tc>
        <w:tc>
          <w:tcPr>
            <w:tcW w:w="795" w:type="pct"/>
            <w:tcBorders>
              <w:top w:val="single" w:color="auto" w:sz="4" w:space="0"/>
              <w:left w:val="single" w:color="auto" w:sz="4" w:space="0"/>
              <w:bottom w:val="single" w:color="auto" w:sz="4" w:space="0"/>
              <w:right w:val="single" w:color="auto" w:sz="4" w:space="0"/>
            </w:tcBorders>
            <w:vAlign w:val="center"/>
          </w:tcPr>
          <w:p w14:paraId="2CE444F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建筑面积</w:t>
            </w:r>
          </w:p>
        </w:tc>
        <w:tc>
          <w:tcPr>
            <w:tcW w:w="660" w:type="pct"/>
            <w:tcBorders>
              <w:top w:val="single" w:color="auto" w:sz="4" w:space="0"/>
              <w:left w:val="single" w:color="auto" w:sz="4" w:space="0"/>
              <w:bottom w:val="single" w:color="auto" w:sz="4" w:space="0"/>
              <w:right w:val="single" w:color="auto" w:sz="4" w:space="0"/>
            </w:tcBorders>
            <w:vAlign w:val="center"/>
          </w:tcPr>
          <w:p w14:paraId="13CD823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JZMJ</w:t>
            </w:r>
          </w:p>
        </w:tc>
        <w:tc>
          <w:tcPr>
            <w:tcW w:w="657" w:type="pct"/>
            <w:tcBorders>
              <w:top w:val="single" w:color="auto" w:sz="4" w:space="0"/>
              <w:left w:val="single" w:color="auto" w:sz="4" w:space="0"/>
              <w:bottom w:val="single" w:color="auto" w:sz="4" w:space="0"/>
              <w:right w:val="single" w:color="auto" w:sz="4" w:space="0"/>
            </w:tcBorders>
            <w:vAlign w:val="center"/>
          </w:tcPr>
          <w:p w14:paraId="546FECC6">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float</w:t>
            </w:r>
          </w:p>
        </w:tc>
        <w:tc>
          <w:tcPr>
            <w:tcW w:w="647" w:type="pct"/>
            <w:tcBorders>
              <w:top w:val="single" w:color="auto" w:sz="4" w:space="0"/>
              <w:left w:val="single" w:color="auto" w:sz="4" w:space="0"/>
              <w:bottom w:val="single" w:color="auto" w:sz="4" w:space="0"/>
              <w:right w:val="single" w:color="auto" w:sz="4" w:space="0"/>
            </w:tcBorders>
            <w:vAlign w:val="center"/>
          </w:tcPr>
          <w:p w14:paraId="06F4173F">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5964F6DD">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M</w:t>
            </w:r>
          </w:p>
        </w:tc>
        <w:tc>
          <w:tcPr>
            <w:tcW w:w="1138" w:type="pct"/>
            <w:tcBorders>
              <w:top w:val="single" w:color="auto" w:sz="4" w:space="0"/>
              <w:left w:val="single" w:color="auto" w:sz="4" w:space="0"/>
              <w:bottom w:val="single" w:color="auto" w:sz="4" w:space="0"/>
              <w:right w:val="single" w:color="auto" w:sz="4" w:space="0"/>
            </w:tcBorders>
            <w:vAlign w:val="center"/>
          </w:tcPr>
          <w:p w14:paraId="22325ED0">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单位</w:t>
            </w:r>
            <w:r>
              <w:rPr>
                <w:rFonts w:hint="default" w:ascii="宋体" w:hAnsi="宋体" w:eastAsia="宋体"/>
                <w:sz w:val="20"/>
                <w:szCs w:val="20"/>
                <w:lang w:eastAsia="zh-Hans"/>
              </w:rPr>
              <w:t>：</w:t>
            </w:r>
            <w:r>
              <w:rPr>
                <w:rFonts w:hint="eastAsia" w:ascii="宋体" w:hAnsi="宋体" w:eastAsia="宋体"/>
                <w:color w:val="000000"/>
                <w:sz w:val="20"/>
                <w:szCs w:val="20"/>
              </w:rPr>
              <w:t>m</w:t>
            </w:r>
            <w:r>
              <w:rPr>
                <w:rFonts w:hint="eastAsia" w:ascii="宋体" w:hAnsi="宋体" w:eastAsia="宋体"/>
                <w:color w:val="000000"/>
                <w:sz w:val="20"/>
                <w:szCs w:val="20"/>
                <w:vertAlign w:val="superscript"/>
              </w:rPr>
              <w:t>2</w:t>
            </w:r>
          </w:p>
        </w:tc>
      </w:tr>
      <w:tr w14:paraId="69899680">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25044D2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p>
        </w:tc>
        <w:tc>
          <w:tcPr>
            <w:tcW w:w="795" w:type="pct"/>
            <w:tcBorders>
              <w:top w:val="single" w:color="auto" w:sz="4" w:space="0"/>
              <w:left w:val="single" w:color="auto" w:sz="4" w:space="0"/>
              <w:bottom w:val="single" w:color="auto" w:sz="4" w:space="0"/>
              <w:right w:val="single" w:color="auto" w:sz="4" w:space="0"/>
            </w:tcBorders>
            <w:vAlign w:val="center"/>
          </w:tcPr>
          <w:p w14:paraId="08B5B80A">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垃圾来源分类</w:t>
            </w:r>
          </w:p>
        </w:tc>
        <w:tc>
          <w:tcPr>
            <w:tcW w:w="660" w:type="pct"/>
            <w:tcBorders>
              <w:top w:val="single" w:color="auto" w:sz="4" w:space="0"/>
              <w:left w:val="single" w:color="auto" w:sz="4" w:space="0"/>
              <w:bottom w:val="single" w:color="auto" w:sz="4" w:space="0"/>
              <w:right w:val="single" w:color="auto" w:sz="4" w:space="0"/>
            </w:tcBorders>
            <w:vAlign w:val="center"/>
          </w:tcPr>
          <w:p w14:paraId="112088D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LJLYFL</w:t>
            </w:r>
          </w:p>
        </w:tc>
        <w:tc>
          <w:tcPr>
            <w:tcW w:w="657" w:type="pct"/>
            <w:tcBorders>
              <w:top w:val="single" w:color="auto" w:sz="4" w:space="0"/>
              <w:left w:val="single" w:color="auto" w:sz="4" w:space="0"/>
              <w:bottom w:val="single" w:color="auto" w:sz="4" w:space="0"/>
              <w:right w:val="single" w:color="auto" w:sz="4" w:space="0"/>
            </w:tcBorders>
            <w:vAlign w:val="center"/>
          </w:tcPr>
          <w:p w14:paraId="1A259586">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int</w:t>
            </w:r>
          </w:p>
        </w:tc>
        <w:tc>
          <w:tcPr>
            <w:tcW w:w="647" w:type="pct"/>
            <w:tcBorders>
              <w:top w:val="single" w:color="auto" w:sz="4" w:space="0"/>
              <w:left w:val="single" w:color="auto" w:sz="4" w:space="0"/>
              <w:bottom w:val="single" w:color="auto" w:sz="4" w:space="0"/>
              <w:right w:val="single" w:color="auto" w:sz="4" w:space="0"/>
            </w:tcBorders>
            <w:vAlign w:val="center"/>
          </w:tcPr>
          <w:p w14:paraId="2A992A26">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1456025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M</w:t>
            </w:r>
          </w:p>
        </w:tc>
        <w:tc>
          <w:tcPr>
            <w:tcW w:w="1138" w:type="pct"/>
            <w:tcBorders>
              <w:top w:val="single" w:color="auto" w:sz="4" w:space="0"/>
              <w:left w:val="single" w:color="auto" w:sz="4" w:space="0"/>
              <w:bottom w:val="single" w:color="auto" w:sz="4" w:space="0"/>
              <w:right w:val="single" w:color="auto" w:sz="4" w:space="0"/>
            </w:tcBorders>
            <w:vAlign w:val="center"/>
          </w:tcPr>
          <w:p w14:paraId="2E1376EA">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rPr>
              <w:t>1：</w:t>
            </w:r>
            <w:r>
              <w:rPr>
                <w:rFonts w:hint="eastAsia" w:ascii="宋体" w:hAnsi="宋体" w:eastAsia="宋体"/>
                <w:sz w:val="20"/>
                <w:szCs w:val="20"/>
              </w:rPr>
              <w:t>居民</w:t>
            </w:r>
          </w:p>
          <w:p w14:paraId="4E70BDEE">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2</w:t>
            </w:r>
            <w:r>
              <w:rPr>
                <w:rFonts w:hint="default" w:ascii="宋体" w:hAnsi="宋体" w:eastAsia="宋体"/>
                <w:sz w:val="20"/>
                <w:szCs w:val="20"/>
              </w:rPr>
              <w:t>：</w:t>
            </w:r>
            <w:r>
              <w:rPr>
                <w:rFonts w:hint="eastAsia" w:ascii="宋体" w:hAnsi="宋体" w:eastAsia="宋体"/>
                <w:sz w:val="20"/>
                <w:szCs w:val="20"/>
              </w:rPr>
              <w:t>单位</w:t>
            </w:r>
          </w:p>
          <w:p w14:paraId="4CA6BFE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3</w:t>
            </w:r>
            <w:r>
              <w:rPr>
                <w:rFonts w:hint="default" w:ascii="宋体" w:hAnsi="宋体" w:eastAsia="宋体"/>
                <w:sz w:val="20"/>
                <w:szCs w:val="20"/>
              </w:rPr>
              <w:t>：</w:t>
            </w:r>
            <w:r>
              <w:rPr>
                <w:rFonts w:hint="eastAsia" w:ascii="宋体" w:hAnsi="宋体" w:eastAsia="宋体"/>
                <w:sz w:val="20"/>
                <w:szCs w:val="20"/>
              </w:rPr>
              <w:t>其他</w:t>
            </w:r>
          </w:p>
        </w:tc>
      </w:tr>
      <w:tr w14:paraId="0CC95039">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155F679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10</w:t>
            </w:r>
          </w:p>
        </w:tc>
        <w:tc>
          <w:tcPr>
            <w:tcW w:w="795" w:type="pct"/>
            <w:tcBorders>
              <w:top w:val="single" w:color="auto" w:sz="4" w:space="0"/>
              <w:left w:val="single" w:color="auto" w:sz="4" w:space="0"/>
              <w:bottom w:val="single" w:color="auto" w:sz="4" w:space="0"/>
              <w:right w:val="single" w:color="auto" w:sz="4" w:space="0"/>
            </w:tcBorders>
            <w:vAlign w:val="center"/>
          </w:tcPr>
          <w:p w14:paraId="1F297C53">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lang w:eastAsia="zh-Hans"/>
              </w:rPr>
              <w:t>垃圾分类</w:t>
            </w:r>
            <w:r>
              <w:rPr>
                <w:rFonts w:hint="eastAsia" w:ascii="宋体" w:hAnsi="宋体" w:eastAsia="宋体"/>
                <w:bCs/>
                <w:sz w:val="20"/>
                <w:szCs w:val="20"/>
              </w:rPr>
              <w:t>状态</w:t>
            </w:r>
          </w:p>
        </w:tc>
        <w:tc>
          <w:tcPr>
            <w:tcW w:w="660" w:type="pct"/>
            <w:tcBorders>
              <w:top w:val="single" w:color="auto" w:sz="4" w:space="0"/>
              <w:left w:val="single" w:color="auto" w:sz="4" w:space="0"/>
              <w:bottom w:val="single" w:color="auto" w:sz="4" w:space="0"/>
              <w:right w:val="single" w:color="auto" w:sz="4" w:space="0"/>
            </w:tcBorders>
            <w:vAlign w:val="center"/>
          </w:tcPr>
          <w:p w14:paraId="4684240B">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LJ</w:t>
            </w:r>
            <w:r>
              <w:rPr>
                <w:rFonts w:hint="eastAsia" w:ascii="宋体" w:hAnsi="宋体" w:eastAsia="宋体"/>
                <w:sz w:val="20"/>
                <w:szCs w:val="20"/>
                <w:lang w:eastAsia="zh-Hans"/>
              </w:rPr>
              <w:t>FL</w:t>
            </w:r>
            <w:r>
              <w:rPr>
                <w:rFonts w:hint="default" w:ascii="宋体" w:hAnsi="宋体" w:eastAsia="宋体"/>
                <w:sz w:val="20"/>
                <w:szCs w:val="20"/>
                <w:lang w:eastAsia="zh-Hans"/>
              </w:rPr>
              <w:t>ZT</w:t>
            </w:r>
          </w:p>
        </w:tc>
        <w:tc>
          <w:tcPr>
            <w:tcW w:w="657" w:type="pct"/>
            <w:tcBorders>
              <w:top w:val="single" w:color="auto" w:sz="4" w:space="0"/>
              <w:left w:val="single" w:color="auto" w:sz="4" w:space="0"/>
              <w:bottom w:val="single" w:color="auto" w:sz="4" w:space="0"/>
              <w:right w:val="single" w:color="auto" w:sz="4" w:space="0"/>
            </w:tcBorders>
            <w:vAlign w:val="center"/>
          </w:tcPr>
          <w:p w14:paraId="4B86A66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int</w:t>
            </w:r>
          </w:p>
        </w:tc>
        <w:tc>
          <w:tcPr>
            <w:tcW w:w="647" w:type="pct"/>
            <w:tcBorders>
              <w:top w:val="single" w:color="auto" w:sz="4" w:space="0"/>
              <w:left w:val="single" w:color="auto" w:sz="4" w:space="0"/>
              <w:bottom w:val="single" w:color="auto" w:sz="4" w:space="0"/>
              <w:right w:val="single" w:color="auto" w:sz="4" w:space="0"/>
            </w:tcBorders>
            <w:vAlign w:val="center"/>
          </w:tcPr>
          <w:p w14:paraId="398F9D58">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12950D0C">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M</w:t>
            </w:r>
          </w:p>
        </w:tc>
        <w:tc>
          <w:tcPr>
            <w:tcW w:w="1138" w:type="pct"/>
            <w:tcBorders>
              <w:top w:val="single" w:color="auto" w:sz="4" w:space="0"/>
              <w:left w:val="single" w:color="auto" w:sz="4" w:space="0"/>
              <w:bottom w:val="single" w:color="auto" w:sz="4" w:space="0"/>
              <w:right w:val="single" w:color="auto" w:sz="4" w:space="0"/>
            </w:tcBorders>
            <w:vAlign w:val="center"/>
          </w:tcPr>
          <w:p w14:paraId="622D5E2C">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rPr>
              <w:t>1：</w:t>
            </w:r>
            <w:r>
              <w:rPr>
                <w:rFonts w:hint="eastAsia" w:ascii="宋体" w:hAnsi="宋体" w:eastAsia="宋体"/>
                <w:sz w:val="20"/>
                <w:szCs w:val="20"/>
              </w:rPr>
              <w:t>分类收集</w:t>
            </w:r>
          </w:p>
          <w:p w14:paraId="04235F5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2</w:t>
            </w:r>
            <w:r>
              <w:rPr>
                <w:rFonts w:hint="default" w:ascii="宋体" w:hAnsi="宋体" w:eastAsia="宋体"/>
                <w:sz w:val="20"/>
                <w:szCs w:val="20"/>
              </w:rPr>
              <w:t>：</w:t>
            </w:r>
            <w:r>
              <w:rPr>
                <w:rFonts w:hint="eastAsia" w:ascii="宋体" w:hAnsi="宋体" w:eastAsia="宋体"/>
                <w:sz w:val="20"/>
                <w:szCs w:val="20"/>
              </w:rPr>
              <w:t>未分类收集</w:t>
            </w:r>
          </w:p>
        </w:tc>
      </w:tr>
      <w:tr w14:paraId="5EDE3DD7">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7B123A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11</w:t>
            </w:r>
          </w:p>
        </w:tc>
        <w:tc>
          <w:tcPr>
            <w:tcW w:w="795" w:type="pct"/>
            <w:tcBorders>
              <w:top w:val="single" w:color="auto" w:sz="4" w:space="0"/>
              <w:left w:val="single" w:color="auto" w:sz="4" w:space="0"/>
              <w:bottom w:val="single" w:color="auto" w:sz="4" w:space="0"/>
              <w:right w:val="single" w:color="auto" w:sz="4" w:space="0"/>
            </w:tcBorders>
            <w:vAlign w:val="center"/>
          </w:tcPr>
          <w:p w14:paraId="287F127C">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日均</w:t>
            </w:r>
            <w:r>
              <w:rPr>
                <w:rFonts w:hint="eastAsia" w:ascii="宋体" w:hAnsi="宋体" w:eastAsia="宋体"/>
                <w:bCs/>
                <w:sz w:val="20"/>
                <w:szCs w:val="20"/>
                <w:lang w:eastAsia="zh-Hans"/>
              </w:rPr>
              <w:t>垃圾</w:t>
            </w:r>
            <w:r>
              <w:rPr>
                <w:rFonts w:hint="eastAsia" w:ascii="宋体" w:hAnsi="宋体" w:eastAsia="宋体"/>
                <w:bCs/>
                <w:sz w:val="20"/>
                <w:szCs w:val="20"/>
              </w:rPr>
              <w:t>收集量</w:t>
            </w:r>
          </w:p>
        </w:tc>
        <w:tc>
          <w:tcPr>
            <w:tcW w:w="660" w:type="pct"/>
            <w:tcBorders>
              <w:top w:val="single" w:color="auto" w:sz="4" w:space="0"/>
              <w:left w:val="single" w:color="auto" w:sz="4" w:space="0"/>
              <w:bottom w:val="single" w:color="auto" w:sz="4" w:space="0"/>
              <w:right w:val="single" w:color="auto" w:sz="4" w:space="0"/>
            </w:tcBorders>
            <w:vAlign w:val="center"/>
          </w:tcPr>
          <w:p w14:paraId="01C16BA7">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RJLJ</w:t>
            </w:r>
            <w:r>
              <w:rPr>
                <w:rFonts w:hint="default" w:ascii="宋体" w:hAnsi="宋体" w:eastAsia="宋体"/>
                <w:sz w:val="20"/>
                <w:szCs w:val="20"/>
                <w:lang w:eastAsia="zh-Hans"/>
              </w:rPr>
              <w:t>SJL</w:t>
            </w:r>
          </w:p>
        </w:tc>
        <w:tc>
          <w:tcPr>
            <w:tcW w:w="657" w:type="pct"/>
            <w:tcBorders>
              <w:top w:val="single" w:color="auto" w:sz="4" w:space="0"/>
              <w:left w:val="single" w:color="auto" w:sz="4" w:space="0"/>
              <w:bottom w:val="single" w:color="auto" w:sz="4" w:space="0"/>
              <w:right w:val="single" w:color="auto" w:sz="4" w:space="0"/>
            </w:tcBorders>
            <w:vAlign w:val="center"/>
          </w:tcPr>
          <w:p w14:paraId="5340DEF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float</w:t>
            </w:r>
          </w:p>
        </w:tc>
        <w:tc>
          <w:tcPr>
            <w:tcW w:w="647" w:type="pct"/>
            <w:tcBorders>
              <w:top w:val="single" w:color="auto" w:sz="4" w:space="0"/>
              <w:left w:val="single" w:color="auto" w:sz="4" w:space="0"/>
              <w:bottom w:val="single" w:color="auto" w:sz="4" w:space="0"/>
              <w:right w:val="single" w:color="auto" w:sz="4" w:space="0"/>
            </w:tcBorders>
            <w:vAlign w:val="center"/>
          </w:tcPr>
          <w:p w14:paraId="55EFFE36">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0453372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0B0E90C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单位</w:t>
            </w:r>
            <w:r>
              <w:rPr>
                <w:rFonts w:hint="default" w:ascii="宋体" w:hAnsi="宋体" w:eastAsia="宋体"/>
                <w:bCs/>
                <w:sz w:val="20"/>
                <w:szCs w:val="20"/>
              </w:rPr>
              <w:t>：t</w:t>
            </w:r>
          </w:p>
        </w:tc>
      </w:tr>
      <w:tr w14:paraId="1C490C05">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61C6136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12</w:t>
            </w:r>
          </w:p>
        </w:tc>
        <w:tc>
          <w:tcPr>
            <w:tcW w:w="795" w:type="pct"/>
            <w:tcBorders>
              <w:top w:val="single" w:color="auto" w:sz="4" w:space="0"/>
              <w:left w:val="single" w:color="auto" w:sz="4" w:space="0"/>
              <w:bottom w:val="single" w:color="auto" w:sz="4" w:space="0"/>
              <w:right w:val="single" w:color="auto" w:sz="4" w:space="0"/>
            </w:tcBorders>
            <w:vAlign w:val="center"/>
          </w:tcPr>
          <w:p w14:paraId="618F5C00">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日清</w:t>
            </w:r>
            <w:r>
              <w:rPr>
                <w:rFonts w:hint="eastAsia" w:ascii="宋体" w:hAnsi="宋体" w:eastAsia="宋体"/>
                <w:bCs/>
                <w:sz w:val="20"/>
                <w:szCs w:val="20"/>
                <w:lang w:eastAsia="zh-Hans"/>
              </w:rPr>
              <w:t>运</w:t>
            </w:r>
            <w:r>
              <w:rPr>
                <w:rFonts w:hint="eastAsia" w:ascii="宋体" w:hAnsi="宋体" w:eastAsia="宋体"/>
                <w:bCs/>
                <w:sz w:val="20"/>
                <w:szCs w:val="20"/>
              </w:rPr>
              <w:t>次数</w:t>
            </w:r>
          </w:p>
        </w:tc>
        <w:tc>
          <w:tcPr>
            <w:tcW w:w="660" w:type="pct"/>
            <w:tcBorders>
              <w:top w:val="single" w:color="auto" w:sz="4" w:space="0"/>
              <w:left w:val="single" w:color="auto" w:sz="4" w:space="0"/>
              <w:bottom w:val="single" w:color="auto" w:sz="4" w:space="0"/>
              <w:right w:val="single" w:color="auto" w:sz="4" w:space="0"/>
            </w:tcBorders>
            <w:vAlign w:val="center"/>
          </w:tcPr>
          <w:p w14:paraId="75534569">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RQ</w:t>
            </w:r>
            <w:r>
              <w:rPr>
                <w:rFonts w:hint="eastAsia" w:ascii="宋体" w:hAnsi="宋体" w:eastAsia="宋体"/>
                <w:sz w:val="20"/>
                <w:szCs w:val="20"/>
                <w:lang w:eastAsia="zh-Hans"/>
              </w:rPr>
              <w:t>Y</w:t>
            </w:r>
            <w:r>
              <w:rPr>
                <w:rFonts w:hint="eastAsia" w:ascii="宋体" w:hAnsi="宋体" w:eastAsia="宋体"/>
                <w:sz w:val="20"/>
                <w:szCs w:val="20"/>
              </w:rPr>
              <w:t>CS</w:t>
            </w:r>
          </w:p>
        </w:tc>
        <w:tc>
          <w:tcPr>
            <w:tcW w:w="657" w:type="pct"/>
            <w:tcBorders>
              <w:top w:val="single" w:color="auto" w:sz="4" w:space="0"/>
              <w:left w:val="single" w:color="auto" w:sz="4" w:space="0"/>
              <w:bottom w:val="single" w:color="auto" w:sz="4" w:space="0"/>
              <w:right w:val="single" w:color="auto" w:sz="4" w:space="0"/>
            </w:tcBorders>
            <w:vAlign w:val="center"/>
          </w:tcPr>
          <w:p w14:paraId="2046EA4A">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int</w:t>
            </w:r>
          </w:p>
        </w:tc>
        <w:tc>
          <w:tcPr>
            <w:tcW w:w="647" w:type="pct"/>
            <w:tcBorders>
              <w:top w:val="single" w:color="auto" w:sz="4" w:space="0"/>
              <w:left w:val="single" w:color="auto" w:sz="4" w:space="0"/>
              <w:bottom w:val="single" w:color="auto" w:sz="4" w:space="0"/>
              <w:right w:val="single" w:color="auto" w:sz="4" w:space="0"/>
            </w:tcBorders>
            <w:vAlign w:val="center"/>
          </w:tcPr>
          <w:p w14:paraId="1E0A6991">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6247969F">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0D13513E">
            <w:pPr>
              <w:keepNext w:val="0"/>
              <w:keepLines w:val="0"/>
              <w:suppressLineNumbers w:val="0"/>
              <w:spacing w:before="0" w:beforeAutospacing="0" w:after="0" w:afterAutospacing="0"/>
              <w:ind w:left="0" w:right="0"/>
              <w:jc w:val="left"/>
              <w:rPr>
                <w:rFonts w:hint="eastAsia" w:ascii="宋体" w:hAnsi="宋体" w:eastAsia="宋体"/>
                <w:sz w:val="20"/>
                <w:szCs w:val="20"/>
              </w:rPr>
            </w:pPr>
          </w:p>
        </w:tc>
      </w:tr>
    </w:tbl>
    <w:p w14:paraId="6A8535FF">
      <w:pPr>
        <w:pStyle w:val="3017"/>
        <w:tabs>
          <w:tab w:val="left" w:pos="420"/>
        </w:tabs>
        <w:spacing w:before="156" w:after="156"/>
        <w:ind w:left="0" w:leftChars="0" w:firstLine="0" w:firstLineChars="0"/>
        <w:jc w:val="center"/>
        <w:rPr>
          <w:rFonts w:hint="eastAsia" w:ascii="宋体" w:hAnsi="宋体" w:cs="黑体"/>
          <w:sz w:val="24"/>
          <w:lang w:eastAsia="zh-Hans"/>
        </w:rPr>
      </w:pPr>
      <w:r>
        <w:rPr>
          <w:rFonts w:hint="eastAsia" w:ascii="宋体" w:hAnsi="宋体" w:cs="黑体"/>
          <w:sz w:val="24"/>
          <w:lang w:eastAsia="zh-Hans"/>
        </w:rPr>
        <w:t>垃圾转运主要数据项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95"/>
        <w:gridCol w:w="1285"/>
        <w:gridCol w:w="222"/>
        <w:gridCol w:w="1139"/>
        <w:gridCol w:w="56"/>
        <w:gridCol w:w="1081"/>
        <w:gridCol w:w="92"/>
        <w:gridCol w:w="920"/>
        <w:gridCol w:w="179"/>
        <w:gridCol w:w="912"/>
        <w:gridCol w:w="165"/>
        <w:gridCol w:w="1761"/>
      </w:tblGrid>
      <w:tr w14:paraId="0921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27B571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543642B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668" w:type="pct"/>
            <w:tcBorders>
              <w:top w:val="single" w:color="auto" w:sz="4" w:space="0"/>
              <w:left w:val="single" w:color="auto" w:sz="4" w:space="0"/>
              <w:bottom w:val="single" w:color="auto" w:sz="4" w:space="0"/>
              <w:right w:val="single" w:color="auto" w:sz="4" w:space="0"/>
            </w:tcBorders>
            <w:vAlign w:val="center"/>
          </w:tcPr>
          <w:p w14:paraId="6529525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5057EB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1FEBB8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535" w:type="pct"/>
            <w:tcBorders>
              <w:top w:val="single" w:color="auto" w:sz="4" w:space="0"/>
              <w:left w:val="single" w:color="auto" w:sz="4" w:space="0"/>
              <w:bottom w:val="single" w:color="auto" w:sz="4" w:space="0"/>
              <w:right w:val="single" w:color="auto" w:sz="4" w:space="0"/>
            </w:tcBorders>
          </w:tcPr>
          <w:p w14:paraId="77CDA9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2ED0425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71F2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596B99F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70456D44">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668" w:type="pct"/>
            <w:tcBorders>
              <w:top w:val="single" w:color="auto" w:sz="4" w:space="0"/>
              <w:left w:val="single" w:color="auto" w:sz="4" w:space="0"/>
              <w:bottom w:val="single" w:color="auto" w:sz="4" w:space="0"/>
              <w:right w:val="single" w:color="auto" w:sz="4" w:space="0"/>
            </w:tcBorders>
            <w:vAlign w:val="center"/>
          </w:tcPr>
          <w:p w14:paraId="16CD18A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04253E8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46E8DF1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535" w:type="pct"/>
            <w:tcBorders>
              <w:top w:val="single" w:color="auto" w:sz="4" w:space="0"/>
              <w:left w:val="single" w:color="auto" w:sz="4" w:space="0"/>
              <w:bottom w:val="single" w:color="auto" w:sz="4" w:space="0"/>
              <w:right w:val="single" w:color="auto" w:sz="4" w:space="0"/>
            </w:tcBorders>
            <w:vAlign w:val="center"/>
          </w:tcPr>
          <w:p w14:paraId="34676EF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7297A422">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0A3D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290969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2</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541AB43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名称</w:t>
            </w:r>
          </w:p>
        </w:tc>
        <w:tc>
          <w:tcPr>
            <w:tcW w:w="668" w:type="pct"/>
            <w:tcBorders>
              <w:top w:val="single" w:color="auto" w:sz="4" w:space="0"/>
              <w:left w:val="single" w:color="auto" w:sz="4" w:space="0"/>
              <w:bottom w:val="single" w:color="auto" w:sz="4" w:space="0"/>
              <w:right w:val="single" w:color="auto" w:sz="4" w:space="0"/>
            </w:tcBorders>
            <w:vAlign w:val="center"/>
          </w:tcPr>
          <w:p w14:paraId="39433A0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MC</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6EDCEF1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4E064E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w:t>
            </w:r>
          </w:p>
        </w:tc>
        <w:tc>
          <w:tcPr>
            <w:tcW w:w="535" w:type="pct"/>
            <w:tcBorders>
              <w:top w:val="single" w:color="auto" w:sz="4" w:space="0"/>
              <w:left w:val="single" w:color="auto" w:sz="4" w:space="0"/>
              <w:bottom w:val="single" w:color="auto" w:sz="4" w:space="0"/>
              <w:right w:val="single" w:color="auto" w:sz="4" w:space="0"/>
            </w:tcBorders>
            <w:vAlign w:val="center"/>
          </w:tcPr>
          <w:p w14:paraId="427BFD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4486735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6C9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1CD53ED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3</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61A6E6A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大类</w:t>
            </w:r>
          </w:p>
        </w:tc>
        <w:tc>
          <w:tcPr>
            <w:tcW w:w="668" w:type="pct"/>
            <w:tcBorders>
              <w:top w:val="single" w:color="auto" w:sz="4" w:space="0"/>
              <w:left w:val="single" w:color="auto" w:sz="4" w:space="0"/>
              <w:bottom w:val="single" w:color="auto" w:sz="4" w:space="0"/>
              <w:right w:val="single" w:color="auto" w:sz="4" w:space="0"/>
            </w:tcBorders>
            <w:vAlign w:val="center"/>
          </w:tcPr>
          <w:p w14:paraId="03C9E0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DL</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7342A68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70E1C2B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w:t>
            </w:r>
          </w:p>
        </w:tc>
        <w:tc>
          <w:tcPr>
            <w:tcW w:w="535" w:type="pct"/>
            <w:tcBorders>
              <w:top w:val="single" w:color="auto" w:sz="4" w:space="0"/>
              <w:left w:val="single" w:color="auto" w:sz="4" w:space="0"/>
              <w:bottom w:val="single" w:color="auto" w:sz="4" w:space="0"/>
              <w:right w:val="single" w:color="auto" w:sz="4" w:space="0"/>
            </w:tcBorders>
            <w:vAlign w:val="center"/>
          </w:tcPr>
          <w:p w14:paraId="14B051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28D0903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lang w:eastAsia="zh-Hans"/>
              </w:rPr>
              <w:t>大</w:t>
            </w:r>
            <w:r>
              <w:rPr>
                <w:rFonts w:hint="default" w:hAnsi="宋体" w:cs="宋体"/>
                <w:szCs w:val="20"/>
                <w:lang w:eastAsia="zh-Hans"/>
              </w:rPr>
              <w:t>/</w:t>
            </w:r>
            <w:r>
              <w:rPr>
                <w:rFonts w:hint="eastAsia" w:hAnsi="宋体" w:cs="宋体"/>
                <w:szCs w:val="20"/>
                <w:lang w:eastAsia="zh-Hans"/>
              </w:rPr>
              <w:t>中</w:t>
            </w:r>
            <w:r>
              <w:rPr>
                <w:rFonts w:hint="default" w:hAnsi="宋体" w:cs="宋体"/>
                <w:szCs w:val="20"/>
                <w:lang w:eastAsia="zh-Hans"/>
              </w:rPr>
              <w:t>/</w:t>
            </w:r>
            <w:r>
              <w:rPr>
                <w:rFonts w:hint="eastAsia" w:hAnsi="宋体" w:cs="宋体"/>
                <w:szCs w:val="20"/>
                <w:lang w:eastAsia="zh-Hans"/>
              </w:rPr>
              <w:t>小</w:t>
            </w:r>
          </w:p>
        </w:tc>
      </w:tr>
      <w:tr w14:paraId="74CB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020FA53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3B92C6F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小类</w:t>
            </w:r>
          </w:p>
        </w:tc>
        <w:tc>
          <w:tcPr>
            <w:tcW w:w="668" w:type="pct"/>
            <w:tcBorders>
              <w:top w:val="single" w:color="auto" w:sz="4" w:space="0"/>
              <w:left w:val="single" w:color="auto" w:sz="4" w:space="0"/>
              <w:bottom w:val="single" w:color="auto" w:sz="4" w:space="0"/>
              <w:right w:val="single" w:color="auto" w:sz="4" w:space="0"/>
            </w:tcBorders>
            <w:vAlign w:val="center"/>
          </w:tcPr>
          <w:p w14:paraId="3C0BCD7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XL</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300BAAB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481656E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p>
        </w:tc>
        <w:tc>
          <w:tcPr>
            <w:tcW w:w="535" w:type="pct"/>
            <w:tcBorders>
              <w:top w:val="single" w:color="auto" w:sz="4" w:space="0"/>
              <w:left w:val="single" w:color="auto" w:sz="4" w:space="0"/>
              <w:bottom w:val="single" w:color="auto" w:sz="4" w:space="0"/>
              <w:right w:val="single" w:color="auto" w:sz="4" w:space="0"/>
            </w:tcBorders>
            <w:vAlign w:val="center"/>
          </w:tcPr>
          <w:p w14:paraId="218B8C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274053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lang w:eastAsia="zh-Hans"/>
              </w:rPr>
              <w:t>I</w:t>
            </w:r>
            <w:r>
              <w:rPr>
                <w:rFonts w:hint="default" w:hAnsi="宋体" w:cs="宋体"/>
                <w:szCs w:val="20"/>
                <w:lang w:eastAsia="zh-Hans"/>
              </w:rPr>
              <w:t>/</w:t>
            </w:r>
            <w:r>
              <w:rPr>
                <w:rFonts w:hint="eastAsia" w:hAnsi="宋体" w:cs="宋体"/>
                <w:szCs w:val="20"/>
                <w:lang w:eastAsia="zh-Hans"/>
              </w:rPr>
              <w:t>II</w:t>
            </w:r>
            <w:r>
              <w:rPr>
                <w:rFonts w:hint="default" w:hAnsi="宋体" w:cs="宋体"/>
                <w:szCs w:val="20"/>
                <w:lang w:eastAsia="zh-Hans"/>
              </w:rPr>
              <w:t>/</w:t>
            </w:r>
            <w:r>
              <w:rPr>
                <w:rFonts w:hint="eastAsia" w:hAnsi="宋体" w:cs="宋体"/>
                <w:szCs w:val="20"/>
                <w:lang w:eastAsia="zh-Hans"/>
              </w:rPr>
              <w:t>III</w:t>
            </w:r>
            <w:r>
              <w:rPr>
                <w:rFonts w:hint="default" w:hAnsi="宋体" w:cs="宋体"/>
                <w:szCs w:val="20"/>
                <w:lang w:eastAsia="zh-Hans"/>
              </w:rPr>
              <w:t>/</w:t>
            </w:r>
            <w:r>
              <w:rPr>
                <w:rFonts w:hint="eastAsia" w:hAnsi="宋体" w:cs="宋体"/>
                <w:szCs w:val="20"/>
                <w:lang w:eastAsia="zh-Hans"/>
              </w:rPr>
              <w:t>IV</w:t>
            </w:r>
            <w:r>
              <w:rPr>
                <w:rFonts w:hint="default" w:hAnsi="宋体" w:cs="宋体"/>
                <w:szCs w:val="20"/>
                <w:lang w:eastAsia="zh-Hans"/>
              </w:rPr>
              <w:t>/</w:t>
            </w:r>
            <w:r>
              <w:rPr>
                <w:rFonts w:hint="eastAsia" w:hAnsi="宋体" w:cs="宋体"/>
                <w:szCs w:val="20"/>
                <w:lang w:eastAsia="zh-Hans"/>
              </w:rPr>
              <w:t>V</w:t>
            </w:r>
          </w:p>
        </w:tc>
      </w:tr>
      <w:tr w14:paraId="3986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77C141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5</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39CF5E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地址</w:t>
            </w:r>
          </w:p>
        </w:tc>
        <w:tc>
          <w:tcPr>
            <w:tcW w:w="668" w:type="pct"/>
            <w:tcBorders>
              <w:top w:val="single" w:color="auto" w:sz="4" w:space="0"/>
              <w:left w:val="single" w:color="auto" w:sz="4" w:space="0"/>
              <w:bottom w:val="single" w:color="auto" w:sz="4" w:space="0"/>
              <w:right w:val="single" w:color="auto" w:sz="4" w:space="0"/>
            </w:tcBorders>
            <w:vAlign w:val="center"/>
          </w:tcPr>
          <w:p w14:paraId="2389EB3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DZ</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7A952D7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5C788FE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400</w:t>
            </w:r>
          </w:p>
        </w:tc>
        <w:tc>
          <w:tcPr>
            <w:tcW w:w="535" w:type="pct"/>
            <w:tcBorders>
              <w:top w:val="single" w:color="auto" w:sz="4" w:space="0"/>
              <w:left w:val="single" w:color="auto" w:sz="4" w:space="0"/>
              <w:bottom w:val="single" w:color="auto" w:sz="4" w:space="0"/>
              <w:right w:val="single" w:color="auto" w:sz="4" w:space="0"/>
            </w:tcBorders>
            <w:vAlign w:val="center"/>
          </w:tcPr>
          <w:p w14:paraId="50F16CC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67578A2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396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623DAF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6</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451027E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坐标X</w:t>
            </w:r>
          </w:p>
        </w:tc>
        <w:tc>
          <w:tcPr>
            <w:tcW w:w="668" w:type="pct"/>
            <w:tcBorders>
              <w:top w:val="single" w:color="auto" w:sz="4" w:space="0"/>
              <w:left w:val="single" w:color="auto" w:sz="4" w:space="0"/>
              <w:bottom w:val="single" w:color="auto" w:sz="4" w:space="0"/>
              <w:right w:val="single" w:color="auto" w:sz="4" w:space="0"/>
            </w:tcBorders>
            <w:vAlign w:val="center"/>
          </w:tcPr>
          <w:p w14:paraId="50A69A9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ZBX</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4C8DCF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4F8DEC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1A947C5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2B6A9A7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4BB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2AC6250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7</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5A6BEC9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坐标Y</w:t>
            </w:r>
          </w:p>
        </w:tc>
        <w:tc>
          <w:tcPr>
            <w:tcW w:w="668" w:type="pct"/>
            <w:tcBorders>
              <w:top w:val="single" w:color="auto" w:sz="4" w:space="0"/>
              <w:left w:val="single" w:color="auto" w:sz="4" w:space="0"/>
              <w:bottom w:val="single" w:color="auto" w:sz="4" w:space="0"/>
              <w:right w:val="single" w:color="auto" w:sz="4" w:space="0"/>
            </w:tcBorders>
            <w:vAlign w:val="center"/>
          </w:tcPr>
          <w:p w14:paraId="61BF003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ZBY</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1C3911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53971B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3BC8B7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214987E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482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0ED27D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8</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7C46EF9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启用日期</w:t>
            </w:r>
          </w:p>
        </w:tc>
        <w:tc>
          <w:tcPr>
            <w:tcW w:w="668" w:type="pct"/>
            <w:tcBorders>
              <w:top w:val="single" w:color="auto" w:sz="4" w:space="0"/>
              <w:left w:val="single" w:color="auto" w:sz="4" w:space="0"/>
              <w:bottom w:val="single" w:color="auto" w:sz="4" w:space="0"/>
              <w:right w:val="single" w:color="auto" w:sz="4" w:space="0"/>
            </w:tcBorders>
            <w:vAlign w:val="center"/>
          </w:tcPr>
          <w:p w14:paraId="0EC09F3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QYRQ</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6B0E1D6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date</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11D8FBF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5E9AD41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0820816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7C2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69AFC82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9</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1BDE54F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建筑面积</w:t>
            </w:r>
          </w:p>
        </w:tc>
        <w:tc>
          <w:tcPr>
            <w:tcW w:w="668" w:type="pct"/>
            <w:tcBorders>
              <w:top w:val="single" w:color="auto" w:sz="4" w:space="0"/>
              <w:left w:val="single" w:color="auto" w:sz="4" w:space="0"/>
              <w:bottom w:val="single" w:color="auto" w:sz="4" w:space="0"/>
              <w:right w:val="single" w:color="auto" w:sz="4" w:space="0"/>
            </w:tcBorders>
            <w:vAlign w:val="center"/>
          </w:tcPr>
          <w:p w14:paraId="433222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cs="宋体"/>
                <w:color w:val="000000"/>
                <w:szCs w:val="20"/>
              </w:rPr>
              <w:t>JZMJ</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470316F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496ED2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0BF2C07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1B282E2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rPr>
              <w:t>m</w:t>
            </w:r>
            <w:r>
              <w:rPr>
                <w:rFonts w:hint="eastAsia" w:hAnsi="宋体" w:cs="宋体"/>
                <w:color w:val="000000"/>
                <w:szCs w:val="20"/>
                <w:vertAlign w:val="superscript"/>
              </w:rPr>
              <w:t>2</w:t>
            </w:r>
          </w:p>
        </w:tc>
      </w:tr>
      <w:tr w14:paraId="3AD4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707E230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10</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2978FB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日均设计转运能力</w:t>
            </w:r>
          </w:p>
        </w:tc>
        <w:tc>
          <w:tcPr>
            <w:tcW w:w="668" w:type="pct"/>
            <w:tcBorders>
              <w:top w:val="single" w:color="auto" w:sz="4" w:space="0"/>
              <w:left w:val="single" w:color="auto" w:sz="4" w:space="0"/>
              <w:bottom w:val="single" w:color="auto" w:sz="4" w:space="0"/>
              <w:right w:val="single" w:color="auto" w:sz="4" w:space="0"/>
            </w:tcBorders>
            <w:vAlign w:val="center"/>
          </w:tcPr>
          <w:p w14:paraId="57C4C9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RJSJZY</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7516652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5543DA1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1FD40B9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2360C6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单位</w:t>
            </w:r>
            <w:r>
              <w:rPr>
                <w:rFonts w:hint="default" w:hAnsi="宋体"/>
                <w:szCs w:val="20"/>
                <w:lang w:eastAsia="zh-Hans"/>
              </w:rPr>
              <w:t>：</w:t>
            </w:r>
            <w:r>
              <w:rPr>
                <w:rFonts w:hint="eastAsia" w:hAnsi="宋体"/>
                <w:szCs w:val="20"/>
                <w:lang w:eastAsia="zh-Hans"/>
              </w:rPr>
              <w:t>t</w:t>
            </w:r>
          </w:p>
        </w:tc>
      </w:tr>
      <w:tr w14:paraId="6009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2E0214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11</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624A2D4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日均转运量</w:t>
            </w:r>
          </w:p>
        </w:tc>
        <w:tc>
          <w:tcPr>
            <w:tcW w:w="668" w:type="pct"/>
            <w:tcBorders>
              <w:top w:val="single" w:color="auto" w:sz="4" w:space="0"/>
              <w:left w:val="single" w:color="auto" w:sz="4" w:space="0"/>
              <w:bottom w:val="single" w:color="auto" w:sz="4" w:space="0"/>
              <w:right w:val="single" w:color="auto" w:sz="4" w:space="0"/>
            </w:tcBorders>
            <w:vAlign w:val="center"/>
          </w:tcPr>
          <w:p w14:paraId="42FF65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RJZYL</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1F71545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394503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775524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4378BAD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单位</w:t>
            </w:r>
            <w:r>
              <w:rPr>
                <w:rFonts w:hint="default" w:hAnsi="宋体"/>
                <w:szCs w:val="20"/>
                <w:lang w:eastAsia="zh-Hans"/>
              </w:rPr>
              <w:t>：</w:t>
            </w:r>
            <w:r>
              <w:rPr>
                <w:rFonts w:hint="eastAsia" w:hAnsi="宋体"/>
                <w:szCs w:val="20"/>
                <w:lang w:eastAsia="zh-Hans"/>
              </w:rPr>
              <w:t>t</w:t>
            </w:r>
          </w:p>
        </w:tc>
      </w:tr>
      <w:tr w14:paraId="3C21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353C882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12</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6E46B37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转运作业单元数</w:t>
            </w:r>
          </w:p>
        </w:tc>
        <w:tc>
          <w:tcPr>
            <w:tcW w:w="668" w:type="pct"/>
            <w:tcBorders>
              <w:top w:val="single" w:color="auto" w:sz="4" w:space="0"/>
              <w:left w:val="single" w:color="auto" w:sz="4" w:space="0"/>
              <w:bottom w:val="single" w:color="auto" w:sz="4" w:space="0"/>
              <w:right w:val="single" w:color="auto" w:sz="4" w:space="0"/>
            </w:tcBorders>
            <w:vAlign w:val="center"/>
          </w:tcPr>
          <w:p w14:paraId="296DF9C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ZYZYDYS</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0786594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int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3631EA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51A299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6B52DC9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948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5000" w:type="pct"/>
            <w:gridSpan w:val="13"/>
            <w:tcBorders>
              <w:top w:val="nil"/>
              <w:left w:val="nil"/>
              <w:bottom w:val="single" w:color="000000" w:sz="4" w:space="0"/>
              <w:right w:val="nil"/>
            </w:tcBorders>
            <w:vAlign w:val="center"/>
          </w:tcPr>
          <w:p w14:paraId="2D780D18">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bookmarkStart w:id="387" w:name="_Hlk83326017"/>
            <w:r>
              <w:rPr>
                <w:rFonts w:hint="eastAsia" w:ascii="宋体" w:hAnsi="宋体" w:cs="黑体"/>
                <w:sz w:val="24"/>
                <w:lang w:eastAsia="zh-Hans"/>
              </w:rPr>
              <w:t>生活垃圾焚烧厂主要数据项</w:t>
            </w:r>
          </w:p>
        </w:tc>
      </w:tr>
      <w:tr w14:paraId="0EC07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361" w:type="pct"/>
            <w:tcBorders>
              <w:top w:val="single" w:color="000000" w:sz="4" w:space="0"/>
              <w:left w:val="single" w:color="000000" w:sz="4" w:space="0"/>
              <w:bottom w:val="single" w:color="auto" w:sz="4" w:space="0"/>
              <w:right w:val="single" w:color="000000" w:sz="4" w:space="0"/>
            </w:tcBorders>
            <w:vAlign w:val="center"/>
          </w:tcPr>
          <w:p w14:paraId="21A58A4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10" w:type="pct"/>
            <w:gridSpan w:val="2"/>
            <w:tcBorders>
              <w:top w:val="single" w:color="000000" w:sz="4" w:space="0"/>
              <w:left w:val="single" w:color="000000" w:sz="4" w:space="0"/>
              <w:bottom w:val="single" w:color="auto" w:sz="4" w:space="0"/>
              <w:right w:val="single" w:color="000000" w:sz="4" w:space="0"/>
            </w:tcBorders>
            <w:vAlign w:val="center"/>
          </w:tcPr>
          <w:p w14:paraId="66A91A7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831" w:type="pct"/>
            <w:gridSpan w:val="3"/>
            <w:tcBorders>
              <w:top w:val="single" w:color="000000" w:sz="4" w:space="0"/>
              <w:left w:val="single" w:color="000000" w:sz="4" w:space="0"/>
              <w:bottom w:val="single" w:color="auto" w:sz="4" w:space="0"/>
              <w:right w:val="single" w:color="000000" w:sz="4" w:space="0"/>
            </w:tcBorders>
            <w:vAlign w:val="center"/>
          </w:tcPr>
          <w:p w14:paraId="353FE77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34" w:type="pct"/>
            <w:tcBorders>
              <w:top w:val="single" w:color="000000" w:sz="4" w:space="0"/>
              <w:left w:val="single" w:color="000000" w:sz="4" w:space="0"/>
              <w:bottom w:val="single" w:color="auto" w:sz="4" w:space="0"/>
              <w:right w:val="single" w:color="000000" w:sz="4" w:space="0"/>
            </w:tcBorders>
            <w:vAlign w:val="center"/>
          </w:tcPr>
          <w:p w14:paraId="306C412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594" w:type="pct"/>
            <w:gridSpan w:val="2"/>
            <w:tcBorders>
              <w:top w:val="single" w:color="000000" w:sz="4" w:space="0"/>
              <w:left w:val="single" w:color="000000" w:sz="4" w:space="0"/>
              <w:bottom w:val="single" w:color="auto" w:sz="4" w:space="0"/>
              <w:right w:val="single" w:color="000000" w:sz="4" w:space="0"/>
            </w:tcBorders>
            <w:vAlign w:val="center"/>
          </w:tcPr>
          <w:p w14:paraId="757AC03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37" w:type="pct"/>
            <w:gridSpan w:val="3"/>
            <w:tcBorders>
              <w:top w:val="single" w:color="000000" w:sz="4" w:space="0"/>
              <w:left w:val="single" w:color="000000" w:sz="4" w:space="0"/>
              <w:bottom w:val="single" w:color="auto" w:sz="4" w:space="0"/>
              <w:right w:val="single" w:color="000000" w:sz="4" w:space="0"/>
            </w:tcBorders>
            <w:vAlign w:val="center"/>
          </w:tcPr>
          <w:p w14:paraId="3C1F1BC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33" w:type="pct"/>
            <w:tcBorders>
              <w:top w:val="single" w:color="000000" w:sz="4" w:space="0"/>
              <w:left w:val="single" w:color="000000" w:sz="4" w:space="0"/>
              <w:bottom w:val="single" w:color="auto" w:sz="4" w:space="0"/>
              <w:right w:val="single" w:color="000000" w:sz="4" w:space="0"/>
            </w:tcBorders>
            <w:vAlign w:val="center"/>
          </w:tcPr>
          <w:p w14:paraId="05E43E5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457F0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6056C2E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FD5E8F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36F849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34" w:type="pct"/>
            <w:tcBorders>
              <w:top w:val="single" w:color="auto" w:sz="4" w:space="0"/>
              <w:left w:val="single" w:color="auto" w:sz="4" w:space="0"/>
              <w:bottom w:val="single" w:color="auto" w:sz="4" w:space="0"/>
              <w:right w:val="single" w:color="auto" w:sz="4" w:space="0"/>
            </w:tcBorders>
            <w:vAlign w:val="center"/>
          </w:tcPr>
          <w:p w14:paraId="625870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2E77D5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394A056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33" w:type="pct"/>
            <w:tcBorders>
              <w:top w:val="single" w:color="auto" w:sz="4" w:space="0"/>
              <w:left w:val="single" w:color="auto" w:sz="4" w:space="0"/>
              <w:bottom w:val="single" w:color="auto" w:sz="4" w:space="0"/>
              <w:right w:val="single" w:color="auto" w:sz="4" w:space="0"/>
            </w:tcBorders>
            <w:vAlign w:val="center"/>
          </w:tcPr>
          <w:p w14:paraId="17DE6BB2">
            <w:pPr>
              <w:keepNext w:val="0"/>
              <w:keepLines w:val="0"/>
              <w:suppressLineNumbers w:val="0"/>
              <w:spacing w:before="0" w:beforeAutospacing="0" w:after="0" w:afterAutospacing="0"/>
              <w:ind w:left="0" w:right="0"/>
              <w:jc w:val="center"/>
              <w:rPr>
                <w:rFonts w:hint="eastAsia" w:ascii="宋体" w:hAnsi="宋体" w:eastAsia="宋体"/>
              </w:rPr>
            </w:pPr>
          </w:p>
        </w:tc>
      </w:tr>
      <w:tr w14:paraId="4716A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487C9B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2</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8804FF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名称</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65F3676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MC</w:t>
            </w:r>
          </w:p>
        </w:tc>
        <w:tc>
          <w:tcPr>
            <w:tcW w:w="634" w:type="pct"/>
            <w:tcBorders>
              <w:top w:val="single" w:color="auto" w:sz="4" w:space="0"/>
              <w:left w:val="single" w:color="auto" w:sz="4" w:space="0"/>
              <w:bottom w:val="single" w:color="auto" w:sz="4" w:space="0"/>
              <w:right w:val="single" w:color="auto" w:sz="4" w:space="0"/>
            </w:tcBorders>
            <w:vAlign w:val="center"/>
          </w:tcPr>
          <w:p w14:paraId="51F7E4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547EA77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w:t>
            </w: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532EA1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33" w:type="pct"/>
            <w:tcBorders>
              <w:top w:val="single" w:color="auto" w:sz="4" w:space="0"/>
              <w:left w:val="single" w:color="auto" w:sz="4" w:space="0"/>
              <w:bottom w:val="single" w:color="auto" w:sz="4" w:space="0"/>
              <w:right w:val="single" w:color="auto" w:sz="4" w:space="0"/>
            </w:tcBorders>
            <w:vAlign w:val="center"/>
          </w:tcPr>
          <w:p w14:paraId="0693BB0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731E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435CE9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3</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F4DBB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地址</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220E74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DZ</w:t>
            </w:r>
          </w:p>
        </w:tc>
        <w:tc>
          <w:tcPr>
            <w:tcW w:w="634" w:type="pct"/>
            <w:tcBorders>
              <w:top w:val="single" w:color="auto" w:sz="4" w:space="0"/>
              <w:left w:val="single" w:color="auto" w:sz="4" w:space="0"/>
              <w:bottom w:val="single" w:color="auto" w:sz="4" w:space="0"/>
              <w:right w:val="single" w:color="auto" w:sz="4" w:space="0"/>
            </w:tcBorders>
            <w:vAlign w:val="center"/>
          </w:tcPr>
          <w:p w14:paraId="4CB72D2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1961278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400</w:t>
            </w: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04BFEBB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33" w:type="pct"/>
            <w:tcBorders>
              <w:top w:val="single" w:color="auto" w:sz="4" w:space="0"/>
              <w:left w:val="single" w:color="auto" w:sz="4" w:space="0"/>
              <w:bottom w:val="single" w:color="auto" w:sz="4" w:space="0"/>
              <w:right w:val="single" w:color="auto" w:sz="4" w:space="0"/>
            </w:tcBorders>
            <w:vAlign w:val="center"/>
          </w:tcPr>
          <w:p w14:paraId="6590B76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4930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4F0AFF7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A642A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坐标X</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0FF1AA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ZBX</w:t>
            </w:r>
          </w:p>
        </w:tc>
        <w:tc>
          <w:tcPr>
            <w:tcW w:w="634" w:type="pct"/>
            <w:tcBorders>
              <w:top w:val="single" w:color="auto" w:sz="4" w:space="0"/>
              <w:left w:val="single" w:color="auto" w:sz="4" w:space="0"/>
              <w:bottom w:val="single" w:color="auto" w:sz="4" w:space="0"/>
              <w:right w:val="single" w:color="auto" w:sz="4" w:space="0"/>
            </w:tcBorders>
            <w:vAlign w:val="center"/>
          </w:tcPr>
          <w:p w14:paraId="2816180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26A4752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0D73F6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14:paraId="18EAF1C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47A7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662BA99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5</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16A78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坐标Y</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45FFA27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ZBY</w:t>
            </w:r>
          </w:p>
        </w:tc>
        <w:tc>
          <w:tcPr>
            <w:tcW w:w="634" w:type="pct"/>
            <w:tcBorders>
              <w:top w:val="single" w:color="auto" w:sz="4" w:space="0"/>
              <w:left w:val="single" w:color="auto" w:sz="4" w:space="0"/>
              <w:bottom w:val="single" w:color="auto" w:sz="4" w:space="0"/>
              <w:right w:val="single" w:color="auto" w:sz="4" w:space="0"/>
            </w:tcBorders>
            <w:vAlign w:val="center"/>
          </w:tcPr>
          <w:p w14:paraId="320024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0A604FB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2E1BC19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14:paraId="34A61D0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4F1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0A3EB12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6</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8F8A4E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启用日期</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0153865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QYRQ</w:t>
            </w:r>
          </w:p>
        </w:tc>
        <w:tc>
          <w:tcPr>
            <w:tcW w:w="634" w:type="pct"/>
            <w:tcBorders>
              <w:top w:val="single" w:color="auto" w:sz="4" w:space="0"/>
              <w:left w:val="single" w:color="auto" w:sz="4" w:space="0"/>
              <w:bottom w:val="single" w:color="auto" w:sz="4" w:space="0"/>
              <w:right w:val="single" w:color="auto" w:sz="4" w:space="0"/>
            </w:tcBorders>
            <w:vAlign w:val="center"/>
          </w:tcPr>
          <w:p w14:paraId="072B33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date</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3A33F0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1A5D38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14:paraId="4130675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211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7C2DE28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7</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358390F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建筑面积</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7D32327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JZMJ</w:t>
            </w:r>
          </w:p>
        </w:tc>
        <w:tc>
          <w:tcPr>
            <w:tcW w:w="634" w:type="pct"/>
            <w:tcBorders>
              <w:top w:val="single" w:color="auto" w:sz="4" w:space="0"/>
              <w:left w:val="single" w:color="auto" w:sz="4" w:space="0"/>
              <w:bottom w:val="single" w:color="auto" w:sz="4" w:space="0"/>
              <w:right w:val="single" w:color="auto" w:sz="4" w:space="0"/>
            </w:tcBorders>
            <w:vAlign w:val="center"/>
          </w:tcPr>
          <w:p w14:paraId="1A288A9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6E8784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5470B54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33" w:type="pct"/>
            <w:tcBorders>
              <w:top w:val="single" w:color="auto" w:sz="4" w:space="0"/>
              <w:left w:val="single" w:color="auto" w:sz="4" w:space="0"/>
              <w:bottom w:val="single" w:color="auto" w:sz="4" w:space="0"/>
              <w:right w:val="single" w:color="auto" w:sz="4" w:space="0"/>
            </w:tcBorders>
            <w:vAlign w:val="center"/>
          </w:tcPr>
          <w:p w14:paraId="512D44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rPr>
              <w:t>m</w:t>
            </w:r>
            <w:r>
              <w:rPr>
                <w:rFonts w:hint="eastAsia" w:hAnsi="宋体" w:cs="宋体"/>
                <w:color w:val="000000"/>
                <w:szCs w:val="20"/>
                <w:vertAlign w:val="superscript"/>
              </w:rPr>
              <w:t>2</w:t>
            </w:r>
          </w:p>
        </w:tc>
      </w:tr>
      <w:tr w14:paraId="011B6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6E47A8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8</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D6B87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设计处理能力</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45C607A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SJCLNL</w:t>
            </w:r>
          </w:p>
        </w:tc>
        <w:tc>
          <w:tcPr>
            <w:tcW w:w="634" w:type="pct"/>
            <w:tcBorders>
              <w:top w:val="single" w:color="auto" w:sz="4" w:space="0"/>
              <w:left w:val="single" w:color="auto" w:sz="4" w:space="0"/>
              <w:bottom w:val="single" w:color="auto" w:sz="4" w:space="0"/>
              <w:right w:val="single" w:color="auto" w:sz="4" w:space="0"/>
            </w:tcBorders>
            <w:vAlign w:val="center"/>
          </w:tcPr>
          <w:p w14:paraId="657F36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64C5B2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7753E58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33" w:type="pct"/>
            <w:tcBorders>
              <w:top w:val="single" w:color="auto" w:sz="4" w:space="0"/>
              <w:left w:val="single" w:color="auto" w:sz="4" w:space="0"/>
              <w:bottom w:val="single" w:color="auto" w:sz="4" w:space="0"/>
              <w:right w:val="single" w:color="auto" w:sz="4" w:space="0"/>
            </w:tcBorders>
            <w:vAlign w:val="center"/>
          </w:tcPr>
          <w:p w14:paraId="5BB3684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r w14:paraId="321FD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5798F7E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9</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7055771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实际处理负荷</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17636A1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w:t>
            </w:r>
            <w:r>
              <w:rPr>
                <w:rFonts w:hint="eastAsia" w:hAnsi="宋体" w:cs="宋体"/>
                <w:color w:val="000000"/>
                <w:szCs w:val="20"/>
                <w:lang w:eastAsia="zh-Hans"/>
              </w:rPr>
              <w:t>JCLFH</w:t>
            </w:r>
          </w:p>
        </w:tc>
        <w:tc>
          <w:tcPr>
            <w:tcW w:w="634" w:type="pct"/>
            <w:tcBorders>
              <w:top w:val="single" w:color="auto" w:sz="4" w:space="0"/>
              <w:left w:val="single" w:color="auto" w:sz="4" w:space="0"/>
              <w:bottom w:val="single" w:color="auto" w:sz="4" w:space="0"/>
              <w:right w:val="single" w:color="auto" w:sz="4" w:space="0"/>
            </w:tcBorders>
            <w:vAlign w:val="center"/>
          </w:tcPr>
          <w:p w14:paraId="3E57CC6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778A6B6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7FDCDB2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14:paraId="097A65F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r w14:paraId="2EDE0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65F0CF88">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default" w:hAnsi="宋体" w:cs="宋体"/>
                <w:color w:val="000000"/>
                <w:szCs w:val="20"/>
              </w:rPr>
              <w:t>10</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26E0A4B">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焚烧线年</w:t>
            </w:r>
            <w:r>
              <w:rPr>
                <w:rFonts w:hint="eastAsia" w:hAnsi="宋体" w:cs="宋体"/>
                <w:color w:val="000000"/>
                <w:szCs w:val="20"/>
              </w:rPr>
              <w:t>累计</w:t>
            </w:r>
            <w:r>
              <w:rPr>
                <w:rFonts w:hint="eastAsia" w:hAnsi="宋体" w:cs="宋体"/>
                <w:color w:val="000000"/>
                <w:szCs w:val="20"/>
                <w:lang w:eastAsia="zh-Hans"/>
              </w:rPr>
              <w:t>运行时间</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7D54F131">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FSXN</w:t>
            </w:r>
            <w:r>
              <w:rPr>
                <w:rFonts w:hint="default" w:hAnsi="宋体" w:cs="宋体"/>
                <w:color w:val="000000"/>
                <w:szCs w:val="20"/>
                <w:lang w:eastAsia="zh-Hans"/>
              </w:rPr>
              <w:t>LJYXSJ</w:t>
            </w:r>
          </w:p>
        </w:tc>
        <w:tc>
          <w:tcPr>
            <w:tcW w:w="634" w:type="pct"/>
            <w:tcBorders>
              <w:top w:val="single" w:color="auto" w:sz="4" w:space="0"/>
              <w:left w:val="single" w:color="auto" w:sz="4" w:space="0"/>
              <w:bottom w:val="single" w:color="auto" w:sz="4" w:space="0"/>
              <w:right w:val="single" w:color="auto" w:sz="4" w:space="0"/>
            </w:tcBorders>
            <w:vAlign w:val="center"/>
          </w:tcPr>
          <w:p w14:paraId="667D858B">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int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1FE33E1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63C8B726">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O</w:t>
            </w:r>
          </w:p>
        </w:tc>
        <w:tc>
          <w:tcPr>
            <w:tcW w:w="1033" w:type="pct"/>
            <w:tcBorders>
              <w:top w:val="single" w:color="auto" w:sz="4" w:space="0"/>
              <w:left w:val="single" w:color="auto" w:sz="4" w:space="0"/>
              <w:bottom w:val="single" w:color="auto" w:sz="4" w:space="0"/>
              <w:right w:val="single" w:color="auto" w:sz="4" w:space="0"/>
            </w:tcBorders>
            <w:vAlign w:val="center"/>
          </w:tcPr>
          <w:p w14:paraId="315EFA5D">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lang w:eastAsia="zh-Hans"/>
              </w:rPr>
              <w:t>h</w:t>
            </w:r>
          </w:p>
        </w:tc>
      </w:tr>
      <w:bookmarkEnd w:id="387"/>
    </w:tbl>
    <w:p w14:paraId="393441B3">
      <w:pPr>
        <w:pStyle w:val="12"/>
        <w:spacing w:after="0"/>
        <w:ind w:left="0" w:leftChars="0" w:right="1680" w:firstLine="0" w:firstLineChars="0"/>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368A4378">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5418405A">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生活垃圾卫生填埋场主要数据项</w:t>
            </w:r>
          </w:p>
        </w:tc>
      </w:tr>
      <w:tr w14:paraId="3AA18092">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3265310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36105F6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0E81311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5D4097C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68781D2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130D551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0BD822B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10B87D3A">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3C848AC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19479AA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7B51B3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14:paraId="3976D6E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3D939F5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135D06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2969B948">
            <w:pPr>
              <w:keepNext w:val="0"/>
              <w:keepLines w:val="0"/>
              <w:suppressLineNumbers w:val="0"/>
              <w:spacing w:before="0" w:beforeAutospacing="0" w:after="0" w:afterAutospacing="0"/>
              <w:ind w:left="0" w:right="0"/>
              <w:jc w:val="center"/>
              <w:rPr>
                <w:rFonts w:hint="eastAsia" w:ascii="宋体" w:hAnsi="宋体" w:eastAsia="宋体"/>
              </w:rPr>
            </w:pPr>
          </w:p>
        </w:tc>
      </w:tr>
      <w:tr w14:paraId="2C206A3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03CB94D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2</w:t>
            </w:r>
          </w:p>
        </w:tc>
        <w:tc>
          <w:tcPr>
            <w:tcW w:w="848" w:type="pct"/>
            <w:tcBorders>
              <w:top w:val="single" w:color="000000" w:sz="4" w:space="0"/>
              <w:left w:val="single" w:color="000000" w:sz="4" w:space="0"/>
              <w:bottom w:val="single" w:color="000000" w:sz="4" w:space="0"/>
              <w:right w:val="single" w:color="000000" w:sz="4" w:space="0"/>
            </w:tcBorders>
            <w:vAlign w:val="center"/>
          </w:tcPr>
          <w:p w14:paraId="184810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600869B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MC</w:t>
            </w:r>
          </w:p>
        </w:tc>
        <w:tc>
          <w:tcPr>
            <w:tcW w:w="671" w:type="pct"/>
            <w:tcBorders>
              <w:top w:val="single" w:color="000000" w:sz="4" w:space="0"/>
              <w:left w:val="single" w:color="000000" w:sz="4" w:space="0"/>
              <w:bottom w:val="single" w:color="000000" w:sz="4" w:space="0"/>
              <w:right w:val="single" w:color="000000" w:sz="4" w:space="0"/>
            </w:tcBorders>
            <w:vAlign w:val="center"/>
          </w:tcPr>
          <w:p w14:paraId="65D2A9B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478522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w:t>
            </w:r>
          </w:p>
        </w:tc>
        <w:tc>
          <w:tcPr>
            <w:tcW w:w="774" w:type="pct"/>
            <w:tcBorders>
              <w:top w:val="single" w:color="000000" w:sz="4" w:space="0"/>
              <w:left w:val="single" w:color="000000" w:sz="4" w:space="0"/>
              <w:bottom w:val="single" w:color="000000" w:sz="4" w:space="0"/>
              <w:right w:val="single" w:color="000000" w:sz="4" w:space="0"/>
            </w:tcBorders>
            <w:vAlign w:val="center"/>
          </w:tcPr>
          <w:p w14:paraId="611E5A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23CFCC80">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B3C8C2B">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76698E2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3</w:t>
            </w:r>
          </w:p>
        </w:tc>
        <w:tc>
          <w:tcPr>
            <w:tcW w:w="848" w:type="pct"/>
            <w:tcBorders>
              <w:top w:val="single" w:color="000000" w:sz="4" w:space="0"/>
              <w:left w:val="single" w:color="000000" w:sz="4" w:space="0"/>
              <w:bottom w:val="single" w:color="000000" w:sz="4" w:space="0"/>
              <w:right w:val="single" w:color="000000" w:sz="4" w:space="0"/>
            </w:tcBorders>
            <w:vAlign w:val="center"/>
          </w:tcPr>
          <w:p w14:paraId="6A24EF4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地址</w:t>
            </w:r>
          </w:p>
        </w:tc>
        <w:tc>
          <w:tcPr>
            <w:tcW w:w="607" w:type="pct"/>
            <w:tcBorders>
              <w:top w:val="single" w:color="000000" w:sz="4" w:space="0"/>
              <w:left w:val="single" w:color="000000" w:sz="4" w:space="0"/>
              <w:bottom w:val="single" w:color="000000" w:sz="4" w:space="0"/>
              <w:right w:val="single" w:color="000000" w:sz="4" w:space="0"/>
            </w:tcBorders>
            <w:vAlign w:val="center"/>
          </w:tcPr>
          <w:p w14:paraId="2EBA04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DZ</w:t>
            </w:r>
          </w:p>
        </w:tc>
        <w:tc>
          <w:tcPr>
            <w:tcW w:w="671" w:type="pct"/>
            <w:tcBorders>
              <w:top w:val="single" w:color="000000" w:sz="4" w:space="0"/>
              <w:left w:val="single" w:color="000000" w:sz="4" w:space="0"/>
              <w:bottom w:val="single" w:color="000000" w:sz="4" w:space="0"/>
              <w:right w:val="single" w:color="000000" w:sz="4" w:space="0"/>
            </w:tcBorders>
            <w:vAlign w:val="center"/>
          </w:tcPr>
          <w:p w14:paraId="5A43364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48B4F4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400</w:t>
            </w:r>
          </w:p>
        </w:tc>
        <w:tc>
          <w:tcPr>
            <w:tcW w:w="774" w:type="pct"/>
            <w:tcBorders>
              <w:top w:val="single" w:color="000000" w:sz="4" w:space="0"/>
              <w:left w:val="single" w:color="000000" w:sz="4" w:space="0"/>
              <w:bottom w:val="single" w:color="000000" w:sz="4" w:space="0"/>
              <w:right w:val="single" w:color="000000" w:sz="4" w:space="0"/>
            </w:tcBorders>
            <w:vAlign w:val="center"/>
          </w:tcPr>
          <w:p w14:paraId="687DE8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6607644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E774D09">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7E55171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w:t>
            </w:r>
          </w:p>
        </w:tc>
        <w:tc>
          <w:tcPr>
            <w:tcW w:w="848" w:type="pct"/>
            <w:tcBorders>
              <w:top w:val="single" w:color="000000" w:sz="4" w:space="0"/>
              <w:left w:val="single" w:color="000000" w:sz="4" w:space="0"/>
              <w:bottom w:val="single" w:color="000000" w:sz="4" w:space="0"/>
              <w:right w:val="single" w:color="000000" w:sz="4" w:space="0"/>
            </w:tcBorders>
            <w:vAlign w:val="center"/>
          </w:tcPr>
          <w:p w14:paraId="16AEE27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坐标X</w:t>
            </w:r>
          </w:p>
        </w:tc>
        <w:tc>
          <w:tcPr>
            <w:tcW w:w="607" w:type="pct"/>
            <w:tcBorders>
              <w:top w:val="single" w:color="000000" w:sz="4" w:space="0"/>
              <w:left w:val="single" w:color="000000" w:sz="4" w:space="0"/>
              <w:bottom w:val="single" w:color="000000" w:sz="4" w:space="0"/>
              <w:right w:val="single" w:color="000000" w:sz="4" w:space="0"/>
            </w:tcBorders>
            <w:vAlign w:val="center"/>
          </w:tcPr>
          <w:p w14:paraId="4CD42A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ZBX</w:t>
            </w:r>
          </w:p>
        </w:tc>
        <w:tc>
          <w:tcPr>
            <w:tcW w:w="671" w:type="pct"/>
            <w:tcBorders>
              <w:top w:val="single" w:color="000000" w:sz="4" w:space="0"/>
              <w:left w:val="single" w:color="000000" w:sz="4" w:space="0"/>
              <w:bottom w:val="single" w:color="000000" w:sz="4" w:space="0"/>
              <w:right w:val="single" w:color="000000" w:sz="4" w:space="0"/>
            </w:tcBorders>
            <w:vAlign w:val="center"/>
          </w:tcPr>
          <w:p w14:paraId="7A27CC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336F83B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3DB9D45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1ABAD69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8F49B7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3A0CBA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5</w:t>
            </w:r>
          </w:p>
        </w:tc>
        <w:tc>
          <w:tcPr>
            <w:tcW w:w="848" w:type="pct"/>
            <w:tcBorders>
              <w:top w:val="single" w:color="000000" w:sz="4" w:space="0"/>
              <w:left w:val="single" w:color="000000" w:sz="4" w:space="0"/>
              <w:bottom w:val="single" w:color="000000" w:sz="4" w:space="0"/>
              <w:right w:val="single" w:color="000000" w:sz="4" w:space="0"/>
            </w:tcBorders>
            <w:vAlign w:val="center"/>
          </w:tcPr>
          <w:p w14:paraId="4B9E82B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坐标Y</w:t>
            </w:r>
          </w:p>
        </w:tc>
        <w:tc>
          <w:tcPr>
            <w:tcW w:w="607" w:type="pct"/>
            <w:tcBorders>
              <w:top w:val="single" w:color="000000" w:sz="4" w:space="0"/>
              <w:left w:val="single" w:color="000000" w:sz="4" w:space="0"/>
              <w:bottom w:val="single" w:color="000000" w:sz="4" w:space="0"/>
              <w:right w:val="single" w:color="000000" w:sz="4" w:space="0"/>
            </w:tcBorders>
            <w:vAlign w:val="center"/>
          </w:tcPr>
          <w:p w14:paraId="0A7A09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ZBY</w:t>
            </w:r>
          </w:p>
        </w:tc>
        <w:tc>
          <w:tcPr>
            <w:tcW w:w="671" w:type="pct"/>
            <w:tcBorders>
              <w:top w:val="single" w:color="000000" w:sz="4" w:space="0"/>
              <w:left w:val="single" w:color="000000" w:sz="4" w:space="0"/>
              <w:bottom w:val="single" w:color="000000" w:sz="4" w:space="0"/>
              <w:right w:val="single" w:color="000000" w:sz="4" w:space="0"/>
            </w:tcBorders>
            <w:vAlign w:val="center"/>
          </w:tcPr>
          <w:p w14:paraId="09CC884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48D39A0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44E39A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62E75D5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11FC3F5">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381D928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6</w:t>
            </w:r>
          </w:p>
        </w:tc>
        <w:tc>
          <w:tcPr>
            <w:tcW w:w="848" w:type="pct"/>
            <w:tcBorders>
              <w:top w:val="single" w:color="000000" w:sz="4" w:space="0"/>
              <w:left w:val="single" w:color="000000" w:sz="4" w:space="0"/>
              <w:bottom w:val="single" w:color="000000" w:sz="4" w:space="0"/>
              <w:right w:val="single" w:color="000000" w:sz="4" w:space="0"/>
            </w:tcBorders>
            <w:vAlign w:val="center"/>
          </w:tcPr>
          <w:p w14:paraId="5C9DBCC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启用日期</w:t>
            </w:r>
          </w:p>
        </w:tc>
        <w:tc>
          <w:tcPr>
            <w:tcW w:w="607" w:type="pct"/>
            <w:tcBorders>
              <w:top w:val="single" w:color="000000" w:sz="4" w:space="0"/>
              <w:left w:val="single" w:color="000000" w:sz="4" w:space="0"/>
              <w:bottom w:val="single" w:color="000000" w:sz="4" w:space="0"/>
              <w:right w:val="single" w:color="000000" w:sz="4" w:space="0"/>
            </w:tcBorders>
            <w:vAlign w:val="center"/>
          </w:tcPr>
          <w:p w14:paraId="26205B1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QYRQ</w:t>
            </w:r>
          </w:p>
        </w:tc>
        <w:tc>
          <w:tcPr>
            <w:tcW w:w="671" w:type="pct"/>
            <w:tcBorders>
              <w:top w:val="single" w:color="000000" w:sz="4" w:space="0"/>
              <w:left w:val="single" w:color="000000" w:sz="4" w:space="0"/>
              <w:bottom w:val="single" w:color="000000" w:sz="4" w:space="0"/>
              <w:right w:val="single" w:color="000000" w:sz="4" w:space="0"/>
            </w:tcBorders>
            <w:vAlign w:val="center"/>
          </w:tcPr>
          <w:p w14:paraId="1AC499E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date</w:t>
            </w:r>
          </w:p>
        </w:tc>
        <w:tc>
          <w:tcPr>
            <w:tcW w:w="631" w:type="pct"/>
            <w:tcBorders>
              <w:top w:val="single" w:color="000000" w:sz="4" w:space="0"/>
              <w:left w:val="single" w:color="000000" w:sz="4" w:space="0"/>
              <w:bottom w:val="single" w:color="000000" w:sz="4" w:space="0"/>
              <w:right w:val="single" w:color="000000" w:sz="4" w:space="0"/>
            </w:tcBorders>
            <w:vAlign w:val="center"/>
          </w:tcPr>
          <w:p w14:paraId="629FA21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388BEA3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0C6466E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F2B4991">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1945D0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7</w:t>
            </w:r>
          </w:p>
        </w:tc>
        <w:tc>
          <w:tcPr>
            <w:tcW w:w="848" w:type="pct"/>
            <w:tcBorders>
              <w:top w:val="single" w:color="000000" w:sz="4" w:space="0"/>
              <w:left w:val="single" w:color="000000" w:sz="4" w:space="0"/>
              <w:bottom w:val="single" w:color="000000" w:sz="4" w:space="0"/>
              <w:right w:val="single" w:color="000000" w:sz="4" w:space="0"/>
            </w:tcBorders>
            <w:vAlign w:val="center"/>
          </w:tcPr>
          <w:p w14:paraId="003057A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占地</w:t>
            </w:r>
            <w:r>
              <w:rPr>
                <w:rFonts w:hint="eastAsia" w:hAnsi="宋体" w:cs="宋体"/>
                <w:color w:val="000000"/>
                <w:szCs w:val="20"/>
              </w:rPr>
              <w:t>面积</w:t>
            </w:r>
          </w:p>
        </w:tc>
        <w:tc>
          <w:tcPr>
            <w:tcW w:w="607" w:type="pct"/>
            <w:tcBorders>
              <w:top w:val="single" w:color="000000" w:sz="4" w:space="0"/>
              <w:left w:val="single" w:color="000000" w:sz="4" w:space="0"/>
              <w:bottom w:val="single" w:color="000000" w:sz="4" w:space="0"/>
              <w:right w:val="single" w:color="000000" w:sz="4" w:space="0"/>
            </w:tcBorders>
            <w:vAlign w:val="center"/>
          </w:tcPr>
          <w:p w14:paraId="537BF4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ZD</w:t>
            </w:r>
            <w:r>
              <w:rPr>
                <w:rFonts w:hint="eastAsia" w:hAnsi="宋体" w:cs="宋体"/>
                <w:color w:val="000000"/>
                <w:szCs w:val="20"/>
              </w:rPr>
              <w:t>MJ</w:t>
            </w:r>
          </w:p>
        </w:tc>
        <w:tc>
          <w:tcPr>
            <w:tcW w:w="671" w:type="pct"/>
            <w:tcBorders>
              <w:top w:val="single" w:color="000000" w:sz="4" w:space="0"/>
              <w:left w:val="single" w:color="000000" w:sz="4" w:space="0"/>
              <w:bottom w:val="single" w:color="000000" w:sz="4" w:space="0"/>
              <w:right w:val="single" w:color="000000" w:sz="4" w:space="0"/>
            </w:tcBorders>
            <w:vAlign w:val="center"/>
          </w:tcPr>
          <w:p w14:paraId="70DAD3C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26B7EC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7B64E81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3DD5375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rPr>
              <w:t>m</w:t>
            </w:r>
            <w:r>
              <w:rPr>
                <w:rFonts w:hint="eastAsia" w:hAnsi="宋体" w:cs="宋体"/>
                <w:color w:val="000000"/>
                <w:szCs w:val="20"/>
                <w:vertAlign w:val="superscript"/>
              </w:rPr>
              <w:t>2</w:t>
            </w:r>
          </w:p>
        </w:tc>
      </w:tr>
      <w:tr w14:paraId="6632577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1594B32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8</w:t>
            </w:r>
          </w:p>
        </w:tc>
        <w:tc>
          <w:tcPr>
            <w:tcW w:w="848" w:type="pct"/>
            <w:tcBorders>
              <w:top w:val="single" w:color="000000" w:sz="4" w:space="0"/>
              <w:left w:val="single" w:color="000000" w:sz="4" w:space="0"/>
              <w:bottom w:val="single" w:color="000000" w:sz="4" w:space="0"/>
              <w:right w:val="single" w:color="000000" w:sz="4" w:space="0"/>
            </w:tcBorders>
            <w:vAlign w:val="center"/>
          </w:tcPr>
          <w:p w14:paraId="783B074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设计处理能力</w:t>
            </w:r>
          </w:p>
        </w:tc>
        <w:tc>
          <w:tcPr>
            <w:tcW w:w="607" w:type="pct"/>
            <w:tcBorders>
              <w:top w:val="single" w:color="000000" w:sz="4" w:space="0"/>
              <w:left w:val="single" w:color="000000" w:sz="4" w:space="0"/>
              <w:bottom w:val="single" w:color="000000" w:sz="4" w:space="0"/>
              <w:right w:val="single" w:color="000000" w:sz="4" w:space="0"/>
            </w:tcBorders>
            <w:vAlign w:val="center"/>
          </w:tcPr>
          <w:p w14:paraId="70C1601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SJCLNL</w:t>
            </w:r>
          </w:p>
        </w:tc>
        <w:tc>
          <w:tcPr>
            <w:tcW w:w="671" w:type="pct"/>
            <w:tcBorders>
              <w:top w:val="single" w:color="000000" w:sz="4" w:space="0"/>
              <w:left w:val="single" w:color="000000" w:sz="4" w:space="0"/>
              <w:bottom w:val="single" w:color="000000" w:sz="4" w:space="0"/>
              <w:right w:val="single" w:color="000000" w:sz="4" w:space="0"/>
            </w:tcBorders>
            <w:vAlign w:val="center"/>
          </w:tcPr>
          <w:p w14:paraId="40684C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1D8C3DC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2B340F5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3B9317F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r w14:paraId="482C1989">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8D6790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9</w:t>
            </w:r>
          </w:p>
        </w:tc>
        <w:tc>
          <w:tcPr>
            <w:tcW w:w="848" w:type="pct"/>
            <w:tcBorders>
              <w:top w:val="single" w:color="000000" w:sz="4" w:space="0"/>
              <w:left w:val="single" w:color="000000" w:sz="4" w:space="0"/>
              <w:bottom w:val="single" w:color="000000" w:sz="4" w:space="0"/>
              <w:right w:val="single" w:color="000000" w:sz="4" w:space="0"/>
            </w:tcBorders>
            <w:vAlign w:val="center"/>
          </w:tcPr>
          <w:p w14:paraId="4908CA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实际处理负荷</w:t>
            </w:r>
          </w:p>
        </w:tc>
        <w:tc>
          <w:tcPr>
            <w:tcW w:w="607" w:type="pct"/>
            <w:tcBorders>
              <w:top w:val="single" w:color="000000" w:sz="4" w:space="0"/>
              <w:left w:val="single" w:color="000000" w:sz="4" w:space="0"/>
              <w:bottom w:val="single" w:color="000000" w:sz="4" w:space="0"/>
              <w:right w:val="single" w:color="000000" w:sz="4" w:space="0"/>
            </w:tcBorders>
            <w:vAlign w:val="center"/>
          </w:tcPr>
          <w:p w14:paraId="6F6A81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w:t>
            </w:r>
            <w:r>
              <w:rPr>
                <w:rFonts w:hint="eastAsia" w:hAnsi="宋体" w:cs="宋体"/>
                <w:color w:val="000000"/>
                <w:szCs w:val="20"/>
                <w:lang w:eastAsia="zh-Hans"/>
              </w:rPr>
              <w:t>JCLFH</w:t>
            </w:r>
          </w:p>
        </w:tc>
        <w:tc>
          <w:tcPr>
            <w:tcW w:w="671" w:type="pct"/>
            <w:tcBorders>
              <w:top w:val="single" w:color="000000" w:sz="4" w:space="0"/>
              <w:left w:val="single" w:color="000000" w:sz="4" w:space="0"/>
              <w:bottom w:val="single" w:color="000000" w:sz="4" w:space="0"/>
              <w:right w:val="single" w:color="000000" w:sz="4" w:space="0"/>
            </w:tcBorders>
            <w:vAlign w:val="center"/>
          </w:tcPr>
          <w:p w14:paraId="5F7A518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4E76A78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1F270A4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670130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bl>
    <w:p w14:paraId="338BDF2D">
      <w:pPr>
        <w:pStyle w:val="12"/>
        <w:spacing w:after="0"/>
        <w:ind w:left="0" w:leftChars="0" w:right="1680" w:firstLine="0" w:firstLineChars="0"/>
        <w:rPr>
          <w:rFonts w:hint="eastAsia" w:ascii="宋体" w:hAnsi="宋体" w:eastAsia="宋体"/>
          <w:lang w:eastAsia="zh-Hans"/>
        </w:rPr>
      </w:pP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56"/>
        <w:gridCol w:w="1277"/>
        <w:gridCol w:w="155"/>
        <w:gridCol w:w="1110"/>
        <w:gridCol w:w="752"/>
        <w:gridCol w:w="380"/>
        <w:gridCol w:w="718"/>
        <w:gridCol w:w="346"/>
        <w:gridCol w:w="615"/>
        <w:gridCol w:w="692"/>
        <w:gridCol w:w="90"/>
        <w:gridCol w:w="1723"/>
      </w:tblGrid>
      <w:tr w14:paraId="7096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13"/>
            <w:tcBorders>
              <w:top w:val="nil"/>
              <w:left w:val="nil"/>
              <w:bottom w:val="single" w:color="auto" w:sz="4" w:space="0"/>
              <w:right w:val="nil"/>
            </w:tcBorders>
            <w:vAlign w:val="center"/>
          </w:tcPr>
          <w:p w14:paraId="342B22FC">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sz w:val="24"/>
              </w:rPr>
            </w:pPr>
            <w:r>
              <w:rPr>
                <w:rFonts w:hint="eastAsia" w:ascii="宋体" w:hAnsi="宋体" w:cs="黑体"/>
                <w:sz w:val="24"/>
                <w:lang w:eastAsia="zh-Hans"/>
              </w:rPr>
              <w:t>厨余垃圾处理厂主要数据项</w:t>
            </w:r>
          </w:p>
        </w:tc>
      </w:tr>
      <w:tr w14:paraId="7004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 w:type="pct"/>
            <w:tcBorders>
              <w:top w:val="single" w:color="auto" w:sz="4" w:space="0"/>
              <w:left w:val="single" w:color="auto" w:sz="4" w:space="0"/>
              <w:bottom w:val="single" w:color="auto" w:sz="4" w:space="0"/>
              <w:right w:val="single" w:color="auto" w:sz="4" w:space="0"/>
            </w:tcBorders>
            <w:vAlign w:val="center"/>
          </w:tcPr>
          <w:p w14:paraId="2697332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7143FB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59F2E54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61BEE7E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7445104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459" w:type="pct"/>
            <w:gridSpan w:val="2"/>
            <w:tcBorders>
              <w:top w:val="single" w:color="auto" w:sz="4" w:space="0"/>
              <w:left w:val="single" w:color="auto" w:sz="4" w:space="0"/>
              <w:bottom w:val="single" w:color="auto" w:sz="4" w:space="0"/>
              <w:right w:val="single" w:color="auto" w:sz="4" w:space="0"/>
            </w:tcBorders>
          </w:tcPr>
          <w:p w14:paraId="32D3BFC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011" w:type="pct"/>
            <w:tcBorders>
              <w:top w:val="single" w:color="auto" w:sz="4" w:space="0"/>
              <w:left w:val="single" w:color="auto" w:sz="4" w:space="0"/>
              <w:bottom w:val="single" w:color="auto" w:sz="4" w:space="0"/>
              <w:right w:val="single" w:color="auto" w:sz="4" w:space="0"/>
            </w:tcBorders>
            <w:vAlign w:val="center"/>
          </w:tcPr>
          <w:p w14:paraId="399754A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3BF9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57" w:type="pct"/>
            <w:tcBorders>
              <w:top w:val="single" w:color="auto" w:sz="4" w:space="0"/>
              <w:left w:val="single" w:color="auto" w:sz="4" w:space="0"/>
              <w:bottom w:val="single" w:color="auto" w:sz="4" w:space="0"/>
              <w:right w:val="single" w:color="auto" w:sz="4" w:space="0"/>
            </w:tcBorders>
            <w:vAlign w:val="center"/>
          </w:tcPr>
          <w:p w14:paraId="480E6D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452C6EC3">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75A462E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BSM</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47249C0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3985C6D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6DF15E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11" w:type="pct"/>
            <w:tcBorders>
              <w:top w:val="single" w:color="auto" w:sz="4" w:space="0"/>
              <w:left w:val="single" w:color="auto" w:sz="4" w:space="0"/>
              <w:bottom w:val="single" w:color="auto" w:sz="4" w:space="0"/>
              <w:right w:val="single" w:color="auto" w:sz="4" w:space="0"/>
            </w:tcBorders>
            <w:vAlign w:val="center"/>
          </w:tcPr>
          <w:p w14:paraId="606F9DCB">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4096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152A220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62C62D6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570C3E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1BFA835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01D2D02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29522A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11" w:type="pct"/>
            <w:tcBorders>
              <w:top w:val="single" w:color="auto" w:sz="4" w:space="0"/>
              <w:left w:val="single" w:color="auto" w:sz="4" w:space="0"/>
              <w:bottom w:val="single" w:color="auto" w:sz="4" w:space="0"/>
              <w:right w:val="single" w:color="auto" w:sz="4" w:space="0"/>
            </w:tcBorders>
            <w:vAlign w:val="center"/>
          </w:tcPr>
          <w:p w14:paraId="16F84455">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4B98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65B6CD4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792473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3E478F5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6AD6F19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57171F1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400</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49812BA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11" w:type="pct"/>
            <w:tcBorders>
              <w:top w:val="single" w:color="auto" w:sz="4" w:space="0"/>
              <w:left w:val="single" w:color="auto" w:sz="4" w:space="0"/>
              <w:bottom w:val="single" w:color="auto" w:sz="4" w:space="0"/>
              <w:right w:val="single" w:color="auto" w:sz="4" w:space="0"/>
            </w:tcBorders>
            <w:vAlign w:val="center"/>
          </w:tcPr>
          <w:p w14:paraId="55BA52CD">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299A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0849DB0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4A16D1D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坐标X</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289DB8C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ZBX</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289375F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27C1CF0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4FCAD7C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11" w:type="pct"/>
            <w:tcBorders>
              <w:top w:val="single" w:color="auto" w:sz="4" w:space="0"/>
              <w:left w:val="single" w:color="auto" w:sz="4" w:space="0"/>
              <w:bottom w:val="single" w:color="auto" w:sz="4" w:space="0"/>
              <w:right w:val="single" w:color="auto" w:sz="4" w:space="0"/>
            </w:tcBorders>
            <w:vAlign w:val="center"/>
          </w:tcPr>
          <w:p w14:paraId="00027E39">
            <w:pPr>
              <w:keepNext w:val="0"/>
              <w:keepLines w:val="0"/>
              <w:suppressLineNumbers w:val="0"/>
              <w:spacing w:before="0" w:beforeAutospacing="0" w:after="0" w:afterAutospacing="0"/>
              <w:ind w:left="0" w:right="0"/>
              <w:jc w:val="center"/>
              <w:rPr>
                <w:rFonts w:hint="eastAsia" w:ascii="宋体" w:hAnsi="宋体" w:eastAsia="宋体"/>
              </w:rPr>
            </w:pPr>
          </w:p>
        </w:tc>
      </w:tr>
      <w:tr w14:paraId="42AD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0D550A5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5935CC2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坐标Y</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7B2F01A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ZBY</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2EF371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7C19AA0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4447A94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11" w:type="pct"/>
            <w:tcBorders>
              <w:top w:val="single" w:color="auto" w:sz="4" w:space="0"/>
              <w:left w:val="single" w:color="auto" w:sz="4" w:space="0"/>
              <w:bottom w:val="single" w:color="auto" w:sz="4" w:space="0"/>
              <w:right w:val="single" w:color="auto" w:sz="4" w:space="0"/>
            </w:tcBorders>
            <w:vAlign w:val="center"/>
          </w:tcPr>
          <w:p w14:paraId="37DD1199">
            <w:pPr>
              <w:keepNext w:val="0"/>
              <w:keepLines w:val="0"/>
              <w:suppressLineNumbers w:val="0"/>
              <w:spacing w:before="0" w:beforeAutospacing="0" w:after="0" w:afterAutospacing="0"/>
              <w:ind w:left="0" w:right="0"/>
              <w:jc w:val="center"/>
              <w:rPr>
                <w:rFonts w:hint="eastAsia" w:ascii="宋体" w:hAnsi="宋体" w:eastAsia="宋体"/>
              </w:rPr>
            </w:pPr>
          </w:p>
        </w:tc>
      </w:tr>
      <w:tr w14:paraId="6EC7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4FBF55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3B1143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启用日期</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36FC49F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QYRQ</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265182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42B68D68">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4605193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11" w:type="pct"/>
            <w:tcBorders>
              <w:top w:val="single" w:color="auto" w:sz="4" w:space="0"/>
              <w:left w:val="single" w:color="auto" w:sz="4" w:space="0"/>
              <w:bottom w:val="single" w:color="auto" w:sz="4" w:space="0"/>
              <w:right w:val="single" w:color="auto" w:sz="4" w:space="0"/>
            </w:tcBorders>
            <w:vAlign w:val="center"/>
          </w:tcPr>
          <w:p w14:paraId="50CDF17B">
            <w:pPr>
              <w:keepNext w:val="0"/>
              <w:keepLines w:val="0"/>
              <w:suppressLineNumbers w:val="0"/>
              <w:spacing w:before="0" w:beforeAutospacing="0" w:after="0" w:afterAutospacing="0"/>
              <w:ind w:left="0" w:right="0"/>
              <w:jc w:val="center"/>
              <w:rPr>
                <w:rFonts w:hint="eastAsia" w:ascii="宋体" w:hAnsi="宋体" w:eastAsia="宋体"/>
              </w:rPr>
            </w:pPr>
          </w:p>
        </w:tc>
      </w:tr>
      <w:tr w14:paraId="577A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5CF6682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64C92B7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建筑面积</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24A9792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JZMJ</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3CC299A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4E7B48CB">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4F80798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11" w:type="pct"/>
            <w:tcBorders>
              <w:top w:val="single" w:color="auto" w:sz="4" w:space="0"/>
              <w:left w:val="single" w:color="auto" w:sz="4" w:space="0"/>
              <w:bottom w:val="single" w:color="auto" w:sz="4" w:space="0"/>
              <w:right w:val="single" w:color="auto" w:sz="4" w:space="0"/>
            </w:tcBorders>
            <w:vAlign w:val="center"/>
          </w:tcPr>
          <w:p w14:paraId="6F9AE3E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m</w:t>
            </w:r>
            <w:r>
              <w:rPr>
                <w:rFonts w:hint="eastAsia" w:ascii="宋体" w:hAnsi="宋体" w:eastAsia="宋体"/>
                <w:color w:val="000000"/>
                <w:vertAlign w:val="superscript"/>
              </w:rPr>
              <w:t>2</w:t>
            </w:r>
          </w:p>
        </w:tc>
      </w:tr>
      <w:tr w14:paraId="66FB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3E49B32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05C4AA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处置方式</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661B396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CZFS</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149811E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7823A3D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273CABF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11" w:type="pct"/>
            <w:tcBorders>
              <w:top w:val="single" w:color="auto" w:sz="4" w:space="0"/>
              <w:left w:val="single" w:color="auto" w:sz="4" w:space="0"/>
              <w:bottom w:val="single" w:color="auto" w:sz="4" w:space="0"/>
              <w:right w:val="single" w:color="auto" w:sz="4" w:space="0"/>
            </w:tcBorders>
            <w:vAlign w:val="center"/>
          </w:tcPr>
          <w:p w14:paraId="23C52F8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厌氧消化</w:t>
            </w:r>
          </w:p>
          <w:p w14:paraId="429BB62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好氧</w:t>
            </w:r>
            <w:r>
              <w:rPr>
                <w:rFonts w:hint="eastAsia" w:ascii="宋体" w:hAnsi="宋体" w:eastAsia="宋体"/>
                <w:lang w:eastAsia="zh-Hans"/>
              </w:rPr>
              <w:t>堆肥</w:t>
            </w:r>
          </w:p>
          <w:p w14:paraId="012385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饲料化</w:t>
            </w:r>
          </w:p>
          <w:p w14:paraId="0ED54D2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14:paraId="7B5B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22AD4BB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7124F0A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设计处理能力</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647B883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SJCLNL</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45ABD32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5604B636">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7293A84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11" w:type="pct"/>
            <w:tcBorders>
              <w:top w:val="single" w:color="auto" w:sz="4" w:space="0"/>
              <w:left w:val="single" w:color="auto" w:sz="4" w:space="0"/>
              <w:bottom w:val="single" w:color="auto" w:sz="4" w:space="0"/>
              <w:right w:val="single" w:color="auto" w:sz="4" w:space="0"/>
            </w:tcBorders>
            <w:vAlign w:val="center"/>
          </w:tcPr>
          <w:p w14:paraId="3E4FE8A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lang w:eastAsia="zh-Hans"/>
              </w:rPr>
              <w:t>t/d</w:t>
            </w:r>
          </w:p>
        </w:tc>
      </w:tr>
      <w:tr w14:paraId="123C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39489E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7D8D804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实际处理负荷</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665C74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w:t>
            </w:r>
            <w:r>
              <w:rPr>
                <w:rFonts w:hint="default" w:ascii="宋体" w:hAnsi="宋体" w:eastAsia="宋体"/>
                <w:color w:val="000000"/>
              </w:rPr>
              <w:t>FH</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5EA5798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749E9DD3">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30AA013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132C760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：t/d</w:t>
            </w:r>
          </w:p>
        </w:tc>
      </w:tr>
      <w:tr w14:paraId="6B95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00DAFA8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1</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5845D92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有机垃圾生物处理工艺分类</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519AEE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YJLJSWCL</w:t>
            </w:r>
            <w:r>
              <w:rPr>
                <w:rFonts w:hint="default" w:ascii="宋体" w:hAnsi="宋体" w:eastAsia="宋体"/>
                <w:color w:val="000000"/>
              </w:rPr>
              <w:t>GY</w:t>
            </w:r>
            <w:r>
              <w:rPr>
                <w:rFonts w:hint="eastAsia" w:ascii="宋体" w:hAnsi="宋体" w:eastAsia="宋体"/>
                <w:color w:val="000000"/>
              </w:rPr>
              <w:t>FL</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65482E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0F96909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1657C2F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3F455A7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厌氧</w:t>
            </w:r>
          </w:p>
          <w:p w14:paraId="56007FE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好氧</w:t>
            </w:r>
          </w:p>
        </w:tc>
      </w:tr>
      <w:tr w14:paraId="5EF6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2E5F3FB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2</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5248304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产品产量</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53578E2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w:t>
            </w:r>
            <w:r>
              <w:rPr>
                <w:rFonts w:hint="default" w:ascii="宋体" w:hAnsi="宋体" w:eastAsia="宋体"/>
                <w:color w:val="000000"/>
              </w:rPr>
              <w:t>P</w:t>
            </w:r>
            <w:r>
              <w:rPr>
                <w:rFonts w:hint="eastAsia" w:ascii="宋体" w:hAnsi="宋体" w:eastAsia="宋体"/>
                <w:color w:val="000000"/>
              </w:rPr>
              <w:t>CL</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3AE5DE0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6FC3739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6AF1C26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250BE14C">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万</w:t>
            </w:r>
            <w:r>
              <w:rPr>
                <w:rFonts w:hint="eastAsia" w:ascii="宋体" w:hAnsi="宋体" w:eastAsia="宋体"/>
                <w:color w:val="000000"/>
                <w:lang w:eastAsia="zh-Hans"/>
              </w:rPr>
              <w:t>吨/年</w:t>
            </w:r>
            <w:r>
              <w:rPr>
                <w:rFonts w:hint="default" w:ascii="宋体" w:hAnsi="宋体" w:eastAsia="宋体"/>
                <w:color w:val="000000"/>
                <w:lang w:eastAsia="zh-Hans"/>
              </w:rPr>
              <w:t>（</w:t>
            </w:r>
            <w:r>
              <w:rPr>
                <w:rFonts w:hint="eastAsia" w:ascii="宋体" w:hAnsi="宋体" w:eastAsia="宋体"/>
                <w:color w:val="000000"/>
                <w:lang w:eastAsia="zh-Hans"/>
              </w:rPr>
              <w:t>好氧</w:t>
            </w:r>
            <w:r>
              <w:rPr>
                <w:rFonts w:hint="default" w:ascii="宋体" w:hAnsi="宋体" w:eastAsia="宋体"/>
                <w:color w:val="000000"/>
                <w:lang w:eastAsia="zh-Hans"/>
              </w:rPr>
              <w:t>）</w:t>
            </w:r>
          </w:p>
          <w:p w14:paraId="5762B96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lang w:eastAsia="zh-Hans"/>
              </w:rPr>
              <w:t>m</w:t>
            </w:r>
            <w:r>
              <w:rPr>
                <w:rFonts w:hint="default" w:ascii="宋体" w:hAnsi="宋体" w:eastAsia="宋体"/>
                <w:color w:val="000000"/>
                <w:vertAlign w:val="superscript"/>
                <w:lang w:eastAsia="zh-Hans"/>
              </w:rPr>
              <w:t>3</w:t>
            </w:r>
            <w:r>
              <w:rPr>
                <w:rFonts w:hint="eastAsia" w:ascii="宋体" w:hAnsi="宋体" w:eastAsia="宋体"/>
                <w:color w:val="000000"/>
                <w:lang w:eastAsia="zh-Hans"/>
              </w:rPr>
              <w:t>沼气</w:t>
            </w:r>
            <w:r>
              <w:rPr>
                <w:rFonts w:hint="default" w:ascii="宋体" w:hAnsi="宋体" w:eastAsia="宋体"/>
                <w:color w:val="000000"/>
                <w:lang w:eastAsia="zh-Hans"/>
              </w:rPr>
              <w:t>/d(</w:t>
            </w:r>
            <w:r>
              <w:rPr>
                <w:rFonts w:hint="eastAsia" w:ascii="宋体" w:hAnsi="宋体" w:eastAsia="宋体"/>
                <w:color w:val="000000"/>
                <w:lang w:eastAsia="zh-Hans"/>
              </w:rPr>
              <w:t>厌氧)</w:t>
            </w:r>
          </w:p>
        </w:tc>
      </w:tr>
      <w:tr w14:paraId="57CE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2D40A92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3</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57A0349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残渣产量</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1459CDB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CZCL</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10839BD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66ACBD3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3F734D5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7F6B0DC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万</w:t>
            </w:r>
            <w:r>
              <w:rPr>
                <w:rFonts w:hint="eastAsia" w:ascii="宋体" w:hAnsi="宋体" w:eastAsia="宋体"/>
                <w:color w:val="000000"/>
                <w:lang w:eastAsia="zh-Hans"/>
              </w:rPr>
              <w:t>吨</w:t>
            </w:r>
          </w:p>
        </w:tc>
      </w:tr>
      <w:tr w14:paraId="2F45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1DFE5D0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4</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14F43A7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是否有生化装置</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0C9D4FE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SFYSHZZ</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0079229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354A12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5221805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1DBBBB2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有</w:t>
            </w:r>
            <w:r>
              <w:rPr>
                <w:rFonts w:hint="default" w:ascii="宋体" w:hAnsi="宋体" w:eastAsia="宋体"/>
              </w:rPr>
              <w:t>；</w:t>
            </w:r>
            <w:r>
              <w:rPr>
                <w:rFonts w:hint="eastAsia" w:ascii="宋体" w:hAnsi="宋体" w:eastAsia="宋体"/>
              </w:rPr>
              <w:t>2</w:t>
            </w:r>
            <w:r>
              <w:rPr>
                <w:rFonts w:hint="default" w:ascii="宋体" w:hAnsi="宋体" w:eastAsia="宋体"/>
              </w:rPr>
              <w:t>：</w:t>
            </w:r>
            <w:r>
              <w:rPr>
                <w:rFonts w:hint="eastAsia" w:ascii="宋体" w:hAnsi="宋体" w:eastAsia="宋体"/>
              </w:rPr>
              <w:t>无</w:t>
            </w:r>
          </w:p>
        </w:tc>
      </w:tr>
      <w:tr w14:paraId="73432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5000" w:type="pct"/>
            <w:gridSpan w:val="13"/>
            <w:tcBorders>
              <w:top w:val="nil"/>
              <w:left w:val="nil"/>
              <w:bottom w:val="single" w:color="000000" w:sz="4" w:space="0"/>
              <w:right w:val="nil"/>
            </w:tcBorders>
            <w:vAlign w:val="center"/>
          </w:tcPr>
          <w:p w14:paraId="2FEFEC42">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bookmarkStart w:id="388" w:name="_Toc452080385"/>
            <w:bookmarkStart w:id="389" w:name="_Toc608708729"/>
            <w:bookmarkStart w:id="390" w:name="_Toc408059221"/>
            <w:bookmarkStart w:id="391" w:name="_Toc696372985"/>
            <w:bookmarkStart w:id="392" w:name="_Toc851744313"/>
            <w:bookmarkStart w:id="393" w:name="_Toc467974910"/>
            <w:r>
              <w:rPr>
                <w:rFonts w:hint="eastAsia" w:ascii="宋体" w:hAnsi="宋体" w:cs="黑体"/>
                <w:sz w:val="24"/>
                <w:lang w:eastAsia="zh-Hans"/>
              </w:rPr>
              <w:t>粪便处理厂主要数据项</w:t>
            </w:r>
          </w:p>
        </w:tc>
      </w:tr>
      <w:tr w14:paraId="69AD9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58711AB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524E7CD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51" w:type="pct"/>
            <w:tcBorders>
              <w:top w:val="single" w:color="000000" w:sz="4" w:space="0"/>
              <w:left w:val="single" w:color="000000" w:sz="4" w:space="0"/>
              <w:bottom w:val="single" w:color="000000" w:sz="4" w:space="0"/>
              <w:right w:val="single" w:color="000000" w:sz="4" w:space="0"/>
            </w:tcBorders>
            <w:vAlign w:val="center"/>
          </w:tcPr>
          <w:p w14:paraId="5F54E83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1A685E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67D7C66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4F5F448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4C1E917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138B4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51C5350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33E43E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51" w:type="pct"/>
            <w:tcBorders>
              <w:top w:val="single" w:color="000000" w:sz="4" w:space="0"/>
              <w:left w:val="single" w:color="000000" w:sz="4" w:space="0"/>
              <w:bottom w:val="single" w:color="000000" w:sz="4" w:space="0"/>
              <w:right w:val="single" w:color="000000" w:sz="4" w:space="0"/>
            </w:tcBorders>
            <w:vAlign w:val="center"/>
          </w:tcPr>
          <w:p w14:paraId="48E01D0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405C18B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75348CD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6B923B0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13DB2913">
            <w:pPr>
              <w:keepNext w:val="0"/>
              <w:keepLines w:val="0"/>
              <w:suppressLineNumbers w:val="0"/>
              <w:spacing w:before="0" w:beforeAutospacing="0" w:after="0" w:afterAutospacing="0"/>
              <w:ind w:left="0" w:right="0"/>
              <w:jc w:val="center"/>
              <w:rPr>
                <w:rFonts w:hint="eastAsia" w:ascii="宋体" w:hAnsi="宋体" w:eastAsia="宋体"/>
              </w:rPr>
            </w:pPr>
          </w:p>
        </w:tc>
      </w:tr>
      <w:tr w14:paraId="7C3E3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28E4CA5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18DED00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651" w:type="pct"/>
            <w:tcBorders>
              <w:top w:val="single" w:color="000000" w:sz="4" w:space="0"/>
              <w:left w:val="single" w:color="000000" w:sz="4" w:space="0"/>
              <w:bottom w:val="single" w:color="000000" w:sz="4" w:space="0"/>
              <w:right w:val="single" w:color="000000" w:sz="4" w:space="0"/>
            </w:tcBorders>
            <w:vAlign w:val="center"/>
          </w:tcPr>
          <w:p w14:paraId="148251E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0E5C10F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6601975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335574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09A13430">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4DB35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767B2C5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0145106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651" w:type="pct"/>
            <w:tcBorders>
              <w:top w:val="single" w:color="000000" w:sz="4" w:space="0"/>
              <w:left w:val="single" w:color="000000" w:sz="4" w:space="0"/>
              <w:bottom w:val="single" w:color="000000" w:sz="4" w:space="0"/>
              <w:right w:val="single" w:color="000000" w:sz="4" w:space="0"/>
            </w:tcBorders>
            <w:vAlign w:val="center"/>
          </w:tcPr>
          <w:p w14:paraId="05CF92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11942DC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15982FC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400</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65E295E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418BE4F4">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4420C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67AE305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6E9C16A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坐标X</w:t>
            </w:r>
          </w:p>
        </w:tc>
        <w:tc>
          <w:tcPr>
            <w:tcW w:w="651" w:type="pct"/>
            <w:tcBorders>
              <w:top w:val="single" w:color="000000" w:sz="4" w:space="0"/>
              <w:left w:val="single" w:color="000000" w:sz="4" w:space="0"/>
              <w:bottom w:val="single" w:color="000000" w:sz="4" w:space="0"/>
              <w:right w:val="single" w:color="000000" w:sz="4" w:space="0"/>
            </w:tcBorders>
            <w:vAlign w:val="center"/>
          </w:tcPr>
          <w:p w14:paraId="27ADA58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ZBX</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539F4E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45B8BC1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3CA4423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0F4C119A">
            <w:pPr>
              <w:keepNext w:val="0"/>
              <w:keepLines w:val="0"/>
              <w:suppressLineNumbers w:val="0"/>
              <w:spacing w:before="0" w:beforeAutospacing="0" w:after="0" w:afterAutospacing="0"/>
              <w:ind w:left="0" w:right="0"/>
              <w:jc w:val="center"/>
              <w:rPr>
                <w:rFonts w:hint="eastAsia" w:ascii="宋体" w:hAnsi="宋体" w:eastAsia="宋体"/>
              </w:rPr>
            </w:pPr>
          </w:p>
        </w:tc>
      </w:tr>
      <w:tr w14:paraId="62D41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20FD6DE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592C9C8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坐标Y</w:t>
            </w:r>
          </w:p>
        </w:tc>
        <w:tc>
          <w:tcPr>
            <w:tcW w:w="651" w:type="pct"/>
            <w:tcBorders>
              <w:top w:val="single" w:color="000000" w:sz="4" w:space="0"/>
              <w:left w:val="single" w:color="000000" w:sz="4" w:space="0"/>
              <w:bottom w:val="single" w:color="000000" w:sz="4" w:space="0"/>
              <w:right w:val="single" w:color="000000" w:sz="4" w:space="0"/>
            </w:tcBorders>
            <w:vAlign w:val="center"/>
          </w:tcPr>
          <w:p w14:paraId="675AB2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ZBY</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62F3BB7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4ED8D3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078824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4AC0BFE4">
            <w:pPr>
              <w:keepNext w:val="0"/>
              <w:keepLines w:val="0"/>
              <w:suppressLineNumbers w:val="0"/>
              <w:spacing w:before="0" w:beforeAutospacing="0" w:after="0" w:afterAutospacing="0"/>
              <w:ind w:left="0" w:right="0"/>
              <w:jc w:val="center"/>
              <w:rPr>
                <w:rFonts w:hint="eastAsia" w:ascii="宋体" w:hAnsi="宋体" w:eastAsia="宋体"/>
              </w:rPr>
            </w:pPr>
          </w:p>
        </w:tc>
      </w:tr>
      <w:tr w14:paraId="4BA08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3B69DCD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0066391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启用日期</w:t>
            </w:r>
          </w:p>
        </w:tc>
        <w:tc>
          <w:tcPr>
            <w:tcW w:w="651" w:type="pct"/>
            <w:tcBorders>
              <w:top w:val="single" w:color="000000" w:sz="4" w:space="0"/>
              <w:left w:val="single" w:color="000000" w:sz="4" w:space="0"/>
              <w:bottom w:val="single" w:color="000000" w:sz="4" w:space="0"/>
              <w:right w:val="single" w:color="000000" w:sz="4" w:space="0"/>
            </w:tcBorders>
            <w:vAlign w:val="center"/>
          </w:tcPr>
          <w:p w14:paraId="1F1C238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QYRQ</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29F222C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00A8ABC1">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3E9CC8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20ED1EE2">
            <w:pPr>
              <w:keepNext w:val="0"/>
              <w:keepLines w:val="0"/>
              <w:suppressLineNumbers w:val="0"/>
              <w:spacing w:before="0" w:beforeAutospacing="0" w:after="0" w:afterAutospacing="0"/>
              <w:ind w:left="0" w:right="0"/>
              <w:jc w:val="center"/>
              <w:rPr>
                <w:rFonts w:hint="eastAsia" w:ascii="宋体" w:hAnsi="宋体" w:eastAsia="宋体"/>
              </w:rPr>
            </w:pPr>
          </w:p>
        </w:tc>
      </w:tr>
      <w:tr w14:paraId="2EB83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1F4C502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31CD477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建筑面积</w:t>
            </w:r>
          </w:p>
        </w:tc>
        <w:tc>
          <w:tcPr>
            <w:tcW w:w="651" w:type="pct"/>
            <w:tcBorders>
              <w:top w:val="single" w:color="000000" w:sz="4" w:space="0"/>
              <w:left w:val="single" w:color="000000" w:sz="4" w:space="0"/>
              <w:bottom w:val="single" w:color="000000" w:sz="4" w:space="0"/>
              <w:right w:val="single" w:color="000000" w:sz="4" w:space="0"/>
            </w:tcBorders>
            <w:vAlign w:val="center"/>
          </w:tcPr>
          <w:p w14:paraId="26A138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JZMJ</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001FA37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66A14E96">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67D2402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6D0686B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m</w:t>
            </w:r>
            <w:r>
              <w:rPr>
                <w:rFonts w:hint="eastAsia" w:ascii="宋体" w:hAnsi="宋体" w:eastAsia="宋体"/>
                <w:color w:val="000000"/>
                <w:vertAlign w:val="superscript"/>
              </w:rPr>
              <w:t>2</w:t>
            </w:r>
          </w:p>
        </w:tc>
      </w:tr>
      <w:tr w14:paraId="32A38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7670D8D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49F95BB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固渣处理</w:t>
            </w:r>
            <w:r>
              <w:rPr>
                <w:rFonts w:hint="eastAsia" w:ascii="宋体" w:hAnsi="宋体" w:eastAsia="宋体"/>
                <w:color w:val="000000"/>
              </w:rPr>
              <w:t>方式</w:t>
            </w:r>
          </w:p>
        </w:tc>
        <w:tc>
          <w:tcPr>
            <w:tcW w:w="651" w:type="pct"/>
            <w:tcBorders>
              <w:top w:val="single" w:color="000000" w:sz="4" w:space="0"/>
              <w:left w:val="single" w:color="000000" w:sz="4" w:space="0"/>
              <w:bottom w:val="single" w:color="000000" w:sz="4" w:space="0"/>
              <w:right w:val="single" w:color="000000" w:sz="4" w:space="0"/>
            </w:tcBorders>
            <w:vAlign w:val="center"/>
          </w:tcPr>
          <w:p w14:paraId="5E46FC9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GZCL</w:t>
            </w:r>
            <w:r>
              <w:rPr>
                <w:rFonts w:hint="eastAsia" w:ascii="宋体" w:hAnsi="宋体" w:eastAsia="宋体"/>
                <w:color w:val="000000"/>
              </w:rPr>
              <w:t>FS</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1AEA64A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7127CFF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6C5E42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105F8B6C">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default" w:ascii="宋体" w:hAnsi="宋体" w:eastAsia="宋体"/>
                <w:color w:val="000000"/>
                <w:lang w:eastAsia="zh-Hans"/>
              </w:rPr>
              <w:t>1：</w:t>
            </w:r>
            <w:r>
              <w:rPr>
                <w:rFonts w:hint="eastAsia" w:ascii="宋体" w:hAnsi="宋体" w:eastAsia="宋体"/>
                <w:color w:val="000000"/>
                <w:lang w:eastAsia="zh-Hans"/>
              </w:rPr>
              <w:t>焚烧</w:t>
            </w:r>
          </w:p>
          <w:p w14:paraId="2712118F">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default" w:ascii="宋体" w:hAnsi="宋体" w:eastAsia="宋体"/>
                <w:color w:val="000000"/>
                <w:lang w:eastAsia="zh-Hans"/>
              </w:rPr>
              <w:t>2：</w:t>
            </w:r>
            <w:r>
              <w:rPr>
                <w:rFonts w:hint="eastAsia" w:ascii="宋体" w:hAnsi="宋体" w:eastAsia="宋体"/>
                <w:color w:val="000000"/>
                <w:lang w:eastAsia="zh-Hans"/>
              </w:rPr>
              <w:t>堆肥</w:t>
            </w:r>
          </w:p>
          <w:p w14:paraId="6C7FBEA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lang w:eastAsia="zh-Hans"/>
              </w:rPr>
              <w:t>3：</w:t>
            </w:r>
            <w:r>
              <w:rPr>
                <w:rFonts w:hint="eastAsia" w:ascii="宋体" w:hAnsi="宋体" w:eastAsia="宋体"/>
                <w:color w:val="000000"/>
                <w:lang w:eastAsia="zh-Hans"/>
              </w:rPr>
              <w:t>填埋</w:t>
            </w:r>
          </w:p>
        </w:tc>
      </w:tr>
      <w:tr w14:paraId="4B3BE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209A02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1635162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设计处理能力</w:t>
            </w:r>
          </w:p>
        </w:tc>
        <w:tc>
          <w:tcPr>
            <w:tcW w:w="651" w:type="pct"/>
            <w:tcBorders>
              <w:top w:val="single" w:color="000000" w:sz="4" w:space="0"/>
              <w:left w:val="single" w:color="000000" w:sz="4" w:space="0"/>
              <w:bottom w:val="single" w:color="000000" w:sz="4" w:space="0"/>
              <w:right w:val="single" w:color="000000" w:sz="4" w:space="0"/>
            </w:tcBorders>
            <w:vAlign w:val="center"/>
          </w:tcPr>
          <w:p w14:paraId="58E668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SJCLNL</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570802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2E662574">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10392E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34E202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lang w:eastAsia="zh-Hans"/>
              </w:rPr>
              <w:t>t/d</w:t>
            </w:r>
          </w:p>
        </w:tc>
      </w:tr>
      <w:tr w14:paraId="06577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7B2DE9A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7CBFED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实际处理负荷</w:t>
            </w:r>
          </w:p>
        </w:tc>
        <w:tc>
          <w:tcPr>
            <w:tcW w:w="651" w:type="pct"/>
            <w:tcBorders>
              <w:top w:val="single" w:color="000000" w:sz="4" w:space="0"/>
              <w:left w:val="single" w:color="000000" w:sz="4" w:space="0"/>
              <w:bottom w:val="single" w:color="000000" w:sz="4" w:space="0"/>
              <w:right w:val="single" w:color="000000" w:sz="4" w:space="0"/>
            </w:tcBorders>
            <w:vAlign w:val="center"/>
          </w:tcPr>
          <w:p w14:paraId="477F6B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w:t>
            </w:r>
            <w:r>
              <w:rPr>
                <w:rFonts w:hint="default" w:ascii="宋体" w:hAnsi="宋体" w:eastAsia="宋体"/>
                <w:color w:val="000000"/>
              </w:rPr>
              <w:t>FH</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2CD0F42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1BF76309">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2949633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347BAF8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：t/d</w:t>
            </w:r>
          </w:p>
        </w:tc>
      </w:tr>
    </w:tbl>
    <w:p w14:paraId="5DBBF597">
      <w:pPr>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76"/>
        <w:gridCol w:w="1441"/>
        <w:gridCol w:w="1056"/>
        <w:gridCol w:w="1140"/>
        <w:gridCol w:w="1072"/>
        <w:gridCol w:w="1316"/>
        <w:gridCol w:w="1821"/>
      </w:tblGrid>
      <w:tr w14:paraId="739B9D6C">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16A0A0CE">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公共厕所主要数据项</w:t>
            </w:r>
          </w:p>
        </w:tc>
      </w:tr>
      <w:tr w14:paraId="55412079">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14:paraId="72B30D7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14:paraId="443C58F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14:paraId="6B622E2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14:paraId="1A39B8D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14:paraId="7D66AEE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14:paraId="352C3F4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14:paraId="19982B4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5D7B96F9">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B59132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auto" w:sz="4" w:space="0"/>
              <w:left w:val="single" w:color="auto" w:sz="4" w:space="0"/>
              <w:bottom w:val="single" w:color="auto" w:sz="4" w:space="0"/>
              <w:right w:val="single" w:color="auto" w:sz="4" w:space="0"/>
            </w:tcBorders>
            <w:vAlign w:val="center"/>
          </w:tcPr>
          <w:p w14:paraId="3E9E4DB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auto" w:sz="4" w:space="0"/>
              <w:left w:val="single" w:color="auto" w:sz="4" w:space="0"/>
              <w:bottom w:val="single" w:color="auto" w:sz="4" w:space="0"/>
              <w:right w:val="single" w:color="auto" w:sz="4" w:space="0"/>
            </w:tcBorders>
            <w:vAlign w:val="center"/>
          </w:tcPr>
          <w:p w14:paraId="4D082D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71" w:type="pct"/>
            <w:tcBorders>
              <w:top w:val="single" w:color="auto" w:sz="4" w:space="0"/>
              <w:left w:val="single" w:color="auto" w:sz="4" w:space="0"/>
              <w:bottom w:val="single" w:color="auto" w:sz="4" w:space="0"/>
              <w:right w:val="single" w:color="auto" w:sz="4" w:space="0"/>
            </w:tcBorders>
            <w:vAlign w:val="center"/>
          </w:tcPr>
          <w:p w14:paraId="6D02887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C166FD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tcBorders>
              <w:top w:val="single" w:color="auto" w:sz="4" w:space="0"/>
              <w:left w:val="single" w:color="auto" w:sz="4" w:space="0"/>
              <w:bottom w:val="single" w:color="auto" w:sz="4" w:space="0"/>
              <w:right w:val="single" w:color="auto" w:sz="4" w:space="0"/>
            </w:tcBorders>
            <w:vAlign w:val="center"/>
          </w:tcPr>
          <w:p w14:paraId="5D4D9D2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14:paraId="5E88452A">
            <w:pPr>
              <w:keepNext w:val="0"/>
              <w:keepLines w:val="0"/>
              <w:suppressLineNumbers w:val="0"/>
              <w:spacing w:before="0" w:beforeAutospacing="0" w:after="0" w:afterAutospacing="0"/>
              <w:ind w:left="0" w:right="0"/>
              <w:jc w:val="center"/>
              <w:rPr>
                <w:rFonts w:hint="eastAsia" w:ascii="宋体" w:hAnsi="宋体" w:eastAsia="宋体"/>
              </w:rPr>
            </w:pPr>
          </w:p>
        </w:tc>
      </w:tr>
      <w:tr w14:paraId="5235A79F">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40B867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auto" w:sz="4" w:space="0"/>
              <w:left w:val="single" w:color="auto" w:sz="4" w:space="0"/>
              <w:bottom w:val="single" w:color="auto" w:sz="4" w:space="0"/>
              <w:right w:val="single" w:color="auto" w:sz="4" w:space="0"/>
            </w:tcBorders>
            <w:vAlign w:val="center"/>
          </w:tcPr>
          <w:p w14:paraId="025E633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607" w:type="pct"/>
            <w:tcBorders>
              <w:top w:val="single" w:color="auto" w:sz="4" w:space="0"/>
              <w:left w:val="single" w:color="auto" w:sz="4" w:space="0"/>
              <w:bottom w:val="single" w:color="auto" w:sz="4" w:space="0"/>
              <w:right w:val="single" w:color="auto" w:sz="4" w:space="0"/>
            </w:tcBorders>
            <w:vAlign w:val="center"/>
          </w:tcPr>
          <w:p w14:paraId="23F63C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71" w:type="pct"/>
            <w:tcBorders>
              <w:top w:val="single" w:color="auto" w:sz="4" w:space="0"/>
              <w:left w:val="single" w:color="auto" w:sz="4" w:space="0"/>
              <w:bottom w:val="single" w:color="auto" w:sz="4" w:space="0"/>
              <w:right w:val="single" w:color="auto" w:sz="4" w:space="0"/>
            </w:tcBorders>
            <w:vAlign w:val="center"/>
          </w:tcPr>
          <w:p w14:paraId="78FC054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A3FD39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774" w:type="pct"/>
            <w:tcBorders>
              <w:top w:val="single" w:color="auto" w:sz="4" w:space="0"/>
              <w:left w:val="single" w:color="auto" w:sz="4" w:space="0"/>
              <w:bottom w:val="single" w:color="auto" w:sz="4" w:space="0"/>
              <w:right w:val="single" w:color="auto" w:sz="4" w:space="0"/>
            </w:tcBorders>
            <w:vAlign w:val="center"/>
          </w:tcPr>
          <w:p w14:paraId="7AFC59B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70" w:type="pct"/>
            <w:tcBorders>
              <w:top w:val="single" w:color="auto" w:sz="4" w:space="0"/>
              <w:left w:val="single" w:color="auto" w:sz="4" w:space="0"/>
              <w:bottom w:val="single" w:color="auto" w:sz="4" w:space="0"/>
              <w:right w:val="single" w:color="auto" w:sz="4" w:space="0"/>
            </w:tcBorders>
            <w:vAlign w:val="center"/>
          </w:tcPr>
          <w:p w14:paraId="2419F6AD">
            <w:pPr>
              <w:keepNext w:val="0"/>
              <w:keepLines w:val="0"/>
              <w:suppressLineNumbers w:val="0"/>
              <w:spacing w:before="0" w:beforeAutospacing="0" w:after="0" w:afterAutospacing="0"/>
              <w:ind w:left="0" w:right="0"/>
              <w:jc w:val="center"/>
              <w:rPr>
                <w:rFonts w:hint="eastAsia" w:ascii="宋体" w:hAnsi="宋体" w:eastAsia="宋体"/>
              </w:rPr>
            </w:pPr>
          </w:p>
        </w:tc>
      </w:tr>
      <w:tr w14:paraId="318A6F2B">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46C01B2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auto" w:sz="4" w:space="0"/>
              <w:left w:val="single" w:color="auto" w:sz="4" w:space="0"/>
              <w:bottom w:val="single" w:color="auto" w:sz="4" w:space="0"/>
              <w:right w:val="single" w:color="auto" w:sz="4" w:space="0"/>
            </w:tcBorders>
            <w:vAlign w:val="center"/>
          </w:tcPr>
          <w:p w14:paraId="78630B1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607" w:type="pct"/>
            <w:tcBorders>
              <w:top w:val="single" w:color="auto" w:sz="4" w:space="0"/>
              <w:left w:val="single" w:color="auto" w:sz="4" w:space="0"/>
              <w:bottom w:val="single" w:color="auto" w:sz="4" w:space="0"/>
              <w:right w:val="single" w:color="auto" w:sz="4" w:space="0"/>
            </w:tcBorders>
            <w:vAlign w:val="center"/>
          </w:tcPr>
          <w:p w14:paraId="6AD51F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71" w:type="pct"/>
            <w:tcBorders>
              <w:top w:val="single" w:color="auto" w:sz="4" w:space="0"/>
              <w:left w:val="single" w:color="auto" w:sz="4" w:space="0"/>
              <w:bottom w:val="single" w:color="auto" w:sz="4" w:space="0"/>
              <w:right w:val="single" w:color="auto" w:sz="4" w:space="0"/>
            </w:tcBorders>
            <w:vAlign w:val="center"/>
          </w:tcPr>
          <w:p w14:paraId="13EE4F0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D91EB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400</w:t>
            </w:r>
          </w:p>
        </w:tc>
        <w:tc>
          <w:tcPr>
            <w:tcW w:w="774" w:type="pct"/>
            <w:tcBorders>
              <w:top w:val="single" w:color="auto" w:sz="4" w:space="0"/>
              <w:left w:val="single" w:color="auto" w:sz="4" w:space="0"/>
              <w:bottom w:val="single" w:color="auto" w:sz="4" w:space="0"/>
              <w:right w:val="single" w:color="auto" w:sz="4" w:space="0"/>
            </w:tcBorders>
            <w:vAlign w:val="center"/>
          </w:tcPr>
          <w:p w14:paraId="195ED23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70" w:type="pct"/>
            <w:tcBorders>
              <w:top w:val="single" w:color="auto" w:sz="4" w:space="0"/>
              <w:left w:val="single" w:color="auto" w:sz="4" w:space="0"/>
              <w:bottom w:val="single" w:color="auto" w:sz="4" w:space="0"/>
              <w:right w:val="single" w:color="auto" w:sz="4" w:space="0"/>
            </w:tcBorders>
            <w:vAlign w:val="center"/>
          </w:tcPr>
          <w:p w14:paraId="48815F9A">
            <w:pPr>
              <w:keepNext w:val="0"/>
              <w:keepLines w:val="0"/>
              <w:suppressLineNumbers w:val="0"/>
              <w:spacing w:before="0" w:beforeAutospacing="0" w:after="0" w:afterAutospacing="0"/>
              <w:ind w:left="0" w:right="0"/>
              <w:jc w:val="center"/>
              <w:rPr>
                <w:rFonts w:hint="eastAsia" w:ascii="宋体" w:hAnsi="宋体" w:eastAsia="宋体"/>
              </w:rPr>
            </w:pPr>
          </w:p>
        </w:tc>
      </w:tr>
      <w:tr w14:paraId="4810C4B3">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178D5E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auto" w:sz="4" w:space="0"/>
              <w:left w:val="single" w:color="auto" w:sz="4" w:space="0"/>
              <w:bottom w:val="single" w:color="auto" w:sz="4" w:space="0"/>
              <w:right w:val="single" w:color="auto" w:sz="4" w:space="0"/>
            </w:tcBorders>
            <w:vAlign w:val="center"/>
          </w:tcPr>
          <w:p w14:paraId="2700075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坐标X</w:t>
            </w:r>
          </w:p>
        </w:tc>
        <w:tc>
          <w:tcPr>
            <w:tcW w:w="607" w:type="pct"/>
            <w:tcBorders>
              <w:top w:val="single" w:color="auto" w:sz="4" w:space="0"/>
              <w:left w:val="single" w:color="auto" w:sz="4" w:space="0"/>
              <w:bottom w:val="single" w:color="auto" w:sz="4" w:space="0"/>
              <w:right w:val="single" w:color="auto" w:sz="4" w:space="0"/>
            </w:tcBorders>
            <w:vAlign w:val="center"/>
          </w:tcPr>
          <w:p w14:paraId="19A9B07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ZBX</w:t>
            </w:r>
          </w:p>
        </w:tc>
        <w:tc>
          <w:tcPr>
            <w:tcW w:w="671" w:type="pct"/>
            <w:tcBorders>
              <w:top w:val="single" w:color="auto" w:sz="4" w:space="0"/>
              <w:left w:val="single" w:color="auto" w:sz="4" w:space="0"/>
              <w:bottom w:val="single" w:color="auto" w:sz="4" w:space="0"/>
              <w:right w:val="single" w:color="auto" w:sz="4" w:space="0"/>
            </w:tcBorders>
            <w:vAlign w:val="center"/>
          </w:tcPr>
          <w:p w14:paraId="54B5458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6A1D503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4EFDFDF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691B826A">
            <w:pPr>
              <w:keepNext w:val="0"/>
              <w:keepLines w:val="0"/>
              <w:suppressLineNumbers w:val="0"/>
              <w:spacing w:before="0" w:beforeAutospacing="0" w:after="0" w:afterAutospacing="0"/>
              <w:ind w:left="0" w:right="0"/>
              <w:jc w:val="center"/>
              <w:rPr>
                <w:rFonts w:hint="eastAsia" w:ascii="宋体" w:hAnsi="宋体" w:eastAsia="宋体"/>
              </w:rPr>
            </w:pPr>
          </w:p>
        </w:tc>
      </w:tr>
      <w:tr w14:paraId="693AB4BA">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362A27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8" w:type="pct"/>
            <w:tcBorders>
              <w:top w:val="single" w:color="auto" w:sz="4" w:space="0"/>
              <w:left w:val="single" w:color="auto" w:sz="4" w:space="0"/>
              <w:bottom w:val="single" w:color="auto" w:sz="4" w:space="0"/>
              <w:right w:val="single" w:color="auto" w:sz="4" w:space="0"/>
            </w:tcBorders>
            <w:vAlign w:val="center"/>
          </w:tcPr>
          <w:p w14:paraId="1C8C460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坐标Y</w:t>
            </w:r>
          </w:p>
        </w:tc>
        <w:tc>
          <w:tcPr>
            <w:tcW w:w="607" w:type="pct"/>
            <w:tcBorders>
              <w:top w:val="single" w:color="auto" w:sz="4" w:space="0"/>
              <w:left w:val="single" w:color="auto" w:sz="4" w:space="0"/>
              <w:bottom w:val="single" w:color="auto" w:sz="4" w:space="0"/>
              <w:right w:val="single" w:color="auto" w:sz="4" w:space="0"/>
            </w:tcBorders>
            <w:vAlign w:val="center"/>
          </w:tcPr>
          <w:p w14:paraId="2A428A3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ZBY</w:t>
            </w:r>
          </w:p>
        </w:tc>
        <w:tc>
          <w:tcPr>
            <w:tcW w:w="671" w:type="pct"/>
            <w:tcBorders>
              <w:top w:val="single" w:color="auto" w:sz="4" w:space="0"/>
              <w:left w:val="single" w:color="auto" w:sz="4" w:space="0"/>
              <w:bottom w:val="single" w:color="auto" w:sz="4" w:space="0"/>
              <w:right w:val="single" w:color="auto" w:sz="4" w:space="0"/>
            </w:tcBorders>
            <w:vAlign w:val="center"/>
          </w:tcPr>
          <w:p w14:paraId="3386BA5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6E5DB89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6AC1020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5883071A">
            <w:pPr>
              <w:keepNext w:val="0"/>
              <w:keepLines w:val="0"/>
              <w:suppressLineNumbers w:val="0"/>
              <w:spacing w:before="0" w:beforeAutospacing="0" w:after="0" w:afterAutospacing="0"/>
              <w:ind w:left="0" w:right="0"/>
              <w:jc w:val="center"/>
              <w:rPr>
                <w:rFonts w:hint="eastAsia" w:ascii="宋体" w:hAnsi="宋体" w:eastAsia="宋体"/>
              </w:rPr>
            </w:pPr>
          </w:p>
        </w:tc>
      </w:tr>
      <w:tr w14:paraId="44A5AF8A">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ACFCDE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tcBorders>
              <w:top w:val="single" w:color="auto" w:sz="4" w:space="0"/>
              <w:left w:val="single" w:color="auto" w:sz="4" w:space="0"/>
              <w:bottom w:val="single" w:color="auto" w:sz="4" w:space="0"/>
              <w:right w:val="single" w:color="auto" w:sz="4" w:space="0"/>
            </w:tcBorders>
            <w:vAlign w:val="center"/>
          </w:tcPr>
          <w:p w14:paraId="3B134FE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启用日期</w:t>
            </w:r>
          </w:p>
        </w:tc>
        <w:tc>
          <w:tcPr>
            <w:tcW w:w="607" w:type="pct"/>
            <w:tcBorders>
              <w:top w:val="single" w:color="auto" w:sz="4" w:space="0"/>
              <w:left w:val="single" w:color="auto" w:sz="4" w:space="0"/>
              <w:bottom w:val="single" w:color="auto" w:sz="4" w:space="0"/>
              <w:right w:val="single" w:color="auto" w:sz="4" w:space="0"/>
            </w:tcBorders>
            <w:vAlign w:val="center"/>
          </w:tcPr>
          <w:p w14:paraId="3BE5E80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QYRQ</w:t>
            </w:r>
          </w:p>
        </w:tc>
        <w:tc>
          <w:tcPr>
            <w:tcW w:w="671" w:type="pct"/>
            <w:tcBorders>
              <w:top w:val="single" w:color="auto" w:sz="4" w:space="0"/>
              <w:left w:val="single" w:color="auto" w:sz="4" w:space="0"/>
              <w:bottom w:val="single" w:color="auto" w:sz="4" w:space="0"/>
              <w:right w:val="single" w:color="auto" w:sz="4" w:space="0"/>
            </w:tcBorders>
            <w:vAlign w:val="center"/>
          </w:tcPr>
          <w:p w14:paraId="393FB3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682C590D">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764DCF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7CEB3695">
            <w:pPr>
              <w:keepNext w:val="0"/>
              <w:keepLines w:val="0"/>
              <w:suppressLineNumbers w:val="0"/>
              <w:spacing w:before="0" w:beforeAutospacing="0" w:after="0" w:afterAutospacing="0"/>
              <w:ind w:left="0" w:right="0"/>
              <w:jc w:val="center"/>
              <w:rPr>
                <w:rFonts w:hint="eastAsia" w:ascii="宋体" w:hAnsi="宋体" w:eastAsia="宋体"/>
              </w:rPr>
            </w:pPr>
          </w:p>
        </w:tc>
      </w:tr>
      <w:tr w14:paraId="54D1AF79">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3DDF49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tcBorders>
              <w:top w:val="single" w:color="auto" w:sz="4" w:space="0"/>
              <w:left w:val="single" w:color="auto" w:sz="4" w:space="0"/>
              <w:bottom w:val="single" w:color="auto" w:sz="4" w:space="0"/>
              <w:right w:val="single" w:color="auto" w:sz="4" w:space="0"/>
            </w:tcBorders>
            <w:vAlign w:val="center"/>
          </w:tcPr>
          <w:p w14:paraId="2DF7567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建筑面积</w:t>
            </w:r>
          </w:p>
        </w:tc>
        <w:tc>
          <w:tcPr>
            <w:tcW w:w="607" w:type="pct"/>
            <w:tcBorders>
              <w:top w:val="single" w:color="auto" w:sz="4" w:space="0"/>
              <w:left w:val="single" w:color="auto" w:sz="4" w:space="0"/>
              <w:bottom w:val="single" w:color="auto" w:sz="4" w:space="0"/>
              <w:right w:val="single" w:color="auto" w:sz="4" w:space="0"/>
            </w:tcBorders>
            <w:vAlign w:val="center"/>
          </w:tcPr>
          <w:p w14:paraId="5766C6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JZMJ</w:t>
            </w:r>
          </w:p>
        </w:tc>
        <w:tc>
          <w:tcPr>
            <w:tcW w:w="671" w:type="pct"/>
            <w:tcBorders>
              <w:top w:val="single" w:color="auto" w:sz="4" w:space="0"/>
              <w:left w:val="single" w:color="auto" w:sz="4" w:space="0"/>
              <w:bottom w:val="single" w:color="auto" w:sz="4" w:space="0"/>
              <w:right w:val="single" w:color="auto" w:sz="4" w:space="0"/>
            </w:tcBorders>
            <w:vAlign w:val="center"/>
          </w:tcPr>
          <w:p w14:paraId="1DE3E93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1C6E97CF">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3317BBD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5C08701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m</w:t>
            </w:r>
            <w:r>
              <w:rPr>
                <w:rFonts w:hint="eastAsia" w:ascii="宋体" w:hAnsi="宋体" w:eastAsia="宋体"/>
                <w:color w:val="000000"/>
                <w:vertAlign w:val="superscript"/>
              </w:rPr>
              <w:t>2</w:t>
            </w:r>
          </w:p>
        </w:tc>
      </w:tr>
      <w:tr w14:paraId="475F3666">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C99B38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8" w:type="pct"/>
            <w:tcBorders>
              <w:top w:val="single" w:color="auto" w:sz="4" w:space="0"/>
              <w:left w:val="single" w:color="auto" w:sz="4" w:space="0"/>
              <w:bottom w:val="single" w:color="auto" w:sz="4" w:space="0"/>
              <w:right w:val="single" w:color="auto" w:sz="4" w:space="0"/>
            </w:tcBorders>
            <w:vAlign w:val="center"/>
          </w:tcPr>
          <w:p w14:paraId="5F41CFB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类别</w:t>
            </w:r>
          </w:p>
        </w:tc>
        <w:tc>
          <w:tcPr>
            <w:tcW w:w="607" w:type="pct"/>
            <w:tcBorders>
              <w:top w:val="single" w:color="auto" w:sz="4" w:space="0"/>
              <w:left w:val="single" w:color="auto" w:sz="4" w:space="0"/>
              <w:bottom w:val="single" w:color="auto" w:sz="4" w:space="0"/>
              <w:right w:val="single" w:color="auto" w:sz="4" w:space="0"/>
            </w:tcBorders>
            <w:vAlign w:val="center"/>
          </w:tcPr>
          <w:p w14:paraId="14FF788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LB</w:t>
            </w:r>
          </w:p>
        </w:tc>
        <w:tc>
          <w:tcPr>
            <w:tcW w:w="671" w:type="pct"/>
            <w:tcBorders>
              <w:top w:val="single" w:color="auto" w:sz="4" w:space="0"/>
              <w:left w:val="single" w:color="auto" w:sz="4" w:space="0"/>
              <w:bottom w:val="single" w:color="auto" w:sz="4" w:space="0"/>
              <w:right w:val="single" w:color="auto" w:sz="4" w:space="0"/>
            </w:tcBorders>
            <w:vAlign w:val="center"/>
          </w:tcPr>
          <w:p w14:paraId="3047A2F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79708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774" w:type="pct"/>
            <w:tcBorders>
              <w:top w:val="single" w:color="auto" w:sz="4" w:space="0"/>
              <w:left w:val="single" w:color="auto" w:sz="4" w:space="0"/>
              <w:bottom w:val="single" w:color="auto" w:sz="4" w:space="0"/>
              <w:right w:val="single" w:color="auto" w:sz="4" w:space="0"/>
            </w:tcBorders>
            <w:vAlign w:val="center"/>
          </w:tcPr>
          <w:p w14:paraId="2B4201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70" w:type="pct"/>
            <w:tcBorders>
              <w:top w:val="single" w:color="auto" w:sz="4" w:space="0"/>
              <w:left w:val="single" w:color="auto" w:sz="4" w:space="0"/>
              <w:bottom w:val="single" w:color="auto" w:sz="4" w:space="0"/>
              <w:right w:val="single" w:color="auto" w:sz="4" w:space="0"/>
            </w:tcBorders>
            <w:vAlign w:val="center"/>
          </w:tcPr>
          <w:p w14:paraId="6892B71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固定独立式</w:t>
            </w:r>
          </w:p>
          <w:p w14:paraId="365D8C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固定附属式</w:t>
            </w:r>
          </w:p>
          <w:p w14:paraId="18B0AC4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活动式</w:t>
            </w:r>
          </w:p>
          <w:p w14:paraId="3186116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4</w:t>
            </w:r>
            <w:r>
              <w:rPr>
                <w:rFonts w:hint="default" w:ascii="宋体" w:hAnsi="宋体" w:eastAsia="宋体"/>
              </w:rPr>
              <w:t>：</w:t>
            </w:r>
            <w:r>
              <w:rPr>
                <w:rFonts w:hint="eastAsia" w:ascii="宋体" w:hAnsi="宋体" w:eastAsia="宋体"/>
              </w:rPr>
              <w:t>其他</w:t>
            </w:r>
          </w:p>
        </w:tc>
      </w:tr>
      <w:tr w14:paraId="63EBEC94">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B0E1CD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8" w:type="pct"/>
            <w:tcBorders>
              <w:top w:val="single" w:color="auto" w:sz="4" w:space="0"/>
              <w:left w:val="single" w:color="auto" w:sz="4" w:space="0"/>
              <w:bottom w:val="single" w:color="auto" w:sz="4" w:space="0"/>
              <w:right w:val="single" w:color="auto" w:sz="4" w:space="0"/>
            </w:tcBorders>
            <w:vAlign w:val="center"/>
          </w:tcPr>
          <w:p w14:paraId="0FF5638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公共厕所类型</w:t>
            </w:r>
          </w:p>
        </w:tc>
        <w:tc>
          <w:tcPr>
            <w:tcW w:w="607" w:type="pct"/>
            <w:tcBorders>
              <w:top w:val="single" w:color="auto" w:sz="4" w:space="0"/>
              <w:left w:val="single" w:color="auto" w:sz="4" w:space="0"/>
              <w:bottom w:val="single" w:color="auto" w:sz="4" w:space="0"/>
              <w:right w:val="single" w:color="auto" w:sz="4" w:space="0"/>
            </w:tcBorders>
            <w:vAlign w:val="center"/>
          </w:tcPr>
          <w:p w14:paraId="2A6EE5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GGCSLX</w:t>
            </w:r>
          </w:p>
        </w:tc>
        <w:tc>
          <w:tcPr>
            <w:tcW w:w="671" w:type="pct"/>
            <w:tcBorders>
              <w:top w:val="single" w:color="auto" w:sz="4" w:space="0"/>
              <w:left w:val="single" w:color="auto" w:sz="4" w:space="0"/>
              <w:bottom w:val="single" w:color="auto" w:sz="4" w:space="0"/>
              <w:right w:val="single" w:color="auto" w:sz="4" w:space="0"/>
            </w:tcBorders>
            <w:vAlign w:val="center"/>
          </w:tcPr>
          <w:p w14:paraId="20D3A48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505C6F4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769147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7EFF0B7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一类</w:t>
            </w:r>
          </w:p>
          <w:p w14:paraId="3EE6AC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二类</w:t>
            </w:r>
          </w:p>
          <w:p w14:paraId="5B6248C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三类</w:t>
            </w:r>
          </w:p>
          <w:p w14:paraId="710571A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14:paraId="7FFD4C5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D51108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8" w:type="pct"/>
            <w:tcBorders>
              <w:top w:val="single" w:color="auto" w:sz="4" w:space="0"/>
              <w:left w:val="single" w:color="auto" w:sz="4" w:space="0"/>
              <w:bottom w:val="single" w:color="auto" w:sz="4" w:space="0"/>
              <w:right w:val="single" w:color="auto" w:sz="4" w:space="0"/>
            </w:tcBorders>
            <w:vAlign w:val="center"/>
          </w:tcPr>
          <w:p w14:paraId="0830BD3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男蹲</w:t>
            </w:r>
            <w:r>
              <w:rPr>
                <w:rFonts w:hint="default" w:ascii="宋体" w:hAnsi="宋体" w:eastAsia="宋体"/>
                <w:color w:val="000000"/>
              </w:rPr>
              <w:t>（</w:t>
            </w:r>
            <w:r>
              <w:rPr>
                <w:rFonts w:hint="eastAsia" w:ascii="宋体" w:hAnsi="宋体" w:eastAsia="宋体"/>
                <w:color w:val="000000"/>
              </w:rPr>
              <w:t>座</w:t>
            </w:r>
            <w:r>
              <w:rPr>
                <w:rFonts w:hint="default" w:ascii="宋体" w:hAnsi="宋体" w:eastAsia="宋体"/>
                <w:color w:val="000000"/>
              </w:rPr>
              <w:t>）</w:t>
            </w:r>
            <w:r>
              <w:rPr>
                <w:rFonts w:hint="eastAsia" w:ascii="宋体" w:hAnsi="宋体" w:eastAsia="宋体"/>
                <w:color w:val="000000"/>
              </w:rPr>
              <w:t>位数</w:t>
            </w:r>
          </w:p>
        </w:tc>
        <w:tc>
          <w:tcPr>
            <w:tcW w:w="607" w:type="pct"/>
            <w:tcBorders>
              <w:top w:val="single" w:color="auto" w:sz="4" w:space="0"/>
              <w:left w:val="single" w:color="auto" w:sz="4" w:space="0"/>
              <w:bottom w:val="single" w:color="auto" w:sz="4" w:space="0"/>
              <w:right w:val="single" w:color="auto" w:sz="4" w:space="0"/>
            </w:tcBorders>
            <w:vAlign w:val="center"/>
          </w:tcPr>
          <w:p w14:paraId="7AB33B1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NAN</w:t>
            </w:r>
            <w:r>
              <w:rPr>
                <w:rFonts w:hint="eastAsia" w:ascii="宋体" w:hAnsi="宋体" w:eastAsia="宋体"/>
                <w:color w:val="000000"/>
              </w:rPr>
              <w:t>DWS</w:t>
            </w:r>
          </w:p>
        </w:tc>
        <w:tc>
          <w:tcPr>
            <w:tcW w:w="671" w:type="pct"/>
            <w:tcBorders>
              <w:top w:val="single" w:color="auto" w:sz="4" w:space="0"/>
              <w:left w:val="single" w:color="auto" w:sz="4" w:space="0"/>
              <w:bottom w:val="single" w:color="auto" w:sz="4" w:space="0"/>
              <w:right w:val="single" w:color="auto" w:sz="4" w:space="0"/>
            </w:tcBorders>
            <w:vAlign w:val="center"/>
          </w:tcPr>
          <w:p w14:paraId="0C016BF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17360C8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6188894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37F604F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个</w:t>
            </w:r>
          </w:p>
        </w:tc>
      </w:tr>
      <w:tr w14:paraId="7B6C27A7">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503A59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11</w:t>
            </w:r>
          </w:p>
        </w:tc>
        <w:tc>
          <w:tcPr>
            <w:tcW w:w="848" w:type="pct"/>
            <w:tcBorders>
              <w:top w:val="single" w:color="auto" w:sz="4" w:space="0"/>
              <w:left w:val="single" w:color="auto" w:sz="4" w:space="0"/>
              <w:bottom w:val="single" w:color="auto" w:sz="4" w:space="0"/>
              <w:right w:val="single" w:color="auto" w:sz="4" w:space="0"/>
            </w:tcBorders>
            <w:vAlign w:val="center"/>
          </w:tcPr>
          <w:p w14:paraId="6146796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女蹲</w:t>
            </w:r>
            <w:r>
              <w:rPr>
                <w:rFonts w:hint="default" w:ascii="宋体" w:hAnsi="宋体" w:eastAsia="宋体"/>
                <w:color w:val="000000"/>
              </w:rPr>
              <w:t>（</w:t>
            </w:r>
            <w:r>
              <w:rPr>
                <w:rFonts w:hint="eastAsia" w:ascii="宋体" w:hAnsi="宋体" w:eastAsia="宋体"/>
                <w:color w:val="000000"/>
              </w:rPr>
              <w:t>座</w:t>
            </w:r>
            <w:r>
              <w:rPr>
                <w:rFonts w:hint="default" w:ascii="宋体" w:hAnsi="宋体" w:eastAsia="宋体"/>
                <w:color w:val="000000"/>
              </w:rPr>
              <w:t>）</w:t>
            </w:r>
            <w:r>
              <w:rPr>
                <w:rFonts w:hint="eastAsia" w:ascii="宋体" w:hAnsi="宋体" w:eastAsia="宋体"/>
                <w:color w:val="000000"/>
              </w:rPr>
              <w:t>位数</w:t>
            </w:r>
          </w:p>
        </w:tc>
        <w:tc>
          <w:tcPr>
            <w:tcW w:w="607" w:type="pct"/>
            <w:tcBorders>
              <w:top w:val="single" w:color="auto" w:sz="4" w:space="0"/>
              <w:left w:val="single" w:color="auto" w:sz="4" w:space="0"/>
              <w:bottom w:val="single" w:color="auto" w:sz="4" w:space="0"/>
              <w:right w:val="single" w:color="auto" w:sz="4" w:space="0"/>
            </w:tcBorders>
            <w:vAlign w:val="center"/>
          </w:tcPr>
          <w:p w14:paraId="4926D5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N</w:t>
            </w:r>
            <w:r>
              <w:rPr>
                <w:rFonts w:hint="eastAsia" w:ascii="宋体" w:hAnsi="宋体" w:eastAsia="宋体"/>
                <w:color w:val="000000"/>
                <w:lang w:eastAsia="zh-Hans"/>
              </w:rPr>
              <w:t>V</w:t>
            </w:r>
            <w:r>
              <w:rPr>
                <w:rFonts w:hint="eastAsia" w:ascii="宋体" w:hAnsi="宋体" w:eastAsia="宋体"/>
                <w:color w:val="000000"/>
              </w:rPr>
              <w:t>DWS</w:t>
            </w:r>
          </w:p>
        </w:tc>
        <w:tc>
          <w:tcPr>
            <w:tcW w:w="671" w:type="pct"/>
            <w:tcBorders>
              <w:top w:val="single" w:color="auto" w:sz="4" w:space="0"/>
              <w:left w:val="single" w:color="auto" w:sz="4" w:space="0"/>
              <w:bottom w:val="single" w:color="auto" w:sz="4" w:space="0"/>
              <w:right w:val="single" w:color="auto" w:sz="4" w:space="0"/>
            </w:tcBorders>
            <w:vAlign w:val="center"/>
          </w:tcPr>
          <w:p w14:paraId="47B04AE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82B130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0E52C30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64F25E1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个</w:t>
            </w:r>
          </w:p>
        </w:tc>
      </w:tr>
      <w:tr w14:paraId="5381B167">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647C63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48" w:type="pct"/>
            <w:tcBorders>
              <w:top w:val="single" w:color="auto" w:sz="4" w:space="0"/>
              <w:left w:val="single" w:color="auto" w:sz="4" w:space="0"/>
              <w:bottom w:val="single" w:color="auto" w:sz="4" w:space="0"/>
              <w:right w:val="single" w:color="auto" w:sz="4" w:space="0"/>
            </w:tcBorders>
            <w:vAlign w:val="center"/>
          </w:tcPr>
          <w:p w14:paraId="2102DDC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男站位数</w:t>
            </w:r>
          </w:p>
        </w:tc>
        <w:tc>
          <w:tcPr>
            <w:tcW w:w="607" w:type="pct"/>
            <w:tcBorders>
              <w:top w:val="single" w:color="auto" w:sz="4" w:space="0"/>
              <w:left w:val="single" w:color="auto" w:sz="4" w:space="0"/>
              <w:bottom w:val="single" w:color="auto" w:sz="4" w:space="0"/>
              <w:right w:val="single" w:color="auto" w:sz="4" w:space="0"/>
            </w:tcBorders>
            <w:vAlign w:val="center"/>
          </w:tcPr>
          <w:p w14:paraId="47343FC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NZWS</w:t>
            </w:r>
          </w:p>
        </w:tc>
        <w:tc>
          <w:tcPr>
            <w:tcW w:w="671" w:type="pct"/>
            <w:tcBorders>
              <w:top w:val="single" w:color="auto" w:sz="4" w:space="0"/>
              <w:left w:val="single" w:color="auto" w:sz="4" w:space="0"/>
              <w:bottom w:val="single" w:color="auto" w:sz="4" w:space="0"/>
              <w:right w:val="single" w:color="auto" w:sz="4" w:space="0"/>
            </w:tcBorders>
            <w:vAlign w:val="center"/>
          </w:tcPr>
          <w:p w14:paraId="5F5910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1FA50E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7E9E898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1771FD7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个</w:t>
            </w:r>
          </w:p>
        </w:tc>
      </w:tr>
      <w:tr w14:paraId="4727D84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7D370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13</w:t>
            </w:r>
          </w:p>
        </w:tc>
        <w:tc>
          <w:tcPr>
            <w:tcW w:w="848" w:type="pct"/>
            <w:tcBorders>
              <w:top w:val="single" w:color="auto" w:sz="4" w:space="0"/>
              <w:left w:val="single" w:color="auto" w:sz="4" w:space="0"/>
              <w:bottom w:val="single" w:color="auto" w:sz="4" w:space="0"/>
              <w:right w:val="single" w:color="auto" w:sz="4" w:space="0"/>
            </w:tcBorders>
            <w:vAlign w:val="center"/>
          </w:tcPr>
          <w:p w14:paraId="5CDF2CA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服务时间</w:t>
            </w:r>
          </w:p>
        </w:tc>
        <w:tc>
          <w:tcPr>
            <w:tcW w:w="607" w:type="pct"/>
            <w:tcBorders>
              <w:top w:val="single" w:color="auto" w:sz="4" w:space="0"/>
              <w:left w:val="single" w:color="auto" w:sz="4" w:space="0"/>
              <w:bottom w:val="single" w:color="auto" w:sz="4" w:space="0"/>
              <w:right w:val="single" w:color="auto" w:sz="4" w:space="0"/>
            </w:tcBorders>
            <w:vAlign w:val="center"/>
          </w:tcPr>
          <w:p w14:paraId="5B48095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FWSJ</w:t>
            </w:r>
          </w:p>
        </w:tc>
        <w:tc>
          <w:tcPr>
            <w:tcW w:w="671" w:type="pct"/>
            <w:tcBorders>
              <w:top w:val="single" w:color="auto" w:sz="4" w:space="0"/>
              <w:left w:val="single" w:color="auto" w:sz="4" w:space="0"/>
              <w:bottom w:val="single" w:color="auto" w:sz="4" w:space="0"/>
              <w:right w:val="single" w:color="auto" w:sz="4" w:space="0"/>
            </w:tcBorders>
            <w:vAlign w:val="center"/>
          </w:tcPr>
          <w:p w14:paraId="3FB9B2B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BE8DDA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40</w:t>
            </w:r>
          </w:p>
        </w:tc>
        <w:tc>
          <w:tcPr>
            <w:tcW w:w="774" w:type="pct"/>
            <w:tcBorders>
              <w:top w:val="single" w:color="auto" w:sz="4" w:space="0"/>
              <w:left w:val="single" w:color="auto" w:sz="4" w:space="0"/>
              <w:bottom w:val="single" w:color="auto" w:sz="4" w:space="0"/>
              <w:right w:val="single" w:color="auto" w:sz="4" w:space="0"/>
            </w:tcBorders>
            <w:vAlign w:val="center"/>
          </w:tcPr>
          <w:p w14:paraId="757C74A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25B59C3B">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46E90F7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993820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48" w:type="pct"/>
            <w:tcBorders>
              <w:top w:val="single" w:color="auto" w:sz="4" w:space="0"/>
              <w:left w:val="single" w:color="auto" w:sz="4" w:space="0"/>
              <w:bottom w:val="single" w:color="auto" w:sz="4" w:space="0"/>
              <w:right w:val="single" w:color="auto" w:sz="4" w:space="0"/>
            </w:tcBorders>
            <w:vAlign w:val="center"/>
          </w:tcPr>
          <w:p w14:paraId="59C8F36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公共厕所管理形式</w:t>
            </w:r>
          </w:p>
        </w:tc>
        <w:tc>
          <w:tcPr>
            <w:tcW w:w="607" w:type="pct"/>
            <w:tcBorders>
              <w:top w:val="single" w:color="auto" w:sz="4" w:space="0"/>
              <w:left w:val="single" w:color="auto" w:sz="4" w:space="0"/>
              <w:bottom w:val="single" w:color="auto" w:sz="4" w:space="0"/>
              <w:right w:val="single" w:color="auto" w:sz="4" w:space="0"/>
            </w:tcBorders>
            <w:vAlign w:val="center"/>
          </w:tcPr>
          <w:p w14:paraId="0BE4FD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GGCSGLXS</w:t>
            </w:r>
          </w:p>
        </w:tc>
        <w:tc>
          <w:tcPr>
            <w:tcW w:w="671" w:type="pct"/>
            <w:tcBorders>
              <w:top w:val="single" w:color="auto" w:sz="4" w:space="0"/>
              <w:left w:val="single" w:color="auto" w:sz="4" w:space="0"/>
              <w:bottom w:val="single" w:color="auto" w:sz="4" w:space="0"/>
              <w:right w:val="single" w:color="auto" w:sz="4" w:space="0"/>
            </w:tcBorders>
            <w:vAlign w:val="center"/>
          </w:tcPr>
          <w:p w14:paraId="50C8E6A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5769A08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6D38DC2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5D9DE5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rPr>
              <w:t>环卫部门</w:t>
            </w:r>
          </w:p>
          <w:p w14:paraId="256DBC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非环卫部门</w:t>
            </w:r>
          </w:p>
          <w:p w14:paraId="73B4327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14:paraId="561CEF8F">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B30EAE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15</w:t>
            </w:r>
          </w:p>
        </w:tc>
        <w:tc>
          <w:tcPr>
            <w:tcW w:w="848" w:type="pct"/>
            <w:tcBorders>
              <w:top w:val="single" w:color="auto" w:sz="4" w:space="0"/>
              <w:left w:val="single" w:color="auto" w:sz="4" w:space="0"/>
              <w:bottom w:val="single" w:color="auto" w:sz="4" w:space="0"/>
              <w:right w:val="single" w:color="auto" w:sz="4" w:space="0"/>
            </w:tcBorders>
            <w:vAlign w:val="center"/>
          </w:tcPr>
          <w:p w14:paraId="3B722C8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污物冲洗形式</w:t>
            </w:r>
          </w:p>
        </w:tc>
        <w:tc>
          <w:tcPr>
            <w:tcW w:w="607" w:type="pct"/>
            <w:tcBorders>
              <w:top w:val="single" w:color="auto" w:sz="4" w:space="0"/>
              <w:left w:val="single" w:color="auto" w:sz="4" w:space="0"/>
              <w:bottom w:val="single" w:color="auto" w:sz="4" w:space="0"/>
              <w:right w:val="single" w:color="auto" w:sz="4" w:space="0"/>
            </w:tcBorders>
            <w:vAlign w:val="center"/>
          </w:tcPr>
          <w:p w14:paraId="4FE1936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WWCXXS</w:t>
            </w:r>
          </w:p>
        </w:tc>
        <w:tc>
          <w:tcPr>
            <w:tcW w:w="671" w:type="pct"/>
            <w:tcBorders>
              <w:top w:val="single" w:color="auto" w:sz="4" w:space="0"/>
              <w:left w:val="single" w:color="auto" w:sz="4" w:space="0"/>
              <w:bottom w:val="single" w:color="auto" w:sz="4" w:space="0"/>
              <w:right w:val="single" w:color="auto" w:sz="4" w:space="0"/>
            </w:tcBorders>
            <w:vAlign w:val="center"/>
          </w:tcPr>
          <w:p w14:paraId="24373E2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5550A6F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68AB435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27090C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rPr>
              <w:t>接触式</w:t>
            </w:r>
          </w:p>
          <w:p w14:paraId="789D784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非接触式</w:t>
            </w:r>
          </w:p>
          <w:p w14:paraId="3319251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免水冲</w:t>
            </w:r>
          </w:p>
          <w:p w14:paraId="64DE4CA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14:paraId="09DC1FF2">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36A61E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w:t>
            </w:r>
          </w:p>
        </w:tc>
        <w:tc>
          <w:tcPr>
            <w:tcW w:w="848" w:type="pct"/>
            <w:tcBorders>
              <w:top w:val="single" w:color="auto" w:sz="4" w:space="0"/>
              <w:left w:val="single" w:color="auto" w:sz="4" w:space="0"/>
              <w:bottom w:val="single" w:color="auto" w:sz="4" w:space="0"/>
              <w:right w:val="single" w:color="auto" w:sz="4" w:space="0"/>
            </w:tcBorders>
            <w:vAlign w:val="center"/>
          </w:tcPr>
          <w:p w14:paraId="437E884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保洁形式</w:t>
            </w:r>
          </w:p>
        </w:tc>
        <w:tc>
          <w:tcPr>
            <w:tcW w:w="607" w:type="pct"/>
            <w:tcBorders>
              <w:top w:val="single" w:color="auto" w:sz="4" w:space="0"/>
              <w:left w:val="single" w:color="auto" w:sz="4" w:space="0"/>
              <w:bottom w:val="single" w:color="auto" w:sz="4" w:space="0"/>
              <w:right w:val="single" w:color="auto" w:sz="4" w:space="0"/>
            </w:tcBorders>
            <w:vAlign w:val="center"/>
          </w:tcPr>
          <w:p w14:paraId="7EE4844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BJXS</w:t>
            </w:r>
          </w:p>
        </w:tc>
        <w:tc>
          <w:tcPr>
            <w:tcW w:w="671" w:type="pct"/>
            <w:tcBorders>
              <w:top w:val="single" w:color="auto" w:sz="4" w:space="0"/>
              <w:left w:val="single" w:color="auto" w:sz="4" w:space="0"/>
              <w:bottom w:val="single" w:color="auto" w:sz="4" w:space="0"/>
              <w:right w:val="single" w:color="auto" w:sz="4" w:space="0"/>
            </w:tcBorders>
            <w:vAlign w:val="center"/>
          </w:tcPr>
          <w:p w14:paraId="6C900E5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114E13A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397F865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1EC31E1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rPr>
              <w:t>专人</w:t>
            </w:r>
          </w:p>
          <w:p w14:paraId="560C823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2</w:t>
            </w:r>
            <w:r>
              <w:rPr>
                <w:rFonts w:hint="default" w:ascii="宋体" w:hAnsi="宋体" w:eastAsia="宋体"/>
              </w:rPr>
              <w:t>：</w:t>
            </w:r>
            <w:r>
              <w:rPr>
                <w:rFonts w:hint="eastAsia" w:ascii="宋体" w:hAnsi="宋体" w:eastAsia="宋体"/>
              </w:rPr>
              <w:t>巡回</w:t>
            </w:r>
          </w:p>
        </w:tc>
      </w:tr>
      <w:tr w14:paraId="1B0DC8F1">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76582F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17</w:t>
            </w:r>
          </w:p>
        </w:tc>
        <w:tc>
          <w:tcPr>
            <w:tcW w:w="848" w:type="pct"/>
            <w:tcBorders>
              <w:top w:val="single" w:color="auto" w:sz="4" w:space="0"/>
              <w:left w:val="single" w:color="auto" w:sz="4" w:space="0"/>
              <w:bottom w:val="single" w:color="auto" w:sz="4" w:space="0"/>
              <w:right w:val="single" w:color="auto" w:sz="4" w:space="0"/>
            </w:tcBorders>
            <w:vAlign w:val="center"/>
          </w:tcPr>
          <w:p w14:paraId="7537071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无障碍设施</w:t>
            </w:r>
          </w:p>
        </w:tc>
        <w:tc>
          <w:tcPr>
            <w:tcW w:w="607" w:type="pct"/>
            <w:tcBorders>
              <w:top w:val="single" w:color="auto" w:sz="4" w:space="0"/>
              <w:left w:val="single" w:color="auto" w:sz="4" w:space="0"/>
              <w:bottom w:val="single" w:color="auto" w:sz="4" w:space="0"/>
              <w:right w:val="single" w:color="auto" w:sz="4" w:space="0"/>
            </w:tcBorders>
            <w:vAlign w:val="center"/>
          </w:tcPr>
          <w:p w14:paraId="08931F8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WZASS</w:t>
            </w:r>
          </w:p>
        </w:tc>
        <w:tc>
          <w:tcPr>
            <w:tcW w:w="671" w:type="pct"/>
            <w:tcBorders>
              <w:top w:val="single" w:color="auto" w:sz="4" w:space="0"/>
              <w:left w:val="single" w:color="auto" w:sz="4" w:space="0"/>
              <w:bottom w:val="single" w:color="auto" w:sz="4" w:space="0"/>
              <w:right w:val="single" w:color="auto" w:sz="4" w:space="0"/>
            </w:tcBorders>
            <w:vAlign w:val="center"/>
          </w:tcPr>
          <w:p w14:paraId="776E785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3F7C33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276C9A3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1AE93D2C">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2BD15EBE">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BD2510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18</w:t>
            </w:r>
          </w:p>
        </w:tc>
        <w:tc>
          <w:tcPr>
            <w:tcW w:w="848" w:type="pct"/>
            <w:tcBorders>
              <w:top w:val="single" w:color="auto" w:sz="4" w:space="0"/>
              <w:left w:val="single" w:color="auto" w:sz="4" w:space="0"/>
              <w:bottom w:val="single" w:color="auto" w:sz="4" w:space="0"/>
              <w:right w:val="single" w:color="auto" w:sz="4" w:space="0"/>
            </w:tcBorders>
            <w:vAlign w:val="center"/>
          </w:tcPr>
          <w:p w14:paraId="22EA40B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无障碍厕位</w:t>
            </w:r>
          </w:p>
        </w:tc>
        <w:tc>
          <w:tcPr>
            <w:tcW w:w="607" w:type="pct"/>
            <w:tcBorders>
              <w:top w:val="single" w:color="auto" w:sz="4" w:space="0"/>
              <w:left w:val="single" w:color="auto" w:sz="4" w:space="0"/>
              <w:bottom w:val="single" w:color="auto" w:sz="4" w:space="0"/>
              <w:right w:val="single" w:color="auto" w:sz="4" w:space="0"/>
            </w:tcBorders>
            <w:vAlign w:val="center"/>
          </w:tcPr>
          <w:p w14:paraId="7368F44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WZACW</w:t>
            </w:r>
          </w:p>
        </w:tc>
        <w:tc>
          <w:tcPr>
            <w:tcW w:w="671" w:type="pct"/>
            <w:tcBorders>
              <w:top w:val="single" w:color="auto" w:sz="4" w:space="0"/>
              <w:left w:val="single" w:color="auto" w:sz="4" w:space="0"/>
              <w:bottom w:val="single" w:color="auto" w:sz="4" w:space="0"/>
              <w:right w:val="single" w:color="auto" w:sz="4" w:space="0"/>
            </w:tcBorders>
            <w:vAlign w:val="center"/>
          </w:tcPr>
          <w:p w14:paraId="79A616C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AFEE57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344F091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64E55D44">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02FC4C20">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C6EB84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19</w:t>
            </w:r>
          </w:p>
        </w:tc>
        <w:tc>
          <w:tcPr>
            <w:tcW w:w="848" w:type="pct"/>
            <w:tcBorders>
              <w:top w:val="single" w:color="auto" w:sz="4" w:space="0"/>
              <w:left w:val="single" w:color="auto" w:sz="4" w:space="0"/>
              <w:bottom w:val="single" w:color="auto" w:sz="4" w:space="0"/>
              <w:right w:val="single" w:color="auto" w:sz="4" w:space="0"/>
            </w:tcBorders>
            <w:vAlign w:val="center"/>
          </w:tcPr>
          <w:p w14:paraId="2FA195E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是否有第三卫生间</w:t>
            </w:r>
          </w:p>
        </w:tc>
        <w:tc>
          <w:tcPr>
            <w:tcW w:w="607" w:type="pct"/>
            <w:tcBorders>
              <w:top w:val="single" w:color="auto" w:sz="4" w:space="0"/>
              <w:left w:val="single" w:color="auto" w:sz="4" w:space="0"/>
              <w:bottom w:val="single" w:color="auto" w:sz="4" w:space="0"/>
              <w:right w:val="single" w:color="auto" w:sz="4" w:space="0"/>
            </w:tcBorders>
            <w:vAlign w:val="center"/>
          </w:tcPr>
          <w:p w14:paraId="428C1D4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SFYDSWSJ</w:t>
            </w:r>
          </w:p>
        </w:tc>
        <w:tc>
          <w:tcPr>
            <w:tcW w:w="671" w:type="pct"/>
            <w:tcBorders>
              <w:top w:val="single" w:color="auto" w:sz="4" w:space="0"/>
              <w:left w:val="single" w:color="auto" w:sz="4" w:space="0"/>
              <w:bottom w:val="single" w:color="auto" w:sz="4" w:space="0"/>
              <w:right w:val="single" w:color="auto" w:sz="4" w:space="0"/>
            </w:tcBorders>
            <w:vAlign w:val="center"/>
          </w:tcPr>
          <w:p w14:paraId="5E31039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7A6A37C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15A31CD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58501E0A">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color w:val="000000"/>
              </w:rPr>
              <w:t>是</w:t>
            </w:r>
            <w:r>
              <w:rPr>
                <w:rFonts w:hint="default" w:ascii="宋体" w:hAnsi="宋体" w:eastAsia="宋体"/>
                <w:color w:val="000000"/>
              </w:rPr>
              <w:t>；</w:t>
            </w:r>
            <w:r>
              <w:rPr>
                <w:rFonts w:hint="eastAsia" w:ascii="宋体" w:hAnsi="宋体" w:eastAsia="宋体"/>
                <w:color w:val="000000"/>
              </w:rPr>
              <w:t>2</w:t>
            </w:r>
            <w:r>
              <w:rPr>
                <w:rFonts w:hint="default" w:ascii="宋体" w:hAnsi="宋体" w:eastAsia="宋体"/>
                <w:color w:val="000000"/>
              </w:rPr>
              <w:t>：</w:t>
            </w:r>
            <w:r>
              <w:rPr>
                <w:rFonts w:hint="eastAsia" w:ascii="宋体" w:hAnsi="宋体" w:eastAsia="宋体"/>
                <w:color w:val="000000"/>
              </w:rPr>
              <w:t>否</w:t>
            </w:r>
          </w:p>
        </w:tc>
      </w:tr>
      <w:tr w14:paraId="25F41211">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E47479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20</w:t>
            </w:r>
          </w:p>
        </w:tc>
        <w:tc>
          <w:tcPr>
            <w:tcW w:w="848" w:type="pct"/>
            <w:tcBorders>
              <w:top w:val="single" w:color="auto" w:sz="4" w:space="0"/>
              <w:left w:val="single" w:color="auto" w:sz="4" w:space="0"/>
              <w:bottom w:val="single" w:color="auto" w:sz="4" w:space="0"/>
              <w:right w:val="single" w:color="auto" w:sz="4" w:space="0"/>
            </w:tcBorders>
            <w:vAlign w:val="center"/>
          </w:tcPr>
          <w:p w14:paraId="5B48603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收费</w:t>
            </w:r>
            <w:r>
              <w:rPr>
                <w:rFonts w:hint="eastAsia" w:ascii="宋体" w:hAnsi="宋体" w:eastAsia="宋体"/>
                <w:color w:val="000000"/>
                <w:lang w:eastAsia="zh-Hans"/>
              </w:rPr>
              <w:t>类型</w:t>
            </w:r>
          </w:p>
        </w:tc>
        <w:tc>
          <w:tcPr>
            <w:tcW w:w="607" w:type="pct"/>
            <w:tcBorders>
              <w:top w:val="single" w:color="auto" w:sz="4" w:space="0"/>
              <w:left w:val="single" w:color="auto" w:sz="4" w:space="0"/>
              <w:bottom w:val="single" w:color="auto" w:sz="4" w:space="0"/>
              <w:right w:val="single" w:color="auto" w:sz="4" w:space="0"/>
            </w:tcBorders>
            <w:vAlign w:val="center"/>
          </w:tcPr>
          <w:p w14:paraId="4D14903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SF</w:t>
            </w:r>
            <w:r>
              <w:rPr>
                <w:rFonts w:hint="eastAsia" w:ascii="宋体" w:hAnsi="宋体" w:eastAsia="宋体"/>
                <w:color w:val="000000"/>
                <w:lang w:eastAsia="zh-Hans"/>
              </w:rPr>
              <w:t>LX</w:t>
            </w:r>
          </w:p>
        </w:tc>
        <w:tc>
          <w:tcPr>
            <w:tcW w:w="671" w:type="pct"/>
            <w:tcBorders>
              <w:top w:val="single" w:color="auto" w:sz="4" w:space="0"/>
              <w:left w:val="single" w:color="auto" w:sz="4" w:space="0"/>
              <w:bottom w:val="single" w:color="auto" w:sz="4" w:space="0"/>
              <w:right w:val="single" w:color="auto" w:sz="4" w:space="0"/>
            </w:tcBorders>
            <w:vAlign w:val="center"/>
          </w:tcPr>
          <w:p w14:paraId="77760D8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1324052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52C46F3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0C252259">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color w:val="000000"/>
              </w:rPr>
              <w:t>收费</w:t>
            </w:r>
            <w:r>
              <w:rPr>
                <w:rFonts w:hint="default" w:ascii="宋体" w:hAnsi="宋体" w:eastAsia="宋体"/>
                <w:color w:val="000000"/>
              </w:rPr>
              <w:t>；</w:t>
            </w:r>
            <w:r>
              <w:rPr>
                <w:rFonts w:hint="eastAsia" w:ascii="宋体" w:hAnsi="宋体" w:eastAsia="宋体"/>
                <w:color w:val="000000"/>
              </w:rPr>
              <w:t>2</w:t>
            </w:r>
            <w:r>
              <w:rPr>
                <w:rFonts w:hint="default" w:ascii="宋体" w:hAnsi="宋体" w:eastAsia="宋体"/>
                <w:color w:val="000000"/>
              </w:rPr>
              <w:t>：</w:t>
            </w:r>
            <w:r>
              <w:rPr>
                <w:rFonts w:hint="eastAsia" w:ascii="宋体" w:hAnsi="宋体" w:eastAsia="宋体"/>
                <w:color w:val="000000"/>
              </w:rPr>
              <w:t>免费</w:t>
            </w:r>
          </w:p>
        </w:tc>
      </w:tr>
    </w:tbl>
    <w:p w14:paraId="32F45B6C">
      <w:pPr>
        <w:rPr>
          <w:rFonts w:hint="eastAsia" w:ascii="宋体" w:hAnsi="宋体" w:eastAsia="宋体"/>
          <w:lang w:eastAsia="zh-Hans"/>
        </w:rPr>
      </w:pPr>
    </w:p>
    <w:bookmarkEnd w:id="388"/>
    <w:bookmarkEnd w:id="389"/>
    <w:bookmarkEnd w:id="390"/>
    <w:bookmarkEnd w:id="391"/>
    <w:bookmarkEnd w:id="392"/>
    <w:bookmarkEnd w:id="393"/>
    <w:p w14:paraId="099CCC04">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清扫保洁路段主要数据项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6"/>
        <w:gridCol w:w="1248"/>
        <w:gridCol w:w="1214"/>
        <w:gridCol w:w="1084"/>
        <w:gridCol w:w="898"/>
        <w:gridCol w:w="1880"/>
      </w:tblGrid>
      <w:tr w14:paraId="3B34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25E185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72" w:type="pct"/>
            <w:tcBorders>
              <w:top w:val="single" w:color="auto" w:sz="4" w:space="0"/>
              <w:left w:val="single" w:color="auto" w:sz="4" w:space="0"/>
              <w:bottom w:val="single" w:color="auto" w:sz="4" w:space="0"/>
              <w:right w:val="single" w:color="auto" w:sz="4" w:space="0"/>
            </w:tcBorders>
            <w:vAlign w:val="center"/>
          </w:tcPr>
          <w:p w14:paraId="0DBD0F1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732" w:type="pct"/>
            <w:tcBorders>
              <w:top w:val="single" w:color="auto" w:sz="4" w:space="0"/>
              <w:left w:val="single" w:color="auto" w:sz="4" w:space="0"/>
              <w:bottom w:val="single" w:color="auto" w:sz="4" w:space="0"/>
              <w:right w:val="single" w:color="auto" w:sz="4" w:space="0"/>
            </w:tcBorders>
            <w:vAlign w:val="center"/>
          </w:tcPr>
          <w:p w14:paraId="193F45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12" w:type="pct"/>
            <w:tcBorders>
              <w:top w:val="single" w:color="auto" w:sz="4" w:space="0"/>
              <w:left w:val="single" w:color="auto" w:sz="4" w:space="0"/>
              <w:bottom w:val="single" w:color="auto" w:sz="4" w:space="0"/>
              <w:right w:val="single" w:color="auto" w:sz="4" w:space="0"/>
            </w:tcBorders>
            <w:vAlign w:val="center"/>
          </w:tcPr>
          <w:p w14:paraId="1A2F249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6" w:type="pct"/>
            <w:tcBorders>
              <w:top w:val="single" w:color="auto" w:sz="4" w:space="0"/>
              <w:left w:val="single" w:color="auto" w:sz="4" w:space="0"/>
              <w:bottom w:val="single" w:color="auto" w:sz="4" w:space="0"/>
              <w:right w:val="single" w:color="auto" w:sz="4" w:space="0"/>
            </w:tcBorders>
            <w:vAlign w:val="center"/>
          </w:tcPr>
          <w:p w14:paraId="7A9B776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27" w:type="pct"/>
            <w:tcBorders>
              <w:top w:val="single" w:color="auto" w:sz="4" w:space="0"/>
              <w:left w:val="single" w:color="auto" w:sz="4" w:space="0"/>
              <w:bottom w:val="single" w:color="auto" w:sz="4" w:space="0"/>
              <w:right w:val="single" w:color="auto" w:sz="4" w:space="0"/>
            </w:tcBorders>
          </w:tcPr>
          <w:p w14:paraId="440B1A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03" w:type="pct"/>
            <w:tcBorders>
              <w:top w:val="single" w:color="auto" w:sz="4" w:space="0"/>
              <w:left w:val="single" w:color="auto" w:sz="4" w:space="0"/>
              <w:bottom w:val="single" w:color="auto" w:sz="4" w:space="0"/>
              <w:right w:val="single" w:color="auto" w:sz="4" w:space="0"/>
            </w:tcBorders>
            <w:vAlign w:val="center"/>
          </w:tcPr>
          <w:p w14:paraId="2D56AE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39D9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59E1FD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72" w:type="pct"/>
            <w:tcBorders>
              <w:top w:val="single" w:color="auto" w:sz="4" w:space="0"/>
              <w:left w:val="single" w:color="auto" w:sz="4" w:space="0"/>
              <w:bottom w:val="single" w:color="auto" w:sz="4" w:space="0"/>
              <w:right w:val="single" w:color="auto" w:sz="4" w:space="0"/>
            </w:tcBorders>
            <w:vAlign w:val="center"/>
          </w:tcPr>
          <w:p w14:paraId="4C685266">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行政区划代码</w:t>
            </w:r>
          </w:p>
        </w:tc>
        <w:tc>
          <w:tcPr>
            <w:tcW w:w="732" w:type="pct"/>
            <w:tcBorders>
              <w:top w:val="single" w:color="auto" w:sz="4" w:space="0"/>
              <w:left w:val="single" w:color="auto" w:sz="4" w:space="0"/>
              <w:bottom w:val="single" w:color="auto" w:sz="4" w:space="0"/>
              <w:right w:val="single" w:color="auto" w:sz="4" w:space="0"/>
            </w:tcBorders>
            <w:vAlign w:val="center"/>
          </w:tcPr>
          <w:p w14:paraId="207A795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12" w:type="pct"/>
            <w:tcBorders>
              <w:top w:val="single" w:color="auto" w:sz="4" w:space="0"/>
              <w:left w:val="single" w:color="auto" w:sz="4" w:space="0"/>
              <w:bottom w:val="single" w:color="auto" w:sz="4" w:space="0"/>
              <w:right w:val="single" w:color="auto" w:sz="4" w:space="0"/>
            </w:tcBorders>
            <w:vAlign w:val="center"/>
          </w:tcPr>
          <w:p w14:paraId="6D31E06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65C351D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27" w:type="pct"/>
            <w:tcBorders>
              <w:top w:val="single" w:color="auto" w:sz="4" w:space="0"/>
              <w:left w:val="single" w:color="auto" w:sz="4" w:space="0"/>
              <w:bottom w:val="single" w:color="auto" w:sz="4" w:space="0"/>
              <w:right w:val="single" w:color="auto" w:sz="4" w:space="0"/>
            </w:tcBorders>
            <w:vAlign w:val="center"/>
          </w:tcPr>
          <w:p w14:paraId="2050C0B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103" w:type="pct"/>
            <w:tcBorders>
              <w:top w:val="single" w:color="auto" w:sz="4" w:space="0"/>
              <w:left w:val="single" w:color="auto" w:sz="4" w:space="0"/>
              <w:bottom w:val="single" w:color="auto" w:sz="4" w:space="0"/>
              <w:right w:val="single" w:color="auto" w:sz="4" w:space="0"/>
            </w:tcBorders>
            <w:vAlign w:val="center"/>
          </w:tcPr>
          <w:p w14:paraId="3CA70F6E">
            <w:pPr>
              <w:keepNext w:val="0"/>
              <w:keepLines w:val="0"/>
              <w:widowControl/>
              <w:suppressLineNumbers w:val="0"/>
              <w:spacing w:before="0" w:beforeAutospacing="0" w:after="0" w:afterAutospacing="0"/>
              <w:ind w:left="0" w:right="0" w:firstLine="48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7B0B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4ADC3A8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72" w:type="pct"/>
            <w:tcBorders>
              <w:top w:val="single" w:color="auto" w:sz="4" w:space="0"/>
              <w:left w:val="single" w:color="auto" w:sz="4" w:space="0"/>
              <w:bottom w:val="single" w:color="auto" w:sz="4" w:space="0"/>
              <w:right w:val="single" w:color="auto" w:sz="4" w:space="0"/>
            </w:tcBorders>
            <w:vAlign w:val="center"/>
          </w:tcPr>
          <w:p w14:paraId="421951D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路段</w:t>
            </w:r>
            <w:r>
              <w:rPr>
                <w:rFonts w:hint="eastAsia" w:ascii="宋体" w:hAnsi="宋体" w:eastAsia="宋体"/>
                <w:color w:val="000000"/>
              </w:rPr>
              <w:t>编号</w:t>
            </w:r>
          </w:p>
        </w:tc>
        <w:tc>
          <w:tcPr>
            <w:tcW w:w="732" w:type="pct"/>
            <w:tcBorders>
              <w:top w:val="single" w:color="auto" w:sz="4" w:space="0"/>
              <w:left w:val="single" w:color="auto" w:sz="4" w:space="0"/>
              <w:bottom w:val="single" w:color="auto" w:sz="4" w:space="0"/>
              <w:right w:val="single" w:color="auto" w:sz="4" w:space="0"/>
            </w:tcBorders>
            <w:vAlign w:val="center"/>
          </w:tcPr>
          <w:p w14:paraId="37B2053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LD</w:t>
            </w:r>
            <w:r>
              <w:rPr>
                <w:rFonts w:hint="eastAsia" w:ascii="宋体" w:hAnsi="宋体" w:eastAsia="宋体"/>
                <w:color w:val="000000"/>
              </w:rPr>
              <w:t>BH</w:t>
            </w:r>
          </w:p>
        </w:tc>
        <w:tc>
          <w:tcPr>
            <w:tcW w:w="712" w:type="pct"/>
            <w:tcBorders>
              <w:top w:val="single" w:color="auto" w:sz="4" w:space="0"/>
              <w:left w:val="single" w:color="auto" w:sz="4" w:space="0"/>
              <w:bottom w:val="single" w:color="auto" w:sz="4" w:space="0"/>
              <w:right w:val="single" w:color="auto" w:sz="4" w:space="0"/>
            </w:tcBorders>
            <w:vAlign w:val="center"/>
          </w:tcPr>
          <w:p w14:paraId="4BF027E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0CC96E7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527" w:type="pct"/>
            <w:tcBorders>
              <w:top w:val="single" w:color="auto" w:sz="4" w:space="0"/>
              <w:left w:val="single" w:color="auto" w:sz="4" w:space="0"/>
              <w:bottom w:val="single" w:color="auto" w:sz="4" w:space="0"/>
              <w:right w:val="single" w:color="auto" w:sz="4" w:space="0"/>
            </w:tcBorders>
            <w:vAlign w:val="center"/>
          </w:tcPr>
          <w:p w14:paraId="57F3A08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2573847A">
            <w:pPr>
              <w:keepNext w:val="0"/>
              <w:keepLines w:val="0"/>
              <w:suppressLineNumbers w:val="0"/>
              <w:spacing w:before="0" w:beforeAutospacing="0" w:after="0" w:afterAutospacing="0"/>
              <w:ind w:left="0" w:right="0"/>
              <w:jc w:val="left"/>
              <w:rPr>
                <w:rFonts w:hint="eastAsia" w:ascii="宋体" w:hAnsi="宋体" w:eastAsia="宋体"/>
                <w:color w:val="000000"/>
                <w:lang w:bidi="ar"/>
              </w:rPr>
            </w:pPr>
            <w:r>
              <w:rPr>
                <w:rFonts w:hint="eastAsia" w:ascii="宋体" w:hAnsi="宋体" w:eastAsia="宋体"/>
                <w:color w:val="000000"/>
              </w:rPr>
              <w:t>　</w:t>
            </w:r>
          </w:p>
        </w:tc>
      </w:tr>
      <w:tr w14:paraId="2ED4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5256C9E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72" w:type="pct"/>
            <w:tcBorders>
              <w:top w:val="single" w:color="auto" w:sz="4" w:space="0"/>
              <w:left w:val="single" w:color="auto" w:sz="4" w:space="0"/>
              <w:bottom w:val="single" w:color="auto" w:sz="4" w:space="0"/>
              <w:right w:val="single" w:color="auto" w:sz="4" w:space="0"/>
            </w:tcBorders>
            <w:vAlign w:val="center"/>
          </w:tcPr>
          <w:p w14:paraId="35C51BD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路段</w:t>
            </w:r>
            <w:r>
              <w:rPr>
                <w:rFonts w:hint="eastAsia" w:ascii="宋体" w:hAnsi="宋体" w:eastAsia="宋体"/>
                <w:color w:val="000000"/>
              </w:rPr>
              <w:t>名称</w:t>
            </w:r>
          </w:p>
        </w:tc>
        <w:tc>
          <w:tcPr>
            <w:tcW w:w="732" w:type="pct"/>
            <w:tcBorders>
              <w:top w:val="single" w:color="auto" w:sz="4" w:space="0"/>
              <w:left w:val="single" w:color="auto" w:sz="4" w:space="0"/>
              <w:bottom w:val="single" w:color="auto" w:sz="4" w:space="0"/>
              <w:right w:val="single" w:color="auto" w:sz="4" w:space="0"/>
            </w:tcBorders>
            <w:vAlign w:val="center"/>
          </w:tcPr>
          <w:p w14:paraId="478B410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LD</w:t>
            </w:r>
            <w:r>
              <w:rPr>
                <w:rFonts w:hint="eastAsia" w:ascii="宋体" w:hAnsi="宋体" w:eastAsia="宋体"/>
                <w:color w:val="000000"/>
              </w:rPr>
              <w:t>MC</w:t>
            </w:r>
          </w:p>
        </w:tc>
        <w:tc>
          <w:tcPr>
            <w:tcW w:w="712" w:type="pct"/>
            <w:tcBorders>
              <w:top w:val="single" w:color="auto" w:sz="4" w:space="0"/>
              <w:left w:val="single" w:color="auto" w:sz="4" w:space="0"/>
              <w:bottom w:val="single" w:color="auto" w:sz="4" w:space="0"/>
              <w:right w:val="single" w:color="auto" w:sz="4" w:space="0"/>
            </w:tcBorders>
            <w:vAlign w:val="center"/>
          </w:tcPr>
          <w:p w14:paraId="43A6BAE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6" w:type="pct"/>
            <w:tcBorders>
              <w:top w:val="single" w:color="auto" w:sz="4" w:space="0"/>
              <w:left w:val="single" w:color="auto" w:sz="4" w:space="0"/>
              <w:bottom w:val="single" w:color="auto" w:sz="4" w:space="0"/>
              <w:right w:val="single" w:color="auto" w:sz="4" w:space="0"/>
            </w:tcBorders>
            <w:vAlign w:val="center"/>
          </w:tcPr>
          <w:p w14:paraId="1295082B">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2CF5A42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M　</w:t>
            </w:r>
          </w:p>
        </w:tc>
        <w:tc>
          <w:tcPr>
            <w:tcW w:w="1103" w:type="pct"/>
            <w:tcBorders>
              <w:top w:val="single" w:color="auto" w:sz="4" w:space="0"/>
              <w:left w:val="single" w:color="auto" w:sz="4" w:space="0"/>
              <w:bottom w:val="single" w:color="auto" w:sz="4" w:space="0"/>
              <w:right w:val="single" w:color="auto" w:sz="4" w:space="0"/>
            </w:tcBorders>
            <w:vAlign w:val="center"/>
          </w:tcPr>
          <w:p w14:paraId="134CE59C">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0BD4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7646DE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72" w:type="pct"/>
            <w:tcBorders>
              <w:top w:val="single" w:color="auto" w:sz="4" w:space="0"/>
              <w:left w:val="single" w:color="auto" w:sz="4" w:space="0"/>
              <w:bottom w:val="single" w:color="auto" w:sz="4" w:space="0"/>
              <w:right w:val="single" w:color="auto" w:sz="4" w:space="0"/>
            </w:tcBorders>
            <w:vAlign w:val="center"/>
          </w:tcPr>
          <w:p w14:paraId="627488C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起点</w:t>
            </w:r>
          </w:p>
        </w:tc>
        <w:tc>
          <w:tcPr>
            <w:tcW w:w="732" w:type="pct"/>
            <w:tcBorders>
              <w:top w:val="single" w:color="auto" w:sz="4" w:space="0"/>
              <w:left w:val="single" w:color="auto" w:sz="4" w:space="0"/>
              <w:bottom w:val="single" w:color="auto" w:sz="4" w:space="0"/>
              <w:right w:val="single" w:color="auto" w:sz="4" w:space="0"/>
            </w:tcBorders>
            <w:vAlign w:val="center"/>
          </w:tcPr>
          <w:p w14:paraId="5831EBD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QD</w:t>
            </w:r>
          </w:p>
        </w:tc>
        <w:tc>
          <w:tcPr>
            <w:tcW w:w="712" w:type="pct"/>
            <w:tcBorders>
              <w:top w:val="single" w:color="auto" w:sz="4" w:space="0"/>
              <w:left w:val="single" w:color="auto" w:sz="4" w:space="0"/>
              <w:bottom w:val="single" w:color="auto" w:sz="4" w:space="0"/>
              <w:right w:val="single" w:color="auto" w:sz="4" w:space="0"/>
            </w:tcBorders>
            <w:vAlign w:val="center"/>
          </w:tcPr>
          <w:p w14:paraId="2485479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338F996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10</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14:paraId="14A1D6C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3731EC55">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1C57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2334E7E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72" w:type="pct"/>
            <w:tcBorders>
              <w:top w:val="single" w:color="auto" w:sz="4" w:space="0"/>
              <w:left w:val="single" w:color="auto" w:sz="4" w:space="0"/>
              <w:bottom w:val="single" w:color="auto" w:sz="4" w:space="0"/>
              <w:right w:val="single" w:color="auto" w:sz="4" w:space="0"/>
            </w:tcBorders>
            <w:vAlign w:val="center"/>
          </w:tcPr>
          <w:p w14:paraId="063955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终点</w:t>
            </w:r>
          </w:p>
        </w:tc>
        <w:tc>
          <w:tcPr>
            <w:tcW w:w="732" w:type="pct"/>
            <w:tcBorders>
              <w:top w:val="single" w:color="auto" w:sz="4" w:space="0"/>
              <w:left w:val="single" w:color="auto" w:sz="4" w:space="0"/>
              <w:bottom w:val="single" w:color="auto" w:sz="4" w:space="0"/>
              <w:right w:val="single" w:color="auto" w:sz="4" w:space="0"/>
            </w:tcBorders>
            <w:vAlign w:val="center"/>
          </w:tcPr>
          <w:p w14:paraId="003A7CD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ZD</w:t>
            </w:r>
          </w:p>
        </w:tc>
        <w:tc>
          <w:tcPr>
            <w:tcW w:w="712" w:type="pct"/>
            <w:tcBorders>
              <w:top w:val="single" w:color="auto" w:sz="4" w:space="0"/>
              <w:left w:val="single" w:color="auto" w:sz="4" w:space="0"/>
              <w:bottom w:val="single" w:color="auto" w:sz="4" w:space="0"/>
              <w:right w:val="single" w:color="auto" w:sz="4" w:space="0"/>
            </w:tcBorders>
            <w:vAlign w:val="center"/>
          </w:tcPr>
          <w:p w14:paraId="7C319BF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1649955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10</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14:paraId="25241B5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0BACAEC9">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2560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7FD9C52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72" w:type="pct"/>
            <w:tcBorders>
              <w:top w:val="single" w:color="auto" w:sz="4" w:space="0"/>
              <w:left w:val="single" w:color="auto" w:sz="4" w:space="0"/>
              <w:bottom w:val="single" w:color="auto" w:sz="4" w:space="0"/>
              <w:right w:val="single" w:color="auto" w:sz="4" w:space="0"/>
            </w:tcBorders>
            <w:vAlign w:val="center"/>
          </w:tcPr>
          <w:p w14:paraId="0E46D4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道路走向</w:t>
            </w:r>
          </w:p>
        </w:tc>
        <w:tc>
          <w:tcPr>
            <w:tcW w:w="732" w:type="pct"/>
            <w:tcBorders>
              <w:top w:val="single" w:color="auto" w:sz="4" w:space="0"/>
              <w:left w:val="single" w:color="auto" w:sz="4" w:space="0"/>
              <w:bottom w:val="single" w:color="auto" w:sz="4" w:space="0"/>
              <w:right w:val="single" w:color="auto" w:sz="4" w:space="0"/>
            </w:tcBorders>
            <w:vAlign w:val="center"/>
          </w:tcPr>
          <w:p w14:paraId="13972C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DLZX</w:t>
            </w:r>
          </w:p>
        </w:tc>
        <w:tc>
          <w:tcPr>
            <w:tcW w:w="712" w:type="pct"/>
            <w:tcBorders>
              <w:top w:val="single" w:color="auto" w:sz="4" w:space="0"/>
              <w:left w:val="single" w:color="auto" w:sz="4" w:space="0"/>
              <w:bottom w:val="single" w:color="auto" w:sz="4" w:space="0"/>
              <w:right w:val="single" w:color="auto" w:sz="4" w:space="0"/>
            </w:tcBorders>
            <w:vAlign w:val="center"/>
          </w:tcPr>
          <w:p w14:paraId="0FE5D0A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4C4AF5E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　</w:t>
            </w:r>
          </w:p>
        </w:tc>
        <w:tc>
          <w:tcPr>
            <w:tcW w:w="527" w:type="pct"/>
            <w:tcBorders>
              <w:top w:val="single" w:color="auto" w:sz="4" w:space="0"/>
              <w:left w:val="single" w:color="auto" w:sz="4" w:space="0"/>
              <w:bottom w:val="single" w:color="auto" w:sz="4" w:space="0"/>
              <w:right w:val="single" w:color="auto" w:sz="4" w:space="0"/>
            </w:tcBorders>
            <w:vAlign w:val="center"/>
          </w:tcPr>
          <w:p w14:paraId="55A1F22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731DF0A7">
            <w:pPr>
              <w:keepNext w:val="0"/>
              <w:keepLines w:val="0"/>
              <w:suppressLineNumbers w:val="0"/>
              <w:spacing w:before="0" w:beforeAutospacing="0" w:after="0" w:afterAutospacing="0"/>
              <w:ind w:left="0" w:right="0"/>
              <w:jc w:val="center"/>
              <w:rPr>
                <w:rFonts w:hint="eastAsia" w:ascii="宋体" w:hAnsi="宋体" w:eastAsia="宋体"/>
              </w:rPr>
            </w:pPr>
          </w:p>
        </w:tc>
      </w:tr>
      <w:tr w14:paraId="1F14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5AFF38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72" w:type="pct"/>
            <w:tcBorders>
              <w:top w:val="single" w:color="auto" w:sz="4" w:space="0"/>
              <w:left w:val="single" w:color="auto" w:sz="4" w:space="0"/>
              <w:bottom w:val="single" w:color="auto" w:sz="4" w:space="0"/>
              <w:right w:val="single" w:color="auto" w:sz="4" w:space="0"/>
            </w:tcBorders>
            <w:vAlign w:val="center"/>
          </w:tcPr>
          <w:p w14:paraId="2C7CFCE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道路等级</w:t>
            </w:r>
          </w:p>
        </w:tc>
        <w:tc>
          <w:tcPr>
            <w:tcW w:w="732" w:type="pct"/>
            <w:tcBorders>
              <w:top w:val="single" w:color="auto" w:sz="4" w:space="0"/>
              <w:left w:val="single" w:color="auto" w:sz="4" w:space="0"/>
              <w:bottom w:val="single" w:color="auto" w:sz="4" w:space="0"/>
              <w:right w:val="single" w:color="auto" w:sz="4" w:space="0"/>
            </w:tcBorders>
            <w:vAlign w:val="center"/>
          </w:tcPr>
          <w:p w14:paraId="7018669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DLDJ</w:t>
            </w:r>
          </w:p>
        </w:tc>
        <w:tc>
          <w:tcPr>
            <w:tcW w:w="712" w:type="pct"/>
            <w:tcBorders>
              <w:top w:val="single" w:color="auto" w:sz="4" w:space="0"/>
              <w:left w:val="single" w:color="auto" w:sz="4" w:space="0"/>
              <w:bottom w:val="single" w:color="auto" w:sz="4" w:space="0"/>
              <w:right w:val="single" w:color="auto" w:sz="4" w:space="0"/>
            </w:tcBorders>
            <w:vAlign w:val="center"/>
          </w:tcPr>
          <w:p w14:paraId="7F3AF91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int</w:t>
            </w:r>
          </w:p>
        </w:tc>
        <w:tc>
          <w:tcPr>
            <w:tcW w:w="636" w:type="pct"/>
            <w:tcBorders>
              <w:top w:val="single" w:color="auto" w:sz="4" w:space="0"/>
              <w:left w:val="single" w:color="auto" w:sz="4" w:space="0"/>
              <w:bottom w:val="single" w:color="auto" w:sz="4" w:space="0"/>
              <w:right w:val="single" w:color="auto" w:sz="4" w:space="0"/>
            </w:tcBorders>
            <w:vAlign w:val="center"/>
          </w:tcPr>
          <w:p w14:paraId="0F0FF4AB">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3BB068F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202D5A6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color w:val="000000"/>
              </w:rPr>
              <w:t>一级</w:t>
            </w:r>
          </w:p>
          <w:p w14:paraId="507D90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二级</w:t>
            </w:r>
          </w:p>
          <w:p w14:paraId="399251A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三级</w:t>
            </w:r>
            <w:r>
              <w:rPr>
                <w:rFonts w:hint="default" w:ascii="宋体" w:hAnsi="宋体" w:eastAsia="宋体"/>
              </w:rPr>
              <w:br w:type="textWrapping"/>
            </w:r>
            <w:r>
              <w:rPr>
                <w:rFonts w:hint="default" w:ascii="宋体" w:hAnsi="宋体" w:eastAsia="宋体"/>
              </w:rPr>
              <w:t>4：</w:t>
            </w:r>
            <w:r>
              <w:rPr>
                <w:rFonts w:hint="eastAsia" w:ascii="宋体" w:hAnsi="宋体" w:eastAsia="宋体"/>
              </w:rPr>
              <w:t>四级</w:t>
            </w:r>
          </w:p>
        </w:tc>
      </w:tr>
      <w:tr w14:paraId="6AC8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7BA87B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72" w:type="pct"/>
            <w:tcBorders>
              <w:top w:val="single" w:color="auto" w:sz="4" w:space="0"/>
              <w:left w:val="single" w:color="auto" w:sz="4" w:space="0"/>
              <w:bottom w:val="single" w:color="auto" w:sz="4" w:space="0"/>
              <w:right w:val="single" w:color="auto" w:sz="4" w:space="0"/>
            </w:tcBorders>
            <w:vAlign w:val="center"/>
          </w:tcPr>
          <w:p w14:paraId="39D4381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路段</w:t>
            </w:r>
            <w:r>
              <w:rPr>
                <w:rFonts w:hint="eastAsia" w:ascii="宋体" w:hAnsi="宋体" w:eastAsia="宋体"/>
                <w:color w:val="000000"/>
              </w:rPr>
              <w:t>长度</w:t>
            </w:r>
          </w:p>
        </w:tc>
        <w:tc>
          <w:tcPr>
            <w:tcW w:w="732" w:type="pct"/>
            <w:tcBorders>
              <w:top w:val="single" w:color="auto" w:sz="4" w:space="0"/>
              <w:left w:val="single" w:color="auto" w:sz="4" w:space="0"/>
              <w:bottom w:val="single" w:color="auto" w:sz="4" w:space="0"/>
              <w:right w:val="single" w:color="auto" w:sz="4" w:space="0"/>
            </w:tcBorders>
            <w:vAlign w:val="center"/>
          </w:tcPr>
          <w:p w14:paraId="24FA34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LD</w:t>
            </w:r>
            <w:r>
              <w:rPr>
                <w:rFonts w:hint="eastAsia" w:ascii="宋体" w:hAnsi="宋体" w:eastAsia="宋体"/>
                <w:color w:val="000000"/>
              </w:rPr>
              <w:t>CD</w:t>
            </w:r>
          </w:p>
        </w:tc>
        <w:tc>
          <w:tcPr>
            <w:tcW w:w="712" w:type="pct"/>
            <w:tcBorders>
              <w:top w:val="single" w:color="auto" w:sz="4" w:space="0"/>
              <w:left w:val="single" w:color="auto" w:sz="4" w:space="0"/>
              <w:bottom w:val="single" w:color="auto" w:sz="4" w:space="0"/>
              <w:right w:val="single" w:color="auto" w:sz="4" w:space="0"/>
            </w:tcBorders>
            <w:vAlign w:val="center"/>
          </w:tcPr>
          <w:p w14:paraId="6B08ECC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4CB5430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3DF24E6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M　</w:t>
            </w:r>
          </w:p>
        </w:tc>
        <w:tc>
          <w:tcPr>
            <w:tcW w:w="1103" w:type="pct"/>
            <w:tcBorders>
              <w:top w:val="single" w:color="auto" w:sz="4" w:space="0"/>
              <w:left w:val="single" w:color="auto" w:sz="4" w:space="0"/>
              <w:bottom w:val="single" w:color="auto" w:sz="4" w:space="0"/>
              <w:right w:val="single" w:color="auto" w:sz="4" w:space="0"/>
            </w:tcBorders>
            <w:vAlign w:val="center"/>
          </w:tcPr>
          <w:p w14:paraId="00C4E49E">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7438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402A2F4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72" w:type="pct"/>
            <w:tcBorders>
              <w:top w:val="single" w:color="auto" w:sz="4" w:space="0"/>
              <w:left w:val="single" w:color="auto" w:sz="4" w:space="0"/>
              <w:bottom w:val="single" w:color="auto" w:sz="4" w:space="0"/>
              <w:right w:val="single" w:color="auto" w:sz="4" w:space="0"/>
            </w:tcBorders>
            <w:vAlign w:val="center"/>
          </w:tcPr>
          <w:p w14:paraId="0868898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总面积</w:t>
            </w:r>
          </w:p>
        </w:tc>
        <w:tc>
          <w:tcPr>
            <w:tcW w:w="732" w:type="pct"/>
            <w:tcBorders>
              <w:top w:val="single" w:color="auto" w:sz="4" w:space="0"/>
              <w:left w:val="single" w:color="auto" w:sz="4" w:space="0"/>
              <w:bottom w:val="single" w:color="auto" w:sz="4" w:space="0"/>
              <w:right w:val="single" w:color="auto" w:sz="4" w:space="0"/>
            </w:tcBorders>
            <w:vAlign w:val="center"/>
          </w:tcPr>
          <w:p w14:paraId="2DE0493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ZMJ</w:t>
            </w:r>
          </w:p>
        </w:tc>
        <w:tc>
          <w:tcPr>
            <w:tcW w:w="712" w:type="pct"/>
            <w:tcBorders>
              <w:top w:val="single" w:color="auto" w:sz="4" w:space="0"/>
              <w:left w:val="single" w:color="auto" w:sz="4" w:space="0"/>
              <w:bottom w:val="single" w:color="auto" w:sz="4" w:space="0"/>
              <w:right w:val="single" w:color="auto" w:sz="4" w:space="0"/>
            </w:tcBorders>
            <w:vAlign w:val="center"/>
          </w:tcPr>
          <w:p w14:paraId="0A93209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13BC06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1A85670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M　</w:t>
            </w:r>
          </w:p>
        </w:tc>
        <w:tc>
          <w:tcPr>
            <w:tcW w:w="1103" w:type="pct"/>
            <w:tcBorders>
              <w:top w:val="single" w:color="auto" w:sz="4" w:space="0"/>
              <w:left w:val="single" w:color="auto" w:sz="4" w:space="0"/>
              <w:bottom w:val="single" w:color="auto" w:sz="4" w:space="0"/>
              <w:right w:val="single" w:color="auto" w:sz="4" w:space="0"/>
            </w:tcBorders>
            <w:vAlign w:val="center"/>
          </w:tcPr>
          <w:p w14:paraId="53BA3118">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6A7A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012EAB2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72" w:type="pct"/>
            <w:tcBorders>
              <w:top w:val="single" w:color="auto" w:sz="4" w:space="0"/>
              <w:left w:val="single" w:color="auto" w:sz="4" w:space="0"/>
              <w:bottom w:val="single" w:color="auto" w:sz="4" w:space="0"/>
              <w:right w:val="single" w:color="auto" w:sz="4" w:space="0"/>
            </w:tcBorders>
            <w:vAlign w:val="center"/>
          </w:tcPr>
          <w:p w14:paraId="34EB972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主路面积</w:t>
            </w:r>
          </w:p>
        </w:tc>
        <w:tc>
          <w:tcPr>
            <w:tcW w:w="732" w:type="pct"/>
            <w:tcBorders>
              <w:top w:val="single" w:color="auto" w:sz="4" w:space="0"/>
              <w:left w:val="single" w:color="auto" w:sz="4" w:space="0"/>
              <w:bottom w:val="single" w:color="auto" w:sz="4" w:space="0"/>
              <w:right w:val="single" w:color="auto" w:sz="4" w:space="0"/>
            </w:tcBorders>
            <w:vAlign w:val="center"/>
          </w:tcPr>
          <w:p w14:paraId="1643D7D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ZLMJ</w:t>
            </w:r>
          </w:p>
        </w:tc>
        <w:tc>
          <w:tcPr>
            <w:tcW w:w="712" w:type="pct"/>
            <w:tcBorders>
              <w:top w:val="single" w:color="auto" w:sz="4" w:space="0"/>
              <w:left w:val="single" w:color="auto" w:sz="4" w:space="0"/>
              <w:bottom w:val="single" w:color="auto" w:sz="4" w:space="0"/>
              <w:right w:val="single" w:color="auto" w:sz="4" w:space="0"/>
            </w:tcBorders>
            <w:vAlign w:val="center"/>
          </w:tcPr>
          <w:p w14:paraId="42AD82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6F4BAF1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5BA00BD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3FE89E27">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481B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24E433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11</w:t>
            </w:r>
          </w:p>
        </w:tc>
        <w:tc>
          <w:tcPr>
            <w:tcW w:w="872" w:type="pct"/>
            <w:tcBorders>
              <w:top w:val="single" w:color="auto" w:sz="4" w:space="0"/>
              <w:left w:val="single" w:color="auto" w:sz="4" w:space="0"/>
              <w:bottom w:val="single" w:color="auto" w:sz="4" w:space="0"/>
              <w:right w:val="single" w:color="auto" w:sz="4" w:space="0"/>
            </w:tcBorders>
            <w:vAlign w:val="center"/>
          </w:tcPr>
          <w:p w14:paraId="679B9FE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辅路面积</w:t>
            </w:r>
          </w:p>
        </w:tc>
        <w:tc>
          <w:tcPr>
            <w:tcW w:w="732" w:type="pct"/>
            <w:tcBorders>
              <w:top w:val="single" w:color="auto" w:sz="4" w:space="0"/>
              <w:left w:val="single" w:color="auto" w:sz="4" w:space="0"/>
              <w:bottom w:val="single" w:color="auto" w:sz="4" w:space="0"/>
              <w:right w:val="single" w:color="auto" w:sz="4" w:space="0"/>
            </w:tcBorders>
            <w:vAlign w:val="center"/>
          </w:tcPr>
          <w:p w14:paraId="2EA16E9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FLMJ</w:t>
            </w:r>
          </w:p>
        </w:tc>
        <w:tc>
          <w:tcPr>
            <w:tcW w:w="712" w:type="pct"/>
            <w:tcBorders>
              <w:top w:val="single" w:color="auto" w:sz="4" w:space="0"/>
              <w:left w:val="single" w:color="auto" w:sz="4" w:space="0"/>
              <w:bottom w:val="single" w:color="auto" w:sz="4" w:space="0"/>
              <w:right w:val="single" w:color="auto" w:sz="4" w:space="0"/>
            </w:tcBorders>
            <w:vAlign w:val="center"/>
          </w:tcPr>
          <w:p w14:paraId="1F20C7A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1C46C7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4ED560C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056F14D2">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5663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22C1740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72" w:type="pct"/>
            <w:tcBorders>
              <w:top w:val="single" w:color="auto" w:sz="4" w:space="0"/>
              <w:left w:val="single" w:color="auto" w:sz="4" w:space="0"/>
              <w:bottom w:val="single" w:color="auto" w:sz="4" w:space="0"/>
              <w:right w:val="single" w:color="auto" w:sz="4" w:space="0"/>
            </w:tcBorders>
            <w:vAlign w:val="center"/>
          </w:tcPr>
          <w:p w14:paraId="6237BCF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人行道面积</w:t>
            </w:r>
          </w:p>
        </w:tc>
        <w:tc>
          <w:tcPr>
            <w:tcW w:w="732" w:type="pct"/>
            <w:tcBorders>
              <w:top w:val="single" w:color="auto" w:sz="4" w:space="0"/>
              <w:left w:val="single" w:color="auto" w:sz="4" w:space="0"/>
              <w:bottom w:val="single" w:color="auto" w:sz="4" w:space="0"/>
              <w:right w:val="single" w:color="auto" w:sz="4" w:space="0"/>
            </w:tcBorders>
            <w:vAlign w:val="center"/>
          </w:tcPr>
          <w:p w14:paraId="118D6A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RXDMJ</w:t>
            </w:r>
          </w:p>
        </w:tc>
        <w:tc>
          <w:tcPr>
            <w:tcW w:w="712" w:type="pct"/>
            <w:tcBorders>
              <w:top w:val="single" w:color="auto" w:sz="4" w:space="0"/>
              <w:left w:val="single" w:color="auto" w:sz="4" w:space="0"/>
              <w:bottom w:val="single" w:color="auto" w:sz="4" w:space="0"/>
              <w:right w:val="single" w:color="auto" w:sz="4" w:space="0"/>
            </w:tcBorders>
            <w:vAlign w:val="center"/>
          </w:tcPr>
          <w:p w14:paraId="4B29DF5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7356B9F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640182A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31039096">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1A1C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2EFE6A2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13</w:t>
            </w:r>
          </w:p>
        </w:tc>
        <w:tc>
          <w:tcPr>
            <w:tcW w:w="872" w:type="pct"/>
            <w:tcBorders>
              <w:top w:val="single" w:color="auto" w:sz="4" w:space="0"/>
              <w:left w:val="single" w:color="auto" w:sz="4" w:space="0"/>
              <w:bottom w:val="single" w:color="auto" w:sz="4" w:space="0"/>
              <w:right w:val="single" w:color="auto" w:sz="4" w:space="0"/>
            </w:tcBorders>
            <w:vAlign w:val="center"/>
          </w:tcPr>
          <w:p w14:paraId="656239A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绿化带面积</w:t>
            </w:r>
          </w:p>
        </w:tc>
        <w:tc>
          <w:tcPr>
            <w:tcW w:w="732" w:type="pct"/>
            <w:tcBorders>
              <w:top w:val="single" w:color="auto" w:sz="4" w:space="0"/>
              <w:left w:val="single" w:color="auto" w:sz="4" w:space="0"/>
              <w:bottom w:val="single" w:color="auto" w:sz="4" w:space="0"/>
              <w:right w:val="single" w:color="auto" w:sz="4" w:space="0"/>
            </w:tcBorders>
            <w:vAlign w:val="center"/>
          </w:tcPr>
          <w:p w14:paraId="362AD2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LHDMJ</w:t>
            </w:r>
          </w:p>
        </w:tc>
        <w:tc>
          <w:tcPr>
            <w:tcW w:w="712" w:type="pct"/>
            <w:tcBorders>
              <w:top w:val="single" w:color="auto" w:sz="4" w:space="0"/>
              <w:left w:val="single" w:color="auto" w:sz="4" w:space="0"/>
              <w:bottom w:val="single" w:color="auto" w:sz="4" w:space="0"/>
              <w:right w:val="single" w:color="auto" w:sz="4" w:space="0"/>
            </w:tcBorders>
            <w:vAlign w:val="center"/>
          </w:tcPr>
          <w:p w14:paraId="3676D3B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316914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4B3355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45BD2B3A">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3077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6E64CE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72" w:type="pct"/>
            <w:tcBorders>
              <w:top w:val="single" w:color="auto" w:sz="4" w:space="0"/>
              <w:left w:val="single" w:color="auto" w:sz="4" w:space="0"/>
              <w:bottom w:val="single" w:color="auto" w:sz="4" w:space="0"/>
              <w:right w:val="single" w:color="auto" w:sz="4" w:space="0"/>
            </w:tcBorders>
            <w:vAlign w:val="center"/>
          </w:tcPr>
          <w:p w14:paraId="052EBE9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隔离带面积</w:t>
            </w:r>
          </w:p>
        </w:tc>
        <w:tc>
          <w:tcPr>
            <w:tcW w:w="732" w:type="pct"/>
            <w:tcBorders>
              <w:top w:val="single" w:color="auto" w:sz="4" w:space="0"/>
              <w:left w:val="single" w:color="auto" w:sz="4" w:space="0"/>
              <w:bottom w:val="single" w:color="auto" w:sz="4" w:space="0"/>
              <w:right w:val="single" w:color="auto" w:sz="4" w:space="0"/>
            </w:tcBorders>
            <w:vAlign w:val="center"/>
          </w:tcPr>
          <w:p w14:paraId="035F247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GLDMJ</w:t>
            </w:r>
          </w:p>
        </w:tc>
        <w:tc>
          <w:tcPr>
            <w:tcW w:w="712" w:type="pct"/>
            <w:tcBorders>
              <w:top w:val="single" w:color="auto" w:sz="4" w:space="0"/>
              <w:left w:val="single" w:color="auto" w:sz="4" w:space="0"/>
              <w:bottom w:val="single" w:color="auto" w:sz="4" w:space="0"/>
              <w:right w:val="single" w:color="auto" w:sz="4" w:space="0"/>
            </w:tcBorders>
            <w:vAlign w:val="center"/>
          </w:tcPr>
          <w:p w14:paraId="3EFBB16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6283F98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4AA5722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1D2B2D37">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741A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73BF67F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15</w:t>
            </w:r>
          </w:p>
        </w:tc>
        <w:tc>
          <w:tcPr>
            <w:tcW w:w="872" w:type="pct"/>
            <w:tcBorders>
              <w:top w:val="single" w:color="auto" w:sz="4" w:space="0"/>
              <w:left w:val="single" w:color="auto" w:sz="4" w:space="0"/>
              <w:bottom w:val="single" w:color="auto" w:sz="4" w:space="0"/>
              <w:right w:val="single" w:color="auto" w:sz="4" w:space="0"/>
            </w:tcBorders>
            <w:vAlign w:val="center"/>
          </w:tcPr>
          <w:p w14:paraId="0992C6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是否有护栏</w:t>
            </w:r>
          </w:p>
        </w:tc>
        <w:tc>
          <w:tcPr>
            <w:tcW w:w="732" w:type="pct"/>
            <w:tcBorders>
              <w:top w:val="single" w:color="auto" w:sz="4" w:space="0"/>
              <w:left w:val="single" w:color="auto" w:sz="4" w:space="0"/>
              <w:bottom w:val="single" w:color="auto" w:sz="4" w:space="0"/>
              <w:right w:val="single" w:color="auto" w:sz="4" w:space="0"/>
            </w:tcBorders>
            <w:vAlign w:val="center"/>
          </w:tcPr>
          <w:p w14:paraId="2B40FA5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SFYHL</w:t>
            </w:r>
          </w:p>
        </w:tc>
        <w:tc>
          <w:tcPr>
            <w:tcW w:w="712" w:type="pct"/>
            <w:tcBorders>
              <w:top w:val="single" w:color="auto" w:sz="4" w:space="0"/>
              <w:left w:val="single" w:color="auto" w:sz="4" w:space="0"/>
              <w:bottom w:val="single" w:color="auto" w:sz="4" w:space="0"/>
              <w:right w:val="single" w:color="auto" w:sz="4" w:space="0"/>
            </w:tcBorders>
            <w:vAlign w:val="center"/>
          </w:tcPr>
          <w:p w14:paraId="14044E0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boolean</w:t>
            </w:r>
          </w:p>
        </w:tc>
        <w:tc>
          <w:tcPr>
            <w:tcW w:w="636" w:type="pct"/>
            <w:tcBorders>
              <w:top w:val="single" w:color="auto" w:sz="4" w:space="0"/>
              <w:left w:val="single" w:color="auto" w:sz="4" w:space="0"/>
              <w:bottom w:val="single" w:color="auto" w:sz="4" w:space="0"/>
              <w:right w:val="single" w:color="auto" w:sz="4" w:space="0"/>
            </w:tcBorders>
            <w:vAlign w:val="center"/>
          </w:tcPr>
          <w:p w14:paraId="5702D6F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1D7AD85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67893328">
            <w:pPr>
              <w:keepNext w:val="0"/>
              <w:keepLines w:val="0"/>
              <w:suppressLineNumbers w:val="0"/>
              <w:spacing w:before="0" w:beforeAutospacing="0" w:after="0" w:afterAutospacing="0"/>
              <w:ind w:left="0" w:right="0"/>
              <w:jc w:val="left"/>
              <w:rPr>
                <w:rFonts w:hint="eastAsia" w:ascii="宋体" w:hAnsi="宋体" w:eastAsia="宋体"/>
              </w:rPr>
            </w:pPr>
          </w:p>
        </w:tc>
      </w:tr>
    </w:tbl>
    <w:p w14:paraId="65A787FF">
      <w:pPr>
        <w:ind w:firstLine="480"/>
        <w:rPr>
          <w:rFonts w:hint="eastAsia" w:ascii="宋体" w:hAnsi="宋体" w:eastAsia="宋体"/>
          <w:lang w:eastAsia="zh-Hans"/>
        </w:rPr>
      </w:pP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1A1B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5000" w:type="pct"/>
            <w:gridSpan w:val="7"/>
            <w:vAlign w:val="center"/>
          </w:tcPr>
          <w:p w14:paraId="1447CD7E">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清扫保洁作业主要数据项</w:t>
            </w:r>
          </w:p>
        </w:tc>
      </w:tr>
      <w:tr w14:paraId="0AAC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399" w:type="pct"/>
            <w:vAlign w:val="center"/>
          </w:tcPr>
          <w:p w14:paraId="2FF194D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vAlign w:val="center"/>
          </w:tcPr>
          <w:p w14:paraId="6B1DB10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vAlign w:val="center"/>
          </w:tcPr>
          <w:p w14:paraId="0198B63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vAlign w:val="center"/>
          </w:tcPr>
          <w:p w14:paraId="34C52FC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vAlign w:val="center"/>
          </w:tcPr>
          <w:p w14:paraId="1D55591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vAlign w:val="center"/>
          </w:tcPr>
          <w:p w14:paraId="576578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vAlign w:val="center"/>
          </w:tcPr>
          <w:p w14:paraId="4649E57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554D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502A3B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vAlign w:val="center"/>
          </w:tcPr>
          <w:p w14:paraId="4E28D45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vAlign w:val="center"/>
          </w:tcPr>
          <w:p w14:paraId="5CEDD2E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vAlign w:val="center"/>
          </w:tcPr>
          <w:p w14:paraId="3AEE09E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vAlign w:val="center"/>
          </w:tcPr>
          <w:p w14:paraId="13D940B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vAlign w:val="center"/>
          </w:tcPr>
          <w:p w14:paraId="0E3AA8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vAlign w:val="center"/>
          </w:tcPr>
          <w:p w14:paraId="76D59AAF">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4750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33E4F30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vAlign w:val="center"/>
          </w:tcPr>
          <w:p w14:paraId="6EF7F2E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路段编号</w:t>
            </w:r>
          </w:p>
        </w:tc>
        <w:tc>
          <w:tcPr>
            <w:tcW w:w="607" w:type="pct"/>
            <w:vAlign w:val="center"/>
          </w:tcPr>
          <w:p w14:paraId="08B236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LDB</w:t>
            </w:r>
            <w:r>
              <w:rPr>
                <w:rFonts w:hint="eastAsia" w:ascii="宋体" w:hAnsi="宋体" w:eastAsia="宋体"/>
                <w:color w:val="000000"/>
                <w:lang w:eastAsia="zh-Hans"/>
              </w:rPr>
              <w:t>H</w:t>
            </w:r>
          </w:p>
        </w:tc>
        <w:tc>
          <w:tcPr>
            <w:tcW w:w="671" w:type="pct"/>
            <w:vAlign w:val="center"/>
          </w:tcPr>
          <w:p w14:paraId="579208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631" w:type="pct"/>
            <w:vAlign w:val="center"/>
          </w:tcPr>
          <w:p w14:paraId="1E0E7C62">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14:paraId="5CEBA60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M</w:t>
            </w:r>
          </w:p>
        </w:tc>
        <w:tc>
          <w:tcPr>
            <w:tcW w:w="1070" w:type="pct"/>
            <w:vAlign w:val="center"/>
          </w:tcPr>
          <w:p w14:paraId="3EFD22E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路段编号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31</w:t>
            </w:r>
          </w:p>
        </w:tc>
      </w:tr>
      <w:tr w14:paraId="718E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60CEFB3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vAlign w:val="center"/>
          </w:tcPr>
          <w:p w14:paraId="7D4EC39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作业开始时间</w:t>
            </w:r>
          </w:p>
        </w:tc>
        <w:tc>
          <w:tcPr>
            <w:tcW w:w="607" w:type="pct"/>
            <w:vAlign w:val="center"/>
          </w:tcPr>
          <w:p w14:paraId="0BC56F8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ZYKSSJ</w:t>
            </w:r>
          </w:p>
        </w:tc>
        <w:tc>
          <w:tcPr>
            <w:tcW w:w="671" w:type="pct"/>
            <w:vAlign w:val="center"/>
          </w:tcPr>
          <w:p w14:paraId="6F923F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vAlign w:val="center"/>
          </w:tcPr>
          <w:p w14:paraId="63438DA6">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14:paraId="6D44ABF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M</w:t>
            </w:r>
          </w:p>
        </w:tc>
        <w:tc>
          <w:tcPr>
            <w:tcW w:w="1070" w:type="pct"/>
            <w:vAlign w:val="center"/>
          </w:tcPr>
          <w:p w14:paraId="480D6443">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7489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664F2C2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vAlign w:val="center"/>
          </w:tcPr>
          <w:p w14:paraId="0BC144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作业结束时间</w:t>
            </w:r>
          </w:p>
        </w:tc>
        <w:tc>
          <w:tcPr>
            <w:tcW w:w="607" w:type="pct"/>
            <w:vAlign w:val="center"/>
          </w:tcPr>
          <w:p w14:paraId="3ABB064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ZYJSSJ</w:t>
            </w:r>
          </w:p>
        </w:tc>
        <w:tc>
          <w:tcPr>
            <w:tcW w:w="671" w:type="pct"/>
            <w:vAlign w:val="center"/>
          </w:tcPr>
          <w:p w14:paraId="3A60695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vAlign w:val="center"/>
          </w:tcPr>
          <w:p w14:paraId="1B23FA26">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14:paraId="14D7CC5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vAlign w:val="center"/>
          </w:tcPr>
          <w:p w14:paraId="46407D2F">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4E9E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0306E9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8" w:type="pct"/>
            <w:vAlign w:val="center"/>
          </w:tcPr>
          <w:p w14:paraId="05F3934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作业</w:t>
            </w:r>
            <w:r>
              <w:rPr>
                <w:rFonts w:hint="eastAsia" w:ascii="宋体" w:hAnsi="宋体" w:eastAsia="宋体"/>
                <w:color w:val="000000"/>
              </w:rPr>
              <w:t>车辆类型</w:t>
            </w:r>
          </w:p>
        </w:tc>
        <w:tc>
          <w:tcPr>
            <w:tcW w:w="607" w:type="pct"/>
            <w:vAlign w:val="center"/>
          </w:tcPr>
          <w:p w14:paraId="2F55DC0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ZY</w:t>
            </w:r>
            <w:r>
              <w:rPr>
                <w:rFonts w:hint="eastAsia" w:ascii="宋体" w:hAnsi="宋体" w:eastAsia="宋体"/>
                <w:color w:val="000000"/>
              </w:rPr>
              <w:t>CLLX</w:t>
            </w:r>
          </w:p>
        </w:tc>
        <w:tc>
          <w:tcPr>
            <w:tcW w:w="671" w:type="pct"/>
            <w:vAlign w:val="center"/>
          </w:tcPr>
          <w:p w14:paraId="0464708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vAlign w:val="center"/>
          </w:tcPr>
          <w:p w14:paraId="03B0DC0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w:t>
            </w:r>
            <w:r>
              <w:rPr>
                <w:rFonts w:hint="eastAsia" w:ascii="宋体" w:hAnsi="宋体" w:eastAsia="宋体"/>
                <w:color w:val="000000"/>
              </w:rPr>
              <w:t>00</w:t>
            </w:r>
          </w:p>
        </w:tc>
        <w:tc>
          <w:tcPr>
            <w:tcW w:w="774" w:type="pct"/>
            <w:vAlign w:val="center"/>
          </w:tcPr>
          <w:p w14:paraId="521F48A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vAlign w:val="center"/>
          </w:tcPr>
          <w:p w14:paraId="7610E168">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4176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39E522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vAlign w:val="center"/>
          </w:tcPr>
          <w:p w14:paraId="5366BA0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作业车辆</w:t>
            </w:r>
            <w:r>
              <w:rPr>
                <w:rFonts w:hint="eastAsia" w:ascii="宋体" w:hAnsi="宋体" w:eastAsia="宋体"/>
                <w:color w:val="000000"/>
                <w:lang w:eastAsia="zh-Hans"/>
              </w:rPr>
              <w:t>车牌号</w:t>
            </w:r>
          </w:p>
        </w:tc>
        <w:tc>
          <w:tcPr>
            <w:tcW w:w="607" w:type="pct"/>
            <w:vAlign w:val="center"/>
          </w:tcPr>
          <w:p w14:paraId="33BDEDB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ZYCL</w:t>
            </w:r>
            <w:r>
              <w:rPr>
                <w:rFonts w:hint="eastAsia" w:ascii="宋体" w:hAnsi="宋体" w:eastAsia="宋体"/>
                <w:color w:val="000000"/>
                <w:lang w:eastAsia="zh-Hans"/>
              </w:rPr>
              <w:t>CPH</w:t>
            </w:r>
          </w:p>
        </w:tc>
        <w:tc>
          <w:tcPr>
            <w:tcW w:w="671" w:type="pct"/>
            <w:vAlign w:val="center"/>
          </w:tcPr>
          <w:p w14:paraId="6908807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vAlign w:val="center"/>
          </w:tcPr>
          <w:p w14:paraId="2C6BBCB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w:t>
            </w:r>
          </w:p>
        </w:tc>
        <w:tc>
          <w:tcPr>
            <w:tcW w:w="774" w:type="pct"/>
            <w:vAlign w:val="center"/>
          </w:tcPr>
          <w:p w14:paraId="1C99A86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O</w:t>
            </w:r>
          </w:p>
        </w:tc>
        <w:tc>
          <w:tcPr>
            <w:tcW w:w="1070" w:type="pct"/>
            <w:vAlign w:val="center"/>
          </w:tcPr>
          <w:p w14:paraId="292F1A80">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332B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3F3E595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vAlign w:val="center"/>
          </w:tcPr>
          <w:p w14:paraId="6CE5A94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作业车速</w:t>
            </w:r>
          </w:p>
        </w:tc>
        <w:tc>
          <w:tcPr>
            <w:tcW w:w="607" w:type="pct"/>
            <w:vAlign w:val="center"/>
          </w:tcPr>
          <w:p w14:paraId="74F9AE4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ZYCS</w:t>
            </w:r>
          </w:p>
        </w:tc>
        <w:tc>
          <w:tcPr>
            <w:tcW w:w="671" w:type="pct"/>
            <w:vAlign w:val="center"/>
          </w:tcPr>
          <w:p w14:paraId="41FA09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vAlign w:val="center"/>
          </w:tcPr>
          <w:p w14:paraId="78596AC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14:paraId="4714C26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vAlign w:val="center"/>
          </w:tcPr>
          <w:p w14:paraId="04AE3C41">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1C5D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1E5288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8" w:type="pct"/>
            <w:vAlign w:val="center"/>
          </w:tcPr>
          <w:p w14:paraId="7B4A6B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有效作业次数</w:t>
            </w:r>
          </w:p>
        </w:tc>
        <w:tc>
          <w:tcPr>
            <w:tcW w:w="607" w:type="pct"/>
            <w:vAlign w:val="center"/>
          </w:tcPr>
          <w:p w14:paraId="0448955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YXZYCS</w:t>
            </w:r>
          </w:p>
        </w:tc>
        <w:tc>
          <w:tcPr>
            <w:tcW w:w="671" w:type="pct"/>
            <w:vAlign w:val="center"/>
          </w:tcPr>
          <w:p w14:paraId="2D9A88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vAlign w:val="center"/>
          </w:tcPr>
          <w:p w14:paraId="46890866">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14:paraId="780F569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O</w:t>
            </w:r>
          </w:p>
        </w:tc>
        <w:tc>
          <w:tcPr>
            <w:tcW w:w="1070" w:type="pct"/>
            <w:vAlign w:val="center"/>
          </w:tcPr>
          <w:p w14:paraId="2D8A98A4">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7527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220E277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8" w:type="pct"/>
            <w:vAlign w:val="center"/>
          </w:tcPr>
          <w:p w14:paraId="3F5CE8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有效作业里程</w:t>
            </w:r>
          </w:p>
        </w:tc>
        <w:tc>
          <w:tcPr>
            <w:tcW w:w="607" w:type="pct"/>
            <w:vAlign w:val="center"/>
          </w:tcPr>
          <w:p w14:paraId="6FDE41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YXZYLC</w:t>
            </w:r>
          </w:p>
        </w:tc>
        <w:tc>
          <w:tcPr>
            <w:tcW w:w="671" w:type="pct"/>
            <w:vAlign w:val="center"/>
          </w:tcPr>
          <w:p w14:paraId="606A20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vAlign w:val="center"/>
          </w:tcPr>
          <w:p w14:paraId="11F149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14:paraId="51BE56E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O</w:t>
            </w:r>
          </w:p>
        </w:tc>
        <w:tc>
          <w:tcPr>
            <w:tcW w:w="1070" w:type="pct"/>
            <w:vAlign w:val="center"/>
          </w:tcPr>
          <w:p w14:paraId="0F51704A">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4A57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99" w:type="pct"/>
            <w:vAlign w:val="center"/>
          </w:tcPr>
          <w:p w14:paraId="6397041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8" w:type="pct"/>
            <w:vAlign w:val="center"/>
          </w:tcPr>
          <w:p w14:paraId="4C192F1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作业完成率</w:t>
            </w:r>
          </w:p>
        </w:tc>
        <w:tc>
          <w:tcPr>
            <w:tcW w:w="607" w:type="pct"/>
            <w:vAlign w:val="center"/>
          </w:tcPr>
          <w:p w14:paraId="138F9E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ZYWCL</w:t>
            </w:r>
          </w:p>
        </w:tc>
        <w:tc>
          <w:tcPr>
            <w:tcW w:w="671" w:type="pct"/>
            <w:vAlign w:val="center"/>
          </w:tcPr>
          <w:p w14:paraId="1E9F320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vAlign w:val="center"/>
          </w:tcPr>
          <w:p w14:paraId="1CFD8D0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14:paraId="5B59B74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O　</w:t>
            </w:r>
          </w:p>
        </w:tc>
        <w:tc>
          <w:tcPr>
            <w:tcW w:w="1070" w:type="pct"/>
            <w:vAlign w:val="center"/>
          </w:tcPr>
          <w:p w14:paraId="29A9BE6B">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6659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99" w:type="pct"/>
            <w:vAlign w:val="center"/>
          </w:tcPr>
          <w:p w14:paraId="5BEDFC0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11</w:t>
            </w:r>
          </w:p>
        </w:tc>
        <w:tc>
          <w:tcPr>
            <w:tcW w:w="848" w:type="pct"/>
            <w:vAlign w:val="center"/>
          </w:tcPr>
          <w:p w14:paraId="7EAEEC6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违规次数</w:t>
            </w:r>
          </w:p>
        </w:tc>
        <w:tc>
          <w:tcPr>
            <w:tcW w:w="607" w:type="pct"/>
            <w:vAlign w:val="center"/>
          </w:tcPr>
          <w:p w14:paraId="7C9B6BA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WGCS</w:t>
            </w:r>
          </w:p>
        </w:tc>
        <w:tc>
          <w:tcPr>
            <w:tcW w:w="671" w:type="pct"/>
            <w:vAlign w:val="center"/>
          </w:tcPr>
          <w:p w14:paraId="38D55E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vAlign w:val="center"/>
          </w:tcPr>
          <w:p w14:paraId="7622AB0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14:paraId="496E2D4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vAlign w:val="center"/>
          </w:tcPr>
          <w:p w14:paraId="0E8E565A">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bl>
    <w:p w14:paraId="0F361B1F">
      <w:pPr>
        <w:pStyle w:val="47"/>
        <w:numPr>
          <w:ilvl w:val="0"/>
          <w:numId w:val="127"/>
        </w:numPr>
        <w:spacing w:line="360" w:lineRule="auto"/>
        <w:ind w:firstLine="480" w:firstLineChars="200"/>
        <w:rPr>
          <w:sz w:val="24"/>
          <w:szCs w:val="24"/>
          <w:lang w:eastAsia="zh-Hans"/>
        </w:rPr>
      </w:pPr>
      <w:r>
        <w:rPr>
          <w:sz w:val="24"/>
          <w:szCs w:val="24"/>
          <w:lang w:eastAsia="zh-Hans"/>
        </w:rPr>
        <w:t>建筑垃圾管理数据应包括建筑垃圾运输企业、车辆、司机、建筑工地、处理厂、建筑垃圾处置证、建筑垃圾运输记录、建筑垃圾运输违法处置等数据</w:t>
      </w:r>
    </w:p>
    <w:tbl>
      <w:tblPr>
        <w:tblStyle w:val="90"/>
        <w:tblW w:w="5000" w:type="pct"/>
        <w:tblInd w:w="0" w:type="dxa"/>
        <w:tblLayout w:type="autofit"/>
        <w:tblCellMar>
          <w:top w:w="0" w:type="dxa"/>
          <w:left w:w="108" w:type="dxa"/>
          <w:bottom w:w="0" w:type="dxa"/>
          <w:right w:w="108" w:type="dxa"/>
        </w:tblCellMar>
      </w:tblPr>
      <w:tblGrid>
        <w:gridCol w:w="571"/>
        <w:gridCol w:w="1336"/>
        <w:gridCol w:w="1686"/>
        <w:gridCol w:w="1035"/>
        <w:gridCol w:w="967"/>
        <w:gridCol w:w="1211"/>
        <w:gridCol w:w="1716"/>
      </w:tblGrid>
      <w:tr w14:paraId="5D4260A6">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4F13BF51">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建筑垃圾运输企业主要数据项</w:t>
            </w:r>
          </w:p>
        </w:tc>
      </w:tr>
      <w:tr w14:paraId="67C3235D">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14:paraId="49068D8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14:paraId="73BF483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14:paraId="2FD4916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14:paraId="4785C53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14:paraId="53ADD05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14:paraId="5418417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14:paraId="7AF0E6A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0DCFBD68">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BACD39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auto" w:sz="4" w:space="0"/>
              <w:left w:val="single" w:color="auto" w:sz="4" w:space="0"/>
              <w:bottom w:val="single" w:color="auto" w:sz="4" w:space="0"/>
              <w:right w:val="single" w:color="auto" w:sz="4" w:space="0"/>
            </w:tcBorders>
            <w:vAlign w:val="center"/>
          </w:tcPr>
          <w:p w14:paraId="5CDBB7D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auto" w:sz="4" w:space="0"/>
              <w:left w:val="single" w:color="auto" w:sz="4" w:space="0"/>
              <w:bottom w:val="single" w:color="auto" w:sz="4" w:space="0"/>
              <w:right w:val="single" w:color="auto" w:sz="4" w:space="0"/>
            </w:tcBorders>
            <w:vAlign w:val="center"/>
          </w:tcPr>
          <w:p w14:paraId="6BE43C7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tcBorders>
              <w:top w:val="single" w:color="auto" w:sz="4" w:space="0"/>
              <w:left w:val="single" w:color="auto" w:sz="4" w:space="0"/>
              <w:bottom w:val="single" w:color="auto" w:sz="4" w:space="0"/>
              <w:right w:val="single" w:color="auto" w:sz="4" w:space="0"/>
            </w:tcBorders>
            <w:vAlign w:val="center"/>
          </w:tcPr>
          <w:p w14:paraId="4B70B5C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7798C7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tcBorders>
              <w:top w:val="single" w:color="auto" w:sz="4" w:space="0"/>
              <w:left w:val="single" w:color="auto" w:sz="4" w:space="0"/>
              <w:bottom w:val="single" w:color="auto" w:sz="4" w:space="0"/>
              <w:right w:val="single" w:color="auto" w:sz="4" w:space="0"/>
            </w:tcBorders>
            <w:vAlign w:val="center"/>
          </w:tcPr>
          <w:p w14:paraId="06341FD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14:paraId="436E44E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72105F57">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3613DA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auto" w:sz="4" w:space="0"/>
              <w:left w:val="single" w:color="auto" w:sz="4" w:space="0"/>
              <w:bottom w:val="single" w:color="auto" w:sz="4" w:space="0"/>
              <w:right w:val="single" w:color="auto" w:sz="4" w:space="0"/>
            </w:tcBorders>
            <w:vAlign w:val="center"/>
          </w:tcPr>
          <w:p w14:paraId="0A6BA0A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企业编号</w:t>
            </w:r>
          </w:p>
        </w:tc>
        <w:tc>
          <w:tcPr>
            <w:tcW w:w="607" w:type="pct"/>
            <w:tcBorders>
              <w:top w:val="single" w:color="auto" w:sz="4" w:space="0"/>
              <w:left w:val="single" w:color="auto" w:sz="4" w:space="0"/>
              <w:bottom w:val="single" w:color="auto" w:sz="4" w:space="0"/>
              <w:right w:val="single" w:color="auto" w:sz="4" w:space="0"/>
            </w:tcBorders>
            <w:vAlign w:val="center"/>
          </w:tcPr>
          <w:p w14:paraId="1DDEAD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QYBH</w:t>
            </w:r>
          </w:p>
        </w:tc>
        <w:tc>
          <w:tcPr>
            <w:tcW w:w="671" w:type="pct"/>
            <w:tcBorders>
              <w:top w:val="single" w:color="auto" w:sz="4" w:space="0"/>
              <w:left w:val="single" w:color="auto" w:sz="4" w:space="0"/>
              <w:bottom w:val="single" w:color="auto" w:sz="4" w:space="0"/>
              <w:right w:val="single" w:color="auto" w:sz="4" w:space="0"/>
            </w:tcBorders>
            <w:vAlign w:val="center"/>
          </w:tcPr>
          <w:p w14:paraId="545AC26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3AD088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4B2B9AD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463CAFCB">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14:paraId="7187FC54">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044099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auto" w:sz="4" w:space="0"/>
              <w:left w:val="single" w:color="auto" w:sz="4" w:space="0"/>
              <w:bottom w:val="single" w:color="auto" w:sz="4" w:space="0"/>
              <w:right w:val="single" w:color="auto" w:sz="4" w:space="0"/>
            </w:tcBorders>
            <w:vAlign w:val="center"/>
          </w:tcPr>
          <w:p w14:paraId="4F411D6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企业名称</w:t>
            </w:r>
          </w:p>
        </w:tc>
        <w:tc>
          <w:tcPr>
            <w:tcW w:w="607" w:type="pct"/>
            <w:tcBorders>
              <w:top w:val="single" w:color="auto" w:sz="4" w:space="0"/>
              <w:left w:val="single" w:color="auto" w:sz="4" w:space="0"/>
              <w:bottom w:val="single" w:color="auto" w:sz="4" w:space="0"/>
              <w:right w:val="single" w:color="auto" w:sz="4" w:space="0"/>
            </w:tcBorders>
            <w:vAlign w:val="center"/>
          </w:tcPr>
          <w:p w14:paraId="1E9C7CF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QYMC</w:t>
            </w:r>
          </w:p>
        </w:tc>
        <w:tc>
          <w:tcPr>
            <w:tcW w:w="671" w:type="pct"/>
            <w:tcBorders>
              <w:top w:val="single" w:color="auto" w:sz="4" w:space="0"/>
              <w:left w:val="single" w:color="auto" w:sz="4" w:space="0"/>
              <w:bottom w:val="single" w:color="auto" w:sz="4" w:space="0"/>
              <w:right w:val="single" w:color="auto" w:sz="4" w:space="0"/>
            </w:tcBorders>
            <w:vAlign w:val="center"/>
          </w:tcPr>
          <w:p w14:paraId="7F58ED0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6D1A22A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80</w:t>
            </w:r>
          </w:p>
        </w:tc>
        <w:tc>
          <w:tcPr>
            <w:tcW w:w="774" w:type="pct"/>
            <w:tcBorders>
              <w:top w:val="single" w:color="auto" w:sz="4" w:space="0"/>
              <w:left w:val="single" w:color="auto" w:sz="4" w:space="0"/>
              <w:bottom w:val="single" w:color="auto" w:sz="4" w:space="0"/>
              <w:right w:val="single" w:color="auto" w:sz="4" w:space="0"/>
            </w:tcBorders>
            <w:vAlign w:val="center"/>
          </w:tcPr>
          <w:p w14:paraId="31F5501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B5B239A">
            <w:pPr>
              <w:keepNext w:val="0"/>
              <w:keepLines w:val="0"/>
              <w:suppressLineNumbers w:val="0"/>
              <w:spacing w:before="0" w:beforeAutospacing="0" w:after="0" w:afterAutospacing="0"/>
              <w:ind w:left="0" w:right="0"/>
              <w:jc w:val="left"/>
              <w:rPr>
                <w:rFonts w:hint="eastAsia" w:ascii="宋体" w:hAnsi="宋体" w:eastAsia="宋体"/>
              </w:rPr>
            </w:pPr>
          </w:p>
        </w:tc>
      </w:tr>
      <w:tr w14:paraId="6D01A93A">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4BA5C1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auto" w:sz="4" w:space="0"/>
              <w:left w:val="single" w:color="auto" w:sz="4" w:space="0"/>
              <w:bottom w:val="single" w:color="auto" w:sz="4" w:space="0"/>
              <w:right w:val="single" w:color="auto" w:sz="4" w:space="0"/>
            </w:tcBorders>
            <w:vAlign w:val="center"/>
          </w:tcPr>
          <w:p w14:paraId="0B9C00E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社会信用代码</w:t>
            </w:r>
          </w:p>
        </w:tc>
        <w:tc>
          <w:tcPr>
            <w:tcW w:w="607" w:type="pct"/>
            <w:tcBorders>
              <w:top w:val="single" w:color="auto" w:sz="4" w:space="0"/>
              <w:left w:val="single" w:color="auto" w:sz="4" w:space="0"/>
              <w:bottom w:val="single" w:color="auto" w:sz="4" w:space="0"/>
              <w:right w:val="single" w:color="auto" w:sz="4" w:space="0"/>
            </w:tcBorders>
            <w:vAlign w:val="center"/>
          </w:tcPr>
          <w:p w14:paraId="0CAF66F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SHXYDM</w:t>
            </w:r>
          </w:p>
        </w:tc>
        <w:tc>
          <w:tcPr>
            <w:tcW w:w="671" w:type="pct"/>
            <w:tcBorders>
              <w:top w:val="single" w:color="auto" w:sz="4" w:space="0"/>
              <w:left w:val="single" w:color="auto" w:sz="4" w:space="0"/>
              <w:bottom w:val="single" w:color="auto" w:sz="4" w:space="0"/>
              <w:right w:val="single" w:color="auto" w:sz="4" w:space="0"/>
            </w:tcBorders>
            <w:vAlign w:val="center"/>
          </w:tcPr>
          <w:p w14:paraId="7CC17C4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E7906E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699E2A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1FBA2EF">
            <w:pPr>
              <w:keepNext w:val="0"/>
              <w:keepLines w:val="0"/>
              <w:suppressLineNumbers w:val="0"/>
              <w:spacing w:before="0" w:beforeAutospacing="0" w:after="0" w:afterAutospacing="0"/>
              <w:ind w:left="0" w:right="0"/>
              <w:jc w:val="left"/>
              <w:rPr>
                <w:rFonts w:hint="eastAsia" w:ascii="宋体" w:hAnsi="宋体" w:eastAsia="宋体"/>
              </w:rPr>
            </w:pPr>
          </w:p>
        </w:tc>
      </w:tr>
      <w:tr w14:paraId="2710A7FF">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0C15584">
            <w:pPr>
              <w:keepNext w:val="0"/>
              <w:keepLines w:val="0"/>
              <w:suppressLineNumbers w:val="0"/>
              <w:spacing w:before="0" w:beforeAutospacing="0" w:after="0" w:afterAutospacing="0"/>
              <w:ind w:left="0" w:right="0"/>
              <w:rPr>
                <w:rFonts w:hint="eastAsia" w:ascii="宋体" w:hAnsi="宋体" w:eastAsia="宋体"/>
              </w:rPr>
            </w:pPr>
            <w:r>
              <w:rPr>
                <w:rFonts w:hint="eastAsia" w:ascii="宋体" w:hAnsi="宋体" w:eastAsia="宋体"/>
                <w:color w:val="000000"/>
              </w:rPr>
              <w:t>5</w:t>
            </w:r>
          </w:p>
        </w:tc>
        <w:tc>
          <w:tcPr>
            <w:tcW w:w="848" w:type="pct"/>
            <w:tcBorders>
              <w:top w:val="single" w:color="auto" w:sz="4" w:space="0"/>
              <w:left w:val="single" w:color="auto" w:sz="4" w:space="0"/>
              <w:bottom w:val="single" w:color="auto" w:sz="4" w:space="0"/>
              <w:right w:val="single" w:color="auto" w:sz="4" w:space="0"/>
            </w:tcBorders>
            <w:vAlign w:val="center"/>
          </w:tcPr>
          <w:p w14:paraId="0CC2C9E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公司负责人</w:t>
            </w:r>
          </w:p>
        </w:tc>
        <w:tc>
          <w:tcPr>
            <w:tcW w:w="607" w:type="pct"/>
            <w:tcBorders>
              <w:top w:val="single" w:color="auto" w:sz="4" w:space="0"/>
              <w:left w:val="single" w:color="auto" w:sz="4" w:space="0"/>
              <w:bottom w:val="single" w:color="auto" w:sz="4" w:space="0"/>
              <w:right w:val="single" w:color="auto" w:sz="4" w:space="0"/>
            </w:tcBorders>
            <w:vAlign w:val="center"/>
          </w:tcPr>
          <w:p w14:paraId="2BD80B8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GSFZR</w:t>
            </w:r>
          </w:p>
        </w:tc>
        <w:tc>
          <w:tcPr>
            <w:tcW w:w="671" w:type="pct"/>
            <w:tcBorders>
              <w:top w:val="single" w:color="auto" w:sz="4" w:space="0"/>
              <w:left w:val="single" w:color="auto" w:sz="4" w:space="0"/>
              <w:bottom w:val="single" w:color="auto" w:sz="4" w:space="0"/>
              <w:right w:val="single" w:color="auto" w:sz="4" w:space="0"/>
            </w:tcBorders>
            <w:vAlign w:val="center"/>
          </w:tcPr>
          <w:p w14:paraId="304DE9C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81D281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14:paraId="1D6FA85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6A35E513">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04F45F25">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28E4B3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tcBorders>
              <w:top w:val="single" w:color="auto" w:sz="4" w:space="0"/>
              <w:left w:val="single" w:color="auto" w:sz="4" w:space="0"/>
              <w:bottom w:val="single" w:color="auto" w:sz="4" w:space="0"/>
              <w:right w:val="single" w:color="auto" w:sz="4" w:space="0"/>
            </w:tcBorders>
            <w:vAlign w:val="center"/>
          </w:tcPr>
          <w:p w14:paraId="140A7CD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负责人电话</w:t>
            </w:r>
          </w:p>
        </w:tc>
        <w:tc>
          <w:tcPr>
            <w:tcW w:w="607" w:type="pct"/>
            <w:tcBorders>
              <w:top w:val="single" w:color="auto" w:sz="4" w:space="0"/>
              <w:left w:val="single" w:color="auto" w:sz="4" w:space="0"/>
              <w:bottom w:val="single" w:color="auto" w:sz="4" w:space="0"/>
              <w:right w:val="single" w:color="auto" w:sz="4" w:space="0"/>
            </w:tcBorders>
            <w:vAlign w:val="center"/>
          </w:tcPr>
          <w:p w14:paraId="02060C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FZRDH</w:t>
            </w:r>
          </w:p>
        </w:tc>
        <w:tc>
          <w:tcPr>
            <w:tcW w:w="671" w:type="pct"/>
            <w:tcBorders>
              <w:top w:val="single" w:color="auto" w:sz="4" w:space="0"/>
              <w:left w:val="single" w:color="auto" w:sz="4" w:space="0"/>
              <w:bottom w:val="single" w:color="auto" w:sz="4" w:space="0"/>
              <w:right w:val="single" w:color="auto" w:sz="4" w:space="0"/>
            </w:tcBorders>
            <w:vAlign w:val="center"/>
          </w:tcPr>
          <w:p w14:paraId="618B863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EFFCC3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13</w:t>
            </w:r>
          </w:p>
        </w:tc>
        <w:tc>
          <w:tcPr>
            <w:tcW w:w="774" w:type="pct"/>
            <w:tcBorders>
              <w:top w:val="single" w:color="auto" w:sz="4" w:space="0"/>
              <w:left w:val="single" w:color="auto" w:sz="4" w:space="0"/>
              <w:bottom w:val="single" w:color="auto" w:sz="4" w:space="0"/>
              <w:right w:val="single" w:color="auto" w:sz="4" w:space="0"/>
            </w:tcBorders>
            <w:vAlign w:val="center"/>
          </w:tcPr>
          <w:p w14:paraId="701644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4D887485">
            <w:pPr>
              <w:keepNext w:val="0"/>
              <w:keepLines w:val="0"/>
              <w:suppressLineNumbers w:val="0"/>
              <w:spacing w:before="0" w:beforeAutospacing="0" w:after="0" w:afterAutospacing="0"/>
              <w:ind w:left="0" w:right="0"/>
              <w:jc w:val="left"/>
              <w:rPr>
                <w:rFonts w:hint="eastAsia" w:ascii="宋体" w:hAnsi="宋体" w:eastAsia="宋体"/>
              </w:rPr>
            </w:pPr>
          </w:p>
        </w:tc>
      </w:tr>
      <w:tr w14:paraId="0C410BA8">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D0FBEC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tcBorders>
              <w:top w:val="single" w:color="auto" w:sz="4" w:space="0"/>
              <w:left w:val="single" w:color="auto" w:sz="4" w:space="0"/>
              <w:bottom w:val="single" w:color="auto" w:sz="4" w:space="0"/>
              <w:right w:val="single" w:color="auto" w:sz="4" w:space="0"/>
            </w:tcBorders>
            <w:vAlign w:val="center"/>
          </w:tcPr>
          <w:p w14:paraId="368808D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停车场所地址</w:t>
            </w:r>
          </w:p>
        </w:tc>
        <w:tc>
          <w:tcPr>
            <w:tcW w:w="607" w:type="pct"/>
            <w:tcBorders>
              <w:top w:val="single" w:color="auto" w:sz="4" w:space="0"/>
              <w:left w:val="single" w:color="auto" w:sz="4" w:space="0"/>
              <w:bottom w:val="single" w:color="auto" w:sz="4" w:space="0"/>
              <w:right w:val="single" w:color="auto" w:sz="4" w:space="0"/>
            </w:tcBorders>
            <w:vAlign w:val="center"/>
          </w:tcPr>
          <w:p w14:paraId="41AD5CA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TCCSDZ</w:t>
            </w:r>
          </w:p>
        </w:tc>
        <w:tc>
          <w:tcPr>
            <w:tcW w:w="671" w:type="pct"/>
            <w:tcBorders>
              <w:top w:val="single" w:color="auto" w:sz="4" w:space="0"/>
              <w:left w:val="single" w:color="auto" w:sz="4" w:space="0"/>
              <w:bottom w:val="single" w:color="auto" w:sz="4" w:space="0"/>
              <w:right w:val="single" w:color="auto" w:sz="4" w:space="0"/>
            </w:tcBorders>
            <w:vAlign w:val="center"/>
          </w:tcPr>
          <w:p w14:paraId="3A7ABEF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3BF08A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14:paraId="205C0F7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32288A3">
            <w:pPr>
              <w:keepNext w:val="0"/>
              <w:keepLines w:val="0"/>
              <w:suppressLineNumbers w:val="0"/>
              <w:spacing w:before="0" w:beforeAutospacing="0" w:after="0" w:afterAutospacing="0"/>
              <w:ind w:left="0" w:right="0"/>
              <w:jc w:val="left"/>
              <w:rPr>
                <w:rFonts w:hint="eastAsia" w:ascii="宋体" w:hAnsi="宋体" w:eastAsia="宋体"/>
              </w:rPr>
            </w:pPr>
          </w:p>
        </w:tc>
      </w:tr>
      <w:tr w14:paraId="271F6D8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C518F9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8" w:type="pct"/>
            <w:tcBorders>
              <w:top w:val="single" w:color="auto" w:sz="4" w:space="0"/>
              <w:left w:val="single" w:color="auto" w:sz="4" w:space="0"/>
              <w:bottom w:val="single" w:color="auto" w:sz="4" w:space="0"/>
              <w:right w:val="single" w:color="auto" w:sz="4" w:space="0"/>
            </w:tcBorders>
            <w:vAlign w:val="center"/>
          </w:tcPr>
          <w:p w14:paraId="0B03EE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停车场所面积</w:t>
            </w:r>
          </w:p>
        </w:tc>
        <w:tc>
          <w:tcPr>
            <w:tcW w:w="607" w:type="pct"/>
            <w:tcBorders>
              <w:top w:val="single" w:color="auto" w:sz="4" w:space="0"/>
              <w:left w:val="single" w:color="auto" w:sz="4" w:space="0"/>
              <w:bottom w:val="single" w:color="auto" w:sz="4" w:space="0"/>
              <w:right w:val="single" w:color="auto" w:sz="4" w:space="0"/>
            </w:tcBorders>
            <w:vAlign w:val="center"/>
          </w:tcPr>
          <w:p w14:paraId="1AAD6C5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TCCSMJ</w:t>
            </w:r>
          </w:p>
        </w:tc>
        <w:tc>
          <w:tcPr>
            <w:tcW w:w="671" w:type="pct"/>
            <w:tcBorders>
              <w:top w:val="single" w:color="auto" w:sz="4" w:space="0"/>
              <w:left w:val="single" w:color="auto" w:sz="4" w:space="0"/>
              <w:bottom w:val="single" w:color="auto" w:sz="4" w:space="0"/>
              <w:right w:val="single" w:color="auto" w:sz="4" w:space="0"/>
            </w:tcBorders>
            <w:vAlign w:val="center"/>
          </w:tcPr>
          <w:p w14:paraId="6E29269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5D2F2BCD">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64445FB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4FB7708">
            <w:pPr>
              <w:keepNext w:val="0"/>
              <w:keepLines w:val="0"/>
              <w:suppressLineNumbers w:val="0"/>
              <w:spacing w:before="0" w:beforeAutospacing="0" w:after="0" w:afterAutospacing="0"/>
              <w:ind w:left="0" w:right="0"/>
              <w:jc w:val="left"/>
              <w:rPr>
                <w:rFonts w:hint="eastAsia" w:ascii="宋体" w:hAnsi="宋体" w:eastAsia="宋体"/>
              </w:rPr>
            </w:pPr>
          </w:p>
        </w:tc>
      </w:tr>
      <w:tr w14:paraId="5C7EECA3">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340F3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8" w:type="pct"/>
            <w:tcBorders>
              <w:top w:val="single" w:color="auto" w:sz="4" w:space="0"/>
              <w:left w:val="single" w:color="auto" w:sz="4" w:space="0"/>
              <w:bottom w:val="single" w:color="auto" w:sz="4" w:space="0"/>
              <w:right w:val="single" w:color="auto" w:sz="4" w:space="0"/>
            </w:tcBorders>
            <w:vAlign w:val="center"/>
          </w:tcPr>
          <w:p w14:paraId="143C332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总车辆数</w:t>
            </w:r>
          </w:p>
        </w:tc>
        <w:tc>
          <w:tcPr>
            <w:tcW w:w="607" w:type="pct"/>
            <w:tcBorders>
              <w:top w:val="single" w:color="auto" w:sz="4" w:space="0"/>
              <w:left w:val="single" w:color="auto" w:sz="4" w:space="0"/>
              <w:bottom w:val="single" w:color="auto" w:sz="4" w:space="0"/>
              <w:right w:val="single" w:color="auto" w:sz="4" w:space="0"/>
            </w:tcBorders>
            <w:vAlign w:val="center"/>
          </w:tcPr>
          <w:p w14:paraId="349F5C0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ZCLS</w:t>
            </w:r>
          </w:p>
        </w:tc>
        <w:tc>
          <w:tcPr>
            <w:tcW w:w="671" w:type="pct"/>
            <w:tcBorders>
              <w:top w:val="single" w:color="auto" w:sz="4" w:space="0"/>
              <w:left w:val="single" w:color="auto" w:sz="4" w:space="0"/>
              <w:bottom w:val="single" w:color="auto" w:sz="4" w:space="0"/>
              <w:right w:val="single" w:color="auto" w:sz="4" w:space="0"/>
            </w:tcBorders>
            <w:vAlign w:val="center"/>
          </w:tcPr>
          <w:p w14:paraId="544454E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76527C8A">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0BBF873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33FD1FD">
            <w:pPr>
              <w:keepNext w:val="0"/>
              <w:keepLines w:val="0"/>
              <w:suppressLineNumbers w:val="0"/>
              <w:spacing w:before="0" w:beforeAutospacing="0" w:after="0" w:afterAutospacing="0"/>
              <w:ind w:left="0" w:right="0"/>
              <w:jc w:val="left"/>
              <w:rPr>
                <w:rFonts w:hint="eastAsia" w:ascii="宋体" w:hAnsi="宋体" w:eastAsia="宋体"/>
              </w:rPr>
            </w:pPr>
          </w:p>
        </w:tc>
      </w:tr>
      <w:tr w14:paraId="73396E87">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CC3859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10</w:t>
            </w:r>
          </w:p>
        </w:tc>
        <w:tc>
          <w:tcPr>
            <w:tcW w:w="848" w:type="pct"/>
            <w:tcBorders>
              <w:top w:val="single" w:color="auto" w:sz="4" w:space="0"/>
              <w:left w:val="single" w:color="auto" w:sz="4" w:space="0"/>
              <w:bottom w:val="single" w:color="auto" w:sz="4" w:space="0"/>
              <w:right w:val="single" w:color="auto" w:sz="4" w:space="0"/>
            </w:tcBorders>
            <w:vAlign w:val="center"/>
          </w:tcPr>
          <w:p w14:paraId="22DE0C3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自有车辆数</w:t>
            </w:r>
          </w:p>
        </w:tc>
        <w:tc>
          <w:tcPr>
            <w:tcW w:w="607" w:type="pct"/>
            <w:tcBorders>
              <w:top w:val="single" w:color="auto" w:sz="4" w:space="0"/>
              <w:left w:val="single" w:color="auto" w:sz="4" w:space="0"/>
              <w:bottom w:val="single" w:color="auto" w:sz="4" w:space="0"/>
              <w:right w:val="single" w:color="auto" w:sz="4" w:space="0"/>
            </w:tcBorders>
            <w:vAlign w:val="center"/>
          </w:tcPr>
          <w:p w14:paraId="0BB74AF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ZYCLS</w:t>
            </w:r>
          </w:p>
        </w:tc>
        <w:tc>
          <w:tcPr>
            <w:tcW w:w="671" w:type="pct"/>
            <w:tcBorders>
              <w:top w:val="single" w:color="auto" w:sz="4" w:space="0"/>
              <w:left w:val="single" w:color="auto" w:sz="4" w:space="0"/>
              <w:bottom w:val="single" w:color="auto" w:sz="4" w:space="0"/>
              <w:right w:val="single" w:color="auto" w:sz="4" w:space="0"/>
            </w:tcBorders>
            <w:vAlign w:val="center"/>
          </w:tcPr>
          <w:p w14:paraId="497101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7B8179B8">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07C7D9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360D7DE">
            <w:pPr>
              <w:keepNext w:val="0"/>
              <w:keepLines w:val="0"/>
              <w:suppressLineNumbers w:val="0"/>
              <w:spacing w:before="0" w:beforeAutospacing="0" w:after="0" w:afterAutospacing="0"/>
              <w:ind w:left="0" w:right="0"/>
              <w:jc w:val="left"/>
              <w:rPr>
                <w:rFonts w:hint="eastAsia" w:ascii="宋体" w:hAnsi="宋体" w:eastAsia="宋体"/>
              </w:rPr>
            </w:pPr>
          </w:p>
        </w:tc>
      </w:tr>
      <w:tr w14:paraId="790B873F">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F443A3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11</w:t>
            </w:r>
          </w:p>
        </w:tc>
        <w:tc>
          <w:tcPr>
            <w:tcW w:w="848" w:type="pct"/>
            <w:tcBorders>
              <w:top w:val="single" w:color="auto" w:sz="4" w:space="0"/>
              <w:left w:val="single" w:color="auto" w:sz="4" w:space="0"/>
              <w:bottom w:val="single" w:color="auto" w:sz="4" w:space="0"/>
              <w:right w:val="single" w:color="auto" w:sz="4" w:space="0"/>
            </w:tcBorders>
            <w:vAlign w:val="center"/>
          </w:tcPr>
          <w:p w14:paraId="282523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硬顶密闭车辆数</w:t>
            </w:r>
          </w:p>
        </w:tc>
        <w:tc>
          <w:tcPr>
            <w:tcW w:w="607" w:type="pct"/>
            <w:tcBorders>
              <w:top w:val="single" w:color="auto" w:sz="4" w:space="0"/>
              <w:left w:val="single" w:color="auto" w:sz="4" w:space="0"/>
              <w:bottom w:val="single" w:color="auto" w:sz="4" w:space="0"/>
              <w:right w:val="single" w:color="auto" w:sz="4" w:space="0"/>
            </w:tcBorders>
            <w:vAlign w:val="center"/>
          </w:tcPr>
          <w:p w14:paraId="64CA6A2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YDMBCLS</w:t>
            </w:r>
          </w:p>
        </w:tc>
        <w:tc>
          <w:tcPr>
            <w:tcW w:w="671" w:type="pct"/>
            <w:tcBorders>
              <w:top w:val="single" w:color="auto" w:sz="4" w:space="0"/>
              <w:left w:val="single" w:color="auto" w:sz="4" w:space="0"/>
              <w:bottom w:val="single" w:color="auto" w:sz="4" w:space="0"/>
              <w:right w:val="single" w:color="auto" w:sz="4" w:space="0"/>
            </w:tcBorders>
            <w:vAlign w:val="center"/>
          </w:tcPr>
          <w:p w14:paraId="42953D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13B19852">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6D03E5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1B92275">
            <w:pPr>
              <w:keepNext w:val="0"/>
              <w:keepLines w:val="0"/>
              <w:suppressLineNumbers w:val="0"/>
              <w:spacing w:before="0" w:beforeAutospacing="0" w:after="0" w:afterAutospacing="0"/>
              <w:ind w:left="0" w:right="0"/>
              <w:jc w:val="left"/>
              <w:rPr>
                <w:rFonts w:hint="eastAsia" w:ascii="宋体" w:hAnsi="宋体" w:eastAsia="宋体"/>
              </w:rPr>
            </w:pPr>
          </w:p>
        </w:tc>
      </w:tr>
      <w:tr w14:paraId="3EFAEED2">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7DE783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48" w:type="pct"/>
            <w:tcBorders>
              <w:top w:val="single" w:color="auto" w:sz="4" w:space="0"/>
              <w:left w:val="single" w:color="auto" w:sz="4" w:space="0"/>
              <w:bottom w:val="single" w:color="auto" w:sz="4" w:space="0"/>
              <w:right w:val="single" w:color="auto" w:sz="4" w:space="0"/>
            </w:tcBorders>
            <w:vAlign w:val="center"/>
          </w:tcPr>
          <w:p w14:paraId="2B98079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软顶密闭车辆数</w:t>
            </w:r>
          </w:p>
        </w:tc>
        <w:tc>
          <w:tcPr>
            <w:tcW w:w="607" w:type="pct"/>
            <w:tcBorders>
              <w:top w:val="single" w:color="auto" w:sz="4" w:space="0"/>
              <w:left w:val="single" w:color="auto" w:sz="4" w:space="0"/>
              <w:bottom w:val="single" w:color="auto" w:sz="4" w:space="0"/>
              <w:right w:val="single" w:color="auto" w:sz="4" w:space="0"/>
            </w:tcBorders>
            <w:vAlign w:val="center"/>
          </w:tcPr>
          <w:p w14:paraId="15249EA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RDMBCLS</w:t>
            </w:r>
          </w:p>
        </w:tc>
        <w:tc>
          <w:tcPr>
            <w:tcW w:w="671" w:type="pct"/>
            <w:tcBorders>
              <w:top w:val="single" w:color="auto" w:sz="4" w:space="0"/>
              <w:left w:val="single" w:color="auto" w:sz="4" w:space="0"/>
              <w:bottom w:val="single" w:color="auto" w:sz="4" w:space="0"/>
              <w:right w:val="single" w:color="auto" w:sz="4" w:space="0"/>
            </w:tcBorders>
            <w:vAlign w:val="center"/>
          </w:tcPr>
          <w:p w14:paraId="19EB49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7EEB40E8">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4D587A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5E63A1A">
            <w:pPr>
              <w:keepNext w:val="0"/>
              <w:keepLines w:val="0"/>
              <w:suppressLineNumbers w:val="0"/>
              <w:spacing w:before="0" w:beforeAutospacing="0" w:after="0" w:afterAutospacing="0"/>
              <w:ind w:left="0" w:right="0"/>
              <w:jc w:val="left"/>
              <w:rPr>
                <w:rFonts w:hint="eastAsia" w:ascii="宋体" w:hAnsi="宋体" w:eastAsia="宋体"/>
              </w:rPr>
            </w:pPr>
          </w:p>
        </w:tc>
      </w:tr>
      <w:tr w14:paraId="3CD1559A">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693968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13</w:t>
            </w:r>
          </w:p>
        </w:tc>
        <w:tc>
          <w:tcPr>
            <w:tcW w:w="848" w:type="pct"/>
            <w:tcBorders>
              <w:top w:val="single" w:color="auto" w:sz="4" w:space="0"/>
              <w:left w:val="single" w:color="auto" w:sz="4" w:space="0"/>
              <w:bottom w:val="single" w:color="auto" w:sz="4" w:space="0"/>
              <w:right w:val="single" w:color="auto" w:sz="4" w:space="0"/>
            </w:tcBorders>
            <w:vAlign w:val="center"/>
          </w:tcPr>
          <w:p w14:paraId="34D18F7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驾驶员数</w:t>
            </w:r>
          </w:p>
        </w:tc>
        <w:tc>
          <w:tcPr>
            <w:tcW w:w="607" w:type="pct"/>
            <w:tcBorders>
              <w:top w:val="single" w:color="auto" w:sz="4" w:space="0"/>
              <w:left w:val="single" w:color="auto" w:sz="4" w:space="0"/>
              <w:bottom w:val="single" w:color="auto" w:sz="4" w:space="0"/>
              <w:right w:val="single" w:color="auto" w:sz="4" w:space="0"/>
            </w:tcBorders>
            <w:vAlign w:val="center"/>
          </w:tcPr>
          <w:p w14:paraId="02A6F93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JSYS</w:t>
            </w:r>
          </w:p>
        </w:tc>
        <w:tc>
          <w:tcPr>
            <w:tcW w:w="671" w:type="pct"/>
            <w:tcBorders>
              <w:top w:val="single" w:color="auto" w:sz="4" w:space="0"/>
              <w:left w:val="single" w:color="auto" w:sz="4" w:space="0"/>
              <w:bottom w:val="single" w:color="auto" w:sz="4" w:space="0"/>
              <w:right w:val="single" w:color="auto" w:sz="4" w:space="0"/>
            </w:tcBorders>
            <w:vAlign w:val="center"/>
          </w:tcPr>
          <w:p w14:paraId="521406F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0C403C2B">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3C1CCD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16179DDE">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AC3BFE1">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D6139D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48" w:type="pct"/>
            <w:tcBorders>
              <w:top w:val="single" w:color="auto" w:sz="4" w:space="0"/>
              <w:left w:val="single" w:color="auto" w:sz="4" w:space="0"/>
              <w:bottom w:val="single" w:color="auto" w:sz="4" w:space="0"/>
              <w:right w:val="single" w:color="auto" w:sz="4" w:space="0"/>
            </w:tcBorders>
            <w:vAlign w:val="center"/>
          </w:tcPr>
          <w:p w14:paraId="10040D2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道路运输许可证编号</w:t>
            </w:r>
          </w:p>
        </w:tc>
        <w:tc>
          <w:tcPr>
            <w:tcW w:w="607" w:type="pct"/>
            <w:tcBorders>
              <w:top w:val="single" w:color="auto" w:sz="4" w:space="0"/>
              <w:left w:val="single" w:color="auto" w:sz="4" w:space="0"/>
              <w:bottom w:val="single" w:color="auto" w:sz="4" w:space="0"/>
              <w:right w:val="single" w:color="auto" w:sz="4" w:space="0"/>
            </w:tcBorders>
            <w:vAlign w:val="center"/>
          </w:tcPr>
          <w:p w14:paraId="4F52F03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DLYSXKZBH</w:t>
            </w:r>
          </w:p>
        </w:tc>
        <w:tc>
          <w:tcPr>
            <w:tcW w:w="671" w:type="pct"/>
            <w:tcBorders>
              <w:top w:val="single" w:color="auto" w:sz="4" w:space="0"/>
              <w:left w:val="single" w:color="auto" w:sz="4" w:space="0"/>
              <w:bottom w:val="single" w:color="auto" w:sz="4" w:space="0"/>
              <w:right w:val="single" w:color="auto" w:sz="4" w:space="0"/>
            </w:tcBorders>
            <w:vAlign w:val="center"/>
          </w:tcPr>
          <w:p w14:paraId="6246B97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2628F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14:paraId="5FD0B2B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DEF58C0">
            <w:pPr>
              <w:keepNext w:val="0"/>
              <w:keepLines w:val="0"/>
              <w:suppressLineNumbers w:val="0"/>
              <w:spacing w:before="0" w:beforeAutospacing="0" w:after="0" w:afterAutospacing="0"/>
              <w:ind w:left="0" w:right="0"/>
              <w:jc w:val="left"/>
              <w:rPr>
                <w:rFonts w:hint="eastAsia" w:ascii="宋体" w:hAnsi="宋体" w:eastAsia="宋体"/>
              </w:rPr>
            </w:pPr>
          </w:p>
        </w:tc>
      </w:tr>
      <w:tr w14:paraId="7691298E">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0E691B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15</w:t>
            </w:r>
          </w:p>
        </w:tc>
        <w:tc>
          <w:tcPr>
            <w:tcW w:w="848" w:type="pct"/>
            <w:tcBorders>
              <w:top w:val="single" w:color="auto" w:sz="4" w:space="0"/>
              <w:left w:val="single" w:color="auto" w:sz="4" w:space="0"/>
              <w:bottom w:val="single" w:color="auto" w:sz="4" w:space="0"/>
              <w:right w:val="single" w:color="auto" w:sz="4" w:space="0"/>
            </w:tcBorders>
            <w:vAlign w:val="center"/>
          </w:tcPr>
          <w:p w14:paraId="46D5976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道路运输许可证有效期结束时间</w:t>
            </w:r>
          </w:p>
        </w:tc>
        <w:tc>
          <w:tcPr>
            <w:tcW w:w="607" w:type="pct"/>
            <w:tcBorders>
              <w:top w:val="single" w:color="auto" w:sz="4" w:space="0"/>
              <w:left w:val="single" w:color="auto" w:sz="4" w:space="0"/>
              <w:bottom w:val="single" w:color="auto" w:sz="4" w:space="0"/>
              <w:right w:val="single" w:color="auto" w:sz="4" w:space="0"/>
            </w:tcBorders>
            <w:vAlign w:val="center"/>
          </w:tcPr>
          <w:p w14:paraId="2EE3C21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DLYSXKZYXQJSSJ</w:t>
            </w:r>
          </w:p>
        </w:tc>
        <w:tc>
          <w:tcPr>
            <w:tcW w:w="671" w:type="pct"/>
            <w:tcBorders>
              <w:top w:val="single" w:color="auto" w:sz="4" w:space="0"/>
              <w:left w:val="single" w:color="auto" w:sz="4" w:space="0"/>
              <w:bottom w:val="single" w:color="auto" w:sz="4" w:space="0"/>
              <w:right w:val="single" w:color="auto" w:sz="4" w:space="0"/>
            </w:tcBorders>
            <w:vAlign w:val="center"/>
          </w:tcPr>
          <w:p w14:paraId="656B4FD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1C51E71B">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69C78C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9F2816D">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7C8038B0">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9C1367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w:t>
            </w:r>
          </w:p>
        </w:tc>
        <w:tc>
          <w:tcPr>
            <w:tcW w:w="848" w:type="pct"/>
            <w:tcBorders>
              <w:top w:val="single" w:color="auto" w:sz="4" w:space="0"/>
              <w:left w:val="single" w:color="auto" w:sz="4" w:space="0"/>
              <w:bottom w:val="single" w:color="auto" w:sz="4" w:space="0"/>
              <w:right w:val="single" w:color="auto" w:sz="4" w:space="0"/>
            </w:tcBorders>
            <w:vAlign w:val="center"/>
          </w:tcPr>
          <w:p w14:paraId="582ED6C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道路运输许可证有效期开始时间</w:t>
            </w:r>
          </w:p>
        </w:tc>
        <w:tc>
          <w:tcPr>
            <w:tcW w:w="607" w:type="pct"/>
            <w:tcBorders>
              <w:top w:val="single" w:color="auto" w:sz="4" w:space="0"/>
              <w:left w:val="single" w:color="auto" w:sz="4" w:space="0"/>
              <w:bottom w:val="single" w:color="auto" w:sz="4" w:space="0"/>
              <w:right w:val="single" w:color="auto" w:sz="4" w:space="0"/>
            </w:tcBorders>
            <w:vAlign w:val="center"/>
          </w:tcPr>
          <w:p w14:paraId="01FE13A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DLYSXKZYXQKSSJ</w:t>
            </w:r>
          </w:p>
        </w:tc>
        <w:tc>
          <w:tcPr>
            <w:tcW w:w="671" w:type="pct"/>
            <w:tcBorders>
              <w:top w:val="single" w:color="auto" w:sz="4" w:space="0"/>
              <w:left w:val="single" w:color="auto" w:sz="4" w:space="0"/>
              <w:bottom w:val="single" w:color="auto" w:sz="4" w:space="0"/>
              <w:right w:val="single" w:color="auto" w:sz="4" w:space="0"/>
            </w:tcBorders>
            <w:vAlign w:val="center"/>
          </w:tcPr>
          <w:p w14:paraId="5CDE10F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54AC05F4">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5728AB7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66AA686C">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0ECA497E">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37D265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17</w:t>
            </w:r>
          </w:p>
        </w:tc>
        <w:tc>
          <w:tcPr>
            <w:tcW w:w="848" w:type="pct"/>
            <w:tcBorders>
              <w:top w:val="single" w:color="auto" w:sz="4" w:space="0"/>
              <w:left w:val="single" w:color="auto" w:sz="4" w:space="0"/>
              <w:bottom w:val="single" w:color="auto" w:sz="4" w:space="0"/>
              <w:right w:val="single" w:color="auto" w:sz="4" w:space="0"/>
            </w:tcBorders>
            <w:vAlign w:val="center"/>
          </w:tcPr>
          <w:p w14:paraId="7557916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运输处置许可证编号</w:t>
            </w:r>
          </w:p>
        </w:tc>
        <w:tc>
          <w:tcPr>
            <w:tcW w:w="607" w:type="pct"/>
            <w:tcBorders>
              <w:top w:val="single" w:color="auto" w:sz="4" w:space="0"/>
              <w:left w:val="single" w:color="auto" w:sz="4" w:space="0"/>
              <w:bottom w:val="single" w:color="auto" w:sz="4" w:space="0"/>
              <w:right w:val="single" w:color="auto" w:sz="4" w:space="0"/>
            </w:tcBorders>
            <w:vAlign w:val="center"/>
          </w:tcPr>
          <w:p w14:paraId="29C2C95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YSCZXKZBH</w:t>
            </w:r>
          </w:p>
        </w:tc>
        <w:tc>
          <w:tcPr>
            <w:tcW w:w="671" w:type="pct"/>
            <w:tcBorders>
              <w:top w:val="single" w:color="auto" w:sz="4" w:space="0"/>
              <w:left w:val="single" w:color="auto" w:sz="4" w:space="0"/>
              <w:bottom w:val="single" w:color="auto" w:sz="4" w:space="0"/>
              <w:right w:val="single" w:color="auto" w:sz="4" w:space="0"/>
            </w:tcBorders>
            <w:vAlign w:val="center"/>
          </w:tcPr>
          <w:p w14:paraId="5642391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1C0584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14:paraId="6234F9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485E0D2">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BEDB224">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BD0428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18</w:t>
            </w:r>
          </w:p>
        </w:tc>
        <w:tc>
          <w:tcPr>
            <w:tcW w:w="848" w:type="pct"/>
            <w:tcBorders>
              <w:top w:val="single" w:color="auto" w:sz="4" w:space="0"/>
              <w:left w:val="single" w:color="auto" w:sz="4" w:space="0"/>
              <w:bottom w:val="single" w:color="auto" w:sz="4" w:space="0"/>
              <w:right w:val="single" w:color="auto" w:sz="4" w:space="0"/>
            </w:tcBorders>
            <w:vAlign w:val="center"/>
          </w:tcPr>
          <w:p w14:paraId="6929FFF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运输处置许可证有效期结束时间</w:t>
            </w:r>
          </w:p>
        </w:tc>
        <w:tc>
          <w:tcPr>
            <w:tcW w:w="607" w:type="pct"/>
            <w:tcBorders>
              <w:top w:val="single" w:color="auto" w:sz="4" w:space="0"/>
              <w:left w:val="single" w:color="auto" w:sz="4" w:space="0"/>
              <w:bottom w:val="single" w:color="auto" w:sz="4" w:space="0"/>
              <w:right w:val="single" w:color="auto" w:sz="4" w:space="0"/>
            </w:tcBorders>
            <w:vAlign w:val="center"/>
          </w:tcPr>
          <w:p w14:paraId="0F08D55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YSCZXKZYXQJSSJ</w:t>
            </w:r>
          </w:p>
        </w:tc>
        <w:tc>
          <w:tcPr>
            <w:tcW w:w="671" w:type="pct"/>
            <w:tcBorders>
              <w:top w:val="single" w:color="auto" w:sz="4" w:space="0"/>
              <w:left w:val="single" w:color="auto" w:sz="4" w:space="0"/>
              <w:bottom w:val="single" w:color="auto" w:sz="4" w:space="0"/>
              <w:right w:val="single" w:color="auto" w:sz="4" w:space="0"/>
            </w:tcBorders>
            <w:vAlign w:val="center"/>
          </w:tcPr>
          <w:p w14:paraId="6E830FC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28F6BB0F">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661DD92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6DB8A3F">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20BE700">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29F7D82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19</w:t>
            </w:r>
          </w:p>
        </w:tc>
        <w:tc>
          <w:tcPr>
            <w:tcW w:w="848" w:type="pct"/>
            <w:tcBorders>
              <w:top w:val="single" w:color="auto" w:sz="4" w:space="0"/>
              <w:left w:val="single" w:color="auto" w:sz="4" w:space="0"/>
              <w:bottom w:val="single" w:color="auto" w:sz="4" w:space="0"/>
              <w:right w:val="single" w:color="auto" w:sz="4" w:space="0"/>
            </w:tcBorders>
            <w:vAlign w:val="center"/>
          </w:tcPr>
          <w:p w14:paraId="66BD115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运输处置许可证有效期开始时间</w:t>
            </w:r>
          </w:p>
        </w:tc>
        <w:tc>
          <w:tcPr>
            <w:tcW w:w="607" w:type="pct"/>
            <w:tcBorders>
              <w:top w:val="single" w:color="auto" w:sz="4" w:space="0"/>
              <w:left w:val="single" w:color="auto" w:sz="4" w:space="0"/>
              <w:bottom w:val="single" w:color="auto" w:sz="4" w:space="0"/>
              <w:right w:val="single" w:color="auto" w:sz="4" w:space="0"/>
            </w:tcBorders>
            <w:vAlign w:val="center"/>
          </w:tcPr>
          <w:p w14:paraId="4196DB3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YSCZXKZYXQKSSJ</w:t>
            </w:r>
          </w:p>
        </w:tc>
        <w:tc>
          <w:tcPr>
            <w:tcW w:w="671" w:type="pct"/>
            <w:tcBorders>
              <w:top w:val="single" w:color="auto" w:sz="4" w:space="0"/>
              <w:left w:val="single" w:color="auto" w:sz="4" w:space="0"/>
              <w:bottom w:val="single" w:color="auto" w:sz="4" w:space="0"/>
              <w:right w:val="single" w:color="auto" w:sz="4" w:space="0"/>
            </w:tcBorders>
            <w:vAlign w:val="center"/>
          </w:tcPr>
          <w:p w14:paraId="7EA09BB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212DF27D">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42CE5D4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C2E339C">
            <w:pPr>
              <w:keepNext w:val="0"/>
              <w:keepLines w:val="0"/>
              <w:suppressLineNumbers w:val="0"/>
              <w:spacing w:before="0" w:beforeAutospacing="0" w:after="0" w:afterAutospacing="0"/>
              <w:ind w:left="0" w:right="0"/>
              <w:jc w:val="left"/>
              <w:rPr>
                <w:rFonts w:hint="eastAsia" w:ascii="宋体" w:hAnsi="宋体" w:eastAsia="宋体"/>
                <w:color w:val="000000"/>
              </w:rPr>
            </w:pPr>
          </w:p>
        </w:tc>
      </w:tr>
    </w:tbl>
    <w:p w14:paraId="2322919F">
      <w:pPr>
        <w:pStyle w:val="47"/>
        <w:tabs>
          <w:tab w:val="left" w:pos="0"/>
        </w:tabs>
        <w:spacing w:before="120" w:after="120"/>
        <w:ind w:left="480" w:firstLine="0"/>
        <w:rPr>
          <w:rFonts w:hint="eastAsia" w:ascii="宋体" w:hAnsi="宋体"/>
          <w:lang w:eastAsia="zh-Hans"/>
        </w:rPr>
      </w:pPr>
    </w:p>
    <w:p w14:paraId="39281257">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建筑垃圾运输车辆主要数据项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6"/>
        <w:gridCol w:w="1248"/>
        <w:gridCol w:w="1214"/>
        <w:gridCol w:w="1084"/>
        <w:gridCol w:w="898"/>
        <w:gridCol w:w="1880"/>
      </w:tblGrid>
      <w:tr w14:paraId="3837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0495ACE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72" w:type="pct"/>
            <w:tcBorders>
              <w:top w:val="single" w:color="auto" w:sz="4" w:space="0"/>
              <w:left w:val="single" w:color="auto" w:sz="4" w:space="0"/>
              <w:bottom w:val="single" w:color="auto" w:sz="4" w:space="0"/>
              <w:right w:val="single" w:color="auto" w:sz="4" w:space="0"/>
            </w:tcBorders>
            <w:vAlign w:val="center"/>
          </w:tcPr>
          <w:p w14:paraId="14C06CF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732" w:type="pct"/>
            <w:tcBorders>
              <w:top w:val="single" w:color="auto" w:sz="4" w:space="0"/>
              <w:left w:val="single" w:color="auto" w:sz="4" w:space="0"/>
              <w:bottom w:val="single" w:color="auto" w:sz="4" w:space="0"/>
              <w:right w:val="single" w:color="auto" w:sz="4" w:space="0"/>
            </w:tcBorders>
            <w:vAlign w:val="center"/>
          </w:tcPr>
          <w:p w14:paraId="7003579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12" w:type="pct"/>
            <w:tcBorders>
              <w:top w:val="single" w:color="auto" w:sz="4" w:space="0"/>
              <w:left w:val="single" w:color="auto" w:sz="4" w:space="0"/>
              <w:bottom w:val="single" w:color="auto" w:sz="4" w:space="0"/>
              <w:right w:val="single" w:color="auto" w:sz="4" w:space="0"/>
            </w:tcBorders>
            <w:vAlign w:val="center"/>
          </w:tcPr>
          <w:p w14:paraId="1701A51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6" w:type="pct"/>
            <w:tcBorders>
              <w:top w:val="single" w:color="auto" w:sz="4" w:space="0"/>
              <w:left w:val="single" w:color="auto" w:sz="4" w:space="0"/>
              <w:bottom w:val="single" w:color="auto" w:sz="4" w:space="0"/>
              <w:right w:val="single" w:color="auto" w:sz="4" w:space="0"/>
            </w:tcBorders>
            <w:vAlign w:val="center"/>
          </w:tcPr>
          <w:p w14:paraId="51529CF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27" w:type="pct"/>
            <w:tcBorders>
              <w:top w:val="single" w:color="auto" w:sz="4" w:space="0"/>
              <w:left w:val="single" w:color="auto" w:sz="4" w:space="0"/>
              <w:bottom w:val="single" w:color="auto" w:sz="4" w:space="0"/>
              <w:right w:val="single" w:color="auto" w:sz="4" w:space="0"/>
            </w:tcBorders>
          </w:tcPr>
          <w:p w14:paraId="2424525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03" w:type="pct"/>
            <w:tcBorders>
              <w:top w:val="single" w:color="auto" w:sz="4" w:space="0"/>
              <w:left w:val="single" w:color="auto" w:sz="4" w:space="0"/>
              <w:bottom w:val="single" w:color="auto" w:sz="4" w:space="0"/>
              <w:right w:val="single" w:color="auto" w:sz="4" w:space="0"/>
            </w:tcBorders>
            <w:vAlign w:val="center"/>
          </w:tcPr>
          <w:p w14:paraId="6E10A3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7D74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1FAD64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72" w:type="pct"/>
            <w:tcBorders>
              <w:top w:val="single" w:color="auto" w:sz="4" w:space="0"/>
              <w:left w:val="single" w:color="auto" w:sz="4" w:space="0"/>
              <w:bottom w:val="single" w:color="auto" w:sz="4" w:space="0"/>
              <w:right w:val="single" w:color="auto" w:sz="4" w:space="0"/>
            </w:tcBorders>
            <w:vAlign w:val="center"/>
          </w:tcPr>
          <w:p w14:paraId="711E1ED1">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行政区划代码</w:t>
            </w:r>
          </w:p>
        </w:tc>
        <w:tc>
          <w:tcPr>
            <w:tcW w:w="732" w:type="pct"/>
            <w:tcBorders>
              <w:top w:val="single" w:color="auto" w:sz="4" w:space="0"/>
              <w:left w:val="single" w:color="auto" w:sz="4" w:space="0"/>
              <w:bottom w:val="single" w:color="auto" w:sz="4" w:space="0"/>
              <w:right w:val="single" w:color="auto" w:sz="4" w:space="0"/>
            </w:tcBorders>
            <w:vAlign w:val="center"/>
          </w:tcPr>
          <w:p w14:paraId="56B5ABC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12" w:type="pct"/>
            <w:tcBorders>
              <w:top w:val="single" w:color="auto" w:sz="4" w:space="0"/>
              <w:left w:val="single" w:color="auto" w:sz="4" w:space="0"/>
              <w:bottom w:val="single" w:color="auto" w:sz="4" w:space="0"/>
              <w:right w:val="single" w:color="auto" w:sz="4" w:space="0"/>
            </w:tcBorders>
            <w:vAlign w:val="center"/>
          </w:tcPr>
          <w:p w14:paraId="7753D78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60BB91A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27" w:type="pct"/>
            <w:tcBorders>
              <w:top w:val="single" w:color="auto" w:sz="4" w:space="0"/>
              <w:left w:val="single" w:color="auto" w:sz="4" w:space="0"/>
              <w:bottom w:val="single" w:color="auto" w:sz="4" w:space="0"/>
              <w:right w:val="single" w:color="auto" w:sz="4" w:space="0"/>
            </w:tcBorders>
            <w:vAlign w:val="center"/>
          </w:tcPr>
          <w:p w14:paraId="3D280FA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103" w:type="pct"/>
            <w:tcBorders>
              <w:top w:val="single" w:color="auto" w:sz="4" w:space="0"/>
              <w:left w:val="single" w:color="auto" w:sz="4" w:space="0"/>
              <w:bottom w:val="single" w:color="auto" w:sz="4" w:space="0"/>
              <w:right w:val="single" w:color="auto" w:sz="4" w:space="0"/>
            </w:tcBorders>
            <w:vAlign w:val="center"/>
          </w:tcPr>
          <w:p w14:paraId="09834F71">
            <w:pPr>
              <w:keepNext w:val="0"/>
              <w:keepLines w:val="0"/>
              <w:widowControl/>
              <w:suppressLineNumbers w:val="0"/>
              <w:spacing w:before="0" w:beforeAutospacing="0" w:after="0" w:afterAutospacing="0"/>
              <w:ind w:left="0" w:right="0" w:firstLine="48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6B15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996833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72" w:type="pct"/>
            <w:tcBorders>
              <w:top w:val="single" w:color="auto" w:sz="4" w:space="0"/>
              <w:left w:val="single" w:color="auto" w:sz="4" w:space="0"/>
              <w:bottom w:val="single" w:color="auto" w:sz="4" w:space="0"/>
              <w:right w:val="single" w:color="auto" w:sz="4" w:space="0"/>
            </w:tcBorders>
            <w:vAlign w:val="center"/>
          </w:tcPr>
          <w:p w14:paraId="539955B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车牌号</w:t>
            </w:r>
          </w:p>
        </w:tc>
        <w:tc>
          <w:tcPr>
            <w:tcW w:w="732" w:type="pct"/>
            <w:tcBorders>
              <w:top w:val="single" w:color="auto" w:sz="4" w:space="0"/>
              <w:left w:val="single" w:color="auto" w:sz="4" w:space="0"/>
              <w:bottom w:val="single" w:color="auto" w:sz="4" w:space="0"/>
              <w:right w:val="single" w:color="auto" w:sz="4" w:space="0"/>
            </w:tcBorders>
            <w:vAlign w:val="center"/>
          </w:tcPr>
          <w:p w14:paraId="50603CB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CPH</w:t>
            </w:r>
          </w:p>
        </w:tc>
        <w:tc>
          <w:tcPr>
            <w:tcW w:w="712" w:type="pct"/>
            <w:tcBorders>
              <w:top w:val="single" w:color="auto" w:sz="4" w:space="0"/>
              <w:left w:val="single" w:color="auto" w:sz="4" w:space="0"/>
              <w:bottom w:val="single" w:color="auto" w:sz="4" w:space="0"/>
              <w:right w:val="single" w:color="auto" w:sz="4" w:space="0"/>
            </w:tcBorders>
            <w:vAlign w:val="center"/>
          </w:tcPr>
          <w:p w14:paraId="3B1BF6A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46CFE28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w:t>
            </w:r>
          </w:p>
        </w:tc>
        <w:tc>
          <w:tcPr>
            <w:tcW w:w="527" w:type="pct"/>
            <w:tcBorders>
              <w:top w:val="single" w:color="auto" w:sz="4" w:space="0"/>
              <w:left w:val="single" w:color="auto" w:sz="4" w:space="0"/>
              <w:bottom w:val="single" w:color="auto" w:sz="4" w:space="0"/>
              <w:right w:val="single" w:color="auto" w:sz="4" w:space="0"/>
            </w:tcBorders>
            <w:vAlign w:val="center"/>
          </w:tcPr>
          <w:p w14:paraId="5FAAE09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00E3FE68">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14:paraId="3D6A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0DF3BA0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72" w:type="pct"/>
            <w:tcBorders>
              <w:top w:val="single" w:color="auto" w:sz="4" w:space="0"/>
              <w:left w:val="single" w:color="auto" w:sz="4" w:space="0"/>
              <w:bottom w:val="single" w:color="auto" w:sz="4" w:space="0"/>
              <w:right w:val="single" w:color="auto" w:sz="4" w:space="0"/>
            </w:tcBorders>
            <w:vAlign w:val="center"/>
          </w:tcPr>
          <w:p w14:paraId="397CCF0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企业编号</w:t>
            </w:r>
          </w:p>
        </w:tc>
        <w:tc>
          <w:tcPr>
            <w:tcW w:w="732" w:type="pct"/>
            <w:tcBorders>
              <w:top w:val="single" w:color="auto" w:sz="4" w:space="0"/>
              <w:left w:val="single" w:color="auto" w:sz="4" w:space="0"/>
              <w:bottom w:val="single" w:color="auto" w:sz="4" w:space="0"/>
              <w:right w:val="single" w:color="auto" w:sz="4" w:space="0"/>
            </w:tcBorders>
            <w:vAlign w:val="center"/>
          </w:tcPr>
          <w:p w14:paraId="260102E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QYBH</w:t>
            </w:r>
          </w:p>
        </w:tc>
        <w:tc>
          <w:tcPr>
            <w:tcW w:w="712" w:type="pct"/>
            <w:tcBorders>
              <w:top w:val="single" w:color="auto" w:sz="4" w:space="0"/>
              <w:left w:val="single" w:color="auto" w:sz="4" w:space="0"/>
              <w:bottom w:val="single" w:color="auto" w:sz="4" w:space="0"/>
              <w:right w:val="single" w:color="auto" w:sz="4" w:space="0"/>
            </w:tcBorders>
            <w:vAlign w:val="center"/>
          </w:tcPr>
          <w:p w14:paraId="6B39A4D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1C3D267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14:paraId="634FE4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1F5A69D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49</w:t>
            </w:r>
          </w:p>
        </w:tc>
      </w:tr>
      <w:tr w14:paraId="4876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5F4DDE1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72" w:type="pct"/>
            <w:tcBorders>
              <w:top w:val="single" w:color="auto" w:sz="4" w:space="0"/>
              <w:left w:val="single" w:color="auto" w:sz="4" w:space="0"/>
              <w:bottom w:val="single" w:color="auto" w:sz="4" w:space="0"/>
              <w:right w:val="single" w:color="auto" w:sz="4" w:space="0"/>
            </w:tcBorders>
            <w:vAlign w:val="center"/>
          </w:tcPr>
          <w:p w14:paraId="1BC6C9B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制造厂商</w:t>
            </w:r>
          </w:p>
        </w:tc>
        <w:tc>
          <w:tcPr>
            <w:tcW w:w="732" w:type="pct"/>
            <w:tcBorders>
              <w:top w:val="single" w:color="auto" w:sz="4" w:space="0"/>
              <w:left w:val="single" w:color="auto" w:sz="4" w:space="0"/>
              <w:bottom w:val="single" w:color="auto" w:sz="4" w:space="0"/>
              <w:right w:val="single" w:color="auto" w:sz="4" w:space="0"/>
            </w:tcBorders>
            <w:vAlign w:val="center"/>
          </w:tcPr>
          <w:p w14:paraId="74D3261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ZZCS</w:t>
            </w:r>
          </w:p>
        </w:tc>
        <w:tc>
          <w:tcPr>
            <w:tcW w:w="712" w:type="pct"/>
            <w:tcBorders>
              <w:top w:val="single" w:color="auto" w:sz="4" w:space="0"/>
              <w:left w:val="single" w:color="auto" w:sz="4" w:space="0"/>
              <w:bottom w:val="single" w:color="auto" w:sz="4" w:space="0"/>
              <w:right w:val="single" w:color="auto" w:sz="4" w:space="0"/>
            </w:tcBorders>
            <w:vAlign w:val="center"/>
          </w:tcPr>
          <w:p w14:paraId="52A18A8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7556B69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14:paraId="6A4182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798F73B6">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6922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6B7C185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72" w:type="pct"/>
            <w:tcBorders>
              <w:top w:val="single" w:color="auto" w:sz="4" w:space="0"/>
              <w:left w:val="single" w:color="auto" w:sz="4" w:space="0"/>
              <w:bottom w:val="single" w:color="auto" w:sz="4" w:space="0"/>
              <w:right w:val="single" w:color="auto" w:sz="4" w:space="0"/>
            </w:tcBorders>
            <w:vAlign w:val="center"/>
          </w:tcPr>
          <w:p w14:paraId="1FD7532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车辆型号</w:t>
            </w:r>
          </w:p>
        </w:tc>
        <w:tc>
          <w:tcPr>
            <w:tcW w:w="732" w:type="pct"/>
            <w:tcBorders>
              <w:top w:val="single" w:color="auto" w:sz="4" w:space="0"/>
              <w:left w:val="single" w:color="auto" w:sz="4" w:space="0"/>
              <w:bottom w:val="single" w:color="auto" w:sz="4" w:space="0"/>
              <w:right w:val="single" w:color="auto" w:sz="4" w:space="0"/>
            </w:tcBorders>
            <w:vAlign w:val="center"/>
          </w:tcPr>
          <w:p w14:paraId="7CACA73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CLXH</w:t>
            </w:r>
          </w:p>
        </w:tc>
        <w:tc>
          <w:tcPr>
            <w:tcW w:w="712" w:type="pct"/>
            <w:tcBorders>
              <w:top w:val="single" w:color="auto" w:sz="4" w:space="0"/>
              <w:left w:val="single" w:color="auto" w:sz="4" w:space="0"/>
              <w:bottom w:val="single" w:color="auto" w:sz="4" w:space="0"/>
              <w:right w:val="single" w:color="auto" w:sz="4" w:space="0"/>
            </w:tcBorders>
            <w:vAlign w:val="center"/>
          </w:tcPr>
          <w:p w14:paraId="56D0BB0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5F1687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14:paraId="7E49FCE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1BF78F38">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641D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72F11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72" w:type="pct"/>
            <w:tcBorders>
              <w:top w:val="single" w:color="auto" w:sz="4" w:space="0"/>
              <w:left w:val="single" w:color="auto" w:sz="4" w:space="0"/>
              <w:bottom w:val="single" w:color="auto" w:sz="4" w:space="0"/>
              <w:right w:val="single" w:color="auto" w:sz="4" w:space="0"/>
            </w:tcBorders>
            <w:vAlign w:val="center"/>
          </w:tcPr>
          <w:p w14:paraId="676845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车辆吨位</w:t>
            </w:r>
          </w:p>
        </w:tc>
        <w:tc>
          <w:tcPr>
            <w:tcW w:w="732" w:type="pct"/>
            <w:tcBorders>
              <w:top w:val="single" w:color="auto" w:sz="4" w:space="0"/>
              <w:left w:val="single" w:color="auto" w:sz="4" w:space="0"/>
              <w:bottom w:val="single" w:color="auto" w:sz="4" w:space="0"/>
              <w:right w:val="single" w:color="auto" w:sz="4" w:space="0"/>
            </w:tcBorders>
            <w:vAlign w:val="center"/>
          </w:tcPr>
          <w:p w14:paraId="0228B55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CLDW</w:t>
            </w:r>
          </w:p>
        </w:tc>
        <w:tc>
          <w:tcPr>
            <w:tcW w:w="712" w:type="pct"/>
            <w:tcBorders>
              <w:top w:val="single" w:color="auto" w:sz="4" w:space="0"/>
              <w:left w:val="single" w:color="auto" w:sz="4" w:space="0"/>
              <w:bottom w:val="single" w:color="auto" w:sz="4" w:space="0"/>
              <w:right w:val="single" w:color="auto" w:sz="4" w:space="0"/>
            </w:tcBorders>
            <w:vAlign w:val="center"/>
          </w:tcPr>
          <w:p w14:paraId="1EA5488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5787DCFB">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2B2CB3F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30BF4B73">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6233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5A5C5D4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72" w:type="pct"/>
            <w:tcBorders>
              <w:top w:val="single" w:color="auto" w:sz="4" w:space="0"/>
              <w:left w:val="single" w:color="auto" w:sz="4" w:space="0"/>
              <w:bottom w:val="single" w:color="auto" w:sz="4" w:space="0"/>
              <w:right w:val="single" w:color="auto" w:sz="4" w:space="0"/>
            </w:tcBorders>
            <w:vAlign w:val="center"/>
          </w:tcPr>
          <w:p w14:paraId="46D9D9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停车场所</w:t>
            </w:r>
          </w:p>
        </w:tc>
        <w:tc>
          <w:tcPr>
            <w:tcW w:w="732" w:type="pct"/>
            <w:tcBorders>
              <w:top w:val="single" w:color="auto" w:sz="4" w:space="0"/>
              <w:left w:val="single" w:color="auto" w:sz="4" w:space="0"/>
              <w:bottom w:val="single" w:color="auto" w:sz="4" w:space="0"/>
              <w:right w:val="single" w:color="auto" w:sz="4" w:space="0"/>
            </w:tcBorders>
            <w:vAlign w:val="center"/>
          </w:tcPr>
          <w:p w14:paraId="508D9CC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TCCS</w:t>
            </w:r>
          </w:p>
        </w:tc>
        <w:tc>
          <w:tcPr>
            <w:tcW w:w="712" w:type="pct"/>
            <w:tcBorders>
              <w:top w:val="single" w:color="auto" w:sz="4" w:space="0"/>
              <w:left w:val="single" w:color="auto" w:sz="4" w:space="0"/>
              <w:bottom w:val="single" w:color="auto" w:sz="4" w:space="0"/>
              <w:right w:val="single" w:color="auto" w:sz="4" w:space="0"/>
            </w:tcBorders>
            <w:vAlign w:val="center"/>
          </w:tcPr>
          <w:p w14:paraId="7DA1786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34A0D1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14:paraId="6C2E099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33E781FE">
            <w:pPr>
              <w:keepNext w:val="0"/>
              <w:keepLines w:val="0"/>
              <w:suppressLineNumbers w:val="0"/>
              <w:spacing w:before="0" w:beforeAutospacing="0" w:after="0" w:afterAutospacing="0"/>
              <w:ind w:left="0" w:right="0"/>
              <w:jc w:val="left"/>
              <w:rPr>
                <w:rFonts w:hint="eastAsia" w:ascii="宋体" w:hAnsi="宋体" w:eastAsia="宋体"/>
              </w:rPr>
            </w:pPr>
          </w:p>
        </w:tc>
      </w:tr>
      <w:tr w14:paraId="7D6D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6620DB6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8</w:t>
            </w:r>
          </w:p>
        </w:tc>
        <w:tc>
          <w:tcPr>
            <w:tcW w:w="872" w:type="pct"/>
            <w:tcBorders>
              <w:top w:val="single" w:color="auto" w:sz="4" w:space="0"/>
              <w:left w:val="single" w:color="auto" w:sz="4" w:space="0"/>
              <w:bottom w:val="single" w:color="auto" w:sz="4" w:space="0"/>
              <w:right w:val="single" w:color="auto" w:sz="4" w:space="0"/>
            </w:tcBorders>
            <w:vAlign w:val="center"/>
          </w:tcPr>
          <w:p w14:paraId="6EA976F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工作场所</w:t>
            </w:r>
          </w:p>
        </w:tc>
        <w:tc>
          <w:tcPr>
            <w:tcW w:w="732" w:type="pct"/>
            <w:tcBorders>
              <w:top w:val="single" w:color="auto" w:sz="4" w:space="0"/>
              <w:left w:val="single" w:color="auto" w:sz="4" w:space="0"/>
              <w:bottom w:val="single" w:color="auto" w:sz="4" w:space="0"/>
              <w:right w:val="single" w:color="auto" w:sz="4" w:space="0"/>
            </w:tcBorders>
            <w:vAlign w:val="center"/>
          </w:tcPr>
          <w:p w14:paraId="2370A20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GZCS</w:t>
            </w:r>
          </w:p>
        </w:tc>
        <w:tc>
          <w:tcPr>
            <w:tcW w:w="712" w:type="pct"/>
            <w:tcBorders>
              <w:top w:val="single" w:color="auto" w:sz="4" w:space="0"/>
              <w:left w:val="single" w:color="auto" w:sz="4" w:space="0"/>
              <w:bottom w:val="single" w:color="auto" w:sz="4" w:space="0"/>
              <w:right w:val="single" w:color="auto" w:sz="4" w:space="0"/>
            </w:tcBorders>
            <w:vAlign w:val="center"/>
          </w:tcPr>
          <w:p w14:paraId="2375736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143B1A2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14:paraId="20926B1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7CD96810">
            <w:pPr>
              <w:keepNext w:val="0"/>
              <w:keepLines w:val="0"/>
              <w:suppressLineNumbers w:val="0"/>
              <w:spacing w:before="0" w:beforeAutospacing="0" w:after="0" w:afterAutospacing="0"/>
              <w:ind w:left="0" w:right="0"/>
              <w:jc w:val="left"/>
              <w:rPr>
                <w:rFonts w:hint="eastAsia" w:ascii="宋体" w:hAnsi="宋体" w:eastAsia="宋体"/>
              </w:rPr>
            </w:pPr>
          </w:p>
        </w:tc>
      </w:tr>
    </w:tbl>
    <w:p w14:paraId="67A69211">
      <w:pPr>
        <w:pStyle w:val="463"/>
        <w:numPr>
          <w:ilvl w:val="3"/>
          <w:numId w:val="0"/>
        </w:numPr>
        <w:spacing w:beforeLines="0" w:afterLines="0"/>
        <w:rPr>
          <w:rFonts w:hint="eastAsia" w:ascii="宋体" w:hAnsi="宋体" w:eastAsia="宋体"/>
          <w:lang w:eastAsia="zh-Hans"/>
        </w:rPr>
      </w:pPr>
    </w:p>
    <w:p w14:paraId="2BE6477D">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建筑垃圾运输司机主要数据项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6"/>
        <w:gridCol w:w="1248"/>
        <w:gridCol w:w="1214"/>
        <w:gridCol w:w="1084"/>
        <w:gridCol w:w="898"/>
        <w:gridCol w:w="1880"/>
      </w:tblGrid>
      <w:tr w14:paraId="6B95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58180B5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72" w:type="pct"/>
            <w:tcBorders>
              <w:top w:val="single" w:color="auto" w:sz="4" w:space="0"/>
              <w:left w:val="single" w:color="auto" w:sz="4" w:space="0"/>
              <w:bottom w:val="single" w:color="auto" w:sz="4" w:space="0"/>
              <w:right w:val="single" w:color="auto" w:sz="4" w:space="0"/>
            </w:tcBorders>
            <w:vAlign w:val="center"/>
          </w:tcPr>
          <w:p w14:paraId="0F126ED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732" w:type="pct"/>
            <w:tcBorders>
              <w:top w:val="single" w:color="auto" w:sz="4" w:space="0"/>
              <w:left w:val="single" w:color="auto" w:sz="4" w:space="0"/>
              <w:bottom w:val="single" w:color="auto" w:sz="4" w:space="0"/>
              <w:right w:val="single" w:color="auto" w:sz="4" w:space="0"/>
            </w:tcBorders>
            <w:vAlign w:val="center"/>
          </w:tcPr>
          <w:p w14:paraId="0E5BCDA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12" w:type="pct"/>
            <w:tcBorders>
              <w:top w:val="single" w:color="auto" w:sz="4" w:space="0"/>
              <w:left w:val="single" w:color="auto" w:sz="4" w:space="0"/>
              <w:bottom w:val="single" w:color="auto" w:sz="4" w:space="0"/>
              <w:right w:val="single" w:color="auto" w:sz="4" w:space="0"/>
            </w:tcBorders>
            <w:vAlign w:val="center"/>
          </w:tcPr>
          <w:p w14:paraId="509797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6" w:type="pct"/>
            <w:tcBorders>
              <w:top w:val="single" w:color="auto" w:sz="4" w:space="0"/>
              <w:left w:val="single" w:color="auto" w:sz="4" w:space="0"/>
              <w:bottom w:val="single" w:color="auto" w:sz="4" w:space="0"/>
              <w:right w:val="single" w:color="auto" w:sz="4" w:space="0"/>
            </w:tcBorders>
            <w:vAlign w:val="center"/>
          </w:tcPr>
          <w:p w14:paraId="511A17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27" w:type="pct"/>
            <w:tcBorders>
              <w:top w:val="single" w:color="auto" w:sz="4" w:space="0"/>
              <w:left w:val="single" w:color="auto" w:sz="4" w:space="0"/>
              <w:bottom w:val="single" w:color="auto" w:sz="4" w:space="0"/>
              <w:right w:val="single" w:color="auto" w:sz="4" w:space="0"/>
            </w:tcBorders>
          </w:tcPr>
          <w:p w14:paraId="0365730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03" w:type="pct"/>
            <w:tcBorders>
              <w:top w:val="single" w:color="auto" w:sz="4" w:space="0"/>
              <w:left w:val="single" w:color="auto" w:sz="4" w:space="0"/>
              <w:bottom w:val="single" w:color="auto" w:sz="4" w:space="0"/>
              <w:right w:val="single" w:color="auto" w:sz="4" w:space="0"/>
            </w:tcBorders>
            <w:vAlign w:val="center"/>
          </w:tcPr>
          <w:p w14:paraId="4BE26A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130C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2CC060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72" w:type="pct"/>
            <w:tcBorders>
              <w:top w:val="single" w:color="auto" w:sz="4" w:space="0"/>
              <w:left w:val="single" w:color="auto" w:sz="4" w:space="0"/>
              <w:bottom w:val="single" w:color="auto" w:sz="4" w:space="0"/>
              <w:right w:val="single" w:color="auto" w:sz="4" w:space="0"/>
            </w:tcBorders>
            <w:vAlign w:val="center"/>
          </w:tcPr>
          <w:p w14:paraId="4872629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32" w:type="pct"/>
            <w:tcBorders>
              <w:top w:val="single" w:color="auto" w:sz="4" w:space="0"/>
              <w:left w:val="single" w:color="auto" w:sz="4" w:space="0"/>
              <w:bottom w:val="single" w:color="auto" w:sz="4" w:space="0"/>
              <w:right w:val="single" w:color="auto" w:sz="4" w:space="0"/>
            </w:tcBorders>
            <w:vAlign w:val="center"/>
          </w:tcPr>
          <w:p w14:paraId="5917E9C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12" w:type="pct"/>
            <w:tcBorders>
              <w:top w:val="single" w:color="auto" w:sz="4" w:space="0"/>
              <w:left w:val="single" w:color="auto" w:sz="4" w:space="0"/>
              <w:bottom w:val="single" w:color="auto" w:sz="4" w:space="0"/>
              <w:right w:val="single" w:color="auto" w:sz="4" w:space="0"/>
            </w:tcBorders>
            <w:vAlign w:val="center"/>
          </w:tcPr>
          <w:p w14:paraId="5545B3C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12F1F7E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27" w:type="pct"/>
            <w:tcBorders>
              <w:top w:val="single" w:color="auto" w:sz="4" w:space="0"/>
              <w:left w:val="single" w:color="auto" w:sz="4" w:space="0"/>
              <w:bottom w:val="single" w:color="auto" w:sz="4" w:space="0"/>
              <w:right w:val="single" w:color="auto" w:sz="4" w:space="0"/>
            </w:tcBorders>
            <w:vAlign w:val="center"/>
          </w:tcPr>
          <w:p w14:paraId="2BA1E7C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103" w:type="pct"/>
            <w:tcBorders>
              <w:top w:val="single" w:color="auto" w:sz="4" w:space="0"/>
              <w:left w:val="single" w:color="auto" w:sz="4" w:space="0"/>
              <w:bottom w:val="single" w:color="auto" w:sz="4" w:space="0"/>
              <w:right w:val="single" w:color="auto" w:sz="4" w:space="0"/>
            </w:tcBorders>
            <w:vAlign w:val="center"/>
          </w:tcPr>
          <w:p w14:paraId="1083AC6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580B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5FF807D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72" w:type="pct"/>
            <w:tcBorders>
              <w:top w:val="single" w:color="auto" w:sz="4" w:space="0"/>
              <w:left w:val="single" w:color="auto" w:sz="4" w:space="0"/>
              <w:bottom w:val="single" w:color="auto" w:sz="4" w:space="0"/>
              <w:right w:val="single" w:color="auto" w:sz="4" w:space="0"/>
            </w:tcBorders>
            <w:vAlign w:val="center"/>
          </w:tcPr>
          <w:p w14:paraId="3F35EB5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驾驶证号</w:t>
            </w:r>
          </w:p>
        </w:tc>
        <w:tc>
          <w:tcPr>
            <w:tcW w:w="732" w:type="pct"/>
            <w:tcBorders>
              <w:top w:val="single" w:color="auto" w:sz="4" w:space="0"/>
              <w:left w:val="single" w:color="auto" w:sz="4" w:space="0"/>
              <w:bottom w:val="single" w:color="auto" w:sz="4" w:space="0"/>
              <w:right w:val="single" w:color="auto" w:sz="4" w:space="0"/>
            </w:tcBorders>
            <w:vAlign w:val="center"/>
          </w:tcPr>
          <w:p w14:paraId="0628586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JSZH</w:t>
            </w:r>
          </w:p>
        </w:tc>
        <w:tc>
          <w:tcPr>
            <w:tcW w:w="712" w:type="pct"/>
            <w:tcBorders>
              <w:top w:val="single" w:color="auto" w:sz="4" w:space="0"/>
              <w:left w:val="single" w:color="auto" w:sz="4" w:space="0"/>
              <w:bottom w:val="single" w:color="auto" w:sz="4" w:space="0"/>
              <w:right w:val="single" w:color="auto" w:sz="4" w:space="0"/>
            </w:tcBorders>
            <w:vAlign w:val="center"/>
          </w:tcPr>
          <w:p w14:paraId="0343A23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156A276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527" w:type="pct"/>
            <w:tcBorders>
              <w:top w:val="single" w:color="auto" w:sz="4" w:space="0"/>
              <w:left w:val="single" w:color="auto" w:sz="4" w:space="0"/>
              <w:bottom w:val="single" w:color="auto" w:sz="4" w:space="0"/>
              <w:right w:val="single" w:color="auto" w:sz="4" w:space="0"/>
            </w:tcBorders>
            <w:vAlign w:val="center"/>
          </w:tcPr>
          <w:p w14:paraId="09E625A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24C1E70C">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14:paraId="4C56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7158EB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72" w:type="pct"/>
            <w:tcBorders>
              <w:top w:val="single" w:color="auto" w:sz="4" w:space="0"/>
              <w:left w:val="single" w:color="auto" w:sz="4" w:space="0"/>
              <w:bottom w:val="single" w:color="auto" w:sz="4" w:space="0"/>
              <w:right w:val="single" w:color="auto" w:sz="4" w:space="0"/>
            </w:tcBorders>
            <w:vAlign w:val="center"/>
          </w:tcPr>
          <w:p w14:paraId="6C15993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姓名</w:t>
            </w:r>
          </w:p>
        </w:tc>
        <w:tc>
          <w:tcPr>
            <w:tcW w:w="732" w:type="pct"/>
            <w:tcBorders>
              <w:top w:val="single" w:color="auto" w:sz="4" w:space="0"/>
              <w:left w:val="single" w:color="auto" w:sz="4" w:space="0"/>
              <w:bottom w:val="single" w:color="auto" w:sz="4" w:space="0"/>
              <w:right w:val="single" w:color="auto" w:sz="4" w:space="0"/>
            </w:tcBorders>
            <w:vAlign w:val="center"/>
          </w:tcPr>
          <w:p w14:paraId="3A4BCB3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XM</w:t>
            </w:r>
          </w:p>
        </w:tc>
        <w:tc>
          <w:tcPr>
            <w:tcW w:w="712" w:type="pct"/>
            <w:tcBorders>
              <w:top w:val="single" w:color="auto" w:sz="4" w:space="0"/>
              <w:left w:val="single" w:color="auto" w:sz="4" w:space="0"/>
              <w:bottom w:val="single" w:color="auto" w:sz="4" w:space="0"/>
              <w:right w:val="single" w:color="auto" w:sz="4" w:space="0"/>
            </w:tcBorders>
            <w:vAlign w:val="center"/>
          </w:tcPr>
          <w:p w14:paraId="5A68136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4E4991E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14:paraId="55755F2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602EA9BE">
            <w:pPr>
              <w:keepNext w:val="0"/>
              <w:keepLines w:val="0"/>
              <w:suppressLineNumbers w:val="0"/>
              <w:spacing w:before="0" w:beforeAutospacing="0" w:after="0" w:afterAutospacing="0"/>
              <w:ind w:left="0" w:right="0"/>
              <w:jc w:val="left"/>
              <w:rPr>
                <w:rFonts w:hint="eastAsia" w:ascii="宋体" w:hAnsi="宋体" w:eastAsia="宋体"/>
              </w:rPr>
            </w:pPr>
          </w:p>
        </w:tc>
      </w:tr>
      <w:tr w14:paraId="3699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389390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72" w:type="pct"/>
            <w:tcBorders>
              <w:top w:val="single" w:color="auto" w:sz="4" w:space="0"/>
              <w:left w:val="single" w:color="auto" w:sz="4" w:space="0"/>
              <w:bottom w:val="single" w:color="auto" w:sz="4" w:space="0"/>
              <w:right w:val="single" w:color="auto" w:sz="4" w:space="0"/>
            </w:tcBorders>
            <w:vAlign w:val="center"/>
          </w:tcPr>
          <w:p w14:paraId="7EECE8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身份证号</w:t>
            </w:r>
          </w:p>
        </w:tc>
        <w:tc>
          <w:tcPr>
            <w:tcW w:w="732" w:type="pct"/>
            <w:tcBorders>
              <w:top w:val="single" w:color="auto" w:sz="4" w:space="0"/>
              <w:left w:val="single" w:color="auto" w:sz="4" w:space="0"/>
              <w:bottom w:val="single" w:color="auto" w:sz="4" w:space="0"/>
              <w:right w:val="single" w:color="auto" w:sz="4" w:space="0"/>
            </w:tcBorders>
            <w:vAlign w:val="center"/>
          </w:tcPr>
          <w:p w14:paraId="31C4ECF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SFZH</w:t>
            </w:r>
          </w:p>
        </w:tc>
        <w:tc>
          <w:tcPr>
            <w:tcW w:w="712" w:type="pct"/>
            <w:tcBorders>
              <w:top w:val="single" w:color="auto" w:sz="4" w:space="0"/>
              <w:left w:val="single" w:color="auto" w:sz="4" w:space="0"/>
              <w:bottom w:val="single" w:color="auto" w:sz="4" w:space="0"/>
              <w:right w:val="single" w:color="auto" w:sz="4" w:space="0"/>
            </w:tcBorders>
            <w:vAlign w:val="center"/>
          </w:tcPr>
          <w:p w14:paraId="38B818E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670EF9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8</w:t>
            </w:r>
          </w:p>
        </w:tc>
        <w:tc>
          <w:tcPr>
            <w:tcW w:w="527" w:type="pct"/>
            <w:tcBorders>
              <w:top w:val="single" w:color="auto" w:sz="4" w:space="0"/>
              <w:left w:val="single" w:color="auto" w:sz="4" w:space="0"/>
              <w:bottom w:val="single" w:color="auto" w:sz="4" w:space="0"/>
              <w:right w:val="single" w:color="auto" w:sz="4" w:space="0"/>
            </w:tcBorders>
            <w:vAlign w:val="center"/>
          </w:tcPr>
          <w:p w14:paraId="675D525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62D29E7A">
            <w:pPr>
              <w:keepNext w:val="0"/>
              <w:keepLines w:val="0"/>
              <w:suppressLineNumbers w:val="0"/>
              <w:spacing w:before="0" w:beforeAutospacing="0" w:after="0" w:afterAutospacing="0"/>
              <w:ind w:left="0" w:right="0"/>
              <w:jc w:val="left"/>
              <w:rPr>
                <w:rFonts w:hint="eastAsia" w:ascii="宋体" w:hAnsi="宋体" w:eastAsia="宋体"/>
              </w:rPr>
            </w:pPr>
          </w:p>
        </w:tc>
      </w:tr>
      <w:tr w14:paraId="59B4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CFC620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72" w:type="pct"/>
            <w:tcBorders>
              <w:top w:val="single" w:color="auto" w:sz="4" w:space="0"/>
              <w:left w:val="single" w:color="auto" w:sz="4" w:space="0"/>
              <w:bottom w:val="single" w:color="auto" w:sz="4" w:space="0"/>
              <w:right w:val="single" w:color="auto" w:sz="4" w:space="0"/>
            </w:tcBorders>
            <w:vAlign w:val="center"/>
          </w:tcPr>
          <w:p w14:paraId="689D9FB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性别</w:t>
            </w:r>
          </w:p>
        </w:tc>
        <w:tc>
          <w:tcPr>
            <w:tcW w:w="732" w:type="pct"/>
            <w:tcBorders>
              <w:top w:val="single" w:color="auto" w:sz="4" w:space="0"/>
              <w:left w:val="single" w:color="auto" w:sz="4" w:space="0"/>
              <w:bottom w:val="single" w:color="auto" w:sz="4" w:space="0"/>
              <w:right w:val="single" w:color="auto" w:sz="4" w:space="0"/>
            </w:tcBorders>
            <w:vAlign w:val="center"/>
          </w:tcPr>
          <w:p w14:paraId="01C1BCE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XB</w:t>
            </w:r>
          </w:p>
        </w:tc>
        <w:tc>
          <w:tcPr>
            <w:tcW w:w="712" w:type="pct"/>
            <w:tcBorders>
              <w:top w:val="single" w:color="auto" w:sz="4" w:space="0"/>
              <w:left w:val="single" w:color="auto" w:sz="4" w:space="0"/>
              <w:bottom w:val="single" w:color="auto" w:sz="4" w:space="0"/>
              <w:right w:val="single" w:color="auto" w:sz="4" w:space="0"/>
            </w:tcBorders>
            <w:vAlign w:val="center"/>
          </w:tcPr>
          <w:p w14:paraId="6D4454D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04CCA1A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527" w:type="pct"/>
            <w:tcBorders>
              <w:top w:val="single" w:color="auto" w:sz="4" w:space="0"/>
              <w:left w:val="single" w:color="auto" w:sz="4" w:space="0"/>
              <w:bottom w:val="single" w:color="auto" w:sz="4" w:space="0"/>
              <w:right w:val="single" w:color="auto" w:sz="4" w:space="0"/>
            </w:tcBorders>
            <w:vAlign w:val="center"/>
          </w:tcPr>
          <w:p w14:paraId="01BB039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3F46E4C7">
            <w:pPr>
              <w:keepNext w:val="0"/>
              <w:keepLines w:val="0"/>
              <w:suppressLineNumbers w:val="0"/>
              <w:spacing w:before="0" w:beforeAutospacing="0" w:after="0" w:afterAutospacing="0"/>
              <w:ind w:left="0" w:right="0"/>
              <w:jc w:val="left"/>
              <w:rPr>
                <w:rFonts w:hint="eastAsia" w:ascii="宋体" w:hAnsi="宋体" w:eastAsia="宋体"/>
              </w:rPr>
            </w:pPr>
          </w:p>
        </w:tc>
      </w:tr>
      <w:tr w14:paraId="2157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E34077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72" w:type="pct"/>
            <w:tcBorders>
              <w:top w:val="single" w:color="auto" w:sz="4" w:space="0"/>
              <w:left w:val="single" w:color="auto" w:sz="4" w:space="0"/>
              <w:bottom w:val="single" w:color="auto" w:sz="4" w:space="0"/>
              <w:right w:val="single" w:color="auto" w:sz="4" w:space="0"/>
            </w:tcBorders>
            <w:vAlign w:val="center"/>
          </w:tcPr>
          <w:p w14:paraId="2986C4B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年龄</w:t>
            </w:r>
          </w:p>
        </w:tc>
        <w:tc>
          <w:tcPr>
            <w:tcW w:w="732" w:type="pct"/>
            <w:tcBorders>
              <w:top w:val="single" w:color="auto" w:sz="4" w:space="0"/>
              <w:left w:val="single" w:color="auto" w:sz="4" w:space="0"/>
              <w:bottom w:val="single" w:color="auto" w:sz="4" w:space="0"/>
              <w:right w:val="single" w:color="auto" w:sz="4" w:space="0"/>
            </w:tcBorders>
            <w:vAlign w:val="center"/>
          </w:tcPr>
          <w:p w14:paraId="5AB96A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NL</w:t>
            </w:r>
          </w:p>
        </w:tc>
        <w:tc>
          <w:tcPr>
            <w:tcW w:w="712" w:type="pct"/>
            <w:tcBorders>
              <w:top w:val="single" w:color="auto" w:sz="4" w:space="0"/>
              <w:left w:val="single" w:color="auto" w:sz="4" w:space="0"/>
              <w:bottom w:val="single" w:color="auto" w:sz="4" w:space="0"/>
              <w:right w:val="single" w:color="auto" w:sz="4" w:space="0"/>
            </w:tcBorders>
            <w:vAlign w:val="center"/>
          </w:tcPr>
          <w:p w14:paraId="486FB50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6" w:type="pct"/>
            <w:tcBorders>
              <w:top w:val="single" w:color="auto" w:sz="4" w:space="0"/>
              <w:left w:val="single" w:color="auto" w:sz="4" w:space="0"/>
              <w:bottom w:val="single" w:color="auto" w:sz="4" w:space="0"/>
              <w:right w:val="single" w:color="auto" w:sz="4" w:space="0"/>
            </w:tcBorders>
            <w:vAlign w:val="center"/>
          </w:tcPr>
          <w:p w14:paraId="29B752EA">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315BA93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3D393357">
            <w:pPr>
              <w:keepNext w:val="0"/>
              <w:keepLines w:val="0"/>
              <w:suppressLineNumbers w:val="0"/>
              <w:spacing w:before="0" w:beforeAutospacing="0" w:after="0" w:afterAutospacing="0"/>
              <w:ind w:left="0" w:right="0"/>
              <w:jc w:val="left"/>
              <w:rPr>
                <w:rFonts w:hint="eastAsia" w:ascii="宋体" w:hAnsi="宋体" w:eastAsia="宋体"/>
              </w:rPr>
            </w:pPr>
          </w:p>
        </w:tc>
      </w:tr>
      <w:tr w14:paraId="4E86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484012F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72" w:type="pct"/>
            <w:tcBorders>
              <w:top w:val="single" w:color="auto" w:sz="4" w:space="0"/>
              <w:left w:val="single" w:color="auto" w:sz="4" w:space="0"/>
              <w:bottom w:val="single" w:color="auto" w:sz="4" w:space="0"/>
              <w:right w:val="single" w:color="auto" w:sz="4" w:space="0"/>
            </w:tcBorders>
            <w:vAlign w:val="center"/>
          </w:tcPr>
          <w:p w14:paraId="4D2415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工龄</w:t>
            </w:r>
          </w:p>
        </w:tc>
        <w:tc>
          <w:tcPr>
            <w:tcW w:w="732" w:type="pct"/>
            <w:tcBorders>
              <w:top w:val="single" w:color="auto" w:sz="4" w:space="0"/>
              <w:left w:val="single" w:color="auto" w:sz="4" w:space="0"/>
              <w:bottom w:val="single" w:color="auto" w:sz="4" w:space="0"/>
              <w:right w:val="single" w:color="auto" w:sz="4" w:space="0"/>
            </w:tcBorders>
            <w:vAlign w:val="center"/>
          </w:tcPr>
          <w:p w14:paraId="6FCF00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GL</w:t>
            </w:r>
          </w:p>
        </w:tc>
        <w:tc>
          <w:tcPr>
            <w:tcW w:w="712" w:type="pct"/>
            <w:tcBorders>
              <w:top w:val="single" w:color="auto" w:sz="4" w:space="0"/>
              <w:left w:val="single" w:color="auto" w:sz="4" w:space="0"/>
              <w:bottom w:val="single" w:color="auto" w:sz="4" w:space="0"/>
              <w:right w:val="single" w:color="auto" w:sz="4" w:space="0"/>
            </w:tcBorders>
            <w:vAlign w:val="center"/>
          </w:tcPr>
          <w:p w14:paraId="5D5679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36" w:type="pct"/>
            <w:tcBorders>
              <w:top w:val="single" w:color="auto" w:sz="4" w:space="0"/>
              <w:left w:val="single" w:color="auto" w:sz="4" w:space="0"/>
              <w:bottom w:val="single" w:color="auto" w:sz="4" w:space="0"/>
              <w:right w:val="single" w:color="auto" w:sz="4" w:space="0"/>
            </w:tcBorders>
            <w:vAlign w:val="center"/>
          </w:tcPr>
          <w:p w14:paraId="51A9D24B">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279F3A8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0EAF9C04">
            <w:pPr>
              <w:keepNext w:val="0"/>
              <w:keepLines w:val="0"/>
              <w:suppressLineNumbers w:val="0"/>
              <w:spacing w:before="0" w:beforeAutospacing="0" w:after="0" w:afterAutospacing="0"/>
              <w:ind w:left="0" w:right="0"/>
              <w:jc w:val="left"/>
              <w:rPr>
                <w:rFonts w:hint="eastAsia" w:ascii="宋体" w:hAnsi="宋体" w:eastAsia="宋体"/>
              </w:rPr>
            </w:pPr>
          </w:p>
        </w:tc>
      </w:tr>
      <w:tr w14:paraId="3F27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4DE1DAE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8</w:t>
            </w:r>
          </w:p>
        </w:tc>
        <w:tc>
          <w:tcPr>
            <w:tcW w:w="872" w:type="pct"/>
            <w:tcBorders>
              <w:top w:val="single" w:color="auto" w:sz="4" w:space="0"/>
              <w:left w:val="single" w:color="auto" w:sz="4" w:space="0"/>
              <w:bottom w:val="single" w:color="auto" w:sz="4" w:space="0"/>
              <w:right w:val="single" w:color="auto" w:sz="4" w:space="0"/>
            </w:tcBorders>
            <w:vAlign w:val="center"/>
          </w:tcPr>
          <w:p w14:paraId="44770D9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企业编号</w:t>
            </w:r>
          </w:p>
        </w:tc>
        <w:tc>
          <w:tcPr>
            <w:tcW w:w="732" w:type="pct"/>
            <w:tcBorders>
              <w:top w:val="single" w:color="auto" w:sz="4" w:space="0"/>
              <w:left w:val="single" w:color="auto" w:sz="4" w:space="0"/>
              <w:bottom w:val="single" w:color="auto" w:sz="4" w:space="0"/>
              <w:right w:val="single" w:color="auto" w:sz="4" w:space="0"/>
            </w:tcBorders>
            <w:vAlign w:val="center"/>
          </w:tcPr>
          <w:p w14:paraId="368A8E3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QYBH</w:t>
            </w:r>
          </w:p>
        </w:tc>
        <w:tc>
          <w:tcPr>
            <w:tcW w:w="712" w:type="pct"/>
            <w:tcBorders>
              <w:top w:val="single" w:color="auto" w:sz="4" w:space="0"/>
              <w:left w:val="single" w:color="auto" w:sz="4" w:space="0"/>
              <w:bottom w:val="single" w:color="auto" w:sz="4" w:space="0"/>
              <w:right w:val="single" w:color="auto" w:sz="4" w:space="0"/>
            </w:tcBorders>
            <w:vAlign w:val="center"/>
          </w:tcPr>
          <w:p w14:paraId="38C7275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28742B3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527" w:type="pct"/>
            <w:tcBorders>
              <w:top w:val="single" w:color="auto" w:sz="4" w:space="0"/>
              <w:left w:val="single" w:color="auto" w:sz="4" w:space="0"/>
              <w:bottom w:val="single" w:color="auto" w:sz="4" w:space="0"/>
              <w:right w:val="single" w:color="auto" w:sz="4" w:space="0"/>
            </w:tcBorders>
            <w:vAlign w:val="center"/>
          </w:tcPr>
          <w:p w14:paraId="4DADE7D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5F14480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49</w:t>
            </w:r>
          </w:p>
        </w:tc>
      </w:tr>
    </w:tbl>
    <w:p w14:paraId="6AE9D6BD">
      <w:pPr>
        <w:pStyle w:val="463"/>
        <w:numPr>
          <w:ilvl w:val="3"/>
          <w:numId w:val="0"/>
        </w:numPr>
        <w:spacing w:beforeLines="0" w:afterLines="0"/>
        <w:rPr>
          <w:rFonts w:hint="eastAsia" w:ascii="宋体" w:hAnsi="宋体" w:eastAsia="宋体"/>
          <w:lang w:eastAsia="zh-Hans"/>
        </w:rPr>
      </w:pPr>
      <w:r>
        <w:rPr>
          <w:rFonts w:ascii="宋体" w:hAnsi="宋体" w:eastAsia="宋体"/>
        </w:rPr>
        <mc:AlternateContent>
          <mc:Choice Requires="wps">
            <w:drawing>
              <wp:anchor distT="0" distB="0" distL="114300" distR="114300" simplePos="0" relativeHeight="251662336" behindDoc="0" locked="0" layoutInCell="1" allowOverlap="1">
                <wp:simplePos x="0" y="0"/>
                <wp:positionH relativeFrom="column">
                  <wp:posOffset>3627120</wp:posOffset>
                </wp:positionH>
                <wp:positionV relativeFrom="paragraph">
                  <wp:posOffset>144145</wp:posOffset>
                </wp:positionV>
                <wp:extent cx="322580" cy="390525"/>
                <wp:effectExtent l="17145" t="13970" r="12700" b="1460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322580" cy="390525"/>
                        </a:xfrm>
                        <a:prstGeom prst="rect">
                          <a:avLst/>
                        </a:prstGeom>
                        <a:solidFill>
                          <a:srgbClr val="FFFFFF"/>
                        </a:solidFill>
                        <a:ln w="15875">
                          <a:solidFill>
                            <a:srgbClr val="FFFFFF"/>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5.6pt;margin-top:11.35pt;height:30.75pt;width:25.4pt;z-index:251662336;mso-width-relative:page;mso-height-relative:page;" fillcolor="#FFFFFF" filled="t" stroked="t" coordsize="21600,21600" o:gfxdata="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MdD0A1wAAAAkBAAAPAAAAAAAAAAEAIAAAACIAAABkcnMvZG93bnJldi54bWxQ&#10;SwECFAAUAAAACACHTuJA6UhlfDECAABxBAAADgAAAAAAAAABACAAAAAmAQAAZHJzL2Uyb0RvYy54&#10;bWxQSwUGAAAAAAYABgBZAQAAyQUAAAAA&#10;">
                <v:fill on="t" focussize="0,0"/>
                <v:stroke weight="1.25pt" color="#FFFFFF" miterlimit="8" joinstyle="miter"/>
                <v:imagedata o:title=""/>
                <o:lock v:ext="edit" aspectratio="f"/>
              </v:rect>
            </w:pict>
          </mc:Fallback>
        </mc:AlternateContent>
      </w:r>
    </w:p>
    <w:tbl>
      <w:tblPr>
        <w:tblStyle w:val="90"/>
        <w:tblW w:w="5000" w:type="pct"/>
        <w:tblInd w:w="0" w:type="dxa"/>
        <w:tblLayout w:type="autofit"/>
        <w:tblCellMar>
          <w:top w:w="0" w:type="dxa"/>
          <w:left w:w="108" w:type="dxa"/>
          <w:bottom w:w="0" w:type="dxa"/>
          <w:right w:w="108" w:type="dxa"/>
        </w:tblCellMar>
      </w:tblPr>
      <w:tblGrid>
        <w:gridCol w:w="641"/>
        <w:gridCol w:w="1406"/>
        <w:gridCol w:w="1266"/>
        <w:gridCol w:w="1105"/>
        <w:gridCol w:w="1037"/>
        <w:gridCol w:w="1281"/>
        <w:gridCol w:w="1786"/>
      </w:tblGrid>
      <w:tr w14:paraId="05223C1D">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2E76256D">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建筑工地主要数据项</w:t>
            </w:r>
          </w:p>
        </w:tc>
      </w:tr>
      <w:tr w14:paraId="13755F85">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14:paraId="070EAE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14:paraId="5F8C774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14:paraId="57AED70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14:paraId="2BE5857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14:paraId="7E549AD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14:paraId="6B48FBE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14:paraId="39A9E19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5548CF8E">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75B7D6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auto" w:sz="4" w:space="0"/>
              <w:left w:val="single" w:color="auto" w:sz="4" w:space="0"/>
              <w:bottom w:val="single" w:color="auto" w:sz="4" w:space="0"/>
              <w:right w:val="single" w:color="auto" w:sz="4" w:space="0"/>
            </w:tcBorders>
            <w:vAlign w:val="center"/>
          </w:tcPr>
          <w:p w14:paraId="01FD7F9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auto" w:sz="4" w:space="0"/>
              <w:left w:val="single" w:color="auto" w:sz="4" w:space="0"/>
              <w:bottom w:val="single" w:color="auto" w:sz="4" w:space="0"/>
              <w:right w:val="single" w:color="auto" w:sz="4" w:space="0"/>
            </w:tcBorders>
            <w:vAlign w:val="center"/>
          </w:tcPr>
          <w:p w14:paraId="265C56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tcBorders>
              <w:top w:val="single" w:color="auto" w:sz="4" w:space="0"/>
              <w:left w:val="single" w:color="auto" w:sz="4" w:space="0"/>
              <w:bottom w:val="single" w:color="auto" w:sz="4" w:space="0"/>
              <w:right w:val="single" w:color="auto" w:sz="4" w:space="0"/>
            </w:tcBorders>
            <w:vAlign w:val="center"/>
          </w:tcPr>
          <w:p w14:paraId="09BB999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699100E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tcBorders>
              <w:top w:val="single" w:color="auto" w:sz="4" w:space="0"/>
              <w:left w:val="single" w:color="auto" w:sz="4" w:space="0"/>
              <w:bottom w:val="single" w:color="auto" w:sz="4" w:space="0"/>
              <w:right w:val="single" w:color="auto" w:sz="4" w:space="0"/>
            </w:tcBorders>
            <w:vAlign w:val="center"/>
          </w:tcPr>
          <w:p w14:paraId="5EA8C2D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14:paraId="6B56269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0507CD39">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1DA03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auto" w:sz="4" w:space="0"/>
              <w:left w:val="single" w:color="auto" w:sz="4" w:space="0"/>
              <w:bottom w:val="single" w:color="auto" w:sz="4" w:space="0"/>
              <w:right w:val="single" w:color="auto" w:sz="4" w:space="0"/>
            </w:tcBorders>
            <w:vAlign w:val="center"/>
          </w:tcPr>
          <w:p w14:paraId="01BF68A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建筑工地编号</w:t>
            </w:r>
          </w:p>
        </w:tc>
        <w:tc>
          <w:tcPr>
            <w:tcW w:w="607" w:type="pct"/>
            <w:tcBorders>
              <w:top w:val="single" w:color="auto" w:sz="4" w:space="0"/>
              <w:left w:val="single" w:color="auto" w:sz="4" w:space="0"/>
              <w:bottom w:val="single" w:color="auto" w:sz="4" w:space="0"/>
              <w:right w:val="single" w:color="auto" w:sz="4" w:space="0"/>
            </w:tcBorders>
            <w:vAlign w:val="center"/>
          </w:tcPr>
          <w:p w14:paraId="68C80C8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JZGDBH</w:t>
            </w:r>
          </w:p>
        </w:tc>
        <w:tc>
          <w:tcPr>
            <w:tcW w:w="671" w:type="pct"/>
            <w:tcBorders>
              <w:top w:val="single" w:color="auto" w:sz="4" w:space="0"/>
              <w:left w:val="single" w:color="auto" w:sz="4" w:space="0"/>
              <w:bottom w:val="single" w:color="auto" w:sz="4" w:space="0"/>
              <w:right w:val="single" w:color="auto" w:sz="4" w:space="0"/>
            </w:tcBorders>
            <w:vAlign w:val="center"/>
          </w:tcPr>
          <w:p w14:paraId="475FA1F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34AD9A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4" w:type="pct"/>
            <w:tcBorders>
              <w:top w:val="single" w:color="auto" w:sz="4" w:space="0"/>
              <w:left w:val="single" w:color="auto" w:sz="4" w:space="0"/>
              <w:bottom w:val="single" w:color="auto" w:sz="4" w:space="0"/>
              <w:right w:val="single" w:color="auto" w:sz="4" w:space="0"/>
            </w:tcBorders>
            <w:vAlign w:val="center"/>
          </w:tcPr>
          <w:p w14:paraId="53B347F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4C45F8D5">
            <w:pPr>
              <w:keepNext w:val="0"/>
              <w:keepLines w:val="0"/>
              <w:suppressLineNumbers w:val="0"/>
              <w:spacing w:before="0" w:beforeAutospacing="0" w:after="0" w:afterAutospacing="0"/>
              <w:ind w:left="0" w:right="0"/>
              <w:jc w:val="center"/>
              <w:rPr>
                <w:rFonts w:hint="eastAsia" w:ascii="宋体" w:hAnsi="宋体" w:eastAsia="宋体"/>
                <w:color w:val="000000"/>
                <w:lang w:bidi="ar"/>
              </w:rPr>
            </w:pPr>
          </w:p>
        </w:tc>
      </w:tr>
      <w:tr w14:paraId="361B445A">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D448F0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3</w:t>
            </w:r>
          </w:p>
        </w:tc>
        <w:tc>
          <w:tcPr>
            <w:tcW w:w="848" w:type="pct"/>
            <w:tcBorders>
              <w:top w:val="single" w:color="auto" w:sz="4" w:space="0"/>
              <w:left w:val="single" w:color="auto" w:sz="4" w:space="0"/>
              <w:bottom w:val="single" w:color="auto" w:sz="4" w:space="0"/>
              <w:right w:val="single" w:color="auto" w:sz="4" w:space="0"/>
            </w:tcBorders>
            <w:vAlign w:val="center"/>
          </w:tcPr>
          <w:p w14:paraId="490E388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建筑工地</w:t>
            </w:r>
            <w:r>
              <w:rPr>
                <w:rFonts w:hint="eastAsia" w:ascii="宋体" w:hAnsi="宋体" w:eastAsia="宋体"/>
                <w:color w:val="000000"/>
              </w:rPr>
              <w:t>名称</w:t>
            </w:r>
          </w:p>
        </w:tc>
        <w:tc>
          <w:tcPr>
            <w:tcW w:w="607" w:type="pct"/>
            <w:tcBorders>
              <w:top w:val="single" w:color="auto" w:sz="4" w:space="0"/>
              <w:left w:val="single" w:color="auto" w:sz="4" w:space="0"/>
              <w:bottom w:val="single" w:color="auto" w:sz="4" w:space="0"/>
              <w:right w:val="single" w:color="auto" w:sz="4" w:space="0"/>
            </w:tcBorders>
            <w:vAlign w:val="center"/>
          </w:tcPr>
          <w:p w14:paraId="42521C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JZGD</w:t>
            </w:r>
            <w:r>
              <w:rPr>
                <w:rFonts w:hint="eastAsia" w:ascii="宋体" w:hAnsi="宋体" w:eastAsia="宋体"/>
                <w:color w:val="000000"/>
              </w:rPr>
              <w:t>MC</w:t>
            </w:r>
          </w:p>
        </w:tc>
        <w:tc>
          <w:tcPr>
            <w:tcW w:w="671" w:type="pct"/>
            <w:tcBorders>
              <w:top w:val="single" w:color="auto" w:sz="4" w:space="0"/>
              <w:left w:val="single" w:color="auto" w:sz="4" w:space="0"/>
              <w:bottom w:val="single" w:color="auto" w:sz="4" w:space="0"/>
              <w:right w:val="single" w:color="auto" w:sz="4" w:space="0"/>
            </w:tcBorders>
            <w:vAlign w:val="center"/>
          </w:tcPr>
          <w:p w14:paraId="0C21DD4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25423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0</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55489CA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58BBE4D8">
            <w:pPr>
              <w:keepNext w:val="0"/>
              <w:keepLines w:val="0"/>
              <w:suppressLineNumbers w:val="0"/>
              <w:spacing w:before="0" w:beforeAutospacing="0" w:after="0" w:afterAutospacing="0"/>
              <w:ind w:left="0" w:right="0"/>
              <w:jc w:val="center"/>
              <w:rPr>
                <w:rFonts w:hint="eastAsia" w:ascii="宋体" w:hAnsi="宋体" w:eastAsia="宋体"/>
              </w:rPr>
            </w:pPr>
          </w:p>
        </w:tc>
      </w:tr>
      <w:tr w14:paraId="4A9C2CC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EE01E9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p>
        </w:tc>
        <w:tc>
          <w:tcPr>
            <w:tcW w:w="848" w:type="pct"/>
            <w:tcBorders>
              <w:top w:val="single" w:color="auto" w:sz="4" w:space="0"/>
              <w:left w:val="single" w:color="auto" w:sz="4" w:space="0"/>
              <w:bottom w:val="single" w:color="auto" w:sz="4" w:space="0"/>
              <w:right w:val="single" w:color="auto" w:sz="4" w:space="0"/>
            </w:tcBorders>
            <w:vAlign w:val="center"/>
          </w:tcPr>
          <w:p w14:paraId="231169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建筑工地类型</w:t>
            </w:r>
          </w:p>
        </w:tc>
        <w:tc>
          <w:tcPr>
            <w:tcW w:w="607" w:type="pct"/>
            <w:tcBorders>
              <w:top w:val="single" w:color="auto" w:sz="4" w:space="0"/>
              <w:left w:val="single" w:color="auto" w:sz="4" w:space="0"/>
              <w:bottom w:val="single" w:color="auto" w:sz="4" w:space="0"/>
              <w:right w:val="single" w:color="auto" w:sz="4" w:space="0"/>
            </w:tcBorders>
            <w:vAlign w:val="center"/>
          </w:tcPr>
          <w:p w14:paraId="5FE6D9B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JZGDLX</w:t>
            </w:r>
          </w:p>
        </w:tc>
        <w:tc>
          <w:tcPr>
            <w:tcW w:w="671" w:type="pct"/>
            <w:tcBorders>
              <w:top w:val="single" w:color="auto" w:sz="4" w:space="0"/>
              <w:left w:val="single" w:color="auto" w:sz="4" w:space="0"/>
              <w:bottom w:val="single" w:color="auto" w:sz="4" w:space="0"/>
              <w:right w:val="single" w:color="auto" w:sz="4" w:space="0"/>
            </w:tcBorders>
            <w:vAlign w:val="center"/>
          </w:tcPr>
          <w:p w14:paraId="51AB18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2AEE9D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774" w:type="pct"/>
            <w:tcBorders>
              <w:top w:val="single" w:color="auto" w:sz="4" w:space="0"/>
              <w:left w:val="single" w:color="auto" w:sz="4" w:space="0"/>
              <w:bottom w:val="single" w:color="auto" w:sz="4" w:space="0"/>
              <w:right w:val="single" w:color="auto" w:sz="4" w:space="0"/>
            </w:tcBorders>
            <w:vAlign w:val="center"/>
          </w:tcPr>
          <w:p w14:paraId="2D4FABF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14:paraId="00D80FA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r>
              <w:rPr>
                <w:rFonts w:hint="default" w:ascii="宋体" w:hAnsi="宋体" w:eastAsia="宋体"/>
              </w:rPr>
              <w:t>：</w:t>
            </w:r>
            <w:r>
              <w:rPr>
                <w:rFonts w:hint="eastAsia" w:ascii="宋体" w:hAnsi="宋体" w:eastAsia="宋体"/>
              </w:rPr>
              <w:t>建筑施工工地</w:t>
            </w:r>
          </w:p>
          <w:p w14:paraId="4151EBE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建筑拆除工地</w:t>
            </w:r>
          </w:p>
        </w:tc>
      </w:tr>
      <w:tr w14:paraId="16FFC601">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7E5283F">
            <w:pPr>
              <w:keepNext w:val="0"/>
              <w:keepLines w:val="0"/>
              <w:suppressLineNumbers w:val="0"/>
              <w:spacing w:before="0" w:beforeAutospacing="0" w:after="0" w:afterAutospacing="0"/>
              <w:ind w:left="0" w:right="0"/>
              <w:rPr>
                <w:rFonts w:hint="eastAsia" w:ascii="宋体" w:hAnsi="宋体" w:eastAsia="宋体"/>
              </w:rPr>
            </w:pPr>
            <w:r>
              <w:rPr>
                <w:rFonts w:hint="default" w:ascii="宋体" w:hAnsi="宋体" w:eastAsia="宋体"/>
                <w:color w:val="000000"/>
              </w:rPr>
              <w:t>5</w:t>
            </w:r>
          </w:p>
        </w:tc>
        <w:tc>
          <w:tcPr>
            <w:tcW w:w="848" w:type="pct"/>
            <w:tcBorders>
              <w:top w:val="single" w:color="auto" w:sz="4" w:space="0"/>
              <w:left w:val="single" w:color="auto" w:sz="4" w:space="0"/>
              <w:bottom w:val="single" w:color="auto" w:sz="4" w:space="0"/>
              <w:right w:val="single" w:color="auto" w:sz="4" w:space="0"/>
            </w:tcBorders>
            <w:vAlign w:val="center"/>
          </w:tcPr>
          <w:p w14:paraId="1E28FD0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地址</w:t>
            </w:r>
          </w:p>
        </w:tc>
        <w:tc>
          <w:tcPr>
            <w:tcW w:w="607" w:type="pct"/>
            <w:tcBorders>
              <w:top w:val="single" w:color="auto" w:sz="4" w:space="0"/>
              <w:left w:val="single" w:color="auto" w:sz="4" w:space="0"/>
              <w:bottom w:val="single" w:color="auto" w:sz="4" w:space="0"/>
              <w:right w:val="single" w:color="auto" w:sz="4" w:space="0"/>
            </w:tcBorders>
            <w:vAlign w:val="center"/>
          </w:tcPr>
          <w:p w14:paraId="3BBBA1E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DZ</w:t>
            </w:r>
          </w:p>
        </w:tc>
        <w:tc>
          <w:tcPr>
            <w:tcW w:w="671" w:type="pct"/>
            <w:tcBorders>
              <w:top w:val="single" w:color="auto" w:sz="4" w:space="0"/>
              <w:left w:val="single" w:color="auto" w:sz="4" w:space="0"/>
              <w:bottom w:val="single" w:color="auto" w:sz="4" w:space="0"/>
              <w:right w:val="single" w:color="auto" w:sz="4" w:space="0"/>
            </w:tcBorders>
            <w:vAlign w:val="center"/>
          </w:tcPr>
          <w:p w14:paraId="3728B35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EE2FF5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20</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70A4A87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2527D2E6">
            <w:pPr>
              <w:keepNext w:val="0"/>
              <w:keepLines w:val="0"/>
              <w:suppressLineNumbers w:val="0"/>
              <w:spacing w:before="0" w:beforeAutospacing="0" w:after="0" w:afterAutospacing="0"/>
              <w:ind w:left="0" w:right="0"/>
              <w:jc w:val="left"/>
              <w:rPr>
                <w:rFonts w:hint="eastAsia" w:ascii="宋体" w:hAnsi="宋体" w:eastAsia="宋体"/>
              </w:rPr>
            </w:pPr>
          </w:p>
        </w:tc>
      </w:tr>
      <w:tr w14:paraId="04FCAD34">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EC2798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6</w:t>
            </w:r>
          </w:p>
        </w:tc>
        <w:tc>
          <w:tcPr>
            <w:tcW w:w="848" w:type="pct"/>
            <w:tcBorders>
              <w:top w:val="single" w:color="auto" w:sz="4" w:space="0"/>
              <w:left w:val="single" w:color="auto" w:sz="4" w:space="0"/>
              <w:bottom w:val="single" w:color="auto" w:sz="4" w:space="0"/>
              <w:right w:val="single" w:color="auto" w:sz="4" w:space="0"/>
            </w:tcBorders>
            <w:vAlign w:val="center"/>
          </w:tcPr>
          <w:p w14:paraId="20AECA1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项目结束时间</w:t>
            </w:r>
          </w:p>
        </w:tc>
        <w:tc>
          <w:tcPr>
            <w:tcW w:w="607" w:type="pct"/>
            <w:tcBorders>
              <w:top w:val="single" w:color="auto" w:sz="4" w:space="0"/>
              <w:left w:val="single" w:color="auto" w:sz="4" w:space="0"/>
              <w:bottom w:val="single" w:color="auto" w:sz="4" w:space="0"/>
              <w:right w:val="single" w:color="auto" w:sz="4" w:space="0"/>
            </w:tcBorders>
            <w:vAlign w:val="center"/>
          </w:tcPr>
          <w:p w14:paraId="0B8836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XMJSSJ</w:t>
            </w:r>
          </w:p>
        </w:tc>
        <w:tc>
          <w:tcPr>
            <w:tcW w:w="671" w:type="pct"/>
            <w:tcBorders>
              <w:top w:val="single" w:color="auto" w:sz="4" w:space="0"/>
              <w:left w:val="single" w:color="auto" w:sz="4" w:space="0"/>
              <w:bottom w:val="single" w:color="auto" w:sz="4" w:space="0"/>
              <w:right w:val="single" w:color="auto" w:sz="4" w:space="0"/>
            </w:tcBorders>
            <w:vAlign w:val="center"/>
          </w:tcPr>
          <w:p w14:paraId="3ADDE20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1484632B">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29AE4C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2BFA2B34">
            <w:pPr>
              <w:keepNext w:val="0"/>
              <w:keepLines w:val="0"/>
              <w:suppressLineNumbers w:val="0"/>
              <w:spacing w:before="0" w:beforeAutospacing="0" w:after="0" w:afterAutospacing="0"/>
              <w:ind w:left="0" w:right="0"/>
              <w:jc w:val="left"/>
              <w:rPr>
                <w:rFonts w:hint="eastAsia" w:ascii="宋体" w:hAnsi="宋体" w:eastAsia="宋体"/>
              </w:rPr>
            </w:pPr>
          </w:p>
        </w:tc>
      </w:tr>
      <w:tr w14:paraId="3940240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1E40A9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7</w:t>
            </w:r>
          </w:p>
        </w:tc>
        <w:tc>
          <w:tcPr>
            <w:tcW w:w="848" w:type="pct"/>
            <w:tcBorders>
              <w:top w:val="single" w:color="auto" w:sz="4" w:space="0"/>
              <w:left w:val="single" w:color="auto" w:sz="4" w:space="0"/>
              <w:bottom w:val="single" w:color="auto" w:sz="4" w:space="0"/>
              <w:right w:val="single" w:color="auto" w:sz="4" w:space="0"/>
            </w:tcBorders>
            <w:vAlign w:val="center"/>
          </w:tcPr>
          <w:p w14:paraId="6C379FA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项目开始时间</w:t>
            </w:r>
          </w:p>
        </w:tc>
        <w:tc>
          <w:tcPr>
            <w:tcW w:w="607" w:type="pct"/>
            <w:tcBorders>
              <w:top w:val="single" w:color="auto" w:sz="4" w:space="0"/>
              <w:left w:val="single" w:color="auto" w:sz="4" w:space="0"/>
              <w:bottom w:val="single" w:color="auto" w:sz="4" w:space="0"/>
              <w:right w:val="single" w:color="auto" w:sz="4" w:space="0"/>
            </w:tcBorders>
            <w:vAlign w:val="center"/>
          </w:tcPr>
          <w:p w14:paraId="5D99D28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XMKSSJ</w:t>
            </w:r>
          </w:p>
        </w:tc>
        <w:tc>
          <w:tcPr>
            <w:tcW w:w="671" w:type="pct"/>
            <w:tcBorders>
              <w:top w:val="single" w:color="auto" w:sz="4" w:space="0"/>
              <w:left w:val="single" w:color="auto" w:sz="4" w:space="0"/>
              <w:bottom w:val="single" w:color="auto" w:sz="4" w:space="0"/>
              <w:right w:val="single" w:color="auto" w:sz="4" w:space="0"/>
            </w:tcBorders>
            <w:vAlign w:val="center"/>
          </w:tcPr>
          <w:p w14:paraId="33B1302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77245858">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0F85776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72C3E82">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482D5D45">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43B1C2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8</w:t>
            </w:r>
          </w:p>
        </w:tc>
        <w:tc>
          <w:tcPr>
            <w:tcW w:w="848" w:type="pct"/>
            <w:tcBorders>
              <w:top w:val="single" w:color="auto" w:sz="4" w:space="0"/>
              <w:left w:val="single" w:color="auto" w:sz="4" w:space="0"/>
              <w:bottom w:val="single" w:color="auto" w:sz="4" w:space="0"/>
              <w:right w:val="single" w:color="auto" w:sz="4" w:space="0"/>
            </w:tcBorders>
            <w:vAlign w:val="center"/>
          </w:tcPr>
          <w:p w14:paraId="1626A1C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施工</w:t>
            </w:r>
            <w:r>
              <w:rPr>
                <w:rFonts w:hint="eastAsia" w:ascii="宋体" w:hAnsi="宋体" w:eastAsia="宋体"/>
                <w:color w:val="000000"/>
              </w:rPr>
              <w:t>单位</w:t>
            </w:r>
          </w:p>
        </w:tc>
        <w:tc>
          <w:tcPr>
            <w:tcW w:w="607" w:type="pct"/>
            <w:tcBorders>
              <w:top w:val="single" w:color="auto" w:sz="4" w:space="0"/>
              <w:left w:val="single" w:color="auto" w:sz="4" w:space="0"/>
              <w:bottom w:val="single" w:color="auto" w:sz="4" w:space="0"/>
              <w:right w:val="single" w:color="auto" w:sz="4" w:space="0"/>
            </w:tcBorders>
            <w:vAlign w:val="center"/>
          </w:tcPr>
          <w:p w14:paraId="3A0B5D8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SG</w:t>
            </w:r>
            <w:r>
              <w:rPr>
                <w:rFonts w:hint="eastAsia" w:ascii="宋体" w:hAnsi="宋体" w:eastAsia="宋体"/>
                <w:color w:val="000000"/>
              </w:rPr>
              <w:t>DW</w:t>
            </w:r>
          </w:p>
        </w:tc>
        <w:tc>
          <w:tcPr>
            <w:tcW w:w="671" w:type="pct"/>
            <w:tcBorders>
              <w:top w:val="single" w:color="auto" w:sz="4" w:space="0"/>
              <w:left w:val="single" w:color="auto" w:sz="4" w:space="0"/>
              <w:bottom w:val="single" w:color="auto" w:sz="4" w:space="0"/>
              <w:right w:val="single" w:color="auto" w:sz="4" w:space="0"/>
            </w:tcBorders>
            <w:vAlign w:val="center"/>
          </w:tcPr>
          <w:p w14:paraId="7632C2B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DE1D2C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0</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67085A6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73489AB">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5DB06E4E">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8F8EF4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9</w:t>
            </w:r>
          </w:p>
        </w:tc>
        <w:tc>
          <w:tcPr>
            <w:tcW w:w="848" w:type="pct"/>
            <w:tcBorders>
              <w:top w:val="single" w:color="auto" w:sz="4" w:space="0"/>
              <w:left w:val="single" w:color="auto" w:sz="4" w:space="0"/>
              <w:bottom w:val="single" w:color="auto" w:sz="4" w:space="0"/>
              <w:right w:val="single" w:color="auto" w:sz="4" w:space="0"/>
            </w:tcBorders>
            <w:vAlign w:val="center"/>
          </w:tcPr>
          <w:p w14:paraId="2FE3229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施工</w:t>
            </w:r>
            <w:r>
              <w:rPr>
                <w:rFonts w:hint="eastAsia" w:ascii="宋体" w:hAnsi="宋体" w:eastAsia="宋体"/>
                <w:color w:val="000000"/>
              </w:rPr>
              <w:t>单位责任人</w:t>
            </w:r>
          </w:p>
        </w:tc>
        <w:tc>
          <w:tcPr>
            <w:tcW w:w="607" w:type="pct"/>
            <w:tcBorders>
              <w:top w:val="single" w:color="auto" w:sz="4" w:space="0"/>
              <w:left w:val="single" w:color="auto" w:sz="4" w:space="0"/>
              <w:bottom w:val="single" w:color="auto" w:sz="4" w:space="0"/>
              <w:right w:val="single" w:color="auto" w:sz="4" w:space="0"/>
            </w:tcBorders>
            <w:vAlign w:val="center"/>
          </w:tcPr>
          <w:p w14:paraId="6C7641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SG</w:t>
            </w:r>
            <w:r>
              <w:rPr>
                <w:rFonts w:hint="eastAsia" w:ascii="宋体" w:hAnsi="宋体" w:eastAsia="宋体"/>
                <w:color w:val="000000"/>
              </w:rPr>
              <w:t>DWZRR</w:t>
            </w:r>
          </w:p>
        </w:tc>
        <w:tc>
          <w:tcPr>
            <w:tcW w:w="671" w:type="pct"/>
            <w:tcBorders>
              <w:top w:val="single" w:color="auto" w:sz="4" w:space="0"/>
              <w:left w:val="single" w:color="auto" w:sz="4" w:space="0"/>
              <w:bottom w:val="single" w:color="auto" w:sz="4" w:space="0"/>
              <w:right w:val="single" w:color="auto" w:sz="4" w:space="0"/>
            </w:tcBorders>
            <w:vAlign w:val="center"/>
          </w:tcPr>
          <w:p w14:paraId="6EA317B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6F63390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3F57055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1BA38435">
            <w:pPr>
              <w:keepNext w:val="0"/>
              <w:keepLines w:val="0"/>
              <w:suppressLineNumbers w:val="0"/>
              <w:spacing w:before="0" w:beforeAutospacing="0" w:after="0" w:afterAutospacing="0"/>
              <w:ind w:left="0" w:right="0"/>
              <w:jc w:val="left"/>
              <w:rPr>
                <w:rFonts w:hint="eastAsia" w:ascii="宋体" w:hAnsi="宋体" w:eastAsia="宋体"/>
              </w:rPr>
            </w:pPr>
          </w:p>
        </w:tc>
      </w:tr>
      <w:tr w14:paraId="1A08053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0024D9D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10</w:t>
            </w:r>
          </w:p>
        </w:tc>
        <w:tc>
          <w:tcPr>
            <w:tcW w:w="848" w:type="pct"/>
            <w:tcBorders>
              <w:top w:val="single" w:color="auto" w:sz="4" w:space="0"/>
              <w:left w:val="single" w:color="auto" w:sz="4" w:space="0"/>
              <w:bottom w:val="single" w:color="auto" w:sz="4" w:space="0"/>
              <w:right w:val="single" w:color="auto" w:sz="4" w:space="0"/>
            </w:tcBorders>
            <w:vAlign w:val="center"/>
          </w:tcPr>
          <w:p w14:paraId="5B975F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施工</w:t>
            </w:r>
            <w:r>
              <w:rPr>
                <w:rFonts w:hint="eastAsia" w:ascii="宋体" w:hAnsi="宋体" w:eastAsia="宋体"/>
                <w:color w:val="000000"/>
              </w:rPr>
              <w:t>单位责任人电话</w:t>
            </w:r>
          </w:p>
        </w:tc>
        <w:tc>
          <w:tcPr>
            <w:tcW w:w="607" w:type="pct"/>
            <w:tcBorders>
              <w:top w:val="single" w:color="auto" w:sz="4" w:space="0"/>
              <w:left w:val="single" w:color="auto" w:sz="4" w:space="0"/>
              <w:bottom w:val="single" w:color="auto" w:sz="4" w:space="0"/>
              <w:right w:val="single" w:color="auto" w:sz="4" w:space="0"/>
            </w:tcBorders>
            <w:vAlign w:val="center"/>
          </w:tcPr>
          <w:p w14:paraId="4EC7273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SG</w:t>
            </w:r>
            <w:r>
              <w:rPr>
                <w:rFonts w:hint="eastAsia" w:ascii="宋体" w:hAnsi="宋体" w:eastAsia="宋体"/>
                <w:color w:val="000000"/>
              </w:rPr>
              <w:t>DWZRRDH</w:t>
            </w:r>
          </w:p>
        </w:tc>
        <w:tc>
          <w:tcPr>
            <w:tcW w:w="671" w:type="pct"/>
            <w:tcBorders>
              <w:top w:val="single" w:color="auto" w:sz="4" w:space="0"/>
              <w:left w:val="single" w:color="auto" w:sz="4" w:space="0"/>
              <w:bottom w:val="single" w:color="auto" w:sz="4" w:space="0"/>
              <w:right w:val="single" w:color="auto" w:sz="4" w:space="0"/>
            </w:tcBorders>
            <w:vAlign w:val="center"/>
          </w:tcPr>
          <w:p w14:paraId="6AE33BF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5BE91A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2</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758DB56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1B7E463">
            <w:pPr>
              <w:keepNext w:val="0"/>
              <w:keepLines w:val="0"/>
              <w:suppressLineNumbers w:val="0"/>
              <w:spacing w:before="0" w:beforeAutospacing="0" w:after="0" w:afterAutospacing="0"/>
              <w:ind w:left="0" w:right="0"/>
              <w:jc w:val="left"/>
              <w:rPr>
                <w:rFonts w:hint="eastAsia" w:ascii="宋体" w:hAnsi="宋体" w:eastAsia="宋体"/>
              </w:rPr>
            </w:pPr>
          </w:p>
        </w:tc>
      </w:tr>
      <w:tr w14:paraId="19D2CD6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AF5FAA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11</w:t>
            </w:r>
          </w:p>
        </w:tc>
        <w:tc>
          <w:tcPr>
            <w:tcW w:w="848" w:type="pct"/>
            <w:tcBorders>
              <w:top w:val="single" w:color="auto" w:sz="4" w:space="0"/>
              <w:left w:val="single" w:color="auto" w:sz="4" w:space="0"/>
              <w:bottom w:val="single" w:color="auto" w:sz="4" w:space="0"/>
              <w:right w:val="single" w:color="auto" w:sz="4" w:space="0"/>
            </w:tcBorders>
            <w:vAlign w:val="center"/>
          </w:tcPr>
          <w:p w14:paraId="2BA210A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设计建筑面积</w:t>
            </w:r>
          </w:p>
        </w:tc>
        <w:tc>
          <w:tcPr>
            <w:tcW w:w="607" w:type="pct"/>
            <w:tcBorders>
              <w:top w:val="single" w:color="auto" w:sz="4" w:space="0"/>
              <w:left w:val="single" w:color="auto" w:sz="4" w:space="0"/>
              <w:bottom w:val="single" w:color="auto" w:sz="4" w:space="0"/>
              <w:right w:val="single" w:color="auto" w:sz="4" w:space="0"/>
            </w:tcBorders>
            <w:vAlign w:val="center"/>
          </w:tcPr>
          <w:p w14:paraId="0669A56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SJJZMJ</w:t>
            </w:r>
          </w:p>
        </w:tc>
        <w:tc>
          <w:tcPr>
            <w:tcW w:w="671" w:type="pct"/>
            <w:tcBorders>
              <w:top w:val="single" w:color="auto" w:sz="4" w:space="0"/>
              <w:left w:val="single" w:color="auto" w:sz="4" w:space="0"/>
              <w:bottom w:val="single" w:color="auto" w:sz="4" w:space="0"/>
              <w:right w:val="single" w:color="auto" w:sz="4" w:space="0"/>
            </w:tcBorders>
            <w:vAlign w:val="center"/>
          </w:tcPr>
          <w:p w14:paraId="5F83101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29D7EEC6">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1377EA6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2D16C6A3">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7CC32DB1">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B343FB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12</w:t>
            </w:r>
          </w:p>
        </w:tc>
        <w:tc>
          <w:tcPr>
            <w:tcW w:w="848" w:type="pct"/>
            <w:tcBorders>
              <w:top w:val="single" w:color="auto" w:sz="4" w:space="0"/>
              <w:left w:val="single" w:color="auto" w:sz="4" w:space="0"/>
              <w:bottom w:val="single" w:color="auto" w:sz="4" w:space="0"/>
              <w:right w:val="single" w:color="auto" w:sz="4" w:space="0"/>
            </w:tcBorders>
            <w:vAlign w:val="center"/>
          </w:tcPr>
          <w:p w14:paraId="02A4FDA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地基挖方量</w:t>
            </w:r>
          </w:p>
        </w:tc>
        <w:tc>
          <w:tcPr>
            <w:tcW w:w="607" w:type="pct"/>
            <w:tcBorders>
              <w:top w:val="single" w:color="auto" w:sz="4" w:space="0"/>
              <w:left w:val="single" w:color="auto" w:sz="4" w:space="0"/>
              <w:bottom w:val="single" w:color="auto" w:sz="4" w:space="0"/>
              <w:right w:val="single" w:color="auto" w:sz="4" w:space="0"/>
            </w:tcBorders>
            <w:vAlign w:val="center"/>
          </w:tcPr>
          <w:p w14:paraId="76A5705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DJWFL</w:t>
            </w:r>
          </w:p>
        </w:tc>
        <w:tc>
          <w:tcPr>
            <w:tcW w:w="671" w:type="pct"/>
            <w:tcBorders>
              <w:top w:val="single" w:color="auto" w:sz="4" w:space="0"/>
              <w:left w:val="single" w:color="auto" w:sz="4" w:space="0"/>
              <w:bottom w:val="single" w:color="auto" w:sz="4" w:space="0"/>
              <w:right w:val="single" w:color="auto" w:sz="4" w:space="0"/>
            </w:tcBorders>
            <w:vAlign w:val="center"/>
          </w:tcPr>
          <w:p w14:paraId="3A4449A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71CEAA5F">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008418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42CD6011">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58825774">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3746AA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13</w:t>
            </w:r>
          </w:p>
        </w:tc>
        <w:tc>
          <w:tcPr>
            <w:tcW w:w="848" w:type="pct"/>
            <w:tcBorders>
              <w:top w:val="single" w:color="auto" w:sz="4" w:space="0"/>
              <w:left w:val="single" w:color="auto" w:sz="4" w:space="0"/>
              <w:bottom w:val="single" w:color="auto" w:sz="4" w:space="0"/>
              <w:right w:val="single" w:color="auto" w:sz="4" w:space="0"/>
            </w:tcBorders>
            <w:vAlign w:val="center"/>
          </w:tcPr>
          <w:p w14:paraId="4CCCEDB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挖槽土运出量</w:t>
            </w:r>
          </w:p>
        </w:tc>
        <w:tc>
          <w:tcPr>
            <w:tcW w:w="607" w:type="pct"/>
            <w:tcBorders>
              <w:top w:val="single" w:color="auto" w:sz="4" w:space="0"/>
              <w:left w:val="single" w:color="auto" w:sz="4" w:space="0"/>
              <w:bottom w:val="single" w:color="auto" w:sz="4" w:space="0"/>
              <w:right w:val="single" w:color="auto" w:sz="4" w:space="0"/>
            </w:tcBorders>
            <w:vAlign w:val="center"/>
          </w:tcPr>
          <w:p w14:paraId="6011FE6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WCTYCL</w:t>
            </w:r>
          </w:p>
        </w:tc>
        <w:tc>
          <w:tcPr>
            <w:tcW w:w="671" w:type="pct"/>
            <w:tcBorders>
              <w:top w:val="single" w:color="auto" w:sz="4" w:space="0"/>
              <w:left w:val="single" w:color="auto" w:sz="4" w:space="0"/>
              <w:bottom w:val="single" w:color="auto" w:sz="4" w:space="0"/>
              <w:right w:val="single" w:color="auto" w:sz="4" w:space="0"/>
            </w:tcBorders>
            <w:vAlign w:val="center"/>
          </w:tcPr>
          <w:p w14:paraId="5106CDB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57E88BA3">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1E3ECE3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36DDD56A">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061ACF4D">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3845BC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14</w:t>
            </w:r>
          </w:p>
        </w:tc>
        <w:tc>
          <w:tcPr>
            <w:tcW w:w="848" w:type="pct"/>
            <w:tcBorders>
              <w:top w:val="single" w:color="auto" w:sz="4" w:space="0"/>
              <w:left w:val="single" w:color="auto" w:sz="4" w:space="0"/>
              <w:bottom w:val="single" w:color="auto" w:sz="4" w:space="0"/>
              <w:right w:val="single" w:color="auto" w:sz="4" w:space="0"/>
            </w:tcBorders>
            <w:vAlign w:val="center"/>
          </w:tcPr>
          <w:p w14:paraId="5D41057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施工建筑垃圾产生量</w:t>
            </w:r>
          </w:p>
        </w:tc>
        <w:tc>
          <w:tcPr>
            <w:tcW w:w="607" w:type="pct"/>
            <w:tcBorders>
              <w:top w:val="single" w:color="auto" w:sz="4" w:space="0"/>
              <w:left w:val="single" w:color="auto" w:sz="4" w:space="0"/>
              <w:bottom w:val="single" w:color="auto" w:sz="4" w:space="0"/>
              <w:right w:val="single" w:color="auto" w:sz="4" w:space="0"/>
            </w:tcBorders>
            <w:vAlign w:val="center"/>
          </w:tcPr>
          <w:p w14:paraId="5E484C5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SGJZLJCSL</w:t>
            </w:r>
          </w:p>
        </w:tc>
        <w:tc>
          <w:tcPr>
            <w:tcW w:w="671" w:type="pct"/>
            <w:tcBorders>
              <w:top w:val="single" w:color="auto" w:sz="4" w:space="0"/>
              <w:left w:val="single" w:color="auto" w:sz="4" w:space="0"/>
              <w:bottom w:val="single" w:color="auto" w:sz="4" w:space="0"/>
              <w:right w:val="single" w:color="auto" w:sz="4" w:space="0"/>
            </w:tcBorders>
            <w:vAlign w:val="center"/>
          </w:tcPr>
          <w:p w14:paraId="50FE15D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1823B588">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57EFA6A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304D04D5">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A6603A8">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0F3819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15</w:t>
            </w:r>
          </w:p>
        </w:tc>
        <w:tc>
          <w:tcPr>
            <w:tcW w:w="848" w:type="pct"/>
            <w:tcBorders>
              <w:top w:val="single" w:color="auto" w:sz="4" w:space="0"/>
              <w:left w:val="single" w:color="auto" w:sz="4" w:space="0"/>
              <w:bottom w:val="single" w:color="auto" w:sz="4" w:space="0"/>
              <w:right w:val="single" w:color="auto" w:sz="4" w:space="0"/>
            </w:tcBorders>
            <w:vAlign w:val="center"/>
          </w:tcPr>
          <w:p w14:paraId="6B7046A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施工可回收废物产生量</w:t>
            </w:r>
          </w:p>
        </w:tc>
        <w:tc>
          <w:tcPr>
            <w:tcW w:w="607" w:type="pct"/>
            <w:tcBorders>
              <w:top w:val="single" w:color="auto" w:sz="4" w:space="0"/>
              <w:left w:val="single" w:color="auto" w:sz="4" w:space="0"/>
              <w:bottom w:val="single" w:color="auto" w:sz="4" w:space="0"/>
              <w:right w:val="single" w:color="auto" w:sz="4" w:space="0"/>
            </w:tcBorders>
            <w:vAlign w:val="center"/>
          </w:tcPr>
          <w:p w14:paraId="1E202E3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SGKHSFWCSL</w:t>
            </w:r>
          </w:p>
        </w:tc>
        <w:tc>
          <w:tcPr>
            <w:tcW w:w="671" w:type="pct"/>
            <w:tcBorders>
              <w:top w:val="single" w:color="auto" w:sz="4" w:space="0"/>
              <w:left w:val="single" w:color="auto" w:sz="4" w:space="0"/>
              <w:bottom w:val="single" w:color="auto" w:sz="4" w:space="0"/>
              <w:right w:val="single" w:color="auto" w:sz="4" w:space="0"/>
            </w:tcBorders>
            <w:vAlign w:val="center"/>
          </w:tcPr>
          <w:p w14:paraId="4118217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51F305A6">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2220FE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05D424ED">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78D10664">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06176EE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16</w:t>
            </w:r>
          </w:p>
        </w:tc>
        <w:tc>
          <w:tcPr>
            <w:tcW w:w="848" w:type="pct"/>
            <w:tcBorders>
              <w:top w:val="single" w:color="auto" w:sz="4" w:space="0"/>
              <w:left w:val="single" w:color="auto" w:sz="4" w:space="0"/>
              <w:bottom w:val="single" w:color="auto" w:sz="4" w:space="0"/>
              <w:right w:val="single" w:color="auto" w:sz="4" w:space="0"/>
            </w:tcBorders>
            <w:vAlign w:val="center"/>
          </w:tcPr>
          <w:p w14:paraId="46376D5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拆除建筑物面积</w:t>
            </w:r>
          </w:p>
        </w:tc>
        <w:tc>
          <w:tcPr>
            <w:tcW w:w="607" w:type="pct"/>
            <w:tcBorders>
              <w:top w:val="single" w:color="auto" w:sz="4" w:space="0"/>
              <w:left w:val="single" w:color="auto" w:sz="4" w:space="0"/>
              <w:bottom w:val="single" w:color="auto" w:sz="4" w:space="0"/>
              <w:right w:val="single" w:color="auto" w:sz="4" w:space="0"/>
            </w:tcBorders>
            <w:vAlign w:val="center"/>
          </w:tcPr>
          <w:p w14:paraId="1FF6141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CCJ</w:t>
            </w:r>
            <w:r>
              <w:rPr>
                <w:rFonts w:hint="default" w:ascii="宋体" w:hAnsi="宋体" w:eastAsia="宋体"/>
              </w:rPr>
              <w:t>Z</w:t>
            </w:r>
            <w:r>
              <w:rPr>
                <w:rFonts w:hint="eastAsia" w:ascii="宋体" w:hAnsi="宋体" w:eastAsia="宋体"/>
              </w:rPr>
              <w:t>WMJ</w:t>
            </w:r>
          </w:p>
        </w:tc>
        <w:tc>
          <w:tcPr>
            <w:tcW w:w="671" w:type="pct"/>
            <w:tcBorders>
              <w:top w:val="single" w:color="auto" w:sz="4" w:space="0"/>
              <w:left w:val="single" w:color="auto" w:sz="4" w:space="0"/>
              <w:bottom w:val="single" w:color="auto" w:sz="4" w:space="0"/>
              <w:right w:val="single" w:color="auto" w:sz="4" w:space="0"/>
            </w:tcBorders>
            <w:vAlign w:val="center"/>
          </w:tcPr>
          <w:p w14:paraId="685FA7A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6B7C14CC">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46AD6C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558A9D37">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662E171B">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2678132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17</w:t>
            </w:r>
          </w:p>
        </w:tc>
        <w:tc>
          <w:tcPr>
            <w:tcW w:w="848" w:type="pct"/>
            <w:tcBorders>
              <w:top w:val="single" w:color="auto" w:sz="4" w:space="0"/>
              <w:left w:val="single" w:color="auto" w:sz="4" w:space="0"/>
              <w:bottom w:val="single" w:color="auto" w:sz="4" w:space="0"/>
              <w:right w:val="single" w:color="auto" w:sz="4" w:space="0"/>
            </w:tcBorders>
            <w:vAlign w:val="center"/>
          </w:tcPr>
          <w:p w14:paraId="4DB74FC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拆除建筑垃圾产生量</w:t>
            </w:r>
          </w:p>
        </w:tc>
        <w:tc>
          <w:tcPr>
            <w:tcW w:w="607" w:type="pct"/>
            <w:tcBorders>
              <w:top w:val="single" w:color="auto" w:sz="4" w:space="0"/>
              <w:left w:val="single" w:color="auto" w:sz="4" w:space="0"/>
              <w:bottom w:val="single" w:color="auto" w:sz="4" w:space="0"/>
              <w:right w:val="single" w:color="auto" w:sz="4" w:space="0"/>
            </w:tcBorders>
            <w:vAlign w:val="center"/>
          </w:tcPr>
          <w:p w14:paraId="77576D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CCJZLJCSL</w:t>
            </w:r>
          </w:p>
        </w:tc>
        <w:tc>
          <w:tcPr>
            <w:tcW w:w="671" w:type="pct"/>
            <w:tcBorders>
              <w:top w:val="single" w:color="auto" w:sz="4" w:space="0"/>
              <w:left w:val="single" w:color="auto" w:sz="4" w:space="0"/>
              <w:bottom w:val="single" w:color="auto" w:sz="4" w:space="0"/>
              <w:right w:val="single" w:color="auto" w:sz="4" w:space="0"/>
            </w:tcBorders>
            <w:vAlign w:val="center"/>
          </w:tcPr>
          <w:p w14:paraId="4C5A3F3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6ED5FD2C">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3812E68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108E79E5">
            <w:pPr>
              <w:keepNext w:val="0"/>
              <w:keepLines w:val="0"/>
              <w:suppressLineNumbers w:val="0"/>
              <w:spacing w:before="0" w:beforeAutospacing="0" w:after="0" w:afterAutospacing="0"/>
              <w:ind w:left="0" w:right="0"/>
              <w:jc w:val="left"/>
              <w:rPr>
                <w:rFonts w:hint="eastAsia" w:ascii="宋体" w:hAnsi="宋体" w:eastAsia="宋体"/>
              </w:rPr>
            </w:pPr>
          </w:p>
        </w:tc>
      </w:tr>
      <w:tr w14:paraId="5222E1FF">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14C83E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18</w:t>
            </w:r>
          </w:p>
        </w:tc>
        <w:tc>
          <w:tcPr>
            <w:tcW w:w="848" w:type="pct"/>
            <w:tcBorders>
              <w:top w:val="single" w:color="auto" w:sz="4" w:space="0"/>
              <w:left w:val="single" w:color="auto" w:sz="4" w:space="0"/>
              <w:bottom w:val="single" w:color="auto" w:sz="4" w:space="0"/>
              <w:right w:val="single" w:color="auto" w:sz="4" w:space="0"/>
            </w:tcBorders>
            <w:vAlign w:val="center"/>
          </w:tcPr>
          <w:p w14:paraId="51E24FA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装修垃圾产生量</w:t>
            </w:r>
          </w:p>
        </w:tc>
        <w:tc>
          <w:tcPr>
            <w:tcW w:w="607" w:type="pct"/>
            <w:tcBorders>
              <w:top w:val="single" w:color="auto" w:sz="4" w:space="0"/>
              <w:left w:val="single" w:color="auto" w:sz="4" w:space="0"/>
              <w:bottom w:val="single" w:color="auto" w:sz="4" w:space="0"/>
              <w:right w:val="single" w:color="auto" w:sz="4" w:space="0"/>
            </w:tcBorders>
            <w:vAlign w:val="center"/>
          </w:tcPr>
          <w:p w14:paraId="44F5C41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ZXLJCSL</w:t>
            </w:r>
          </w:p>
        </w:tc>
        <w:tc>
          <w:tcPr>
            <w:tcW w:w="671" w:type="pct"/>
            <w:tcBorders>
              <w:top w:val="single" w:color="auto" w:sz="4" w:space="0"/>
              <w:left w:val="single" w:color="auto" w:sz="4" w:space="0"/>
              <w:bottom w:val="single" w:color="auto" w:sz="4" w:space="0"/>
              <w:right w:val="single" w:color="auto" w:sz="4" w:space="0"/>
            </w:tcBorders>
            <w:vAlign w:val="center"/>
          </w:tcPr>
          <w:p w14:paraId="6731D22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32EFF03C">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25389F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76D0B111">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5768A3E0">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AD8F8F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19</w:t>
            </w:r>
          </w:p>
        </w:tc>
        <w:tc>
          <w:tcPr>
            <w:tcW w:w="848" w:type="pct"/>
            <w:tcBorders>
              <w:top w:val="single" w:color="auto" w:sz="4" w:space="0"/>
              <w:left w:val="single" w:color="auto" w:sz="4" w:space="0"/>
              <w:bottom w:val="single" w:color="auto" w:sz="4" w:space="0"/>
              <w:right w:val="single" w:color="auto" w:sz="4" w:space="0"/>
            </w:tcBorders>
            <w:vAlign w:val="center"/>
          </w:tcPr>
          <w:p w14:paraId="2E776A5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拆除可回收废物量</w:t>
            </w:r>
          </w:p>
        </w:tc>
        <w:tc>
          <w:tcPr>
            <w:tcW w:w="607" w:type="pct"/>
            <w:tcBorders>
              <w:top w:val="single" w:color="auto" w:sz="4" w:space="0"/>
              <w:left w:val="single" w:color="auto" w:sz="4" w:space="0"/>
              <w:bottom w:val="single" w:color="auto" w:sz="4" w:space="0"/>
              <w:right w:val="single" w:color="auto" w:sz="4" w:space="0"/>
            </w:tcBorders>
            <w:vAlign w:val="center"/>
          </w:tcPr>
          <w:p w14:paraId="5BBEC36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CCKHSFWL</w:t>
            </w:r>
          </w:p>
        </w:tc>
        <w:tc>
          <w:tcPr>
            <w:tcW w:w="671" w:type="pct"/>
            <w:tcBorders>
              <w:top w:val="single" w:color="auto" w:sz="4" w:space="0"/>
              <w:left w:val="single" w:color="auto" w:sz="4" w:space="0"/>
              <w:bottom w:val="single" w:color="auto" w:sz="4" w:space="0"/>
              <w:right w:val="single" w:color="auto" w:sz="4" w:space="0"/>
            </w:tcBorders>
            <w:vAlign w:val="center"/>
          </w:tcPr>
          <w:p w14:paraId="74E6E1F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31BF5CD6">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6FB26A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00F6BCAA">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46D62A8F">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942278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20</w:t>
            </w:r>
          </w:p>
        </w:tc>
        <w:tc>
          <w:tcPr>
            <w:tcW w:w="848" w:type="pct"/>
            <w:tcBorders>
              <w:top w:val="single" w:color="auto" w:sz="4" w:space="0"/>
              <w:left w:val="single" w:color="auto" w:sz="4" w:space="0"/>
              <w:bottom w:val="single" w:color="auto" w:sz="4" w:space="0"/>
              <w:right w:val="single" w:color="auto" w:sz="4" w:space="0"/>
            </w:tcBorders>
            <w:vAlign w:val="center"/>
          </w:tcPr>
          <w:p w14:paraId="15F4BA2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总覆盖面积</w:t>
            </w:r>
          </w:p>
        </w:tc>
        <w:tc>
          <w:tcPr>
            <w:tcW w:w="607" w:type="pct"/>
            <w:tcBorders>
              <w:top w:val="single" w:color="auto" w:sz="4" w:space="0"/>
              <w:left w:val="single" w:color="auto" w:sz="4" w:space="0"/>
              <w:bottom w:val="single" w:color="auto" w:sz="4" w:space="0"/>
              <w:right w:val="single" w:color="auto" w:sz="4" w:space="0"/>
            </w:tcBorders>
            <w:vAlign w:val="center"/>
          </w:tcPr>
          <w:p w14:paraId="3392D58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ZFGMJ</w:t>
            </w:r>
          </w:p>
        </w:tc>
        <w:tc>
          <w:tcPr>
            <w:tcW w:w="671" w:type="pct"/>
            <w:tcBorders>
              <w:top w:val="single" w:color="auto" w:sz="4" w:space="0"/>
              <w:left w:val="single" w:color="auto" w:sz="4" w:space="0"/>
              <w:bottom w:val="single" w:color="auto" w:sz="4" w:space="0"/>
              <w:right w:val="single" w:color="auto" w:sz="4" w:space="0"/>
            </w:tcBorders>
            <w:vAlign w:val="center"/>
          </w:tcPr>
          <w:p w14:paraId="07E3E06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5C6F3381">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46EC54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D64764E">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A7323AC">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40ADC8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21</w:t>
            </w:r>
          </w:p>
        </w:tc>
        <w:tc>
          <w:tcPr>
            <w:tcW w:w="848" w:type="pct"/>
            <w:tcBorders>
              <w:top w:val="single" w:color="auto" w:sz="4" w:space="0"/>
              <w:left w:val="single" w:color="auto" w:sz="4" w:space="0"/>
              <w:bottom w:val="single" w:color="auto" w:sz="4" w:space="0"/>
              <w:right w:val="single" w:color="auto" w:sz="4" w:space="0"/>
            </w:tcBorders>
            <w:vAlign w:val="center"/>
          </w:tcPr>
          <w:p w14:paraId="49D0F08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总挖掘体积</w:t>
            </w:r>
          </w:p>
        </w:tc>
        <w:tc>
          <w:tcPr>
            <w:tcW w:w="607" w:type="pct"/>
            <w:tcBorders>
              <w:top w:val="single" w:color="auto" w:sz="4" w:space="0"/>
              <w:left w:val="single" w:color="auto" w:sz="4" w:space="0"/>
              <w:bottom w:val="single" w:color="auto" w:sz="4" w:space="0"/>
              <w:right w:val="single" w:color="auto" w:sz="4" w:space="0"/>
            </w:tcBorders>
            <w:vAlign w:val="center"/>
          </w:tcPr>
          <w:p w14:paraId="759B1CF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ZWJTJ</w:t>
            </w:r>
          </w:p>
        </w:tc>
        <w:tc>
          <w:tcPr>
            <w:tcW w:w="671" w:type="pct"/>
            <w:tcBorders>
              <w:top w:val="single" w:color="auto" w:sz="4" w:space="0"/>
              <w:left w:val="single" w:color="auto" w:sz="4" w:space="0"/>
              <w:bottom w:val="single" w:color="auto" w:sz="4" w:space="0"/>
              <w:right w:val="single" w:color="auto" w:sz="4" w:space="0"/>
            </w:tcBorders>
            <w:vAlign w:val="center"/>
          </w:tcPr>
          <w:p w14:paraId="0E0D293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50C739DA">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18CAE57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7E7E9B3">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3C555F24">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71EF3A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22</w:t>
            </w:r>
          </w:p>
        </w:tc>
        <w:tc>
          <w:tcPr>
            <w:tcW w:w="848" w:type="pct"/>
            <w:tcBorders>
              <w:top w:val="single" w:color="auto" w:sz="4" w:space="0"/>
              <w:left w:val="single" w:color="auto" w:sz="4" w:space="0"/>
              <w:bottom w:val="single" w:color="auto" w:sz="4" w:space="0"/>
              <w:right w:val="single" w:color="auto" w:sz="4" w:space="0"/>
            </w:tcBorders>
            <w:vAlign w:val="center"/>
          </w:tcPr>
          <w:p w14:paraId="07773DF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残留体积</w:t>
            </w:r>
          </w:p>
        </w:tc>
        <w:tc>
          <w:tcPr>
            <w:tcW w:w="607" w:type="pct"/>
            <w:tcBorders>
              <w:top w:val="single" w:color="auto" w:sz="4" w:space="0"/>
              <w:left w:val="single" w:color="auto" w:sz="4" w:space="0"/>
              <w:bottom w:val="single" w:color="auto" w:sz="4" w:space="0"/>
              <w:right w:val="single" w:color="auto" w:sz="4" w:space="0"/>
            </w:tcBorders>
            <w:vAlign w:val="center"/>
          </w:tcPr>
          <w:p w14:paraId="18F379A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CLTJ</w:t>
            </w:r>
          </w:p>
        </w:tc>
        <w:tc>
          <w:tcPr>
            <w:tcW w:w="671" w:type="pct"/>
            <w:tcBorders>
              <w:top w:val="single" w:color="auto" w:sz="4" w:space="0"/>
              <w:left w:val="single" w:color="auto" w:sz="4" w:space="0"/>
              <w:bottom w:val="single" w:color="auto" w:sz="4" w:space="0"/>
              <w:right w:val="single" w:color="auto" w:sz="4" w:space="0"/>
            </w:tcBorders>
            <w:vAlign w:val="center"/>
          </w:tcPr>
          <w:p w14:paraId="70017EB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63F7FFAB">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02F18E3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BEED511">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2B30AF0">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632864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23</w:t>
            </w:r>
          </w:p>
        </w:tc>
        <w:tc>
          <w:tcPr>
            <w:tcW w:w="848" w:type="pct"/>
            <w:tcBorders>
              <w:top w:val="single" w:color="auto" w:sz="4" w:space="0"/>
              <w:left w:val="single" w:color="auto" w:sz="4" w:space="0"/>
              <w:bottom w:val="single" w:color="auto" w:sz="4" w:space="0"/>
              <w:right w:val="single" w:color="auto" w:sz="4" w:space="0"/>
            </w:tcBorders>
            <w:vAlign w:val="center"/>
          </w:tcPr>
          <w:p w14:paraId="0A0ACD6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准运证编号</w:t>
            </w:r>
          </w:p>
        </w:tc>
        <w:tc>
          <w:tcPr>
            <w:tcW w:w="607" w:type="pct"/>
            <w:tcBorders>
              <w:top w:val="single" w:color="auto" w:sz="4" w:space="0"/>
              <w:left w:val="single" w:color="auto" w:sz="4" w:space="0"/>
              <w:bottom w:val="single" w:color="auto" w:sz="4" w:space="0"/>
              <w:right w:val="single" w:color="auto" w:sz="4" w:space="0"/>
            </w:tcBorders>
            <w:vAlign w:val="center"/>
          </w:tcPr>
          <w:p w14:paraId="1E482C3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ZYZBH</w:t>
            </w:r>
          </w:p>
        </w:tc>
        <w:tc>
          <w:tcPr>
            <w:tcW w:w="671" w:type="pct"/>
            <w:tcBorders>
              <w:top w:val="single" w:color="auto" w:sz="4" w:space="0"/>
              <w:left w:val="single" w:color="auto" w:sz="4" w:space="0"/>
              <w:bottom w:val="single" w:color="auto" w:sz="4" w:space="0"/>
              <w:right w:val="single" w:color="auto" w:sz="4" w:space="0"/>
            </w:tcBorders>
            <w:vAlign w:val="center"/>
          </w:tcPr>
          <w:p w14:paraId="41547FC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7FDD1E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21521AE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58AFBA12">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55E018E8">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99B0CF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24</w:t>
            </w:r>
          </w:p>
        </w:tc>
        <w:tc>
          <w:tcPr>
            <w:tcW w:w="848" w:type="pct"/>
            <w:tcBorders>
              <w:top w:val="single" w:color="auto" w:sz="4" w:space="0"/>
              <w:left w:val="single" w:color="auto" w:sz="4" w:space="0"/>
              <w:bottom w:val="single" w:color="auto" w:sz="4" w:space="0"/>
              <w:right w:val="single" w:color="auto" w:sz="4" w:space="0"/>
            </w:tcBorders>
            <w:vAlign w:val="center"/>
          </w:tcPr>
          <w:p w14:paraId="2E6B68A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核准有效期截止日期</w:t>
            </w:r>
          </w:p>
        </w:tc>
        <w:tc>
          <w:tcPr>
            <w:tcW w:w="607" w:type="pct"/>
            <w:tcBorders>
              <w:top w:val="single" w:color="auto" w:sz="4" w:space="0"/>
              <w:left w:val="single" w:color="auto" w:sz="4" w:space="0"/>
              <w:bottom w:val="single" w:color="auto" w:sz="4" w:space="0"/>
              <w:right w:val="single" w:color="auto" w:sz="4" w:space="0"/>
            </w:tcBorders>
            <w:vAlign w:val="center"/>
          </w:tcPr>
          <w:p w14:paraId="2EFE362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HZYXQJZRQ</w:t>
            </w:r>
          </w:p>
        </w:tc>
        <w:tc>
          <w:tcPr>
            <w:tcW w:w="671" w:type="pct"/>
            <w:tcBorders>
              <w:top w:val="single" w:color="auto" w:sz="4" w:space="0"/>
              <w:left w:val="single" w:color="auto" w:sz="4" w:space="0"/>
              <w:bottom w:val="single" w:color="auto" w:sz="4" w:space="0"/>
              <w:right w:val="single" w:color="auto" w:sz="4" w:space="0"/>
            </w:tcBorders>
            <w:vAlign w:val="center"/>
          </w:tcPr>
          <w:p w14:paraId="4E8E020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5F673E5D">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2128518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21BD7D4">
            <w:pPr>
              <w:keepNext w:val="0"/>
              <w:keepLines w:val="0"/>
              <w:suppressLineNumbers w:val="0"/>
              <w:spacing w:before="0" w:beforeAutospacing="0" w:after="0" w:afterAutospacing="0"/>
              <w:ind w:left="0" w:right="0"/>
              <w:jc w:val="left"/>
              <w:rPr>
                <w:rFonts w:hint="eastAsia" w:ascii="宋体" w:hAnsi="宋体" w:eastAsia="宋体"/>
              </w:rPr>
            </w:pPr>
          </w:p>
        </w:tc>
      </w:tr>
      <w:tr w14:paraId="70CDED22">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369A14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25</w:t>
            </w:r>
          </w:p>
        </w:tc>
        <w:tc>
          <w:tcPr>
            <w:tcW w:w="848" w:type="pct"/>
            <w:tcBorders>
              <w:top w:val="single" w:color="auto" w:sz="4" w:space="0"/>
              <w:left w:val="single" w:color="auto" w:sz="4" w:space="0"/>
              <w:bottom w:val="single" w:color="auto" w:sz="4" w:space="0"/>
              <w:right w:val="single" w:color="auto" w:sz="4" w:space="0"/>
            </w:tcBorders>
            <w:vAlign w:val="center"/>
          </w:tcPr>
          <w:p w14:paraId="44792B6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核准有效期起始日期</w:t>
            </w:r>
          </w:p>
        </w:tc>
        <w:tc>
          <w:tcPr>
            <w:tcW w:w="607" w:type="pct"/>
            <w:tcBorders>
              <w:top w:val="single" w:color="auto" w:sz="4" w:space="0"/>
              <w:left w:val="single" w:color="auto" w:sz="4" w:space="0"/>
              <w:bottom w:val="single" w:color="auto" w:sz="4" w:space="0"/>
              <w:right w:val="single" w:color="auto" w:sz="4" w:space="0"/>
            </w:tcBorders>
            <w:vAlign w:val="center"/>
          </w:tcPr>
          <w:p w14:paraId="258CF59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HZYXQQSRQ</w:t>
            </w:r>
          </w:p>
        </w:tc>
        <w:tc>
          <w:tcPr>
            <w:tcW w:w="671" w:type="pct"/>
            <w:tcBorders>
              <w:top w:val="single" w:color="auto" w:sz="4" w:space="0"/>
              <w:left w:val="single" w:color="auto" w:sz="4" w:space="0"/>
              <w:bottom w:val="single" w:color="auto" w:sz="4" w:space="0"/>
              <w:right w:val="single" w:color="auto" w:sz="4" w:space="0"/>
            </w:tcBorders>
            <w:vAlign w:val="center"/>
          </w:tcPr>
          <w:p w14:paraId="2054DB7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0A7A7740">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3B40DF7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19E78A7F">
            <w:pPr>
              <w:keepNext w:val="0"/>
              <w:keepLines w:val="0"/>
              <w:suppressLineNumbers w:val="0"/>
              <w:spacing w:before="0" w:beforeAutospacing="0" w:after="0" w:afterAutospacing="0"/>
              <w:ind w:left="0" w:right="0"/>
              <w:jc w:val="left"/>
              <w:rPr>
                <w:rFonts w:hint="eastAsia" w:ascii="宋体" w:hAnsi="宋体" w:eastAsia="宋体"/>
              </w:rPr>
            </w:pPr>
          </w:p>
        </w:tc>
      </w:tr>
      <w:tr w14:paraId="0E5A4F6E">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56C5DB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26</w:t>
            </w:r>
          </w:p>
        </w:tc>
        <w:tc>
          <w:tcPr>
            <w:tcW w:w="848" w:type="pct"/>
            <w:tcBorders>
              <w:top w:val="single" w:color="auto" w:sz="4" w:space="0"/>
              <w:left w:val="single" w:color="auto" w:sz="4" w:space="0"/>
              <w:bottom w:val="single" w:color="auto" w:sz="4" w:space="0"/>
              <w:right w:val="single" w:color="auto" w:sz="4" w:space="0"/>
            </w:tcBorders>
            <w:vAlign w:val="center"/>
          </w:tcPr>
          <w:p w14:paraId="2F87E40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称重设备</w:t>
            </w:r>
            <w:r>
              <w:rPr>
                <w:rFonts w:hint="eastAsia" w:ascii="宋体" w:hAnsi="宋体" w:eastAsia="宋体"/>
                <w:color w:val="000000"/>
                <w:lang w:eastAsia="zh-Hans"/>
              </w:rPr>
              <w:t>代码</w:t>
            </w:r>
          </w:p>
        </w:tc>
        <w:tc>
          <w:tcPr>
            <w:tcW w:w="607" w:type="pct"/>
            <w:tcBorders>
              <w:top w:val="single" w:color="auto" w:sz="4" w:space="0"/>
              <w:left w:val="single" w:color="auto" w:sz="4" w:space="0"/>
              <w:bottom w:val="single" w:color="auto" w:sz="4" w:space="0"/>
              <w:right w:val="single" w:color="auto" w:sz="4" w:space="0"/>
            </w:tcBorders>
            <w:vAlign w:val="center"/>
          </w:tcPr>
          <w:p w14:paraId="4FB6F2F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CZSB</w:t>
            </w:r>
            <w:r>
              <w:rPr>
                <w:rFonts w:hint="eastAsia" w:ascii="宋体" w:hAnsi="宋体" w:eastAsia="宋体"/>
                <w:color w:val="000000"/>
                <w:lang w:eastAsia="zh-Hans"/>
              </w:rPr>
              <w:t>D</w:t>
            </w:r>
            <w:r>
              <w:rPr>
                <w:rFonts w:hint="eastAsia" w:ascii="宋体" w:hAnsi="宋体" w:eastAsia="宋体"/>
                <w:color w:val="000000"/>
              </w:rPr>
              <w:t>M</w:t>
            </w:r>
          </w:p>
        </w:tc>
        <w:tc>
          <w:tcPr>
            <w:tcW w:w="671" w:type="pct"/>
            <w:tcBorders>
              <w:top w:val="single" w:color="auto" w:sz="4" w:space="0"/>
              <w:left w:val="single" w:color="auto" w:sz="4" w:space="0"/>
              <w:bottom w:val="single" w:color="auto" w:sz="4" w:space="0"/>
              <w:right w:val="single" w:color="auto" w:sz="4" w:space="0"/>
            </w:tcBorders>
            <w:vAlign w:val="center"/>
          </w:tcPr>
          <w:p w14:paraId="4540E89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9C0962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48B3DA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5BCF08C5">
            <w:pPr>
              <w:keepNext w:val="0"/>
              <w:keepLines w:val="0"/>
              <w:suppressLineNumbers w:val="0"/>
              <w:spacing w:before="0" w:beforeAutospacing="0" w:after="0" w:afterAutospacing="0"/>
              <w:ind w:left="0" w:right="0"/>
              <w:jc w:val="left"/>
              <w:rPr>
                <w:rFonts w:hint="eastAsia" w:ascii="宋体" w:hAnsi="宋体" w:eastAsia="宋体"/>
              </w:rPr>
            </w:pPr>
          </w:p>
        </w:tc>
      </w:tr>
    </w:tbl>
    <w:p w14:paraId="3B129697">
      <w:pPr>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45AB93C4">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04135F60">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建筑垃圾处理厂主要数据项</w:t>
            </w:r>
          </w:p>
        </w:tc>
      </w:tr>
      <w:tr w14:paraId="63E4BD57">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28CDDBF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1433706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329C7AE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6B9C177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725B30C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3B28E2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7EE1E8D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55E99C24">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0445A4E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25AE6E8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03146F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14:paraId="3900E6D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057B722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0A7B94A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000000" w:sz="4" w:space="0"/>
              <w:left w:val="single" w:color="000000" w:sz="4" w:space="0"/>
              <w:bottom w:val="single" w:color="000000" w:sz="4" w:space="0"/>
              <w:right w:val="single" w:color="000000" w:sz="4" w:space="0"/>
            </w:tcBorders>
            <w:vAlign w:val="bottom"/>
          </w:tcPr>
          <w:p w14:paraId="5BDDC0B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6D79D7DE">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3FE22E7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000000" w:sz="4" w:space="0"/>
              <w:left w:val="single" w:color="000000" w:sz="4" w:space="0"/>
              <w:bottom w:val="single" w:color="000000" w:sz="4" w:space="0"/>
              <w:right w:val="single" w:color="000000" w:sz="4" w:space="0"/>
            </w:tcBorders>
            <w:vAlign w:val="center"/>
          </w:tcPr>
          <w:p w14:paraId="3DD000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5CE79F3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71" w:type="pct"/>
            <w:tcBorders>
              <w:top w:val="single" w:color="000000" w:sz="4" w:space="0"/>
              <w:left w:val="single" w:color="000000" w:sz="4" w:space="0"/>
              <w:bottom w:val="single" w:color="000000" w:sz="4" w:space="0"/>
              <w:right w:val="single" w:color="000000" w:sz="4" w:space="0"/>
            </w:tcBorders>
            <w:vAlign w:val="center"/>
          </w:tcPr>
          <w:p w14:paraId="6631D45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17BD1BF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w:t>
            </w:r>
          </w:p>
        </w:tc>
        <w:tc>
          <w:tcPr>
            <w:tcW w:w="774" w:type="pct"/>
            <w:tcBorders>
              <w:top w:val="single" w:color="000000" w:sz="4" w:space="0"/>
              <w:left w:val="single" w:color="000000" w:sz="4" w:space="0"/>
              <w:bottom w:val="single" w:color="000000" w:sz="4" w:space="0"/>
              <w:right w:val="single" w:color="000000" w:sz="4" w:space="0"/>
            </w:tcBorders>
            <w:vAlign w:val="center"/>
          </w:tcPr>
          <w:p w14:paraId="78516AF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03A08627">
            <w:pPr>
              <w:keepNext w:val="0"/>
              <w:keepLines w:val="0"/>
              <w:suppressLineNumbers w:val="0"/>
              <w:spacing w:before="0" w:beforeAutospacing="0" w:after="0" w:afterAutospacing="0"/>
              <w:ind w:left="0" w:right="0"/>
              <w:jc w:val="left"/>
              <w:rPr>
                <w:rFonts w:hint="eastAsia" w:ascii="宋体" w:hAnsi="宋体" w:eastAsia="宋体"/>
              </w:rPr>
            </w:pPr>
          </w:p>
        </w:tc>
      </w:tr>
      <w:tr w14:paraId="6649C823">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3359547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000000" w:sz="4" w:space="0"/>
              <w:left w:val="single" w:color="000000" w:sz="4" w:space="0"/>
              <w:bottom w:val="single" w:color="000000" w:sz="4" w:space="0"/>
              <w:right w:val="single" w:color="000000" w:sz="4" w:space="0"/>
            </w:tcBorders>
            <w:vAlign w:val="center"/>
          </w:tcPr>
          <w:p w14:paraId="2B39EF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607" w:type="pct"/>
            <w:tcBorders>
              <w:top w:val="single" w:color="000000" w:sz="4" w:space="0"/>
              <w:left w:val="single" w:color="000000" w:sz="4" w:space="0"/>
              <w:bottom w:val="single" w:color="000000" w:sz="4" w:space="0"/>
              <w:right w:val="single" w:color="000000" w:sz="4" w:space="0"/>
            </w:tcBorders>
            <w:vAlign w:val="center"/>
          </w:tcPr>
          <w:p w14:paraId="1D2C707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71" w:type="pct"/>
            <w:tcBorders>
              <w:top w:val="single" w:color="000000" w:sz="4" w:space="0"/>
              <w:left w:val="single" w:color="000000" w:sz="4" w:space="0"/>
              <w:bottom w:val="single" w:color="000000" w:sz="4" w:space="0"/>
              <w:right w:val="single" w:color="000000" w:sz="4" w:space="0"/>
            </w:tcBorders>
            <w:vAlign w:val="center"/>
          </w:tcPr>
          <w:p w14:paraId="00B18DC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0D5F6B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500</w:t>
            </w:r>
          </w:p>
        </w:tc>
        <w:tc>
          <w:tcPr>
            <w:tcW w:w="774" w:type="pct"/>
            <w:tcBorders>
              <w:top w:val="single" w:color="000000" w:sz="4" w:space="0"/>
              <w:left w:val="single" w:color="000000" w:sz="4" w:space="0"/>
              <w:bottom w:val="single" w:color="000000" w:sz="4" w:space="0"/>
              <w:right w:val="single" w:color="000000" w:sz="4" w:space="0"/>
            </w:tcBorders>
            <w:vAlign w:val="center"/>
          </w:tcPr>
          <w:p w14:paraId="662D3F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5A285DBD">
            <w:pPr>
              <w:keepNext w:val="0"/>
              <w:keepLines w:val="0"/>
              <w:suppressLineNumbers w:val="0"/>
              <w:spacing w:before="0" w:beforeAutospacing="0" w:after="0" w:afterAutospacing="0"/>
              <w:ind w:left="0" w:right="0"/>
              <w:jc w:val="left"/>
              <w:rPr>
                <w:rFonts w:hint="eastAsia" w:ascii="宋体" w:hAnsi="宋体" w:eastAsia="宋体"/>
              </w:rPr>
            </w:pPr>
          </w:p>
        </w:tc>
      </w:tr>
      <w:tr w14:paraId="60B92E5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CF10C0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000000" w:sz="4" w:space="0"/>
              <w:left w:val="single" w:color="000000" w:sz="4" w:space="0"/>
              <w:bottom w:val="single" w:color="000000" w:sz="4" w:space="0"/>
              <w:right w:val="single" w:color="000000" w:sz="4" w:space="0"/>
            </w:tcBorders>
            <w:vAlign w:val="center"/>
          </w:tcPr>
          <w:p w14:paraId="423A99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消纳总量</w:t>
            </w:r>
          </w:p>
        </w:tc>
        <w:tc>
          <w:tcPr>
            <w:tcW w:w="607" w:type="pct"/>
            <w:tcBorders>
              <w:top w:val="single" w:color="000000" w:sz="4" w:space="0"/>
              <w:left w:val="single" w:color="000000" w:sz="4" w:space="0"/>
              <w:bottom w:val="single" w:color="000000" w:sz="4" w:space="0"/>
              <w:right w:val="single" w:color="000000" w:sz="4" w:space="0"/>
            </w:tcBorders>
            <w:vAlign w:val="center"/>
          </w:tcPr>
          <w:p w14:paraId="0B6FC2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XNZL</w:t>
            </w:r>
          </w:p>
        </w:tc>
        <w:tc>
          <w:tcPr>
            <w:tcW w:w="671" w:type="pct"/>
            <w:tcBorders>
              <w:top w:val="single" w:color="000000" w:sz="4" w:space="0"/>
              <w:left w:val="single" w:color="000000" w:sz="4" w:space="0"/>
              <w:bottom w:val="single" w:color="000000" w:sz="4" w:space="0"/>
              <w:right w:val="single" w:color="000000" w:sz="4" w:space="0"/>
            </w:tcBorders>
            <w:vAlign w:val="center"/>
          </w:tcPr>
          <w:p w14:paraId="6FEE60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3EDE185B">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3FC841F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0C9F8C8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单位：</w:t>
            </w:r>
            <w:r>
              <w:rPr>
                <w:rFonts w:hint="eastAsia" w:ascii="宋体" w:hAnsi="宋体" w:eastAsia="宋体"/>
                <w:color w:val="000000"/>
                <w:lang w:eastAsia="zh-Hans"/>
              </w:rPr>
              <w:t>万方</w:t>
            </w:r>
          </w:p>
        </w:tc>
      </w:tr>
      <w:tr w14:paraId="17C0DCA2">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5D96FDA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5</w:t>
            </w:r>
          </w:p>
        </w:tc>
        <w:tc>
          <w:tcPr>
            <w:tcW w:w="848" w:type="pct"/>
            <w:tcBorders>
              <w:top w:val="single" w:color="000000" w:sz="4" w:space="0"/>
              <w:left w:val="single" w:color="000000" w:sz="4" w:space="0"/>
              <w:bottom w:val="single" w:color="000000" w:sz="4" w:space="0"/>
              <w:right w:val="single" w:color="000000" w:sz="4" w:space="0"/>
            </w:tcBorders>
            <w:vAlign w:val="center"/>
          </w:tcPr>
          <w:p w14:paraId="32DD85C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再生产品类型</w:t>
            </w:r>
          </w:p>
        </w:tc>
        <w:tc>
          <w:tcPr>
            <w:tcW w:w="607" w:type="pct"/>
            <w:tcBorders>
              <w:top w:val="single" w:color="000000" w:sz="4" w:space="0"/>
              <w:left w:val="single" w:color="000000" w:sz="4" w:space="0"/>
              <w:bottom w:val="single" w:color="000000" w:sz="4" w:space="0"/>
              <w:right w:val="single" w:color="000000" w:sz="4" w:space="0"/>
            </w:tcBorders>
            <w:vAlign w:val="center"/>
          </w:tcPr>
          <w:p w14:paraId="678CECB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ZSCPLX</w:t>
            </w:r>
          </w:p>
        </w:tc>
        <w:tc>
          <w:tcPr>
            <w:tcW w:w="671" w:type="pct"/>
            <w:tcBorders>
              <w:top w:val="single" w:color="000000" w:sz="4" w:space="0"/>
              <w:left w:val="single" w:color="000000" w:sz="4" w:space="0"/>
              <w:bottom w:val="single" w:color="000000" w:sz="4" w:space="0"/>
              <w:right w:val="single" w:color="000000" w:sz="4" w:space="0"/>
            </w:tcBorders>
            <w:vAlign w:val="center"/>
          </w:tcPr>
          <w:p w14:paraId="3DBB360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int</w:t>
            </w:r>
          </w:p>
        </w:tc>
        <w:tc>
          <w:tcPr>
            <w:tcW w:w="631" w:type="pct"/>
            <w:tcBorders>
              <w:top w:val="single" w:color="000000" w:sz="4" w:space="0"/>
              <w:left w:val="single" w:color="000000" w:sz="4" w:space="0"/>
              <w:bottom w:val="single" w:color="000000" w:sz="4" w:space="0"/>
              <w:right w:val="single" w:color="000000" w:sz="4" w:space="0"/>
            </w:tcBorders>
            <w:vAlign w:val="center"/>
          </w:tcPr>
          <w:p w14:paraId="450FEF86">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64D4D2F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667119A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1：</w:t>
            </w:r>
            <w:r>
              <w:rPr>
                <w:rFonts w:hint="eastAsia" w:ascii="宋体" w:hAnsi="宋体" w:eastAsia="宋体"/>
                <w:lang w:eastAsia="zh-Hans"/>
              </w:rPr>
              <w:t>再生混凝土</w:t>
            </w:r>
          </w:p>
          <w:p w14:paraId="21D9A81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2：</w:t>
            </w:r>
            <w:r>
              <w:rPr>
                <w:rFonts w:hint="eastAsia" w:ascii="宋体" w:hAnsi="宋体" w:eastAsia="宋体"/>
                <w:lang w:eastAsia="zh-Hans"/>
              </w:rPr>
              <w:t>再生砂浆</w:t>
            </w:r>
          </w:p>
          <w:p w14:paraId="0E8BC5B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3：</w:t>
            </w:r>
            <w:r>
              <w:rPr>
                <w:rFonts w:hint="eastAsia" w:ascii="宋体" w:hAnsi="宋体" w:eastAsia="宋体"/>
                <w:lang w:eastAsia="zh-Hans"/>
              </w:rPr>
              <w:t>再生制品</w:t>
            </w:r>
          </w:p>
          <w:p w14:paraId="5C9B9C1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4：</w:t>
            </w:r>
            <w:r>
              <w:rPr>
                <w:rFonts w:hint="eastAsia" w:ascii="宋体" w:hAnsi="宋体" w:eastAsia="宋体"/>
                <w:lang w:eastAsia="zh-Hans"/>
              </w:rPr>
              <w:t>再生沥青混合料</w:t>
            </w:r>
          </w:p>
          <w:p w14:paraId="76A2DEA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5：</w:t>
            </w:r>
            <w:r>
              <w:rPr>
                <w:rFonts w:hint="eastAsia" w:ascii="宋体" w:hAnsi="宋体" w:eastAsia="宋体"/>
                <w:lang w:eastAsia="zh-Hans"/>
              </w:rPr>
              <w:t>再生无机混合料</w:t>
            </w:r>
          </w:p>
        </w:tc>
      </w:tr>
      <w:tr w14:paraId="167D1849">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5261E79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848" w:type="pct"/>
            <w:tcBorders>
              <w:top w:val="single" w:color="000000" w:sz="4" w:space="0"/>
              <w:left w:val="single" w:color="000000" w:sz="4" w:space="0"/>
              <w:bottom w:val="single" w:color="000000" w:sz="4" w:space="0"/>
              <w:right w:val="single" w:color="000000" w:sz="4" w:space="0"/>
            </w:tcBorders>
            <w:vAlign w:val="center"/>
          </w:tcPr>
          <w:p w14:paraId="0790DEC3">
            <w:pPr>
              <w:keepNext w:val="0"/>
              <w:keepLines w:val="0"/>
              <w:suppressLineNumbers w:val="0"/>
              <w:spacing w:before="0" w:beforeAutospacing="0" w:after="0" w:afterAutospacing="0"/>
              <w:ind w:left="0" w:right="0"/>
              <w:rPr>
                <w:rFonts w:hint="eastAsia" w:ascii="宋体" w:hAnsi="宋体" w:eastAsia="宋体"/>
              </w:rPr>
            </w:pPr>
            <w:r>
              <w:rPr>
                <w:rFonts w:hint="eastAsia" w:ascii="宋体" w:hAnsi="宋体" w:eastAsia="宋体"/>
                <w:lang w:eastAsia="zh-Hans"/>
              </w:rPr>
              <w:t>再生材料利用率</w:t>
            </w:r>
          </w:p>
        </w:tc>
        <w:tc>
          <w:tcPr>
            <w:tcW w:w="607" w:type="pct"/>
            <w:tcBorders>
              <w:top w:val="single" w:color="000000" w:sz="4" w:space="0"/>
              <w:left w:val="single" w:color="000000" w:sz="4" w:space="0"/>
              <w:bottom w:val="single" w:color="000000" w:sz="4" w:space="0"/>
              <w:right w:val="single" w:color="000000" w:sz="4" w:space="0"/>
            </w:tcBorders>
            <w:vAlign w:val="center"/>
          </w:tcPr>
          <w:p w14:paraId="49E8E05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ZSCLLYL</w:t>
            </w:r>
          </w:p>
        </w:tc>
        <w:tc>
          <w:tcPr>
            <w:tcW w:w="671" w:type="pct"/>
            <w:tcBorders>
              <w:top w:val="single" w:color="000000" w:sz="4" w:space="0"/>
              <w:left w:val="single" w:color="000000" w:sz="4" w:space="0"/>
              <w:bottom w:val="single" w:color="000000" w:sz="4" w:space="0"/>
              <w:right w:val="single" w:color="000000" w:sz="4" w:space="0"/>
            </w:tcBorders>
            <w:vAlign w:val="center"/>
          </w:tcPr>
          <w:p w14:paraId="5FE83F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65C63BA1">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6D981F0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7D60D443">
            <w:pPr>
              <w:keepNext w:val="0"/>
              <w:keepLines w:val="0"/>
              <w:suppressLineNumbers w:val="0"/>
              <w:spacing w:before="0" w:beforeAutospacing="0" w:after="0" w:afterAutospacing="0"/>
              <w:ind w:left="0" w:right="0"/>
              <w:jc w:val="center"/>
              <w:rPr>
                <w:rFonts w:hint="eastAsia" w:ascii="宋体" w:hAnsi="宋体" w:eastAsia="宋体"/>
                <w:color w:val="000000"/>
              </w:rPr>
            </w:pPr>
          </w:p>
        </w:tc>
      </w:tr>
    </w:tbl>
    <w:p w14:paraId="0CFC5046">
      <w:pPr>
        <w:rPr>
          <w:rFonts w:hint="eastAsia" w:ascii="宋体" w:hAnsi="宋体" w:eastAsia="宋体"/>
          <w:lang w:eastAsia="zh-Hans"/>
        </w:rPr>
      </w:pPr>
    </w:p>
    <w:p w14:paraId="23BE90DA">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建筑垃圾处置证主要数据项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18"/>
        <w:gridCol w:w="1583"/>
        <w:gridCol w:w="1157"/>
        <w:gridCol w:w="1033"/>
        <w:gridCol w:w="857"/>
        <w:gridCol w:w="1794"/>
      </w:tblGrid>
      <w:tr w14:paraId="0186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7A6EEBE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32" w:type="pct"/>
            <w:tcBorders>
              <w:top w:val="single" w:color="auto" w:sz="4" w:space="0"/>
              <w:left w:val="single" w:color="auto" w:sz="4" w:space="0"/>
              <w:bottom w:val="single" w:color="auto" w:sz="4" w:space="0"/>
              <w:right w:val="single" w:color="auto" w:sz="4" w:space="0"/>
            </w:tcBorders>
            <w:vAlign w:val="center"/>
          </w:tcPr>
          <w:p w14:paraId="205748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929" w:type="pct"/>
            <w:tcBorders>
              <w:top w:val="single" w:color="auto" w:sz="4" w:space="0"/>
              <w:left w:val="single" w:color="auto" w:sz="4" w:space="0"/>
              <w:bottom w:val="single" w:color="auto" w:sz="4" w:space="0"/>
              <w:right w:val="single" w:color="auto" w:sz="4" w:space="0"/>
            </w:tcBorders>
            <w:vAlign w:val="center"/>
          </w:tcPr>
          <w:p w14:paraId="3D2B8E8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679" w:type="pct"/>
            <w:tcBorders>
              <w:top w:val="single" w:color="auto" w:sz="4" w:space="0"/>
              <w:left w:val="single" w:color="auto" w:sz="4" w:space="0"/>
              <w:bottom w:val="single" w:color="auto" w:sz="4" w:space="0"/>
              <w:right w:val="single" w:color="auto" w:sz="4" w:space="0"/>
            </w:tcBorders>
            <w:vAlign w:val="center"/>
          </w:tcPr>
          <w:p w14:paraId="7BEC713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06" w:type="pct"/>
            <w:tcBorders>
              <w:top w:val="single" w:color="auto" w:sz="4" w:space="0"/>
              <w:left w:val="single" w:color="auto" w:sz="4" w:space="0"/>
              <w:bottom w:val="single" w:color="auto" w:sz="4" w:space="0"/>
              <w:right w:val="single" w:color="auto" w:sz="4" w:space="0"/>
            </w:tcBorders>
            <w:vAlign w:val="center"/>
          </w:tcPr>
          <w:p w14:paraId="3F6CFF3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03" w:type="pct"/>
            <w:tcBorders>
              <w:top w:val="single" w:color="auto" w:sz="4" w:space="0"/>
              <w:left w:val="single" w:color="auto" w:sz="4" w:space="0"/>
              <w:bottom w:val="single" w:color="auto" w:sz="4" w:space="0"/>
              <w:right w:val="single" w:color="auto" w:sz="4" w:space="0"/>
            </w:tcBorders>
          </w:tcPr>
          <w:p w14:paraId="5B0024A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052" w:type="pct"/>
            <w:tcBorders>
              <w:top w:val="single" w:color="auto" w:sz="4" w:space="0"/>
              <w:left w:val="single" w:color="auto" w:sz="4" w:space="0"/>
              <w:bottom w:val="single" w:color="auto" w:sz="4" w:space="0"/>
              <w:right w:val="single" w:color="auto" w:sz="4" w:space="0"/>
            </w:tcBorders>
            <w:vAlign w:val="center"/>
          </w:tcPr>
          <w:p w14:paraId="57CFE28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4F53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14:paraId="2D1A5AE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32" w:type="pct"/>
            <w:tcBorders>
              <w:top w:val="single" w:color="auto" w:sz="4" w:space="0"/>
              <w:left w:val="single" w:color="auto" w:sz="4" w:space="0"/>
              <w:bottom w:val="single" w:color="auto" w:sz="4" w:space="0"/>
              <w:right w:val="single" w:color="auto" w:sz="4" w:space="0"/>
            </w:tcBorders>
            <w:vAlign w:val="center"/>
          </w:tcPr>
          <w:p w14:paraId="63F8F90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929" w:type="pct"/>
            <w:tcBorders>
              <w:top w:val="single" w:color="auto" w:sz="4" w:space="0"/>
              <w:left w:val="single" w:color="auto" w:sz="4" w:space="0"/>
              <w:bottom w:val="single" w:color="auto" w:sz="4" w:space="0"/>
              <w:right w:val="single" w:color="auto" w:sz="4" w:space="0"/>
            </w:tcBorders>
            <w:vAlign w:val="center"/>
          </w:tcPr>
          <w:p w14:paraId="0662762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679" w:type="pct"/>
            <w:tcBorders>
              <w:top w:val="single" w:color="auto" w:sz="4" w:space="0"/>
              <w:left w:val="single" w:color="auto" w:sz="4" w:space="0"/>
              <w:bottom w:val="single" w:color="auto" w:sz="4" w:space="0"/>
              <w:right w:val="single" w:color="auto" w:sz="4" w:space="0"/>
            </w:tcBorders>
            <w:vAlign w:val="center"/>
          </w:tcPr>
          <w:p w14:paraId="499FA4D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4DEC3E4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03" w:type="pct"/>
            <w:tcBorders>
              <w:top w:val="single" w:color="auto" w:sz="4" w:space="0"/>
              <w:left w:val="single" w:color="auto" w:sz="4" w:space="0"/>
              <w:bottom w:val="single" w:color="auto" w:sz="4" w:space="0"/>
              <w:right w:val="single" w:color="auto" w:sz="4" w:space="0"/>
            </w:tcBorders>
            <w:vAlign w:val="center"/>
          </w:tcPr>
          <w:p w14:paraId="41BF64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52" w:type="pct"/>
            <w:tcBorders>
              <w:top w:val="single" w:color="auto" w:sz="4" w:space="0"/>
              <w:left w:val="single" w:color="auto" w:sz="4" w:space="0"/>
              <w:bottom w:val="single" w:color="auto" w:sz="4" w:space="0"/>
              <w:right w:val="single" w:color="auto" w:sz="4" w:space="0"/>
            </w:tcBorders>
            <w:vAlign w:val="center"/>
          </w:tcPr>
          <w:p w14:paraId="0CE77DA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48D1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456ED3D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32" w:type="pct"/>
            <w:tcBorders>
              <w:top w:val="single" w:color="auto" w:sz="4" w:space="0"/>
              <w:left w:val="single" w:color="auto" w:sz="4" w:space="0"/>
              <w:bottom w:val="single" w:color="auto" w:sz="4" w:space="0"/>
              <w:right w:val="single" w:color="auto" w:sz="4" w:space="0"/>
            </w:tcBorders>
            <w:vAlign w:val="center"/>
          </w:tcPr>
          <w:p w14:paraId="2BB3C9E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处置证编号</w:t>
            </w:r>
          </w:p>
        </w:tc>
        <w:tc>
          <w:tcPr>
            <w:tcW w:w="929" w:type="pct"/>
            <w:tcBorders>
              <w:top w:val="single" w:color="auto" w:sz="4" w:space="0"/>
              <w:left w:val="single" w:color="auto" w:sz="4" w:space="0"/>
              <w:bottom w:val="single" w:color="auto" w:sz="4" w:space="0"/>
              <w:right w:val="single" w:color="auto" w:sz="4" w:space="0"/>
            </w:tcBorders>
            <w:vAlign w:val="center"/>
          </w:tcPr>
          <w:p w14:paraId="0126E33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CZZBH</w:t>
            </w:r>
          </w:p>
        </w:tc>
        <w:tc>
          <w:tcPr>
            <w:tcW w:w="679" w:type="pct"/>
            <w:tcBorders>
              <w:top w:val="single" w:color="auto" w:sz="4" w:space="0"/>
              <w:left w:val="single" w:color="auto" w:sz="4" w:space="0"/>
              <w:bottom w:val="single" w:color="auto" w:sz="4" w:space="0"/>
              <w:right w:val="single" w:color="auto" w:sz="4" w:space="0"/>
            </w:tcBorders>
            <w:vAlign w:val="center"/>
          </w:tcPr>
          <w:p w14:paraId="4C01E58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1749BD7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40</w:t>
            </w:r>
          </w:p>
        </w:tc>
        <w:tc>
          <w:tcPr>
            <w:tcW w:w="503" w:type="pct"/>
            <w:tcBorders>
              <w:top w:val="single" w:color="auto" w:sz="4" w:space="0"/>
              <w:left w:val="single" w:color="auto" w:sz="4" w:space="0"/>
              <w:bottom w:val="single" w:color="auto" w:sz="4" w:space="0"/>
              <w:right w:val="single" w:color="auto" w:sz="4" w:space="0"/>
            </w:tcBorders>
            <w:vAlign w:val="center"/>
          </w:tcPr>
          <w:p w14:paraId="7E18FE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437C4784">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14:paraId="1EAC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2EA145C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32" w:type="pct"/>
            <w:tcBorders>
              <w:top w:val="single" w:color="auto" w:sz="4" w:space="0"/>
              <w:left w:val="single" w:color="auto" w:sz="4" w:space="0"/>
              <w:bottom w:val="single" w:color="auto" w:sz="4" w:space="0"/>
              <w:right w:val="single" w:color="auto" w:sz="4" w:space="0"/>
            </w:tcBorders>
            <w:vAlign w:val="center"/>
          </w:tcPr>
          <w:p w14:paraId="517A0CD8">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lang w:eastAsia="zh-Hans"/>
              </w:rPr>
              <w:t>建筑工地</w:t>
            </w:r>
            <w:r>
              <w:rPr>
                <w:rFonts w:hint="eastAsia" w:ascii="宋体" w:hAnsi="宋体" w:eastAsia="宋体"/>
                <w:color w:val="000000"/>
              </w:rPr>
              <w:t>名称</w:t>
            </w:r>
          </w:p>
        </w:tc>
        <w:tc>
          <w:tcPr>
            <w:tcW w:w="929" w:type="pct"/>
            <w:tcBorders>
              <w:top w:val="single" w:color="auto" w:sz="4" w:space="0"/>
              <w:left w:val="single" w:color="auto" w:sz="4" w:space="0"/>
              <w:bottom w:val="single" w:color="auto" w:sz="4" w:space="0"/>
              <w:right w:val="single" w:color="auto" w:sz="4" w:space="0"/>
            </w:tcBorders>
            <w:vAlign w:val="center"/>
          </w:tcPr>
          <w:p w14:paraId="624F86DF">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lang w:eastAsia="zh-Hans"/>
              </w:rPr>
              <w:t>JZGD</w:t>
            </w:r>
            <w:r>
              <w:rPr>
                <w:rFonts w:hint="eastAsia" w:ascii="宋体" w:hAnsi="宋体" w:eastAsia="宋体"/>
                <w:color w:val="000000"/>
              </w:rPr>
              <w:t>MC</w:t>
            </w:r>
          </w:p>
        </w:tc>
        <w:tc>
          <w:tcPr>
            <w:tcW w:w="679" w:type="pct"/>
            <w:tcBorders>
              <w:top w:val="single" w:color="auto" w:sz="4" w:space="0"/>
              <w:left w:val="single" w:color="auto" w:sz="4" w:space="0"/>
              <w:bottom w:val="single" w:color="auto" w:sz="4" w:space="0"/>
              <w:right w:val="single" w:color="auto" w:sz="4" w:space="0"/>
            </w:tcBorders>
            <w:vAlign w:val="center"/>
          </w:tcPr>
          <w:p w14:paraId="1BA90061">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1D0EF11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503" w:type="pct"/>
            <w:tcBorders>
              <w:top w:val="single" w:color="auto" w:sz="4" w:space="0"/>
              <w:left w:val="single" w:color="auto" w:sz="4" w:space="0"/>
              <w:bottom w:val="single" w:color="auto" w:sz="4" w:space="0"/>
              <w:right w:val="single" w:color="auto" w:sz="4" w:space="0"/>
            </w:tcBorders>
            <w:vAlign w:val="center"/>
          </w:tcPr>
          <w:p w14:paraId="6F86DDA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52" w:type="pct"/>
            <w:tcBorders>
              <w:top w:val="single" w:color="auto" w:sz="4" w:space="0"/>
              <w:left w:val="single" w:color="auto" w:sz="4" w:space="0"/>
              <w:bottom w:val="single" w:color="auto" w:sz="4" w:space="0"/>
              <w:right w:val="single" w:color="auto" w:sz="4" w:space="0"/>
            </w:tcBorders>
            <w:vAlign w:val="center"/>
          </w:tcPr>
          <w:p w14:paraId="40D66AE0">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DB0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363A9B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32" w:type="pct"/>
            <w:tcBorders>
              <w:top w:val="single" w:color="auto" w:sz="4" w:space="0"/>
              <w:left w:val="single" w:color="auto" w:sz="4" w:space="0"/>
              <w:bottom w:val="single" w:color="auto" w:sz="4" w:space="0"/>
              <w:right w:val="single" w:color="auto" w:sz="4" w:space="0"/>
            </w:tcBorders>
            <w:vAlign w:val="center"/>
          </w:tcPr>
          <w:p w14:paraId="21E990F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建筑单位</w:t>
            </w:r>
          </w:p>
        </w:tc>
        <w:tc>
          <w:tcPr>
            <w:tcW w:w="929" w:type="pct"/>
            <w:tcBorders>
              <w:top w:val="single" w:color="auto" w:sz="4" w:space="0"/>
              <w:left w:val="single" w:color="auto" w:sz="4" w:space="0"/>
              <w:bottom w:val="single" w:color="auto" w:sz="4" w:space="0"/>
              <w:right w:val="single" w:color="auto" w:sz="4" w:space="0"/>
            </w:tcBorders>
            <w:vAlign w:val="center"/>
          </w:tcPr>
          <w:p w14:paraId="5EF71CF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JZDW</w:t>
            </w:r>
          </w:p>
        </w:tc>
        <w:tc>
          <w:tcPr>
            <w:tcW w:w="679" w:type="pct"/>
            <w:tcBorders>
              <w:top w:val="single" w:color="auto" w:sz="4" w:space="0"/>
              <w:left w:val="single" w:color="auto" w:sz="4" w:space="0"/>
              <w:bottom w:val="single" w:color="auto" w:sz="4" w:space="0"/>
              <w:right w:val="single" w:color="auto" w:sz="4" w:space="0"/>
            </w:tcBorders>
            <w:vAlign w:val="center"/>
          </w:tcPr>
          <w:p w14:paraId="5A2C5F6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1850F00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503" w:type="pct"/>
            <w:tcBorders>
              <w:top w:val="single" w:color="auto" w:sz="4" w:space="0"/>
              <w:left w:val="single" w:color="auto" w:sz="4" w:space="0"/>
              <w:bottom w:val="single" w:color="auto" w:sz="4" w:space="0"/>
              <w:right w:val="single" w:color="auto" w:sz="4" w:space="0"/>
            </w:tcBorders>
            <w:vAlign w:val="center"/>
          </w:tcPr>
          <w:p w14:paraId="458B631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772136D0">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075B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2DFBE2F7">
            <w:pPr>
              <w:keepNext w:val="0"/>
              <w:keepLines w:val="0"/>
              <w:suppressLineNumbers w:val="0"/>
              <w:spacing w:before="0" w:beforeAutospacing="0" w:after="0" w:afterAutospacing="0"/>
              <w:ind w:left="0" w:right="0"/>
              <w:rPr>
                <w:rFonts w:hint="eastAsia" w:ascii="宋体" w:hAnsi="宋体" w:eastAsia="宋体"/>
              </w:rPr>
            </w:pPr>
            <w:r>
              <w:rPr>
                <w:rFonts w:hint="eastAsia" w:ascii="宋体" w:hAnsi="宋体" w:eastAsia="宋体"/>
                <w:color w:val="000000"/>
              </w:rPr>
              <w:t>5</w:t>
            </w:r>
          </w:p>
        </w:tc>
        <w:tc>
          <w:tcPr>
            <w:tcW w:w="832" w:type="pct"/>
            <w:tcBorders>
              <w:top w:val="single" w:color="auto" w:sz="4" w:space="0"/>
              <w:left w:val="single" w:color="auto" w:sz="4" w:space="0"/>
              <w:bottom w:val="single" w:color="auto" w:sz="4" w:space="0"/>
              <w:right w:val="single" w:color="auto" w:sz="4" w:space="0"/>
            </w:tcBorders>
            <w:vAlign w:val="center"/>
          </w:tcPr>
          <w:p w14:paraId="6E759CB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工程</w:t>
            </w:r>
            <w:r>
              <w:rPr>
                <w:rFonts w:hint="default" w:ascii="宋体" w:hAnsi="宋体" w:eastAsia="宋体"/>
                <w:color w:val="000000"/>
              </w:rPr>
              <w:t>建筑垃圾</w:t>
            </w:r>
            <w:r>
              <w:rPr>
                <w:rFonts w:hint="eastAsia" w:ascii="宋体" w:hAnsi="宋体" w:eastAsia="宋体"/>
                <w:color w:val="000000"/>
              </w:rPr>
              <w:t>量</w:t>
            </w:r>
          </w:p>
        </w:tc>
        <w:tc>
          <w:tcPr>
            <w:tcW w:w="929" w:type="pct"/>
            <w:tcBorders>
              <w:top w:val="single" w:color="auto" w:sz="4" w:space="0"/>
              <w:left w:val="single" w:color="auto" w:sz="4" w:space="0"/>
              <w:bottom w:val="single" w:color="auto" w:sz="4" w:space="0"/>
              <w:right w:val="single" w:color="auto" w:sz="4" w:space="0"/>
            </w:tcBorders>
            <w:vAlign w:val="center"/>
          </w:tcPr>
          <w:p w14:paraId="60D6E74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GC</w:t>
            </w:r>
            <w:r>
              <w:rPr>
                <w:rFonts w:hint="eastAsia" w:ascii="宋体" w:hAnsi="宋体" w:eastAsia="宋体"/>
                <w:color w:val="000000"/>
                <w:lang w:eastAsia="zh-Hans"/>
              </w:rPr>
              <w:t>JZLJL</w:t>
            </w:r>
          </w:p>
        </w:tc>
        <w:tc>
          <w:tcPr>
            <w:tcW w:w="679" w:type="pct"/>
            <w:tcBorders>
              <w:top w:val="single" w:color="auto" w:sz="4" w:space="0"/>
              <w:left w:val="single" w:color="auto" w:sz="4" w:space="0"/>
              <w:bottom w:val="single" w:color="auto" w:sz="4" w:space="0"/>
              <w:right w:val="single" w:color="auto" w:sz="4" w:space="0"/>
            </w:tcBorders>
            <w:vAlign w:val="center"/>
          </w:tcPr>
          <w:p w14:paraId="480202D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14:paraId="4F905821">
            <w:pPr>
              <w:keepNext w:val="0"/>
              <w:keepLines w:val="0"/>
              <w:suppressLineNumbers w:val="0"/>
              <w:spacing w:before="0" w:beforeAutospacing="0" w:after="0" w:afterAutospacing="0"/>
              <w:ind w:left="0" w:right="0"/>
              <w:jc w:val="center"/>
              <w:rPr>
                <w:rFonts w:hint="eastAsia" w:ascii="宋体" w:hAnsi="宋体" w:eastAsia="宋体"/>
              </w:rPr>
            </w:pPr>
          </w:p>
        </w:tc>
        <w:tc>
          <w:tcPr>
            <w:tcW w:w="503" w:type="pct"/>
            <w:tcBorders>
              <w:top w:val="single" w:color="auto" w:sz="4" w:space="0"/>
              <w:left w:val="single" w:color="auto" w:sz="4" w:space="0"/>
              <w:bottom w:val="single" w:color="auto" w:sz="4" w:space="0"/>
              <w:right w:val="single" w:color="auto" w:sz="4" w:space="0"/>
            </w:tcBorders>
            <w:vAlign w:val="center"/>
          </w:tcPr>
          <w:p w14:paraId="01F6F9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7458393D">
            <w:pPr>
              <w:keepNext w:val="0"/>
              <w:keepLines w:val="0"/>
              <w:suppressLineNumbers w:val="0"/>
              <w:spacing w:before="0" w:beforeAutospacing="0" w:after="0" w:afterAutospacing="0"/>
              <w:ind w:left="0" w:right="0"/>
              <w:jc w:val="left"/>
              <w:rPr>
                <w:rFonts w:hint="eastAsia" w:ascii="宋体" w:hAnsi="宋体" w:eastAsia="宋体"/>
              </w:rPr>
            </w:pPr>
          </w:p>
        </w:tc>
      </w:tr>
      <w:tr w14:paraId="6906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077678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32" w:type="pct"/>
            <w:tcBorders>
              <w:top w:val="single" w:color="auto" w:sz="4" w:space="0"/>
              <w:left w:val="single" w:color="auto" w:sz="4" w:space="0"/>
              <w:bottom w:val="single" w:color="auto" w:sz="4" w:space="0"/>
              <w:right w:val="single" w:color="auto" w:sz="4" w:space="0"/>
            </w:tcBorders>
            <w:vAlign w:val="center"/>
          </w:tcPr>
          <w:p w14:paraId="66318BB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废物体积</w:t>
            </w:r>
          </w:p>
        </w:tc>
        <w:tc>
          <w:tcPr>
            <w:tcW w:w="929" w:type="pct"/>
            <w:tcBorders>
              <w:top w:val="single" w:color="auto" w:sz="4" w:space="0"/>
              <w:left w:val="single" w:color="auto" w:sz="4" w:space="0"/>
              <w:bottom w:val="single" w:color="auto" w:sz="4" w:space="0"/>
              <w:right w:val="single" w:color="auto" w:sz="4" w:space="0"/>
            </w:tcBorders>
            <w:vAlign w:val="center"/>
          </w:tcPr>
          <w:p w14:paraId="3EAB7B2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FWTJ</w:t>
            </w:r>
          </w:p>
        </w:tc>
        <w:tc>
          <w:tcPr>
            <w:tcW w:w="679" w:type="pct"/>
            <w:tcBorders>
              <w:top w:val="single" w:color="auto" w:sz="4" w:space="0"/>
              <w:left w:val="single" w:color="auto" w:sz="4" w:space="0"/>
              <w:bottom w:val="single" w:color="auto" w:sz="4" w:space="0"/>
              <w:right w:val="single" w:color="auto" w:sz="4" w:space="0"/>
            </w:tcBorders>
            <w:vAlign w:val="center"/>
          </w:tcPr>
          <w:p w14:paraId="2E654BC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14:paraId="2665D962">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2DBECF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1071D286">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63C5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127351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32" w:type="pct"/>
            <w:tcBorders>
              <w:top w:val="single" w:color="auto" w:sz="4" w:space="0"/>
              <w:left w:val="single" w:color="auto" w:sz="4" w:space="0"/>
              <w:bottom w:val="single" w:color="auto" w:sz="4" w:space="0"/>
              <w:right w:val="single" w:color="auto" w:sz="4" w:space="0"/>
            </w:tcBorders>
            <w:vAlign w:val="center"/>
          </w:tcPr>
          <w:p w14:paraId="2625E46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残留体积</w:t>
            </w:r>
          </w:p>
        </w:tc>
        <w:tc>
          <w:tcPr>
            <w:tcW w:w="929" w:type="pct"/>
            <w:tcBorders>
              <w:top w:val="single" w:color="auto" w:sz="4" w:space="0"/>
              <w:left w:val="single" w:color="auto" w:sz="4" w:space="0"/>
              <w:bottom w:val="single" w:color="auto" w:sz="4" w:space="0"/>
              <w:right w:val="single" w:color="auto" w:sz="4" w:space="0"/>
            </w:tcBorders>
            <w:vAlign w:val="center"/>
          </w:tcPr>
          <w:p w14:paraId="69694A0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CLTJ</w:t>
            </w:r>
          </w:p>
        </w:tc>
        <w:tc>
          <w:tcPr>
            <w:tcW w:w="679" w:type="pct"/>
            <w:tcBorders>
              <w:top w:val="single" w:color="auto" w:sz="4" w:space="0"/>
              <w:left w:val="single" w:color="auto" w:sz="4" w:space="0"/>
              <w:bottom w:val="single" w:color="auto" w:sz="4" w:space="0"/>
              <w:right w:val="single" w:color="auto" w:sz="4" w:space="0"/>
            </w:tcBorders>
            <w:vAlign w:val="center"/>
          </w:tcPr>
          <w:p w14:paraId="4AD79E2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14:paraId="7A18E6C7">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0E8764F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4A540A74">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2C1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640E1D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32" w:type="pct"/>
            <w:tcBorders>
              <w:top w:val="single" w:color="auto" w:sz="4" w:space="0"/>
              <w:left w:val="single" w:color="auto" w:sz="4" w:space="0"/>
              <w:bottom w:val="single" w:color="auto" w:sz="4" w:space="0"/>
              <w:right w:val="single" w:color="auto" w:sz="4" w:space="0"/>
            </w:tcBorders>
            <w:vAlign w:val="center"/>
          </w:tcPr>
          <w:p w14:paraId="311E211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交易场所名称</w:t>
            </w:r>
          </w:p>
        </w:tc>
        <w:tc>
          <w:tcPr>
            <w:tcW w:w="929" w:type="pct"/>
            <w:tcBorders>
              <w:top w:val="single" w:color="auto" w:sz="4" w:space="0"/>
              <w:left w:val="single" w:color="auto" w:sz="4" w:space="0"/>
              <w:bottom w:val="single" w:color="auto" w:sz="4" w:space="0"/>
              <w:right w:val="single" w:color="auto" w:sz="4" w:space="0"/>
            </w:tcBorders>
            <w:vAlign w:val="center"/>
          </w:tcPr>
          <w:p w14:paraId="6AED778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JYCSMC</w:t>
            </w:r>
          </w:p>
        </w:tc>
        <w:tc>
          <w:tcPr>
            <w:tcW w:w="679" w:type="pct"/>
            <w:tcBorders>
              <w:top w:val="single" w:color="auto" w:sz="4" w:space="0"/>
              <w:left w:val="single" w:color="auto" w:sz="4" w:space="0"/>
              <w:bottom w:val="single" w:color="auto" w:sz="4" w:space="0"/>
              <w:right w:val="single" w:color="auto" w:sz="4" w:space="0"/>
            </w:tcBorders>
            <w:vAlign w:val="center"/>
          </w:tcPr>
          <w:p w14:paraId="64F10B4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4025A53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300</w:t>
            </w:r>
          </w:p>
        </w:tc>
        <w:tc>
          <w:tcPr>
            <w:tcW w:w="503" w:type="pct"/>
            <w:tcBorders>
              <w:top w:val="single" w:color="auto" w:sz="4" w:space="0"/>
              <w:left w:val="single" w:color="auto" w:sz="4" w:space="0"/>
              <w:bottom w:val="single" w:color="auto" w:sz="4" w:space="0"/>
              <w:right w:val="single" w:color="auto" w:sz="4" w:space="0"/>
            </w:tcBorders>
            <w:vAlign w:val="center"/>
          </w:tcPr>
          <w:p w14:paraId="576A3AA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5C144E04">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5E14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4A44835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32" w:type="pct"/>
            <w:tcBorders>
              <w:top w:val="single" w:color="auto" w:sz="4" w:space="0"/>
              <w:left w:val="single" w:color="auto" w:sz="4" w:space="0"/>
              <w:bottom w:val="single" w:color="auto" w:sz="4" w:space="0"/>
              <w:right w:val="single" w:color="auto" w:sz="4" w:space="0"/>
            </w:tcBorders>
            <w:vAlign w:val="center"/>
          </w:tcPr>
          <w:p w14:paraId="1A88FF2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交易场所类型</w:t>
            </w:r>
          </w:p>
        </w:tc>
        <w:tc>
          <w:tcPr>
            <w:tcW w:w="929" w:type="pct"/>
            <w:tcBorders>
              <w:top w:val="single" w:color="auto" w:sz="4" w:space="0"/>
              <w:left w:val="single" w:color="auto" w:sz="4" w:space="0"/>
              <w:bottom w:val="single" w:color="auto" w:sz="4" w:space="0"/>
              <w:right w:val="single" w:color="auto" w:sz="4" w:space="0"/>
            </w:tcBorders>
            <w:vAlign w:val="center"/>
          </w:tcPr>
          <w:p w14:paraId="051BEFF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JYCSLX</w:t>
            </w:r>
          </w:p>
        </w:tc>
        <w:tc>
          <w:tcPr>
            <w:tcW w:w="679" w:type="pct"/>
            <w:tcBorders>
              <w:top w:val="single" w:color="auto" w:sz="4" w:space="0"/>
              <w:left w:val="single" w:color="auto" w:sz="4" w:space="0"/>
              <w:bottom w:val="single" w:color="auto" w:sz="4" w:space="0"/>
              <w:right w:val="single" w:color="auto" w:sz="4" w:space="0"/>
            </w:tcBorders>
            <w:vAlign w:val="center"/>
          </w:tcPr>
          <w:p w14:paraId="43DB213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34E8F0C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20</w:t>
            </w:r>
          </w:p>
        </w:tc>
        <w:tc>
          <w:tcPr>
            <w:tcW w:w="503" w:type="pct"/>
            <w:tcBorders>
              <w:top w:val="single" w:color="auto" w:sz="4" w:space="0"/>
              <w:left w:val="single" w:color="auto" w:sz="4" w:space="0"/>
              <w:bottom w:val="single" w:color="auto" w:sz="4" w:space="0"/>
              <w:right w:val="single" w:color="auto" w:sz="4" w:space="0"/>
            </w:tcBorders>
            <w:vAlign w:val="center"/>
          </w:tcPr>
          <w:p w14:paraId="14F5E2B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7FD6D018">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6A94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0E44456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10</w:t>
            </w:r>
          </w:p>
        </w:tc>
        <w:tc>
          <w:tcPr>
            <w:tcW w:w="832" w:type="pct"/>
            <w:tcBorders>
              <w:top w:val="single" w:color="auto" w:sz="4" w:space="0"/>
              <w:left w:val="single" w:color="auto" w:sz="4" w:space="0"/>
              <w:bottom w:val="single" w:color="auto" w:sz="4" w:space="0"/>
              <w:right w:val="single" w:color="auto" w:sz="4" w:space="0"/>
            </w:tcBorders>
            <w:vAlign w:val="center"/>
          </w:tcPr>
          <w:p w14:paraId="637BAF8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预估费用</w:t>
            </w:r>
          </w:p>
        </w:tc>
        <w:tc>
          <w:tcPr>
            <w:tcW w:w="929" w:type="pct"/>
            <w:tcBorders>
              <w:top w:val="single" w:color="auto" w:sz="4" w:space="0"/>
              <w:left w:val="single" w:color="auto" w:sz="4" w:space="0"/>
              <w:bottom w:val="single" w:color="auto" w:sz="4" w:space="0"/>
              <w:right w:val="single" w:color="auto" w:sz="4" w:space="0"/>
            </w:tcBorders>
            <w:vAlign w:val="center"/>
          </w:tcPr>
          <w:p w14:paraId="69B49AA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YGFY</w:t>
            </w:r>
          </w:p>
        </w:tc>
        <w:tc>
          <w:tcPr>
            <w:tcW w:w="679" w:type="pct"/>
            <w:tcBorders>
              <w:top w:val="single" w:color="auto" w:sz="4" w:space="0"/>
              <w:left w:val="single" w:color="auto" w:sz="4" w:space="0"/>
              <w:bottom w:val="single" w:color="auto" w:sz="4" w:space="0"/>
              <w:right w:val="single" w:color="auto" w:sz="4" w:space="0"/>
            </w:tcBorders>
            <w:vAlign w:val="center"/>
          </w:tcPr>
          <w:p w14:paraId="27AC0687">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14:paraId="37D1B712">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3D4536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7BE696C9">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5BA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27CB920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11</w:t>
            </w:r>
          </w:p>
        </w:tc>
        <w:tc>
          <w:tcPr>
            <w:tcW w:w="832" w:type="pct"/>
            <w:tcBorders>
              <w:top w:val="single" w:color="auto" w:sz="4" w:space="0"/>
              <w:left w:val="single" w:color="auto" w:sz="4" w:space="0"/>
              <w:bottom w:val="single" w:color="auto" w:sz="4" w:space="0"/>
              <w:right w:val="single" w:color="auto" w:sz="4" w:space="0"/>
            </w:tcBorders>
            <w:vAlign w:val="center"/>
          </w:tcPr>
          <w:p w14:paraId="3747342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w:t>
            </w:r>
            <w:r>
              <w:rPr>
                <w:rFonts w:hint="eastAsia" w:ascii="宋体" w:hAnsi="宋体" w:eastAsia="宋体"/>
                <w:color w:val="000000"/>
                <w:lang w:eastAsia="zh-Hans"/>
              </w:rPr>
              <w:t>企业</w:t>
            </w:r>
            <w:r>
              <w:rPr>
                <w:rFonts w:hint="eastAsia" w:ascii="宋体" w:hAnsi="宋体" w:eastAsia="宋体"/>
                <w:color w:val="000000"/>
              </w:rPr>
              <w:t>名称</w:t>
            </w:r>
          </w:p>
        </w:tc>
        <w:tc>
          <w:tcPr>
            <w:tcW w:w="929" w:type="pct"/>
            <w:tcBorders>
              <w:top w:val="single" w:color="auto" w:sz="4" w:space="0"/>
              <w:left w:val="single" w:color="auto" w:sz="4" w:space="0"/>
              <w:bottom w:val="single" w:color="auto" w:sz="4" w:space="0"/>
              <w:right w:val="single" w:color="auto" w:sz="4" w:space="0"/>
            </w:tcBorders>
            <w:vAlign w:val="center"/>
          </w:tcPr>
          <w:p w14:paraId="505126F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w:t>
            </w:r>
            <w:r>
              <w:rPr>
                <w:rFonts w:hint="eastAsia" w:ascii="宋体" w:hAnsi="宋体" w:eastAsia="宋体"/>
                <w:color w:val="000000"/>
                <w:lang w:eastAsia="zh-Hans"/>
              </w:rPr>
              <w:t>QY</w:t>
            </w:r>
            <w:r>
              <w:rPr>
                <w:rFonts w:hint="eastAsia" w:ascii="宋体" w:hAnsi="宋体" w:eastAsia="宋体"/>
                <w:color w:val="000000"/>
              </w:rPr>
              <w:t>MC</w:t>
            </w:r>
          </w:p>
        </w:tc>
        <w:tc>
          <w:tcPr>
            <w:tcW w:w="679" w:type="pct"/>
            <w:tcBorders>
              <w:top w:val="single" w:color="auto" w:sz="4" w:space="0"/>
              <w:left w:val="single" w:color="auto" w:sz="4" w:space="0"/>
              <w:bottom w:val="single" w:color="auto" w:sz="4" w:space="0"/>
              <w:right w:val="single" w:color="auto" w:sz="4" w:space="0"/>
            </w:tcBorders>
            <w:vAlign w:val="center"/>
          </w:tcPr>
          <w:p w14:paraId="6BE92B1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5426221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200</w:t>
            </w:r>
          </w:p>
        </w:tc>
        <w:tc>
          <w:tcPr>
            <w:tcW w:w="503" w:type="pct"/>
            <w:tcBorders>
              <w:top w:val="single" w:color="auto" w:sz="4" w:space="0"/>
              <w:left w:val="single" w:color="auto" w:sz="4" w:space="0"/>
              <w:bottom w:val="single" w:color="auto" w:sz="4" w:space="0"/>
              <w:right w:val="single" w:color="auto" w:sz="4" w:space="0"/>
            </w:tcBorders>
            <w:vAlign w:val="center"/>
          </w:tcPr>
          <w:p w14:paraId="48D5B0F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17AD86AD">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FE1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6296A8E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32" w:type="pct"/>
            <w:tcBorders>
              <w:top w:val="single" w:color="auto" w:sz="4" w:space="0"/>
              <w:left w:val="single" w:color="auto" w:sz="4" w:space="0"/>
              <w:bottom w:val="single" w:color="auto" w:sz="4" w:space="0"/>
              <w:right w:val="single" w:color="auto" w:sz="4" w:space="0"/>
            </w:tcBorders>
            <w:vAlign w:val="center"/>
          </w:tcPr>
          <w:p w14:paraId="4FA7C47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运输车数量</w:t>
            </w:r>
          </w:p>
        </w:tc>
        <w:tc>
          <w:tcPr>
            <w:tcW w:w="929" w:type="pct"/>
            <w:tcBorders>
              <w:top w:val="single" w:color="auto" w:sz="4" w:space="0"/>
              <w:left w:val="single" w:color="auto" w:sz="4" w:space="0"/>
              <w:bottom w:val="single" w:color="auto" w:sz="4" w:space="0"/>
              <w:right w:val="single" w:color="auto" w:sz="4" w:space="0"/>
            </w:tcBorders>
            <w:vAlign w:val="center"/>
          </w:tcPr>
          <w:p w14:paraId="71DDBB3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YSCSL</w:t>
            </w:r>
          </w:p>
        </w:tc>
        <w:tc>
          <w:tcPr>
            <w:tcW w:w="679" w:type="pct"/>
            <w:tcBorders>
              <w:top w:val="single" w:color="auto" w:sz="4" w:space="0"/>
              <w:left w:val="single" w:color="auto" w:sz="4" w:space="0"/>
              <w:bottom w:val="single" w:color="auto" w:sz="4" w:space="0"/>
              <w:right w:val="single" w:color="auto" w:sz="4" w:space="0"/>
            </w:tcBorders>
            <w:vAlign w:val="center"/>
          </w:tcPr>
          <w:p w14:paraId="12925C8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06" w:type="pct"/>
            <w:tcBorders>
              <w:top w:val="single" w:color="auto" w:sz="4" w:space="0"/>
              <w:left w:val="single" w:color="auto" w:sz="4" w:space="0"/>
              <w:bottom w:val="single" w:color="auto" w:sz="4" w:space="0"/>
              <w:right w:val="single" w:color="auto" w:sz="4" w:space="0"/>
            </w:tcBorders>
            <w:vAlign w:val="center"/>
          </w:tcPr>
          <w:p w14:paraId="3B5E6953">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2FB9F9C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1AB30C14">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42D2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0C9902A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13</w:t>
            </w:r>
          </w:p>
        </w:tc>
        <w:tc>
          <w:tcPr>
            <w:tcW w:w="832" w:type="pct"/>
            <w:tcBorders>
              <w:top w:val="single" w:color="auto" w:sz="4" w:space="0"/>
              <w:left w:val="single" w:color="auto" w:sz="4" w:space="0"/>
              <w:bottom w:val="single" w:color="auto" w:sz="4" w:space="0"/>
              <w:right w:val="single" w:color="auto" w:sz="4" w:space="0"/>
            </w:tcBorders>
            <w:vAlign w:val="center"/>
          </w:tcPr>
          <w:p w14:paraId="750EE20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车辆</w:t>
            </w:r>
            <w:r>
              <w:rPr>
                <w:rFonts w:hint="eastAsia" w:ascii="宋体" w:hAnsi="宋体" w:eastAsia="宋体"/>
                <w:color w:val="000000"/>
                <w:lang w:eastAsia="zh-Hans"/>
              </w:rPr>
              <w:t>代</w:t>
            </w:r>
            <w:r>
              <w:rPr>
                <w:rFonts w:hint="eastAsia" w:ascii="宋体" w:hAnsi="宋体" w:eastAsia="宋体"/>
                <w:color w:val="000000"/>
              </w:rPr>
              <w:t>码</w:t>
            </w:r>
          </w:p>
        </w:tc>
        <w:tc>
          <w:tcPr>
            <w:tcW w:w="929" w:type="pct"/>
            <w:tcBorders>
              <w:top w:val="single" w:color="auto" w:sz="4" w:space="0"/>
              <w:left w:val="single" w:color="auto" w:sz="4" w:space="0"/>
              <w:bottom w:val="single" w:color="auto" w:sz="4" w:space="0"/>
              <w:right w:val="single" w:color="auto" w:sz="4" w:space="0"/>
            </w:tcBorders>
            <w:vAlign w:val="center"/>
          </w:tcPr>
          <w:p w14:paraId="129A733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CL</w:t>
            </w:r>
            <w:r>
              <w:rPr>
                <w:rFonts w:hint="eastAsia" w:ascii="宋体" w:hAnsi="宋体" w:eastAsia="宋体"/>
                <w:color w:val="000000"/>
                <w:lang w:eastAsia="zh-Hans"/>
              </w:rPr>
              <w:t>D</w:t>
            </w:r>
            <w:r>
              <w:rPr>
                <w:rFonts w:hint="eastAsia" w:ascii="宋体" w:hAnsi="宋体" w:eastAsia="宋体"/>
                <w:color w:val="000000"/>
              </w:rPr>
              <w:t>M</w:t>
            </w:r>
          </w:p>
        </w:tc>
        <w:tc>
          <w:tcPr>
            <w:tcW w:w="679" w:type="pct"/>
            <w:tcBorders>
              <w:top w:val="single" w:color="auto" w:sz="4" w:space="0"/>
              <w:left w:val="single" w:color="auto" w:sz="4" w:space="0"/>
              <w:bottom w:val="single" w:color="auto" w:sz="4" w:space="0"/>
              <w:right w:val="single" w:color="auto" w:sz="4" w:space="0"/>
            </w:tcBorders>
            <w:vAlign w:val="center"/>
          </w:tcPr>
          <w:p w14:paraId="599C6BA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7A6A5E2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300</w:t>
            </w:r>
          </w:p>
        </w:tc>
        <w:tc>
          <w:tcPr>
            <w:tcW w:w="503" w:type="pct"/>
            <w:tcBorders>
              <w:top w:val="single" w:color="auto" w:sz="4" w:space="0"/>
              <w:left w:val="single" w:color="auto" w:sz="4" w:space="0"/>
              <w:bottom w:val="single" w:color="auto" w:sz="4" w:space="0"/>
              <w:right w:val="single" w:color="auto" w:sz="4" w:space="0"/>
            </w:tcBorders>
            <w:vAlign w:val="center"/>
          </w:tcPr>
          <w:p w14:paraId="77C6951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6C8384EA">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35C7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602A4B4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32" w:type="pct"/>
            <w:tcBorders>
              <w:top w:val="single" w:color="auto" w:sz="4" w:space="0"/>
              <w:left w:val="single" w:color="auto" w:sz="4" w:space="0"/>
              <w:bottom w:val="single" w:color="auto" w:sz="4" w:space="0"/>
              <w:right w:val="single" w:color="auto" w:sz="4" w:space="0"/>
            </w:tcBorders>
            <w:vAlign w:val="center"/>
          </w:tcPr>
          <w:p w14:paraId="5DD7FC6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运输结束时间</w:t>
            </w:r>
          </w:p>
        </w:tc>
        <w:tc>
          <w:tcPr>
            <w:tcW w:w="929" w:type="pct"/>
            <w:tcBorders>
              <w:top w:val="single" w:color="auto" w:sz="4" w:space="0"/>
              <w:left w:val="single" w:color="auto" w:sz="4" w:space="0"/>
              <w:bottom w:val="single" w:color="auto" w:sz="4" w:space="0"/>
              <w:right w:val="single" w:color="auto" w:sz="4" w:space="0"/>
            </w:tcBorders>
            <w:vAlign w:val="center"/>
          </w:tcPr>
          <w:p w14:paraId="0D28D5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YSJSSJ</w:t>
            </w:r>
          </w:p>
        </w:tc>
        <w:tc>
          <w:tcPr>
            <w:tcW w:w="679" w:type="pct"/>
            <w:tcBorders>
              <w:top w:val="single" w:color="auto" w:sz="4" w:space="0"/>
              <w:left w:val="single" w:color="auto" w:sz="4" w:space="0"/>
              <w:bottom w:val="single" w:color="auto" w:sz="4" w:space="0"/>
              <w:right w:val="single" w:color="auto" w:sz="4" w:space="0"/>
            </w:tcBorders>
            <w:vAlign w:val="center"/>
          </w:tcPr>
          <w:p w14:paraId="438F673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06" w:type="pct"/>
            <w:tcBorders>
              <w:top w:val="single" w:color="auto" w:sz="4" w:space="0"/>
              <w:left w:val="single" w:color="auto" w:sz="4" w:space="0"/>
              <w:bottom w:val="single" w:color="auto" w:sz="4" w:space="0"/>
              <w:right w:val="single" w:color="auto" w:sz="4" w:space="0"/>
            </w:tcBorders>
            <w:vAlign w:val="center"/>
          </w:tcPr>
          <w:p w14:paraId="4AA2A571">
            <w:pPr>
              <w:keepNext w:val="0"/>
              <w:keepLines w:val="0"/>
              <w:suppressLineNumbers w:val="0"/>
              <w:spacing w:before="0" w:beforeAutospacing="0" w:after="0" w:afterAutospacing="0"/>
              <w:ind w:left="0" w:right="0"/>
              <w:jc w:val="center"/>
              <w:rPr>
                <w:rFonts w:hint="eastAsia" w:ascii="宋体" w:hAnsi="宋体" w:eastAsia="宋体"/>
              </w:rPr>
            </w:pPr>
          </w:p>
        </w:tc>
        <w:tc>
          <w:tcPr>
            <w:tcW w:w="503" w:type="pct"/>
            <w:tcBorders>
              <w:top w:val="single" w:color="auto" w:sz="4" w:space="0"/>
              <w:left w:val="single" w:color="auto" w:sz="4" w:space="0"/>
              <w:bottom w:val="single" w:color="auto" w:sz="4" w:space="0"/>
              <w:right w:val="single" w:color="auto" w:sz="4" w:space="0"/>
            </w:tcBorders>
            <w:vAlign w:val="center"/>
          </w:tcPr>
          <w:p w14:paraId="4F5244B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453E32AA">
            <w:pPr>
              <w:keepNext w:val="0"/>
              <w:keepLines w:val="0"/>
              <w:suppressLineNumbers w:val="0"/>
              <w:spacing w:before="0" w:beforeAutospacing="0" w:after="0" w:afterAutospacing="0"/>
              <w:ind w:left="0" w:right="0"/>
              <w:jc w:val="left"/>
              <w:rPr>
                <w:rFonts w:hint="eastAsia" w:ascii="宋体" w:hAnsi="宋体" w:eastAsia="宋体"/>
              </w:rPr>
            </w:pPr>
          </w:p>
        </w:tc>
      </w:tr>
      <w:tr w14:paraId="01E6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5592401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15</w:t>
            </w:r>
          </w:p>
        </w:tc>
        <w:tc>
          <w:tcPr>
            <w:tcW w:w="832" w:type="pct"/>
            <w:tcBorders>
              <w:top w:val="single" w:color="auto" w:sz="4" w:space="0"/>
              <w:left w:val="single" w:color="auto" w:sz="4" w:space="0"/>
              <w:bottom w:val="single" w:color="auto" w:sz="4" w:space="0"/>
              <w:right w:val="single" w:color="auto" w:sz="4" w:space="0"/>
            </w:tcBorders>
            <w:vAlign w:val="center"/>
          </w:tcPr>
          <w:p w14:paraId="25B867B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运输开始时间</w:t>
            </w:r>
          </w:p>
        </w:tc>
        <w:tc>
          <w:tcPr>
            <w:tcW w:w="929" w:type="pct"/>
            <w:tcBorders>
              <w:top w:val="single" w:color="auto" w:sz="4" w:space="0"/>
              <w:left w:val="single" w:color="auto" w:sz="4" w:space="0"/>
              <w:bottom w:val="single" w:color="auto" w:sz="4" w:space="0"/>
              <w:right w:val="single" w:color="auto" w:sz="4" w:space="0"/>
            </w:tcBorders>
            <w:vAlign w:val="center"/>
          </w:tcPr>
          <w:p w14:paraId="4FB1007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YSKSSJ</w:t>
            </w:r>
          </w:p>
        </w:tc>
        <w:tc>
          <w:tcPr>
            <w:tcW w:w="679" w:type="pct"/>
            <w:tcBorders>
              <w:top w:val="single" w:color="auto" w:sz="4" w:space="0"/>
              <w:left w:val="single" w:color="auto" w:sz="4" w:space="0"/>
              <w:bottom w:val="single" w:color="auto" w:sz="4" w:space="0"/>
              <w:right w:val="single" w:color="auto" w:sz="4" w:space="0"/>
            </w:tcBorders>
            <w:vAlign w:val="center"/>
          </w:tcPr>
          <w:p w14:paraId="0588381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r>
              <w:rPr>
                <w:rFonts w:hint="eastAsia" w:ascii="宋体" w:hAnsi="宋体" w:eastAsia="宋体"/>
                <w:color w:val="000000"/>
                <w:lang w:eastAsia="zh-Hans"/>
              </w:rPr>
              <w:t>time</w:t>
            </w:r>
          </w:p>
        </w:tc>
        <w:tc>
          <w:tcPr>
            <w:tcW w:w="606" w:type="pct"/>
            <w:tcBorders>
              <w:top w:val="single" w:color="auto" w:sz="4" w:space="0"/>
              <w:left w:val="single" w:color="auto" w:sz="4" w:space="0"/>
              <w:bottom w:val="single" w:color="auto" w:sz="4" w:space="0"/>
              <w:right w:val="single" w:color="auto" w:sz="4" w:space="0"/>
            </w:tcBorders>
            <w:vAlign w:val="center"/>
          </w:tcPr>
          <w:p w14:paraId="69840227">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170E3E3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458FB371">
            <w:pPr>
              <w:keepNext w:val="0"/>
              <w:keepLines w:val="0"/>
              <w:suppressLineNumbers w:val="0"/>
              <w:spacing w:before="0" w:beforeAutospacing="0" w:after="0" w:afterAutospacing="0"/>
              <w:ind w:left="0" w:right="0"/>
              <w:jc w:val="left"/>
              <w:rPr>
                <w:rFonts w:hint="eastAsia" w:ascii="宋体" w:hAnsi="宋体" w:eastAsia="宋体"/>
                <w:color w:val="000000"/>
              </w:rPr>
            </w:pPr>
          </w:p>
        </w:tc>
      </w:tr>
    </w:tbl>
    <w:p w14:paraId="45CE2D74">
      <w:pPr>
        <w:pStyle w:val="463"/>
        <w:numPr>
          <w:ilvl w:val="3"/>
          <w:numId w:val="0"/>
        </w:numPr>
        <w:spacing w:beforeLines="0" w:afterLines="0"/>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06"/>
        <w:gridCol w:w="1371"/>
        <w:gridCol w:w="1476"/>
        <w:gridCol w:w="1070"/>
        <w:gridCol w:w="1002"/>
        <w:gridCol w:w="1246"/>
        <w:gridCol w:w="1751"/>
      </w:tblGrid>
      <w:tr w14:paraId="430527C5">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50DC1FD4">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建筑垃圾运输记录主要数据项</w:t>
            </w:r>
          </w:p>
        </w:tc>
      </w:tr>
      <w:tr w14:paraId="449B2BED">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1426DF5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7A52455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7840EBE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11E69A6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79488FB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6E05719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4F67C1F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3B2193FF">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413B3CA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5B82201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000000" w:sz="4" w:space="0"/>
              <w:left w:val="single" w:color="000000" w:sz="4" w:space="0"/>
              <w:bottom w:val="single" w:color="000000" w:sz="4" w:space="0"/>
              <w:right w:val="single" w:color="000000" w:sz="4" w:space="0"/>
            </w:tcBorders>
            <w:vAlign w:val="center"/>
          </w:tcPr>
          <w:p w14:paraId="7081E97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tcBorders>
              <w:top w:val="single" w:color="000000" w:sz="4" w:space="0"/>
              <w:left w:val="single" w:color="000000" w:sz="4" w:space="0"/>
              <w:bottom w:val="single" w:color="000000" w:sz="4" w:space="0"/>
              <w:right w:val="single" w:color="000000" w:sz="4" w:space="0"/>
            </w:tcBorders>
            <w:vAlign w:val="center"/>
          </w:tcPr>
          <w:p w14:paraId="22F1995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2B28DD0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tcBorders>
              <w:top w:val="single" w:color="000000" w:sz="4" w:space="0"/>
              <w:left w:val="single" w:color="000000" w:sz="4" w:space="0"/>
              <w:bottom w:val="single" w:color="000000" w:sz="4" w:space="0"/>
              <w:right w:val="single" w:color="000000" w:sz="4" w:space="0"/>
            </w:tcBorders>
            <w:vAlign w:val="center"/>
          </w:tcPr>
          <w:p w14:paraId="0A22CE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5EF99A4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3D15A7CF">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7FB0964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000000" w:sz="4" w:space="0"/>
              <w:left w:val="single" w:color="000000" w:sz="4" w:space="0"/>
              <w:bottom w:val="single" w:color="000000" w:sz="4" w:space="0"/>
              <w:right w:val="single" w:color="000000" w:sz="4" w:space="0"/>
            </w:tcBorders>
            <w:vAlign w:val="center"/>
          </w:tcPr>
          <w:p w14:paraId="3C1706B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车牌号</w:t>
            </w:r>
          </w:p>
        </w:tc>
        <w:tc>
          <w:tcPr>
            <w:tcW w:w="607" w:type="pct"/>
            <w:tcBorders>
              <w:top w:val="single" w:color="000000" w:sz="4" w:space="0"/>
              <w:left w:val="single" w:color="000000" w:sz="4" w:space="0"/>
              <w:bottom w:val="single" w:color="000000" w:sz="4" w:space="0"/>
              <w:right w:val="single" w:color="000000" w:sz="4" w:space="0"/>
            </w:tcBorders>
            <w:vAlign w:val="center"/>
          </w:tcPr>
          <w:p w14:paraId="6D2C623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CPH</w:t>
            </w:r>
          </w:p>
        </w:tc>
        <w:tc>
          <w:tcPr>
            <w:tcW w:w="671" w:type="pct"/>
            <w:tcBorders>
              <w:top w:val="single" w:color="000000" w:sz="4" w:space="0"/>
              <w:left w:val="single" w:color="000000" w:sz="4" w:space="0"/>
              <w:bottom w:val="single" w:color="000000" w:sz="4" w:space="0"/>
              <w:right w:val="single" w:color="000000" w:sz="4" w:space="0"/>
            </w:tcBorders>
            <w:vAlign w:val="center"/>
          </w:tcPr>
          <w:p w14:paraId="7E44757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762E66A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w:t>
            </w:r>
          </w:p>
        </w:tc>
        <w:tc>
          <w:tcPr>
            <w:tcW w:w="774" w:type="pct"/>
            <w:tcBorders>
              <w:top w:val="single" w:color="000000" w:sz="4" w:space="0"/>
              <w:left w:val="single" w:color="000000" w:sz="4" w:space="0"/>
              <w:bottom w:val="single" w:color="000000" w:sz="4" w:space="0"/>
              <w:right w:val="single" w:color="000000" w:sz="4" w:space="0"/>
            </w:tcBorders>
            <w:vAlign w:val="center"/>
          </w:tcPr>
          <w:p w14:paraId="2B25D36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45EBC06E">
            <w:pPr>
              <w:keepNext w:val="0"/>
              <w:keepLines w:val="0"/>
              <w:suppressLineNumbers w:val="0"/>
              <w:spacing w:before="0" w:beforeAutospacing="0" w:after="0" w:afterAutospacing="0"/>
              <w:ind w:left="0" w:right="0"/>
              <w:jc w:val="left"/>
              <w:rPr>
                <w:rFonts w:hint="eastAsia" w:ascii="宋体" w:hAnsi="宋体" w:eastAsia="宋体"/>
              </w:rPr>
            </w:pPr>
          </w:p>
        </w:tc>
      </w:tr>
      <w:tr w14:paraId="505D0186">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1534BE5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000000" w:sz="4" w:space="0"/>
              <w:left w:val="single" w:color="000000" w:sz="4" w:space="0"/>
              <w:bottom w:val="single" w:color="000000" w:sz="4" w:space="0"/>
              <w:right w:val="single" w:color="000000" w:sz="4" w:space="0"/>
            </w:tcBorders>
            <w:vAlign w:val="center"/>
          </w:tcPr>
          <w:p w14:paraId="66C2CB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运输司机</w:t>
            </w:r>
            <w:r>
              <w:rPr>
                <w:rFonts w:hint="eastAsia" w:ascii="宋体" w:hAnsi="宋体" w:eastAsia="宋体"/>
                <w:color w:val="000000"/>
                <w:lang w:eastAsia="zh-Hans"/>
              </w:rPr>
              <w:t>驾驶证号</w:t>
            </w:r>
          </w:p>
        </w:tc>
        <w:tc>
          <w:tcPr>
            <w:tcW w:w="607" w:type="pct"/>
            <w:tcBorders>
              <w:top w:val="single" w:color="000000" w:sz="4" w:space="0"/>
              <w:left w:val="single" w:color="000000" w:sz="4" w:space="0"/>
              <w:bottom w:val="single" w:color="000000" w:sz="4" w:space="0"/>
              <w:right w:val="single" w:color="000000" w:sz="4" w:space="0"/>
            </w:tcBorders>
            <w:vAlign w:val="center"/>
          </w:tcPr>
          <w:p w14:paraId="081F6B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YSSJ</w:t>
            </w:r>
            <w:r>
              <w:rPr>
                <w:rFonts w:hint="eastAsia" w:ascii="宋体" w:hAnsi="宋体" w:eastAsia="宋体"/>
                <w:color w:val="000000"/>
                <w:lang w:eastAsia="zh-Hans"/>
              </w:rPr>
              <w:t>JSZH</w:t>
            </w:r>
          </w:p>
        </w:tc>
        <w:tc>
          <w:tcPr>
            <w:tcW w:w="671" w:type="pct"/>
            <w:tcBorders>
              <w:top w:val="single" w:color="000000" w:sz="4" w:space="0"/>
              <w:left w:val="single" w:color="000000" w:sz="4" w:space="0"/>
              <w:bottom w:val="single" w:color="000000" w:sz="4" w:space="0"/>
              <w:right w:val="single" w:color="000000" w:sz="4" w:space="0"/>
            </w:tcBorders>
            <w:vAlign w:val="center"/>
          </w:tcPr>
          <w:p w14:paraId="065BA52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4185DEA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774" w:type="pct"/>
            <w:tcBorders>
              <w:top w:val="single" w:color="000000" w:sz="4" w:space="0"/>
              <w:left w:val="single" w:color="000000" w:sz="4" w:space="0"/>
              <w:bottom w:val="single" w:color="000000" w:sz="4" w:space="0"/>
              <w:right w:val="single" w:color="000000" w:sz="4" w:space="0"/>
            </w:tcBorders>
            <w:vAlign w:val="center"/>
          </w:tcPr>
          <w:p w14:paraId="246D1FC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3EB16FA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驾驶证号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51</w:t>
            </w:r>
          </w:p>
        </w:tc>
      </w:tr>
      <w:tr w14:paraId="3FE25D2E">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F6DE9B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000000" w:sz="4" w:space="0"/>
              <w:left w:val="single" w:color="000000" w:sz="4" w:space="0"/>
              <w:bottom w:val="single" w:color="000000" w:sz="4" w:space="0"/>
              <w:right w:val="single" w:color="000000" w:sz="4" w:space="0"/>
            </w:tcBorders>
            <w:vAlign w:val="center"/>
          </w:tcPr>
          <w:p w14:paraId="2B87759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处置证编号</w:t>
            </w:r>
          </w:p>
        </w:tc>
        <w:tc>
          <w:tcPr>
            <w:tcW w:w="607" w:type="pct"/>
            <w:tcBorders>
              <w:top w:val="single" w:color="000000" w:sz="4" w:space="0"/>
              <w:left w:val="single" w:color="000000" w:sz="4" w:space="0"/>
              <w:bottom w:val="single" w:color="000000" w:sz="4" w:space="0"/>
              <w:right w:val="single" w:color="000000" w:sz="4" w:space="0"/>
            </w:tcBorders>
            <w:vAlign w:val="center"/>
          </w:tcPr>
          <w:p w14:paraId="7CC514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CZZBH</w:t>
            </w:r>
          </w:p>
        </w:tc>
        <w:tc>
          <w:tcPr>
            <w:tcW w:w="671" w:type="pct"/>
            <w:tcBorders>
              <w:top w:val="single" w:color="000000" w:sz="4" w:space="0"/>
              <w:left w:val="single" w:color="000000" w:sz="4" w:space="0"/>
              <w:bottom w:val="single" w:color="000000" w:sz="4" w:space="0"/>
              <w:right w:val="single" w:color="000000" w:sz="4" w:space="0"/>
            </w:tcBorders>
            <w:vAlign w:val="center"/>
          </w:tcPr>
          <w:p w14:paraId="510D7F3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4741B46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4" w:type="pct"/>
            <w:tcBorders>
              <w:top w:val="single" w:color="000000" w:sz="4" w:space="0"/>
              <w:left w:val="single" w:color="000000" w:sz="4" w:space="0"/>
              <w:bottom w:val="single" w:color="000000" w:sz="4" w:space="0"/>
              <w:right w:val="single" w:color="000000" w:sz="4" w:space="0"/>
            </w:tcBorders>
            <w:vAlign w:val="center"/>
          </w:tcPr>
          <w:p w14:paraId="5D950B8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40479E8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54</w:t>
            </w:r>
          </w:p>
        </w:tc>
      </w:tr>
      <w:tr w14:paraId="135E4F40">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94501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8" w:type="pct"/>
            <w:tcBorders>
              <w:top w:val="single" w:color="000000" w:sz="4" w:space="0"/>
              <w:left w:val="single" w:color="000000" w:sz="4" w:space="0"/>
              <w:bottom w:val="single" w:color="000000" w:sz="4" w:space="0"/>
              <w:right w:val="single" w:color="000000" w:sz="4" w:space="0"/>
            </w:tcBorders>
            <w:vAlign w:val="center"/>
          </w:tcPr>
          <w:p w14:paraId="6A6A7B4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出场</w:t>
            </w:r>
            <w:r>
              <w:rPr>
                <w:rFonts w:hint="eastAsia" w:ascii="宋体" w:hAnsi="宋体" w:eastAsia="宋体"/>
                <w:color w:val="000000"/>
                <w:lang w:eastAsia="zh-Hans"/>
              </w:rPr>
              <w:t>建筑</w:t>
            </w:r>
            <w:r>
              <w:rPr>
                <w:rFonts w:hint="eastAsia" w:ascii="宋体" w:hAnsi="宋体" w:eastAsia="宋体"/>
                <w:color w:val="000000"/>
              </w:rPr>
              <w:t>工地编号</w:t>
            </w:r>
          </w:p>
        </w:tc>
        <w:tc>
          <w:tcPr>
            <w:tcW w:w="607" w:type="pct"/>
            <w:tcBorders>
              <w:top w:val="single" w:color="000000" w:sz="4" w:space="0"/>
              <w:left w:val="single" w:color="000000" w:sz="4" w:space="0"/>
              <w:bottom w:val="single" w:color="000000" w:sz="4" w:space="0"/>
              <w:right w:val="single" w:color="000000" w:sz="4" w:space="0"/>
            </w:tcBorders>
            <w:vAlign w:val="center"/>
          </w:tcPr>
          <w:p w14:paraId="6BB342E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CC</w:t>
            </w:r>
            <w:r>
              <w:rPr>
                <w:rFonts w:hint="eastAsia" w:ascii="宋体" w:hAnsi="宋体" w:eastAsia="宋体"/>
                <w:color w:val="000000"/>
                <w:lang w:eastAsia="zh-Hans"/>
              </w:rPr>
              <w:t>JZ</w:t>
            </w:r>
            <w:r>
              <w:rPr>
                <w:rFonts w:hint="eastAsia" w:ascii="宋体" w:hAnsi="宋体" w:eastAsia="宋体"/>
                <w:color w:val="000000"/>
              </w:rPr>
              <w:t>GDBH</w:t>
            </w:r>
          </w:p>
        </w:tc>
        <w:tc>
          <w:tcPr>
            <w:tcW w:w="671" w:type="pct"/>
            <w:tcBorders>
              <w:top w:val="single" w:color="000000" w:sz="4" w:space="0"/>
              <w:left w:val="single" w:color="000000" w:sz="4" w:space="0"/>
              <w:bottom w:val="single" w:color="000000" w:sz="4" w:space="0"/>
              <w:right w:val="single" w:color="000000" w:sz="4" w:space="0"/>
            </w:tcBorders>
            <w:vAlign w:val="center"/>
          </w:tcPr>
          <w:p w14:paraId="5F1EB09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49085FA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4" w:type="pct"/>
            <w:tcBorders>
              <w:top w:val="single" w:color="000000" w:sz="4" w:space="0"/>
              <w:left w:val="single" w:color="000000" w:sz="4" w:space="0"/>
              <w:bottom w:val="single" w:color="000000" w:sz="4" w:space="0"/>
              <w:right w:val="single" w:color="000000" w:sz="4" w:space="0"/>
            </w:tcBorders>
            <w:vAlign w:val="center"/>
          </w:tcPr>
          <w:p w14:paraId="0E55C73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3F31BC6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52</w:t>
            </w:r>
          </w:p>
        </w:tc>
      </w:tr>
      <w:tr w14:paraId="44397DD9">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5C8DF0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tcBorders>
              <w:top w:val="single" w:color="000000" w:sz="4" w:space="0"/>
              <w:left w:val="single" w:color="000000" w:sz="4" w:space="0"/>
              <w:bottom w:val="single" w:color="000000" w:sz="4" w:space="0"/>
              <w:right w:val="single" w:color="000000" w:sz="4" w:space="0"/>
            </w:tcBorders>
            <w:vAlign w:val="center"/>
          </w:tcPr>
          <w:p w14:paraId="6B4FD78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入场</w:t>
            </w:r>
            <w:r>
              <w:rPr>
                <w:rFonts w:hint="default" w:ascii="宋体" w:hAnsi="宋体" w:eastAsia="宋体"/>
                <w:color w:val="000000"/>
              </w:rPr>
              <w:t>建筑垃圾处理厂</w:t>
            </w:r>
            <w:r>
              <w:rPr>
                <w:rFonts w:hint="eastAsia" w:ascii="宋体" w:hAnsi="宋体" w:eastAsia="宋体"/>
                <w:color w:val="000000"/>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7A63EFC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RC</w:t>
            </w:r>
            <w:r>
              <w:rPr>
                <w:rFonts w:hint="eastAsia" w:ascii="宋体" w:hAnsi="宋体" w:eastAsia="宋体"/>
                <w:color w:val="000000"/>
                <w:lang w:eastAsia="zh-Hans"/>
              </w:rPr>
              <w:t>JZLJCLC</w:t>
            </w:r>
            <w:r>
              <w:rPr>
                <w:rFonts w:hint="eastAsia" w:ascii="宋体" w:hAnsi="宋体" w:eastAsia="宋体"/>
                <w:color w:val="000000"/>
              </w:rPr>
              <w:t>B</w:t>
            </w:r>
            <w:r>
              <w:rPr>
                <w:rFonts w:hint="eastAsia" w:ascii="宋体" w:hAnsi="宋体" w:eastAsia="宋体"/>
                <w:color w:val="000000"/>
                <w:lang w:eastAsia="zh-Hans"/>
              </w:rPr>
              <w:t>SM</w:t>
            </w:r>
          </w:p>
        </w:tc>
        <w:tc>
          <w:tcPr>
            <w:tcW w:w="671" w:type="pct"/>
            <w:tcBorders>
              <w:top w:val="single" w:color="000000" w:sz="4" w:space="0"/>
              <w:left w:val="single" w:color="000000" w:sz="4" w:space="0"/>
              <w:bottom w:val="single" w:color="000000" w:sz="4" w:space="0"/>
              <w:right w:val="single" w:color="000000" w:sz="4" w:space="0"/>
            </w:tcBorders>
            <w:vAlign w:val="center"/>
          </w:tcPr>
          <w:p w14:paraId="351B10D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258B9B5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489DAF1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6F4AEB4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53</w:t>
            </w:r>
          </w:p>
        </w:tc>
      </w:tr>
      <w:tr w14:paraId="15A1998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BB8F3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tcBorders>
              <w:top w:val="single" w:color="000000" w:sz="4" w:space="0"/>
              <w:left w:val="single" w:color="000000" w:sz="4" w:space="0"/>
              <w:bottom w:val="single" w:color="000000" w:sz="4" w:space="0"/>
              <w:right w:val="single" w:color="000000" w:sz="4" w:space="0"/>
            </w:tcBorders>
            <w:vAlign w:val="center"/>
          </w:tcPr>
          <w:p w14:paraId="741D520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出场时间</w:t>
            </w:r>
          </w:p>
        </w:tc>
        <w:tc>
          <w:tcPr>
            <w:tcW w:w="607" w:type="pct"/>
            <w:tcBorders>
              <w:top w:val="single" w:color="000000" w:sz="4" w:space="0"/>
              <w:left w:val="single" w:color="000000" w:sz="4" w:space="0"/>
              <w:bottom w:val="single" w:color="000000" w:sz="4" w:space="0"/>
              <w:right w:val="single" w:color="000000" w:sz="4" w:space="0"/>
            </w:tcBorders>
            <w:vAlign w:val="center"/>
          </w:tcPr>
          <w:p w14:paraId="671C7F5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CCSJ</w:t>
            </w:r>
          </w:p>
        </w:tc>
        <w:tc>
          <w:tcPr>
            <w:tcW w:w="671" w:type="pct"/>
            <w:tcBorders>
              <w:top w:val="single" w:color="000000" w:sz="4" w:space="0"/>
              <w:left w:val="single" w:color="000000" w:sz="4" w:space="0"/>
              <w:bottom w:val="single" w:color="000000" w:sz="4" w:space="0"/>
              <w:right w:val="single" w:color="000000" w:sz="4" w:space="0"/>
            </w:tcBorders>
            <w:vAlign w:val="center"/>
          </w:tcPr>
          <w:p w14:paraId="65EC130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tcBorders>
              <w:top w:val="single" w:color="000000" w:sz="4" w:space="0"/>
              <w:left w:val="single" w:color="000000" w:sz="4" w:space="0"/>
              <w:bottom w:val="single" w:color="000000" w:sz="4" w:space="0"/>
              <w:right w:val="single" w:color="000000" w:sz="4" w:space="0"/>
            </w:tcBorders>
            <w:vAlign w:val="center"/>
          </w:tcPr>
          <w:p w14:paraId="7D7BF341">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588596A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706B2BA9">
            <w:pPr>
              <w:keepNext w:val="0"/>
              <w:keepLines w:val="0"/>
              <w:suppressLineNumbers w:val="0"/>
              <w:spacing w:before="0" w:beforeAutospacing="0" w:after="0" w:afterAutospacing="0"/>
              <w:ind w:left="0" w:right="0"/>
              <w:jc w:val="left"/>
              <w:rPr>
                <w:rFonts w:hint="eastAsia" w:ascii="宋体" w:hAnsi="宋体" w:eastAsia="宋体"/>
              </w:rPr>
            </w:pPr>
          </w:p>
        </w:tc>
      </w:tr>
      <w:tr w14:paraId="34B38584">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2A9F2A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8</w:t>
            </w:r>
          </w:p>
        </w:tc>
        <w:tc>
          <w:tcPr>
            <w:tcW w:w="848" w:type="pct"/>
            <w:tcBorders>
              <w:top w:val="single" w:color="000000" w:sz="4" w:space="0"/>
              <w:left w:val="single" w:color="000000" w:sz="4" w:space="0"/>
              <w:bottom w:val="single" w:color="000000" w:sz="4" w:space="0"/>
              <w:right w:val="single" w:color="000000" w:sz="4" w:space="0"/>
            </w:tcBorders>
            <w:vAlign w:val="center"/>
          </w:tcPr>
          <w:p w14:paraId="6EE5C6C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入场时间</w:t>
            </w:r>
          </w:p>
        </w:tc>
        <w:tc>
          <w:tcPr>
            <w:tcW w:w="607" w:type="pct"/>
            <w:tcBorders>
              <w:top w:val="single" w:color="000000" w:sz="4" w:space="0"/>
              <w:left w:val="single" w:color="000000" w:sz="4" w:space="0"/>
              <w:bottom w:val="single" w:color="000000" w:sz="4" w:space="0"/>
              <w:right w:val="single" w:color="000000" w:sz="4" w:space="0"/>
            </w:tcBorders>
            <w:vAlign w:val="center"/>
          </w:tcPr>
          <w:p w14:paraId="0531A10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RCSJ</w:t>
            </w:r>
          </w:p>
        </w:tc>
        <w:tc>
          <w:tcPr>
            <w:tcW w:w="671" w:type="pct"/>
            <w:tcBorders>
              <w:top w:val="single" w:color="000000" w:sz="4" w:space="0"/>
              <w:left w:val="single" w:color="000000" w:sz="4" w:space="0"/>
              <w:bottom w:val="single" w:color="000000" w:sz="4" w:space="0"/>
              <w:right w:val="single" w:color="000000" w:sz="4" w:space="0"/>
            </w:tcBorders>
            <w:vAlign w:val="center"/>
          </w:tcPr>
          <w:p w14:paraId="7409EE7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tcBorders>
              <w:top w:val="single" w:color="000000" w:sz="4" w:space="0"/>
              <w:left w:val="single" w:color="000000" w:sz="4" w:space="0"/>
              <w:bottom w:val="single" w:color="000000" w:sz="4" w:space="0"/>
              <w:right w:val="single" w:color="000000" w:sz="4" w:space="0"/>
            </w:tcBorders>
            <w:vAlign w:val="center"/>
          </w:tcPr>
          <w:p w14:paraId="00A44BEE">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7A8E38B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0D3AF4A8">
            <w:pPr>
              <w:keepNext w:val="0"/>
              <w:keepLines w:val="0"/>
              <w:suppressLineNumbers w:val="0"/>
              <w:spacing w:before="0" w:beforeAutospacing="0" w:after="0" w:afterAutospacing="0"/>
              <w:ind w:left="0" w:right="0"/>
              <w:jc w:val="left"/>
              <w:rPr>
                <w:rFonts w:hint="eastAsia" w:ascii="宋体" w:hAnsi="宋体" w:eastAsia="宋体"/>
              </w:rPr>
            </w:pPr>
          </w:p>
        </w:tc>
      </w:tr>
      <w:tr w14:paraId="6E6DC702">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DD2E80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9</w:t>
            </w:r>
          </w:p>
        </w:tc>
        <w:tc>
          <w:tcPr>
            <w:tcW w:w="848" w:type="pct"/>
            <w:tcBorders>
              <w:top w:val="single" w:color="000000" w:sz="4" w:space="0"/>
              <w:left w:val="single" w:color="000000" w:sz="4" w:space="0"/>
              <w:bottom w:val="single" w:color="000000" w:sz="4" w:space="0"/>
              <w:right w:val="single" w:color="000000" w:sz="4" w:space="0"/>
            </w:tcBorders>
            <w:vAlign w:val="center"/>
          </w:tcPr>
          <w:p w14:paraId="47F3887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运输量</w:t>
            </w:r>
          </w:p>
        </w:tc>
        <w:tc>
          <w:tcPr>
            <w:tcW w:w="607" w:type="pct"/>
            <w:tcBorders>
              <w:top w:val="single" w:color="000000" w:sz="4" w:space="0"/>
              <w:left w:val="single" w:color="000000" w:sz="4" w:space="0"/>
              <w:bottom w:val="single" w:color="000000" w:sz="4" w:space="0"/>
              <w:right w:val="single" w:color="000000" w:sz="4" w:space="0"/>
            </w:tcBorders>
            <w:vAlign w:val="center"/>
          </w:tcPr>
          <w:p w14:paraId="72B07DF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YSL</w:t>
            </w:r>
          </w:p>
        </w:tc>
        <w:tc>
          <w:tcPr>
            <w:tcW w:w="671" w:type="pct"/>
            <w:tcBorders>
              <w:top w:val="single" w:color="000000" w:sz="4" w:space="0"/>
              <w:left w:val="single" w:color="000000" w:sz="4" w:space="0"/>
              <w:bottom w:val="single" w:color="000000" w:sz="4" w:space="0"/>
              <w:right w:val="single" w:color="000000" w:sz="4" w:space="0"/>
            </w:tcBorders>
            <w:vAlign w:val="center"/>
          </w:tcPr>
          <w:p w14:paraId="56B4090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2D9BF753">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7A74330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7B0E55DF">
            <w:pPr>
              <w:keepNext w:val="0"/>
              <w:keepLines w:val="0"/>
              <w:suppressLineNumbers w:val="0"/>
              <w:spacing w:before="0" w:beforeAutospacing="0" w:after="0" w:afterAutospacing="0"/>
              <w:ind w:left="0" w:right="0"/>
              <w:jc w:val="left"/>
              <w:rPr>
                <w:rFonts w:hint="eastAsia" w:ascii="宋体" w:hAnsi="宋体" w:eastAsia="宋体"/>
              </w:rPr>
            </w:pPr>
          </w:p>
        </w:tc>
      </w:tr>
    </w:tbl>
    <w:p w14:paraId="4667538A">
      <w:pPr>
        <w:rPr>
          <w:rFonts w:hint="eastAsia" w:ascii="宋体" w:hAnsi="宋体" w:eastAsia="宋体"/>
          <w:lang w:eastAsia="zh-Hans"/>
        </w:rPr>
      </w:pPr>
    </w:p>
    <w:p w14:paraId="473D6C8B">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建筑垃圾运输违法处置主要数据项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674"/>
        <w:gridCol w:w="1056"/>
        <w:gridCol w:w="1056"/>
        <w:gridCol w:w="943"/>
        <w:gridCol w:w="963"/>
        <w:gridCol w:w="2250"/>
      </w:tblGrid>
      <w:tr w14:paraId="2630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2F2A139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0" w:type="auto"/>
            <w:tcBorders>
              <w:top w:val="single" w:color="auto" w:sz="4" w:space="0"/>
              <w:left w:val="single" w:color="auto" w:sz="4" w:space="0"/>
              <w:bottom w:val="single" w:color="auto" w:sz="4" w:space="0"/>
              <w:right w:val="single" w:color="auto" w:sz="4" w:space="0"/>
            </w:tcBorders>
            <w:vAlign w:val="center"/>
          </w:tcPr>
          <w:p w14:paraId="4FCB258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0" w:type="auto"/>
            <w:tcBorders>
              <w:top w:val="single" w:color="auto" w:sz="4" w:space="0"/>
              <w:left w:val="single" w:color="auto" w:sz="4" w:space="0"/>
              <w:bottom w:val="single" w:color="auto" w:sz="4" w:space="0"/>
              <w:right w:val="single" w:color="auto" w:sz="4" w:space="0"/>
            </w:tcBorders>
            <w:vAlign w:val="center"/>
          </w:tcPr>
          <w:p w14:paraId="34F3C77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0" w:type="auto"/>
            <w:tcBorders>
              <w:top w:val="single" w:color="auto" w:sz="4" w:space="0"/>
              <w:left w:val="single" w:color="auto" w:sz="4" w:space="0"/>
              <w:bottom w:val="single" w:color="auto" w:sz="4" w:space="0"/>
              <w:right w:val="single" w:color="auto" w:sz="4" w:space="0"/>
            </w:tcBorders>
            <w:vAlign w:val="center"/>
          </w:tcPr>
          <w:p w14:paraId="48EEED5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0" w:type="auto"/>
            <w:tcBorders>
              <w:top w:val="single" w:color="auto" w:sz="4" w:space="0"/>
              <w:left w:val="single" w:color="auto" w:sz="4" w:space="0"/>
              <w:bottom w:val="single" w:color="auto" w:sz="4" w:space="0"/>
              <w:right w:val="single" w:color="auto" w:sz="4" w:space="0"/>
            </w:tcBorders>
            <w:vAlign w:val="center"/>
          </w:tcPr>
          <w:p w14:paraId="6D78C3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0" w:type="auto"/>
            <w:tcBorders>
              <w:top w:val="single" w:color="auto" w:sz="4" w:space="0"/>
              <w:left w:val="single" w:color="auto" w:sz="4" w:space="0"/>
              <w:bottom w:val="single" w:color="auto" w:sz="4" w:space="0"/>
              <w:right w:val="single" w:color="auto" w:sz="4" w:space="0"/>
            </w:tcBorders>
          </w:tcPr>
          <w:p w14:paraId="76BD2C5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0" w:type="auto"/>
            <w:tcBorders>
              <w:top w:val="single" w:color="auto" w:sz="4" w:space="0"/>
              <w:left w:val="single" w:color="auto" w:sz="4" w:space="0"/>
              <w:bottom w:val="single" w:color="auto" w:sz="4" w:space="0"/>
              <w:right w:val="single" w:color="auto" w:sz="4" w:space="0"/>
            </w:tcBorders>
            <w:vAlign w:val="center"/>
          </w:tcPr>
          <w:p w14:paraId="3C85673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2BA2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555D8F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0" w:type="auto"/>
            <w:tcBorders>
              <w:top w:val="single" w:color="auto" w:sz="4" w:space="0"/>
              <w:left w:val="single" w:color="auto" w:sz="4" w:space="0"/>
              <w:bottom w:val="single" w:color="auto" w:sz="4" w:space="0"/>
              <w:right w:val="single" w:color="auto" w:sz="4" w:space="0"/>
            </w:tcBorders>
            <w:vAlign w:val="center"/>
          </w:tcPr>
          <w:p w14:paraId="159030F3">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行政区划代码</w:t>
            </w:r>
          </w:p>
        </w:tc>
        <w:tc>
          <w:tcPr>
            <w:tcW w:w="0" w:type="auto"/>
            <w:tcBorders>
              <w:top w:val="single" w:color="auto" w:sz="4" w:space="0"/>
              <w:left w:val="single" w:color="auto" w:sz="4" w:space="0"/>
              <w:bottom w:val="single" w:color="auto" w:sz="4" w:space="0"/>
              <w:right w:val="single" w:color="auto" w:sz="4" w:space="0"/>
            </w:tcBorders>
            <w:vAlign w:val="center"/>
          </w:tcPr>
          <w:p w14:paraId="471A03E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0" w:type="auto"/>
            <w:tcBorders>
              <w:top w:val="single" w:color="auto" w:sz="4" w:space="0"/>
              <w:left w:val="single" w:color="auto" w:sz="4" w:space="0"/>
              <w:bottom w:val="single" w:color="auto" w:sz="4" w:space="0"/>
              <w:right w:val="single" w:color="auto" w:sz="4" w:space="0"/>
            </w:tcBorders>
            <w:vAlign w:val="center"/>
          </w:tcPr>
          <w:p w14:paraId="6E47F72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0" w:type="auto"/>
            <w:tcBorders>
              <w:top w:val="single" w:color="auto" w:sz="4" w:space="0"/>
              <w:left w:val="single" w:color="auto" w:sz="4" w:space="0"/>
              <w:bottom w:val="single" w:color="auto" w:sz="4" w:space="0"/>
              <w:right w:val="single" w:color="auto" w:sz="4" w:space="0"/>
            </w:tcBorders>
            <w:vAlign w:val="center"/>
          </w:tcPr>
          <w:p w14:paraId="1F14521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0" w:type="auto"/>
            <w:tcBorders>
              <w:top w:val="single" w:color="auto" w:sz="4" w:space="0"/>
              <w:left w:val="single" w:color="auto" w:sz="4" w:space="0"/>
              <w:bottom w:val="single" w:color="auto" w:sz="4" w:space="0"/>
              <w:right w:val="single" w:color="auto" w:sz="4" w:space="0"/>
            </w:tcBorders>
            <w:vAlign w:val="center"/>
          </w:tcPr>
          <w:p w14:paraId="2A3499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0" w:type="auto"/>
            <w:tcBorders>
              <w:top w:val="single" w:color="auto" w:sz="4" w:space="0"/>
              <w:left w:val="single" w:color="auto" w:sz="4" w:space="0"/>
              <w:bottom w:val="single" w:color="auto" w:sz="4" w:space="0"/>
              <w:right w:val="single" w:color="auto" w:sz="4" w:space="0"/>
            </w:tcBorders>
            <w:vAlign w:val="center"/>
          </w:tcPr>
          <w:p w14:paraId="2607714B">
            <w:pPr>
              <w:keepNext w:val="0"/>
              <w:keepLines w:val="0"/>
              <w:widowControl/>
              <w:suppressLineNumbers w:val="0"/>
              <w:spacing w:before="0" w:beforeAutospacing="0" w:after="0" w:afterAutospacing="0"/>
              <w:ind w:left="0" w:right="0" w:firstLine="48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2EAA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3C8E9A9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0" w:type="auto"/>
            <w:tcBorders>
              <w:top w:val="single" w:color="auto" w:sz="4" w:space="0"/>
              <w:left w:val="single" w:color="auto" w:sz="4" w:space="0"/>
              <w:bottom w:val="single" w:color="auto" w:sz="4" w:space="0"/>
              <w:right w:val="single" w:color="auto" w:sz="4" w:space="0"/>
            </w:tcBorders>
            <w:vAlign w:val="center"/>
          </w:tcPr>
          <w:p w14:paraId="263FEC8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车牌号</w:t>
            </w:r>
          </w:p>
        </w:tc>
        <w:tc>
          <w:tcPr>
            <w:tcW w:w="0" w:type="auto"/>
            <w:tcBorders>
              <w:top w:val="single" w:color="auto" w:sz="4" w:space="0"/>
              <w:left w:val="single" w:color="auto" w:sz="4" w:space="0"/>
              <w:bottom w:val="single" w:color="auto" w:sz="4" w:space="0"/>
              <w:right w:val="single" w:color="auto" w:sz="4" w:space="0"/>
            </w:tcBorders>
            <w:vAlign w:val="center"/>
          </w:tcPr>
          <w:p w14:paraId="2925E25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CPH</w:t>
            </w:r>
          </w:p>
        </w:tc>
        <w:tc>
          <w:tcPr>
            <w:tcW w:w="0" w:type="auto"/>
            <w:tcBorders>
              <w:top w:val="single" w:color="auto" w:sz="4" w:space="0"/>
              <w:left w:val="single" w:color="auto" w:sz="4" w:space="0"/>
              <w:bottom w:val="single" w:color="auto" w:sz="4" w:space="0"/>
              <w:right w:val="single" w:color="auto" w:sz="4" w:space="0"/>
            </w:tcBorders>
            <w:vAlign w:val="center"/>
          </w:tcPr>
          <w:p w14:paraId="182A66D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14:paraId="598C10B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0" w:type="auto"/>
            <w:tcBorders>
              <w:top w:val="single" w:color="auto" w:sz="4" w:space="0"/>
              <w:left w:val="single" w:color="auto" w:sz="4" w:space="0"/>
              <w:bottom w:val="single" w:color="auto" w:sz="4" w:space="0"/>
              <w:right w:val="single" w:color="auto" w:sz="4" w:space="0"/>
            </w:tcBorders>
            <w:vAlign w:val="center"/>
          </w:tcPr>
          <w:p w14:paraId="5D39505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4E80D02A">
            <w:pPr>
              <w:keepNext w:val="0"/>
              <w:keepLines w:val="0"/>
              <w:suppressLineNumbers w:val="0"/>
              <w:spacing w:before="0" w:beforeAutospacing="0" w:after="0" w:afterAutospacing="0"/>
              <w:ind w:left="0" w:right="0"/>
              <w:jc w:val="left"/>
              <w:rPr>
                <w:rFonts w:hint="eastAsia" w:ascii="宋体" w:hAnsi="宋体" w:eastAsia="宋体"/>
              </w:rPr>
            </w:pPr>
          </w:p>
        </w:tc>
      </w:tr>
      <w:tr w14:paraId="7CF0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707539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0" w:type="auto"/>
            <w:tcBorders>
              <w:top w:val="single" w:color="auto" w:sz="4" w:space="0"/>
              <w:left w:val="single" w:color="auto" w:sz="4" w:space="0"/>
              <w:bottom w:val="single" w:color="auto" w:sz="4" w:space="0"/>
              <w:right w:val="single" w:color="auto" w:sz="4" w:space="0"/>
            </w:tcBorders>
            <w:vAlign w:val="center"/>
          </w:tcPr>
          <w:p w14:paraId="39C6345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运输司机</w:t>
            </w:r>
            <w:r>
              <w:rPr>
                <w:rFonts w:hint="eastAsia" w:ascii="宋体" w:hAnsi="宋体" w:eastAsia="宋体"/>
                <w:color w:val="000000"/>
                <w:lang w:eastAsia="zh-Hans"/>
              </w:rPr>
              <w:t>驾驶证号</w:t>
            </w:r>
          </w:p>
        </w:tc>
        <w:tc>
          <w:tcPr>
            <w:tcW w:w="0" w:type="auto"/>
            <w:tcBorders>
              <w:top w:val="single" w:color="auto" w:sz="4" w:space="0"/>
              <w:left w:val="single" w:color="auto" w:sz="4" w:space="0"/>
              <w:bottom w:val="single" w:color="auto" w:sz="4" w:space="0"/>
              <w:right w:val="single" w:color="auto" w:sz="4" w:space="0"/>
            </w:tcBorders>
            <w:vAlign w:val="center"/>
          </w:tcPr>
          <w:p w14:paraId="57EF18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YSSJ</w:t>
            </w:r>
            <w:r>
              <w:rPr>
                <w:rFonts w:hint="eastAsia" w:ascii="宋体" w:hAnsi="宋体" w:eastAsia="宋体"/>
                <w:color w:val="000000"/>
                <w:lang w:eastAsia="zh-Hans"/>
              </w:rPr>
              <w:t>JSZH</w:t>
            </w:r>
          </w:p>
        </w:tc>
        <w:tc>
          <w:tcPr>
            <w:tcW w:w="0" w:type="auto"/>
            <w:tcBorders>
              <w:top w:val="single" w:color="auto" w:sz="4" w:space="0"/>
              <w:left w:val="single" w:color="auto" w:sz="4" w:space="0"/>
              <w:bottom w:val="single" w:color="auto" w:sz="4" w:space="0"/>
              <w:right w:val="single" w:color="auto" w:sz="4" w:space="0"/>
            </w:tcBorders>
            <w:vAlign w:val="center"/>
          </w:tcPr>
          <w:p w14:paraId="150277A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14:paraId="236E55F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0" w:type="auto"/>
            <w:tcBorders>
              <w:top w:val="single" w:color="auto" w:sz="4" w:space="0"/>
              <w:left w:val="single" w:color="auto" w:sz="4" w:space="0"/>
              <w:bottom w:val="single" w:color="auto" w:sz="4" w:space="0"/>
              <w:right w:val="single" w:color="auto" w:sz="4" w:space="0"/>
            </w:tcBorders>
            <w:vAlign w:val="center"/>
          </w:tcPr>
          <w:p w14:paraId="06F94DA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0CF5399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证号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51</w:t>
            </w:r>
          </w:p>
        </w:tc>
      </w:tr>
      <w:tr w14:paraId="56D4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4D80D63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0" w:type="auto"/>
            <w:tcBorders>
              <w:top w:val="single" w:color="auto" w:sz="4" w:space="0"/>
              <w:left w:val="single" w:color="auto" w:sz="4" w:space="0"/>
              <w:bottom w:val="single" w:color="auto" w:sz="4" w:space="0"/>
              <w:right w:val="single" w:color="auto" w:sz="4" w:space="0"/>
            </w:tcBorders>
            <w:vAlign w:val="center"/>
          </w:tcPr>
          <w:p w14:paraId="632E097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违章时间</w:t>
            </w:r>
          </w:p>
        </w:tc>
        <w:tc>
          <w:tcPr>
            <w:tcW w:w="0" w:type="auto"/>
            <w:tcBorders>
              <w:top w:val="single" w:color="auto" w:sz="4" w:space="0"/>
              <w:left w:val="single" w:color="auto" w:sz="4" w:space="0"/>
              <w:bottom w:val="single" w:color="auto" w:sz="4" w:space="0"/>
              <w:right w:val="single" w:color="auto" w:sz="4" w:space="0"/>
            </w:tcBorders>
            <w:vAlign w:val="center"/>
          </w:tcPr>
          <w:p w14:paraId="36EA409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WZSJ</w:t>
            </w:r>
          </w:p>
        </w:tc>
        <w:tc>
          <w:tcPr>
            <w:tcW w:w="0" w:type="auto"/>
            <w:tcBorders>
              <w:top w:val="single" w:color="auto" w:sz="4" w:space="0"/>
              <w:left w:val="single" w:color="auto" w:sz="4" w:space="0"/>
              <w:bottom w:val="single" w:color="auto" w:sz="4" w:space="0"/>
              <w:right w:val="single" w:color="auto" w:sz="4" w:space="0"/>
            </w:tcBorders>
            <w:vAlign w:val="center"/>
          </w:tcPr>
          <w:p w14:paraId="142F436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0" w:type="auto"/>
            <w:tcBorders>
              <w:top w:val="single" w:color="auto" w:sz="4" w:space="0"/>
              <w:left w:val="single" w:color="auto" w:sz="4" w:space="0"/>
              <w:bottom w:val="single" w:color="auto" w:sz="4" w:space="0"/>
              <w:right w:val="single" w:color="auto" w:sz="4" w:space="0"/>
            </w:tcBorders>
            <w:vAlign w:val="center"/>
          </w:tcPr>
          <w:p w14:paraId="47DB061E">
            <w:pPr>
              <w:keepNext w:val="0"/>
              <w:keepLines w:val="0"/>
              <w:suppressLineNumbers w:val="0"/>
              <w:spacing w:before="0" w:beforeAutospacing="0" w:after="0" w:afterAutospacing="0"/>
              <w:ind w:left="0" w:right="0"/>
              <w:jc w:val="center"/>
              <w:rPr>
                <w:rFonts w:hint="eastAsia" w:ascii="宋体" w:hAnsi="宋体" w:eastAsia="宋体"/>
              </w:rPr>
            </w:pPr>
          </w:p>
        </w:tc>
        <w:tc>
          <w:tcPr>
            <w:tcW w:w="0" w:type="auto"/>
            <w:tcBorders>
              <w:top w:val="single" w:color="auto" w:sz="4" w:space="0"/>
              <w:left w:val="single" w:color="auto" w:sz="4" w:space="0"/>
              <w:bottom w:val="single" w:color="auto" w:sz="4" w:space="0"/>
              <w:right w:val="single" w:color="auto" w:sz="4" w:space="0"/>
            </w:tcBorders>
            <w:vAlign w:val="center"/>
          </w:tcPr>
          <w:p w14:paraId="1E162B7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2B652C07">
            <w:pPr>
              <w:keepNext w:val="0"/>
              <w:keepLines w:val="0"/>
              <w:suppressLineNumbers w:val="0"/>
              <w:spacing w:before="0" w:beforeAutospacing="0" w:after="0" w:afterAutospacing="0"/>
              <w:ind w:left="0" w:right="0"/>
              <w:jc w:val="left"/>
              <w:rPr>
                <w:rFonts w:hint="eastAsia" w:ascii="宋体" w:hAnsi="宋体" w:eastAsia="宋体"/>
                <w:lang w:eastAsia="zh-Hans"/>
              </w:rPr>
            </w:pPr>
          </w:p>
        </w:tc>
      </w:tr>
      <w:tr w14:paraId="3F47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5C34B06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0" w:type="auto"/>
            <w:tcBorders>
              <w:top w:val="single" w:color="auto" w:sz="4" w:space="0"/>
              <w:left w:val="single" w:color="auto" w:sz="4" w:space="0"/>
              <w:bottom w:val="single" w:color="auto" w:sz="4" w:space="0"/>
              <w:right w:val="single" w:color="auto" w:sz="4" w:space="0"/>
            </w:tcBorders>
            <w:vAlign w:val="center"/>
          </w:tcPr>
          <w:p w14:paraId="1451AC6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处罚信息</w:t>
            </w:r>
          </w:p>
        </w:tc>
        <w:tc>
          <w:tcPr>
            <w:tcW w:w="0" w:type="auto"/>
            <w:tcBorders>
              <w:top w:val="single" w:color="auto" w:sz="4" w:space="0"/>
              <w:left w:val="single" w:color="auto" w:sz="4" w:space="0"/>
              <w:bottom w:val="single" w:color="auto" w:sz="4" w:space="0"/>
              <w:right w:val="single" w:color="auto" w:sz="4" w:space="0"/>
            </w:tcBorders>
            <w:vAlign w:val="center"/>
          </w:tcPr>
          <w:p w14:paraId="0136C1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CFXX</w:t>
            </w:r>
          </w:p>
        </w:tc>
        <w:tc>
          <w:tcPr>
            <w:tcW w:w="0" w:type="auto"/>
            <w:tcBorders>
              <w:top w:val="single" w:color="auto" w:sz="4" w:space="0"/>
              <w:left w:val="single" w:color="auto" w:sz="4" w:space="0"/>
              <w:bottom w:val="single" w:color="auto" w:sz="4" w:space="0"/>
              <w:right w:val="single" w:color="auto" w:sz="4" w:space="0"/>
            </w:tcBorders>
            <w:vAlign w:val="center"/>
          </w:tcPr>
          <w:p w14:paraId="01D7141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14:paraId="398F332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1000</w:t>
            </w:r>
          </w:p>
        </w:tc>
        <w:tc>
          <w:tcPr>
            <w:tcW w:w="0" w:type="auto"/>
            <w:tcBorders>
              <w:top w:val="single" w:color="auto" w:sz="4" w:space="0"/>
              <w:left w:val="single" w:color="auto" w:sz="4" w:space="0"/>
              <w:bottom w:val="single" w:color="auto" w:sz="4" w:space="0"/>
              <w:right w:val="single" w:color="auto" w:sz="4" w:space="0"/>
            </w:tcBorders>
            <w:vAlign w:val="center"/>
          </w:tcPr>
          <w:p w14:paraId="7ABF81C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3193D048">
            <w:pPr>
              <w:keepNext w:val="0"/>
              <w:keepLines w:val="0"/>
              <w:suppressLineNumbers w:val="0"/>
              <w:spacing w:before="0" w:beforeAutospacing="0" w:after="0" w:afterAutospacing="0"/>
              <w:ind w:left="0" w:right="0"/>
              <w:jc w:val="left"/>
              <w:rPr>
                <w:rFonts w:hint="eastAsia" w:ascii="宋体" w:hAnsi="宋体" w:eastAsia="宋体"/>
              </w:rPr>
            </w:pPr>
          </w:p>
        </w:tc>
      </w:tr>
      <w:tr w14:paraId="4A24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3F6C756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0" w:type="auto"/>
            <w:tcBorders>
              <w:top w:val="single" w:color="auto" w:sz="4" w:space="0"/>
              <w:left w:val="single" w:color="auto" w:sz="4" w:space="0"/>
              <w:bottom w:val="single" w:color="auto" w:sz="4" w:space="0"/>
              <w:right w:val="single" w:color="auto" w:sz="4" w:space="0"/>
            </w:tcBorders>
            <w:vAlign w:val="center"/>
          </w:tcPr>
          <w:p w14:paraId="70AD2ED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违章地点</w:t>
            </w:r>
          </w:p>
        </w:tc>
        <w:tc>
          <w:tcPr>
            <w:tcW w:w="0" w:type="auto"/>
            <w:tcBorders>
              <w:top w:val="single" w:color="auto" w:sz="4" w:space="0"/>
              <w:left w:val="single" w:color="auto" w:sz="4" w:space="0"/>
              <w:bottom w:val="single" w:color="auto" w:sz="4" w:space="0"/>
              <w:right w:val="single" w:color="auto" w:sz="4" w:space="0"/>
            </w:tcBorders>
            <w:vAlign w:val="center"/>
          </w:tcPr>
          <w:p w14:paraId="7F40B1E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WZDD</w:t>
            </w:r>
          </w:p>
        </w:tc>
        <w:tc>
          <w:tcPr>
            <w:tcW w:w="0" w:type="auto"/>
            <w:tcBorders>
              <w:top w:val="single" w:color="auto" w:sz="4" w:space="0"/>
              <w:left w:val="single" w:color="auto" w:sz="4" w:space="0"/>
              <w:bottom w:val="single" w:color="auto" w:sz="4" w:space="0"/>
              <w:right w:val="single" w:color="auto" w:sz="4" w:space="0"/>
            </w:tcBorders>
            <w:vAlign w:val="center"/>
          </w:tcPr>
          <w:p w14:paraId="0E7ED2A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14:paraId="5D8914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0" w:type="auto"/>
            <w:tcBorders>
              <w:top w:val="single" w:color="auto" w:sz="4" w:space="0"/>
              <w:left w:val="single" w:color="auto" w:sz="4" w:space="0"/>
              <w:bottom w:val="single" w:color="auto" w:sz="4" w:space="0"/>
              <w:right w:val="single" w:color="auto" w:sz="4" w:space="0"/>
            </w:tcBorders>
            <w:vAlign w:val="center"/>
          </w:tcPr>
          <w:p w14:paraId="0AEC4B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4F74C7DF">
            <w:pPr>
              <w:keepNext w:val="0"/>
              <w:keepLines w:val="0"/>
              <w:suppressLineNumbers w:val="0"/>
              <w:spacing w:before="0" w:beforeAutospacing="0" w:after="0" w:afterAutospacing="0"/>
              <w:ind w:left="0" w:right="0"/>
              <w:jc w:val="left"/>
              <w:rPr>
                <w:rFonts w:hint="eastAsia" w:ascii="宋体" w:hAnsi="宋体" w:eastAsia="宋体"/>
              </w:rPr>
            </w:pPr>
          </w:p>
        </w:tc>
      </w:tr>
    </w:tbl>
    <w:p w14:paraId="432911F2">
      <w:pPr>
        <w:pStyle w:val="463"/>
        <w:numPr>
          <w:ilvl w:val="3"/>
          <w:numId w:val="0"/>
        </w:numPr>
        <w:spacing w:beforeLines="0" w:afterLines="0"/>
        <w:rPr>
          <w:rFonts w:hint="eastAsia" w:ascii="宋体" w:hAnsi="宋体" w:eastAsia="宋体"/>
          <w:lang w:eastAsia="zh-Hans"/>
        </w:rPr>
      </w:pPr>
    </w:p>
    <w:p w14:paraId="513C310E">
      <w:pPr>
        <w:pStyle w:val="47"/>
        <w:numPr>
          <w:ilvl w:val="0"/>
          <w:numId w:val="127"/>
        </w:numPr>
        <w:ind w:left="1260" w:firstLine="480" w:firstLineChars="200"/>
        <w:rPr>
          <w:rFonts w:hint="eastAsia" w:ascii="宋体" w:hAnsi="宋体"/>
          <w:sz w:val="24"/>
          <w:szCs w:val="24"/>
          <w:lang w:eastAsia="zh-Hans"/>
        </w:rPr>
      </w:pPr>
      <w:r>
        <w:rPr>
          <w:rFonts w:hint="eastAsia" w:ascii="宋体" w:hAnsi="宋体"/>
          <w:sz w:val="24"/>
          <w:szCs w:val="24"/>
          <w:lang w:eastAsia="zh-Hans"/>
        </w:rPr>
        <w:t>户外广告</w:t>
      </w:r>
      <w:r>
        <w:rPr>
          <w:rFonts w:ascii="宋体" w:hAnsi="宋体"/>
          <w:sz w:val="24"/>
          <w:szCs w:val="24"/>
          <w:lang w:eastAsia="zh-Hans"/>
        </w:rPr>
        <w:t>（</w:t>
      </w:r>
      <w:r>
        <w:rPr>
          <w:rFonts w:hint="eastAsia" w:ascii="宋体" w:hAnsi="宋体"/>
          <w:sz w:val="24"/>
          <w:szCs w:val="24"/>
          <w:lang w:eastAsia="zh-Hans"/>
        </w:rPr>
        <w:t>招牌</w:t>
      </w:r>
      <w:r>
        <w:rPr>
          <w:rFonts w:ascii="宋体" w:hAnsi="宋体"/>
          <w:sz w:val="24"/>
          <w:szCs w:val="24"/>
          <w:lang w:eastAsia="zh-Hans"/>
        </w:rPr>
        <w:t>）</w:t>
      </w:r>
    </w:p>
    <w:p w14:paraId="1D5BDD77">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户外广告</w:t>
      </w:r>
      <w:r>
        <w:rPr>
          <w:rFonts w:ascii="宋体" w:hAnsi="宋体" w:cs="黑体"/>
          <w:szCs w:val="21"/>
          <w:lang w:eastAsia="zh-Hans"/>
        </w:rPr>
        <w:t>（</w:t>
      </w:r>
      <w:r>
        <w:rPr>
          <w:rFonts w:hint="eastAsia" w:ascii="宋体" w:hAnsi="宋体" w:cs="黑体"/>
          <w:szCs w:val="21"/>
          <w:lang w:eastAsia="zh-Hans"/>
        </w:rPr>
        <w:t>招牌</w:t>
      </w:r>
      <w:r>
        <w:rPr>
          <w:rFonts w:ascii="宋体" w:hAnsi="宋体" w:cs="黑体"/>
          <w:szCs w:val="21"/>
          <w:lang w:eastAsia="zh-Hans"/>
        </w:rPr>
        <w:t>）</w:t>
      </w:r>
      <w:r>
        <w:rPr>
          <w:rFonts w:hint="eastAsia" w:ascii="宋体" w:hAnsi="宋体" w:cs="黑体"/>
          <w:szCs w:val="21"/>
          <w:lang w:eastAsia="zh-Hans"/>
        </w:rPr>
        <w:t>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1613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5B45EEF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85" w:type="pct"/>
            <w:tcBorders>
              <w:top w:val="single" w:color="auto" w:sz="4" w:space="0"/>
              <w:left w:val="single" w:color="auto" w:sz="4" w:space="0"/>
              <w:bottom w:val="single" w:color="auto" w:sz="4" w:space="0"/>
              <w:right w:val="single" w:color="auto" w:sz="4" w:space="0"/>
            </w:tcBorders>
            <w:vAlign w:val="center"/>
          </w:tcPr>
          <w:p w14:paraId="27670D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668" w:type="pct"/>
            <w:tcBorders>
              <w:top w:val="single" w:color="auto" w:sz="4" w:space="0"/>
              <w:left w:val="single" w:color="auto" w:sz="4" w:space="0"/>
              <w:bottom w:val="single" w:color="auto" w:sz="4" w:space="0"/>
              <w:right w:val="single" w:color="auto" w:sz="4" w:space="0"/>
            </w:tcBorders>
            <w:vAlign w:val="center"/>
          </w:tcPr>
          <w:p w14:paraId="1FA7C87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22" w:type="pct"/>
            <w:tcBorders>
              <w:top w:val="single" w:color="auto" w:sz="4" w:space="0"/>
              <w:left w:val="single" w:color="auto" w:sz="4" w:space="0"/>
              <w:bottom w:val="single" w:color="auto" w:sz="4" w:space="0"/>
              <w:right w:val="single" w:color="auto" w:sz="4" w:space="0"/>
            </w:tcBorders>
            <w:vAlign w:val="center"/>
          </w:tcPr>
          <w:p w14:paraId="4B3B61F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45" w:type="pct"/>
            <w:tcBorders>
              <w:top w:val="single" w:color="auto" w:sz="4" w:space="0"/>
              <w:left w:val="single" w:color="auto" w:sz="4" w:space="0"/>
              <w:bottom w:val="single" w:color="auto" w:sz="4" w:space="0"/>
              <w:right w:val="single" w:color="auto" w:sz="4" w:space="0"/>
            </w:tcBorders>
            <w:vAlign w:val="center"/>
          </w:tcPr>
          <w:p w14:paraId="11460C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35" w:type="pct"/>
            <w:tcBorders>
              <w:top w:val="single" w:color="auto" w:sz="4" w:space="0"/>
              <w:left w:val="single" w:color="auto" w:sz="4" w:space="0"/>
              <w:bottom w:val="single" w:color="auto" w:sz="4" w:space="0"/>
              <w:right w:val="single" w:color="auto" w:sz="4" w:space="0"/>
            </w:tcBorders>
          </w:tcPr>
          <w:p w14:paraId="7D7CF5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20" w:type="pct"/>
            <w:tcBorders>
              <w:top w:val="single" w:color="auto" w:sz="4" w:space="0"/>
              <w:left w:val="single" w:color="auto" w:sz="4" w:space="0"/>
              <w:bottom w:val="single" w:color="auto" w:sz="4" w:space="0"/>
              <w:right w:val="single" w:color="auto" w:sz="4" w:space="0"/>
            </w:tcBorders>
            <w:vAlign w:val="center"/>
          </w:tcPr>
          <w:p w14:paraId="74C3113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66FA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477C067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85" w:type="pct"/>
            <w:tcBorders>
              <w:top w:val="single" w:color="auto" w:sz="4" w:space="0"/>
              <w:left w:val="single" w:color="auto" w:sz="4" w:space="0"/>
              <w:bottom w:val="single" w:color="auto" w:sz="4" w:space="0"/>
              <w:right w:val="single" w:color="auto" w:sz="4" w:space="0"/>
            </w:tcBorders>
            <w:vAlign w:val="center"/>
          </w:tcPr>
          <w:p w14:paraId="719B263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668" w:type="pct"/>
            <w:tcBorders>
              <w:top w:val="single" w:color="auto" w:sz="4" w:space="0"/>
              <w:left w:val="single" w:color="auto" w:sz="4" w:space="0"/>
              <w:bottom w:val="single" w:color="auto" w:sz="4" w:space="0"/>
              <w:right w:val="single" w:color="auto" w:sz="4" w:space="0"/>
            </w:tcBorders>
            <w:vAlign w:val="center"/>
          </w:tcPr>
          <w:p w14:paraId="2C9788F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BSM</w:t>
            </w:r>
          </w:p>
        </w:tc>
        <w:tc>
          <w:tcPr>
            <w:tcW w:w="722" w:type="pct"/>
            <w:tcBorders>
              <w:top w:val="single" w:color="auto" w:sz="4" w:space="0"/>
              <w:left w:val="single" w:color="auto" w:sz="4" w:space="0"/>
              <w:bottom w:val="single" w:color="auto" w:sz="4" w:space="0"/>
              <w:right w:val="single" w:color="auto" w:sz="4" w:space="0"/>
            </w:tcBorders>
            <w:vAlign w:val="center"/>
          </w:tcPr>
          <w:p w14:paraId="03F059C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3EF473A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535" w:type="pct"/>
            <w:tcBorders>
              <w:top w:val="single" w:color="auto" w:sz="4" w:space="0"/>
              <w:left w:val="single" w:color="auto" w:sz="4" w:space="0"/>
              <w:bottom w:val="single" w:color="auto" w:sz="4" w:space="0"/>
              <w:right w:val="single" w:color="auto" w:sz="4" w:space="0"/>
            </w:tcBorders>
            <w:vAlign w:val="center"/>
          </w:tcPr>
          <w:p w14:paraId="16FFCE6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120" w:type="pct"/>
            <w:tcBorders>
              <w:top w:val="single" w:color="auto" w:sz="4" w:space="0"/>
              <w:left w:val="single" w:color="auto" w:sz="4" w:space="0"/>
              <w:bottom w:val="single" w:color="auto" w:sz="4" w:space="0"/>
              <w:right w:val="single" w:color="auto" w:sz="4" w:space="0"/>
            </w:tcBorders>
            <w:vAlign w:val="center"/>
          </w:tcPr>
          <w:p w14:paraId="68977081">
            <w:pPr>
              <w:keepNext w:val="0"/>
              <w:keepLines w:val="0"/>
              <w:suppressLineNumbers w:val="0"/>
              <w:spacing w:before="0" w:beforeAutospacing="0" w:after="0" w:afterAutospacing="0"/>
              <w:ind w:left="0" w:right="0"/>
              <w:jc w:val="center"/>
              <w:rPr>
                <w:rFonts w:hint="eastAsia" w:ascii="宋体" w:hAnsi="宋体" w:eastAsia="宋体"/>
              </w:rPr>
            </w:pPr>
          </w:p>
        </w:tc>
      </w:tr>
      <w:tr w14:paraId="2A36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368884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85" w:type="pct"/>
            <w:tcBorders>
              <w:top w:val="single" w:color="auto" w:sz="4" w:space="0"/>
              <w:left w:val="single" w:color="auto" w:sz="4" w:space="0"/>
              <w:bottom w:val="single" w:color="auto" w:sz="4" w:space="0"/>
              <w:right w:val="single" w:color="auto" w:sz="4" w:space="0"/>
            </w:tcBorders>
            <w:vAlign w:val="center"/>
          </w:tcPr>
          <w:p w14:paraId="5052851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名称</w:t>
            </w:r>
          </w:p>
        </w:tc>
        <w:tc>
          <w:tcPr>
            <w:tcW w:w="668" w:type="pct"/>
            <w:tcBorders>
              <w:top w:val="single" w:color="auto" w:sz="4" w:space="0"/>
              <w:left w:val="single" w:color="auto" w:sz="4" w:space="0"/>
              <w:bottom w:val="single" w:color="auto" w:sz="4" w:space="0"/>
              <w:right w:val="single" w:color="auto" w:sz="4" w:space="0"/>
            </w:tcBorders>
            <w:vAlign w:val="center"/>
          </w:tcPr>
          <w:p w14:paraId="54D76CB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MC</w:t>
            </w:r>
          </w:p>
        </w:tc>
        <w:tc>
          <w:tcPr>
            <w:tcW w:w="722" w:type="pct"/>
            <w:tcBorders>
              <w:top w:val="single" w:color="auto" w:sz="4" w:space="0"/>
              <w:left w:val="single" w:color="auto" w:sz="4" w:space="0"/>
              <w:bottom w:val="single" w:color="auto" w:sz="4" w:space="0"/>
              <w:right w:val="single" w:color="auto" w:sz="4" w:space="0"/>
            </w:tcBorders>
            <w:vAlign w:val="center"/>
          </w:tcPr>
          <w:p w14:paraId="0654D72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5B1B1A5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w:t>
            </w:r>
          </w:p>
        </w:tc>
        <w:tc>
          <w:tcPr>
            <w:tcW w:w="535" w:type="pct"/>
            <w:tcBorders>
              <w:top w:val="single" w:color="auto" w:sz="4" w:space="0"/>
              <w:left w:val="single" w:color="auto" w:sz="4" w:space="0"/>
              <w:bottom w:val="single" w:color="auto" w:sz="4" w:space="0"/>
              <w:right w:val="single" w:color="auto" w:sz="4" w:space="0"/>
            </w:tcBorders>
            <w:vAlign w:val="center"/>
          </w:tcPr>
          <w:p w14:paraId="681B190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64C40571">
            <w:pPr>
              <w:keepNext w:val="0"/>
              <w:keepLines w:val="0"/>
              <w:suppressLineNumbers w:val="0"/>
              <w:spacing w:before="0" w:beforeAutospacing="0" w:after="0" w:afterAutospacing="0"/>
              <w:ind w:left="0" w:right="0"/>
              <w:jc w:val="left"/>
              <w:rPr>
                <w:rFonts w:hint="eastAsia" w:ascii="宋体" w:hAnsi="宋体" w:eastAsia="宋体"/>
              </w:rPr>
            </w:pPr>
          </w:p>
        </w:tc>
      </w:tr>
      <w:tr w14:paraId="7503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1E6BDFD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85" w:type="pct"/>
            <w:tcBorders>
              <w:top w:val="single" w:color="auto" w:sz="4" w:space="0"/>
              <w:left w:val="single" w:color="auto" w:sz="4" w:space="0"/>
              <w:bottom w:val="single" w:color="auto" w:sz="4" w:space="0"/>
              <w:right w:val="single" w:color="auto" w:sz="4" w:space="0"/>
            </w:tcBorders>
            <w:vAlign w:val="center"/>
          </w:tcPr>
          <w:p w14:paraId="7EE6F91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地址</w:t>
            </w:r>
          </w:p>
        </w:tc>
        <w:tc>
          <w:tcPr>
            <w:tcW w:w="668" w:type="pct"/>
            <w:tcBorders>
              <w:top w:val="single" w:color="auto" w:sz="4" w:space="0"/>
              <w:left w:val="single" w:color="auto" w:sz="4" w:space="0"/>
              <w:bottom w:val="single" w:color="auto" w:sz="4" w:space="0"/>
              <w:right w:val="single" w:color="auto" w:sz="4" w:space="0"/>
            </w:tcBorders>
            <w:vAlign w:val="center"/>
          </w:tcPr>
          <w:p w14:paraId="5658185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DZ</w:t>
            </w:r>
          </w:p>
        </w:tc>
        <w:tc>
          <w:tcPr>
            <w:tcW w:w="722" w:type="pct"/>
            <w:tcBorders>
              <w:top w:val="single" w:color="auto" w:sz="4" w:space="0"/>
              <w:left w:val="single" w:color="auto" w:sz="4" w:space="0"/>
              <w:bottom w:val="single" w:color="auto" w:sz="4" w:space="0"/>
              <w:right w:val="single" w:color="auto" w:sz="4" w:space="0"/>
            </w:tcBorders>
            <w:vAlign w:val="center"/>
          </w:tcPr>
          <w:p w14:paraId="736331E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7ECC52A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35" w:type="pct"/>
            <w:tcBorders>
              <w:top w:val="single" w:color="auto" w:sz="4" w:space="0"/>
              <w:left w:val="single" w:color="auto" w:sz="4" w:space="0"/>
              <w:bottom w:val="single" w:color="auto" w:sz="4" w:space="0"/>
              <w:right w:val="single" w:color="auto" w:sz="4" w:space="0"/>
            </w:tcBorders>
            <w:vAlign w:val="center"/>
          </w:tcPr>
          <w:p w14:paraId="09AAEE1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684C8FEF">
            <w:pPr>
              <w:keepNext w:val="0"/>
              <w:keepLines w:val="0"/>
              <w:suppressLineNumbers w:val="0"/>
              <w:spacing w:before="0" w:beforeAutospacing="0" w:after="0" w:afterAutospacing="0"/>
              <w:ind w:left="0" w:right="0"/>
              <w:jc w:val="left"/>
              <w:rPr>
                <w:rFonts w:hint="eastAsia" w:ascii="宋体" w:hAnsi="宋体" w:eastAsia="宋体"/>
              </w:rPr>
            </w:pPr>
          </w:p>
        </w:tc>
      </w:tr>
      <w:tr w14:paraId="584E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37AC408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85" w:type="pct"/>
            <w:tcBorders>
              <w:top w:val="single" w:color="auto" w:sz="4" w:space="0"/>
              <w:left w:val="single" w:color="auto" w:sz="4" w:space="0"/>
              <w:bottom w:val="single" w:color="auto" w:sz="4" w:space="0"/>
              <w:right w:val="single" w:color="auto" w:sz="4" w:space="0"/>
            </w:tcBorders>
            <w:vAlign w:val="center"/>
          </w:tcPr>
          <w:p w14:paraId="1FA028B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载体性质</w:t>
            </w:r>
          </w:p>
        </w:tc>
        <w:tc>
          <w:tcPr>
            <w:tcW w:w="668" w:type="pct"/>
            <w:tcBorders>
              <w:top w:val="single" w:color="auto" w:sz="4" w:space="0"/>
              <w:left w:val="single" w:color="auto" w:sz="4" w:space="0"/>
              <w:bottom w:val="single" w:color="auto" w:sz="4" w:space="0"/>
              <w:right w:val="single" w:color="auto" w:sz="4" w:space="0"/>
            </w:tcBorders>
            <w:vAlign w:val="center"/>
          </w:tcPr>
          <w:p w14:paraId="117F7F0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ZTXZ</w:t>
            </w:r>
          </w:p>
        </w:tc>
        <w:tc>
          <w:tcPr>
            <w:tcW w:w="722" w:type="pct"/>
            <w:tcBorders>
              <w:top w:val="single" w:color="auto" w:sz="4" w:space="0"/>
              <w:left w:val="single" w:color="auto" w:sz="4" w:space="0"/>
              <w:bottom w:val="single" w:color="auto" w:sz="4" w:space="0"/>
              <w:right w:val="single" w:color="auto" w:sz="4" w:space="0"/>
            </w:tcBorders>
            <w:vAlign w:val="center"/>
          </w:tcPr>
          <w:p w14:paraId="011D3E7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106268F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535" w:type="pct"/>
            <w:tcBorders>
              <w:top w:val="single" w:color="auto" w:sz="4" w:space="0"/>
              <w:left w:val="single" w:color="auto" w:sz="4" w:space="0"/>
              <w:bottom w:val="single" w:color="auto" w:sz="4" w:space="0"/>
              <w:right w:val="single" w:color="auto" w:sz="4" w:space="0"/>
            </w:tcBorders>
            <w:vAlign w:val="center"/>
          </w:tcPr>
          <w:p w14:paraId="3340191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1E6CD0E3">
            <w:pPr>
              <w:keepNext w:val="0"/>
              <w:keepLines w:val="0"/>
              <w:suppressLineNumbers w:val="0"/>
              <w:spacing w:before="0" w:beforeAutospacing="0" w:after="0" w:afterAutospacing="0"/>
              <w:ind w:left="0" w:right="0"/>
              <w:jc w:val="left"/>
              <w:rPr>
                <w:rFonts w:hint="eastAsia" w:ascii="宋体" w:hAnsi="宋体" w:eastAsia="宋体"/>
              </w:rPr>
            </w:pPr>
          </w:p>
        </w:tc>
      </w:tr>
      <w:tr w14:paraId="33DE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52DB899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85" w:type="pct"/>
            <w:tcBorders>
              <w:top w:val="single" w:color="auto" w:sz="4" w:space="0"/>
              <w:left w:val="single" w:color="auto" w:sz="4" w:space="0"/>
              <w:bottom w:val="single" w:color="auto" w:sz="4" w:space="0"/>
              <w:right w:val="single" w:color="auto" w:sz="4" w:space="0"/>
            </w:tcBorders>
            <w:vAlign w:val="center"/>
          </w:tcPr>
          <w:p w14:paraId="167F662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所属单位</w:t>
            </w:r>
          </w:p>
        </w:tc>
        <w:tc>
          <w:tcPr>
            <w:tcW w:w="668" w:type="pct"/>
            <w:tcBorders>
              <w:top w:val="single" w:color="auto" w:sz="4" w:space="0"/>
              <w:left w:val="single" w:color="auto" w:sz="4" w:space="0"/>
              <w:bottom w:val="single" w:color="auto" w:sz="4" w:space="0"/>
              <w:right w:val="single" w:color="auto" w:sz="4" w:space="0"/>
            </w:tcBorders>
            <w:vAlign w:val="center"/>
          </w:tcPr>
          <w:p w14:paraId="2AC2BC9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SSDW</w:t>
            </w:r>
          </w:p>
        </w:tc>
        <w:tc>
          <w:tcPr>
            <w:tcW w:w="722" w:type="pct"/>
            <w:tcBorders>
              <w:top w:val="single" w:color="auto" w:sz="4" w:space="0"/>
              <w:left w:val="single" w:color="auto" w:sz="4" w:space="0"/>
              <w:bottom w:val="single" w:color="auto" w:sz="4" w:space="0"/>
              <w:right w:val="single" w:color="auto" w:sz="4" w:space="0"/>
            </w:tcBorders>
            <w:vAlign w:val="center"/>
          </w:tcPr>
          <w:p w14:paraId="722C73E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3FF0EB4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w:t>
            </w:r>
          </w:p>
        </w:tc>
        <w:tc>
          <w:tcPr>
            <w:tcW w:w="535" w:type="pct"/>
            <w:tcBorders>
              <w:top w:val="single" w:color="auto" w:sz="4" w:space="0"/>
              <w:left w:val="single" w:color="auto" w:sz="4" w:space="0"/>
              <w:bottom w:val="single" w:color="auto" w:sz="4" w:space="0"/>
              <w:right w:val="single" w:color="auto" w:sz="4" w:space="0"/>
            </w:tcBorders>
            <w:vAlign w:val="center"/>
          </w:tcPr>
          <w:p w14:paraId="4C9E534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5B408442">
            <w:pPr>
              <w:keepNext w:val="0"/>
              <w:keepLines w:val="0"/>
              <w:suppressLineNumbers w:val="0"/>
              <w:spacing w:before="0" w:beforeAutospacing="0" w:after="0" w:afterAutospacing="0"/>
              <w:ind w:left="0" w:right="0"/>
              <w:jc w:val="left"/>
              <w:rPr>
                <w:rFonts w:hint="eastAsia" w:ascii="宋体" w:hAnsi="宋体" w:eastAsia="宋体"/>
              </w:rPr>
            </w:pPr>
          </w:p>
        </w:tc>
      </w:tr>
      <w:tr w14:paraId="048A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2538539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85" w:type="pct"/>
            <w:tcBorders>
              <w:top w:val="single" w:color="auto" w:sz="4" w:space="0"/>
              <w:left w:val="single" w:color="auto" w:sz="4" w:space="0"/>
              <w:bottom w:val="single" w:color="auto" w:sz="4" w:space="0"/>
              <w:right w:val="single" w:color="auto" w:sz="4" w:space="0"/>
            </w:tcBorders>
            <w:vAlign w:val="center"/>
          </w:tcPr>
          <w:p w14:paraId="269D1BE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长度</w:t>
            </w:r>
          </w:p>
        </w:tc>
        <w:tc>
          <w:tcPr>
            <w:tcW w:w="668" w:type="pct"/>
            <w:tcBorders>
              <w:top w:val="single" w:color="auto" w:sz="4" w:space="0"/>
              <w:left w:val="single" w:color="auto" w:sz="4" w:space="0"/>
              <w:bottom w:val="single" w:color="auto" w:sz="4" w:space="0"/>
              <w:right w:val="single" w:color="auto" w:sz="4" w:space="0"/>
            </w:tcBorders>
            <w:vAlign w:val="center"/>
          </w:tcPr>
          <w:p w14:paraId="0E807F3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CD</w:t>
            </w:r>
          </w:p>
        </w:tc>
        <w:tc>
          <w:tcPr>
            <w:tcW w:w="722" w:type="pct"/>
            <w:tcBorders>
              <w:top w:val="single" w:color="auto" w:sz="4" w:space="0"/>
              <w:left w:val="single" w:color="auto" w:sz="4" w:space="0"/>
              <w:bottom w:val="single" w:color="auto" w:sz="4" w:space="0"/>
              <w:right w:val="single" w:color="auto" w:sz="4" w:space="0"/>
            </w:tcBorders>
            <w:vAlign w:val="center"/>
          </w:tcPr>
          <w:p w14:paraId="579C96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45" w:type="pct"/>
            <w:tcBorders>
              <w:top w:val="single" w:color="auto" w:sz="4" w:space="0"/>
              <w:left w:val="single" w:color="auto" w:sz="4" w:space="0"/>
              <w:bottom w:val="single" w:color="auto" w:sz="4" w:space="0"/>
              <w:right w:val="single" w:color="auto" w:sz="4" w:space="0"/>
            </w:tcBorders>
            <w:vAlign w:val="center"/>
          </w:tcPr>
          <w:p w14:paraId="142BD0F7">
            <w:pPr>
              <w:keepNext w:val="0"/>
              <w:keepLines w:val="0"/>
              <w:suppressLineNumbers w:val="0"/>
              <w:spacing w:before="0" w:beforeAutospacing="0" w:after="0" w:afterAutospacing="0"/>
              <w:ind w:left="0" w:right="0"/>
              <w:jc w:val="center"/>
              <w:rPr>
                <w:rFonts w:hint="eastAsia" w:ascii="宋体" w:hAnsi="宋体" w:eastAsia="宋体"/>
              </w:rPr>
            </w:pPr>
          </w:p>
        </w:tc>
        <w:tc>
          <w:tcPr>
            <w:tcW w:w="535" w:type="pct"/>
            <w:tcBorders>
              <w:top w:val="single" w:color="auto" w:sz="4" w:space="0"/>
              <w:left w:val="single" w:color="auto" w:sz="4" w:space="0"/>
              <w:bottom w:val="single" w:color="auto" w:sz="4" w:space="0"/>
              <w:right w:val="single" w:color="auto" w:sz="4" w:space="0"/>
            </w:tcBorders>
            <w:vAlign w:val="center"/>
          </w:tcPr>
          <w:p w14:paraId="74C89BF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7F47BCED">
            <w:pPr>
              <w:keepNext w:val="0"/>
              <w:keepLines w:val="0"/>
              <w:suppressLineNumbers w:val="0"/>
              <w:spacing w:before="0" w:beforeAutospacing="0" w:after="0" w:afterAutospacing="0"/>
              <w:ind w:left="0" w:right="0"/>
              <w:jc w:val="left"/>
              <w:rPr>
                <w:rFonts w:hint="eastAsia" w:ascii="宋体" w:hAnsi="宋体" w:eastAsia="宋体"/>
              </w:rPr>
            </w:pPr>
          </w:p>
        </w:tc>
      </w:tr>
      <w:tr w14:paraId="1FB2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794DC7E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85" w:type="pct"/>
            <w:tcBorders>
              <w:top w:val="single" w:color="auto" w:sz="4" w:space="0"/>
              <w:left w:val="single" w:color="auto" w:sz="4" w:space="0"/>
              <w:bottom w:val="single" w:color="auto" w:sz="4" w:space="0"/>
              <w:right w:val="single" w:color="auto" w:sz="4" w:space="0"/>
            </w:tcBorders>
            <w:vAlign w:val="center"/>
          </w:tcPr>
          <w:p w14:paraId="1AD7C1F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宽度</w:t>
            </w:r>
          </w:p>
        </w:tc>
        <w:tc>
          <w:tcPr>
            <w:tcW w:w="668" w:type="pct"/>
            <w:tcBorders>
              <w:top w:val="single" w:color="auto" w:sz="4" w:space="0"/>
              <w:left w:val="single" w:color="auto" w:sz="4" w:space="0"/>
              <w:bottom w:val="single" w:color="auto" w:sz="4" w:space="0"/>
              <w:right w:val="single" w:color="auto" w:sz="4" w:space="0"/>
            </w:tcBorders>
            <w:vAlign w:val="center"/>
          </w:tcPr>
          <w:p w14:paraId="32C3A89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KD</w:t>
            </w:r>
          </w:p>
        </w:tc>
        <w:tc>
          <w:tcPr>
            <w:tcW w:w="722" w:type="pct"/>
            <w:tcBorders>
              <w:top w:val="single" w:color="auto" w:sz="4" w:space="0"/>
              <w:left w:val="single" w:color="auto" w:sz="4" w:space="0"/>
              <w:bottom w:val="single" w:color="auto" w:sz="4" w:space="0"/>
              <w:right w:val="single" w:color="auto" w:sz="4" w:space="0"/>
            </w:tcBorders>
            <w:vAlign w:val="center"/>
          </w:tcPr>
          <w:p w14:paraId="18CAAE8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float</w:t>
            </w:r>
          </w:p>
        </w:tc>
        <w:tc>
          <w:tcPr>
            <w:tcW w:w="645" w:type="pct"/>
            <w:tcBorders>
              <w:top w:val="single" w:color="auto" w:sz="4" w:space="0"/>
              <w:left w:val="single" w:color="auto" w:sz="4" w:space="0"/>
              <w:bottom w:val="single" w:color="auto" w:sz="4" w:space="0"/>
              <w:right w:val="single" w:color="auto" w:sz="4" w:space="0"/>
            </w:tcBorders>
            <w:vAlign w:val="center"/>
          </w:tcPr>
          <w:p w14:paraId="6C840E5D">
            <w:pPr>
              <w:keepNext w:val="0"/>
              <w:keepLines w:val="0"/>
              <w:suppressLineNumbers w:val="0"/>
              <w:spacing w:before="0" w:beforeAutospacing="0" w:after="0" w:afterAutospacing="0"/>
              <w:ind w:left="0" w:right="0"/>
              <w:jc w:val="center"/>
              <w:rPr>
                <w:rFonts w:hint="eastAsia" w:ascii="宋体" w:hAnsi="宋体" w:eastAsia="宋体"/>
              </w:rPr>
            </w:pPr>
          </w:p>
        </w:tc>
        <w:tc>
          <w:tcPr>
            <w:tcW w:w="535" w:type="pct"/>
            <w:tcBorders>
              <w:top w:val="single" w:color="auto" w:sz="4" w:space="0"/>
              <w:left w:val="single" w:color="auto" w:sz="4" w:space="0"/>
              <w:bottom w:val="single" w:color="auto" w:sz="4" w:space="0"/>
              <w:right w:val="single" w:color="auto" w:sz="4" w:space="0"/>
            </w:tcBorders>
            <w:vAlign w:val="center"/>
          </w:tcPr>
          <w:p w14:paraId="1910058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0C974E3C">
            <w:pPr>
              <w:keepNext w:val="0"/>
              <w:keepLines w:val="0"/>
              <w:suppressLineNumbers w:val="0"/>
              <w:spacing w:before="0" w:beforeAutospacing="0" w:after="0" w:afterAutospacing="0"/>
              <w:ind w:left="0" w:right="0"/>
              <w:jc w:val="left"/>
              <w:rPr>
                <w:rFonts w:hint="eastAsia" w:ascii="宋体" w:hAnsi="宋体" w:eastAsia="宋体"/>
              </w:rPr>
            </w:pPr>
          </w:p>
        </w:tc>
      </w:tr>
      <w:tr w14:paraId="0226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4ABABF1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8</w:t>
            </w:r>
          </w:p>
        </w:tc>
        <w:tc>
          <w:tcPr>
            <w:tcW w:w="885" w:type="pct"/>
            <w:tcBorders>
              <w:top w:val="single" w:color="auto" w:sz="4" w:space="0"/>
              <w:left w:val="single" w:color="auto" w:sz="4" w:space="0"/>
              <w:bottom w:val="single" w:color="auto" w:sz="4" w:space="0"/>
              <w:right w:val="single" w:color="auto" w:sz="4" w:space="0"/>
            </w:tcBorders>
            <w:vAlign w:val="center"/>
          </w:tcPr>
          <w:p w14:paraId="26FA0C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许可开始时间</w:t>
            </w:r>
          </w:p>
        </w:tc>
        <w:tc>
          <w:tcPr>
            <w:tcW w:w="668" w:type="pct"/>
            <w:tcBorders>
              <w:top w:val="single" w:color="auto" w:sz="4" w:space="0"/>
              <w:left w:val="single" w:color="auto" w:sz="4" w:space="0"/>
              <w:bottom w:val="single" w:color="auto" w:sz="4" w:space="0"/>
              <w:right w:val="single" w:color="auto" w:sz="4" w:space="0"/>
            </w:tcBorders>
            <w:vAlign w:val="center"/>
          </w:tcPr>
          <w:p w14:paraId="2D5721C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XKKSSJ</w:t>
            </w:r>
          </w:p>
        </w:tc>
        <w:tc>
          <w:tcPr>
            <w:tcW w:w="722" w:type="pct"/>
            <w:tcBorders>
              <w:top w:val="single" w:color="auto" w:sz="4" w:space="0"/>
              <w:left w:val="single" w:color="auto" w:sz="4" w:space="0"/>
              <w:bottom w:val="single" w:color="auto" w:sz="4" w:space="0"/>
              <w:right w:val="single" w:color="auto" w:sz="4" w:space="0"/>
            </w:tcBorders>
            <w:vAlign w:val="center"/>
          </w:tcPr>
          <w:p w14:paraId="3FF08BEE">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rPr>
              <w:t>date</w:t>
            </w:r>
          </w:p>
        </w:tc>
        <w:tc>
          <w:tcPr>
            <w:tcW w:w="645" w:type="pct"/>
            <w:tcBorders>
              <w:top w:val="single" w:color="auto" w:sz="4" w:space="0"/>
              <w:left w:val="single" w:color="auto" w:sz="4" w:space="0"/>
              <w:bottom w:val="single" w:color="auto" w:sz="4" w:space="0"/>
              <w:right w:val="single" w:color="auto" w:sz="4" w:space="0"/>
            </w:tcBorders>
            <w:vAlign w:val="center"/>
          </w:tcPr>
          <w:p w14:paraId="40E65949">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35" w:type="pct"/>
            <w:tcBorders>
              <w:top w:val="single" w:color="auto" w:sz="4" w:space="0"/>
              <w:left w:val="single" w:color="auto" w:sz="4" w:space="0"/>
              <w:bottom w:val="single" w:color="auto" w:sz="4" w:space="0"/>
              <w:right w:val="single" w:color="auto" w:sz="4" w:space="0"/>
            </w:tcBorders>
            <w:vAlign w:val="center"/>
          </w:tcPr>
          <w:p w14:paraId="0A072F8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26339E38">
            <w:pPr>
              <w:keepNext w:val="0"/>
              <w:keepLines w:val="0"/>
              <w:suppressLineNumbers w:val="0"/>
              <w:spacing w:before="0" w:beforeAutospacing="0" w:after="0" w:afterAutospacing="0"/>
              <w:ind w:left="0" w:right="0"/>
              <w:jc w:val="left"/>
              <w:rPr>
                <w:rFonts w:hint="eastAsia" w:ascii="宋体" w:hAnsi="宋体" w:eastAsia="宋体"/>
              </w:rPr>
            </w:pPr>
          </w:p>
        </w:tc>
      </w:tr>
      <w:tr w14:paraId="3DAE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695F6E4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9</w:t>
            </w:r>
          </w:p>
        </w:tc>
        <w:tc>
          <w:tcPr>
            <w:tcW w:w="885" w:type="pct"/>
            <w:tcBorders>
              <w:top w:val="single" w:color="auto" w:sz="4" w:space="0"/>
              <w:left w:val="single" w:color="auto" w:sz="4" w:space="0"/>
              <w:bottom w:val="single" w:color="auto" w:sz="4" w:space="0"/>
              <w:right w:val="single" w:color="auto" w:sz="4" w:space="0"/>
            </w:tcBorders>
            <w:vAlign w:val="center"/>
          </w:tcPr>
          <w:p w14:paraId="779E77A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许可结束时间</w:t>
            </w:r>
          </w:p>
        </w:tc>
        <w:tc>
          <w:tcPr>
            <w:tcW w:w="668" w:type="pct"/>
            <w:tcBorders>
              <w:top w:val="single" w:color="auto" w:sz="4" w:space="0"/>
              <w:left w:val="single" w:color="auto" w:sz="4" w:space="0"/>
              <w:bottom w:val="single" w:color="auto" w:sz="4" w:space="0"/>
              <w:right w:val="single" w:color="auto" w:sz="4" w:space="0"/>
            </w:tcBorders>
            <w:vAlign w:val="center"/>
          </w:tcPr>
          <w:p w14:paraId="7BF3FB0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XK</w:t>
            </w:r>
            <w:r>
              <w:rPr>
                <w:rFonts w:hint="eastAsia" w:ascii="宋体" w:hAnsi="宋体" w:eastAsia="宋体"/>
                <w:color w:val="000000"/>
                <w:lang w:eastAsia="zh-Hans"/>
              </w:rPr>
              <w:t>J</w:t>
            </w:r>
            <w:r>
              <w:rPr>
                <w:rFonts w:hint="eastAsia" w:ascii="宋体" w:hAnsi="宋体" w:eastAsia="宋体"/>
                <w:color w:val="000000"/>
              </w:rPr>
              <w:t>SSJ</w:t>
            </w:r>
          </w:p>
        </w:tc>
        <w:tc>
          <w:tcPr>
            <w:tcW w:w="722" w:type="pct"/>
            <w:tcBorders>
              <w:top w:val="single" w:color="auto" w:sz="4" w:space="0"/>
              <w:left w:val="single" w:color="auto" w:sz="4" w:space="0"/>
              <w:bottom w:val="single" w:color="auto" w:sz="4" w:space="0"/>
              <w:right w:val="single" w:color="auto" w:sz="4" w:space="0"/>
            </w:tcBorders>
            <w:vAlign w:val="center"/>
          </w:tcPr>
          <w:p w14:paraId="5EAEE8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45" w:type="pct"/>
            <w:tcBorders>
              <w:top w:val="single" w:color="auto" w:sz="4" w:space="0"/>
              <w:left w:val="single" w:color="auto" w:sz="4" w:space="0"/>
              <w:bottom w:val="single" w:color="auto" w:sz="4" w:space="0"/>
              <w:right w:val="single" w:color="auto" w:sz="4" w:space="0"/>
            </w:tcBorders>
            <w:vAlign w:val="center"/>
          </w:tcPr>
          <w:p w14:paraId="6AA76FB0">
            <w:pPr>
              <w:keepNext w:val="0"/>
              <w:keepLines w:val="0"/>
              <w:suppressLineNumbers w:val="0"/>
              <w:spacing w:before="0" w:beforeAutospacing="0" w:after="0" w:afterAutospacing="0"/>
              <w:ind w:left="0" w:right="0"/>
              <w:jc w:val="center"/>
              <w:rPr>
                <w:rFonts w:hint="eastAsia" w:ascii="宋体" w:hAnsi="宋体" w:eastAsia="宋体"/>
              </w:rPr>
            </w:pPr>
          </w:p>
        </w:tc>
        <w:tc>
          <w:tcPr>
            <w:tcW w:w="535" w:type="pct"/>
            <w:tcBorders>
              <w:top w:val="single" w:color="auto" w:sz="4" w:space="0"/>
              <w:left w:val="single" w:color="auto" w:sz="4" w:space="0"/>
              <w:bottom w:val="single" w:color="auto" w:sz="4" w:space="0"/>
              <w:right w:val="single" w:color="auto" w:sz="4" w:space="0"/>
            </w:tcBorders>
            <w:vAlign w:val="center"/>
          </w:tcPr>
          <w:p w14:paraId="6F9604F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20" w:type="pct"/>
            <w:tcBorders>
              <w:top w:val="single" w:color="auto" w:sz="4" w:space="0"/>
              <w:left w:val="single" w:color="auto" w:sz="4" w:space="0"/>
              <w:bottom w:val="single" w:color="auto" w:sz="4" w:space="0"/>
              <w:right w:val="single" w:color="auto" w:sz="4" w:space="0"/>
            </w:tcBorders>
            <w:vAlign w:val="center"/>
          </w:tcPr>
          <w:p w14:paraId="4588E5F1">
            <w:pPr>
              <w:keepNext w:val="0"/>
              <w:keepLines w:val="0"/>
              <w:suppressLineNumbers w:val="0"/>
              <w:spacing w:before="0" w:beforeAutospacing="0" w:after="0" w:afterAutospacing="0"/>
              <w:ind w:left="0" w:right="0"/>
              <w:jc w:val="left"/>
              <w:rPr>
                <w:rFonts w:hint="eastAsia" w:ascii="宋体" w:hAnsi="宋体" w:eastAsia="宋体"/>
              </w:rPr>
            </w:pPr>
          </w:p>
        </w:tc>
      </w:tr>
    </w:tbl>
    <w:p w14:paraId="668A0707">
      <w:pPr>
        <w:pStyle w:val="14"/>
        <w:rPr>
          <w:rFonts w:hint="eastAsia"/>
          <w:lang w:eastAsia="zh-Hans"/>
        </w:rPr>
      </w:pPr>
      <w:bookmarkStart w:id="394" w:name="_Toc22475899"/>
      <w:r>
        <w:rPr>
          <w:rFonts w:hint="eastAsia"/>
          <w:lang w:eastAsia="zh-Hans"/>
        </w:rPr>
        <w:t>园林绿化数据库</w:t>
      </w:r>
      <w:bookmarkEnd w:id="394"/>
    </w:p>
    <w:p w14:paraId="23D00024">
      <w:pPr>
        <w:pStyle w:val="182"/>
        <w:tabs>
          <w:tab w:val="left" w:pos="0"/>
        </w:tabs>
        <w:ind w:firstLine="480"/>
        <w:rPr>
          <w:sz w:val="24"/>
          <w:lang w:eastAsia="zh-Hans"/>
        </w:rPr>
      </w:pPr>
      <w:r>
        <w:rPr>
          <w:rFonts w:hint="eastAsia"/>
          <w:sz w:val="24"/>
          <w:lang w:eastAsia="zh-Hans"/>
        </w:rPr>
        <w:t>园林绿化行业数据应包括公园绿地、防护绿地、广场用地、附属绿地</w:t>
      </w:r>
      <w:r>
        <w:rPr>
          <w:sz w:val="24"/>
          <w:lang w:eastAsia="zh-Hans"/>
        </w:rPr>
        <w:t>、</w:t>
      </w:r>
      <w:r>
        <w:rPr>
          <w:rFonts w:hint="eastAsia"/>
          <w:sz w:val="24"/>
          <w:lang w:eastAsia="zh-Hans"/>
        </w:rPr>
        <w:t>区域绿地、树木、古树名木和绿地附属设施等数据；</w:t>
      </w:r>
    </w:p>
    <w:p w14:paraId="0A58C586">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公园绿地主要数据项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55C4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23C45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885" w:type="pct"/>
            <w:vAlign w:val="center"/>
          </w:tcPr>
          <w:p w14:paraId="5878E8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668" w:type="pct"/>
            <w:vAlign w:val="center"/>
          </w:tcPr>
          <w:p w14:paraId="3FDEC9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722" w:type="pct"/>
            <w:vAlign w:val="center"/>
          </w:tcPr>
          <w:p w14:paraId="7AA34B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645" w:type="pct"/>
            <w:vAlign w:val="center"/>
          </w:tcPr>
          <w:p w14:paraId="176629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535" w:type="pct"/>
          </w:tcPr>
          <w:p w14:paraId="3C42AE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120" w:type="pct"/>
            <w:vAlign w:val="center"/>
          </w:tcPr>
          <w:p w14:paraId="6A3FDCC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309F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24" w:type="pct"/>
            <w:vAlign w:val="center"/>
          </w:tcPr>
          <w:p w14:paraId="1477E5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85" w:type="pct"/>
            <w:vAlign w:val="center"/>
          </w:tcPr>
          <w:p w14:paraId="32C1360A">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668" w:type="pct"/>
            <w:vAlign w:val="center"/>
          </w:tcPr>
          <w:p w14:paraId="2F7291A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722" w:type="pct"/>
            <w:vAlign w:val="center"/>
          </w:tcPr>
          <w:p w14:paraId="44A355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645" w:type="pct"/>
            <w:vAlign w:val="center"/>
          </w:tcPr>
          <w:p w14:paraId="69D784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535" w:type="pct"/>
            <w:vAlign w:val="center"/>
          </w:tcPr>
          <w:p w14:paraId="3EB3A7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120" w:type="pct"/>
            <w:vAlign w:val="center"/>
          </w:tcPr>
          <w:p w14:paraId="3BA6BABB">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400C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9D10F0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85" w:type="pct"/>
          </w:tcPr>
          <w:p w14:paraId="365AC45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68" w:type="pct"/>
          </w:tcPr>
          <w:p w14:paraId="548D72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722" w:type="pct"/>
          </w:tcPr>
          <w:p w14:paraId="2CA6BB6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14:paraId="10F968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535" w:type="pct"/>
          </w:tcPr>
          <w:p w14:paraId="5932E4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14:paraId="210F517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286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79159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85" w:type="pct"/>
          </w:tcPr>
          <w:p w14:paraId="0598E73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68" w:type="pct"/>
          </w:tcPr>
          <w:p w14:paraId="6C29B5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722" w:type="pct"/>
          </w:tcPr>
          <w:p w14:paraId="0168E6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14:paraId="5EEA05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Pr>
          <w:p w14:paraId="7DBB5C5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14:paraId="71020DA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B9C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4D2FE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85" w:type="pct"/>
            <w:tcBorders>
              <w:top w:val="single" w:color="auto" w:sz="4" w:space="0"/>
              <w:left w:val="single" w:color="auto" w:sz="4" w:space="0"/>
              <w:bottom w:val="single" w:color="auto" w:sz="4" w:space="0"/>
              <w:right w:val="single" w:color="auto" w:sz="4" w:space="0"/>
            </w:tcBorders>
          </w:tcPr>
          <w:p w14:paraId="6C35AE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品种</w:t>
            </w:r>
          </w:p>
        </w:tc>
        <w:tc>
          <w:tcPr>
            <w:tcW w:w="668" w:type="pct"/>
            <w:tcBorders>
              <w:top w:val="single" w:color="auto" w:sz="4" w:space="0"/>
              <w:left w:val="single" w:color="auto" w:sz="4" w:space="0"/>
              <w:bottom w:val="single" w:color="auto" w:sz="4" w:space="0"/>
              <w:right w:val="single" w:color="auto" w:sz="4" w:space="0"/>
            </w:tcBorders>
          </w:tcPr>
          <w:p w14:paraId="75084B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PZ</w:t>
            </w:r>
          </w:p>
        </w:tc>
        <w:tc>
          <w:tcPr>
            <w:tcW w:w="722" w:type="pct"/>
            <w:tcBorders>
              <w:top w:val="single" w:color="auto" w:sz="4" w:space="0"/>
              <w:left w:val="single" w:color="auto" w:sz="4" w:space="0"/>
              <w:bottom w:val="single" w:color="auto" w:sz="4" w:space="0"/>
              <w:right w:val="single" w:color="auto" w:sz="4" w:space="0"/>
            </w:tcBorders>
          </w:tcPr>
          <w:p w14:paraId="336D0B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51EDC3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593EA0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363F300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主要植物品种</w:t>
            </w:r>
          </w:p>
        </w:tc>
      </w:tr>
      <w:tr w14:paraId="688C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D935EC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85" w:type="pct"/>
            <w:tcBorders>
              <w:top w:val="single" w:color="auto" w:sz="4" w:space="0"/>
              <w:left w:val="single" w:color="auto" w:sz="4" w:space="0"/>
              <w:bottom w:val="single" w:color="auto" w:sz="4" w:space="0"/>
              <w:right w:val="single" w:color="auto" w:sz="4" w:space="0"/>
            </w:tcBorders>
          </w:tcPr>
          <w:p w14:paraId="7CAD80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建设时间</w:t>
            </w:r>
          </w:p>
        </w:tc>
        <w:tc>
          <w:tcPr>
            <w:tcW w:w="668" w:type="pct"/>
            <w:tcBorders>
              <w:top w:val="single" w:color="auto" w:sz="4" w:space="0"/>
              <w:left w:val="single" w:color="auto" w:sz="4" w:space="0"/>
              <w:bottom w:val="single" w:color="auto" w:sz="4" w:space="0"/>
              <w:right w:val="single" w:color="auto" w:sz="4" w:space="0"/>
            </w:tcBorders>
          </w:tcPr>
          <w:p w14:paraId="5B4C07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JSSJ</w:t>
            </w:r>
          </w:p>
        </w:tc>
        <w:tc>
          <w:tcPr>
            <w:tcW w:w="722" w:type="pct"/>
            <w:tcBorders>
              <w:top w:val="single" w:color="auto" w:sz="4" w:space="0"/>
              <w:left w:val="single" w:color="auto" w:sz="4" w:space="0"/>
              <w:bottom w:val="single" w:color="auto" w:sz="4" w:space="0"/>
              <w:right w:val="single" w:color="auto" w:sz="4" w:space="0"/>
            </w:tcBorders>
          </w:tcPr>
          <w:p w14:paraId="775AB6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date</w:t>
            </w:r>
          </w:p>
        </w:tc>
        <w:tc>
          <w:tcPr>
            <w:tcW w:w="645" w:type="pct"/>
            <w:tcBorders>
              <w:top w:val="single" w:color="auto" w:sz="4" w:space="0"/>
              <w:left w:val="single" w:color="auto" w:sz="4" w:space="0"/>
              <w:bottom w:val="single" w:color="auto" w:sz="4" w:space="0"/>
              <w:right w:val="single" w:color="auto" w:sz="4" w:space="0"/>
            </w:tcBorders>
          </w:tcPr>
          <w:p w14:paraId="1E12898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1C0D07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71AE9B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公园建设时间</w:t>
            </w:r>
          </w:p>
        </w:tc>
      </w:tr>
      <w:tr w14:paraId="2800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26702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85" w:type="pct"/>
            <w:tcBorders>
              <w:top w:val="single" w:color="auto" w:sz="4" w:space="0"/>
              <w:left w:val="single" w:color="auto" w:sz="4" w:space="0"/>
              <w:bottom w:val="single" w:color="auto" w:sz="4" w:space="0"/>
              <w:right w:val="single" w:color="auto" w:sz="4" w:space="0"/>
            </w:tcBorders>
          </w:tcPr>
          <w:p w14:paraId="75C77D0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668" w:type="pct"/>
            <w:tcBorders>
              <w:top w:val="single" w:color="auto" w:sz="4" w:space="0"/>
              <w:left w:val="single" w:color="auto" w:sz="4" w:space="0"/>
              <w:bottom w:val="single" w:color="auto" w:sz="4" w:space="0"/>
              <w:right w:val="single" w:color="auto" w:sz="4" w:space="0"/>
            </w:tcBorders>
          </w:tcPr>
          <w:p w14:paraId="7D76A6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722" w:type="pct"/>
            <w:tcBorders>
              <w:top w:val="single" w:color="auto" w:sz="4" w:space="0"/>
              <w:left w:val="single" w:color="auto" w:sz="4" w:space="0"/>
              <w:bottom w:val="single" w:color="auto" w:sz="4" w:space="0"/>
              <w:right w:val="single" w:color="auto" w:sz="4" w:space="0"/>
            </w:tcBorders>
          </w:tcPr>
          <w:p w14:paraId="19103CF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73DCFC1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080E1D9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120" w:type="pct"/>
            <w:tcBorders>
              <w:top w:val="single" w:color="auto" w:sz="4" w:space="0"/>
              <w:left w:val="single" w:color="auto" w:sz="4" w:space="0"/>
              <w:bottom w:val="single" w:color="auto" w:sz="4" w:space="0"/>
              <w:right w:val="single" w:color="auto" w:sz="4" w:space="0"/>
            </w:tcBorders>
          </w:tcPr>
          <w:p w14:paraId="3E6B104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公园的管理单位</w:t>
            </w:r>
          </w:p>
        </w:tc>
      </w:tr>
      <w:tr w14:paraId="2775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BC1BFA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85" w:type="pct"/>
            <w:tcBorders>
              <w:top w:val="single" w:color="auto" w:sz="4" w:space="0"/>
              <w:left w:val="single" w:color="auto" w:sz="4" w:space="0"/>
              <w:bottom w:val="single" w:color="auto" w:sz="4" w:space="0"/>
              <w:right w:val="single" w:color="auto" w:sz="4" w:space="0"/>
            </w:tcBorders>
          </w:tcPr>
          <w:p w14:paraId="2623F23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开放时间</w:t>
            </w:r>
          </w:p>
        </w:tc>
        <w:tc>
          <w:tcPr>
            <w:tcW w:w="668" w:type="pct"/>
            <w:tcBorders>
              <w:top w:val="single" w:color="auto" w:sz="4" w:space="0"/>
              <w:left w:val="single" w:color="auto" w:sz="4" w:space="0"/>
              <w:bottom w:val="single" w:color="auto" w:sz="4" w:space="0"/>
              <w:right w:val="single" w:color="auto" w:sz="4" w:space="0"/>
            </w:tcBorders>
          </w:tcPr>
          <w:p w14:paraId="14E229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KFSJ</w:t>
            </w:r>
          </w:p>
        </w:tc>
        <w:tc>
          <w:tcPr>
            <w:tcW w:w="722" w:type="pct"/>
            <w:tcBorders>
              <w:top w:val="single" w:color="auto" w:sz="4" w:space="0"/>
              <w:left w:val="single" w:color="auto" w:sz="4" w:space="0"/>
              <w:bottom w:val="single" w:color="auto" w:sz="4" w:space="0"/>
              <w:right w:val="single" w:color="auto" w:sz="4" w:space="0"/>
            </w:tcBorders>
          </w:tcPr>
          <w:p w14:paraId="630DEC3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60B0249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1CD6DB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226D186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公园对外开放时间</w:t>
            </w:r>
          </w:p>
        </w:tc>
      </w:tr>
      <w:tr w14:paraId="577D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6F74DF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85" w:type="pct"/>
            <w:tcBorders>
              <w:top w:val="single" w:color="auto" w:sz="4" w:space="0"/>
              <w:left w:val="single" w:color="auto" w:sz="4" w:space="0"/>
              <w:bottom w:val="single" w:color="auto" w:sz="4" w:space="0"/>
              <w:right w:val="single" w:color="auto" w:sz="4" w:space="0"/>
            </w:tcBorders>
          </w:tcPr>
          <w:p w14:paraId="6470F2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是否收费</w:t>
            </w:r>
          </w:p>
        </w:tc>
        <w:tc>
          <w:tcPr>
            <w:tcW w:w="668" w:type="pct"/>
            <w:tcBorders>
              <w:top w:val="single" w:color="auto" w:sz="4" w:space="0"/>
              <w:left w:val="single" w:color="auto" w:sz="4" w:space="0"/>
              <w:bottom w:val="single" w:color="auto" w:sz="4" w:space="0"/>
              <w:right w:val="single" w:color="auto" w:sz="4" w:space="0"/>
            </w:tcBorders>
          </w:tcPr>
          <w:p w14:paraId="605F05E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SFSF</w:t>
            </w:r>
          </w:p>
        </w:tc>
        <w:tc>
          <w:tcPr>
            <w:tcW w:w="722" w:type="pct"/>
            <w:tcBorders>
              <w:top w:val="single" w:color="auto" w:sz="4" w:space="0"/>
              <w:left w:val="single" w:color="auto" w:sz="4" w:space="0"/>
              <w:bottom w:val="single" w:color="auto" w:sz="4" w:space="0"/>
              <w:right w:val="single" w:color="auto" w:sz="4" w:space="0"/>
            </w:tcBorders>
          </w:tcPr>
          <w:p w14:paraId="67170C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boolean</w:t>
            </w:r>
          </w:p>
        </w:tc>
        <w:tc>
          <w:tcPr>
            <w:tcW w:w="645" w:type="pct"/>
            <w:tcBorders>
              <w:top w:val="single" w:color="auto" w:sz="4" w:space="0"/>
              <w:left w:val="single" w:color="auto" w:sz="4" w:space="0"/>
              <w:bottom w:val="single" w:color="auto" w:sz="4" w:space="0"/>
              <w:right w:val="single" w:color="auto" w:sz="4" w:space="0"/>
            </w:tcBorders>
          </w:tcPr>
          <w:p w14:paraId="07F4FE7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4D73213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10BCD1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公园是否收费</w:t>
            </w:r>
          </w:p>
        </w:tc>
      </w:tr>
      <w:tr w14:paraId="7180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FB2E88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85" w:type="pct"/>
            <w:tcBorders>
              <w:top w:val="single" w:color="auto" w:sz="4" w:space="0"/>
              <w:left w:val="single" w:color="auto" w:sz="4" w:space="0"/>
              <w:bottom w:val="single" w:color="auto" w:sz="4" w:space="0"/>
              <w:right w:val="single" w:color="auto" w:sz="4" w:space="0"/>
            </w:tcBorders>
          </w:tcPr>
          <w:p w14:paraId="7DBDB89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面积</w:t>
            </w:r>
          </w:p>
        </w:tc>
        <w:tc>
          <w:tcPr>
            <w:tcW w:w="668" w:type="pct"/>
            <w:tcBorders>
              <w:top w:val="single" w:color="auto" w:sz="4" w:space="0"/>
              <w:left w:val="single" w:color="auto" w:sz="4" w:space="0"/>
              <w:bottom w:val="single" w:color="auto" w:sz="4" w:space="0"/>
              <w:right w:val="single" w:color="auto" w:sz="4" w:space="0"/>
            </w:tcBorders>
          </w:tcPr>
          <w:p w14:paraId="6FF1DEE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MJ</w:t>
            </w:r>
          </w:p>
        </w:tc>
        <w:tc>
          <w:tcPr>
            <w:tcW w:w="722" w:type="pct"/>
            <w:tcBorders>
              <w:top w:val="single" w:color="auto" w:sz="4" w:space="0"/>
              <w:left w:val="single" w:color="auto" w:sz="4" w:space="0"/>
              <w:bottom w:val="single" w:color="auto" w:sz="4" w:space="0"/>
              <w:right w:val="single" w:color="auto" w:sz="4" w:space="0"/>
            </w:tcBorders>
          </w:tcPr>
          <w:p w14:paraId="6646CA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645" w:type="pct"/>
            <w:tcBorders>
              <w:top w:val="single" w:color="auto" w:sz="4" w:space="0"/>
              <w:left w:val="single" w:color="auto" w:sz="4" w:space="0"/>
              <w:bottom w:val="single" w:color="auto" w:sz="4" w:space="0"/>
              <w:right w:val="single" w:color="auto" w:sz="4" w:space="0"/>
            </w:tcBorders>
          </w:tcPr>
          <w:p w14:paraId="3D69AD8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74CD3C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5FD5A4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绿化面积</w:t>
            </w:r>
          </w:p>
        </w:tc>
      </w:tr>
    </w:tbl>
    <w:p w14:paraId="19E220A1">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防护绿地主要数据项</w:t>
      </w:r>
    </w:p>
    <w:tbl>
      <w:tblPr>
        <w:tblStyle w:val="90"/>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912"/>
        <w:gridCol w:w="1909"/>
      </w:tblGrid>
      <w:tr w14:paraId="7DCA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18F7B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1504CF6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27A49C2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4A2A11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7CD2632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6EC6788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1B1AF5D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5B8B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tcPr>
          <w:p w14:paraId="5CFC7AA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14:paraId="715CC4E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14:paraId="5C701E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14:paraId="24F884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14:paraId="323D56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14:paraId="107AB53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14:paraId="3C7FA5C8">
            <w:pPr>
              <w:keepNext w:val="0"/>
              <w:keepLines w:val="0"/>
              <w:suppressLineNumbers w:val="0"/>
              <w:spacing w:before="0" w:beforeAutospacing="0" w:after="0" w:afterAutospacing="0"/>
              <w:ind w:left="0" w:right="0"/>
              <w:jc w:val="center"/>
              <w:rPr>
                <w:rFonts w:hint="eastAsia" w:ascii="宋体" w:hAnsi="宋体" w:eastAsia="宋体"/>
              </w:rPr>
            </w:pPr>
          </w:p>
        </w:tc>
      </w:tr>
      <w:tr w14:paraId="42F7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12C78A9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14:paraId="43F420A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14:paraId="143BCB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14:paraId="0A6F154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7554B45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0A7A99E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1AD1123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195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0D0AFA2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14:paraId="33DCAB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14:paraId="26C0686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14:paraId="575A03E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02FD3C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7A6FAB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158F70E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36B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5C7078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Borders>
              <w:top w:val="single" w:color="auto" w:sz="4" w:space="0"/>
              <w:left w:val="single" w:color="auto" w:sz="4" w:space="0"/>
              <w:bottom w:val="single" w:color="auto" w:sz="4" w:space="0"/>
              <w:right w:val="single" w:color="auto" w:sz="4" w:space="0"/>
            </w:tcBorders>
          </w:tcPr>
          <w:p w14:paraId="39C4AC9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栽种时间</w:t>
            </w:r>
          </w:p>
        </w:tc>
        <w:tc>
          <w:tcPr>
            <w:tcW w:w="1139" w:type="dxa"/>
            <w:tcBorders>
              <w:top w:val="single" w:color="auto" w:sz="4" w:space="0"/>
              <w:left w:val="single" w:color="auto" w:sz="4" w:space="0"/>
              <w:bottom w:val="single" w:color="auto" w:sz="4" w:space="0"/>
              <w:right w:val="single" w:color="auto" w:sz="4" w:space="0"/>
            </w:tcBorders>
          </w:tcPr>
          <w:p w14:paraId="445D342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ZZSJ</w:t>
            </w:r>
          </w:p>
        </w:tc>
        <w:tc>
          <w:tcPr>
            <w:tcW w:w="1231" w:type="dxa"/>
            <w:tcBorders>
              <w:top w:val="single" w:color="auto" w:sz="4" w:space="0"/>
              <w:left w:val="single" w:color="auto" w:sz="4" w:space="0"/>
              <w:bottom w:val="single" w:color="auto" w:sz="4" w:space="0"/>
              <w:right w:val="single" w:color="auto" w:sz="4" w:space="0"/>
            </w:tcBorders>
          </w:tcPr>
          <w:p w14:paraId="5F7C65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1100" w:type="dxa"/>
            <w:tcBorders>
              <w:top w:val="single" w:color="auto" w:sz="4" w:space="0"/>
              <w:left w:val="single" w:color="auto" w:sz="4" w:space="0"/>
              <w:bottom w:val="single" w:color="auto" w:sz="4" w:space="0"/>
              <w:right w:val="single" w:color="auto" w:sz="4" w:space="0"/>
            </w:tcBorders>
          </w:tcPr>
          <w:p w14:paraId="077F80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Borders>
              <w:top w:val="single" w:color="auto" w:sz="4" w:space="0"/>
              <w:left w:val="single" w:color="auto" w:sz="4" w:space="0"/>
              <w:bottom w:val="single" w:color="auto" w:sz="4" w:space="0"/>
              <w:right w:val="single" w:color="auto" w:sz="4" w:space="0"/>
            </w:tcBorders>
          </w:tcPr>
          <w:p w14:paraId="762EDD9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14:paraId="7496707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5DB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5C7FF5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p>
        </w:tc>
        <w:tc>
          <w:tcPr>
            <w:tcW w:w="1509" w:type="dxa"/>
            <w:tcBorders>
              <w:top w:val="single" w:color="auto" w:sz="4" w:space="0"/>
              <w:left w:val="single" w:color="auto" w:sz="4" w:space="0"/>
              <w:bottom w:val="single" w:color="auto" w:sz="4" w:space="0"/>
              <w:right w:val="single" w:color="auto" w:sz="4" w:space="0"/>
            </w:tcBorders>
          </w:tcPr>
          <w:p w14:paraId="6F57BAA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防护等级</w:t>
            </w:r>
          </w:p>
        </w:tc>
        <w:tc>
          <w:tcPr>
            <w:tcW w:w="1139" w:type="dxa"/>
            <w:tcBorders>
              <w:top w:val="single" w:color="auto" w:sz="4" w:space="0"/>
              <w:left w:val="single" w:color="auto" w:sz="4" w:space="0"/>
              <w:bottom w:val="single" w:color="auto" w:sz="4" w:space="0"/>
              <w:right w:val="single" w:color="auto" w:sz="4" w:space="0"/>
            </w:tcBorders>
          </w:tcPr>
          <w:p w14:paraId="735282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FHDJ</w:t>
            </w:r>
          </w:p>
        </w:tc>
        <w:tc>
          <w:tcPr>
            <w:tcW w:w="1231" w:type="dxa"/>
            <w:tcBorders>
              <w:top w:val="single" w:color="auto" w:sz="4" w:space="0"/>
              <w:left w:val="single" w:color="auto" w:sz="4" w:space="0"/>
              <w:bottom w:val="single" w:color="auto" w:sz="4" w:space="0"/>
              <w:right w:val="single" w:color="auto" w:sz="4" w:space="0"/>
            </w:tcBorders>
          </w:tcPr>
          <w:p w14:paraId="3166CA1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3F91A0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tcPr>
          <w:p w14:paraId="02AC450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14:paraId="6CF662A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D8C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434F08F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6</w:t>
            </w:r>
          </w:p>
        </w:tc>
        <w:tc>
          <w:tcPr>
            <w:tcW w:w="1509" w:type="dxa"/>
            <w:tcBorders>
              <w:top w:val="single" w:color="auto" w:sz="4" w:space="0"/>
              <w:left w:val="single" w:color="auto" w:sz="4" w:space="0"/>
              <w:bottom w:val="single" w:color="auto" w:sz="4" w:space="0"/>
              <w:right w:val="single" w:color="auto" w:sz="4" w:space="0"/>
            </w:tcBorders>
          </w:tcPr>
          <w:p w14:paraId="1D03967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防护类型</w:t>
            </w:r>
          </w:p>
        </w:tc>
        <w:tc>
          <w:tcPr>
            <w:tcW w:w="1139" w:type="dxa"/>
            <w:tcBorders>
              <w:top w:val="single" w:color="auto" w:sz="4" w:space="0"/>
              <w:left w:val="single" w:color="auto" w:sz="4" w:space="0"/>
              <w:bottom w:val="single" w:color="auto" w:sz="4" w:space="0"/>
              <w:right w:val="single" w:color="auto" w:sz="4" w:space="0"/>
            </w:tcBorders>
          </w:tcPr>
          <w:p w14:paraId="5456A4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FHLX</w:t>
            </w:r>
          </w:p>
        </w:tc>
        <w:tc>
          <w:tcPr>
            <w:tcW w:w="1231" w:type="dxa"/>
            <w:tcBorders>
              <w:top w:val="single" w:color="auto" w:sz="4" w:space="0"/>
              <w:left w:val="single" w:color="auto" w:sz="4" w:space="0"/>
              <w:bottom w:val="single" w:color="auto" w:sz="4" w:space="0"/>
              <w:right w:val="single" w:color="auto" w:sz="4" w:space="0"/>
            </w:tcBorders>
          </w:tcPr>
          <w:p w14:paraId="5AD3C9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579D445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tcPr>
          <w:p w14:paraId="4A82A4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tcPr>
          <w:p w14:paraId="196CA56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0FF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79CC35E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7</w:t>
            </w:r>
          </w:p>
        </w:tc>
        <w:tc>
          <w:tcPr>
            <w:tcW w:w="1509" w:type="dxa"/>
            <w:tcBorders>
              <w:top w:val="single" w:color="auto" w:sz="4" w:space="0"/>
              <w:left w:val="single" w:color="auto" w:sz="4" w:space="0"/>
              <w:bottom w:val="single" w:color="auto" w:sz="4" w:space="0"/>
              <w:right w:val="single" w:color="auto" w:sz="4" w:space="0"/>
            </w:tcBorders>
          </w:tcPr>
          <w:p w14:paraId="6914384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管理单位</w:t>
            </w:r>
          </w:p>
        </w:tc>
        <w:tc>
          <w:tcPr>
            <w:tcW w:w="1139" w:type="dxa"/>
            <w:tcBorders>
              <w:top w:val="single" w:color="auto" w:sz="4" w:space="0"/>
              <w:left w:val="single" w:color="auto" w:sz="4" w:space="0"/>
              <w:bottom w:val="single" w:color="auto" w:sz="4" w:space="0"/>
              <w:right w:val="single" w:color="auto" w:sz="4" w:space="0"/>
            </w:tcBorders>
          </w:tcPr>
          <w:p w14:paraId="7ED07CE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GLDW</w:t>
            </w:r>
          </w:p>
        </w:tc>
        <w:tc>
          <w:tcPr>
            <w:tcW w:w="1231" w:type="dxa"/>
            <w:tcBorders>
              <w:top w:val="single" w:color="auto" w:sz="4" w:space="0"/>
              <w:left w:val="single" w:color="auto" w:sz="4" w:space="0"/>
              <w:bottom w:val="single" w:color="auto" w:sz="4" w:space="0"/>
              <w:right w:val="single" w:color="auto" w:sz="4" w:space="0"/>
            </w:tcBorders>
          </w:tcPr>
          <w:p w14:paraId="2A348AD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686674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tcPr>
          <w:p w14:paraId="07A915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14:paraId="33ECA88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DE4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3865E19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8</w:t>
            </w:r>
          </w:p>
        </w:tc>
        <w:tc>
          <w:tcPr>
            <w:tcW w:w="1509" w:type="dxa"/>
            <w:tcBorders>
              <w:top w:val="single" w:color="auto" w:sz="4" w:space="0"/>
              <w:left w:val="single" w:color="auto" w:sz="4" w:space="0"/>
              <w:bottom w:val="single" w:color="auto" w:sz="4" w:space="0"/>
              <w:right w:val="single" w:color="auto" w:sz="4" w:space="0"/>
            </w:tcBorders>
          </w:tcPr>
          <w:p w14:paraId="116BA9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规格</w:t>
            </w:r>
          </w:p>
        </w:tc>
        <w:tc>
          <w:tcPr>
            <w:tcW w:w="1139" w:type="dxa"/>
            <w:tcBorders>
              <w:top w:val="single" w:color="auto" w:sz="4" w:space="0"/>
              <w:left w:val="single" w:color="auto" w:sz="4" w:space="0"/>
              <w:bottom w:val="single" w:color="auto" w:sz="4" w:space="0"/>
              <w:right w:val="single" w:color="auto" w:sz="4" w:space="0"/>
            </w:tcBorders>
          </w:tcPr>
          <w:p w14:paraId="712B085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GG</w:t>
            </w:r>
          </w:p>
        </w:tc>
        <w:tc>
          <w:tcPr>
            <w:tcW w:w="1231" w:type="dxa"/>
            <w:tcBorders>
              <w:top w:val="single" w:color="auto" w:sz="4" w:space="0"/>
              <w:left w:val="single" w:color="auto" w:sz="4" w:space="0"/>
              <w:bottom w:val="single" w:color="auto" w:sz="4" w:space="0"/>
              <w:right w:val="single" w:color="auto" w:sz="4" w:space="0"/>
            </w:tcBorders>
          </w:tcPr>
          <w:p w14:paraId="1AD9F4B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560C3E5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tcPr>
          <w:p w14:paraId="0EE902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14:paraId="5C42120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682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099189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9</w:t>
            </w:r>
          </w:p>
        </w:tc>
        <w:tc>
          <w:tcPr>
            <w:tcW w:w="1509" w:type="dxa"/>
            <w:tcBorders>
              <w:top w:val="single" w:color="auto" w:sz="4" w:space="0"/>
              <w:left w:val="single" w:color="auto" w:sz="4" w:space="0"/>
              <w:bottom w:val="single" w:color="auto" w:sz="4" w:space="0"/>
              <w:right w:val="single" w:color="auto" w:sz="4" w:space="0"/>
            </w:tcBorders>
          </w:tcPr>
          <w:p w14:paraId="3C6731C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面积</w:t>
            </w:r>
          </w:p>
        </w:tc>
        <w:tc>
          <w:tcPr>
            <w:tcW w:w="1139" w:type="dxa"/>
            <w:tcBorders>
              <w:top w:val="single" w:color="auto" w:sz="4" w:space="0"/>
              <w:left w:val="single" w:color="auto" w:sz="4" w:space="0"/>
              <w:bottom w:val="single" w:color="auto" w:sz="4" w:space="0"/>
              <w:right w:val="single" w:color="auto" w:sz="4" w:space="0"/>
            </w:tcBorders>
          </w:tcPr>
          <w:p w14:paraId="278B3F1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MJ</w:t>
            </w:r>
          </w:p>
        </w:tc>
        <w:tc>
          <w:tcPr>
            <w:tcW w:w="1231" w:type="dxa"/>
            <w:tcBorders>
              <w:top w:val="single" w:color="auto" w:sz="4" w:space="0"/>
              <w:left w:val="single" w:color="auto" w:sz="4" w:space="0"/>
              <w:bottom w:val="single" w:color="auto" w:sz="4" w:space="0"/>
              <w:right w:val="single" w:color="auto" w:sz="4" w:space="0"/>
            </w:tcBorders>
          </w:tcPr>
          <w:p w14:paraId="48BA637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float</w:t>
            </w:r>
          </w:p>
        </w:tc>
        <w:tc>
          <w:tcPr>
            <w:tcW w:w="1100" w:type="dxa"/>
            <w:tcBorders>
              <w:top w:val="single" w:color="auto" w:sz="4" w:space="0"/>
              <w:left w:val="single" w:color="auto" w:sz="4" w:space="0"/>
              <w:bottom w:val="single" w:color="auto" w:sz="4" w:space="0"/>
              <w:right w:val="single" w:color="auto" w:sz="4" w:space="0"/>
            </w:tcBorders>
          </w:tcPr>
          <w:p w14:paraId="6A8C728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Borders>
              <w:top w:val="single" w:color="auto" w:sz="4" w:space="0"/>
              <w:left w:val="single" w:color="auto" w:sz="4" w:space="0"/>
              <w:bottom w:val="single" w:color="auto" w:sz="4" w:space="0"/>
              <w:right w:val="single" w:color="auto" w:sz="4" w:space="0"/>
            </w:tcBorders>
          </w:tcPr>
          <w:p w14:paraId="607564B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tcPr>
          <w:p w14:paraId="3E73734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6A65327A">
      <w:pPr>
        <w:pStyle w:val="182"/>
        <w:tabs>
          <w:tab w:val="left" w:pos="0"/>
        </w:tabs>
        <w:ind w:left="40"/>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641A95B3">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564E32ED">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广场用地主要数据项</w:t>
            </w:r>
          </w:p>
        </w:tc>
      </w:tr>
      <w:tr w14:paraId="056CD11D">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586320D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4AA9D4A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251A776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5941796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6DC2444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5C0962F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71D6235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34054B41">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093644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06E99B8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1407738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14:paraId="2309B9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2296B1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5BD60D2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2B614E16">
            <w:pPr>
              <w:keepNext w:val="0"/>
              <w:keepLines w:val="0"/>
              <w:suppressLineNumbers w:val="0"/>
              <w:spacing w:before="0" w:beforeAutospacing="0" w:after="0" w:afterAutospacing="0"/>
              <w:ind w:left="0" w:right="0"/>
              <w:jc w:val="center"/>
              <w:rPr>
                <w:rFonts w:hint="eastAsia" w:ascii="宋体" w:hAnsi="宋体" w:eastAsia="宋体"/>
              </w:rPr>
            </w:pPr>
          </w:p>
        </w:tc>
      </w:tr>
      <w:tr w14:paraId="54FBAF3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338E1F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000000" w:sz="4" w:space="0"/>
              <w:left w:val="single" w:color="000000" w:sz="4" w:space="0"/>
              <w:bottom w:val="single" w:color="000000" w:sz="4" w:space="0"/>
              <w:right w:val="single" w:color="000000" w:sz="4" w:space="0"/>
            </w:tcBorders>
          </w:tcPr>
          <w:p w14:paraId="31797D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07" w:type="pct"/>
            <w:tcBorders>
              <w:top w:val="single" w:color="000000" w:sz="4" w:space="0"/>
              <w:left w:val="single" w:color="000000" w:sz="4" w:space="0"/>
              <w:bottom w:val="single" w:color="000000" w:sz="4" w:space="0"/>
              <w:right w:val="single" w:color="000000" w:sz="4" w:space="0"/>
            </w:tcBorders>
          </w:tcPr>
          <w:p w14:paraId="5BB6AA8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671" w:type="pct"/>
            <w:tcBorders>
              <w:top w:val="single" w:color="000000" w:sz="4" w:space="0"/>
              <w:left w:val="single" w:color="000000" w:sz="4" w:space="0"/>
              <w:bottom w:val="single" w:color="000000" w:sz="4" w:space="0"/>
              <w:right w:val="single" w:color="000000" w:sz="4" w:space="0"/>
            </w:tcBorders>
          </w:tcPr>
          <w:p w14:paraId="791C27F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4879B5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774" w:type="pct"/>
            <w:tcBorders>
              <w:top w:val="single" w:color="000000" w:sz="4" w:space="0"/>
              <w:left w:val="single" w:color="000000" w:sz="4" w:space="0"/>
              <w:bottom w:val="single" w:color="000000" w:sz="4" w:space="0"/>
              <w:right w:val="single" w:color="000000" w:sz="4" w:space="0"/>
            </w:tcBorders>
          </w:tcPr>
          <w:p w14:paraId="6CAC0BC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04E5997F">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D526FA1">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463F9C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000000" w:sz="4" w:space="0"/>
              <w:left w:val="single" w:color="000000" w:sz="4" w:space="0"/>
              <w:bottom w:val="single" w:color="000000" w:sz="4" w:space="0"/>
              <w:right w:val="single" w:color="000000" w:sz="4" w:space="0"/>
            </w:tcBorders>
          </w:tcPr>
          <w:p w14:paraId="49D8C7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07" w:type="pct"/>
            <w:tcBorders>
              <w:top w:val="single" w:color="000000" w:sz="4" w:space="0"/>
              <w:left w:val="single" w:color="000000" w:sz="4" w:space="0"/>
              <w:bottom w:val="single" w:color="000000" w:sz="4" w:space="0"/>
              <w:right w:val="single" w:color="000000" w:sz="4" w:space="0"/>
            </w:tcBorders>
          </w:tcPr>
          <w:p w14:paraId="3EEB7B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671" w:type="pct"/>
            <w:tcBorders>
              <w:top w:val="single" w:color="000000" w:sz="4" w:space="0"/>
              <w:left w:val="single" w:color="000000" w:sz="4" w:space="0"/>
              <w:bottom w:val="single" w:color="000000" w:sz="4" w:space="0"/>
              <w:right w:val="single" w:color="000000" w:sz="4" w:space="0"/>
            </w:tcBorders>
          </w:tcPr>
          <w:p w14:paraId="08505FB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7EB0B08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2122B16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05CA8E7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51D23F0">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75102CC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000000" w:sz="4" w:space="0"/>
              <w:left w:val="single" w:color="000000" w:sz="4" w:space="0"/>
              <w:bottom w:val="single" w:color="000000" w:sz="4" w:space="0"/>
              <w:right w:val="single" w:color="000000" w:sz="4" w:space="0"/>
            </w:tcBorders>
          </w:tcPr>
          <w:p w14:paraId="09A0B35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建设</w:t>
            </w:r>
            <w:r>
              <w:rPr>
                <w:rFonts w:hint="eastAsia" w:hAnsi="宋体"/>
                <w:szCs w:val="20"/>
              </w:rPr>
              <w:t>时间</w:t>
            </w:r>
          </w:p>
        </w:tc>
        <w:tc>
          <w:tcPr>
            <w:tcW w:w="607" w:type="pct"/>
            <w:tcBorders>
              <w:top w:val="single" w:color="000000" w:sz="4" w:space="0"/>
              <w:left w:val="single" w:color="000000" w:sz="4" w:space="0"/>
              <w:bottom w:val="single" w:color="000000" w:sz="4" w:space="0"/>
              <w:right w:val="single" w:color="000000" w:sz="4" w:space="0"/>
            </w:tcBorders>
          </w:tcPr>
          <w:p w14:paraId="51E1087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JS</w:t>
            </w:r>
            <w:r>
              <w:rPr>
                <w:rFonts w:hint="default" w:hAnsi="宋体"/>
                <w:szCs w:val="20"/>
              </w:rPr>
              <w:t>SJ</w:t>
            </w:r>
          </w:p>
        </w:tc>
        <w:tc>
          <w:tcPr>
            <w:tcW w:w="671" w:type="pct"/>
            <w:tcBorders>
              <w:top w:val="single" w:color="000000" w:sz="4" w:space="0"/>
              <w:left w:val="single" w:color="000000" w:sz="4" w:space="0"/>
              <w:bottom w:val="single" w:color="000000" w:sz="4" w:space="0"/>
              <w:right w:val="single" w:color="000000" w:sz="4" w:space="0"/>
            </w:tcBorders>
          </w:tcPr>
          <w:p w14:paraId="07B2A18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31" w:type="pct"/>
            <w:tcBorders>
              <w:top w:val="single" w:color="000000" w:sz="4" w:space="0"/>
              <w:left w:val="single" w:color="000000" w:sz="4" w:space="0"/>
              <w:bottom w:val="single" w:color="000000" w:sz="4" w:space="0"/>
              <w:right w:val="single" w:color="000000" w:sz="4" w:space="0"/>
            </w:tcBorders>
          </w:tcPr>
          <w:p w14:paraId="79B00BB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8</w:t>
            </w:r>
          </w:p>
        </w:tc>
        <w:tc>
          <w:tcPr>
            <w:tcW w:w="774" w:type="pct"/>
            <w:tcBorders>
              <w:top w:val="single" w:color="000000" w:sz="4" w:space="0"/>
              <w:left w:val="single" w:color="000000" w:sz="4" w:space="0"/>
              <w:bottom w:val="single" w:color="000000" w:sz="4" w:space="0"/>
              <w:right w:val="single" w:color="000000" w:sz="4" w:space="0"/>
            </w:tcBorders>
          </w:tcPr>
          <w:p w14:paraId="523A4A0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16E812FF">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7F90D56">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1CD99A9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p>
        </w:tc>
        <w:tc>
          <w:tcPr>
            <w:tcW w:w="848" w:type="pct"/>
            <w:tcBorders>
              <w:top w:val="single" w:color="000000" w:sz="4" w:space="0"/>
              <w:left w:val="single" w:color="000000" w:sz="4" w:space="0"/>
              <w:bottom w:val="single" w:color="000000" w:sz="4" w:space="0"/>
              <w:right w:val="single" w:color="000000" w:sz="4" w:space="0"/>
            </w:tcBorders>
          </w:tcPr>
          <w:p w14:paraId="4C003A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防护等级</w:t>
            </w:r>
          </w:p>
        </w:tc>
        <w:tc>
          <w:tcPr>
            <w:tcW w:w="607" w:type="pct"/>
            <w:tcBorders>
              <w:top w:val="single" w:color="000000" w:sz="4" w:space="0"/>
              <w:left w:val="single" w:color="000000" w:sz="4" w:space="0"/>
              <w:bottom w:val="single" w:color="000000" w:sz="4" w:space="0"/>
              <w:right w:val="single" w:color="000000" w:sz="4" w:space="0"/>
            </w:tcBorders>
          </w:tcPr>
          <w:p w14:paraId="55E93E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FHDJ</w:t>
            </w:r>
          </w:p>
        </w:tc>
        <w:tc>
          <w:tcPr>
            <w:tcW w:w="671" w:type="pct"/>
            <w:tcBorders>
              <w:top w:val="single" w:color="000000" w:sz="4" w:space="0"/>
              <w:left w:val="single" w:color="000000" w:sz="4" w:space="0"/>
              <w:bottom w:val="single" w:color="000000" w:sz="4" w:space="0"/>
              <w:right w:val="single" w:color="000000" w:sz="4" w:space="0"/>
            </w:tcBorders>
          </w:tcPr>
          <w:p w14:paraId="534CEF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6E511C6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137DC0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011D156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18F5BDC">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0489C3B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6</w:t>
            </w:r>
          </w:p>
        </w:tc>
        <w:tc>
          <w:tcPr>
            <w:tcW w:w="848" w:type="pct"/>
            <w:tcBorders>
              <w:top w:val="single" w:color="000000" w:sz="4" w:space="0"/>
              <w:left w:val="single" w:color="000000" w:sz="4" w:space="0"/>
              <w:bottom w:val="single" w:color="000000" w:sz="4" w:space="0"/>
              <w:right w:val="single" w:color="000000" w:sz="4" w:space="0"/>
            </w:tcBorders>
          </w:tcPr>
          <w:p w14:paraId="4447DA1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防护类型</w:t>
            </w:r>
          </w:p>
        </w:tc>
        <w:tc>
          <w:tcPr>
            <w:tcW w:w="607" w:type="pct"/>
            <w:tcBorders>
              <w:top w:val="single" w:color="000000" w:sz="4" w:space="0"/>
              <w:left w:val="single" w:color="000000" w:sz="4" w:space="0"/>
              <w:bottom w:val="single" w:color="000000" w:sz="4" w:space="0"/>
              <w:right w:val="single" w:color="000000" w:sz="4" w:space="0"/>
            </w:tcBorders>
          </w:tcPr>
          <w:p w14:paraId="4ED625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FHLX</w:t>
            </w:r>
          </w:p>
        </w:tc>
        <w:tc>
          <w:tcPr>
            <w:tcW w:w="671" w:type="pct"/>
            <w:tcBorders>
              <w:top w:val="single" w:color="000000" w:sz="4" w:space="0"/>
              <w:left w:val="single" w:color="000000" w:sz="4" w:space="0"/>
              <w:bottom w:val="single" w:color="000000" w:sz="4" w:space="0"/>
              <w:right w:val="single" w:color="000000" w:sz="4" w:space="0"/>
            </w:tcBorders>
          </w:tcPr>
          <w:p w14:paraId="06A3F9A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63BA393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5D777ED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4ADCE1C0">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BB27C97">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58B767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7</w:t>
            </w:r>
          </w:p>
        </w:tc>
        <w:tc>
          <w:tcPr>
            <w:tcW w:w="848" w:type="pct"/>
            <w:tcBorders>
              <w:top w:val="single" w:color="000000" w:sz="4" w:space="0"/>
              <w:left w:val="single" w:color="000000" w:sz="4" w:space="0"/>
              <w:bottom w:val="single" w:color="000000" w:sz="4" w:space="0"/>
              <w:right w:val="single" w:color="000000" w:sz="4" w:space="0"/>
            </w:tcBorders>
          </w:tcPr>
          <w:p w14:paraId="7512DAF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管理单位</w:t>
            </w:r>
          </w:p>
        </w:tc>
        <w:tc>
          <w:tcPr>
            <w:tcW w:w="607" w:type="pct"/>
            <w:tcBorders>
              <w:top w:val="single" w:color="000000" w:sz="4" w:space="0"/>
              <w:left w:val="single" w:color="000000" w:sz="4" w:space="0"/>
              <w:bottom w:val="single" w:color="000000" w:sz="4" w:space="0"/>
              <w:right w:val="single" w:color="000000" w:sz="4" w:space="0"/>
            </w:tcBorders>
          </w:tcPr>
          <w:p w14:paraId="057F779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GLDW</w:t>
            </w:r>
          </w:p>
        </w:tc>
        <w:tc>
          <w:tcPr>
            <w:tcW w:w="671" w:type="pct"/>
            <w:tcBorders>
              <w:top w:val="single" w:color="000000" w:sz="4" w:space="0"/>
              <w:left w:val="single" w:color="000000" w:sz="4" w:space="0"/>
              <w:bottom w:val="single" w:color="000000" w:sz="4" w:space="0"/>
              <w:right w:val="single" w:color="000000" w:sz="4" w:space="0"/>
            </w:tcBorders>
          </w:tcPr>
          <w:p w14:paraId="2465557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73DB5EA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406D29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5CF9C41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548FB7A">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0068F83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8</w:t>
            </w:r>
          </w:p>
        </w:tc>
        <w:tc>
          <w:tcPr>
            <w:tcW w:w="848" w:type="pct"/>
            <w:tcBorders>
              <w:top w:val="single" w:color="000000" w:sz="4" w:space="0"/>
              <w:left w:val="single" w:color="000000" w:sz="4" w:space="0"/>
              <w:bottom w:val="single" w:color="000000" w:sz="4" w:space="0"/>
              <w:right w:val="single" w:color="000000" w:sz="4" w:space="0"/>
            </w:tcBorders>
          </w:tcPr>
          <w:p w14:paraId="5D536B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规格</w:t>
            </w:r>
          </w:p>
        </w:tc>
        <w:tc>
          <w:tcPr>
            <w:tcW w:w="607" w:type="pct"/>
            <w:tcBorders>
              <w:top w:val="single" w:color="000000" w:sz="4" w:space="0"/>
              <w:left w:val="single" w:color="000000" w:sz="4" w:space="0"/>
              <w:bottom w:val="single" w:color="000000" w:sz="4" w:space="0"/>
              <w:right w:val="single" w:color="000000" w:sz="4" w:space="0"/>
            </w:tcBorders>
          </w:tcPr>
          <w:p w14:paraId="4A91F61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GG</w:t>
            </w:r>
          </w:p>
        </w:tc>
        <w:tc>
          <w:tcPr>
            <w:tcW w:w="671" w:type="pct"/>
            <w:tcBorders>
              <w:top w:val="single" w:color="000000" w:sz="4" w:space="0"/>
              <w:left w:val="single" w:color="000000" w:sz="4" w:space="0"/>
              <w:bottom w:val="single" w:color="000000" w:sz="4" w:space="0"/>
              <w:right w:val="single" w:color="000000" w:sz="4" w:space="0"/>
            </w:tcBorders>
          </w:tcPr>
          <w:p w14:paraId="66F2B68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3CB504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000000" w:sz="4" w:space="0"/>
              <w:left w:val="single" w:color="000000" w:sz="4" w:space="0"/>
              <w:bottom w:val="single" w:color="000000" w:sz="4" w:space="0"/>
              <w:right w:val="single" w:color="000000" w:sz="4" w:space="0"/>
            </w:tcBorders>
          </w:tcPr>
          <w:p w14:paraId="6D2DABA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5819C4C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782EC9B">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098BC75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9</w:t>
            </w:r>
          </w:p>
        </w:tc>
        <w:tc>
          <w:tcPr>
            <w:tcW w:w="848" w:type="pct"/>
            <w:tcBorders>
              <w:top w:val="single" w:color="000000" w:sz="4" w:space="0"/>
              <w:left w:val="single" w:color="000000" w:sz="4" w:space="0"/>
              <w:bottom w:val="single" w:color="000000" w:sz="4" w:space="0"/>
              <w:right w:val="single" w:color="000000" w:sz="4" w:space="0"/>
            </w:tcBorders>
          </w:tcPr>
          <w:p w14:paraId="060A69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面积</w:t>
            </w:r>
          </w:p>
        </w:tc>
        <w:tc>
          <w:tcPr>
            <w:tcW w:w="607" w:type="pct"/>
            <w:tcBorders>
              <w:top w:val="single" w:color="000000" w:sz="4" w:space="0"/>
              <w:left w:val="single" w:color="000000" w:sz="4" w:space="0"/>
              <w:bottom w:val="single" w:color="000000" w:sz="4" w:space="0"/>
              <w:right w:val="single" w:color="000000" w:sz="4" w:space="0"/>
            </w:tcBorders>
          </w:tcPr>
          <w:p w14:paraId="7797207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MJ</w:t>
            </w:r>
          </w:p>
        </w:tc>
        <w:tc>
          <w:tcPr>
            <w:tcW w:w="671" w:type="pct"/>
            <w:tcBorders>
              <w:top w:val="single" w:color="000000" w:sz="4" w:space="0"/>
              <w:left w:val="single" w:color="000000" w:sz="4" w:space="0"/>
              <w:bottom w:val="single" w:color="000000" w:sz="4" w:space="0"/>
              <w:right w:val="single" w:color="000000" w:sz="4" w:space="0"/>
            </w:tcBorders>
          </w:tcPr>
          <w:p w14:paraId="07BF3A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float</w:t>
            </w:r>
          </w:p>
        </w:tc>
        <w:tc>
          <w:tcPr>
            <w:tcW w:w="631" w:type="pct"/>
            <w:tcBorders>
              <w:top w:val="single" w:color="000000" w:sz="4" w:space="0"/>
              <w:left w:val="single" w:color="000000" w:sz="4" w:space="0"/>
              <w:bottom w:val="single" w:color="000000" w:sz="4" w:space="0"/>
              <w:right w:val="single" w:color="000000" w:sz="4" w:space="0"/>
            </w:tcBorders>
          </w:tcPr>
          <w:p w14:paraId="56EF347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tcPr>
          <w:p w14:paraId="48A6506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4DDEABA0">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357B86AD">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附属绿地主要数据项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0951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7B520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885" w:type="pct"/>
            <w:vAlign w:val="center"/>
          </w:tcPr>
          <w:p w14:paraId="5EFEFF9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668" w:type="pct"/>
            <w:vAlign w:val="center"/>
          </w:tcPr>
          <w:p w14:paraId="1551207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722" w:type="pct"/>
            <w:vAlign w:val="center"/>
          </w:tcPr>
          <w:p w14:paraId="2D4E66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645" w:type="pct"/>
            <w:vAlign w:val="center"/>
          </w:tcPr>
          <w:p w14:paraId="025ECDE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535" w:type="pct"/>
          </w:tcPr>
          <w:p w14:paraId="6AACF6F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120" w:type="pct"/>
            <w:vAlign w:val="center"/>
          </w:tcPr>
          <w:p w14:paraId="4DD48E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7672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24" w:type="pct"/>
            <w:vAlign w:val="center"/>
          </w:tcPr>
          <w:p w14:paraId="2D36AD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85" w:type="pct"/>
            <w:vAlign w:val="center"/>
          </w:tcPr>
          <w:p w14:paraId="17AE58A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668" w:type="pct"/>
            <w:vAlign w:val="center"/>
          </w:tcPr>
          <w:p w14:paraId="5A7144D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722" w:type="pct"/>
            <w:vAlign w:val="center"/>
          </w:tcPr>
          <w:p w14:paraId="449F79F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645" w:type="pct"/>
            <w:vAlign w:val="center"/>
          </w:tcPr>
          <w:p w14:paraId="428F9A1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535" w:type="pct"/>
            <w:vAlign w:val="center"/>
          </w:tcPr>
          <w:p w14:paraId="47F8A2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120" w:type="pct"/>
            <w:vAlign w:val="center"/>
          </w:tcPr>
          <w:p w14:paraId="35DFCF7E">
            <w:pPr>
              <w:keepNext w:val="0"/>
              <w:keepLines w:val="0"/>
              <w:suppressLineNumbers w:val="0"/>
              <w:spacing w:before="0" w:beforeAutospacing="0" w:after="0" w:afterAutospacing="0"/>
              <w:ind w:left="0" w:right="0"/>
              <w:jc w:val="center"/>
              <w:rPr>
                <w:rFonts w:hint="eastAsia" w:ascii="宋体" w:hAnsi="宋体" w:eastAsia="宋体"/>
              </w:rPr>
            </w:pPr>
          </w:p>
        </w:tc>
      </w:tr>
      <w:tr w14:paraId="0FA2C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5D6AA2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85" w:type="pct"/>
          </w:tcPr>
          <w:p w14:paraId="73573B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68" w:type="pct"/>
          </w:tcPr>
          <w:p w14:paraId="128D47F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722" w:type="pct"/>
          </w:tcPr>
          <w:p w14:paraId="0C3C49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14:paraId="4DB39C8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535" w:type="pct"/>
          </w:tcPr>
          <w:p w14:paraId="446E0AB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14:paraId="632D765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95D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D51FB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85" w:type="pct"/>
          </w:tcPr>
          <w:p w14:paraId="0BE5F0A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68" w:type="pct"/>
          </w:tcPr>
          <w:p w14:paraId="5A9953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722" w:type="pct"/>
          </w:tcPr>
          <w:p w14:paraId="51B4F97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14:paraId="56E385B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Pr>
          <w:p w14:paraId="04D425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14:paraId="4216FD7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DD3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8130E9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85" w:type="pct"/>
            <w:tcBorders>
              <w:top w:val="single" w:color="auto" w:sz="4" w:space="0"/>
              <w:left w:val="single" w:color="auto" w:sz="4" w:space="0"/>
              <w:bottom w:val="single" w:color="auto" w:sz="4" w:space="0"/>
              <w:right w:val="single" w:color="auto" w:sz="4" w:space="0"/>
            </w:tcBorders>
          </w:tcPr>
          <w:p w14:paraId="13F040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建设时间</w:t>
            </w:r>
          </w:p>
        </w:tc>
        <w:tc>
          <w:tcPr>
            <w:tcW w:w="668" w:type="pct"/>
            <w:tcBorders>
              <w:top w:val="single" w:color="auto" w:sz="4" w:space="0"/>
              <w:left w:val="single" w:color="auto" w:sz="4" w:space="0"/>
              <w:bottom w:val="single" w:color="auto" w:sz="4" w:space="0"/>
              <w:right w:val="single" w:color="auto" w:sz="4" w:space="0"/>
            </w:tcBorders>
          </w:tcPr>
          <w:p w14:paraId="04F87E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JSSJ</w:t>
            </w:r>
          </w:p>
        </w:tc>
        <w:tc>
          <w:tcPr>
            <w:tcW w:w="722" w:type="pct"/>
            <w:tcBorders>
              <w:top w:val="single" w:color="auto" w:sz="4" w:space="0"/>
              <w:left w:val="single" w:color="auto" w:sz="4" w:space="0"/>
              <w:bottom w:val="single" w:color="auto" w:sz="4" w:space="0"/>
              <w:right w:val="single" w:color="auto" w:sz="4" w:space="0"/>
            </w:tcBorders>
          </w:tcPr>
          <w:p w14:paraId="70F2688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date</w:t>
            </w:r>
          </w:p>
        </w:tc>
        <w:tc>
          <w:tcPr>
            <w:tcW w:w="645" w:type="pct"/>
            <w:tcBorders>
              <w:top w:val="single" w:color="auto" w:sz="4" w:space="0"/>
              <w:left w:val="single" w:color="auto" w:sz="4" w:space="0"/>
              <w:bottom w:val="single" w:color="auto" w:sz="4" w:space="0"/>
              <w:right w:val="single" w:color="auto" w:sz="4" w:space="0"/>
            </w:tcBorders>
          </w:tcPr>
          <w:p w14:paraId="0840043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570AB9A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2FD57B2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811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270B9D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85" w:type="pct"/>
            <w:tcBorders>
              <w:top w:val="single" w:color="auto" w:sz="4" w:space="0"/>
              <w:left w:val="single" w:color="auto" w:sz="4" w:space="0"/>
              <w:bottom w:val="single" w:color="auto" w:sz="4" w:space="0"/>
              <w:right w:val="single" w:color="auto" w:sz="4" w:space="0"/>
            </w:tcBorders>
          </w:tcPr>
          <w:p w14:paraId="4D15E17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668" w:type="pct"/>
            <w:tcBorders>
              <w:top w:val="single" w:color="auto" w:sz="4" w:space="0"/>
              <w:left w:val="single" w:color="auto" w:sz="4" w:space="0"/>
              <w:bottom w:val="single" w:color="auto" w:sz="4" w:space="0"/>
              <w:right w:val="single" w:color="auto" w:sz="4" w:space="0"/>
            </w:tcBorders>
          </w:tcPr>
          <w:p w14:paraId="754E823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722" w:type="pct"/>
            <w:tcBorders>
              <w:top w:val="single" w:color="auto" w:sz="4" w:space="0"/>
              <w:left w:val="single" w:color="auto" w:sz="4" w:space="0"/>
              <w:bottom w:val="single" w:color="auto" w:sz="4" w:space="0"/>
              <w:right w:val="single" w:color="auto" w:sz="4" w:space="0"/>
            </w:tcBorders>
          </w:tcPr>
          <w:p w14:paraId="4A16F3A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3B7FAA3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717111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120" w:type="pct"/>
            <w:tcBorders>
              <w:top w:val="single" w:color="auto" w:sz="4" w:space="0"/>
              <w:left w:val="single" w:color="auto" w:sz="4" w:space="0"/>
              <w:bottom w:val="single" w:color="auto" w:sz="4" w:space="0"/>
              <w:right w:val="single" w:color="auto" w:sz="4" w:space="0"/>
            </w:tcBorders>
          </w:tcPr>
          <w:p w14:paraId="6D5F128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03C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607623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85" w:type="pct"/>
            <w:tcBorders>
              <w:top w:val="single" w:color="auto" w:sz="4" w:space="0"/>
              <w:left w:val="single" w:color="auto" w:sz="4" w:space="0"/>
              <w:bottom w:val="single" w:color="auto" w:sz="4" w:space="0"/>
              <w:right w:val="single" w:color="auto" w:sz="4" w:space="0"/>
            </w:tcBorders>
          </w:tcPr>
          <w:p w14:paraId="5AB74D2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品种</w:t>
            </w:r>
          </w:p>
        </w:tc>
        <w:tc>
          <w:tcPr>
            <w:tcW w:w="668" w:type="pct"/>
            <w:tcBorders>
              <w:top w:val="single" w:color="auto" w:sz="4" w:space="0"/>
              <w:left w:val="single" w:color="auto" w:sz="4" w:space="0"/>
              <w:bottom w:val="single" w:color="auto" w:sz="4" w:space="0"/>
              <w:right w:val="single" w:color="auto" w:sz="4" w:space="0"/>
            </w:tcBorders>
          </w:tcPr>
          <w:p w14:paraId="27E67A9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PZ</w:t>
            </w:r>
          </w:p>
        </w:tc>
        <w:tc>
          <w:tcPr>
            <w:tcW w:w="722" w:type="pct"/>
            <w:tcBorders>
              <w:top w:val="single" w:color="auto" w:sz="4" w:space="0"/>
              <w:left w:val="single" w:color="auto" w:sz="4" w:space="0"/>
              <w:bottom w:val="single" w:color="auto" w:sz="4" w:space="0"/>
              <w:right w:val="single" w:color="auto" w:sz="4" w:space="0"/>
            </w:tcBorders>
          </w:tcPr>
          <w:p w14:paraId="5D474A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0B37C69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54044D6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73A99E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主要植物品种</w:t>
            </w:r>
          </w:p>
        </w:tc>
      </w:tr>
      <w:tr w14:paraId="68D7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C8586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85" w:type="pct"/>
            <w:tcBorders>
              <w:top w:val="single" w:color="auto" w:sz="4" w:space="0"/>
              <w:left w:val="single" w:color="auto" w:sz="4" w:space="0"/>
              <w:bottom w:val="single" w:color="auto" w:sz="4" w:space="0"/>
              <w:right w:val="single" w:color="auto" w:sz="4" w:space="0"/>
            </w:tcBorders>
          </w:tcPr>
          <w:p w14:paraId="6806A6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面积</w:t>
            </w:r>
          </w:p>
        </w:tc>
        <w:tc>
          <w:tcPr>
            <w:tcW w:w="668" w:type="pct"/>
            <w:tcBorders>
              <w:top w:val="single" w:color="auto" w:sz="4" w:space="0"/>
              <w:left w:val="single" w:color="auto" w:sz="4" w:space="0"/>
              <w:bottom w:val="single" w:color="auto" w:sz="4" w:space="0"/>
              <w:right w:val="single" w:color="auto" w:sz="4" w:space="0"/>
            </w:tcBorders>
          </w:tcPr>
          <w:p w14:paraId="580754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MJ</w:t>
            </w:r>
          </w:p>
        </w:tc>
        <w:tc>
          <w:tcPr>
            <w:tcW w:w="722" w:type="pct"/>
            <w:tcBorders>
              <w:top w:val="single" w:color="auto" w:sz="4" w:space="0"/>
              <w:left w:val="single" w:color="auto" w:sz="4" w:space="0"/>
              <w:bottom w:val="single" w:color="auto" w:sz="4" w:space="0"/>
              <w:right w:val="single" w:color="auto" w:sz="4" w:space="0"/>
            </w:tcBorders>
          </w:tcPr>
          <w:p w14:paraId="11173B4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w:t>
            </w:r>
            <w:r>
              <w:rPr>
                <w:rFonts w:hint="default" w:hAnsi="宋体"/>
                <w:szCs w:val="20"/>
              </w:rPr>
              <w:t>loat</w:t>
            </w:r>
          </w:p>
        </w:tc>
        <w:tc>
          <w:tcPr>
            <w:tcW w:w="645" w:type="pct"/>
            <w:tcBorders>
              <w:top w:val="single" w:color="auto" w:sz="4" w:space="0"/>
              <w:left w:val="single" w:color="auto" w:sz="4" w:space="0"/>
              <w:bottom w:val="single" w:color="auto" w:sz="4" w:space="0"/>
              <w:right w:val="single" w:color="auto" w:sz="4" w:space="0"/>
            </w:tcBorders>
          </w:tcPr>
          <w:p w14:paraId="6DF2C5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6E7A22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14B3E46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7B61D353">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区域绿地主要数据项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134D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5B257B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529D7BA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4DC10C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5FB570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06025F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7EBAB35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28CC495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1961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vAlign w:val="center"/>
          </w:tcPr>
          <w:p w14:paraId="73EBF2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14:paraId="1B015CBE">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14:paraId="583A32F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14:paraId="4613E7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14:paraId="34FF25B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14:paraId="458DCBE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14:paraId="148A1C2A">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5D42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D624B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14:paraId="6BA5E19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14:paraId="38CF187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14:paraId="0652649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49818B7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2CE4EF7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48BBE85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B5F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23D857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14:paraId="7B165D0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14:paraId="253E6A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14:paraId="61AAEB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2E2D64C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1F63D7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58416AF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82C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C7B7B2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Pr>
          <w:p w14:paraId="7E07C87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1139" w:type="dxa"/>
          </w:tcPr>
          <w:p w14:paraId="7F4977D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1231" w:type="dxa"/>
          </w:tcPr>
          <w:p w14:paraId="5D78F42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6FE7D61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3E6E7C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Pr>
          <w:p w14:paraId="0EE7FD6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98F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0C8CDE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vAlign w:val="center"/>
          </w:tcPr>
          <w:p w14:paraId="527E5A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占地面积</w:t>
            </w:r>
          </w:p>
        </w:tc>
        <w:tc>
          <w:tcPr>
            <w:tcW w:w="1139" w:type="dxa"/>
            <w:vAlign w:val="center"/>
          </w:tcPr>
          <w:p w14:paraId="4F1C4DC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ZDMJ</w:t>
            </w:r>
          </w:p>
        </w:tc>
        <w:tc>
          <w:tcPr>
            <w:tcW w:w="1231" w:type="dxa"/>
            <w:vAlign w:val="center"/>
          </w:tcPr>
          <w:p w14:paraId="5AE4BCB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1100" w:type="dxa"/>
            <w:vAlign w:val="center"/>
          </w:tcPr>
          <w:p w14:paraId="11B834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Pr>
          <w:p w14:paraId="51058C7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3492073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355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D64F79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1509" w:type="dxa"/>
            <w:vAlign w:val="center"/>
          </w:tcPr>
          <w:p w14:paraId="3E7E54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绿地面积</w:t>
            </w:r>
          </w:p>
        </w:tc>
        <w:tc>
          <w:tcPr>
            <w:tcW w:w="1139" w:type="dxa"/>
            <w:vAlign w:val="center"/>
          </w:tcPr>
          <w:p w14:paraId="5166595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LDMJ</w:t>
            </w:r>
          </w:p>
        </w:tc>
        <w:tc>
          <w:tcPr>
            <w:tcW w:w="1231" w:type="dxa"/>
            <w:vAlign w:val="center"/>
          </w:tcPr>
          <w:p w14:paraId="10DEB2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1100" w:type="dxa"/>
            <w:vAlign w:val="center"/>
          </w:tcPr>
          <w:p w14:paraId="0112E5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Pr>
          <w:p w14:paraId="265C0EC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w:t>
            </w:r>
          </w:p>
        </w:tc>
        <w:tc>
          <w:tcPr>
            <w:tcW w:w="1909" w:type="dxa"/>
          </w:tcPr>
          <w:p w14:paraId="532E880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871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58146F5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1509" w:type="dxa"/>
            <w:vAlign w:val="center"/>
          </w:tcPr>
          <w:p w14:paraId="48E880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绿化面积</w:t>
            </w:r>
          </w:p>
        </w:tc>
        <w:tc>
          <w:tcPr>
            <w:tcW w:w="1139" w:type="dxa"/>
            <w:vAlign w:val="center"/>
          </w:tcPr>
          <w:p w14:paraId="70FE9A7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LHMJ</w:t>
            </w:r>
          </w:p>
        </w:tc>
        <w:tc>
          <w:tcPr>
            <w:tcW w:w="1231" w:type="dxa"/>
            <w:vAlign w:val="center"/>
          </w:tcPr>
          <w:p w14:paraId="0EAE0DF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1100" w:type="dxa"/>
            <w:vAlign w:val="center"/>
          </w:tcPr>
          <w:p w14:paraId="4E375D4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Pr>
          <w:p w14:paraId="7EE0DBA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1A6F3D4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3BDAF2B7">
      <w:pPr>
        <w:pStyle w:val="182"/>
        <w:tabs>
          <w:tab w:val="left" w:pos="0"/>
        </w:tabs>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414BCAB0">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78E2B5A2">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树木主要数据项</w:t>
            </w:r>
            <w:r>
              <w:rPr>
                <w:rFonts w:hint="default" w:ascii="宋体" w:hAnsi="宋体" w:cs="黑体"/>
                <w:sz w:val="24"/>
              </w:rPr>
              <w:t>（</w:t>
            </w:r>
            <w:r>
              <w:rPr>
                <w:rFonts w:hint="eastAsia" w:ascii="宋体" w:hAnsi="宋体" w:cs="黑体"/>
                <w:sz w:val="24"/>
                <w:lang w:eastAsia="zh-Hans"/>
              </w:rPr>
              <w:t>续</w:t>
            </w:r>
            <w:r>
              <w:rPr>
                <w:rFonts w:hint="default" w:ascii="宋体" w:hAnsi="宋体" w:cs="黑体"/>
                <w:sz w:val="24"/>
                <w:lang w:eastAsia="zh-Hans"/>
              </w:rPr>
              <w:t>）</w:t>
            </w:r>
          </w:p>
        </w:tc>
      </w:tr>
      <w:tr w14:paraId="1EBE8891">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2DDF24B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3733D45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2920276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78B9DC3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55691C3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69CD345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1F9745B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56D7C417">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3F02F43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059B8DB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0FE5C36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14:paraId="18523E3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4ADB49E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7EDF7FC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170BEA5F">
            <w:pPr>
              <w:keepNext w:val="0"/>
              <w:keepLines w:val="0"/>
              <w:suppressLineNumbers w:val="0"/>
              <w:spacing w:before="0" w:beforeAutospacing="0" w:after="0" w:afterAutospacing="0"/>
              <w:ind w:left="0" w:right="0"/>
              <w:jc w:val="center"/>
              <w:rPr>
                <w:rFonts w:hint="eastAsia" w:ascii="宋体" w:hAnsi="宋体" w:eastAsia="宋体"/>
              </w:rPr>
            </w:pPr>
          </w:p>
        </w:tc>
      </w:tr>
      <w:tr w14:paraId="2740BE46">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6A541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000000" w:sz="4" w:space="0"/>
              <w:left w:val="single" w:color="000000" w:sz="4" w:space="0"/>
              <w:bottom w:val="single" w:color="000000" w:sz="4" w:space="0"/>
              <w:right w:val="single" w:color="000000" w:sz="4" w:space="0"/>
            </w:tcBorders>
          </w:tcPr>
          <w:p w14:paraId="4545AD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07" w:type="pct"/>
            <w:tcBorders>
              <w:top w:val="single" w:color="000000" w:sz="4" w:space="0"/>
              <w:left w:val="single" w:color="000000" w:sz="4" w:space="0"/>
              <w:bottom w:val="single" w:color="000000" w:sz="4" w:space="0"/>
              <w:right w:val="single" w:color="000000" w:sz="4" w:space="0"/>
            </w:tcBorders>
          </w:tcPr>
          <w:p w14:paraId="47530C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671" w:type="pct"/>
            <w:tcBorders>
              <w:top w:val="single" w:color="000000" w:sz="4" w:space="0"/>
              <w:left w:val="single" w:color="000000" w:sz="4" w:space="0"/>
              <w:bottom w:val="single" w:color="000000" w:sz="4" w:space="0"/>
              <w:right w:val="single" w:color="000000" w:sz="4" w:space="0"/>
            </w:tcBorders>
          </w:tcPr>
          <w:p w14:paraId="1C8B57B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2FDF424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774" w:type="pct"/>
            <w:tcBorders>
              <w:top w:val="single" w:color="000000" w:sz="4" w:space="0"/>
              <w:left w:val="single" w:color="000000" w:sz="4" w:space="0"/>
              <w:bottom w:val="single" w:color="000000" w:sz="4" w:space="0"/>
              <w:right w:val="single" w:color="000000" w:sz="4" w:space="0"/>
            </w:tcBorders>
          </w:tcPr>
          <w:p w14:paraId="381A8C9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660AC34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517365F">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0A28EE6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000000" w:sz="4" w:space="0"/>
              <w:left w:val="single" w:color="000000" w:sz="4" w:space="0"/>
              <w:bottom w:val="single" w:color="000000" w:sz="4" w:space="0"/>
              <w:right w:val="single" w:color="000000" w:sz="4" w:space="0"/>
            </w:tcBorders>
          </w:tcPr>
          <w:p w14:paraId="50DCE94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07" w:type="pct"/>
            <w:tcBorders>
              <w:top w:val="single" w:color="000000" w:sz="4" w:space="0"/>
              <w:left w:val="single" w:color="000000" w:sz="4" w:space="0"/>
              <w:bottom w:val="single" w:color="000000" w:sz="4" w:space="0"/>
              <w:right w:val="single" w:color="000000" w:sz="4" w:space="0"/>
            </w:tcBorders>
          </w:tcPr>
          <w:p w14:paraId="6F151A6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671" w:type="pct"/>
            <w:tcBorders>
              <w:top w:val="single" w:color="000000" w:sz="4" w:space="0"/>
              <w:left w:val="single" w:color="000000" w:sz="4" w:space="0"/>
              <w:bottom w:val="single" w:color="000000" w:sz="4" w:space="0"/>
              <w:right w:val="single" w:color="000000" w:sz="4" w:space="0"/>
            </w:tcBorders>
          </w:tcPr>
          <w:p w14:paraId="3914BE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20638A2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169A17C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754EDD5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32CB189">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AECF53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000000" w:sz="4" w:space="0"/>
              <w:left w:val="single" w:color="000000" w:sz="4" w:space="0"/>
              <w:bottom w:val="single" w:color="000000" w:sz="4" w:space="0"/>
              <w:right w:val="single" w:color="000000" w:sz="4" w:space="0"/>
            </w:tcBorders>
          </w:tcPr>
          <w:p w14:paraId="2345B52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冠幅</w:t>
            </w:r>
          </w:p>
        </w:tc>
        <w:tc>
          <w:tcPr>
            <w:tcW w:w="607" w:type="pct"/>
            <w:tcBorders>
              <w:top w:val="single" w:color="000000" w:sz="4" w:space="0"/>
              <w:left w:val="single" w:color="000000" w:sz="4" w:space="0"/>
              <w:bottom w:val="single" w:color="000000" w:sz="4" w:space="0"/>
              <w:right w:val="single" w:color="000000" w:sz="4" w:space="0"/>
            </w:tcBorders>
          </w:tcPr>
          <w:p w14:paraId="0A6E7BB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GF</w:t>
            </w:r>
          </w:p>
        </w:tc>
        <w:tc>
          <w:tcPr>
            <w:tcW w:w="671" w:type="pct"/>
            <w:tcBorders>
              <w:top w:val="single" w:color="000000" w:sz="4" w:space="0"/>
              <w:left w:val="single" w:color="000000" w:sz="4" w:space="0"/>
              <w:bottom w:val="single" w:color="000000" w:sz="4" w:space="0"/>
              <w:right w:val="single" w:color="000000" w:sz="4" w:space="0"/>
            </w:tcBorders>
          </w:tcPr>
          <w:p w14:paraId="065513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65B1DD8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34F543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44BB3A7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树木冠幅</w:t>
            </w:r>
          </w:p>
        </w:tc>
      </w:tr>
      <w:tr w14:paraId="4343F13C">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D3D9E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48" w:type="pct"/>
            <w:tcBorders>
              <w:top w:val="single" w:color="000000" w:sz="4" w:space="0"/>
              <w:left w:val="single" w:color="000000" w:sz="4" w:space="0"/>
              <w:bottom w:val="single" w:color="000000" w:sz="4" w:space="0"/>
              <w:right w:val="single" w:color="000000" w:sz="4" w:space="0"/>
            </w:tcBorders>
          </w:tcPr>
          <w:p w14:paraId="1D4CAD5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胸径</w:t>
            </w:r>
          </w:p>
        </w:tc>
        <w:tc>
          <w:tcPr>
            <w:tcW w:w="607" w:type="pct"/>
            <w:tcBorders>
              <w:top w:val="single" w:color="000000" w:sz="4" w:space="0"/>
              <w:left w:val="single" w:color="000000" w:sz="4" w:space="0"/>
              <w:bottom w:val="single" w:color="000000" w:sz="4" w:space="0"/>
              <w:right w:val="single" w:color="000000" w:sz="4" w:space="0"/>
            </w:tcBorders>
          </w:tcPr>
          <w:p w14:paraId="7894984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XJ</w:t>
            </w:r>
          </w:p>
        </w:tc>
        <w:tc>
          <w:tcPr>
            <w:tcW w:w="671" w:type="pct"/>
            <w:tcBorders>
              <w:top w:val="single" w:color="000000" w:sz="4" w:space="0"/>
              <w:left w:val="single" w:color="000000" w:sz="4" w:space="0"/>
              <w:bottom w:val="single" w:color="000000" w:sz="4" w:space="0"/>
              <w:right w:val="single" w:color="000000" w:sz="4" w:space="0"/>
            </w:tcBorders>
          </w:tcPr>
          <w:p w14:paraId="559381B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125EA1F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7ADFA9C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2F7C8DA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树干胸径</w:t>
            </w:r>
          </w:p>
        </w:tc>
      </w:tr>
      <w:tr w14:paraId="3326D830">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4A9768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48" w:type="pct"/>
            <w:tcBorders>
              <w:top w:val="single" w:color="000000" w:sz="4" w:space="0"/>
              <w:left w:val="single" w:color="000000" w:sz="4" w:space="0"/>
              <w:bottom w:val="single" w:color="000000" w:sz="4" w:space="0"/>
              <w:right w:val="single" w:color="000000" w:sz="4" w:space="0"/>
            </w:tcBorders>
          </w:tcPr>
          <w:p w14:paraId="1C55956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树龄</w:t>
            </w:r>
          </w:p>
        </w:tc>
        <w:tc>
          <w:tcPr>
            <w:tcW w:w="607" w:type="pct"/>
            <w:tcBorders>
              <w:top w:val="single" w:color="000000" w:sz="4" w:space="0"/>
              <w:left w:val="single" w:color="000000" w:sz="4" w:space="0"/>
              <w:bottom w:val="single" w:color="000000" w:sz="4" w:space="0"/>
              <w:right w:val="single" w:color="000000" w:sz="4" w:space="0"/>
            </w:tcBorders>
          </w:tcPr>
          <w:p w14:paraId="321D8D2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SL</w:t>
            </w:r>
          </w:p>
        </w:tc>
        <w:tc>
          <w:tcPr>
            <w:tcW w:w="671" w:type="pct"/>
            <w:tcBorders>
              <w:top w:val="single" w:color="000000" w:sz="4" w:space="0"/>
              <w:left w:val="single" w:color="000000" w:sz="4" w:space="0"/>
              <w:bottom w:val="single" w:color="000000" w:sz="4" w:space="0"/>
              <w:right w:val="single" w:color="000000" w:sz="4" w:space="0"/>
            </w:tcBorders>
          </w:tcPr>
          <w:p w14:paraId="1A27C82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1AF5895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16</w:t>
            </w:r>
          </w:p>
        </w:tc>
        <w:tc>
          <w:tcPr>
            <w:tcW w:w="774" w:type="pct"/>
            <w:tcBorders>
              <w:top w:val="single" w:color="000000" w:sz="4" w:space="0"/>
              <w:left w:val="single" w:color="000000" w:sz="4" w:space="0"/>
              <w:bottom w:val="single" w:color="000000" w:sz="4" w:space="0"/>
              <w:right w:val="single" w:color="000000" w:sz="4" w:space="0"/>
            </w:tcBorders>
          </w:tcPr>
          <w:p w14:paraId="0C8BF7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36762D4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树的年龄</w:t>
            </w:r>
          </w:p>
        </w:tc>
      </w:tr>
      <w:tr w14:paraId="0C9FE19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E07F2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48" w:type="pct"/>
            <w:tcBorders>
              <w:top w:val="single" w:color="000000" w:sz="4" w:space="0"/>
              <w:left w:val="single" w:color="000000" w:sz="4" w:space="0"/>
              <w:bottom w:val="single" w:color="000000" w:sz="4" w:space="0"/>
              <w:right w:val="single" w:color="000000" w:sz="4" w:space="0"/>
            </w:tcBorders>
          </w:tcPr>
          <w:p w14:paraId="7B9412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栽种单位</w:t>
            </w:r>
          </w:p>
        </w:tc>
        <w:tc>
          <w:tcPr>
            <w:tcW w:w="607" w:type="pct"/>
            <w:tcBorders>
              <w:top w:val="single" w:color="000000" w:sz="4" w:space="0"/>
              <w:left w:val="single" w:color="000000" w:sz="4" w:space="0"/>
              <w:bottom w:val="single" w:color="000000" w:sz="4" w:space="0"/>
              <w:right w:val="single" w:color="000000" w:sz="4" w:space="0"/>
            </w:tcBorders>
          </w:tcPr>
          <w:p w14:paraId="61E34B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ZZDW</w:t>
            </w:r>
          </w:p>
        </w:tc>
        <w:tc>
          <w:tcPr>
            <w:tcW w:w="671" w:type="pct"/>
            <w:tcBorders>
              <w:top w:val="single" w:color="000000" w:sz="4" w:space="0"/>
              <w:left w:val="single" w:color="000000" w:sz="4" w:space="0"/>
              <w:bottom w:val="single" w:color="000000" w:sz="4" w:space="0"/>
              <w:right w:val="single" w:color="000000" w:sz="4" w:space="0"/>
            </w:tcBorders>
          </w:tcPr>
          <w:p w14:paraId="3873422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5799E7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479E318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54F97F8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树木种植单位</w:t>
            </w:r>
          </w:p>
        </w:tc>
      </w:tr>
      <w:tr w14:paraId="0952C1F3">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A58F88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48" w:type="pct"/>
            <w:tcBorders>
              <w:top w:val="single" w:color="000000" w:sz="4" w:space="0"/>
              <w:left w:val="single" w:color="000000" w:sz="4" w:space="0"/>
              <w:bottom w:val="single" w:color="000000" w:sz="4" w:space="0"/>
              <w:right w:val="single" w:color="000000" w:sz="4" w:space="0"/>
            </w:tcBorders>
          </w:tcPr>
          <w:p w14:paraId="21FAE2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607" w:type="pct"/>
            <w:tcBorders>
              <w:top w:val="single" w:color="000000" w:sz="4" w:space="0"/>
              <w:left w:val="single" w:color="000000" w:sz="4" w:space="0"/>
              <w:bottom w:val="single" w:color="000000" w:sz="4" w:space="0"/>
              <w:right w:val="single" w:color="000000" w:sz="4" w:space="0"/>
            </w:tcBorders>
          </w:tcPr>
          <w:p w14:paraId="18AFFF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671" w:type="pct"/>
            <w:tcBorders>
              <w:top w:val="single" w:color="000000" w:sz="4" w:space="0"/>
              <w:left w:val="single" w:color="000000" w:sz="4" w:space="0"/>
              <w:bottom w:val="single" w:color="000000" w:sz="4" w:space="0"/>
              <w:right w:val="single" w:color="000000" w:sz="4" w:space="0"/>
            </w:tcBorders>
          </w:tcPr>
          <w:p w14:paraId="792FA15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3225FB6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0F5FA5A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72B863C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树木管理单位</w:t>
            </w:r>
          </w:p>
        </w:tc>
      </w:tr>
    </w:tbl>
    <w:p w14:paraId="266AB46C">
      <w:pPr>
        <w:pStyle w:val="182"/>
        <w:tabs>
          <w:tab w:val="left" w:pos="0"/>
        </w:tabs>
        <w:rPr>
          <w:rFonts w:hint="eastAsia" w:ascii="宋体" w:hAnsi="宋体"/>
          <w:lang w:eastAsia="zh-Hans"/>
        </w:rPr>
      </w:pPr>
    </w:p>
    <w:p w14:paraId="7C58734C">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古树名木主要数据项</w:t>
      </w:r>
    </w:p>
    <w:tbl>
      <w:tblPr>
        <w:tblStyle w:val="90"/>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912"/>
        <w:gridCol w:w="1909"/>
      </w:tblGrid>
      <w:tr w14:paraId="65DF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D5B48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47A1C0E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60FEE9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164B0A7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3404DAD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211F0C0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52994D1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4409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vAlign w:val="center"/>
          </w:tcPr>
          <w:p w14:paraId="70D5D4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14:paraId="5213B00E">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14:paraId="3E4530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14:paraId="2907F9E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14:paraId="3E14FCA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14:paraId="60694E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14:paraId="754C948A">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0E9F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822544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14:paraId="7A8003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14:paraId="062218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14:paraId="2898CF0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05CBDEE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204329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0713CD6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51D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533A3C6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14:paraId="069C98C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14:paraId="633CB5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14:paraId="1AC350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67465A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5FB12D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4745E7F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7B4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3C6A8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Borders>
              <w:top w:val="single" w:color="auto" w:sz="4" w:space="0"/>
              <w:left w:val="single" w:color="auto" w:sz="4" w:space="0"/>
              <w:bottom w:val="single" w:color="auto" w:sz="4" w:space="0"/>
              <w:right w:val="single" w:color="auto" w:sz="4" w:space="0"/>
            </w:tcBorders>
          </w:tcPr>
          <w:p w14:paraId="114AE2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拉丁学名</w:t>
            </w:r>
          </w:p>
        </w:tc>
        <w:tc>
          <w:tcPr>
            <w:tcW w:w="1139" w:type="dxa"/>
            <w:tcBorders>
              <w:top w:val="single" w:color="auto" w:sz="4" w:space="0"/>
              <w:left w:val="single" w:color="auto" w:sz="4" w:space="0"/>
              <w:bottom w:val="single" w:color="auto" w:sz="4" w:space="0"/>
              <w:right w:val="single" w:color="auto" w:sz="4" w:space="0"/>
            </w:tcBorders>
          </w:tcPr>
          <w:p w14:paraId="0797AA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LDXM</w:t>
            </w:r>
          </w:p>
        </w:tc>
        <w:tc>
          <w:tcPr>
            <w:tcW w:w="1231" w:type="dxa"/>
            <w:tcBorders>
              <w:top w:val="single" w:color="auto" w:sz="4" w:space="0"/>
              <w:left w:val="single" w:color="auto" w:sz="4" w:space="0"/>
              <w:bottom w:val="single" w:color="auto" w:sz="4" w:space="0"/>
              <w:right w:val="single" w:color="auto" w:sz="4" w:space="0"/>
            </w:tcBorders>
          </w:tcPr>
          <w:p w14:paraId="609EB09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500298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40</w:t>
            </w:r>
          </w:p>
        </w:tc>
        <w:tc>
          <w:tcPr>
            <w:tcW w:w="912" w:type="dxa"/>
            <w:tcBorders>
              <w:top w:val="single" w:color="auto" w:sz="4" w:space="0"/>
              <w:left w:val="single" w:color="auto" w:sz="4" w:space="0"/>
              <w:bottom w:val="single" w:color="auto" w:sz="4" w:space="0"/>
              <w:right w:val="single" w:color="auto" w:sz="4" w:space="0"/>
            </w:tcBorders>
          </w:tcPr>
          <w:p w14:paraId="61CBA5E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5AAE58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拉丁学名</w:t>
            </w:r>
          </w:p>
        </w:tc>
      </w:tr>
      <w:tr w14:paraId="00EB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8C7D5B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tcBorders>
              <w:top w:val="single" w:color="auto" w:sz="4" w:space="0"/>
              <w:left w:val="single" w:color="auto" w:sz="4" w:space="0"/>
              <w:bottom w:val="single" w:color="auto" w:sz="4" w:space="0"/>
              <w:right w:val="single" w:color="auto" w:sz="4" w:space="0"/>
            </w:tcBorders>
          </w:tcPr>
          <w:p w14:paraId="748B100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科</w:t>
            </w:r>
          </w:p>
        </w:tc>
        <w:tc>
          <w:tcPr>
            <w:tcW w:w="1139" w:type="dxa"/>
            <w:tcBorders>
              <w:top w:val="single" w:color="auto" w:sz="4" w:space="0"/>
              <w:left w:val="single" w:color="auto" w:sz="4" w:space="0"/>
              <w:bottom w:val="single" w:color="auto" w:sz="4" w:space="0"/>
              <w:right w:val="single" w:color="auto" w:sz="4" w:space="0"/>
            </w:tcBorders>
          </w:tcPr>
          <w:p w14:paraId="2E44AC6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K</w:t>
            </w:r>
          </w:p>
        </w:tc>
        <w:tc>
          <w:tcPr>
            <w:tcW w:w="1231" w:type="dxa"/>
            <w:tcBorders>
              <w:top w:val="single" w:color="auto" w:sz="4" w:space="0"/>
              <w:left w:val="single" w:color="auto" w:sz="4" w:space="0"/>
              <w:bottom w:val="single" w:color="auto" w:sz="4" w:space="0"/>
              <w:right w:val="single" w:color="auto" w:sz="4" w:space="0"/>
            </w:tcBorders>
          </w:tcPr>
          <w:p w14:paraId="678CBE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48DD468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w:t>
            </w:r>
          </w:p>
        </w:tc>
        <w:tc>
          <w:tcPr>
            <w:tcW w:w="912" w:type="dxa"/>
            <w:tcBorders>
              <w:top w:val="single" w:color="auto" w:sz="4" w:space="0"/>
              <w:left w:val="single" w:color="auto" w:sz="4" w:space="0"/>
              <w:bottom w:val="single" w:color="auto" w:sz="4" w:space="0"/>
              <w:right w:val="single" w:color="auto" w:sz="4" w:space="0"/>
            </w:tcBorders>
          </w:tcPr>
          <w:p w14:paraId="20919F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7D4CCF2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植物科属</w:t>
            </w:r>
          </w:p>
        </w:tc>
      </w:tr>
      <w:tr w14:paraId="3066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8A5CC9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1509" w:type="dxa"/>
            <w:tcBorders>
              <w:top w:val="single" w:color="auto" w:sz="4" w:space="0"/>
              <w:left w:val="single" w:color="auto" w:sz="4" w:space="0"/>
              <w:bottom w:val="single" w:color="auto" w:sz="4" w:space="0"/>
              <w:right w:val="single" w:color="auto" w:sz="4" w:space="0"/>
            </w:tcBorders>
          </w:tcPr>
          <w:p w14:paraId="72519E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属</w:t>
            </w:r>
          </w:p>
        </w:tc>
        <w:tc>
          <w:tcPr>
            <w:tcW w:w="1139" w:type="dxa"/>
            <w:tcBorders>
              <w:top w:val="single" w:color="auto" w:sz="4" w:space="0"/>
              <w:left w:val="single" w:color="auto" w:sz="4" w:space="0"/>
              <w:bottom w:val="single" w:color="auto" w:sz="4" w:space="0"/>
              <w:right w:val="single" w:color="auto" w:sz="4" w:space="0"/>
            </w:tcBorders>
          </w:tcPr>
          <w:p w14:paraId="49AEB1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w:t>
            </w:r>
          </w:p>
        </w:tc>
        <w:tc>
          <w:tcPr>
            <w:tcW w:w="1231" w:type="dxa"/>
            <w:tcBorders>
              <w:top w:val="single" w:color="auto" w:sz="4" w:space="0"/>
              <w:left w:val="single" w:color="auto" w:sz="4" w:space="0"/>
              <w:bottom w:val="single" w:color="auto" w:sz="4" w:space="0"/>
              <w:right w:val="single" w:color="auto" w:sz="4" w:space="0"/>
            </w:tcBorders>
          </w:tcPr>
          <w:p w14:paraId="6F17D6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0BE9C35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w:t>
            </w:r>
          </w:p>
        </w:tc>
        <w:tc>
          <w:tcPr>
            <w:tcW w:w="912" w:type="dxa"/>
            <w:tcBorders>
              <w:top w:val="single" w:color="auto" w:sz="4" w:space="0"/>
              <w:left w:val="single" w:color="auto" w:sz="4" w:space="0"/>
              <w:bottom w:val="single" w:color="auto" w:sz="4" w:space="0"/>
              <w:right w:val="single" w:color="auto" w:sz="4" w:space="0"/>
            </w:tcBorders>
          </w:tcPr>
          <w:p w14:paraId="690C0BA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1872F2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植物科属</w:t>
            </w:r>
          </w:p>
        </w:tc>
      </w:tr>
      <w:tr w14:paraId="553C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14BC2F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1509" w:type="dxa"/>
            <w:tcBorders>
              <w:top w:val="single" w:color="auto" w:sz="4" w:space="0"/>
              <w:left w:val="single" w:color="auto" w:sz="4" w:space="0"/>
              <w:bottom w:val="single" w:color="auto" w:sz="4" w:space="0"/>
              <w:right w:val="single" w:color="auto" w:sz="4" w:space="0"/>
            </w:tcBorders>
          </w:tcPr>
          <w:p w14:paraId="048E1C2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等级</w:t>
            </w:r>
          </w:p>
        </w:tc>
        <w:tc>
          <w:tcPr>
            <w:tcW w:w="1139" w:type="dxa"/>
            <w:tcBorders>
              <w:top w:val="single" w:color="auto" w:sz="4" w:space="0"/>
              <w:left w:val="single" w:color="auto" w:sz="4" w:space="0"/>
              <w:bottom w:val="single" w:color="auto" w:sz="4" w:space="0"/>
              <w:right w:val="single" w:color="auto" w:sz="4" w:space="0"/>
            </w:tcBorders>
          </w:tcPr>
          <w:p w14:paraId="5613A2C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DJ</w:t>
            </w:r>
          </w:p>
        </w:tc>
        <w:tc>
          <w:tcPr>
            <w:tcW w:w="1231" w:type="dxa"/>
            <w:tcBorders>
              <w:top w:val="single" w:color="auto" w:sz="4" w:space="0"/>
              <w:left w:val="single" w:color="auto" w:sz="4" w:space="0"/>
              <w:bottom w:val="single" w:color="auto" w:sz="4" w:space="0"/>
              <w:right w:val="single" w:color="auto" w:sz="4" w:space="0"/>
            </w:tcBorders>
          </w:tcPr>
          <w:p w14:paraId="23C856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62713D1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w:t>
            </w:r>
          </w:p>
        </w:tc>
        <w:tc>
          <w:tcPr>
            <w:tcW w:w="912" w:type="dxa"/>
            <w:tcBorders>
              <w:top w:val="single" w:color="auto" w:sz="4" w:space="0"/>
              <w:left w:val="single" w:color="auto" w:sz="4" w:space="0"/>
              <w:bottom w:val="single" w:color="auto" w:sz="4" w:space="0"/>
              <w:right w:val="single" w:color="auto" w:sz="4" w:space="0"/>
            </w:tcBorders>
          </w:tcPr>
          <w:p w14:paraId="310022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39EB45B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古树等级</w:t>
            </w:r>
          </w:p>
        </w:tc>
      </w:tr>
      <w:tr w14:paraId="4352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83B565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1509" w:type="dxa"/>
            <w:tcBorders>
              <w:top w:val="single" w:color="auto" w:sz="4" w:space="0"/>
              <w:left w:val="single" w:color="auto" w:sz="4" w:space="0"/>
              <w:bottom w:val="single" w:color="auto" w:sz="4" w:space="0"/>
              <w:right w:val="single" w:color="auto" w:sz="4" w:space="0"/>
            </w:tcBorders>
          </w:tcPr>
          <w:p w14:paraId="54975EC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冠幅</w:t>
            </w:r>
          </w:p>
        </w:tc>
        <w:tc>
          <w:tcPr>
            <w:tcW w:w="1139" w:type="dxa"/>
            <w:tcBorders>
              <w:top w:val="single" w:color="auto" w:sz="4" w:space="0"/>
              <w:left w:val="single" w:color="auto" w:sz="4" w:space="0"/>
              <w:bottom w:val="single" w:color="auto" w:sz="4" w:space="0"/>
              <w:right w:val="single" w:color="auto" w:sz="4" w:space="0"/>
            </w:tcBorders>
          </w:tcPr>
          <w:p w14:paraId="3DC291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GF</w:t>
            </w:r>
          </w:p>
        </w:tc>
        <w:tc>
          <w:tcPr>
            <w:tcW w:w="1231" w:type="dxa"/>
            <w:tcBorders>
              <w:top w:val="single" w:color="auto" w:sz="4" w:space="0"/>
              <w:left w:val="single" w:color="auto" w:sz="4" w:space="0"/>
              <w:bottom w:val="single" w:color="auto" w:sz="4" w:space="0"/>
              <w:right w:val="single" w:color="auto" w:sz="4" w:space="0"/>
            </w:tcBorders>
          </w:tcPr>
          <w:p w14:paraId="2F78349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6ACB4D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14:paraId="1705655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237529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树木冠幅</w:t>
            </w:r>
          </w:p>
        </w:tc>
      </w:tr>
      <w:tr w14:paraId="43F3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B53B09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1509" w:type="dxa"/>
            <w:tcBorders>
              <w:top w:val="single" w:color="auto" w:sz="4" w:space="0"/>
              <w:left w:val="single" w:color="auto" w:sz="4" w:space="0"/>
              <w:bottom w:val="single" w:color="auto" w:sz="4" w:space="0"/>
              <w:right w:val="single" w:color="auto" w:sz="4" w:space="0"/>
            </w:tcBorders>
          </w:tcPr>
          <w:p w14:paraId="55D965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胸径</w:t>
            </w:r>
          </w:p>
        </w:tc>
        <w:tc>
          <w:tcPr>
            <w:tcW w:w="1139" w:type="dxa"/>
            <w:tcBorders>
              <w:top w:val="single" w:color="auto" w:sz="4" w:space="0"/>
              <w:left w:val="single" w:color="auto" w:sz="4" w:space="0"/>
              <w:bottom w:val="single" w:color="auto" w:sz="4" w:space="0"/>
              <w:right w:val="single" w:color="auto" w:sz="4" w:space="0"/>
            </w:tcBorders>
          </w:tcPr>
          <w:p w14:paraId="6567B18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XJ</w:t>
            </w:r>
          </w:p>
        </w:tc>
        <w:tc>
          <w:tcPr>
            <w:tcW w:w="1231" w:type="dxa"/>
            <w:tcBorders>
              <w:top w:val="single" w:color="auto" w:sz="4" w:space="0"/>
              <w:left w:val="single" w:color="auto" w:sz="4" w:space="0"/>
              <w:bottom w:val="single" w:color="auto" w:sz="4" w:space="0"/>
              <w:right w:val="single" w:color="auto" w:sz="4" w:space="0"/>
            </w:tcBorders>
          </w:tcPr>
          <w:p w14:paraId="21E96C3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42ED23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14:paraId="5DC9D7C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0DE80A5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树干胸径</w:t>
            </w:r>
          </w:p>
        </w:tc>
      </w:tr>
      <w:tr w14:paraId="01B7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CE2DB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0</w:t>
            </w:r>
          </w:p>
        </w:tc>
        <w:tc>
          <w:tcPr>
            <w:tcW w:w="1509" w:type="dxa"/>
            <w:tcBorders>
              <w:top w:val="single" w:color="auto" w:sz="4" w:space="0"/>
              <w:left w:val="single" w:color="auto" w:sz="4" w:space="0"/>
              <w:bottom w:val="single" w:color="auto" w:sz="4" w:space="0"/>
              <w:right w:val="single" w:color="auto" w:sz="4" w:space="0"/>
            </w:tcBorders>
          </w:tcPr>
          <w:p w14:paraId="2F8553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树高</w:t>
            </w:r>
          </w:p>
        </w:tc>
        <w:tc>
          <w:tcPr>
            <w:tcW w:w="1139" w:type="dxa"/>
            <w:tcBorders>
              <w:top w:val="single" w:color="auto" w:sz="4" w:space="0"/>
              <w:left w:val="single" w:color="auto" w:sz="4" w:space="0"/>
              <w:bottom w:val="single" w:color="auto" w:sz="4" w:space="0"/>
              <w:right w:val="single" w:color="auto" w:sz="4" w:space="0"/>
            </w:tcBorders>
          </w:tcPr>
          <w:p w14:paraId="1612545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SG</w:t>
            </w:r>
          </w:p>
        </w:tc>
        <w:tc>
          <w:tcPr>
            <w:tcW w:w="1231" w:type="dxa"/>
            <w:tcBorders>
              <w:top w:val="single" w:color="auto" w:sz="4" w:space="0"/>
              <w:left w:val="single" w:color="auto" w:sz="4" w:space="0"/>
              <w:bottom w:val="single" w:color="auto" w:sz="4" w:space="0"/>
              <w:right w:val="single" w:color="auto" w:sz="4" w:space="0"/>
            </w:tcBorders>
          </w:tcPr>
          <w:p w14:paraId="6EDE89C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138D22F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16</w:t>
            </w:r>
          </w:p>
        </w:tc>
        <w:tc>
          <w:tcPr>
            <w:tcW w:w="912" w:type="dxa"/>
            <w:tcBorders>
              <w:top w:val="single" w:color="auto" w:sz="4" w:space="0"/>
              <w:left w:val="single" w:color="auto" w:sz="4" w:space="0"/>
              <w:bottom w:val="single" w:color="auto" w:sz="4" w:space="0"/>
              <w:right w:val="single" w:color="auto" w:sz="4" w:space="0"/>
            </w:tcBorders>
          </w:tcPr>
          <w:p w14:paraId="18EF8F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Borders>
              <w:top w:val="single" w:color="auto" w:sz="4" w:space="0"/>
              <w:left w:val="single" w:color="auto" w:sz="4" w:space="0"/>
              <w:bottom w:val="single" w:color="auto" w:sz="4" w:space="0"/>
              <w:right w:val="single" w:color="auto" w:sz="4" w:space="0"/>
            </w:tcBorders>
          </w:tcPr>
          <w:p w14:paraId="73EB1E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树木高度</w:t>
            </w:r>
          </w:p>
        </w:tc>
      </w:tr>
      <w:tr w14:paraId="1A09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3D8823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1</w:t>
            </w:r>
          </w:p>
        </w:tc>
        <w:tc>
          <w:tcPr>
            <w:tcW w:w="1509" w:type="dxa"/>
            <w:tcBorders>
              <w:top w:val="single" w:color="auto" w:sz="4" w:space="0"/>
              <w:left w:val="single" w:color="auto" w:sz="4" w:space="0"/>
              <w:bottom w:val="single" w:color="auto" w:sz="4" w:space="0"/>
              <w:right w:val="single" w:color="auto" w:sz="4" w:space="0"/>
            </w:tcBorders>
          </w:tcPr>
          <w:p w14:paraId="233019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树龄</w:t>
            </w:r>
          </w:p>
        </w:tc>
        <w:tc>
          <w:tcPr>
            <w:tcW w:w="1139" w:type="dxa"/>
            <w:tcBorders>
              <w:top w:val="single" w:color="auto" w:sz="4" w:space="0"/>
              <w:left w:val="single" w:color="auto" w:sz="4" w:space="0"/>
              <w:bottom w:val="single" w:color="auto" w:sz="4" w:space="0"/>
              <w:right w:val="single" w:color="auto" w:sz="4" w:space="0"/>
            </w:tcBorders>
          </w:tcPr>
          <w:p w14:paraId="1CEBE04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SL</w:t>
            </w:r>
          </w:p>
        </w:tc>
        <w:tc>
          <w:tcPr>
            <w:tcW w:w="1231" w:type="dxa"/>
            <w:tcBorders>
              <w:top w:val="single" w:color="auto" w:sz="4" w:space="0"/>
              <w:left w:val="single" w:color="auto" w:sz="4" w:space="0"/>
              <w:bottom w:val="single" w:color="auto" w:sz="4" w:space="0"/>
              <w:right w:val="single" w:color="auto" w:sz="4" w:space="0"/>
            </w:tcBorders>
          </w:tcPr>
          <w:p w14:paraId="7BD1C8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315B4C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16</w:t>
            </w:r>
          </w:p>
        </w:tc>
        <w:tc>
          <w:tcPr>
            <w:tcW w:w="912" w:type="dxa"/>
            <w:tcBorders>
              <w:top w:val="single" w:color="auto" w:sz="4" w:space="0"/>
              <w:left w:val="single" w:color="auto" w:sz="4" w:space="0"/>
              <w:bottom w:val="single" w:color="auto" w:sz="4" w:space="0"/>
              <w:right w:val="single" w:color="auto" w:sz="4" w:space="0"/>
            </w:tcBorders>
          </w:tcPr>
          <w:p w14:paraId="700E0D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77ED82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树的年龄</w:t>
            </w:r>
          </w:p>
        </w:tc>
      </w:tr>
      <w:tr w14:paraId="1518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0DDB3B3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2</w:t>
            </w:r>
          </w:p>
        </w:tc>
        <w:tc>
          <w:tcPr>
            <w:tcW w:w="1509" w:type="dxa"/>
            <w:tcBorders>
              <w:top w:val="single" w:color="auto" w:sz="4" w:space="0"/>
              <w:left w:val="single" w:color="auto" w:sz="4" w:space="0"/>
              <w:bottom w:val="single" w:color="auto" w:sz="4" w:space="0"/>
              <w:right w:val="single" w:color="auto" w:sz="4" w:space="0"/>
            </w:tcBorders>
          </w:tcPr>
          <w:p w14:paraId="421B52E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栽种单位</w:t>
            </w:r>
          </w:p>
        </w:tc>
        <w:tc>
          <w:tcPr>
            <w:tcW w:w="1139" w:type="dxa"/>
            <w:tcBorders>
              <w:top w:val="single" w:color="auto" w:sz="4" w:space="0"/>
              <w:left w:val="single" w:color="auto" w:sz="4" w:space="0"/>
              <w:bottom w:val="single" w:color="auto" w:sz="4" w:space="0"/>
              <w:right w:val="single" w:color="auto" w:sz="4" w:space="0"/>
            </w:tcBorders>
          </w:tcPr>
          <w:p w14:paraId="2EB1D8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ZZDW</w:t>
            </w:r>
          </w:p>
        </w:tc>
        <w:tc>
          <w:tcPr>
            <w:tcW w:w="1231" w:type="dxa"/>
            <w:tcBorders>
              <w:top w:val="single" w:color="auto" w:sz="4" w:space="0"/>
              <w:left w:val="single" w:color="auto" w:sz="4" w:space="0"/>
              <w:bottom w:val="single" w:color="auto" w:sz="4" w:space="0"/>
              <w:right w:val="single" w:color="auto" w:sz="4" w:space="0"/>
            </w:tcBorders>
          </w:tcPr>
          <w:p w14:paraId="04CC585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50232E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14:paraId="6AFBEF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Borders>
              <w:top w:val="single" w:color="auto" w:sz="4" w:space="0"/>
              <w:left w:val="single" w:color="auto" w:sz="4" w:space="0"/>
              <w:bottom w:val="single" w:color="auto" w:sz="4" w:space="0"/>
              <w:right w:val="single" w:color="auto" w:sz="4" w:space="0"/>
            </w:tcBorders>
          </w:tcPr>
          <w:p w14:paraId="51BA27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树木种植单位</w:t>
            </w:r>
          </w:p>
        </w:tc>
      </w:tr>
      <w:tr w14:paraId="1344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6439F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3</w:t>
            </w:r>
          </w:p>
        </w:tc>
        <w:tc>
          <w:tcPr>
            <w:tcW w:w="1509" w:type="dxa"/>
            <w:tcBorders>
              <w:top w:val="single" w:color="auto" w:sz="4" w:space="0"/>
              <w:left w:val="single" w:color="auto" w:sz="4" w:space="0"/>
              <w:bottom w:val="single" w:color="auto" w:sz="4" w:space="0"/>
              <w:right w:val="single" w:color="auto" w:sz="4" w:space="0"/>
            </w:tcBorders>
          </w:tcPr>
          <w:p w14:paraId="6E9A28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1139" w:type="dxa"/>
            <w:tcBorders>
              <w:top w:val="single" w:color="auto" w:sz="4" w:space="0"/>
              <w:left w:val="single" w:color="auto" w:sz="4" w:space="0"/>
              <w:bottom w:val="single" w:color="auto" w:sz="4" w:space="0"/>
              <w:right w:val="single" w:color="auto" w:sz="4" w:space="0"/>
            </w:tcBorders>
          </w:tcPr>
          <w:p w14:paraId="3A09632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1231" w:type="dxa"/>
            <w:tcBorders>
              <w:top w:val="single" w:color="auto" w:sz="4" w:space="0"/>
              <w:left w:val="single" w:color="auto" w:sz="4" w:space="0"/>
              <w:bottom w:val="single" w:color="auto" w:sz="4" w:space="0"/>
              <w:right w:val="single" w:color="auto" w:sz="4" w:space="0"/>
            </w:tcBorders>
          </w:tcPr>
          <w:p w14:paraId="4B56B1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7F973FA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14:paraId="571BCCA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Borders>
              <w:top w:val="single" w:color="auto" w:sz="4" w:space="0"/>
              <w:left w:val="single" w:color="auto" w:sz="4" w:space="0"/>
              <w:bottom w:val="single" w:color="auto" w:sz="4" w:space="0"/>
              <w:right w:val="single" w:color="auto" w:sz="4" w:space="0"/>
            </w:tcBorders>
          </w:tcPr>
          <w:p w14:paraId="430C5F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树木管理单位</w:t>
            </w:r>
          </w:p>
        </w:tc>
      </w:tr>
    </w:tbl>
    <w:p w14:paraId="74B85B87">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绿地附属设施主要数据项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3567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3" w:type="dxa"/>
            <w:vAlign w:val="center"/>
          </w:tcPr>
          <w:p w14:paraId="1D3B03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1C8E1D8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0E30238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6C20F2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653A03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587DA9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77E0D3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613C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vAlign w:val="center"/>
          </w:tcPr>
          <w:p w14:paraId="5BB2C53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14:paraId="3878BCDE">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14:paraId="4049BCD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14:paraId="72B38E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14:paraId="7D7191F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14:paraId="6C10281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14:paraId="3D1EF2AD">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59AD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2BF63A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14:paraId="52F0816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14:paraId="05878C0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14:paraId="1876AE2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3829C51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5109C77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15663D4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ED3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C72A29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14:paraId="6CE322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14:paraId="4921D2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14:paraId="78DAB9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484C5AE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00E672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2B1374D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32D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B9372F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Pr>
          <w:p w14:paraId="12B906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1139" w:type="dxa"/>
          </w:tcPr>
          <w:p w14:paraId="7D9444E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1231" w:type="dxa"/>
          </w:tcPr>
          <w:p w14:paraId="4172E5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Pr>
          <w:p w14:paraId="7270D0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67938D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Pr>
          <w:p w14:paraId="2BCF4F10">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F27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1BF55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tcPr>
          <w:p w14:paraId="689F80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材质</w:t>
            </w:r>
          </w:p>
        </w:tc>
        <w:tc>
          <w:tcPr>
            <w:tcW w:w="1139" w:type="dxa"/>
          </w:tcPr>
          <w:p w14:paraId="420690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CZ</w:t>
            </w:r>
          </w:p>
        </w:tc>
        <w:tc>
          <w:tcPr>
            <w:tcW w:w="1231" w:type="dxa"/>
          </w:tcPr>
          <w:p w14:paraId="5F62EC1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Pr>
          <w:p w14:paraId="4CFABAB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100</w:t>
            </w:r>
          </w:p>
        </w:tc>
        <w:tc>
          <w:tcPr>
            <w:tcW w:w="912" w:type="dxa"/>
          </w:tcPr>
          <w:p w14:paraId="0FB345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Pr>
          <w:p w14:paraId="0037D1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设施材质</w:t>
            </w:r>
          </w:p>
        </w:tc>
      </w:tr>
    </w:tbl>
    <w:p w14:paraId="5879E911">
      <w:pPr>
        <w:pStyle w:val="14"/>
        <w:rPr>
          <w:rFonts w:hint="eastAsia"/>
          <w:lang w:eastAsia="zh-Hans"/>
        </w:rPr>
      </w:pPr>
      <w:bookmarkStart w:id="395" w:name="_Toc22475900"/>
      <w:r>
        <w:rPr>
          <w:rFonts w:hint="eastAsia"/>
          <w:lang w:eastAsia="zh-Hans"/>
        </w:rPr>
        <w:t>综合执法数据库</w:t>
      </w:r>
      <w:bookmarkEnd w:id="395"/>
    </w:p>
    <w:p w14:paraId="2A9CD383">
      <w:pPr>
        <w:ind w:firstLine="480"/>
        <w:rPr>
          <w:rFonts w:hint="eastAsia" w:ascii="宋体" w:hAnsi="宋体" w:eastAsia="宋体"/>
        </w:rPr>
      </w:pPr>
      <w:r>
        <w:rPr>
          <w:rFonts w:hint="eastAsia" w:ascii="宋体" w:hAnsi="宋体" w:eastAsia="宋体"/>
        </w:rPr>
        <w:t>建立执法机构库，包括：机构名称、地址、联系方式、负责人、职责等基础信息。便于对承办单位的任务派遣，监管考核以及相关的查询和统计。</w:t>
      </w:r>
    </w:p>
    <w:p w14:paraId="16CBE134">
      <w:pPr>
        <w:ind w:firstLine="480"/>
        <w:rPr>
          <w:rFonts w:hint="eastAsia" w:ascii="宋体" w:hAnsi="宋体" w:eastAsia="宋体"/>
        </w:rPr>
      </w:pPr>
      <w:r>
        <w:rPr>
          <w:rFonts w:hint="eastAsia" w:ascii="宋体" w:hAnsi="宋体" w:eastAsia="宋体"/>
        </w:rPr>
        <w:t>建立城市管理执法人员数据库，包括执法人员的姓名、照片、工作单位、执法证号、执法类别、执法证件年检注册等基本信息。</w:t>
      </w:r>
    </w:p>
    <w:p w14:paraId="6A23A13D">
      <w:pPr>
        <w:ind w:firstLine="480"/>
        <w:rPr>
          <w:rFonts w:hint="eastAsia" w:ascii="宋体" w:hAnsi="宋体" w:eastAsia="宋体"/>
        </w:rPr>
      </w:pPr>
      <w:r>
        <w:rPr>
          <w:rFonts w:hint="eastAsia" w:ascii="宋体" w:hAnsi="宋体" w:eastAsia="宋体"/>
        </w:rPr>
        <w:t>建立城市管理执法主体数据库，包括：单位名称、单位编码、地址、联系方式、负责人、法人、职责、执法区域、组织结构和救济途径等信息。便于对行政执法主体的管理、相关事项的查询。同时，量化行政执法主体考核成绩，推动政府部门依法履职。</w:t>
      </w:r>
    </w:p>
    <w:p w14:paraId="1FCCDF0E">
      <w:pPr>
        <w:ind w:firstLine="480"/>
        <w:rPr>
          <w:rFonts w:hint="eastAsia" w:ascii="宋体" w:hAnsi="宋体" w:eastAsia="宋体"/>
        </w:rPr>
      </w:pPr>
      <w:r>
        <w:rPr>
          <w:rFonts w:hint="eastAsia" w:ascii="宋体" w:hAnsi="宋体" w:eastAsia="宋体"/>
        </w:rPr>
        <w:t>将各城市管理及执法权责清单编码化入库，数据包括：权责名称、权责编码、权责类型、是否有效、是否可主动履行等信息。与执法依据、执法事项相关联，同时与部门相关联，进行统计和考核。整合各部门权利清单，构建基于部门的权利清单数据库。</w:t>
      </w:r>
    </w:p>
    <w:p w14:paraId="29245F34">
      <w:pPr>
        <w:ind w:firstLine="480"/>
        <w:rPr>
          <w:rFonts w:hint="eastAsia" w:ascii="宋体" w:hAnsi="宋体" w:eastAsia="宋体"/>
        </w:rPr>
      </w:pPr>
      <w:r>
        <w:rPr>
          <w:rFonts w:hint="eastAsia" w:ascii="宋体" w:hAnsi="宋体" w:eastAsia="宋体"/>
        </w:rPr>
        <w:t>针对执法项目中存在一份处罚文书材料多个部门共用的特性，建立统一文书模板库，实现各部门文书模板共享、统一的目的。</w:t>
      </w:r>
    </w:p>
    <w:p w14:paraId="25DDC261">
      <w:pPr>
        <w:pStyle w:val="182"/>
        <w:tabs>
          <w:tab w:val="left" w:pos="0"/>
        </w:tabs>
        <w:rPr>
          <w:rFonts w:hint="eastAsia" w:ascii="宋体" w:hAnsi="宋体"/>
          <w:lang w:eastAsia="zh-Hans"/>
        </w:rPr>
      </w:pP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636"/>
        <w:gridCol w:w="992"/>
        <w:gridCol w:w="992"/>
        <w:gridCol w:w="709"/>
        <w:gridCol w:w="1277"/>
        <w:gridCol w:w="2460"/>
      </w:tblGrid>
      <w:tr w14:paraId="74F3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5000" w:type="pct"/>
            <w:gridSpan w:val="7"/>
            <w:vAlign w:val="center"/>
          </w:tcPr>
          <w:p w14:paraId="39A44D9B">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执法台账主要数据项</w:t>
            </w:r>
          </w:p>
        </w:tc>
      </w:tr>
      <w:tr w14:paraId="46A8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268" w:type="pct"/>
            <w:vAlign w:val="center"/>
          </w:tcPr>
          <w:p w14:paraId="0D39D2E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960" w:type="pct"/>
            <w:vAlign w:val="center"/>
          </w:tcPr>
          <w:p w14:paraId="2F28186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582" w:type="pct"/>
            <w:vAlign w:val="center"/>
          </w:tcPr>
          <w:p w14:paraId="66A8DE9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582" w:type="pct"/>
            <w:vAlign w:val="center"/>
          </w:tcPr>
          <w:p w14:paraId="4C2C0F7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416" w:type="pct"/>
            <w:vAlign w:val="center"/>
          </w:tcPr>
          <w:p w14:paraId="6248F02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49" w:type="pct"/>
            <w:vAlign w:val="center"/>
          </w:tcPr>
          <w:p w14:paraId="0FFA707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443" w:type="pct"/>
            <w:vAlign w:val="center"/>
          </w:tcPr>
          <w:p w14:paraId="17461E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1742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25B7D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1</w:t>
            </w:r>
          </w:p>
        </w:tc>
        <w:tc>
          <w:tcPr>
            <w:tcW w:w="960" w:type="pct"/>
            <w:vAlign w:val="center"/>
          </w:tcPr>
          <w:p w14:paraId="5BCC7E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582" w:type="pct"/>
            <w:vAlign w:val="center"/>
          </w:tcPr>
          <w:p w14:paraId="7346B33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XZQHDM</w:t>
            </w:r>
          </w:p>
        </w:tc>
        <w:tc>
          <w:tcPr>
            <w:tcW w:w="582" w:type="pct"/>
            <w:vAlign w:val="center"/>
          </w:tcPr>
          <w:p w14:paraId="7F02C8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416" w:type="pct"/>
            <w:vAlign w:val="center"/>
          </w:tcPr>
          <w:p w14:paraId="2EA96A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749" w:type="pct"/>
            <w:vAlign w:val="center"/>
          </w:tcPr>
          <w:p w14:paraId="2C99ABA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443" w:type="pct"/>
            <w:vAlign w:val="center"/>
          </w:tcPr>
          <w:p w14:paraId="5C741AF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7FE2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79728712">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2</w:t>
            </w:r>
          </w:p>
        </w:tc>
        <w:tc>
          <w:tcPr>
            <w:tcW w:w="960" w:type="pct"/>
            <w:vAlign w:val="center"/>
          </w:tcPr>
          <w:p w14:paraId="7C79E36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填报时间</w:t>
            </w:r>
          </w:p>
        </w:tc>
        <w:tc>
          <w:tcPr>
            <w:tcW w:w="582" w:type="pct"/>
            <w:vAlign w:val="center"/>
          </w:tcPr>
          <w:p w14:paraId="536850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TBSJ</w:t>
            </w:r>
          </w:p>
        </w:tc>
        <w:tc>
          <w:tcPr>
            <w:tcW w:w="582" w:type="pct"/>
            <w:vAlign w:val="center"/>
          </w:tcPr>
          <w:p w14:paraId="675985E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datetime</w:t>
            </w:r>
          </w:p>
        </w:tc>
        <w:tc>
          <w:tcPr>
            <w:tcW w:w="416" w:type="pct"/>
            <w:vAlign w:val="center"/>
          </w:tcPr>
          <w:p w14:paraId="278481B9">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14:paraId="2940B2C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F31404F">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14:paraId="6EED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7A138121">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3</w:t>
            </w:r>
          </w:p>
        </w:tc>
        <w:tc>
          <w:tcPr>
            <w:tcW w:w="960" w:type="pct"/>
            <w:vAlign w:val="center"/>
          </w:tcPr>
          <w:p w14:paraId="1EB27B9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填报单位</w:t>
            </w:r>
          </w:p>
        </w:tc>
        <w:tc>
          <w:tcPr>
            <w:tcW w:w="582" w:type="pct"/>
            <w:vAlign w:val="center"/>
          </w:tcPr>
          <w:p w14:paraId="0EBE590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TBDW</w:t>
            </w:r>
          </w:p>
        </w:tc>
        <w:tc>
          <w:tcPr>
            <w:tcW w:w="582" w:type="pct"/>
            <w:vAlign w:val="center"/>
          </w:tcPr>
          <w:p w14:paraId="6D91DD2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0248095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100</w:t>
            </w:r>
          </w:p>
        </w:tc>
        <w:tc>
          <w:tcPr>
            <w:tcW w:w="749" w:type="pct"/>
            <w:vAlign w:val="center"/>
          </w:tcPr>
          <w:p w14:paraId="1C55F4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145298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14:paraId="4B64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1A1661A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w:t>
            </w:r>
          </w:p>
        </w:tc>
        <w:tc>
          <w:tcPr>
            <w:tcW w:w="960" w:type="pct"/>
            <w:vAlign w:val="center"/>
          </w:tcPr>
          <w:p w14:paraId="5AAA51C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城市管理部门</w:t>
            </w:r>
          </w:p>
        </w:tc>
        <w:tc>
          <w:tcPr>
            <w:tcW w:w="582" w:type="pct"/>
            <w:vAlign w:val="center"/>
          </w:tcPr>
          <w:p w14:paraId="2C759E7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CSGLBM</w:t>
            </w:r>
          </w:p>
        </w:tc>
        <w:tc>
          <w:tcPr>
            <w:tcW w:w="582" w:type="pct"/>
            <w:vAlign w:val="center"/>
          </w:tcPr>
          <w:p w14:paraId="4AB50D7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4C8003A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100</w:t>
            </w:r>
          </w:p>
        </w:tc>
        <w:tc>
          <w:tcPr>
            <w:tcW w:w="749" w:type="pct"/>
            <w:vAlign w:val="center"/>
          </w:tcPr>
          <w:p w14:paraId="1207153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BA16C9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color w:val="000000"/>
                <w:szCs w:val="20"/>
                <w:lang w:bidi="ar"/>
              </w:rPr>
              <w:t>城市管理部门全称</w:t>
            </w:r>
          </w:p>
        </w:tc>
      </w:tr>
      <w:tr w14:paraId="613A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37D8A2A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w:t>
            </w:r>
          </w:p>
        </w:tc>
        <w:tc>
          <w:tcPr>
            <w:tcW w:w="960" w:type="pct"/>
            <w:vAlign w:val="center"/>
          </w:tcPr>
          <w:p w14:paraId="00367E7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机构性质</w:t>
            </w:r>
          </w:p>
        </w:tc>
        <w:tc>
          <w:tcPr>
            <w:tcW w:w="582" w:type="pct"/>
            <w:vAlign w:val="center"/>
          </w:tcPr>
          <w:p w14:paraId="76B272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JGXZ</w:t>
            </w:r>
          </w:p>
        </w:tc>
        <w:tc>
          <w:tcPr>
            <w:tcW w:w="582" w:type="pct"/>
            <w:vAlign w:val="center"/>
          </w:tcPr>
          <w:p w14:paraId="1A1035F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int</w:t>
            </w:r>
          </w:p>
        </w:tc>
        <w:tc>
          <w:tcPr>
            <w:tcW w:w="416" w:type="pct"/>
            <w:vAlign w:val="center"/>
          </w:tcPr>
          <w:p w14:paraId="3F4B1A5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7E1099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32C3B6A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1：</w:t>
            </w:r>
            <w:r>
              <w:rPr>
                <w:rFonts w:hint="eastAsia" w:hAnsi="宋体"/>
                <w:szCs w:val="20"/>
              </w:rPr>
              <w:t>行政单位</w:t>
            </w:r>
          </w:p>
          <w:p w14:paraId="38870BC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w:t>
            </w:r>
            <w:r>
              <w:rPr>
                <w:rFonts w:hint="eastAsia" w:hAnsi="宋体"/>
                <w:szCs w:val="20"/>
              </w:rPr>
              <w:t>参公事业单位</w:t>
            </w:r>
          </w:p>
          <w:p w14:paraId="71D127E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3：</w:t>
            </w:r>
            <w:r>
              <w:rPr>
                <w:rFonts w:hint="eastAsia" w:hAnsi="宋体"/>
                <w:szCs w:val="20"/>
              </w:rPr>
              <w:t>全额拨款事业单位</w:t>
            </w:r>
          </w:p>
          <w:p w14:paraId="6E38D84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9：</w:t>
            </w:r>
            <w:r>
              <w:rPr>
                <w:rFonts w:hint="eastAsia" w:hAnsi="宋体"/>
                <w:szCs w:val="20"/>
              </w:rPr>
              <w:t>其他事业单位</w:t>
            </w:r>
          </w:p>
        </w:tc>
      </w:tr>
      <w:tr w14:paraId="6E45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67C2E5B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w:t>
            </w:r>
          </w:p>
        </w:tc>
        <w:tc>
          <w:tcPr>
            <w:tcW w:w="960" w:type="pct"/>
            <w:vAlign w:val="center"/>
          </w:tcPr>
          <w:p w14:paraId="349717B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是否属于政府工作部门</w:t>
            </w:r>
          </w:p>
        </w:tc>
        <w:tc>
          <w:tcPr>
            <w:tcW w:w="582" w:type="pct"/>
            <w:vAlign w:val="center"/>
          </w:tcPr>
          <w:p w14:paraId="151B44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SFSYZFGZBM</w:t>
            </w:r>
          </w:p>
        </w:tc>
        <w:tc>
          <w:tcPr>
            <w:tcW w:w="582" w:type="pct"/>
            <w:vAlign w:val="center"/>
          </w:tcPr>
          <w:p w14:paraId="355807E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18ACB85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0B4EB0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FFBAD0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主管部门</w:t>
            </w:r>
          </w:p>
        </w:tc>
      </w:tr>
      <w:tr w14:paraId="2820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7C812A2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w:t>
            </w:r>
          </w:p>
        </w:tc>
        <w:tc>
          <w:tcPr>
            <w:tcW w:w="960" w:type="pct"/>
            <w:vAlign w:val="center"/>
          </w:tcPr>
          <w:p w14:paraId="209A766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是否有专门的执法队伍</w:t>
            </w:r>
          </w:p>
        </w:tc>
        <w:tc>
          <w:tcPr>
            <w:tcW w:w="582" w:type="pct"/>
            <w:vAlign w:val="center"/>
          </w:tcPr>
          <w:p w14:paraId="3F0F52C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SFYZMDZFDW</w:t>
            </w:r>
          </w:p>
        </w:tc>
        <w:tc>
          <w:tcPr>
            <w:tcW w:w="582" w:type="pct"/>
            <w:vAlign w:val="center"/>
          </w:tcPr>
          <w:p w14:paraId="3D5FD03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64A6D42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E6A01F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B0997FB">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01D6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3BFF791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8</w:t>
            </w:r>
          </w:p>
        </w:tc>
        <w:tc>
          <w:tcPr>
            <w:tcW w:w="960" w:type="pct"/>
            <w:vAlign w:val="center"/>
          </w:tcPr>
          <w:p w14:paraId="3710DED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为局内设科室</w:t>
            </w:r>
          </w:p>
        </w:tc>
        <w:tc>
          <w:tcPr>
            <w:tcW w:w="582" w:type="pct"/>
            <w:vAlign w:val="center"/>
          </w:tcPr>
          <w:p w14:paraId="3079ACA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WJNSKS</w:t>
            </w:r>
          </w:p>
        </w:tc>
        <w:tc>
          <w:tcPr>
            <w:tcW w:w="582" w:type="pct"/>
            <w:vAlign w:val="center"/>
          </w:tcPr>
          <w:p w14:paraId="793199B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2A5D529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BE049E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E7D26EB">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72EE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4038538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9</w:t>
            </w:r>
          </w:p>
        </w:tc>
        <w:tc>
          <w:tcPr>
            <w:tcW w:w="960" w:type="pct"/>
            <w:vAlign w:val="center"/>
          </w:tcPr>
          <w:p w14:paraId="4E2E16A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为下属执法队伍</w:t>
            </w:r>
          </w:p>
        </w:tc>
        <w:tc>
          <w:tcPr>
            <w:tcW w:w="582" w:type="pct"/>
            <w:vAlign w:val="center"/>
          </w:tcPr>
          <w:p w14:paraId="6262970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WXSZFDW</w:t>
            </w:r>
          </w:p>
        </w:tc>
        <w:tc>
          <w:tcPr>
            <w:tcW w:w="582" w:type="pct"/>
            <w:vAlign w:val="center"/>
          </w:tcPr>
          <w:p w14:paraId="53F963A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9AEF3E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1EC69B1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CF7428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0A60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011823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10</w:t>
            </w:r>
          </w:p>
        </w:tc>
        <w:tc>
          <w:tcPr>
            <w:tcW w:w="960" w:type="pct"/>
            <w:vAlign w:val="center"/>
          </w:tcPr>
          <w:p w14:paraId="50E463D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执法队伍总数</w:t>
            </w:r>
          </w:p>
        </w:tc>
        <w:tc>
          <w:tcPr>
            <w:tcW w:w="582" w:type="pct"/>
            <w:vAlign w:val="center"/>
          </w:tcPr>
          <w:p w14:paraId="7CDE2AC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ZFDWZS</w:t>
            </w:r>
          </w:p>
        </w:tc>
        <w:tc>
          <w:tcPr>
            <w:tcW w:w="582" w:type="pct"/>
            <w:vAlign w:val="center"/>
          </w:tcPr>
          <w:p w14:paraId="6408EBD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68E416A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6C0691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DA2E59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5633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D0FF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11</w:t>
            </w:r>
          </w:p>
        </w:tc>
        <w:tc>
          <w:tcPr>
            <w:tcW w:w="960" w:type="pct"/>
            <w:vAlign w:val="center"/>
          </w:tcPr>
          <w:p w14:paraId="1F048EB6">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行政单位个数</w:t>
            </w:r>
          </w:p>
        </w:tc>
        <w:tc>
          <w:tcPr>
            <w:tcW w:w="582" w:type="pct"/>
            <w:vAlign w:val="center"/>
          </w:tcPr>
          <w:p w14:paraId="000EA5D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XZDWGS</w:t>
            </w:r>
          </w:p>
        </w:tc>
        <w:tc>
          <w:tcPr>
            <w:tcW w:w="582" w:type="pct"/>
            <w:vAlign w:val="center"/>
          </w:tcPr>
          <w:p w14:paraId="50EFF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int</w:t>
            </w:r>
          </w:p>
        </w:tc>
        <w:tc>
          <w:tcPr>
            <w:tcW w:w="416" w:type="pct"/>
            <w:vAlign w:val="center"/>
          </w:tcPr>
          <w:p w14:paraId="5BCD4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p>
        </w:tc>
        <w:tc>
          <w:tcPr>
            <w:tcW w:w="749" w:type="pct"/>
            <w:vAlign w:val="center"/>
          </w:tcPr>
          <w:p w14:paraId="1BAB1ED6">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1443" w:type="pct"/>
            <w:vAlign w:val="center"/>
          </w:tcPr>
          <w:p w14:paraId="2BC9DC5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4305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6891DD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12</w:t>
            </w:r>
          </w:p>
        </w:tc>
        <w:tc>
          <w:tcPr>
            <w:tcW w:w="960" w:type="pct"/>
            <w:vAlign w:val="center"/>
          </w:tcPr>
          <w:p w14:paraId="53C5E3F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参公事业单位个数</w:t>
            </w:r>
          </w:p>
        </w:tc>
        <w:tc>
          <w:tcPr>
            <w:tcW w:w="582" w:type="pct"/>
            <w:vAlign w:val="center"/>
          </w:tcPr>
          <w:p w14:paraId="767E75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CGSYDWGS</w:t>
            </w:r>
          </w:p>
        </w:tc>
        <w:tc>
          <w:tcPr>
            <w:tcW w:w="582" w:type="pct"/>
            <w:vAlign w:val="center"/>
          </w:tcPr>
          <w:p w14:paraId="275418B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C10CC8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08722F2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CD3595C">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2A5C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2222CE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13</w:t>
            </w:r>
          </w:p>
        </w:tc>
        <w:tc>
          <w:tcPr>
            <w:tcW w:w="960" w:type="pct"/>
            <w:vAlign w:val="center"/>
          </w:tcPr>
          <w:p w14:paraId="1C96D29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全额拨款事业单位个数</w:t>
            </w:r>
          </w:p>
        </w:tc>
        <w:tc>
          <w:tcPr>
            <w:tcW w:w="582" w:type="pct"/>
            <w:vAlign w:val="center"/>
          </w:tcPr>
          <w:p w14:paraId="66484D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QEBKSYDWGS</w:t>
            </w:r>
          </w:p>
        </w:tc>
        <w:tc>
          <w:tcPr>
            <w:tcW w:w="582" w:type="pct"/>
            <w:vAlign w:val="center"/>
          </w:tcPr>
          <w:p w14:paraId="6253BC7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647EA5C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323646C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FD6E7C3">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030D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A5E73E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14</w:t>
            </w:r>
          </w:p>
        </w:tc>
        <w:tc>
          <w:tcPr>
            <w:tcW w:w="960" w:type="pct"/>
            <w:vAlign w:val="center"/>
          </w:tcPr>
          <w:p w14:paraId="0A8E4B6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其他事业单位个数</w:t>
            </w:r>
          </w:p>
        </w:tc>
        <w:tc>
          <w:tcPr>
            <w:tcW w:w="582" w:type="pct"/>
            <w:vAlign w:val="center"/>
          </w:tcPr>
          <w:p w14:paraId="447AE060">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QTSYDWGS</w:t>
            </w:r>
          </w:p>
        </w:tc>
        <w:tc>
          <w:tcPr>
            <w:tcW w:w="582" w:type="pct"/>
            <w:vAlign w:val="center"/>
          </w:tcPr>
          <w:p w14:paraId="6BF55B7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777C1C5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508231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485205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2C93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18EA18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15</w:t>
            </w:r>
          </w:p>
        </w:tc>
        <w:tc>
          <w:tcPr>
            <w:tcW w:w="960" w:type="pct"/>
            <w:vAlign w:val="center"/>
          </w:tcPr>
          <w:p w14:paraId="6A7D0E7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综合管理总人数</w:t>
            </w:r>
          </w:p>
        </w:tc>
        <w:tc>
          <w:tcPr>
            <w:tcW w:w="582" w:type="pct"/>
            <w:vAlign w:val="center"/>
          </w:tcPr>
          <w:p w14:paraId="3901535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ZHGLZRS</w:t>
            </w:r>
          </w:p>
        </w:tc>
        <w:tc>
          <w:tcPr>
            <w:tcW w:w="582" w:type="pct"/>
            <w:vAlign w:val="center"/>
          </w:tcPr>
          <w:p w14:paraId="63C4849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741B08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C2D9B0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208044B">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人员编制</w:t>
            </w:r>
          </w:p>
        </w:tc>
      </w:tr>
      <w:tr w14:paraId="2B34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DD30DF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16</w:t>
            </w:r>
          </w:p>
        </w:tc>
        <w:tc>
          <w:tcPr>
            <w:tcW w:w="960" w:type="pct"/>
            <w:vAlign w:val="center"/>
          </w:tcPr>
          <w:p w14:paraId="70D6F5B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综合管理_行政编制人数</w:t>
            </w:r>
          </w:p>
        </w:tc>
        <w:tc>
          <w:tcPr>
            <w:tcW w:w="582" w:type="pct"/>
            <w:vAlign w:val="center"/>
          </w:tcPr>
          <w:p w14:paraId="6993F711">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ZHGL_XZBZRS</w:t>
            </w:r>
          </w:p>
        </w:tc>
        <w:tc>
          <w:tcPr>
            <w:tcW w:w="582" w:type="pct"/>
            <w:vAlign w:val="center"/>
          </w:tcPr>
          <w:p w14:paraId="3490F72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3F9EF5E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ECBAF6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167117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3680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13F80D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17</w:t>
            </w:r>
          </w:p>
        </w:tc>
        <w:tc>
          <w:tcPr>
            <w:tcW w:w="960" w:type="pct"/>
            <w:vAlign w:val="center"/>
          </w:tcPr>
          <w:p w14:paraId="462DCD2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综合管理_参公编制人数</w:t>
            </w:r>
          </w:p>
        </w:tc>
        <w:tc>
          <w:tcPr>
            <w:tcW w:w="582" w:type="pct"/>
            <w:vAlign w:val="center"/>
          </w:tcPr>
          <w:p w14:paraId="4DCB7BF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ZHGL_CGBZRS</w:t>
            </w:r>
          </w:p>
        </w:tc>
        <w:tc>
          <w:tcPr>
            <w:tcW w:w="582" w:type="pct"/>
            <w:vAlign w:val="center"/>
          </w:tcPr>
          <w:p w14:paraId="603D501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3C87B8E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35574FC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3F7EFB4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219F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E1B3F4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18</w:t>
            </w:r>
          </w:p>
        </w:tc>
        <w:tc>
          <w:tcPr>
            <w:tcW w:w="960" w:type="pct"/>
            <w:vAlign w:val="center"/>
          </w:tcPr>
          <w:p w14:paraId="5A27B8D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综合管理_全额拨款事业编制人数</w:t>
            </w:r>
          </w:p>
        </w:tc>
        <w:tc>
          <w:tcPr>
            <w:tcW w:w="582" w:type="pct"/>
            <w:vAlign w:val="center"/>
          </w:tcPr>
          <w:p w14:paraId="450EFC81">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ZHGL_QEBKSYBZRS</w:t>
            </w:r>
          </w:p>
        </w:tc>
        <w:tc>
          <w:tcPr>
            <w:tcW w:w="582" w:type="pct"/>
            <w:vAlign w:val="center"/>
          </w:tcPr>
          <w:p w14:paraId="2B92CB3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4906D33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4E47FAA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A486F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1028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5D4B5E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19</w:t>
            </w:r>
          </w:p>
        </w:tc>
        <w:tc>
          <w:tcPr>
            <w:tcW w:w="960" w:type="pct"/>
            <w:vAlign w:val="center"/>
          </w:tcPr>
          <w:p w14:paraId="0E3B6FE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综合管理_差额拨款事业编制人数</w:t>
            </w:r>
          </w:p>
        </w:tc>
        <w:tc>
          <w:tcPr>
            <w:tcW w:w="582" w:type="pct"/>
            <w:vAlign w:val="center"/>
          </w:tcPr>
          <w:p w14:paraId="1FEB9D04">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ZHGL_CEBKSYBZRS</w:t>
            </w:r>
          </w:p>
        </w:tc>
        <w:tc>
          <w:tcPr>
            <w:tcW w:w="582" w:type="pct"/>
            <w:vAlign w:val="center"/>
          </w:tcPr>
          <w:p w14:paraId="2195B54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31458E1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1B65687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708CB5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65A3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6B1867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w:t>
            </w:r>
          </w:p>
        </w:tc>
        <w:tc>
          <w:tcPr>
            <w:tcW w:w="960" w:type="pct"/>
            <w:vAlign w:val="center"/>
          </w:tcPr>
          <w:p w14:paraId="54BA6D7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综合管理_自收自支事业编制人数</w:t>
            </w:r>
          </w:p>
        </w:tc>
        <w:tc>
          <w:tcPr>
            <w:tcW w:w="582" w:type="pct"/>
            <w:vAlign w:val="center"/>
          </w:tcPr>
          <w:p w14:paraId="0D37984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ZHGL_ZSZZSYBZRS</w:t>
            </w:r>
          </w:p>
        </w:tc>
        <w:tc>
          <w:tcPr>
            <w:tcW w:w="582" w:type="pct"/>
            <w:vAlign w:val="center"/>
          </w:tcPr>
          <w:p w14:paraId="4F4C52F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371BB09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022FDB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36E772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1D3F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829A6D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21</w:t>
            </w:r>
          </w:p>
        </w:tc>
        <w:tc>
          <w:tcPr>
            <w:tcW w:w="960" w:type="pct"/>
            <w:vAlign w:val="center"/>
          </w:tcPr>
          <w:p w14:paraId="5032EAB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综合管理_其他事业编制人数</w:t>
            </w:r>
          </w:p>
        </w:tc>
        <w:tc>
          <w:tcPr>
            <w:tcW w:w="582" w:type="pct"/>
            <w:vAlign w:val="center"/>
          </w:tcPr>
          <w:p w14:paraId="10B7A3FE">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ZHGL_QTSYBZRS</w:t>
            </w:r>
          </w:p>
        </w:tc>
        <w:tc>
          <w:tcPr>
            <w:tcW w:w="582" w:type="pct"/>
            <w:vAlign w:val="center"/>
          </w:tcPr>
          <w:p w14:paraId="6F197E5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27385B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D80CEB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CDF68C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5D98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A0E82B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22</w:t>
            </w:r>
          </w:p>
        </w:tc>
        <w:tc>
          <w:tcPr>
            <w:tcW w:w="960" w:type="pct"/>
            <w:vAlign w:val="center"/>
          </w:tcPr>
          <w:p w14:paraId="4849AD1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行政执法总人数</w:t>
            </w:r>
          </w:p>
        </w:tc>
        <w:tc>
          <w:tcPr>
            <w:tcW w:w="582" w:type="pct"/>
            <w:vAlign w:val="center"/>
          </w:tcPr>
          <w:p w14:paraId="1C17F704">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XZZFZRS</w:t>
            </w:r>
          </w:p>
        </w:tc>
        <w:tc>
          <w:tcPr>
            <w:tcW w:w="582" w:type="pct"/>
            <w:vAlign w:val="center"/>
          </w:tcPr>
          <w:p w14:paraId="67A0EBA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618A303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3912E2E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828F3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7888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D8E8DB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23</w:t>
            </w:r>
          </w:p>
        </w:tc>
        <w:tc>
          <w:tcPr>
            <w:tcW w:w="960" w:type="pct"/>
            <w:vAlign w:val="center"/>
          </w:tcPr>
          <w:p w14:paraId="42D067B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行政执法_行政编制人数</w:t>
            </w:r>
          </w:p>
        </w:tc>
        <w:tc>
          <w:tcPr>
            <w:tcW w:w="582" w:type="pct"/>
            <w:vAlign w:val="center"/>
          </w:tcPr>
          <w:p w14:paraId="112F500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XZZF_XZBZRS</w:t>
            </w:r>
          </w:p>
        </w:tc>
        <w:tc>
          <w:tcPr>
            <w:tcW w:w="582" w:type="pct"/>
            <w:vAlign w:val="center"/>
          </w:tcPr>
          <w:p w14:paraId="317136D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413C5C6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0DFF0CE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9F750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16D4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2E5EB9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24</w:t>
            </w:r>
          </w:p>
        </w:tc>
        <w:tc>
          <w:tcPr>
            <w:tcW w:w="960" w:type="pct"/>
            <w:vAlign w:val="center"/>
          </w:tcPr>
          <w:p w14:paraId="0A68498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行政执法_参公编制人数</w:t>
            </w:r>
          </w:p>
        </w:tc>
        <w:tc>
          <w:tcPr>
            <w:tcW w:w="582" w:type="pct"/>
            <w:vAlign w:val="center"/>
          </w:tcPr>
          <w:p w14:paraId="2A6171B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XZZF_CGBZRS</w:t>
            </w:r>
          </w:p>
        </w:tc>
        <w:tc>
          <w:tcPr>
            <w:tcW w:w="582" w:type="pct"/>
            <w:vAlign w:val="center"/>
          </w:tcPr>
          <w:p w14:paraId="1E5864F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4FF91BF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88E323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FD69E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1946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B04B63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25</w:t>
            </w:r>
          </w:p>
        </w:tc>
        <w:tc>
          <w:tcPr>
            <w:tcW w:w="960" w:type="pct"/>
            <w:vAlign w:val="center"/>
          </w:tcPr>
          <w:p w14:paraId="6FCF431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行政执法_全额拨款事业编制人数</w:t>
            </w:r>
          </w:p>
        </w:tc>
        <w:tc>
          <w:tcPr>
            <w:tcW w:w="582" w:type="pct"/>
            <w:vAlign w:val="center"/>
          </w:tcPr>
          <w:p w14:paraId="363E284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XZZF_QEBKSYBZRS</w:t>
            </w:r>
          </w:p>
        </w:tc>
        <w:tc>
          <w:tcPr>
            <w:tcW w:w="582" w:type="pct"/>
            <w:vAlign w:val="center"/>
          </w:tcPr>
          <w:p w14:paraId="3F32562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1AA1C66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F6F0EC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1112AA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664A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8D25E0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26</w:t>
            </w:r>
          </w:p>
        </w:tc>
        <w:tc>
          <w:tcPr>
            <w:tcW w:w="960" w:type="pct"/>
            <w:vAlign w:val="center"/>
          </w:tcPr>
          <w:p w14:paraId="42ECC49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行政执法_差额拨款事业编制人数</w:t>
            </w:r>
          </w:p>
        </w:tc>
        <w:tc>
          <w:tcPr>
            <w:tcW w:w="582" w:type="pct"/>
            <w:vAlign w:val="center"/>
          </w:tcPr>
          <w:p w14:paraId="5B9CFA90">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XZZF_CEBKSYBZRS</w:t>
            </w:r>
          </w:p>
        </w:tc>
        <w:tc>
          <w:tcPr>
            <w:tcW w:w="582" w:type="pct"/>
            <w:vAlign w:val="center"/>
          </w:tcPr>
          <w:p w14:paraId="718CB04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433AA91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23A1EC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A2BA85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2144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6E2C8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27</w:t>
            </w:r>
          </w:p>
        </w:tc>
        <w:tc>
          <w:tcPr>
            <w:tcW w:w="960" w:type="pct"/>
            <w:vAlign w:val="center"/>
          </w:tcPr>
          <w:p w14:paraId="533052E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行政执法_自收自支事业编制人数</w:t>
            </w:r>
          </w:p>
        </w:tc>
        <w:tc>
          <w:tcPr>
            <w:tcW w:w="582" w:type="pct"/>
            <w:vAlign w:val="center"/>
          </w:tcPr>
          <w:p w14:paraId="4B359B8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XZZF_ZSZZSYBZRS</w:t>
            </w:r>
          </w:p>
        </w:tc>
        <w:tc>
          <w:tcPr>
            <w:tcW w:w="582" w:type="pct"/>
            <w:vAlign w:val="center"/>
          </w:tcPr>
          <w:p w14:paraId="5D308E3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4FAA0E2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FE32AE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F39D64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2104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37F353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28</w:t>
            </w:r>
          </w:p>
        </w:tc>
        <w:tc>
          <w:tcPr>
            <w:tcW w:w="960" w:type="pct"/>
            <w:vAlign w:val="center"/>
          </w:tcPr>
          <w:p w14:paraId="0BB4BBF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行政执法_其他事业编制人数</w:t>
            </w:r>
          </w:p>
        </w:tc>
        <w:tc>
          <w:tcPr>
            <w:tcW w:w="582" w:type="pct"/>
            <w:vAlign w:val="center"/>
          </w:tcPr>
          <w:p w14:paraId="2DBD973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XZZF_QTSYBZRS</w:t>
            </w:r>
          </w:p>
        </w:tc>
        <w:tc>
          <w:tcPr>
            <w:tcW w:w="582" w:type="pct"/>
            <w:vAlign w:val="center"/>
          </w:tcPr>
          <w:p w14:paraId="0154482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2DDCC1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4A8C46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1B9E8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4F08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A1E1C2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29</w:t>
            </w:r>
          </w:p>
        </w:tc>
        <w:tc>
          <w:tcPr>
            <w:tcW w:w="960" w:type="pct"/>
            <w:vAlign w:val="center"/>
          </w:tcPr>
          <w:p w14:paraId="41274F0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协管人员总人数</w:t>
            </w:r>
          </w:p>
        </w:tc>
        <w:tc>
          <w:tcPr>
            <w:tcW w:w="582" w:type="pct"/>
            <w:vAlign w:val="center"/>
          </w:tcPr>
          <w:p w14:paraId="1545D5E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XGRYZRS</w:t>
            </w:r>
          </w:p>
        </w:tc>
        <w:tc>
          <w:tcPr>
            <w:tcW w:w="582" w:type="pct"/>
            <w:vAlign w:val="center"/>
          </w:tcPr>
          <w:p w14:paraId="26312BA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346C9C2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147D82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263A4C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507E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B206F2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30</w:t>
            </w:r>
          </w:p>
        </w:tc>
        <w:tc>
          <w:tcPr>
            <w:tcW w:w="960" w:type="pct"/>
            <w:vAlign w:val="center"/>
          </w:tcPr>
          <w:p w14:paraId="1C66614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直接聘用人数</w:t>
            </w:r>
          </w:p>
        </w:tc>
        <w:tc>
          <w:tcPr>
            <w:tcW w:w="582" w:type="pct"/>
            <w:vAlign w:val="center"/>
          </w:tcPr>
          <w:p w14:paraId="2BB8CAC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ZJPYRS</w:t>
            </w:r>
          </w:p>
        </w:tc>
        <w:tc>
          <w:tcPr>
            <w:tcW w:w="582" w:type="pct"/>
            <w:vAlign w:val="center"/>
          </w:tcPr>
          <w:p w14:paraId="4AFEF5D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40F9441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140B90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68554E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643D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0E7D0C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31</w:t>
            </w:r>
          </w:p>
        </w:tc>
        <w:tc>
          <w:tcPr>
            <w:tcW w:w="960" w:type="pct"/>
            <w:vAlign w:val="center"/>
          </w:tcPr>
          <w:p w14:paraId="58C292C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劳务派遣人数</w:t>
            </w:r>
          </w:p>
        </w:tc>
        <w:tc>
          <w:tcPr>
            <w:tcW w:w="582" w:type="pct"/>
            <w:vAlign w:val="center"/>
          </w:tcPr>
          <w:p w14:paraId="32E76BEA">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LWPQRS</w:t>
            </w:r>
          </w:p>
        </w:tc>
        <w:tc>
          <w:tcPr>
            <w:tcW w:w="582" w:type="pct"/>
            <w:vAlign w:val="center"/>
          </w:tcPr>
          <w:p w14:paraId="2FA4734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4019FD7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C79A1E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443DEA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28F4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535618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32</w:t>
            </w:r>
          </w:p>
        </w:tc>
        <w:tc>
          <w:tcPr>
            <w:tcW w:w="960" w:type="pct"/>
            <w:vAlign w:val="center"/>
          </w:tcPr>
          <w:p w14:paraId="2A6214E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是否出台城市执法体制改革实施方案</w:t>
            </w:r>
          </w:p>
        </w:tc>
        <w:tc>
          <w:tcPr>
            <w:tcW w:w="582" w:type="pct"/>
            <w:vAlign w:val="center"/>
          </w:tcPr>
          <w:p w14:paraId="421D6C4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SFCTCSZFTZGGSSFA</w:t>
            </w:r>
          </w:p>
        </w:tc>
        <w:tc>
          <w:tcPr>
            <w:tcW w:w="582" w:type="pct"/>
            <w:vAlign w:val="center"/>
          </w:tcPr>
          <w:p w14:paraId="492235A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3F230D9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1F163B4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790F75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实施方案</w:t>
            </w:r>
          </w:p>
        </w:tc>
      </w:tr>
      <w:tr w14:paraId="389F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66418E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33</w:t>
            </w:r>
          </w:p>
        </w:tc>
        <w:tc>
          <w:tcPr>
            <w:tcW w:w="960" w:type="pct"/>
            <w:vAlign w:val="center"/>
          </w:tcPr>
          <w:p w14:paraId="74018F9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城市执法体制改革实施方案名称</w:t>
            </w:r>
          </w:p>
        </w:tc>
        <w:tc>
          <w:tcPr>
            <w:tcW w:w="582" w:type="pct"/>
            <w:vAlign w:val="center"/>
          </w:tcPr>
          <w:p w14:paraId="455EA77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CSZFTZGGSSFAMC</w:t>
            </w:r>
          </w:p>
        </w:tc>
        <w:tc>
          <w:tcPr>
            <w:tcW w:w="582" w:type="pct"/>
            <w:vAlign w:val="center"/>
          </w:tcPr>
          <w:p w14:paraId="2346585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4C48FEB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24457A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B0C506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14:paraId="2E57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3E2B5F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34</w:t>
            </w:r>
          </w:p>
        </w:tc>
        <w:tc>
          <w:tcPr>
            <w:tcW w:w="960" w:type="pct"/>
            <w:vAlign w:val="center"/>
          </w:tcPr>
          <w:p w14:paraId="5B1EA80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城市执法体制改革实施方案出台时间</w:t>
            </w:r>
          </w:p>
        </w:tc>
        <w:tc>
          <w:tcPr>
            <w:tcW w:w="582" w:type="pct"/>
            <w:vAlign w:val="center"/>
          </w:tcPr>
          <w:p w14:paraId="48CCDF0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CSZFTZGGSSFACTSJ</w:t>
            </w:r>
          </w:p>
        </w:tc>
        <w:tc>
          <w:tcPr>
            <w:tcW w:w="582" w:type="pct"/>
            <w:vAlign w:val="center"/>
          </w:tcPr>
          <w:p w14:paraId="508C02C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date</w:t>
            </w:r>
          </w:p>
        </w:tc>
        <w:tc>
          <w:tcPr>
            <w:tcW w:w="416" w:type="pct"/>
            <w:vAlign w:val="center"/>
          </w:tcPr>
          <w:p w14:paraId="13CCA814">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14:paraId="3659F2A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BE10E6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14:paraId="04AC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B86B79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35</w:t>
            </w:r>
          </w:p>
        </w:tc>
        <w:tc>
          <w:tcPr>
            <w:tcW w:w="960" w:type="pct"/>
            <w:vAlign w:val="center"/>
          </w:tcPr>
          <w:p w14:paraId="6D2EBCC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城市执法体制改革实施方案文号</w:t>
            </w:r>
          </w:p>
        </w:tc>
        <w:tc>
          <w:tcPr>
            <w:tcW w:w="582" w:type="pct"/>
            <w:vAlign w:val="center"/>
          </w:tcPr>
          <w:p w14:paraId="49DBA6D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CSZFTZGGSSFAWH</w:t>
            </w:r>
          </w:p>
        </w:tc>
        <w:tc>
          <w:tcPr>
            <w:tcW w:w="582" w:type="pct"/>
            <w:vAlign w:val="center"/>
          </w:tcPr>
          <w:p w14:paraId="4F32772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473AAAE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42A9A8C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429AA4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14:paraId="18FE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45C456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36</w:t>
            </w:r>
          </w:p>
        </w:tc>
        <w:tc>
          <w:tcPr>
            <w:tcW w:w="960" w:type="pct"/>
            <w:vAlign w:val="center"/>
          </w:tcPr>
          <w:p w14:paraId="137BDAB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是否建立城市管理工作协调机制</w:t>
            </w:r>
          </w:p>
        </w:tc>
        <w:tc>
          <w:tcPr>
            <w:tcW w:w="582" w:type="pct"/>
            <w:vAlign w:val="center"/>
          </w:tcPr>
          <w:p w14:paraId="6A853C64">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SFJLCSGLGZXTJZ</w:t>
            </w:r>
          </w:p>
        </w:tc>
        <w:tc>
          <w:tcPr>
            <w:tcW w:w="582" w:type="pct"/>
            <w:vAlign w:val="center"/>
          </w:tcPr>
          <w:p w14:paraId="6400290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5EEAB55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47DEF1E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3EEC587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14:paraId="5CC6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81855A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37</w:t>
            </w:r>
          </w:p>
        </w:tc>
        <w:tc>
          <w:tcPr>
            <w:tcW w:w="960" w:type="pct"/>
            <w:vAlign w:val="center"/>
          </w:tcPr>
          <w:p w14:paraId="4EE88C7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eastAsia="zh-Hans" w:bidi="ar"/>
              </w:rPr>
              <w:t>是否</w:t>
            </w:r>
            <w:r>
              <w:rPr>
                <w:rFonts w:hint="eastAsia" w:ascii="宋体" w:hAnsi="宋体" w:eastAsia="宋体"/>
                <w:color w:val="000000"/>
                <w:kern w:val="0"/>
                <w:lang w:bidi="ar"/>
              </w:rPr>
              <w:t>建立党委政府负责同志牵头的领导机制</w:t>
            </w:r>
          </w:p>
        </w:tc>
        <w:tc>
          <w:tcPr>
            <w:tcW w:w="582" w:type="pct"/>
            <w:vAlign w:val="center"/>
          </w:tcPr>
          <w:p w14:paraId="6DA7D7D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lang w:eastAsia="zh-Hans"/>
              </w:rPr>
              <w:t>SF</w:t>
            </w:r>
            <w:r>
              <w:rPr>
                <w:rFonts w:hint="eastAsia" w:ascii="宋体" w:hAnsi="宋体" w:eastAsia="宋体"/>
                <w:color w:val="000000"/>
              </w:rPr>
              <w:t>JLDWZFFZTZQTDLDJZ</w:t>
            </w:r>
          </w:p>
        </w:tc>
        <w:tc>
          <w:tcPr>
            <w:tcW w:w="582" w:type="pct"/>
            <w:vAlign w:val="center"/>
          </w:tcPr>
          <w:p w14:paraId="466F6C7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3D484C5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3E376BD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CA0DC2A">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协调机制</w:t>
            </w:r>
          </w:p>
        </w:tc>
      </w:tr>
      <w:tr w14:paraId="5FCB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6224B9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38</w:t>
            </w:r>
          </w:p>
        </w:tc>
        <w:tc>
          <w:tcPr>
            <w:tcW w:w="960" w:type="pct"/>
            <w:vAlign w:val="center"/>
          </w:tcPr>
          <w:p w14:paraId="34A9F1C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eastAsia="zh-Hans" w:bidi="ar"/>
              </w:rPr>
              <w:t>是否</w:t>
            </w:r>
            <w:r>
              <w:rPr>
                <w:rFonts w:hint="eastAsia" w:ascii="宋体" w:hAnsi="宋体" w:eastAsia="宋体"/>
                <w:color w:val="000000"/>
                <w:kern w:val="0"/>
                <w:lang w:bidi="ar"/>
              </w:rPr>
              <w:t>建立了城市管理部门牵头的协调机制</w:t>
            </w:r>
          </w:p>
        </w:tc>
        <w:tc>
          <w:tcPr>
            <w:tcW w:w="582" w:type="pct"/>
            <w:vAlign w:val="center"/>
          </w:tcPr>
          <w:p w14:paraId="7F274194">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lang w:eastAsia="zh-Hans"/>
              </w:rPr>
              <w:t>SF</w:t>
            </w:r>
            <w:r>
              <w:rPr>
                <w:rFonts w:hint="eastAsia" w:ascii="宋体" w:hAnsi="宋体" w:eastAsia="宋体"/>
                <w:color w:val="000000"/>
              </w:rPr>
              <w:t>JLCSGLBMQTDXTJZ</w:t>
            </w:r>
          </w:p>
        </w:tc>
        <w:tc>
          <w:tcPr>
            <w:tcW w:w="582" w:type="pct"/>
            <w:vAlign w:val="center"/>
          </w:tcPr>
          <w:p w14:paraId="74715ED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53D2305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3E37B3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BE86A6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协调机制</w:t>
            </w:r>
          </w:p>
        </w:tc>
      </w:tr>
      <w:tr w14:paraId="544E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BA2BDD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39</w:t>
            </w:r>
          </w:p>
        </w:tc>
        <w:tc>
          <w:tcPr>
            <w:tcW w:w="960" w:type="pct"/>
            <w:vAlign w:val="center"/>
          </w:tcPr>
          <w:p w14:paraId="0956CBC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是否明确城市管理执法人员配备比例标准</w:t>
            </w:r>
          </w:p>
        </w:tc>
        <w:tc>
          <w:tcPr>
            <w:tcW w:w="582" w:type="pct"/>
            <w:vAlign w:val="center"/>
          </w:tcPr>
          <w:p w14:paraId="4A7E355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SFMQCSGLZFRYPBBLBZ</w:t>
            </w:r>
          </w:p>
        </w:tc>
        <w:tc>
          <w:tcPr>
            <w:tcW w:w="582" w:type="pct"/>
            <w:vAlign w:val="center"/>
          </w:tcPr>
          <w:p w14:paraId="6E5D994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742CBC2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AFF3C5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2824F78">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人员配比</w:t>
            </w:r>
          </w:p>
        </w:tc>
      </w:tr>
      <w:tr w14:paraId="10A8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C712C3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40</w:t>
            </w:r>
          </w:p>
        </w:tc>
        <w:tc>
          <w:tcPr>
            <w:tcW w:w="960" w:type="pct"/>
            <w:vAlign w:val="center"/>
          </w:tcPr>
          <w:p w14:paraId="45732BF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城市管理执法人员配备比例标准</w:t>
            </w:r>
            <w:r>
              <w:rPr>
                <w:rFonts w:hint="eastAsia" w:ascii="宋体" w:hAnsi="宋体" w:eastAsia="宋体"/>
                <w:color w:val="000000"/>
                <w:kern w:val="0"/>
                <w:lang w:eastAsia="zh-Hans" w:bidi="ar"/>
              </w:rPr>
              <w:t>类型</w:t>
            </w:r>
          </w:p>
        </w:tc>
        <w:tc>
          <w:tcPr>
            <w:tcW w:w="582" w:type="pct"/>
            <w:vAlign w:val="center"/>
          </w:tcPr>
          <w:p w14:paraId="45B5A142">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CSGLZFRYPBBLBZ</w:t>
            </w:r>
            <w:r>
              <w:rPr>
                <w:rFonts w:hint="eastAsia" w:ascii="宋体" w:hAnsi="宋体" w:eastAsia="宋体"/>
                <w:color w:val="000000"/>
                <w:lang w:eastAsia="zh-Hans"/>
              </w:rPr>
              <w:t>LX</w:t>
            </w:r>
          </w:p>
        </w:tc>
        <w:tc>
          <w:tcPr>
            <w:tcW w:w="582" w:type="pct"/>
            <w:vAlign w:val="center"/>
          </w:tcPr>
          <w:p w14:paraId="60CB0FA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int</w:t>
            </w:r>
          </w:p>
        </w:tc>
        <w:tc>
          <w:tcPr>
            <w:tcW w:w="416" w:type="pct"/>
            <w:vAlign w:val="center"/>
          </w:tcPr>
          <w:p w14:paraId="20D2B83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1AAFB80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F9B9B9C">
            <w:pPr>
              <w:keepNext w:val="0"/>
              <w:keepLines w:val="0"/>
              <w:suppressLineNumbers w:val="0"/>
              <w:spacing w:before="0" w:beforeAutospacing="0" w:after="0" w:afterAutospacing="0"/>
              <w:ind w:left="0" w:right="0"/>
              <w:rPr>
                <w:rFonts w:hint="eastAsia" w:ascii="宋体" w:hAnsi="宋体" w:eastAsia="宋体"/>
              </w:rPr>
            </w:pPr>
            <w:r>
              <w:rPr>
                <w:rFonts w:hint="default" w:ascii="宋体" w:hAnsi="宋体" w:eastAsia="宋体"/>
              </w:rPr>
              <w:t>1：</w:t>
            </w:r>
            <w:r>
              <w:rPr>
                <w:rFonts w:hint="eastAsia" w:ascii="宋体" w:hAnsi="宋体" w:eastAsia="宋体"/>
              </w:rPr>
              <w:t>省统一明确</w:t>
            </w:r>
          </w:p>
          <w:p w14:paraId="7B550074">
            <w:pPr>
              <w:pStyle w:val="3018"/>
              <w:keepNext w:val="0"/>
              <w:keepLines w:val="0"/>
              <w:suppressLineNumbers w:val="0"/>
              <w:spacing w:before="0" w:beforeAutospacing="0" w:afterAutospacing="0"/>
              <w:ind w:left="0" w:leftChars="0" w:right="0" w:firstLine="0" w:firstLineChars="0"/>
              <w:rPr>
                <w:rFonts w:hint="eastAsia" w:ascii="宋体" w:hAnsi="宋体"/>
                <w:sz w:val="24"/>
              </w:rPr>
            </w:pPr>
            <w:r>
              <w:rPr>
                <w:rFonts w:hint="default" w:ascii="宋体" w:hAnsi="宋体" w:cs="宋体"/>
                <w:color w:val="000000"/>
                <w:kern w:val="0"/>
                <w:sz w:val="24"/>
                <w:lang w:bidi="ar"/>
              </w:rPr>
              <w:t>2：</w:t>
            </w:r>
            <w:r>
              <w:rPr>
                <w:rFonts w:hint="eastAsia" w:ascii="宋体" w:hAnsi="宋体" w:cs="宋体"/>
                <w:color w:val="000000"/>
                <w:kern w:val="0"/>
                <w:sz w:val="24"/>
                <w:lang w:eastAsia="zh-Hans" w:bidi="ar"/>
              </w:rPr>
              <w:t>市</w:t>
            </w:r>
            <w:r>
              <w:rPr>
                <w:rFonts w:hint="eastAsia" w:ascii="宋体" w:hAnsi="宋体" w:cs="宋体"/>
                <w:color w:val="000000"/>
                <w:kern w:val="0"/>
                <w:sz w:val="24"/>
                <w:lang w:bidi="ar"/>
              </w:rPr>
              <w:t>统一明确</w:t>
            </w:r>
          </w:p>
        </w:tc>
      </w:tr>
      <w:tr w14:paraId="609C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2C631C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41</w:t>
            </w:r>
          </w:p>
        </w:tc>
        <w:tc>
          <w:tcPr>
            <w:tcW w:w="960" w:type="pct"/>
            <w:vAlign w:val="center"/>
          </w:tcPr>
          <w:p w14:paraId="4EA845F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人员配备比例标准</w:t>
            </w:r>
          </w:p>
        </w:tc>
        <w:tc>
          <w:tcPr>
            <w:tcW w:w="582" w:type="pct"/>
            <w:vAlign w:val="center"/>
          </w:tcPr>
          <w:p w14:paraId="18B02D7E">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RYPBBLBZ</w:t>
            </w:r>
          </w:p>
        </w:tc>
        <w:tc>
          <w:tcPr>
            <w:tcW w:w="582" w:type="pct"/>
            <w:vAlign w:val="center"/>
          </w:tcPr>
          <w:p w14:paraId="0CBB549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3698C64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D42266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9B724E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人员配比</w:t>
            </w:r>
          </w:p>
        </w:tc>
      </w:tr>
      <w:tr w14:paraId="5245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756C4C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42</w:t>
            </w:r>
          </w:p>
        </w:tc>
        <w:tc>
          <w:tcPr>
            <w:tcW w:w="960" w:type="pct"/>
            <w:vAlign w:val="center"/>
          </w:tcPr>
          <w:p w14:paraId="5496CE1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是否出台城市管理和执法方面的地方性法规或政府规章</w:t>
            </w:r>
          </w:p>
        </w:tc>
        <w:tc>
          <w:tcPr>
            <w:tcW w:w="582" w:type="pct"/>
            <w:vAlign w:val="center"/>
          </w:tcPr>
          <w:p w14:paraId="1A9E766E">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SFCTCSGLHZFFMDDFXFGHZFGZ</w:t>
            </w:r>
          </w:p>
        </w:tc>
        <w:tc>
          <w:tcPr>
            <w:tcW w:w="582" w:type="pct"/>
            <w:vAlign w:val="center"/>
          </w:tcPr>
          <w:p w14:paraId="5BEAEFD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6DEE5CE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FD8C93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C94588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法规制定</w:t>
            </w:r>
          </w:p>
        </w:tc>
      </w:tr>
      <w:tr w14:paraId="6E3E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7C0026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43</w:t>
            </w:r>
          </w:p>
        </w:tc>
        <w:tc>
          <w:tcPr>
            <w:tcW w:w="960" w:type="pct"/>
            <w:vAlign w:val="center"/>
          </w:tcPr>
          <w:p w14:paraId="053837E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出台地方法规个数</w:t>
            </w:r>
          </w:p>
        </w:tc>
        <w:tc>
          <w:tcPr>
            <w:tcW w:w="582" w:type="pct"/>
            <w:vAlign w:val="center"/>
          </w:tcPr>
          <w:p w14:paraId="76BD46F1">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CTDFFGGS</w:t>
            </w:r>
          </w:p>
        </w:tc>
        <w:tc>
          <w:tcPr>
            <w:tcW w:w="582" w:type="pct"/>
            <w:vAlign w:val="center"/>
          </w:tcPr>
          <w:p w14:paraId="3AFE51A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1DA7F4B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08FEF3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E03EB9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14:paraId="56B6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9EDF2A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44</w:t>
            </w:r>
          </w:p>
        </w:tc>
        <w:tc>
          <w:tcPr>
            <w:tcW w:w="960" w:type="pct"/>
            <w:vAlign w:val="center"/>
          </w:tcPr>
          <w:p w14:paraId="7404F3B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出台地方法规具体名称</w:t>
            </w:r>
          </w:p>
        </w:tc>
        <w:tc>
          <w:tcPr>
            <w:tcW w:w="582" w:type="pct"/>
            <w:vAlign w:val="center"/>
          </w:tcPr>
          <w:p w14:paraId="3A51211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CTDFFGJTMC</w:t>
            </w:r>
          </w:p>
        </w:tc>
        <w:tc>
          <w:tcPr>
            <w:tcW w:w="582" w:type="pct"/>
            <w:vAlign w:val="center"/>
          </w:tcPr>
          <w:p w14:paraId="437AC45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text</w:t>
            </w:r>
          </w:p>
        </w:tc>
        <w:tc>
          <w:tcPr>
            <w:tcW w:w="416" w:type="pct"/>
            <w:vAlign w:val="center"/>
          </w:tcPr>
          <w:p w14:paraId="7CE02832">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14:paraId="6FB7142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4EAE7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14:paraId="198D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EDE079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45</w:t>
            </w:r>
          </w:p>
        </w:tc>
        <w:tc>
          <w:tcPr>
            <w:tcW w:w="960" w:type="pct"/>
            <w:vAlign w:val="center"/>
          </w:tcPr>
          <w:p w14:paraId="3FC5C0B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出台政府法规个数</w:t>
            </w:r>
          </w:p>
        </w:tc>
        <w:tc>
          <w:tcPr>
            <w:tcW w:w="582" w:type="pct"/>
            <w:vAlign w:val="center"/>
          </w:tcPr>
          <w:p w14:paraId="212268A2">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CTZFFGGS</w:t>
            </w:r>
          </w:p>
        </w:tc>
        <w:tc>
          <w:tcPr>
            <w:tcW w:w="582" w:type="pct"/>
            <w:vAlign w:val="center"/>
          </w:tcPr>
          <w:p w14:paraId="5122513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BF88DA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14A835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6441C9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14:paraId="09E8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3A1A39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46</w:t>
            </w:r>
          </w:p>
        </w:tc>
        <w:tc>
          <w:tcPr>
            <w:tcW w:w="960" w:type="pct"/>
            <w:vAlign w:val="center"/>
          </w:tcPr>
          <w:p w14:paraId="62B2647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出台政府法规具体名称</w:t>
            </w:r>
          </w:p>
        </w:tc>
        <w:tc>
          <w:tcPr>
            <w:tcW w:w="582" w:type="pct"/>
            <w:vAlign w:val="center"/>
          </w:tcPr>
          <w:p w14:paraId="284C9F34">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CTZFFGJTMC</w:t>
            </w:r>
          </w:p>
        </w:tc>
        <w:tc>
          <w:tcPr>
            <w:tcW w:w="582" w:type="pct"/>
            <w:vAlign w:val="center"/>
          </w:tcPr>
          <w:p w14:paraId="76E248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text</w:t>
            </w:r>
          </w:p>
        </w:tc>
        <w:tc>
          <w:tcPr>
            <w:tcW w:w="416" w:type="pct"/>
            <w:vAlign w:val="center"/>
          </w:tcPr>
          <w:p w14:paraId="73C7D848">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14:paraId="042B596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249FE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14:paraId="5E3C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BBBED4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47</w:t>
            </w:r>
          </w:p>
        </w:tc>
        <w:tc>
          <w:tcPr>
            <w:tcW w:w="960" w:type="pct"/>
            <w:vAlign w:val="center"/>
          </w:tcPr>
          <w:p w14:paraId="391C686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职责整合_城市管理执法</w:t>
            </w:r>
          </w:p>
        </w:tc>
        <w:tc>
          <w:tcPr>
            <w:tcW w:w="582" w:type="pct"/>
            <w:vAlign w:val="center"/>
          </w:tcPr>
          <w:p w14:paraId="293CD12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ZZZH_CSGLZFGGQ</w:t>
            </w:r>
          </w:p>
        </w:tc>
        <w:tc>
          <w:tcPr>
            <w:tcW w:w="582" w:type="pct"/>
            <w:vAlign w:val="center"/>
          </w:tcPr>
          <w:p w14:paraId="3DC63CC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165933B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7A7D569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60C1AC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管理职责</w:t>
            </w:r>
          </w:p>
        </w:tc>
      </w:tr>
      <w:tr w14:paraId="6641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E24DAB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48</w:t>
            </w:r>
          </w:p>
        </w:tc>
        <w:tc>
          <w:tcPr>
            <w:tcW w:w="960" w:type="pct"/>
            <w:vAlign w:val="center"/>
          </w:tcPr>
          <w:p w14:paraId="340BA4C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职责整合_市政公用</w:t>
            </w:r>
          </w:p>
        </w:tc>
        <w:tc>
          <w:tcPr>
            <w:tcW w:w="582" w:type="pct"/>
            <w:vAlign w:val="center"/>
          </w:tcPr>
          <w:p w14:paraId="2D6A963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ZZZH_SZGY</w:t>
            </w:r>
          </w:p>
        </w:tc>
        <w:tc>
          <w:tcPr>
            <w:tcW w:w="582" w:type="pct"/>
            <w:vAlign w:val="center"/>
          </w:tcPr>
          <w:p w14:paraId="084BC68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6020F3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4FD35A2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61A120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14:paraId="0592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10A770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49</w:t>
            </w:r>
          </w:p>
        </w:tc>
        <w:tc>
          <w:tcPr>
            <w:tcW w:w="960" w:type="pct"/>
            <w:vAlign w:val="center"/>
          </w:tcPr>
          <w:p w14:paraId="11322D2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职责整合_市容环卫</w:t>
            </w:r>
          </w:p>
        </w:tc>
        <w:tc>
          <w:tcPr>
            <w:tcW w:w="582" w:type="pct"/>
            <w:vAlign w:val="center"/>
          </w:tcPr>
          <w:p w14:paraId="0FAF451E">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ZZZH_SRHW</w:t>
            </w:r>
          </w:p>
        </w:tc>
        <w:tc>
          <w:tcPr>
            <w:tcW w:w="582" w:type="pct"/>
            <w:vAlign w:val="center"/>
          </w:tcPr>
          <w:p w14:paraId="622C6ED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7A6B1B8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4EEF309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606B93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14:paraId="0608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03E6BE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50</w:t>
            </w:r>
          </w:p>
        </w:tc>
        <w:tc>
          <w:tcPr>
            <w:tcW w:w="960" w:type="pct"/>
            <w:vAlign w:val="center"/>
          </w:tcPr>
          <w:p w14:paraId="731E575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职责整合_园林绿化</w:t>
            </w:r>
          </w:p>
        </w:tc>
        <w:tc>
          <w:tcPr>
            <w:tcW w:w="582" w:type="pct"/>
            <w:vAlign w:val="center"/>
          </w:tcPr>
          <w:p w14:paraId="68F0E4C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ZZZH_YLLH</w:t>
            </w:r>
          </w:p>
        </w:tc>
        <w:tc>
          <w:tcPr>
            <w:tcW w:w="582" w:type="pct"/>
            <w:vAlign w:val="center"/>
          </w:tcPr>
          <w:p w14:paraId="1D99F9C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3D527C8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03801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EC109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14:paraId="2DB4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4A5F2F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51</w:t>
            </w:r>
          </w:p>
        </w:tc>
        <w:tc>
          <w:tcPr>
            <w:tcW w:w="960" w:type="pct"/>
            <w:vAlign w:val="center"/>
          </w:tcPr>
          <w:p w14:paraId="5321F0D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职责整合_城市管理执法</w:t>
            </w:r>
          </w:p>
        </w:tc>
        <w:tc>
          <w:tcPr>
            <w:tcW w:w="582" w:type="pct"/>
            <w:vAlign w:val="center"/>
          </w:tcPr>
          <w:p w14:paraId="36598D4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ZZZH_CSGLZF</w:t>
            </w:r>
          </w:p>
        </w:tc>
        <w:tc>
          <w:tcPr>
            <w:tcW w:w="582" w:type="pct"/>
            <w:vAlign w:val="center"/>
          </w:tcPr>
          <w:p w14:paraId="6231979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2454B9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75AA610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97D91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14:paraId="09FE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DC1313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52</w:t>
            </w:r>
          </w:p>
        </w:tc>
        <w:tc>
          <w:tcPr>
            <w:tcW w:w="960" w:type="pct"/>
            <w:vAlign w:val="center"/>
          </w:tcPr>
          <w:p w14:paraId="5BDD7CA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市政公用_</w:t>
            </w:r>
            <w:r>
              <w:rPr>
                <w:rFonts w:hint="eastAsia" w:ascii="宋体" w:hAnsi="宋体" w:eastAsia="宋体"/>
                <w:color w:val="000000"/>
                <w:kern w:val="0"/>
                <w:lang w:eastAsia="zh-Hans" w:bidi="ar"/>
              </w:rPr>
              <w:t>执法事项</w:t>
            </w:r>
          </w:p>
        </w:tc>
        <w:tc>
          <w:tcPr>
            <w:tcW w:w="582" w:type="pct"/>
            <w:vAlign w:val="center"/>
          </w:tcPr>
          <w:p w14:paraId="4D03DD1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SZGY_ZFS</w:t>
            </w:r>
            <w:r>
              <w:rPr>
                <w:rFonts w:hint="eastAsia" w:ascii="宋体" w:hAnsi="宋体" w:eastAsia="宋体"/>
                <w:color w:val="000000"/>
                <w:lang w:eastAsia="zh-Hans"/>
              </w:rPr>
              <w:t>X</w:t>
            </w:r>
          </w:p>
        </w:tc>
        <w:tc>
          <w:tcPr>
            <w:tcW w:w="582" w:type="pct"/>
            <w:vAlign w:val="center"/>
          </w:tcPr>
          <w:p w14:paraId="5F342FD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8079D8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D6F68E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7996D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2632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26753D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53</w:t>
            </w:r>
          </w:p>
        </w:tc>
        <w:tc>
          <w:tcPr>
            <w:tcW w:w="960" w:type="pct"/>
            <w:vAlign w:val="center"/>
          </w:tcPr>
          <w:p w14:paraId="4249965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市容环卫_</w:t>
            </w:r>
            <w:r>
              <w:rPr>
                <w:rFonts w:hint="eastAsia" w:ascii="宋体" w:hAnsi="宋体" w:eastAsia="宋体"/>
                <w:color w:val="000000"/>
                <w:kern w:val="0"/>
                <w:lang w:eastAsia="zh-Hans" w:bidi="ar"/>
              </w:rPr>
              <w:t>执法事项</w:t>
            </w:r>
          </w:p>
        </w:tc>
        <w:tc>
          <w:tcPr>
            <w:tcW w:w="582" w:type="pct"/>
            <w:vAlign w:val="center"/>
          </w:tcPr>
          <w:p w14:paraId="40A967D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SR</w:t>
            </w:r>
            <w:r>
              <w:rPr>
                <w:rFonts w:hint="eastAsia" w:ascii="宋体" w:hAnsi="宋体" w:eastAsia="宋体"/>
                <w:color w:val="000000"/>
                <w:lang w:eastAsia="zh-Hans"/>
              </w:rPr>
              <w:t>HW_ZFSX</w:t>
            </w:r>
          </w:p>
        </w:tc>
        <w:tc>
          <w:tcPr>
            <w:tcW w:w="582" w:type="pct"/>
            <w:vAlign w:val="center"/>
          </w:tcPr>
          <w:p w14:paraId="7BFE064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D69BE5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8D75AB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C1AF73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565F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FADFBB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54</w:t>
            </w:r>
          </w:p>
        </w:tc>
        <w:tc>
          <w:tcPr>
            <w:tcW w:w="960" w:type="pct"/>
            <w:vAlign w:val="center"/>
          </w:tcPr>
          <w:p w14:paraId="7897203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园林绿化_</w:t>
            </w:r>
            <w:r>
              <w:rPr>
                <w:rFonts w:hint="eastAsia" w:ascii="宋体" w:hAnsi="宋体" w:eastAsia="宋体"/>
                <w:color w:val="000000"/>
                <w:kern w:val="0"/>
                <w:lang w:eastAsia="zh-Hans" w:bidi="ar"/>
              </w:rPr>
              <w:t>执法事项</w:t>
            </w:r>
          </w:p>
        </w:tc>
        <w:tc>
          <w:tcPr>
            <w:tcW w:w="582" w:type="pct"/>
            <w:vAlign w:val="center"/>
          </w:tcPr>
          <w:p w14:paraId="35A82CA3">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YLLH_ZFSX</w:t>
            </w:r>
          </w:p>
        </w:tc>
        <w:tc>
          <w:tcPr>
            <w:tcW w:w="582" w:type="pct"/>
            <w:vAlign w:val="center"/>
          </w:tcPr>
          <w:p w14:paraId="0A9E439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6E37AD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5830F9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3ADE7E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0604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155880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55</w:t>
            </w:r>
          </w:p>
        </w:tc>
        <w:tc>
          <w:tcPr>
            <w:tcW w:w="960" w:type="pct"/>
            <w:vAlign w:val="center"/>
          </w:tcPr>
          <w:p w14:paraId="73FD05C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建筑市场_</w:t>
            </w:r>
            <w:r>
              <w:rPr>
                <w:rFonts w:hint="eastAsia" w:ascii="宋体" w:hAnsi="宋体" w:eastAsia="宋体"/>
                <w:color w:val="000000"/>
                <w:kern w:val="0"/>
                <w:lang w:eastAsia="zh-Hans" w:bidi="ar"/>
              </w:rPr>
              <w:t>执法事项</w:t>
            </w:r>
          </w:p>
        </w:tc>
        <w:tc>
          <w:tcPr>
            <w:tcW w:w="582" w:type="pct"/>
            <w:vAlign w:val="center"/>
          </w:tcPr>
          <w:p w14:paraId="676CDF3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JZSC_ZFSX</w:t>
            </w:r>
          </w:p>
        </w:tc>
        <w:tc>
          <w:tcPr>
            <w:tcW w:w="582" w:type="pct"/>
            <w:vAlign w:val="center"/>
          </w:tcPr>
          <w:p w14:paraId="32E6421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F84C8C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7ACBFA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34791D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26CB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C36191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56</w:t>
            </w:r>
          </w:p>
        </w:tc>
        <w:tc>
          <w:tcPr>
            <w:tcW w:w="960" w:type="pct"/>
            <w:vAlign w:val="center"/>
          </w:tcPr>
          <w:p w14:paraId="2CEF6F5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工程质量安全_</w:t>
            </w:r>
            <w:r>
              <w:rPr>
                <w:rFonts w:hint="eastAsia" w:ascii="宋体" w:hAnsi="宋体" w:eastAsia="宋体"/>
                <w:color w:val="000000"/>
                <w:kern w:val="0"/>
                <w:lang w:eastAsia="zh-Hans" w:bidi="ar"/>
              </w:rPr>
              <w:t>执法事项</w:t>
            </w:r>
          </w:p>
        </w:tc>
        <w:tc>
          <w:tcPr>
            <w:tcW w:w="582" w:type="pct"/>
            <w:vAlign w:val="center"/>
          </w:tcPr>
          <w:p w14:paraId="71A740B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GCZLAQ_ZFSX</w:t>
            </w:r>
          </w:p>
        </w:tc>
        <w:tc>
          <w:tcPr>
            <w:tcW w:w="582" w:type="pct"/>
            <w:vAlign w:val="center"/>
          </w:tcPr>
          <w:p w14:paraId="580BE85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12E6F68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5B55D4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9CA41B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3B9A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7C9FBC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57</w:t>
            </w:r>
          </w:p>
        </w:tc>
        <w:tc>
          <w:tcPr>
            <w:tcW w:w="960" w:type="pct"/>
            <w:vAlign w:val="center"/>
          </w:tcPr>
          <w:p w14:paraId="61AF6A1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民用建筑节能_</w:t>
            </w:r>
            <w:r>
              <w:rPr>
                <w:rFonts w:hint="eastAsia" w:ascii="宋体" w:hAnsi="宋体" w:eastAsia="宋体"/>
                <w:color w:val="000000"/>
                <w:kern w:val="0"/>
                <w:lang w:eastAsia="zh-Hans" w:bidi="ar"/>
              </w:rPr>
              <w:t>执法事项</w:t>
            </w:r>
          </w:p>
        </w:tc>
        <w:tc>
          <w:tcPr>
            <w:tcW w:w="582" w:type="pct"/>
            <w:vAlign w:val="center"/>
          </w:tcPr>
          <w:p w14:paraId="2839FC1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MYJZJN_ZFSX</w:t>
            </w:r>
          </w:p>
        </w:tc>
        <w:tc>
          <w:tcPr>
            <w:tcW w:w="582" w:type="pct"/>
            <w:vAlign w:val="center"/>
          </w:tcPr>
          <w:p w14:paraId="7F4F97D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3F48B8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288EE3E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13FFA4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3DF4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EF7FFB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58</w:t>
            </w:r>
          </w:p>
        </w:tc>
        <w:tc>
          <w:tcPr>
            <w:tcW w:w="960" w:type="pct"/>
            <w:vAlign w:val="center"/>
          </w:tcPr>
          <w:p w14:paraId="16CE362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房地产市场_</w:t>
            </w:r>
            <w:r>
              <w:rPr>
                <w:rFonts w:hint="eastAsia" w:ascii="宋体" w:hAnsi="宋体" w:eastAsia="宋体"/>
                <w:color w:val="000000"/>
                <w:kern w:val="0"/>
                <w:lang w:eastAsia="zh-Hans" w:bidi="ar"/>
              </w:rPr>
              <w:t>执法事项</w:t>
            </w:r>
          </w:p>
        </w:tc>
        <w:tc>
          <w:tcPr>
            <w:tcW w:w="582" w:type="pct"/>
            <w:vAlign w:val="center"/>
          </w:tcPr>
          <w:p w14:paraId="19BC0ACA">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FDCSC_ZFSX</w:t>
            </w:r>
          </w:p>
        </w:tc>
        <w:tc>
          <w:tcPr>
            <w:tcW w:w="582" w:type="pct"/>
            <w:vAlign w:val="center"/>
          </w:tcPr>
          <w:p w14:paraId="53C3515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F4FEB6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0E29E8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A94E61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4D5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C45FB1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59</w:t>
            </w:r>
          </w:p>
        </w:tc>
        <w:tc>
          <w:tcPr>
            <w:tcW w:w="960" w:type="pct"/>
            <w:vAlign w:val="center"/>
          </w:tcPr>
          <w:p w14:paraId="7F9C613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物业管理_</w:t>
            </w:r>
            <w:r>
              <w:rPr>
                <w:rFonts w:hint="eastAsia" w:ascii="宋体" w:hAnsi="宋体" w:eastAsia="宋体"/>
                <w:color w:val="000000"/>
                <w:kern w:val="0"/>
                <w:lang w:eastAsia="zh-Hans" w:bidi="ar"/>
              </w:rPr>
              <w:t>执法事项</w:t>
            </w:r>
          </w:p>
        </w:tc>
        <w:tc>
          <w:tcPr>
            <w:tcW w:w="582" w:type="pct"/>
            <w:vAlign w:val="center"/>
          </w:tcPr>
          <w:p w14:paraId="519277E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WYGL_ZFSX</w:t>
            </w:r>
          </w:p>
        </w:tc>
        <w:tc>
          <w:tcPr>
            <w:tcW w:w="582" w:type="pct"/>
            <w:vAlign w:val="center"/>
          </w:tcPr>
          <w:p w14:paraId="6AA359C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7DA67E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3DECE0E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8F1408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31CA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DC6D0B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60</w:t>
            </w:r>
          </w:p>
        </w:tc>
        <w:tc>
          <w:tcPr>
            <w:tcW w:w="960" w:type="pct"/>
            <w:vAlign w:val="center"/>
          </w:tcPr>
          <w:p w14:paraId="2F6E006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住房保障_</w:t>
            </w:r>
            <w:r>
              <w:rPr>
                <w:rFonts w:hint="eastAsia" w:ascii="宋体" w:hAnsi="宋体" w:eastAsia="宋体"/>
                <w:color w:val="000000"/>
                <w:kern w:val="0"/>
                <w:lang w:eastAsia="zh-Hans" w:bidi="ar"/>
              </w:rPr>
              <w:t>执法事项</w:t>
            </w:r>
          </w:p>
        </w:tc>
        <w:tc>
          <w:tcPr>
            <w:tcW w:w="582" w:type="pct"/>
            <w:vAlign w:val="center"/>
          </w:tcPr>
          <w:p w14:paraId="172C2AD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ZFBZ_ZFSX</w:t>
            </w:r>
          </w:p>
        </w:tc>
        <w:tc>
          <w:tcPr>
            <w:tcW w:w="582" w:type="pct"/>
            <w:vAlign w:val="center"/>
          </w:tcPr>
          <w:p w14:paraId="778EB04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07FE193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FE1A1C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62755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53EE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8311FA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61</w:t>
            </w:r>
          </w:p>
        </w:tc>
        <w:tc>
          <w:tcPr>
            <w:tcW w:w="960" w:type="pct"/>
            <w:vAlign w:val="center"/>
          </w:tcPr>
          <w:p w14:paraId="6440EFA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住房公积金_</w:t>
            </w:r>
            <w:r>
              <w:rPr>
                <w:rFonts w:hint="eastAsia" w:ascii="宋体" w:hAnsi="宋体" w:eastAsia="宋体"/>
                <w:color w:val="000000"/>
                <w:kern w:val="0"/>
                <w:lang w:eastAsia="zh-Hans" w:bidi="ar"/>
              </w:rPr>
              <w:t>执法事项</w:t>
            </w:r>
          </w:p>
        </w:tc>
        <w:tc>
          <w:tcPr>
            <w:tcW w:w="582" w:type="pct"/>
            <w:vAlign w:val="center"/>
          </w:tcPr>
          <w:p w14:paraId="2882577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ZFGJJ_ZFSX</w:t>
            </w:r>
          </w:p>
        </w:tc>
        <w:tc>
          <w:tcPr>
            <w:tcW w:w="582" w:type="pct"/>
            <w:vAlign w:val="center"/>
          </w:tcPr>
          <w:p w14:paraId="0D387CF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00C316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FA2138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B00825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5CB1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FD7DAD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62</w:t>
            </w:r>
          </w:p>
        </w:tc>
        <w:tc>
          <w:tcPr>
            <w:tcW w:w="960" w:type="pct"/>
            <w:vAlign w:val="center"/>
          </w:tcPr>
          <w:p w14:paraId="420607B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城乡规划_</w:t>
            </w:r>
            <w:r>
              <w:rPr>
                <w:rFonts w:hint="eastAsia" w:ascii="宋体" w:hAnsi="宋体" w:eastAsia="宋体"/>
                <w:color w:val="000000"/>
                <w:kern w:val="0"/>
                <w:lang w:eastAsia="zh-Hans" w:bidi="ar"/>
              </w:rPr>
              <w:t>执法事项</w:t>
            </w:r>
          </w:p>
        </w:tc>
        <w:tc>
          <w:tcPr>
            <w:tcW w:w="582" w:type="pct"/>
            <w:vAlign w:val="center"/>
          </w:tcPr>
          <w:p w14:paraId="216EF591">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CXGH_ZFSX</w:t>
            </w:r>
          </w:p>
        </w:tc>
        <w:tc>
          <w:tcPr>
            <w:tcW w:w="582" w:type="pct"/>
            <w:vAlign w:val="center"/>
          </w:tcPr>
          <w:p w14:paraId="63B4789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348AD13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AB4D6F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D61DF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210F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C0499D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63</w:t>
            </w:r>
          </w:p>
        </w:tc>
        <w:tc>
          <w:tcPr>
            <w:tcW w:w="960" w:type="pct"/>
            <w:vAlign w:val="center"/>
          </w:tcPr>
          <w:p w14:paraId="6D7EBD9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风景名胜区_</w:t>
            </w:r>
            <w:r>
              <w:rPr>
                <w:rFonts w:hint="eastAsia" w:ascii="宋体" w:hAnsi="宋体" w:eastAsia="宋体"/>
                <w:color w:val="000000"/>
                <w:kern w:val="0"/>
                <w:lang w:eastAsia="zh-Hans" w:bidi="ar"/>
              </w:rPr>
              <w:t>执法事项</w:t>
            </w:r>
          </w:p>
        </w:tc>
        <w:tc>
          <w:tcPr>
            <w:tcW w:w="582" w:type="pct"/>
            <w:vAlign w:val="center"/>
          </w:tcPr>
          <w:p w14:paraId="25F7AA6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FJMSQ_ZFSX</w:t>
            </w:r>
          </w:p>
        </w:tc>
        <w:tc>
          <w:tcPr>
            <w:tcW w:w="582" w:type="pct"/>
            <w:vAlign w:val="center"/>
          </w:tcPr>
          <w:p w14:paraId="6C99F21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3062A41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28272A5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877C8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38C1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5B8B57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64</w:t>
            </w:r>
          </w:p>
        </w:tc>
        <w:tc>
          <w:tcPr>
            <w:tcW w:w="960" w:type="pct"/>
            <w:vAlign w:val="center"/>
          </w:tcPr>
          <w:p w14:paraId="4F5DECE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历史文化名城保护_</w:t>
            </w:r>
            <w:r>
              <w:rPr>
                <w:rFonts w:hint="eastAsia" w:ascii="宋体" w:hAnsi="宋体" w:eastAsia="宋体"/>
                <w:color w:val="000000"/>
                <w:kern w:val="0"/>
                <w:lang w:eastAsia="zh-Hans" w:bidi="ar"/>
              </w:rPr>
              <w:t>执法事项</w:t>
            </w:r>
          </w:p>
        </w:tc>
        <w:tc>
          <w:tcPr>
            <w:tcW w:w="582" w:type="pct"/>
            <w:vAlign w:val="center"/>
          </w:tcPr>
          <w:p w14:paraId="52FCF12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LSWHGCBH_ZFSX</w:t>
            </w:r>
          </w:p>
        </w:tc>
        <w:tc>
          <w:tcPr>
            <w:tcW w:w="582" w:type="pct"/>
            <w:vAlign w:val="center"/>
          </w:tcPr>
          <w:p w14:paraId="3458284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ED0ECF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D3EEFA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EB8B1E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5AB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06E829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65</w:t>
            </w:r>
          </w:p>
        </w:tc>
        <w:tc>
          <w:tcPr>
            <w:tcW w:w="960" w:type="pct"/>
            <w:vAlign w:val="center"/>
          </w:tcPr>
          <w:p w14:paraId="179792D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环境保护管理方面社会生活噪声污染_</w:t>
            </w:r>
            <w:r>
              <w:rPr>
                <w:rFonts w:hint="eastAsia" w:ascii="宋体" w:hAnsi="宋体" w:eastAsia="宋体"/>
                <w:color w:val="000000"/>
                <w:kern w:val="0"/>
                <w:lang w:eastAsia="zh-Hans" w:bidi="ar"/>
              </w:rPr>
              <w:t>处置权划转</w:t>
            </w:r>
          </w:p>
        </w:tc>
        <w:tc>
          <w:tcPr>
            <w:tcW w:w="582" w:type="pct"/>
            <w:vAlign w:val="center"/>
          </w:tcPr>
          <w:p w14:paraId="687EA05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HJBHGLFMSHSHZSWR_ZFSX</w:t>
            </w:r>
          </w:p>
        </w:tc>
        <w:tc>
          <w:tcPr>
            <w:tcW w:w="582" w:type="pct"/>
            <w:vAlign w:val="center"/>
          </w:tcPr>
          <w:p w14:paraId="0FB9332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7D57DB6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5BA62A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1E667E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3969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B902E2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66</w:t>
            </w:r>
          </w:p>
        </w:tc>
        <w:tc>
          <w:tcPr>
            <w:tcW w:w="960" w:type="pct"/>
            <w:vAlign w:val="center"/>
          </w:tcPr>
          <w:p w14:paraId="49877B7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建筑施工噪声污染_</w:t>
            </w:r>
            <w:r>
              <w:rPr>
                <w:rFonts w:hint="eastAsia" w:ascii="宋体" w:hAnsi="宋体" w:eastAsia="宋体"/>
                <w:color w:val="000000"/>
                <w:kern w:val="0"/>
                <w:lang w:eastAsia="zh-Hans" w:bidi="ar"/>
              </w:rPr>
              <w:t>处置权划转</w:t>
            </w:r>
          </w:p>
        </w:tc>
        <w:tc>
          <w:tcPr>
            <w:tcW w:w="582" w:type="pct"/>
            <w:vAlign w:val="center"/>
          </w:tcPr>
          <w:p w14:paraId="27114F4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JZSGZSWR_CZQHZ</w:t>
            </w:r>
          </w:p>
        </w:tc>
        <w:tc>
          <w:tcPr>
            <w:tcW w:w="582" w:type="pct"/>
            <w:vAlign w:val="center"/>
          </w:tcPr>
          <w:p w14:paraId="773E747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4B57230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2F974D8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7D7A89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5251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BC57F4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67</w:t>
            </w:r>
          </w:p>
        </w:tc>
        <w:tc>
          <w:tcPr>
            <w:tcW w:w="960" w:type="pct"/>
            <w:vAlign w:val="center"/>
          </w:tcPr>
          <w:p w14:paraId="526239C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建筑施工扬尘污染_</w:t>
            </w:r>
            <w:r>
              <w:rPr>
                <w:rFonts w:hint="eastAsia" w:ascii="宋体" w:hAnsi="宋体" w:eastAsia="宋体"/>
                <w:color w:val="000000"/>
                <w:kern w:val="0"/>
                <w:lang w:eastAsia="zh-Hans" w:bidi="ar"/>
              </w:rPr>
              <w:t>处置权划转</w:t>
            </w:r>
          </w:p>
        </w:tc>
        <w:tc>
          <w:tcPr>
            <w:tcW w:w="582" w:type="pct"/>
            <w:vAlign w:val="center"/>
          </w:tcPr>
          <w:p w14:paraId="07C18C5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JZSGYCWR_CZQHZ</w:t>
            </w:r>
          </w:p>
        </w:tc>
        <w:tc>
          <w:tcPr>
            <w:tcW w:w="582" w:type="pct"/>
            <w:vAlign w:val="center"/>
          </w:tcPr>
          <w:p w14:paraId="09442FF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8FF82B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B54334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30C8753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0A20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4F2A4A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68</w:t>
            </w:r>
          </w:p>
        </w:tc>
        <w:tc>
          <w:tcPr>
            <w:tcW w:w="960" w:type="pct"/>
            <w:vAlign w:val="center"/>
          </w:tcPr>
          <w:p w14:paraId="6AAB571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餐饮服务业油烟污染_</w:t>
            </w:r>
            <w:r>
              <w:rPr>
                <w:rFonts w:hint="eastAsia" w:ascii="宋体" w:hAnsi="宋体" w:eastAsia="宋体"/>
                <w:color w:val="000000"/>
                <w:kern w:val="0"/>
                <w:lang w:eastAsia="zh-Hans" w:bidi="ar"/>
              </w:rPr>
              <w:t>处置权划转</w:t>
            </w:r>
          </w:p>
        </w:tc>
        <w:tc>
          <w:tcPr>
            <w:tcW w:w="582" w:type="pct"/>
            <w:vAlign w:val="center"/>
          </w:tcPr>
          <w:p w14:paraId="01A7113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CYFWYYYWRGGH</w:t>
            </w:r>
          </w:p>
        </w:tc>
        <w:tc>
          <w:tcPr>
            <w:tcW w:w="582" w:type="pct"/>
            <w:vAlign w:val="center"/>
          </w:tcPr>
          <w:p w14:paraId="27A75D7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1474338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49ABBB8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EDDD49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5D49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BE7E26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69</w:t>
            </w:r>
          </w:p>
        </w:tc>
        <w:tc>
          <w:tcPr>
            <w:tcW w:w="960" w:type="pct"/>
            <w:vAlign w:val="center"/>
          </w:tcPr>
          <w:p w14:paraId="1E0E92A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露天烧烤污染_</w:t>
            </w:r>
            <w:r>
              <w:rPr>
                <w:rFonts w:hint="eastAsia" w:ascii="宋体" w:hAnsi="宋体" w:eastAsia="宋体"/>
                <w:color w:val="000000"/>
                <w:kern w:val="0"/>
                <w:lang w:eastAsia="zh-Hans" w:bidi="ar"/>
              </w:rPr>
              <w:t>处置权划转</w:t>
            </w:r>
          </w:p>
        </w:tc>
        <w:tc>
          <w:tcPr>
            <w:tcW w:w="582" w:type="pct"/>
            <w:vAlign w:val="center"/>
          </w:tcPr>
          <w:p w14:paraId="3B9EEDEC">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LTSKWR_CZQHZ</w:t>
            </w:r>
          </w:p>
        </w:tc>
        <w:tc>
          <w:tcPr>
            <w:tcW w:w="582" w:type="pct"/>
            <w:vAlign w:val="center"/>
          </w:tcPr>
          <w:p w14:paraId="18A80F8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7CF2F90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2B5D6C3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83BADD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5DDB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3D7666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70</w:t>
            </w:r>
          </w:p>
        </w:tc>
        <w:tc>
          <w:tcPr>
            <w:tcW w:w="960" w:type="pct"/>
            <w:vAlign w:val="center"/>
          </w:tcPr>
          <w:p w14:paraId="68DB654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城市焚烧沥青塑料垃圾等烟尘和恶臭污染_</w:t>
            </w:r>
            <w:r>
              <w:rPr>
                <w:rFonts w:hint="eastAsia" w:ascii="宋体" w:hAnsi="宋体" w:eastAsia="宋体"/>
                <w:color w:val="000000"/>
                <w:kern w:val="0"/>
                <w:lang w:eastAsia="zh-Hans" w:bidi="ar"/>
              </w:rPr>
              <w:t>处置权划转</w:t>
            </w:r>
          </w:p>
        </w:tc>
        <w:tc>
          <w:tcPr>
            <w:tcW w:w="582" w:type="pct"/>
            <w:vAlign w:val="center"/>
          </w:tcPr>
          <w:p w14:paraId="321BE33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CSFSLQSLLJDYCECWR_CZQHZ</w:t>
            </w:r>
          </w:p>
        </w:tc>
        <w:tc>
          <w:tcPr>
            <w:tcW w:w="582" w:type="pct"/>
            <w:vAlign w:val="center"/>
          </w:tcPr>
          <w:p w14:paraId="20692FF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FBE57E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22B4CC0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F79688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1C01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6AFCE6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71</w:t>
            </w:r>
          </w:p>
        </w:tc>
        <w:tc>
          <w:tcPr>
            <w:tcW w:w="960" w:type="pct"/>
            <w:vAlign w:val="center"/>
          </w:tcPr>
          <w:p w14:paraId="5EF33E7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露天焚烧秸秆落叶等烟尘污染_</w:t>
            </w:r>
            <w:r>
              <w:rPr>
                <w:rFonts w:hint="eastAsia" w:ascii="宋体" w:hAnsi="宋体" w:eastAsia="宋体"/>
                <w:color w:val="000000"/>
                <w:kern w:val="0"/>
                <w:lang w:eastAsia="zh-Hans" w:bidi="ar"/>
              </w:rPr>
              <w:t>处置权划转</w:t>
            </w:r>
          </w:p>
        </w:tc>
        <w:tc>
          <w:tcPr>
            <w:tcW w:w="582" w:type="pct"/>
            <w:vAlign w:val="center"/>
          </w:tcPr>
          <w:p w14:paraId="57246DF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LTFSJGLYYWUR_CZQHZ</w:t>
            </w:r>
          </w:p>
        </w:tc>
        <w:tc>
          <w:tcPr>
            <w:tcW w:w="582" w:type="pct"/>
            <w:vAlign w:val="center"/>
          </w:tcPr>
          <w:p w14:paraId="6517226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F1454F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480B176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FD3F6E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497D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5C02D5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72</w:t>
            </w:r>
          </w:p>
        </w:tc>
        <w:tc>
          <w:tcPr>
            <w:tcW w:w="960" w:type="pct"/>
            <w:vAlign w:val="center"/>
          </w:tcPr>
          <w:p w14:paraId="371D89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燃放烟花爆竹污染_</w:t>
            </w:r>
            <w:r>
              <w:rPr>
                <w:rFonts w:hint="eastAsia" w:ascii="宋体" w:hAnsi="宋体" w:eastAsia="宋体"/>
                <w:color w:val="000000"/>
                <w:kern w:val="0"/>
                <w:lang w:eastAsia="zh-Hans" w:bidi="ar"/>
              </w:rPr>
              <w:t>处置权划转</w:t>
            </w:r>
          </w:p>
        </w:tc>
        <w:tc>
          <w:tcPr>
            <w:tcW w:w="582" w:type="pct"/>
            <w:vAlign w:val="center"/>
          </w:tcPr>
          <w:p w14:paraId="02182AE4">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RFYHBZWRGGH</w:t>
            </w:r>
          </w:p>
        </w:tc>
        <w:tc>
          <w:tcPr>
            <w:tcW w:w="582" w:type="pct"/>
            <w:vAlign w:val="center"/>
          </w:tcPr>
          <w:p w14:paraId="50609CD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34453FE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FD2422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AD7F7B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5E09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97735D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73</w:t>
            </w:r>
          </w:p>
        </w:tc>
        <w:tc>
          <w:tcPr>
            <w:tcW w:w="960" w:type="pct"/>
            <w:vAlign w:val="center"/>
          </w:tcPr>
          <w:p w14:paraId="61FE11F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工商管理方面户外公共场所无照经营_</w:t>
            </w:r>
            <w:r>
              <w:rPr>
                <w:rFonts w:hint="eastAsia" w:ascii="宋体" w:hAnsi="宋体" w:eastAsia="宋体"/>
                <w:color w:val="000000"/>
                <w:kern w:val="0"/>
                <w:lang w:eastAsia="zh-Hans" w:bidi="ar"/>
              </w:rPr>
              <w:t>处置权划转</w:t>
            </w:r>
          </w:p>
        </w:tc>
        <w:tc>
          <w:tcPr>
            <w:tcW w:w="582" w:type="pct"/>
            <w:vAlign w:val="center"/>
          </w:tcPr>
          <w:p w14:paraId="0FDE1560">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GSGLFMHWGGCSWZJY_CZQHZ</w:t>
            </w:r>
          </w:p>
        </w:tc>
        <w:tc>
          <w:tcPr>
            <w:tcW w:w="582" w:type="pct"/>
            <w:vAlign w:val="center"/>
          </w:tcPr>
          <w:p w14:paraId="1DF02CA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D8557E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70D93F6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9B2DCF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61D1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9D875D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74</w:t>
            </w:r>
          </w:p>
        </w:tc>
        <w:tc>
          <w:tcPr>
            <w:tcW w:w="960" w:type="pct"/>
            <w:vAlign w:val="center"/>
          </w:tcPr>
          <w:p w14:paraId="4F960C0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违规设置户外广告_</w:t>
            </w:r>
            <w:r>
              <w:rPr>
                <w:rFonts w:hint="eastAsia" w:ascii="宋体" w:hAnsi="宋体" w:eastAsia="宋体"/>
                <w:color w:val="000000"/>
                <w:kern w:val="0"/>
                <w:lang w:eastAsia="zh-Hans" w:bidi="ar"/>
              </w:rPr>
              <w:t>处置权划转</w:t>
            </w:r>
          </w:p>
        </w:tc>
        <w:tc>
          <w:tcPr>
            <w:tcW w:w="582" w:type="pct"/>
            <w:vAlign w:val="center"/>
          </w:tcPr>
          <w:p w14:paraId="10EB48B0">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WGSZHWG_CZQHZ</w:t>
            </w:r>
          </w:p>
        </w:tc>
        <w:tc>
          <w:tcPr>
            <w:tcW w:w="582" w:type="pct"/>
            <w:vAlign w:val="center"/>
          </w:tcPr>
          <w:p w14:paraId="176B37F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7726AD6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3ACD7E2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4F5706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6463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A0ECDB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75</w:t>
            </w:r>
          </w:p>
        </w:tc>
        <w:tc>
          <w:tcPr>
            <w:tcW w:w="960" w:type="pct"/>
            <w:vAlign w:val="center"/>
          </w:tcPr>
          <w:p w14:paraId="3624E69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交通管理方面侵占城市道路_</w:t>
            </w:r>
            <w:r>
              <w:rPr>
                <w:rFonts w:hint="eastAsia" w:ascii="宋体" w:hAnsi="宋体" w:eastAsia="宋体"/>
                <w:color w:val="000000"/>
                <w:kern w:val="0"/>
                <w:lang w:eastAsia="zh-Hans" w:bidi="ar"/>
              </w:rPr>
              <w:t>处置权划转</w:t>
            </w:r>
          </w:p>
        </w:tc>
        <w:tc>
          <w:tcPr>
            <w:tcW w:w="582" w:type="pct"/>
            <w:vAlign w:val="center"/>
          </w:tcPr>
          <w:p w14:paraId="759F110E">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JTGLFMQZCSDL_CZQHZ</w:t>
            </w:r>
          </w:p>
        </w:tc>
        <w:tc>
          <w:tcPr>
            <w:tcW w:w="582" w:type="pct"/>
            <w:vAlign w:val="center"/>
          </w:tcPr>
          <w:p w14:paraId="2E3180A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C92E3E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51501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BAB55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7D79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B4D035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76</w:t>
            </w:r>
          </w:p>
        </w:tc>
        <w:tc>
          <w:tcPr>
            <w:tcW w:w="960" w:type="pct"/>
            <w:vAlign w:val="center"/>
          </w:tcPr>
          <w:p w14:paraId="4B2C3B7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违法停放车辆_</w:t>
            </w:r>
            <w:r>
              <w:rPr>
                <w:rFonts w:hint="eastAsia" w:ascii="宋体" w:hAnsi="宋体" w:eastAsia="宋体"/>
                <w:color w:val="000000"/>
                <w:kern w:val="0"/>
                <w:lang w:eastAsia="zh-Hans" w:bidi="ar"/>
              </w:rPr>
              <w:t>处置权划转</w:t>
            </w:r>
          </w:p>
        </w:tc>
        <w:tc>
          <w:tcPr>
            <w:tcW w:w="582" w:type="pct"/>
            <w:vAlign w:val="center"/>
          </w:tcPr>
          <w:p w14:paraId="7F4EC8E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WFTFCL_CZQHZ</w:t>
            </w:r>
          </w:p>
        </w:tc>
        <w:tc>
          <w:tcPr>
            <w:tcW w:w="582" w:type="pct"/>
            <w:vAlign w:val="center"/>
          </w:tcPr>
          <w:p w14:paraId="20A7BC5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C48D0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A5F676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6DF52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3365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546C1B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77</w:t>
            </w:r>
          </w:p>
        </w:tc>
        <w:tc>
          <w:tcPr>
            <w:tcW w:w="960" w:type="pct"/>
            <w:vAlign w:val="center"/>
          </w:tcPr>
          <w:p w14:paraId="04592A0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水务管理方面向河道倾倒废弃物和垃圾及违规取土_</w:t>
            </w:r>
            <w:r>
              <w:rPr>
                <w:rFonts w:hint="eastAsia" w:ascii="宋体" w:hAnsi="宋体" w:eastAsia="宋体"/>
                <w:color w:val="000000"/>
                <w:kern w:val="0"/>
                <w:lang w:eastAsia="zh-Hans" w:bidi="ar"/>
              </w:rPr>
              <w:t>处置权划转</w:t>
            </w:r>
          </w:p>
        </w:tc>
        <w:tc>
          <w:tcPr>
            <w:tcW w:w="582" w:type="pct"/>
            <w:vAlign w:val="center"/>
          </w:tcPr>
          <w:p w14:paraId="5E4D5D3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SWGLFMXHDQDFQWHLJJWGQT_CZQHZ</w:t>
            </w:r>
          </w:p>
        </w:tc>
        <w:tc>
          <w:tcPr>
            <w:tcW w:w="582" w:type="pct"/>
            <w:vAlign w:val="center"/>
          </w:tcPr>
          <w:p w14:paraId="433FDAA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52BDDC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DFE6AF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6FC28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6E88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B47D8A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78</w:t>
            </w:r>
          </w:p>
        </w:tc>
        <w:tc>
          <w:tcPr>
            <w:tcW w:w="960" w:type="pct"/>
            <w:vAlign w:val="center"/>
          </w:tcPr>
          <w:p w14:paraId="620D0F2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城市河道违法建筑物拆除_</w:t>
            </w:r>
            <w:r>
              <w:rPr>
                <w:rFonts w:hint="eastAsia" w:ascii="宋体" w:hAnsi="宋体" w:eastAsia="宋体"/>
                <w:color w:val="000000"/>
                <w:kern w:val="0"/>
                <w:lang w:eastAsia="zh-Hans" w:bidi="ar"/>
              </w:rPr>
              <w:t>处置权划转</w:t>
            </w:r>
          </w:p>
        </w:tc>
        <w:tc>
          <w:tcPr>
            <w:tcW w:w="582" w:type="pct"/>
            <w:vAlign w:val="center"/>
          </w:tcPr>
          <w:p w14:paraId="1CB7BEC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CSHDWFJZWCC_CZQHZ</w:t>
            </w:r>
          </w:p>
        </w:tc>
        <w:tc>
          <w:tcPr>
            <w:tcW w:w="582" w:type="pct"/>
            <w:vAlign w:val="center"/>
          </w:tcPr>
          <w:p w14:paraId="3F64A8D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3F7D85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523ACE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5B4EE9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61DE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70BDA7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79</w:t>
            </w:r>
          </w:p>
        </w:tc>
        <w:tc>
          <w:tcPr>
            <w:tcW w:w="960" w:type="pct"/>
            <w:vAlign w:val="center"/>
          </w:tcPr>
          <w:p w14:paraId="4852E7A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食品药品监管方面户外公共场所食品销售和餐饮摊点无证经营_</w:t>
            </w:r>
            <w:r>
              <w:rPr>
                <w:rFonts w:hint="eastAsia" w:ascii="宋体" w:hAnsi="宋体" w:eastAsia="宋体"/>
                <w:color w:val="000000"/>
                <w:kern w:val="0"/>
                <w:lang w:eastAsia="zh-Hans" w:bidi="ar"/>
              </w:rPr>
              <w:t>处置权划转</w:t>
            </w:r>
          </w:p>
        </w:tc>
        <w:tc>
          <w:tcPr>
            <w:tcW w:w="582" w:type="pct"/>
            <w:vAlign w:val="center"/>
          </w:tcPr>
          <w:p w14:paraId="46468E80">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SPYPJGFMHWGGCSSPXSHCYTDWZJY_CZQHZ</w:t>
            </w:r>
          </w:p>
        </w:tc>
        <w:tc>
          <w:tcPr>
            <w:tcW w:w="582" w:type="pct"/>
            <w:vAlign w:val="center"/>
          </w:tcPr>
          <w:p w14:paraId="6188EB2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4117C3E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07FD82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8B0662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42C4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4F484A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80</w:t>
            </w:r>
          </w:p>
        </w:tc>
        <w:tc>
          <w:tcPr>
            <w:tcW w:w="960" w:type="pct"/>
            <w:vAlign w:val="center"/>
          </w:tcPr>
          <w:p w14:paraId="3AEF97F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违法回收贩卖药品_</w:t>
            </w:r>
            <w:r>
              <w:rPr>
                <w:rFonts w:hint="eastAsia" w:ascii="宋体" w:hAnsi="宋体" w:eastAsia="宋体"/>
                <w:color w:val="000000"/>
                <w:kern w:val="0"/>
                <w:lang w:eastAsia="zh-Hans" w:bidi="ar"/>
              </w:rPr>
              <w:t>处置权划转</w:t>
            </w:r>
          </w:p>
        </w:tc>
        <w:tc>
          <w:tcPr>
            <w:tcW w:w="582" w:type="pct"/>
            <w:vAlign w:val="center"/>
          </w:tcPr>
          <w:p w14:paraId="4F9B2E6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WFHSFMYP_CZQHZ</w:t>
            </w:r>
          </w:p>
        </w:tc>
        <w:tc>
          <w:tcPr>
            <w:tcW w:w="582" w:type="pct"/>
            <w:vAlign w:val="center"/>
          </w:tcPr>
          <w:p w14:paraId="29B9D76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CDB9BC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2697DBE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133244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bl>
    <w:p w14:paraId="5F58B04E">
      <w:pPr>
        <w:pStyle w:val="182"/>
        <w:tabs>
          <w:tab w:val="left" w:pos="0"/>
        </w:tabs>
        <w:rPr>
          <w:rFonts w:hint="eastAsia" w:ascii="宋体" w:hAnsi="宋体"/>
          <w:lang w:eastAsia="zh-Hans"/>
        </w:rPr>
      </w:pPr>
    </w:p>
    <w:p w14:paraId="7FC9AB3C">
      <w:pPr>
        <w:pStyle w:val="182"/>
        <w:numPr>
          <w:ilvl w:val="0"/>
          <w:numId w:val="128"/>
        </w:numPr>
        <w:ind w:left="420" w:leftChars="200" w:firstLine="420"/>
        <w:rPr>
          <w:rFonts w:hint="eastAsia" w:ascii="宋体" w:hAnsi="宋体"/>
          <w:lang w:eastAsia="zh-Hans"/>
        </w:rPr>
      </w:pPr>
      <w:r>
        <w:rPr>
          <w:rFonts w:hint="eastAsia" w:ascii="宋体" w:hAnsi="宋体"/>
          <w:lang w:eastAsia="zh-Hans"/>
        </w:rPr>
        <w:t>执法机构主要</w:t>
      </w:r>
      <w:r>
        <w:rPr>
          <w:rFonts w:hint="eastAsia" w:ascii="宋体" w:hAnsi="宋体"/>
        </w:rPr>
        <w:t>数据项</w:t>
      </w:r>
      <w:r>
        <w:rPr>
          <w:rFonts w:hint="eastAsia" w:ascii="宋体" w:hAnsi="宋体"/>
          <w:lang w:eastAsia="zh-Hans"/>
        </w:rPr>
        <w:t>见</w:t>
      </w:r>
      <w:r>
        <w:rPr>
          <w:rFonts w:hint="eastAsia" w:ascii="宋体" w:hAnsi="宋体"/>
        </w:rPr>
        <w:t>表</w:t>
      </w:r>
      <w:r>
        <w:rPr>
          <w:rFonts w:ascii="宋体" w:hAnsi="宋体"/>
        </w:rPr>
        <w:t>67</w:t>
      </w:r>
      <w:r>
        <w:rPr>
          <w:rFonts w:ascii="宋体" w:hAnsi="宋体"/>
          <w:lang w:eastAsia="zh-Hans"/>
        </w:rPr>
        <w:t>；</w:t>
      </w:r>
    </w:p>
    <w:p w14:paraId="2F78FA63">
      <w:pPr>
        <w:pStyle w:val="3018"/>
        <w:keepNext w:val="0"/>
        <w:keepLines w:val="0"/>
        <w:pageBreakBefore w:val="0"/>
        <w:widowControl w:val="0"/>
        <w:numPr>
          <w:ilvl w:val="0"/>
          <w:numId w:val="129"/>
        </w:numPr>
        <w:tabs>
          <w:tab w:val="left" w:pos="420"/>
          <w:tab w:val="left" w:pos="3403"/>
          <w:tab w:val="clear" w:pos="0"/>
        </w:tabs>
        <w:kinsoku/>
        <w:wordWrap/>
        <w:overflowPunct/>
        <w:topLinePunct w:val="0"/>
        <w:autoSpaceDE/>
        <w:autoSpaceDN/>
        <w:bidi w:val="0"/>
        <w:adjustRightInd/>
        <w:snapToGrid/>
        <w:ind w:left="2126" w:leftChars="0" w:hanging="425" w:firstLineChars="0"/>
        <w:jc w:val="center"/>
        <w:textAlignment w:val="auto"/>
        <w:rPr>
          <w:rFonts w:hint="eastAsia" w:ascii="宋体" w:hAnsi="宋体" w:cs="黑体"/>
          <w:szCs w:val="21"/>
          <w:lang w:eastAsia="zh-Hans"/>
        </w:rPr>
      </w:pPr>
      <w:r>
        <w:rPr>
          <w:rFonts w:hint="eastAsia" w:ascii="宋体" w:hAnsi="宋体" w:cs="黑体"/>
          <w:szCs w:val="21"/>
          <w:lang w:eastAsia="zh-Hans"/>
        </w:rPr>
        <w:t>执法机构主要数据项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086E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445FB0D">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序号</w:t>
            </w:r>
          </w:p>
        </w:tc>
        <w:tc>
          <w:tcPr>
            <w:tcW w:w="1509" w:type="dxa"/>
            <w:vAlign w:val="center"/>
          </w:tcPr>
          <w:p w14:paraId="7140A41D">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字段名称</w:t>
            </w:r>
          </w:p>
        </w:tc>
        <w:tc>
          <w:tcPr>
            <w:tcW w:w="1139" w:type="dxa"/>
            <w:vAlign w:val="center"/>
          </w:tcPr>
          <w:p w14:paraId="45902462">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字段代码</w:t>
            </w:r>
          </w:p>
        </w:tc>
        <w:tc>
          <w:tcPr>
            <w:tcW w:w="1231" w:type="dxa"/>
            <w:vAlign w:val="center"/>
          </w:tcPr>
          <w:p w14:paraId="1E173F6E">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字段类型</w:t>
            </w:r>
          </w:p>
        </w:tc>
        <w:tc>
          <w:tcPr>
            <w:tcW w:w="1100" w:type="dxa"/>
            <w:vAlign w:val="center"/>
          </w:tcPr>
          <w:p w14:paraId="0014224C">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字段长度</w:t>
            </w:r>
          </w:p>
        </w:tc>
        <w:tc>
          <w:tcPr>
            <w:tcW w:w="912" w:type="dxa"/>
          </w:tcPr>
          <w:p w14:paraId="3B6C0CF9">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约束/条件</w:t>
            </w:r>
          </w:p>
        </w:tc>
        <w:tc>
          <w:tcPr>
            <w:tcW w:w="1909" w:type="dxa"/>
            <w:vAlign w:val="center"/>
          </w:tcPr>
          <w:p w14:paraId="3FE62115">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说明</w:t>
            </w:r>
          </w:p>
        </w:tc>
      </w:tr>
      <w:tr w14:paraId="7166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14:paraId="77CC5D4E">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1</w:t>
            </w:r>
          </w:p>
        </w:tc>
        <w:tc>
          <w:tcPr>
            <w:tcW w:w="1509" w:type="dxa"/>
            <w:vAlign w:val="bottom"/>
          </w:tcPr>
          <w:p w14:paraId="0DAF0550">
            <w:pPr>
              <w:keepNext w:val="0"/>
              <w:keepLines w:val="0"/>
              <w:suppressLineNumbers w:val="0"/>
              <w:spacing w:before="0" w:beforeAutospacing="0" w:after="0" w:afterAutospacing="0"/>
              <w:ind w:left="0" w:right="0" w:firstLine="360"/>
              <w:jc w:val="center"/>
              <w:rPr>
                <w:rFonts w:hint="eastAsia" w:ascii="宋体" w:hAnsi="宋体" w:eastAsia="宋体"/>
                <w:sz w:val="18"/>
                <w:szCs w:val="18"/>
                <w:lang w:eastAsia="zh-Hans"/>
              </w:rPr>
            </w:pPr>
            <w:r>
              <w:rPr>
                <w:rFonts w:hint="eastAsia" w:ascii="宋体" w:hAnsi="宋体" w:eastAsia="宋体"/>
                <w:sz w:val="18"/>
                <w:szCs w:val="18"/>
              </w:rPr>
              <w:t>标识</w:t>
            </w:r>
            <w:r>
              <w:rPr>
                <w:rFonts w:hint="eastAsia" w:ascii="宋体" w:hAnsi="宋体" w:eastAsia="宋体"/>
                <w:sz w:val="18"/>
                <w:szCs w:val="18"/>
                <w:lang w:eastAsia="zh-Hans"/>
              </w:rPr>
              <w:t>码</w:t>
            </w:r>
          </w:p>
        </w:tc>
        <w:tc>
          <w:tcPr>
            <w:tcW w:w="1139" w:type="dxa"/>
            <w:vAlign w:val="center"/>
          </w:tcPr>
          <w:p w14:paraId="356FC586">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lang w:eastAsia="zh-Hans"/>
              </w:rPr>
            </w:pPr>
            <w:r>
              <w:rPr>
                <w:rFonts w:hint="eastAsia" w:hAnsi="宋体"/>
                <w:sz w:val="18"/>
                <w:szCs w:val="18"/>
              </w:rPr>
              <w:t>JGBS</w:t>
            </w:r>
            <w:r>
              <w:rPr>
                <w:rFonts w:hint="eastAsia" w:hAnsi="宋体"/>
                <w:sz w:val="18"/>
                <w:szCs w:val="18"/>
                <w:lang w:eastAsia="zh-Hans"/>
              </w:rPr>
              <w:t>M</w:t>
            </w:r>
          </w:p>
        </w:tc>
        <w:tc>
          <w:tcPr>
            <w:tcW w:w="1231" w:type="dxa"/>
            <w:vAlign w:val="center"/>
          </w:tcPr>
          <w:p w14:paraId="3F3E4D8A">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lang w:eastAsia="zh-Hans"/>
              </w:rPr>
            </w:pPr>
            <w:r>
              <w:rPr>
                <w:rFonts w:hint="eastAsia" w:hAnsi="宋体" w:cs="宋体"/>
                <w:sz w:val="18"/>
                <w:szCs w:val="18"/>
                <w:lang w:eastAsia="zh-Hans"/>
              </w:rPr>
              <w:t>char</w:t>
            </w:r>
          </w:p>
        </w:tc>
        <w:tc>
          <w:tcPr>
            <w:tcW w:w="1100" w:type="dxa"/>
            <w:vAlign w:val="center"/>
          </w:tcPr>
          <w:p w14:paraId="42F70541">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default" w:hAnsi="宋体" w:cs="宋体"/>
                <w:sz w:val="18"/>
                <w:szCs w:val="18"/>
              </w:rPr>
              <w:t>20</w:t>
            </w:r>
          </w:p>
        </w:tc>
        <w:tc>
          <w:tcPr>
            <w:tcW w:w="912" w:type="dxa"/>
            <w:vAlign w:val="center"/>
          </w:tcPr>
          <w:p w14:paraId="780BE20F">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default" w:hAnsi="宋体"/>
                <w:sz w:val="18"/>
                <w:szCs w:val="18"/>
              </w:rPr>
              <w:t>M</w:t>
            </w:r>
          </w:p>
        </w:tc>
        <w:tc>
          <w:tcPr>
            <w:tcW w:w="1909" w:type="dxa"/>
            <w:vAlign w:val="center"/>
          </w:tcPr>
          <w:p w14:paraId="4960EF09">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p>
        </w:tc>
      </w:tr>
      <w:tr w14:paraId="5C9B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14:paraId="216D85F9">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2</w:t>
            </w:r>
          </w:p>
        </w:tc>
        <w:tc>
          <w:tcPr>
            <w:tcW w:w="1509" w:type="dxa"/>
            <w:vAlign w:val="bottom"/>
          </w:tcPr>
          <w:p w14:paraId="38CC2F91">
            <w:pPr>
              <w:keepNext w:val="0"/>
              <w:keepLines w:val="0"/>
              <w:suppressLineNumbers w:val="0"/>
              <w:spacing w:before="0" w:beforeAutospacing="0" w:after="0" w:afterAutospacing="0"/>
              <w:ind w:left="0" w:right="0" w:firstLine="360"/>
              <w:jc w:val="center"/>
              <w:rPr>
                <w:rFonts w:hint="eastAsia" w:ascii="宋体" w:hAnsi="宋体" w:eastAsia="宋体"/>
                <w:sz w:val="18"/>
                <w:szCs w:val="18"/>
                <w:lang w:eastAsia="zh-Hans"/>
              </w:rPr>
            </w:pPr>
            <w:r>
              <w:rPr>
                <w:rFonts w:hint="eastAsia" w:ascii="宋体" w:hAnsi="宋体" w:eastAsia="宋体"/>
                <w:sz w:val="18"/>
                <w:szCs w:val="18"/>
              </w:rPr>
              <w:t>机构名称</w:t>
            </w:r>
          </w:p>
        </w:tc>
        <w:tc>
          <w:tcPr>
            <w:tcW w:w="1139" w:type="dxa"/>
            <w:vAlign w:val="center"/>
          </w:tcPr>
          <w:p w14:paraId="39168808">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lang w:eastAsia="zh-Hans"/>
              </w:rPr>
            </w:pPr>
            <w:r>
              <w:rPr>
                <w:rFonts w:hint="eastAsia" w:hAnsi="宋体"/>
                <w:sz w:val="18"/>
                <w:szCs w:val="18"/>
              </w:rPr>
              <w:t>JGMC</w:t>
            </w:r>
          </w:p>
        </w:tc>
        <w:tc>
          <w:tcPr>
            <w:tcW w:w="1231" w:type="dxa"/>
            <w:vAlign w:val="center"/>
          </w:tcPr>
          <w:p w14:paraId="624AE1FF">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default" w:hAnsi="宋体"/>
                <w:sz w:val="18"/>
                <w:szCs w:val="18"/>
              </w:rPr>
              <w:t>char</w:t>
            </w:r>
          </w:p>
        </w:tc>
        <w:tc>
          <w:tcPr>
            <w:tcW w:w="1100" w:type="dxa"/>
            <w:vAlign w:val="center"/>
          </w:tcPr>
          <w:p w14:paraId="62BA5AE4">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eastAsia" w:hAnsi="宋体"/>
                <w:sz w:val="18"/>
                <w:szCs w:val="18"/>
              </w:rPr>
              <w:t>100</w:t>
            </w:r>
          </w:p>
        </w:tc>
        <w:tc>
          <w:tcPr>
            <w:tcW w:w="912" w:type="dxa"/>
          </w:tcPr>
          <w:p w14:paraId="734B2FF0">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eastAsia" w:hAnsi="宋体"/>
                <w:sz w:val="18"/>
                <w:szCs w:val="18"/>
              </w:rPr>
              <w:t>M</w:t>
            </w:r>
          </w:p>
        </w:tc>
        <w:tc>
          <w:tcPr>
            <w:tcW w:w="1909" w:type="dxa"/>
            <w:vAlign w:val="center"/>
          </w:tcPr>
          <w:p w14:paraId="272C6031">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p>
        </w:tc>
      </w:tr>
      <w:tr w14:paraId="2D15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5B3F1A40">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3</w:t>
            </w:r>
          </w:p>
        </w:tc>
        <w:tc>
          <w:tcPr>
            <w:tcW w:w="1509" w:type="dxa"/>
            <w:vAlign w:val="center"/>
          </w:tcPr>
          <w:p w14:paraId="256925C1">
            <w:pPr>
              <w:keepNext w:val="0"/>
              <w:keepLines w:val="0"/>
              <w:suppressLineNumbers w:val="0"/>
              <w:spacing w:before="0" w:beforeAutospacing="0" w:after="0" w:afterAutospacing="0"/>
              <w:ind w:left="0" w:right="0" w:firstLine="360"/>
              <w:jc w:val="center"/>
              <w:rPr>
                <w:rFonts w:hint="eastAsia" w:ascii="宋体" w:hAnsi="宋体" w:eastAsia="宋体"/>
                <w:sz w:val="18"/>
                <w:szCs w:val="18"/>
              </w:rPr>
            </w:pPr>
            <w:r>
              <w:rPr>
                <w:rFonts w:hint="eastAsia" w:ascii="宋体" w:hAnsi="宋体" w:eastAsia="宋体"/>
                <w:sz w:val="18"/>
                <w:szCs w:val="18"/>
              </w:rPr>
              <w:t>机构类型</w:t>
            </w:r>
          </w:p>
        </w:tc>
        <w:tc>
          <w:tcPr>
            <w:tcW w:w="1139" w:type="dxa"/>
            <w:vAlign w:val="center"/>
          </w:tcPr>
          <w:p w14:paraId="50767199">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JG</w:t>
            </w:r>
            <w:r>
              <w:rPr>
                <w:rFonts w:hint="default" w:hAnsi="宋体"/>
                <w:sz w:val="18"/>
                <w:szCs w:val="18"/>
              </w:rPr>
              <w:t>LX</w:t>
            </w:r>
          </w:p>
        </w:tc>
        <w:tc>
          <w:tcPr>
            <w:tcW w:w="1231" w:type="dxa"/>
            <w:vAlign w:val="center"/>
          </w:tcPr>
          <w:p w14:paraId="5DBC32B4">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default" w:hAnsi="宋体"/>
                <w:sz w:val="18"/>
                <w:szCs w:val="18"/>
              </w:rPr>
              <w:t>char</w:t>
            </w:r>
          </w:p>
        </w:tc>
        <w:tc>
          <w:tcPr>
            <w:tcW w:w="1100" w:type="dxa"/>
            <w:vAlign w:val="center"/>
          </w:tcPr>
          <w:p w14:paraId="34880865">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default" w:hAnsi="宋体"/>
                <w:sz w:val="18"/>
                <w:szCs w:val="18"/>
              </w:rPr>
              <w:t>10</w:t>
            </w:r>
            <w:r>
              <w:rPr>
                <w:rFonts w:hint="eastAsia" w:hAnsi="宋体"/>
                <w:sz w:val="18"/>
                <w:szCs w:val="18"/>
              </w:rPr>
              <w:t>0</w:t>
            </w:r>
          </w:p>
        </w:tc>
        <w:tc>
          <w:tcPr>
            <w:tcW w:w="912" w:type="dxa"/>
            <w:vAlign w:val="center"/>
          </w:tcPr>
          <w:p w14:paraId="0ED0593F">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M</w:t>
            </w:r>
          </w:p>
        </w:tc>
        <w:tc>
          <w:tcPr>
            <w:tcW w:w="1909" w:type="dxa"/>
            <w:vAlign w:val="center"/>
          </w:tcPr>
          <w:p w14:paraId="1F5C8983">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p>
        </w:tc>
      </w:tr>
    </w:tbl>
    <w:p w14:paraId="1283CD50">
      <w:pPr>
        <w:pStyle w:val="182"/>
        <w:tabs>
          <w:tab w:val="left" w:pos="0"/>
        </w:tabs>
        <w:ind w:left="40"/>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51D97F14">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7D09EB96">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执法人员主要数据项</w:t>
            </w:r>
          </w:p>
        </w:tc>
      </w:tr>
      <w:tr w14:paraId="1AE1B5B6">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14:paraId="2CAEA09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14:paraId="02AE617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14:paraId="593A0A8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14:paraId="5691B24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14:paraId="39BB45F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14:paraId="570C9BC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14:paraId="022161E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444B66CF">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9B9EA4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auto" w:sz="4" w:space="0"/>
              <w:left w:val="single" w:color="auto" w:sz="4" w:space="0"/>
              <w:bottom w:val="single" w:color="auto" w:sz="4" w:space="0"/>
              <w:right w:val="single" w:color="auto" w:sz="4" w:space="0"/>
            </w:tcBorders>
            <w:vAlign w:val="center"/>
          </w:tcPr>
          <w:p w14:paraId="05E2115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auto" w:sz="4" w:space="0"/>
              <w:left w:val="single" w:color="auto" w:sz="4" w:space="0"/>
              <w:bottom w:val="single" w:color="auto" w:sz="4" w:space="0"/>
              <w:right w:val="single" w:color="auto" w:sz="4" w:space="0"/>
            </w:tcBorders>
            <w:vAlign w:val="center"/>
          </w:tcPr>
          <w:p w14:paraId="10AE49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XZQHDM</w:t>
            </w:r>
          </w:p>
        </w:tc>
        <w:tc>
          <w:tcPr>
            <w:tcW w:w="671" w:type="pct"/>
            <w:tcBorders>
              <w:top w:val="single" w:color="auto" w:sz="4" w:space="0"/>
              <w:left w:val="single" w:color="auto" w:sz="4" w:space="0"/>
              <w:bottom w:val="single" w:color="auto" w:sz="4" w:space="0"/>
              <w:right w:val="single" w:color="auto" w:sz="4" w:space="0"/>
            </w:tcBorders>
            <w:vAlign w:val="center"/>
          </w:tcPr>
          <w:p w14:paraId="73A3F5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C316C6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774" w:type="pct"/>
            <w:tcBorders>
              <w:top w:val="single" w:color="auto" w:sz="4" w:space="0"/>
              <w:left w:val="single" w:color="auto" w:sz="4" w:space="0"/>
              <w:bottom w:val="single" w:color="auto" w:sz="4" w:space="0"/>
              <w:right w:val="single" w:color="auto" w:sz="4" w:space="0"/>
            </w:tcBorders>
            <w:vAlign w:val="center"/>
          </w:tcPr>
          <w:p w14:paraId="79EF86E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32B4202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4F9B377A">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4D07C43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auto" w:sz="4" w:space="0"/>
              <w:left w:val="single" w:color="auto" w:sz="4" w:space="0"/>
              <w:bottom w:val="single" w:color="auto" w:sz="4" w:space="0"/>
              <w:right w:val="single" w:color="auto" w:sz="4" w:space="0"/>
            </w:tcBorders>
            <w:vAlign w:val="center"/>
          </w:tcPr>
          <w:p w14:paraId="74B2BC4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身份证号</w:t>
            </w:r>
          </w:p>
        </w:tc>
        <w:tc>
          <w:tcPr>
            <w:tcW w:w="607" w:type="pct"/>
            <w:tcBorders>
              <w:top w:val="single" w:color="auto" w:sz="4" w:space="0"/>
              <w:left w:val="single" w:color="auto" w:sz="4" w:space="0"/>
              <w:bottom w:val="single" w:color="auto" w:sz="4" w:space="0"/>
              <w:right w:val="single" w:color="auto" w:sz="4" w:space="0"/>
            </w:tcBorders>
            <w:vAlign w:val="center"/>
          </w:tcPr>
          <w:p w14:paraId="2D4C42C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SFZH</w:t>
            </w:r>
          </w:p>
        </w:tc>
        <w:tc>
          <w:tcPr>
            <w:tcW w:w="671" w:type="pct"/>
            <w:tcBorders>
              <w:top w:val="single" w:color="auto" w:sz="4" w:space="0"/>
              <w:left w:val="single" w:color="auto" w:sz="4" w:space="0"/>
              <w:bottom w:val="single" w:color="auto" w:sz="4" w:space="0"/>
              <w:right w:val="single" w:color="auto" w:sz="4" w:space="0"/>
            </w:tcBorders>
            <w:vAlign w:val="center"/>
          </w:tcPr>
          <w:p w14:paraId="358598B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303880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18</w:t>
            </w:r>
          </w:p>
        </w:tc>
        <w:tc>
          <w:tcPr>
            <w:tcW w:w="774" w:type="pct"/>
            <w:tcBorders>
              <w:top w:val="single" w:color="auto" w:sz="4" w:space="0"/>
              <w:left w:val="single" w:color="auto" w:sz="4" w:space="0"/>
              <w:bottom w:val="single" w:color="auto" w:sz="4" w:space="0"/>
              <w:right w:val="single" w:color="auto" w:sz="4" w:space="0"/>
            </w:tcBorders>
            <w:vAlign w:val="center"/>
          </w:tcPr>
          <w:p w14:paraId="7844116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bottom"/>
          </w:tcPr>
          <w:p w14:paraId="4E42165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4940370D">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61187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auto" w:sz="4" w:space="0"/>
              <w:left w:val="single" w:color="auto" w:sz="4" w:space="0"/>
              <w:bottom w:val="single" w:color="auto" w:sz="4" w:space="0"/>
              <w:right w:val="single" w:color="auto" w:sz="4" w:space="0"/>
            </w:tcBorders>
            <w:vAlign w:val="center"/>
          </w:tcPr>
          <w:p w14:paraId="15B3FE3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姓名</w:t>
            </w:r>
          </w:p>
        </w:tc>
        <w:tc>
          <w:tcPr>
            <w:tcW w:w="607" w:type="pct"/>
            <w:tcBorders>
              <w:top w:val="single" w:color="auto" w:sz="4" w:space="0"/>
              <w:left w:val="single" w:color="auto" w:sz="4" w:space="0"/>
              <w:bottom w:val="single" w:color="auto" w:sz="4" w:space="0"/>
              <w:right w:val="single" w:color="auto" w:sz="4" w:space="0"/>
            </w:tcBorders>
            <w:vAlign w:val="center"/>
          </w:tcPr>
          <w:p w14:paraId="1C14C1F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XM</w:t>
            </w:r>
          </w:p>
        </w:tc>
        <w:tc>
          <w:tcPr>
            <w:tcW w:w="671" w:type="pct"/>
            <w:tcBorders>
              <w:top w:val="single" w:color="auto" w:sz="4" w:space="0"/>
              <w:left w:val="single" w:color="auto" w:sz="4" w:space="0"/>
              <w:bottom w:val="single" w:color="auto" w:sz="4" w:space="0"/>
              <w:right w:val="single" w:color="auto" w:sz="4" w:space="0"/>
            </w:tcBorders>
            <w:vAlign w:val="center"/>
          </w:tcPr>
          <w:p w14:paraId="143B3C62">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E9C7D6A">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0AE168C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08B4182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4081CBE6">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BA48D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auto" w:sz="4" w:space="0"/>
              <w:left w:val="single" w:color="auto" w:sz="4" w:space="0"/>
              <w:bottom w:val="single" w:color="auto" w:sz="4" w:space="0"/>
              <w:right w:val="single" w:color="auto" w:sz="4" w:space="0"/>
            </w:tcBorders>
            <w:vAlign w:val="center"/>
          </w:tcPr>
          <w:p w14:paraId="51911D5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性别</w:t>
            </w:r>
          </w:p>
        </w:tc>
        <w:tc>
          <w:tcPr>
            <w:tcW w:w="607" w:type="pct"/>
            <w:tcBorders>
              <w:top w:val="single" w:color="auto" w:sz="4" w:space="0"/>
              <w:left w:val="single" w:color="auto" w:sz="4" w:space="0"/>
              <w:bottom w:val="single" w:color="auto" w:sz="4" w:space="0"/>
              <w:right w:val="single" w:color="auto" w:sz="4" w:space="0"/>
            </w:tcBorders>
            <w:vAlign w:val="center"/>
          </w:tcPr>
          <w:p w14:paraId="34B3698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XB</w:t>
            </w:r>
          </w:p>
        </w:tc>
        <w:tc>
          <w:tcPr>
            <w:tcW w:w="671" w:type="pct"/>
            <w:tcBorders>
              <w:top w:val="single" w:color="auto" w:sz="4" w:space="0"/>
              <w:left w:val="single" w:color="auto" w:sz="4" w:space="0"/>
              <w:bottom w:val="single" w:color="auto" w:sz="4" w:space="0"/>
              <w:right w:val="single" w:color="auto" w:sz="4" w:space="0"/>
            </w:tcBorders>
            <w:vAlign w:val="center"/>
          </w:tcPr>
          <w:p w14:paraId="4350E243">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3A2563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10</w:t>
            </w:r>
          </w:p>
        </w:tc>
        <w:tc>
          <w:tcPr>
            <w:tcW w:w="774" w:type="pct"/>
            <w:tcBorders>
              <w:top w:val="single" w:color="auto" w:sz="4" w:space="0"/>
              <w:left w:val="single" w:color="auto" w:sz="4" w:space="0"/>
              <w:bottom w:val="single" w:color="auto" w:sz="4" w:space="0"/>
              <w:right w:val="single" w:color="auto" w:sz="4" w:space="0"/>
            </w:tcBorders>
            <w:vAlign w:val="center"/>
          </w:tcPr>
          <w:p w14:paraId="557D2B88">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55A1B33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14:paraId="6F5AB0C4">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30D6D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48" w:type="pct"/>
            <w:tcBorders>
              <w:top w:val="single" w:color="auto" w:sz="4" w:space="0"/>
              <w:left w:val="single" w:color="auto" w:sz="4" w:space="0"/>
              <w:bottom w:val="single" w:color="auto" w:sz="4" w:space="0"/>
              <w:right w:val="single" w:color="auto" w:sz="4" w:space="0"/>
            </w:tcBorders>
            <w:vAlign w:val="center"/>
          </w:tcPr>
          <w:p w14:paraId="28CF443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政治面貌</w:t>
            </w:r>
          </w:p>
        </w:tc>
        <w:tc>
          <w:tcPr>
            <w:tcW w:w="607" w:type="pct"/>
            <w:tcBorders>
              <w:top w:val="single" w:color="auto" w:sz="4" w:space="0"/>
              <w:left w:val="single" w:color="auto" w:sz="4" w:space="0"/>
              <w:bottom w:val="single" w:color="auto" w:sz="4" w:space="0"/>
              <w:right w:val="single" w:color="auto" w:sz="4" w:space="0"/>
            </w:tcBorders>
            <w:vAlign w:val="center"/>
          </w:tcPr>
          <w:p w14:paraId="7E7FE14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ZZMM</w:t>
            </w:r>
          </w:p>
        </w:tc>
        <w:tc>
          <w:tcPr>
            <w:tcW w:w="671" w:type="pct"/>
            <w:tcBorders>
              <w:top w:val="single" w:color="auto" w:sz="4" w:space="0"/>
              <w:left w:val="single" w:color="auto" w:sz="4" w:space="0"/>
              <w:bottom w:val="single" w:color="auto" w:sz="4" w:space="0"/>
              <w:right w:val="single" w:color="auto" w:sz="4" w:space="0"/>
            </w:tcBorders>
            <w:vAlign w:val="center"/>
          </w:tcPr>
          <w:p w14:paraId="4DF3D00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D09026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auto" w:sz="4" w:space="0"/>
              <w:left w:val="single" w:color="auto" w:sz="4" w:space="0"/>
              <w:bottom w:val="single" w:color="auto" w:sz="4" w:space="0"/>
              <w:right w:val="single" w:color="auto" w:sz="4" w:space="0"/>
            </w:tcBorders>
            <w:vAlign w:val="center"/>
          </w:tcPr>
          <w:p w14:paraId="0A413A56">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016B04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125FA2E">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CAA32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48" w:type="pct"/>
            <w:tcBorders>
              <w:top w:val="single" w:color="auto" w:sz="4" w:space="0"/>
              <w:left w:val="single" w:color="auto" w:sz="4" w:space="0"/>
              <w:bottom w:val="single" w:color="auto" w:sz="4" w:space="0"/>
              <w:right w:val="single" w:color="auto" w:sz="4" w:space="0"/>
            </w:tcBorders>
            <w:vAlign w:val="center"/>
          </w:tcPr>
          <w:p w14:paraId="7AC0E49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民族</w:t>
            </w:r>
          </w:p>
        </w:tc>
        <w:tc>
          <w:tcPr>
            <w:tcW w:w="607" w:type="pct"/>
            <w:tcBorders>
              <w:top w:val="single" w:color="auto" w:sz="4" w:space="0"/>
              <w:left w:val="single" w:color="auto" w:sz="4" w:space="0"/>
              <w:bottom w:val="single" w:color="auto" w:sz="4" w:space="0"/>
              <w:right w:val="single" w:color="auto" w:sz="4" w:space="0"/>
            </w:tcBorders>
            <w:vAlign w:val="center"/>
          </w:tcPr>
          <w:p w14:paraId="6648DC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MZ</w:t>
            </w:r>
          </w:p>
        </w:tc>
        <w:tc>
          <w:tcPr>
            <w:tcW w:w="671" w:type="pct"/>
            <w:tcBorders>
              <w:top w:val="single" w:color="auto" w:sz="4" w:space="0"/>
              <w:left w:val="single" w:color="auto" w:sz="4" w:space="0"/>
              <w:bottom w:val="single" w:color="auto" w:sz="4" w:space="0"/>
              <w:right w:val="single" w:color="auto" w:sz="4" w:space="0"/>
            </w:tcBorders>
            <w:vAlign w:val="center"/>
          </w:tcPr>
          <w:p w14:paraId="16B5ED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F15BC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50</w:t>
            </w:r>
          </w:p>
        </w:tc>
        <w:tc>
          <w:tcPr>
            <w:tcW w:w="774" w:type="pct"/>
            <w:tcBorders>
              <w:top w:val="single" w:color="auto" w:sz="4" w:space="0"/>
              <w:left w:val="single" w:color="auto" w:sz="4" w:space="0"/>
              <w:bottom w:val="single" w:color="auto" w:sz="4" w:space="0"/>
              <w:right w:val="single" w:color="auto" w:sz="4" w:space="0"/>
            </w:tcBorders>
            <w:vAlign w:val="center"/>
          </w:tcPr>
          <w:p w14:paraId="56DC072B">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6E11ACF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0CE98A87">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98B5C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48" w:type="pct"/>
            <w:tcBorders>
              <w:top w:val="single" w:color="auto" w:sz="4" w:space="0"/>
              <w:left w:val="single" w:color="auto" w:sz="4" w:space="0"/>
              <w:bottom w:val="single" w:color="auto" w:sz="4" w:space="0"/>
              <w:right w:val="single" w:color="auto" w:sz="4" w:space="0"/>
            </w:tcBorders>
            <w:vAlign w:val="center"/>
          </w:tcPr>
          <w:p w14:paraId="1882F69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学历</w:t>
            </w:r>
          </w:p>
        </w:tc>
        <w:tc>
          <w:tcPr>
            <w:tcW w:w="607" w:type="pct"/>
            <w:tcBorders>
              <w:top w:val="single" w:color="auto" w:sz="4" w:space="0"/>
              <w:left w:val="single" w:color="auto" w:sz="4" w:space="0"/>
              <w:bottom w:val="single" w:color="auto" w:sz="4" w:space="0"/>
              <w:right w:val="single" w:color="auto" w:sz="4" w:space="0"/>
            </w:tcBorders>
            <w:vAlign w:val="center"/>
          </w:tcPr>
          <w:p w14:paraId="0E0F18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XL</w:t>
            </w:r>
          </w:p>
        </w:tc>
        <w:tc>
          <w:tcPr>
            <w:tcW w:w="671" w:type="pct"/>
            <w:tcBorders>
              <w:top w:val="single" w:color="auto" w:sz="4" w:space="0"/>
              <w:left w:val="single" w:color="auto" w:sz="4" w:space="0"/>
              <w:bottom w:val="single" w:color="auto" w:sz="4" w:space="0"/>
              <w:right w:val="single" w:color="auto" w:sz="4" w:space="0"/>
            </w:tcBorders>
            <w:vAlign w:val="center"/>
          </w:tcPr>
          <w:p w14:paraId="5CFD65F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B8C33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50</w:t>
            </w:r>
          </w:p>
        </w:tc>
        <w:tc>
          <w:tcPr>
            <w:tcW w:w="774" w:type="pct"/>
            <w:tcBorders>
              <w:top w:val="single" w:color="auto" w:sz="4" w:space="0"/>
              <w:left w:val="single" w:color="auto" w:sz="4" w:space="0"/>
              <w:bottom w:val="single" w:color="auto" w:sz="4" w:space="0"/>
              <w:right w:val="single" w:color="auto" w:sz="4" w:space="0"/>
            </w:tcBorders>
            <w:vAlign w:val="center"/>
          </w:tcPr>
          <w:p w14:paraId="742506D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283BE5B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D43AA82">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8586A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48" w:type="pct"/>
            <w:tcBorders>
              <w:top w:val="single" w:color="auto" w:sz="4" w:space="0"/>
              <w:left w:val="single" w:color="auto" w:sz="4" w:space="0"/>
              <w:bottom w:val="single" w:color="auto" w:sz="4" w:space="0"/>
              <w:right w:val="single" w:color="auto" w:sz="4" w:space="0"/>
            </w:tcBorders>
            <w:vAlign w:val="center"/>
          </w:tcPr>
          <w:p w14:paraId="395C16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家庭住址</w:t>
            </w:r>
          </w:p>
        </w:tc>
        <w:tc>
          <w:tcPr>
            <w:tcW w:w="607" w:type="pct"/>
            <w:tcBorders>
              <w:top w:val="single" w:color="auto" w:sz="4" w:space="0"/>
              <w:left w:val="single" w:color="auto" w:sz="4" w:space="0"/>
              <w:bottom w:val="single" w:color="auto" w:sz="4" w:space="0"/>
              <w:right w:val="single" w:color="auto" w:sz="4" w:space="0"/>
            </w:tcBorders>
            <w:vAlign w:val="center"/>
          </w:tcPr>
          <w:p w14:paraId="4634E43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JTZZ</w:t>
            </w:r>
          </w:p>
        </w:tc>
        <w:tc>
          <w:tcPr>
            <w:tcW w:w="671" w:type="pct"/>
            <w:tcBorders>
              <w:top w:val="single" w:color="auto" w:sz="4" w:space="0"/>
              <w:left w:val="single" w:color="auto" w:sz="4" w:space="0"/>
              <w:bottom w:val="single" w:color="auto" w:sz="4" w:space="0"/>
              <w:right w:val="single" w:color="auto" w:sz="4" w:space="0"/>
            </w:tcBorders>
            <w:vAlign w:val="center"/>
          </w:tcPr>
          <w:p w14:paraId="556F4E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CDF8B7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4E848F4D">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4F2BE7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341244DB">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6C6243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48" w:type="pct"/>
            <w:tcBorders>
              <w:top w:val="single" w:color="auto" w:sz="4" w:space="0"/>
              <w:left w:val="single" w:color="auto" w:sz="4" w:space="0"/>
              <w:bottom w:val="single" w:color="auto" w:sz="4" w:space="0"/>
              <w:right w:val="single" w:color="auto" w:sz="4" w:space="0"/>
            </w:tcBorders>
            <w:vAlign w:val="center"/>
          </w:tcPr>
          <w:p w14:paraId="16A980D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手机号码</w:t>
            </w:r>
          </w:p>
        </w:tc>
        <w:tc>
          <w:tcPr>
            <w:tcW w:w="607" w:type="pct"/>
            <w:tcBorders>
              <w:top w:val="single" w:color="auto" w:sz="4" w:space="0"/>
              <w:left w:val="single" w:color="auto" w:sz="4" w:space="0"/>
              <w:bottom w:val="single" w:color="auto" w:sz="4" w:space="0"/>
              <w:right w:val="single" w:color="auto" w:sz="4" w:space="0"/>
            </w:tcBorders>
            <w:vAlign w:val="center"/>
          </w:tcPr>
          <w:p w14:paraId="7E7ED9F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SJHM</w:t>
            </w:r>
          </w:p>
        </w:tc>
        <w:tc>
          <w:tcPr>
            <w:tcW w:w="671" w:type="pct"/>
            <w:tcBorders>
              <w:top w:val="single" w:color="auto" w:sz="4" w:space="0"/>
              <w:left w:val="single" w:color="auto" w:sz="4" w:space="0"/>
              <w:bottom w:val="single" w:color="auto" w:sz="4" w:space="0"/>
              <w:right w:val="single" w:color="auto" w:sz="4" w:space="0"/>
            </w:tcBorders>
            <w:vAlign w:val="center"/>
          </w:tcPr>
          <w:p w14:paraId="459657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97994E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774" w:type="pct"/>
            <w:tcBorders>
              <w:top w:val="single" w:color="auto" w:sz="4" w:space="0"/>
              <w:left w:val="single" w:color="auto" w:sz="4" w:space="0"/>
              <w:bottom w:val="single" w:color="auto" w:sz="4" w:space="0"/>
              <w:right w:val="single" w:color="auto" w:sz="4" w:space="0"/>
            </w:tcBorders>
            <w:vAlign w:val="center"/>
          </w:tcPr>
          <w:p w14:paraId="2B27459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7146B9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709765DA">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3E2F12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848" w:type="pct"/>
            <w:tcBorders>
              <w:top w:val="single" w:color="auto" w:sz="4" w:space="0"/>
              <w:left w:val="single" w:color="auto" w:sz="4" w:space="0"/>
              <w:bottom w:val="single" w:color="auto" w:sz="4" w:space="0"/>
              <w:right w:val="single" w:color="auto" w:sz="4" w:space="0"/>
            </w:tcBorders>
            <w:vAlign w:val="center"/>
          </w:tcPr>
          <w:p w14:paraId="7C5AADF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入职时间</w:t>
            </w:r>
          </w:p>
        </w:tc>
        <w:tc>
          <w:tcPr>
            <w:tcW w:w="607" w:type="pct"/>
            <w:tcBorders>
              <w:top w:val="single" w:color="auto" w:sz="4" w:space="0"/>
              <w:left w:val="single" w:color="auto" w:sz="4" w:space="0"/>
              <w:bottom w:val="single" w:color="auto" w:sz="4" w:space="0"/>
              <w:right w:val="single" w:color="auto" w:sz="4" w:space="0"/>
            </w:tcBorders>
            <w:vAlign w:val="center"/>
          </w:tcPr>
          <w:p w14:paraId="180AFE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RZSJ</w:t>
            </w:r>
          </w:p>
        </w:tc>
        <w:tc>
          <w:tcPr>
            <w:tcW w:w="671" w:type="pct"/>
            <w:tcBorders>
              <w:top w:val="single" w:color="auto" w:sz="4" w:space="0"/>
              <w:left w:val="single" w:color="auto" w:sz="4" w:space="0"/>
              <w:bottom w:val="single" w:color="auto" w:sz="4" w:space="0"/>
              <w:right w:val="single" w:color="auto" w:sz="4" w:space="0"/>
            </w:tcBorders>
            <w:vAlign w:val="center"/>
          </w:tcPr>
          <w:p w14:paraId="121D64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shd w:val="clear" w:color="auto" w:fill="FFFFFF"/>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647876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0D4309C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579FF28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6E8A8CF0">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032B6A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848" w:type="pct"/>
            <w:tcBorders>
              <w:top w:val="single" w:color="auto" w:sz="4" w:space="0"/>
              <w:left w:val="single" w:color="auto" w:sz="4" w:space="0"/>
              <w:bottom w:val="single" w:color="auto" w:sz="4" w:space="0"/>
              <w:right w:val="single" w:color="auto" w:sz="4" w:space="0"/>
            </w:tcBorders>
            <w:vAlign w:val="center"/>
          </w:tcPr>
          <w:p w14:paraId="45E1A02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执法证号</w:t>
            </w:r>
          </w:p>
        </w:tc>
        <w:tc>
          <w:tcPr>
            <w:tcW w:w="607" w:type="pct"/>
            <w:tcBorders>
              <w:top w:val="single" w:color="auto" w:sz="4" w:space="0"/>
              <w:left w:val="single" w:color="auto" w:sz="4" w:space="0"/>
              <w:bottom w:val="single" w:color="auto" w:sz="4" w:space="0"/>
              <w:right w:val="single" w:color="auto" w:sz="4" w:space="0"/>
            </w:tcBorders>
            <w:vAlign w:val="center"/>
          </w:tcPr>
          <w:p w14:paraId="67DD9A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ZFZH</w:t>
            </w:r>
          </w:p>
        </w:tc>
        <w:tc>
          <w:tcPr>
            <w:tcW w:w="671" w:type="pct"/>
            <w:tcBorders>
              <w:top w:val="single" w:color="auto" w:sz="4" w:space="0"/>
              <w:left w:val="single" w:color="auto" w:sz="4" w:space="0"/>
              <w:bottom w:val="single" w:color="auto" w:sz="4" w:space="0"/>
              <w:right w:val="single" w:color="auto" w:sz="4" w:space="0"/>
            </w:tcBorders>
            <w:vAlign w:val="center"/>
          </w:tcPr>
          <w:p w14:paraId="2AB9613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63B1E2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50</w:t>
            </w:r>
          </w:p>
        </w:tc>
        <w:tc>
          <w:tcPr>
            <w:tcW w:w="774" w:type="pct"/>
            <w:tcBorders>
              <w:top w:val="single" w:color="auto" w:sz="4" w:space="0"/>
              <w:left w:val="single" w:color="auto" w:sz="4" w:space="0"/>
              <w:bottom w:val="single" w:color="auto" w:sz="4" w:space="0"/>
              <w:right w:val="single" w:color="auto" w:sz="4" w:space="0"/>
            </w:tcBorders>
            <w:vAlign w:val="center"/>
          </w:tcPr>
          <w:p w14:paraId="1514C45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42B792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563C23CD">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F94AC8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12</w:t>
            </w:r>
          </w:p>
        </w:tc>
        <w:tc>
          <w:tcPr>
            <w:tcW w:w="848" w:type="pct"/>
            <w:tcBorders>
              <w:top w:val="single" w:color="auto" w:sz="4" w:space="0"/>
              <w:left w:val="single" w:color="auto" w:sz="4" w:space="0"/>
              <w:bottom w:val="single" w:color="auto" w:sz="4" w:space="0"/>
              <w:right w:val="single" w:color="auto" w:sz="4" w:space="0"/>
            </w:tcBorders>
            <w:vAlign w:val="center"/>
          </w:tcPr>
          <w:p w14:paraId="46F6269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执法证有效期</w:t>
            </w:r>
          </w:p>
        </w:tc>
        <w:tc>
          <w:tcPr>
            <w:tcW w:w="607" w:type="pct"/>
            <w:tcBorders>
              <w:top w:val="single" w:color="auto" w:sz="4" w:space="0"/>
              <w:left w:val="single" w:color="auto" w:sz="4" w:space="0"/>
              <w:bottom w:val="single" w:color="auto" w:sz="4" w:space="0"/>
              <w:right w:val="single" w:color="auto" w:sz="4" w:space="0"/>
            </w:tcBorders>
            <w:vAlign w:val="center"/>
          </w:tcPr>
          <w:p w14:paraId="3362A9A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ZFZYXQ</w:t>
            </w:r>
          </w:p>
        </w:tc>
        <w:tc>
          <w:tcPr>
            <w:tcW w:w="671" w:type="pct"/>
            <w:tcBorders>
              <w:top w:val="single" w:color="auto" w:sz="4" w:space="0"/>
              <w:left w:val="single" w:color="auto" w:sz="4" w:space="0"/>
              <w:bottom w:val="single" w:color="auto" w:sz="4" w:space="0"/>
              <w:right w:val="single" w:color="auto" w:sz="4" w:space="0"/>
            </w:tcBorders>
            <w:vAlign w:val="center"/>
          </w:tcPr>
          <w:p w14:paraId="6B4AE3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shd w:val="clear" w:color="auto" w:fill="FFFFFF"/>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012BCB0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6F6A15B4">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59C8BEB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5E41BE57">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A2485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13</w:t>
            </w:r>
          </w:p>
        </w:tc>
        <w:tc>
          <w:tcPr>
            <w:tcW w:w="848" w:type="pct"/>
            <w:tcBorders>
              <w:top w:val="single" w:color="auto" w:sz="4" w:space="0"/>
              <w:left w:val="single" w:color="auto" w:sz="4" w:space="0"/>
              <w:bottom w:val="single" w:color="auto" w:sz="4" w:space="0"/>
              <w:right w:val="single" w:color="auto" w:sz="4" w:space="0"/>
            </w:tcBorders>
            <w:vAlign w:val="center"/>
          </w:tcPr>
          <w:p w14:paraId="159FD1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职务</w:t>
            </w:r>
          </w:p>
        </w:tc>
        <w:tc>
          <w:tcPr>
            <w:tcW w:w="607" w:type="pct"/>
            <w:tcBorders>
              <w:top w:val="single" w:color="auto" w:sz="4" w:space="0"/>
              <w:left w:val="single" w:color="auto" w:sz="4" w:space="0"/>
              <w:bottom w:val="single" w:color="auto" w:sz="4" w:space="0"/>
              <w:right w:val="single" w:color="auto" w:sz="4" w:space="0"/>
            </w:tcBorders>
            <w:vAlign w:val="center"/>
          </w:tcPr>
          <w:p w14:paraId="27DD2A0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ZW</w:t>
            </w:r>
          </w:p>
        </w:tc>
        <w:tc>
          <w:tcPr>
            <w:tcW w:w="671" w:type="pct"/>
            <w:tcBorders>
              <w:top w:val="single" w:color="auto" w:sz="4" w:space="0"/>
              <w:left w:val="single" w:color="auto" w:sz="4" w:space="0"/>
              <w:bottom w:val="single" w:color="auto" w:sz="4" w:space="0"/>
              <w:right w:val="single" w:color="auto" w:sz="4" w:space="0"/>
            </w:tcBorders>
            <w:vAlign w:val="center"/>
          </w:tcPr>
          <w:p w14:paraId="44B7527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45F1C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auto" w:sz="4" w:space="0"/>
              <w:left w:val="single" w:color="auto" w:sz="4" w:space="0"/>
              <w:bottom w:val="single" w:color="auto" w:sz="4" w:space="0"/>
              <w:right w:val="single" w:color="auto" w:sz="4" w:space="0"/>
            </w:tcBorders>
            <w:vAlign w:val="center"/>
          </w:tcPr>
          <w:p w14:paraId="01D034A4">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677DB0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567BBDDE">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E4CAA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14</w:t>
            </w:r>
          </w:p>
        </w:tc>
        <w:tc>
          <w:tcPr>
            <w:tcW w:w="848" w:type="pct"/>
            <w:tcBorders>
              <w:top w:val="single" w:color="auto" w:sz="4" w:space="0"/>
              <w:left w:val="single" w:color="auto" w:sz="4" w:space="0"/>
              <w:bottom w:val="single" w:color="auto" w:sz="4" w:space="0"/>
              <w:right w:val="single" w:color="auto" w:sz="4" w:space="0"/>
            </w:tcBorders>
            <w:vAlign w:val="center"/>
          </w:tcPr>
          <w:p w14:paraId="23B6F0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标识</w:t>
            </w:r>
            <w:r>
              <w:rPr>
                <w:rFonts w:hint="eastAsia" w:ascii="宋体" w:hAnsi="宋体" w:eastAsia="宋体"/>
                <w:lang w:eastAsia="zh-Hans"/>
              </w:rPr>
              <w:t>码</w:t>
            </w:r>
          </w:p>
        </w:tc>
        <w:tc>
          <w:tcPr>
            <w:tcW w:w="607" w:type="pct"/>
            <w:tcBorders>
              <w:top w:val="single" w:color="auto" w:sz="4" w:space="0"/>
              <w:left w:val="single" w:color="auto" w:sz="4" w:space="0"/>
              <w:bottom w:val="single" w:color="auto" w:sz="4" w:space="0"/>
              <w:right w:val="single" w:color="auto" w:sz="4" w:space="0"/>
            </w:tcBorders>
            <w:vAlign w:val="center"/>
          </w:tcPr>
          <w:p w14:paraId="680EE99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BS</w:t>
            </w:r>
            <w:r>
              <w:rPr>
                <w:rFonts w:hint="eastAsia" w:hAnsi="宋体"/>
                <w:szCs w:val="20"/>
                <w:lang w:eastAsia="zh-Hans"/>
              </w:rPr>
              <w:t>M</w:t>
            </w:r>
          </w:p>
        </w:tc>
        <w:tc>
          <w:tcPr>
            <w:tcW w:w="671" w:type="pct"/>
            <w:tcBorders>
              <w:top w:val="single" w:color="auto" w:sz="4" w:space="0"/>
              <w:left w:val="single" w:color="auto" w:sz="4" w:space="0"/>
              <w:bottom w:val="single" w:color="auto" w:sz="4" w:space="0"/>
              <w:right w:val="single" w:color="auto" w:sz="4" w:space="0"/>
            </w:tcBorders>
            <w:vAlign w:val="center"/>
          </w:tcPr>
          <w:p w14:paraId="7BAC4A9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42068F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00F59CFA">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3449B47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代码见</w:t>
            </w:r>
            <w:r>
              <w:rPr>
                <w:rFonts w:hint="eastAsia" w:hAnsi="宋体"/>
                <w:szCs w:val="20"/>
                <w:lang w:eastAsia="zh-Hans"/>
              </w:rPr>
              <w:t>表</w:t>
            </w:r>
            <w:r>
              <w:rPr>
                <w:rFonts w:hint="default" w:hAnsi="宋体"/>
                <w:szCs w:val="20"/>
                <w:lang w:eastAsia="zh-Hans"/>
              </w:rPr>
              <w:t>67</w:t>
            </w:r>
          </w:p>
        </w:tc>
      </w:tr>
    </w:tbl>
    <w:p w14:paraId="7B029453">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执法车辆主要数据项</w:t>
      </w:r>
    </w:p>
    <w:tbl>
      <w:tblPr>
        <w:tblStyle w:val="90"/>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912"/>
        <w:gridCol w:w="1909"/>
      </w:tblGrid>
      <w:tr w14:paraId="7745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560E42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2125409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7076CA8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7BA83A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20DCFC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47107A1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5519FC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04F4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23" w:type="dxa"/>
            <w:vAlign w:val="center"/>
          </w:tcPr>
          <w:p w14:paraId="6581C5E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tcBorders>
              <w:top w:val="single" w:color="auto" w:sz="4" w:space="0"/>
              <w:left w:val="single" w:color="auto" w:sz="4" w:space="0"/>
              <w:bottom w:val="single" w:color="auto" w:sz="4" w:space="0"/>
              <w:right w:val="single" w:color="auto" w:sz="4" w:space="0"/>
            </w:tcBorders>
            <w:vAlign w:val="center"/>
          </w:tcPr>
          <w:p w14:paraId="091F914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1139" w:type="dxa"/>
            <w:tcBorders>
              <w:top w:val="single" w:color="auto" w:sz="4" w:space="0"/>
              <w:left w:val="single" w:color="auto" w:sz="4" w:space="0"/>
              <w:bottom w:val="single" w:color="auto" w:sz="4" w:space="0"/>
              <w:right w:val="single" w:color="auto" w:sz="4" w:space="0"/>
            </w:tcBorders>
            <w:vAlign w:val="center"/>
          </w:tcPr>
          <w:p w14:paraId="202B75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XZQHDM</w:t>
            </w:r>
          </w:p>
        </w:tc>
        <w:tc>
          <w:tcPr>
            <w:tcW w:w="1231" w:type="dxa"/>
            <w:tcBorders>
              <w:top w:val="single" w:color="auto" w:sz="4" w:space="0"/>
              <w:left w:val="single" w:color="auto" w:sz="4" w:space="0"/>
              <w:bottom w:val="single" w:color="auto" w:sz="4" w:space="0"/>
              <w:right w:val="single" w:color="auto" w:sz="4" w:space="0"/>
            </w:tcBorders>
            <w:vAlign w:val="center"/>
          </w:tcPr>
          <w:p w14:paraId="3D43AD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662F82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912" w:type="dxa"/>
            <w:tcBorders>
              <w:top w:val="single" w:color="auto" w:sz="4" w:space="0"/>
              <w:left w:val="single" w:color="auto" w:sz="4" w:space="0"/>
              <w:bottom w:val="single" w:color="auto" w:sz="4" w:space="0"/>
              <w:right w:val="single" w:color="auto" w:sz="4" w:space="0"/>
            </w:tcBorders>
            <w:vAlign w:val="center"/>
          </w:tcPr>
          <w:p w14:paraId="07FCB49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vAlign w:val="center"/>
          </w:tcPr>
          <w:p w14:paraId="737D27D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48B8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A8B361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Borders>
              <w:top w:val="single" w:color="auto" w:sz="4" w:space="0"/>
              <w:left w:val="single" w:color="auto" w:sz="4" w:space="0"/>
              <w:bottom w:val="single" w:color="auto" w:sz="4" w:space="0"/>
              <w:right w:val="single" w:color="auto" w:sz="4" w:space="0"/>
            </w:tcBorders>
            <w:vAlign w:val="center"/>
          </w:tcPr>
          <w:p w14:paraId="539A750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车牌号</w:t>
            </w:r>
          </w:p>
        </w:tc>
        <w:tc>
          <w:tcPr>
            <w:tcW w:w="1139" w:type="dxa"/>
            <w:tcBorders>
              <w:top w:val="single" w:color="auto" w:sz="4" w:space="0"/>
              <w:left w:val="single" w:color="auto" w:sz="4" w:space="0"/>
              <w:bottom w:val="single" w:color="auto" w:sz="4" w:space="0"/>
              <w:right w:val="single" w:color="auto" w:sz="4" w:space="0"/>
            </w:tcBorders>
            <w:vAlign w:val="center"/>
          </w:tcPr>
          <w:p w14:paraId="3A39F4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rPr>
              <w:t>CPH</w:t>
            </w:r>
          </w:p>
        </w:tc>
        <w:tc>
          <w:tcPr>
            <w:tcW w:w="1231" w:type="dxa"/>
            <w:tcBorders>
              <w:top w:val="single" w:color="auto" w:sz="4" w:space="0"/>
              <w:left w:val="single" w:color="auto" w:sz="4" w:space="0"/>
              <w:bottom w:val="single" w:color="auto" w:sz="4" w:space="0"/>
              <w:right w:val="single" w:color="auto" w:sz="4" w:space="0"/>
            </w:tcBorders>
            <w:vAlign w:val="center"/>
          </w:tcPr>
          <w:p w14:paraId="3AD0921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62DFF1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912" w:type="dxa"/>
            <w:tcBorders>
              <w:top w:val="single" w:color="auto" w:sz="4" w:space="0"/>
              <w:left w:val="single" w:color="auto" w:sz="4" w:space="0"/>
              <w:bottom w:val="single" w:color="auto" w:sz="4" w:space="0"/>
              <w:right w:val="single" w:color="auto" w:sz="4" w:space="0"/>
            </w:tcBorders>
          </w:tcPr>
          <w:p w14:paraId="288B749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vAlign w:val="center"/>
          </w:tcPr>
          <w:p w14:paraId="6F0AC144">
            <w:pPr>
              <w:pStyle w:val="369"/>
              <w:keepNext w:val="0"/>
              <w:keepLines w:val="0"/>
              <w:widowControl/>
              <w:suppressLineNumbers w:val="0"/>
              <w:spacing w:before="0" w:beforeAutospacing="0" w:after="0" w:afterAutospacing="0"/>
              <w:ind w:left="0" w:right="0" w:firstLine="0" w:firstLineChars="0"/>
              <w:jc w:val="left"/>
              <w:rPr>
                <w:rFonts w:hint="eastAsia" w:hAnsi="宋体" w:cs="宋体"/>
                <w:color w:val="000000"/>
                <w:szCs w:val="20"/>
                <w:lang w:bidi="ar"/>
              </w:rPr>
            </w:pPr>
          </w:p>
        </w:tc>
      </w:tr>
      <w:tr w14:paraId="43CC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DCA6DD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Borders>
              <w:top w:val="single" w:color="auto" w:sz="4" w:space="0"/>
              <w:left w:val="single" w:color="auto" w:sz="4" w:space="0"/>
              <w:bottom w:val="single" w:color="auto" w:sz="4" w:space="0"/>
              <w:right w:val="single" w:color="auto" w:sz="4" w:space="0"/>
            </w:tcBorders>
            <w:vAlign w:val="center"/>
          </w:tcPr>
          <w:p w14:paraId="1C6A4E7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责任部门</w:t>
            </w:r>
          </w:p>
        </w:tc>
        <w:tc>
          <w:tcPr>
            <w:tcW w:w="1139" w:type="dxa"/>
            <w:tcBorders>
              <w:top w:val="single" w:color="auto" w:sz="4" w:space="0"/>
              <w:left w:val="single" w:color="auto" w:sz="4" w:space="0"/>
              <w:bottom w:val="single" w:color="auto" w:sz="4" w:space="0"/>
              <w:right w:val="single" w:color="auto" w:sz="4" w:space="0"/>
            </w:tcBorders>
            <w:vAlign w:val="center"/>
          </w:tcPr>
          <w:p w14:paraId="716277ED">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lang w:eastAsia="zh-Hans"/>
              </w:rPr>
            </w:pPr>
            <w:r>
              <w:rPr>
                <w:rFonts w:hint="eastAsia" w:hAnsi="宋体"/>
                <w:szCs w:val="20"/>
              </w:rPr>
              <w:t>ZRBM</w:t>
            </w:r>
          </w:p>
        </w:tc>
        <w:tc>
          <w:tcPr>
            <w:tcW w:w="1231" w:type="dxa"/>
            <w:tcBorders>
              <w:top w:val="single" w:color="auto" w:sz="4" w:space="0"/>
              <w:left w:val="single" w:color="auto" w:sz="4" w:space="0"/>
              <w:bottom w:val="single" w:color="auto" w:sz="4" w:space="0"/>
              <w:right w:val="single" w:color="auto" w:sz="4" w:space="0"/>
            </w:tcBorders>
            <w:vAlign w:val="center"/>
          </w:tcPr>
          <w:p w14:paraId="00F93806">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020875C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vAlign w:val="center"/>
          </w:tcPr>
          <w:p w14:paraId="2CC6C7F8">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vAlign w:val="center"/>
          </w:tcPr>
          <w:p w14:paraId="22897D1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784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0EBC42A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Borders>
              <w:top w:val="single" w:color="auto" w:sz="4" w:space="0"/>
              <w:left w:val="single" w:color="auto" w:sz="4" w:space="0"/>
              <w:bottom w:val="single" w:color="auto" w:sz="4" w:space="0"/>
              <w:right w:val="single" w:color="auto" w:sz="4" w:space="0"/>
            </w:tcBorders>
            <w:vAlign w:val="center"/>
          </w:tcPr>
          <w:p w14:paraId="4B5051F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车辆型号</w:t>
            </w:r>
          </w:p>
        </w:tc>
        <w:tc>
          <w:tcPr>
            <w:tcW w:w="1139" w:type="dxa"/>
            <w:tcBorders>
              <w:top w:val="single" w:color="auto" w:sz="4" w:space="0"/>
              <w:left w:val="single" w:color="auto" w:sz="4" w:space="0"/>
              <w:bottom w:val="single" w:color="auto" w:sz="4" w:space="0"/>
              <w:right w:val="single" w:color="auto" w:sz="4" w:space="0"/>
            </w:tcBorders>
            <w:vAlign w:val="center"/>
          </w:tcPr>
          <w:p w14:paraId="2B408B9C">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lang w:eastAsia="zh-Hans"/>
              </w:rPr>
            </w:pPr>
            <w:r>
              <w:rPr>
                <w:rFonts w:hint="eastAsia" w:hAnsi="宋体"/>
                <w:szCs w:val="20"/>
              </w:rPr>
              <w:t>CLXH</w:t>
            </w:r>
          </w:p>
        </w:tc>
        <w:tc>
          <w:tcPr>
            <w:tcW w:w="1231" w:type="dxa"/>
            <w:tcBorders>
              <w:top w:val="single" w:color="auto" w:sz="4" w:space="0"/>
              <w:left w:val="single" w:color="auto" w:sz="4" w:space="0"/>
              <w:bottom w:val="single" w:color="auto" w:sz="4" w:space="0"/>
              <w:right w:val="single" w:color="auto" w:sz="4" w:space="0"/>
            </w:tcBorders>
            <w:vAlign w:val="center"/>
          </w:tcPr>
          <w:p w14:paraId="21CEE1E4">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528C19BF">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vAlign w:val="center"/>
          </w:tcPr>
          <w:p w14:paraId="11BE3F54">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M</w:t>
            </w:r>
          </w:p>
        </w:tc>
        <w:tc>
          <w:tcPr>
            <w:tcW w:w="1909" w:type="dxa"/>
            <w:tcBorders>
              <w:top w:val="single" w:color="auto" w:sz="4" w:space="0"/>
              <w:left w:val="single" w:color="auto" w:sz="4" w:space="0"/>
              <w:bottom w:val="single" w:color="auto" w:sz="4" w:space="0"/>
              <w:right w:val="single" w:color="auto" w:sz="4" w:space="0"/>
            </w:tcBorders>
            <w:vAlign w:val="center"/>
          </w:tcPr>
          <w:p w14:paraId="7622D986">
            <w:pPr>
              <w:pStyle w:val="369"/>
              <w:keepNext w:val="0"/>
              <w:keepLines w:val="0"/>
              <w:widowControl/>
              <w:suppressLineNumbers w:val="0"/>
              <w:spacing w:before="0" w:beforeAutospacing="0" w:after="0" w:afterAutospacing="0"/>
              <w:ind w:left="0" w:right="0" w:firstLine="0" w:firstLineChars="0"/>
              <w:jc w:val="left"/>
              <w:rPr>
                <w:rFonts w:hint="eastAsia" w:hAnsi="宋体" w:cs="宋体"/>
                <w:szCs w:val="20"/>
              </w:rPr>
            </w:pPr>
          </w:p>
        </w:tc>
      </w:tr>
      <w:tr w14:paraId="3817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582DDF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tcBorders>
              <w:top w:val="single" w:color="auto" w:sz="4" w:space="0"/>
              <w:left w:val="single" w:color="auto" w:sz="4" w:space="0"/>
              <w:bottom w:val="single" w:color="auto" w:sz="4" w:space="0"/>
              <w:right w:val="single" w:color="auto" w:sz="4" w:space="0"/>
            </w:tcBorders>
            <w:vAlign w:val="center"/>
          </w:tcPr>
          <w:p w14:paraId="104C18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制造厂商</w:t>
            </w:r>
          </w:p>
        </w:tc>
        <w:tc>
          <w:tcPr>
            <w:tcW w:w="1139" w:type="dxa"/>
            <w:tcBorders>
              <w:top w:val="single" w:color="auto" w:sz="4" w:space="0"/>
              <w:left w:val="single" w:color="auto" w:sz="4" w:space="0"/>
              <w:bottom w:val="single" w:color="auto" w:sz="4" w:space="0"/>
              <w:right w:val="single" w:color="auto" w:sz="4" w:space="0"/>
            </w:tcBorders>
            <w:vAlign w:val="center"/>
          </w:tcPr>
          <w:p w14:paraId="0C78FB5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ZZCS</w:t>
            </w:r>
          </w:p>
        </w:tc>
        <w:tc>
          <w:tcPr>
            <w:tcW w:w="1231" w:type="dxa"/>
            <w:tcBorders>
              <w:top w:val="single" w:color="auto" w:sz="4" w:space="0"/>
              <w:left w:val="single" w:color="auto" w:sz="4" w:space="0"/>
              <w:bottom w:val="single" w:color="auto" w:sz="4" w:space="0"/>
              <w:right w:val="single" w:color="auto" w:sz="4" w:space="0"/>
            </w:tcBorders>
            <w:vAlign w:val="center"/>
          </w:tcPr>
          <w:p w14:paraId="5480B6F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08A9397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vAlign w:val="center"/>
          </w:tcPr>
          <w:p w14:paraId="74D9A5C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vAlign w:val="center"/>
          </w:tcPr>
          <w:p w14:paraId="3A9048B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969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9C60A3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1509" w:type="dxa"/>
            <w:tcBorders>
              <w:top w:val="single" w:color="auto" w:sz="4" w:space="0"/>
              <w:left w:val="single" w:color="auto" w:sz="4" w:space="0"/>
              <w:bottom w:val="single" w:color="auto" w:sz="4" w:space="0"/>
              <w:right w:val="single" w:color="auto" w:sz="4" w:space="0"/>
            </w:tcBorders>
            <w:vAlign w:val="center"/>
          </w:tcPr>
          <w:p w14:paraId="2BCEC7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停车场所</w:t>
            </w:r>
          </w:p>
        </w:tc>
        <w:tc>
          <w:tcPr>
            <w:tcW w:w="1139" w:type="dxa"/>
            <w:tcBorders>
              <w:top w:val="single" w:color="auto" w:sz="4" w:space="0"/>
              <w:left w:val="single" w:color="auto" w:sz="4" w:space="0"/>
              <w:bottom w:val="single" w:color="auto" w:sz="4" w:space="0"/>
              <w:right w:val="single" w:color="auto" w:sz="4" w:space="0"/>
            </w:tcBorders>
            <w:vAlign w:val="center"/>
          </w:tcPr>
          <w:p w14:paraId="0A2B7D0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TCCS</w:t>
            </w:r>
          </w:p>
        </w:tc>
        <w:tc>
          <w:tcPr>
            <w:tcW w:w="1231" w:type="dxa"/>
            <w:tcBorders>
              <w:top w:val="single" w:color="auto" w:sz="4" w:space="0"/>
              <w:left w:val="single" w:color="auto" w:sz="4" w:space="0"/>
              <w:bottom w:val="single" w:color="auto" w:sz="4" w:space="0"/>
              <w:right w:val="single" w:color="auto" w:sz="4" w:space="0"/>
            </w:tcBorders>
            <w:vAlign w:val="center"/>
          </w:tcPr>
          <w:p w14:paraId="0EE0BCB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577439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vAlign w:val="center"/>
          </w:tcPr>
          <w:p w14:paraId="6797260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909" w:type="dxa"/>
            <w:tcBorders>
              <w:top w:val="single" w:color="auto" w:sz="4" w:space="0"/>
              <w:left w:val="single" w:color="auto" w:sz="4" w:space="0"/>
              <w:bottom w:val="single" w:color="auto" w:sz="4" w:space="0"/>
              <w:right w:val="single" w:color="auto" w:sz="4" w:space="0"/>
            </w:tcBorders>
            <w:vAlign w:val="center"/>
          </w:tcPr>
          <w:p w14:paraId="58B5D72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D02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612008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1509" w:type="dxa"/>
            <w:tcBorders>
              <w:top w:val="single" w:color="auto" w:sz="4" w:space="0"/>
              <w:left w:val="single" w:color="auto" w:sz="4" w:space="0"/>
              <w:bottom w:val="single" w:color="auto" w:sz="4" w:space="0"/>
              <w:right w:val="single" w:color="auto" w:sz="4" w:space="0"/>
            </w:tcBorders>
            <w:vAlign w:val="center"/>
          </w:tcPr>
          <w:p w14:paraId="456B07D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工作人员</w:t>
            </w:r>
          </w:p>
        </w:tc>
        <w:tc>
          <w:tcPr>
            <w:tcW w:w="1139" w:type="dxa"/>
            <w:tcBorders>
              <w:top w:val="single" w:color="auto" w:sz="4" w:space="0"/>
              <w:left w:val="single" w:color="auto" w:sz="4" w:space="0"/>
              <w:bottom w:val="single" w:color="auto" w:sz="4" w:space="0"/>
              <w:right w:val="single" w:color="auto" w:sz="4" w:space="0"/>
            </w:tcBorders>
            <w:vAlign w:val="center"/>
          </w:tcPr>
          <w:p w14:paraId="48F3D2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GZRY</w:t>
            </w:r>
          </w:p>
        </w:tc>
        <w:tc>
          <w:tcPr>
            <w:tcW w:w="1231" w:type="dxa"/>
            <w:tcBorders>
              <w:top w:val="single" w:color="auto" w:sz="4" w:space="0"/>
              <w:left w:val="single" w:color="auto" w:sz="4" w:space="0"/>
              <w:bottom w:val="single" w:color="auto" w:sz="4" w:space="0"/>
              <w:right w:val="single" w:color="auto" w:sz="4" w:space="0"/>
            </w:tcBorders>
            <w:vAlign w:val="center"/>
          </w:tcPr>
          <w:p w14:paraId="503551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6A6A05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vAlign w:val="center"/>
          </w:tcPr>
          <w:p w14:paraId="1AF01A4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O</w:t>
            </w:r>
          </w:p>
        </w:tc>
        <w:tc>
          <w:tcPr>
            <w:tcW w:w="1909" w:type="dxa"/>
            <w:tcBorders>
              <w:top w:val="single" w:color="auto" w:sz="4" w:space="0"/>
              <w:left w:val="single" w:color="auto" w:sz="4" w:space="0"/>
              <w:bottom w:val="single" w:color="auto" w:sz="4" w:space="0"/>
              <w:right w:val="single" w:color="auto" w:sz="4" w:space="0"/>
            </w:tcBorders>
            <w:vAlign w:val="center"/>
          </w:tcPr>
          <w:p w14:paraId="4AE9EEA7">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5AD9C4A3">
      <w:pPr>
        <w:pStyle w:val="182"/>
        <w:tabs>
          <w:tab w:val="left" w:pos="0"/>
        </w:tabs>
        <w:ind w:left="40"/>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223574DB">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auto" w:sz="4" w:space="0"/>
              <w:right w:val="nil"/>
            </w:tcBorders>
            <w:vAlign w:val="center"/>
          </w:tcPr>
          <w:p w14:paraId="5709E654">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执法案件案由主要数据项</w:t>
            </w:r>
          </w:p>
        </w:tc>
      </w:tr>
      <w:tr w14:paraId="766CCCC8">
        <w:tblPrEx>
          <w:tblCellMar>
            <w:top w:w="0" w:type="dxa"/>
            <w:left w:w="108" w:type="dxa"/>
            <w:bottom w:w="0" w:type="dxa"/>
            <w:right w:w="108" w:type="dxa"/>
          </w:tblCellMar>
        </w:tblPrEx>
        <w:trPr>
          <w:cantSplit/>
          <w:trHeight w:val="255" w:hRule="atLeast"/>
          <w:tblHeader/>
        </w:trPr>
        <w:tc>
          <w:tcPr>
            <w:tcW w:w="399" w:type="pct"/>
            <w:tcBorders>
              <w:top w:val="single" w:color="auto" w:sz="4" w:space="0"/>
              <w:left w:val="single" w:color="auto" w:sz="4" w:space="0"/>
              <w:bottom w:val="single" w:color="auto" w:sz="4" w:space="0"/>
              <w:right w:val="single" w:color="auto" w:sz="4" w:space="0"/>
            </w:tcBorders>
            <w:vAlign w:val="center"/>
          </w:tcPr>
          <w:p w14:paraId="0A9EDE7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auto" w:sz="4" w:space="0"/>
              <w:left w:val="single" w:color="auto" w:sz="4" w:space="0"/>
              <w:bottom w:val="single" w:color="auto" w:sz="4" w:space="0"/>
              <w:right w:val="single" w:color="auto" w:sz="4" w:space="0"/>
            </w:tcBorders>
            <w:vAlign w:val="center"/>
          </w:tcPr>
          <w:p w14:paraId="127F5F8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auto" w:sz="4" w:space="0"/>
              <w:left w:val="single" w:color="auto" w:sz="4" w:space="0"/>
              <w:bottom w:val="single" w:color="auto" w:sz="4" w:space="0"/>
              <w:right w:val="single" w:color="auto" w:sz="4" w:space="0"/>
            </w:tcBorders>
            <w:vAlign w:val="center"/>
          </w:tcPr>
          <w:p w14:paraId="07D294A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auto" w:sz="4" w:space="0"/>
              <w:left w:val="single" w:color="auto" w:sz="4" w:space="0"/>
              <w:bottom w:val="single" w:color="auto" w:sz="4" w:space="0"/>
              <w:right w:val="single" w:color="auto" w:sz="4" w:space="0"/>
            </w:tcBorders>
            <w:vAlign w:val="center"/>
          </w:tcPr>
          <w:p w14:paraId="473A610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auto" w:sz="4" w:space="0"/>
              <w:left w:val="single" w:color="auto" w:sz="4" w:space="0"/>
              <w:bottom w:val="single" w:color="auto" w:sz="4" w:space="0"/>
              <w:right w:val="single" w:color="auto" w:sz="4" w:space="0"/>
            </w:tcBorders>
            <w:vAlign w:val="center"/>
          </w:tcPr>
          <w:p w14:paraId="127FE69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auto" w:sz="4" w:space="0"/>
              <w:left w:val="single" w:color="auto" w:sz="4" w:space="0"/>
              <w:bottom w:val="single" w:color="auto" w:sz="4" w:space="0"/>
              <w:right w:val="single" w:color="auto" w:sz="4" w:space="0"/>
            </w:tcBorders>
            <w:vAlign w:val="center"/>
          </w:tcPr>
          <w:p w14:paraId="3BF9A3D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auto" w:sz="4" w:space="0"/>
              <w:left w:val="single" w:color="auto" w:sz="4" w:space="0"/>
              <w:bottom w:val="single" w:color="auto" w:sz="4" w:space="0"/>
              <w:right w:val="single" w:color="auto" w:sz="4" w:space="0"/>
            </w:tcBorders>
            <w:vAlign w:val="center"/>
          </w:tcPr>
          <w:p w14:paraId="1C8D471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47F56985">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4D0DB0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auto" w:sz="4" w:space="0"/>
              <w:left w:val="single" w:color="auto" w:sz="4" w:space="0"/>
              <w:bottom w:val="single" w:color="auto" w:sz="4" w:space="0"/>
              <w:right w:val="single" w:color="auto" w:sz="4" w:space="0"/>
            </w:tcBorders>
            <w:vAlign w:val="center"/>
          </w:tcPr>
          <w:p w14:paraId="5590B6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auto" w:sz="4" w:space="0"/>
              <w:left w:val="single" w:color="auto" w:sz="4" w:space="0"/>
              <w:bottom w:val="single" w:color="auto" w:sz="4" w:space="0"/>
              <w:right w:val="single" w:color="auto" w:sz="4" w:space="0"/>
            </w:tcBorders>
            <w:vAlign w:val="center"/>
          </w:tcPr>
          <w:p w14:paraId="15636A2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BSM</w:t>
            </w:r>
          </w:p>
        </w:tc>
        <w:tc>
          <w:tcPr>
            <w:tcW w:w="671" w:type="pct"/>
            <w:tcBorders>
              <w:top w:val="single" w:color="auto" w:sz="4" w:space="0"/>
              <w:left w:val="single" w:color="auto" w:sz="4" w:space="0"/>
              <w:bottom w:val="single" w:color="auto" w:sz="4" w:space="0"/>
              <w:right w:val="single" w:color="auto" w:sz="4" w:space="0"/>
            </w:tcBorders>
            <w:vAlign w:val="center"/>
          </w:tcPr>
          <w:p w14:paraId="20BF3792">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165E66F">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cs="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1F4BA413">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2134990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1D090FA7">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8CFDD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auto" w:sz="4" w:space="0"/>
              <w:left w:val="single" w:color="auto" w:sz="4" w:space="0"/>
              <w:bottom w:val="single" w:color="auto" w:sz="4" w:space="0"/>
              <w:right w:val="single" w:color="auto" w:sz="4" w:space="0"/>
            </w:tcBorders>
            <w:vAlign w:val="center"/>
          </w:tcPr>
          <w:p w14:paraId="0883FE4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案由名称</w:t>
            </w:r>
          </w:p>
        </w:tc>
        <w:tc>
          <w:tcPr>
            <w:tcW w:w="607" w:type="pct"/>
            <w:tcBorders>
              <w:top w:val="single" w:color="auto" w:sz="4" w:space="0"/>
              <w:left w:val="single" w:color="auto" w:sz="4" w:space="0"/>
              <w:bottom w:val="single" w:color="auto" w:sz="4" w:space="0"/>
              <w:right w:val="single" w:color="auto" w:sz="4" w:space="0"/>
            </w:tcBorders>
            <w:vAlign w:val="center"/>
          </w:tcPr>
          <w:p w14:paraId="602181D6">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AYMC</w:t>
            </w:r>
          </w:p>
        </w:tc>
        <w:tc>
          <w:tcPr>
            <w:tcW w:w="671" w:type="pct"/>
            <w:tcBorders>
              <w:top w:val="single" w:color="auto" w:sz="4" w:space="0"/>
              <w:left w:val="single" w:color="auto" w:sz="4" w:space="0"/>
              <w:bottom w:val="single" w:color="auto" w:sz="4" w:space="0"/>
              <w:right w:val="single" w:color="auto" w:sz="4" w:space="0"/>
            </w:tcBorders>
            <w:vAlign w:val="center"/>
          </w:tcPr>
          <w:p w14:paraId="44BF769B">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77D50B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122F8C4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1A0FEBBB">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14:paraId="793A6453">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885FC0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auto" w:sz="4" w:space="0"/>
              <w:left w:val="single" w:color="auto" w:sz="4" w:space="0"/>
              <w:bottom w:val="single" w:color="auto" w:sz="4" w:space="0"/>
              <w:right w:val="single" w:color="auto" w:sz="4" w:space="0"/>
            </w:tcBorders>
            <w:vAlign w:val="center"/>
          </w:tcPr>
          <w:p w14:paraId="253BAFF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案由类别名称</w:t>
            </w:r>
          </w:p>
        </w:tc>
        <w:tc>
          <w:tcPr>
            <w:tcW w:w="607" w:type="pct"/>
            <w:tcBorders>
              <w:top w:val="single" w:color="auto" w:sz="4" w:space="0"/>
              <w:left w:val="single" w:color="auto" w:sz="4" w:space="0"/>
              <w:bottom w:val="single" w:color="auto" w:sz="4" w:space="0"/>
              <w:right w:val="single" w:color="auto" w:sz="4" w:space="0"/>
            </w:tcBorders>
            <w:vAlign w:val="center"/>
          </w:tcPr>
          <w:p w14:paraId="0352744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AYLBMC</w:t>
            </w:r>
          </w:p>
        </w:tc>
        <w:tc>
          <w:tcPr>
            <w:tcW w:w="671" w:type="pct"/>
            <w:tcBorders>
              <w:top w:val="single" w:color="auto" w:sz="4" w:space="0"/>
              <w:left w:val="single" w:color="auto" w:sz="4" w:space="0"/>
              <w:bottom w:val="single" w:color="auto" w:sz="4" w:space="0"/>
              <w:right w:val="single" w:color="auto" w:sz="4" w:space="0"/>
            </w:tcBorders>
            <w:vAlign w:val="center"/>
          </w:tcPr>
          <w:p w14:paraId="70BA5A4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0EA83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auto" w:sz="4" w:space="0"/>
              <w:left w:val="single" w:color="auto" w:sz="4" w:space="0"/>
              <w:bottom w:val="single" w:color="auto" w:sz="4" w:space="0"/>
              <w:right w:val="single" w:color="auto" w:sz="4" w:space="0"/>
            </w:tcBorders>
            <w:vAlign w:val="center"/>
          </w:tcPr>
          <w:p w14:paraId="0E584073">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08F8C4C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7945F0E7">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78A974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auto" w:sz="4" w:space="0"/>
              <w:left w:val="single" w:color="auto" w:sz="4" w:space="0"/>
              <w:bottom w:val="single" w:color="auto" w:sz="4" w:space="0"/>
              <w:right w:val="single" w:color="auto" w:sz="4" w:space="0"/>
            </w:tcBorders>
            <w:vAlign w:val="center"/>
          </w:tcPr>
          <w:p w14:paraId="3319232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法规名称</w:t>
            </w:r>
          </w:p>
        </w:tc>
        <w:tc>
          <w:tcPr>
            <w:tcW w:w="607" w:type="pct"/>
            <w:tcBorders>
              <w:top w:val="single" w:color="auto" w:sz="4" w:space="0"/>
              <w:left w:val="single" w:color="auto" w:sz="4" w:space="0"/>
              <w:bottom w:val="single" w:color="auto" w:sz="4" w:space="0"/>
              <w:right w:val="single" w:color="auto" w:sz="4" w:space="0"/>
            </w:tcBorders>
            <w:vAlign w:val="center"/>
          </w:tcPr>
          <w:p w14:paraId="05F48F9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FGMC</w:t>
            </w:r>
          </w:p>
        </w:tc>
        <w:tc>
          <w:tcPr>
            <w:tcW w:w="671" w:type="pct"/>
            <w:tcBorders>
              <w:top w:val="single" w:color="auto" w:sz="4" w:space="0"/>
              <w:left w:val="single" w:color="auto" w:sz="4" w:space="0"/>
              <w:bottom w:val="single" w:color="auto" w:sz="4" w:space="0"/>
              <w:right w:val="single" w:color="auto" w:sz="4" w:space="0"/>
            </w:tcBorders>
            <w:vAlign w:val="center"/>
          </w:tcPr>
          <w:p w14:paraId="784C9F5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24DED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2BDB13D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O</w:t>
            </w:r>
          </w:p>
        </w:tc>
        <w:tc>
          <w:tcPr>
            <w:tcW w:w="1070" w:type="pct"/>
            <w:tcBorders>
              <w:top w:val="single" w:color="auto" w:sz="4" w:space="0"/>
              <w:left w:val="single" w:color="auto" w:sz="4" w:space="0"/>
              <w:bottom w:val="single" w:color="auto" w:sz="4" w:space="0"/>
              <w:right w:val="single" w:color="auto" w:sz="4" w:space="0"/>
            </w:tcBorders>
            <w:vAlign w:val="center"/>
          </w:tcPr>
          <w:p w14:paraId="5AEC6F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70D7E917">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9FB6CB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48" w:type="pct"/>
            <w:tcBorders>
              <w:top w:val="single" w:color="auto" w:sz="4" w:space="0"/>
              <w:left w:val="single" w:color="auto" w:sz="4" w:space="0"/>
              <w:bottom w:val="single" w:color="auto" w:sz="4" w:space="0"/>
              <w:right w:val="single" w:color="auto" w:sz="4" w:space="0"/>
            </w:tcBorders>
            <w:vAlign w:val="center"/>
          </w:tcPr>
          <w:p w14:paraId="2EFA666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法规</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14:paraId="24F88A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FG</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14:paraId="4FBA075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351352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50CDAA5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47C8E1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37FA7AA">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2BB51E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48" w:type="pct"/>
            <w:tcBorders>
              <w:top w:val="single" w:color="auto" w:sz="4" w:space="0"/>
              <w:left w:val="single" w:color="auto" w:sz="4" w:space="0"/>
              <w:bottom w:val="single" w:color="auto" w:sz="4" w:space="0"/>
              <w:right w:val="single" w:color="auto" w:sz="4" w:space="0"/>
            </w:tcBorders>
            <w:vAlign w:val="center"/>
          </w:tcPr>
          <w:p w14:paraId="7B0231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罚则依据标识</w:t>
            </w:r>
          </w:p>
        </w:tc>
        <w:tc>
          <w:tcPr>
            <w:tcW w:w="607" w:type="pct"/>
            <w:tcBorders>
              <w:top w:val="single" w:color="auto" w:sz="4" w:space="0"/>
              <w:left w:val="single" w:color="auto" w:sz="4" w:space="0"/>
              <w:bottom w:val="single" w:color="auto" w:sz="4" w:space="0"/>
              <w:right w:val="single" w:color="auto" w:sz="4" w:space="0"/>
            </w:tcBorders>
            <w:vAlign w:val="center"/>
          </w:tcPr>
          <w:p w14:paraId="0A83641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FZYJBS</w:t>
            </w:r>
          </w:p>
        </w:tc>
        <w:tc>
          <w:tcPr>
            <w:tcW w:w="671" w:type="pct"/>
            <w:tcBorders>
              <w:top w:val="single" w:color="auto" w:sz="4" w:space="0"/>
              <w:left w:val="single" w:color="auto" w:sz="4" w:space="0"/>
              <w:bottom w:val="single" w:color="auto" w:sz="4" w:space="0"/>
              <w:right w:val="single" w:color="auto" w:sz="4" w:space="0"/>
            </w:tcBorders>
            <w:vAlign w:val="center"/>
          </w:tcPr>
          <w:p w14:paraId="1DBA36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06057DD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61514E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6F164B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4B576BF">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DBBA0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48" w:type="pct"/>
            <w:tcBorders>
              <w:top w:val="single" w:color="auto" w:sz="4" w:space="0"/>
              <w:left w:val="single" w:color="auto" w:sz="4" w:space="0"/>
              <w:bottom w:val="single" w:color="auto" w:sz="4" w:space="0"/>
              <w:right w:val="single" w:color="auto" w:sz="4" w:space="0"/>
            </w:tcBorders>
            <w:vAlign w:val="center"/>
          </w:tcPr>
          <w:p w14:paraId="3121829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w:t>
            </w:r>
          </w:p>
        </w:tc>
        <w:tc>
          <w:tcPr>
            <w:tcW w:w="607" w:type="pct"/>
            <w:tcBorders>
              <w:top w:val="single" w:color="auto" w:sz="4" w:space="0"/>
              <w:left w:val="single" w:color="auto" w:sz="4" w:space="0"/>
              <w:bottom w:val="single" w:color="auto" w:sz="4" w:space="0"/>
              <w:right w:val="single" w:color="auto" w:sz="4" w:space="0"/>
            </w:tcBorders>
            <w:vAlign w:val="center"/>
          </w:tcPr>
          <w:p w14:paraId="279AE1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w:t>
            </w:r>
          </w:p>
        </w:tc>
        <w:tc>
          <w:tcPr>
            <w:tcW w:w="671" w:type="pct"/>
            <w:tcBorders>
              <w:top w:val="single" w:color="auto" w:sz="4" w:space="0"/>
              <w:left w:val="single" w:color="auto" w:sz="4" w:space="0"/>
              <w:bottom w:val="single" w:color="auto" w:sz="4" w:space="0"/>
              <w:right w:val="single" w:color="auto" w:sz="4" w:space="0"/>
            </w:tcBorders>
            <w:vAlign w:val="center"/>
          </w:tcPr>
          <w:p w14:paraId="3A16C08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664EF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2A6DF2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256A4DE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57D3C578">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25732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48" w:type="pct"/>
            <w:tcBorders>
              <w:top w:val="single" w:color="auto" w:sz="4" w:space="0"/>
              <w:left w:val="single" w:color="auto" w:sz="4" w:space="0"/>
              <w:bottom w:val="single" w:color="auto" w:sz="4" w:space="0"/>
              <w:right w:val="single" w:color="auto" w:sz="4" w:space="0"/>
            </w:tcBorders>
            <w:vAlign w:val="center"/>
          </w:tcPr>
          <w:p w14:paraId="034A651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罚则依据内容</w:t>
            </w:r>
          </w:p>
        </w:tc>
        <w:tc>
          <w:tcPr>
            <w:tcW w:w="607" w:type="pct"/>
            <w:tcBorders>
              <w:top w:val="single" w:color="auto" w:sz="4" w:space="0"/>
              <w:left w:val="single" w:color="auto" w:sz="4" w:space="0"/>
              <w:bottom w:val="single" w:color="auto" w:sz="4" w:space="0"/>
              <w:right w:val="single" w:color="auto" w:sz="4" w:space="0"/>
            </w:tcBorders>
            <w:vAlign w:val="center"/>
          </w:tcPr>
          <w:p w14:paraId="2F056F3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FZYJNR</w:t>
            </w:r>
          </w:p>
        </w:tc>
        <w:tc>
          <w:tcPr>
            <w:tcW w:w="671" w:type="pct"/>
            <w:tcBorders>
              <w:top w:val="single" w:color="auto" w:sz="4" w:space="0"/>
              <w:left w:val="single" w:color="auto" w:sz="4" w:space="0"/>
              <w:bottom w:val="single" w:color="auto" w:sz="4" w:space="0"/>
              <w:right w:val="single" w:color="auto" w:sz="4" w:space="0"/>
            </w:tcBorders>
            <w:vAlign w:val="center"/>
          </w:tcPr>
          <w:p w14:paraId="4D7B0B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88DE9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6593F6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691F71C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0CB3EC65">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3CB4F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48" w:type="pct"/>
            <w:tcBorders>
              <w:top w:val="single" w:color="auto" w:sz="4" w:space="0"/>
              <w:left w:val="single" w:color="auto" w:sz="4" w:space="0"/>
              <w:bottom w:val="single" w:color="auto" w:sz="4" w:space="0"/>
              <w:right w:val="single" w:color="auto" w:sz="4" w:space="0"/>
            </w:tcBorders>
            <w:vAlign w:val="center"/>
          </w:tcPr>
          <w:p w14:paraId="5C6490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14:paraId="0BFE97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14:paraId="678103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2CA522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3D36B8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04CC4A0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3EF64B62">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399D5E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848" w:type="pct"/>
            <w:tcBorders>
              <w:top w:val="single" w:color="auto" w:sz="4" w:space="0"/>
              <w:left w:val="single" w:color="auto" w:sz="4" w:space="0"/>
              <w:bottom w:val="single" w:color="auto" w:sz="4" w:space="0"/>
              <w:right w:val="single" w:color="auto" w:sz="4" w:space="0"/>
            </w:tcBorders>
            <w:vAlign w:val="center"/>
          </w:tcPr>
          <w:p w14:paraId="38BE3F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违则依据标识</w:t>
            </w:r>
          </w:p>
        </w:tc>
        <w:tc>
          <w:tcPr>
            <w:tcW w:w="607" w:type="pct"/>
            <w:tcBorders>
              <w:top w:val="single" w:color="auto" w:sz="4" w:space="0"/>
              <w:left w:val="single" w:color="auto" w:sz="4" w:space="0"/>
              <w:bottom w:val="single" w:color="auto" w:sz="4" w:space="0"/>
              <w:right w:val="single" w:color="auto" w:sz="4" w:space="0"/>
            </w:tcBorders>
            <w:vAlign w:val="center"/>
          </w:tcPr>
          <w:p w14:paraId="32238E1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WZYJBS</w:t>
            </w:r>
          </w:p>
        </w:tc>
        <w:tc>
          <w:tcPr>
            <w:tcW w:w="671" w:type="pct"/>
            <w:tcBorders>
              <w:top w:val="single" w:color="auto" w:sz="4" w:space="0"/>
              <w:left w:val="single" w:color="auto" w:sz="4" w:space="0"/>
              <w:bottom w:val="single" w:color="auto" w:sz="4" w:space="0"/>
              <w:right w:val="single" w:color="auto" w:sz="4" w:space="0"/>
            </w:tcBorders>
            <w:vAlign w:val="center"/>
          </w:tcPr>
          <w:p w14:paraId="18E9423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0A6D7F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24C915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3450AC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10D1D378">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499B9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848" w:type="pct"/>
            <w:tcBorders>
              <w:top w:val="single" w:color="auto" w:sz="4" w:space="0"/>
              <w:left w:val="single" w:color="auto" w:sz="4" w:space="0"/>
              <w:bottom w:val="single" w:color="auto" w:sz="4" w:space="0"/>
              <w:right w:val="single" w:color="auto" w:sz="4" w:space="0"/>
            </w:tcBorders>
            <w:vAlign w:val="center"/>
          </w:tcPr>
          <w:p w14:paraId="1FB1D6B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w:t>
            </w:r>
          </w:p>
        </w:tc>
        <w:tc>
          <w:tcPr>
            <w:tcW w:w="607" w:type="pct"/>
            <w:tcBorders>
              <w:top w:val="single" w:color="auto" w:sz="4" w:space="0"/>
              <w:left w:val="single" w:color="auto" w:sz="4" w:space="0"/>
              <w:bottom w:val="single" w:color="auto" w:sz="4" w:space="0"/>
              <w:right w:val="single" w:color="auto" w:sz="4" w:space="0"/>
            </w:tcBorders>
            <w:vAlign w:val="center"/>
          </w:tcPr>
          <w:p w14:paraId="1B29D96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w:t>
            </w:r>
          </w:p>
        </w:tc>
        <w:tc>
          <w:tcPr>
            <w:tcW w:w="671" w:type="pct"/>
            <w:tcBorders>
              <w:top w:val="single" w:color="auto" w:sz="4" w:space="0"/>
              <w:left w:val="single" w:color="auto" w:sz="4" w:space="0"/>
              <w:bottom w:val="single" w:color="auto" w:sz="4" w:space="0"/>
              <w:right w:val="single" w:color="auto" w:sz="4" w:space="0"/>
            </w:tcBorders>
            <w:vAlign w:val="center"/>
          </w:tcPr>
          <w:p w14:paraId="3C919B5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EED43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4E0FEC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790B37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963D4A5">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9DCC5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12</w:t>
            </w:r>
          </w:p>
        </w:tc>
        <w:tc>
          <w:tcPr>
            <w:tcW w:w="848" w:type="pct"/>
            <w:tcBorders>
              <w:top w:val="single" w:color="auto" w:sz="4" w:space="0"/>
              <w:left w:val="single" w:color="auto" w:sz="4" w:space="0"/>
              <w:bottom w:val="single" w:color="auto" w:sz="4" w:space="0"/>
              <w:right w:val="single" w:color="auto" w:sz="4" w:space="0"/>
            </w:tcBorders>
            <w:vAlign w:val="center"/>
          </w:tcPr>
          <w:p w14:paraId="271EED8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违则依据内容</w:t>
            </w:r>
          </w:p>
        </w:tc>
        <w:tc>
          <w:tcPr>
            <w:tcW w:w="607" w:type="pct"/>
            <w:tcBorders>
              <w:top w:val="single" w:color="auto" w:sz="4" w:space="0"/>
              <w:left w:val="single" w:color="auto" w:sz="4" w:space="0"/>
              <w:bottom w:val="single" w:color="auto" w:sz="4" w:space="0"/>
              <w:right w:val="single" w:color="auto" w:sz="4" w:space="0"/>
            </w:tcBorders>
            <w:vAlign w:val="center"/>
          </w:tcPr>
          <w:p w14:paraId="08530C3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WZYJNR</w:t>
            </w:r>
          </w:p>
        </w:tc>
        <w:tc>
          <w:tcPr>
            <w:tcW w:w="671" w:type="pct"/>
            <w:tcBorders>
              <w:top w:val="single" w:color="auto" w:sz="4" w:space="0"/>
              <w:left w:val="single" w:color="auto" w:sz="4" w:space="0"/>
              <w:bottom w:val="single" w:color="auto" w:sz="4" w:space="0"/>
              <w:right w:val="single" w:color="auto" w:sz="4" w:space="0"/>
            </w:tcBorders>
            <w:vAlign w:val="center"/>
          </w:tcPr>
          <w:p w14:paraId="1FF7751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E318A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55BFD88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7356060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5A899A8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878BF4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13</w:t>
            </w:r>
          </w:p>
        </w:tc>
        <w:tc>
          <w:tcPr>
            <w:tcW w:w="848" w:type="pct"/>
            <w:tcBorders>
              <w:top w:val="single" w:color="auto" w:sz="4" w:space="0"/>
              <w:left w:val="single" w:color="auto" w:sz="4" w:space="0"/>
              <w:bottom w:val="single" w:color="auto" w:sz="4" w:space="0"/>
              <w:right w:val="single" w:color="auto" w:sz="4" w:space="0"/>
            </w:tcBorders>
            <w:vAlign w:val="center"/>
          </w:tcPr>
          <w:p w14:paraId="2C69E8B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14:paraId="3A3C746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14:paraId="5AE74A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69DBDD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3E1F5D9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2DA15BE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17CF4367">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24D31A7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14</w:t>
            </w:r>
          </w:p>
        </w:tc>
        <w:tc>
          <w:tcPr>
            <w:tcW w:w="848" w:type="pct"/>
            <w:tcBorders>
              <w:top w:val="single" w:color="auto" w:sz="4" w:space="0"/>
              <w:left w:val="single" w:color="auto" w:sz="4" w:space="0"/>
              <w:bottom w:val="single" w:color="auto" w:sz="4" w:space="0"/>
              <w:right w:val="single" w:color="auto" w:sz="4" w:space="0"/>
            </w:tcBorders>
            <w:vAlign w:val="center"/>
          </w:tcPr>
          <w:p w14:paraId="35CD8EE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准用依据标识</w:t>
            </w:r>
          </w:p>
        </w:tc>
        <w:tc>
          <w:tcPr>
            <w:tcW w:w="607" w:type="pct"/>
            <w:tcBorders>
              <w:top w:val="single" w:color="auto" w:sz="4" w:space="0"/>
              <w:left w:val="single" w:color="auto" w:sz="4" w:space="0"/>
              <w:bottom w:val="single" w:color="auto" w:sz="4" w:space="0"/>
              <w:right w:val="single" w:color="auto" w:sz="4" w:space="0"/>
            </w:tcBorders>
            <w:vAlign w:val="center"/>
          </w:tcPr>
          <w:p w14:paraId="0A6BD2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ZYYJBS</w:t>
            </w:r>
          </w:p>
        </w:tc>
        <w:tc>
          <w:tcPr>
            <w:tcW w:w="671" w:type="pct"/>
            <w:tcBorders>
              <w:top w:val="single" w:color="auto" w:sz="4" w:space="0"/>
              <w:left w:val="single" w:color="auto" w:sz="4" w:space="0"/>
              <w:bottom w:val="single" w:color="auto" w:sz="4" w:space="0"/>
              <w:right w:val="single" w:color="auto" w:sz="4" w:space="0"/>
            </w:tcBorders>
            <w:vAlign w:val="center"/>
          </w:tcPr>
          <w:p w14:paraId="42D314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A62C6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4B30FB3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02A0014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3C7FFD43">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1AFF61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15</w:t>
            </w:r>
          </w:p>
        </w:tc>
        <w:tc>
          <w:tcPr>
            <w:tcW w:w="848" w:type="pct"/>
            <w:tcBorders>
              <w:top w:val="single" w:color="auto" w:sz="4" w:space="0"/>
              <w:left w:val="single" w:color="auto" w:sz="4" w:space="0"/>
              <w:bottom w:val="single" w:color="auto" w:sz="4" w:space="0"/>
              <w:right w:val="single" w:color="auto" w:sz="4" w:space="0"/>
            </w:tcBorders>
            <w:vAlign w:val="center"/>
          </w:tcPr>
          <w:p w14:paraId="24EC5DA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w:t>
            </w:r>
          </w:p>
        </w:tc>
        <w:tc>
          <w:tcPr>
            <w:tcW w:w="607" w:type="pct"/>
            <w:tcBorders>
              <w:top w:val="single" w:color="auto" w:sz="4" w:space="0"/>
              <w:left w:val="single" w:color="auto" w:sz="4" w:space="0"/>
              <w:bottom w:val="single" w:color="auto" w:sz="4" w:space="0"/>
              <w:right w:val="single" w:color="auto" w:sz="4" w:space="0"/>
            </w:tcBorders>
            <w:vAlign w:val="center"/>
          </w:tcPr>
          <w:p w14:paraId="513401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w:t>
            </w:r>
          </w:p>
        </w:tc>
        <w:tc>
          <w:tcPr>
            <w:tcW w:w="671" w:type="pct"/>
            <w:tcBorders>
              <w:top w:val="single" w:color="auto" w:sz="4" w:space="0"/>
              <w:left w:val="single" w:color="auto" w:sz="4" w:space="0"/>
              <w:bottom w:val="single" w:color="auto" w:sz="4" w:space="0"/>
              <w:right w:val="single" w:color="auto" w:sz="4" w:space="0"/>
            </w:tcBorders>
            <w:vAlign w:val="center"/>
          </w:tcPr>
          <w:p w14:paraId="1DBD7B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2F53C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2F4738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3B8D2F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5AE2D7BA">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698E58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16</w:t>
            </w:r>
          </w:p>
        </w:tc>
        <w:tc>
          <w:tcPr>
            <w:tcW w:w="848" w:type="pct"/>
            <w:tcBorders>
              <w:top w:val="single" w:color="auto" w:sz="4" w:space="0"/>
              <w:left w:val="single" w:color="auto" w:sz="4" w:space="0"/>
              <w:bottom w:val="single" w:color="auto" w:sz="4" w:space="0"/>
              <w:right w:val="single" w:color="auto" w:sz="4" w:space="0"/>
            </w:tcBorders>
            <w:vAlign w:val="center"/>
          </w:tcPr>
          <w:p w14:paraId="719661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准用依据内容</w:t>
            </w:r>
          </w:p>
        </w:tc>
        <w:tc>
          <w:tcPr>
            <w:tcW w:w="607" w:type="pct"/>
            <w:tcBorders>
              <w:top w:val="single" w:color="auto" w:sz="4" w:space="0"/>
              <w:left w:val="single" w:color="auto" w:sz="4" w:space="0"/>
              <w:bottom w:val="single" w:color="auto" w:sz="4" w:space="0"/>
              <w:right w:val="single" w:color="auto" w:sz="4" w:space="0"/>
            </w:tcBorders>
            <w:vAlign w:val="center"/>
          </w:tcPr>
          <w:p w14:paraId="5B03D16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ZYYJNR</w:t>
            </w:r>
          </w:p>
        </w:tc>
        <w:tc>
          <w:tcPr>
            <w:tcW w:w="671" w:type="pct"/>
            <w:tcBorders>
              <w:top w:val="single" w:color="auto" w:sz="4" w:space="0"/>
              <w:left w:val="single" w:color="auto" w:sz="4" w:space="0"/>
              <w:bottom w:val="single" w:color="auto" w:sz="4" w:space="0"/>
              <w:right w:val="single" w:color="auto" w:sz="4" w:space="0"/>
            </w:tcBorders>
            <w:vAlign w:val="center"/>
          </w:tcPr>
          <w:p w14:paraId="6D7ED7E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6969727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375EB31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241168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729E9F9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060B969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17</w:t>
            </w:r>
          </w:p>
        </w:tc>
        <w:tc>
          <w:tcPr>
            <w:tcW w:w="848" w:type="pct"/>
            <w:tcBorders>
              <w:top w:val="single" w:color="auto" w:sz="4" w:space="0"/>
              <w:left w:val="single" w:color="auto" w:sz="4" w:space="0"/>
              <w:bottom w:val="single" w:color="auto" w:sz="4" w:space="0"/>
              <w:right w:val="single" w:color="auto" w:sz="4" w:space="0"/>
            </w:tcBorders>
            <w:vAlign w:val="center"/>
          </w:tcPr>
          <w:p w14:paraId="3C8B22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14:paraId="35C872D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14:paraId="43B682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E0A598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7830AFD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0A1F3F3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bl>
    <w:p w14:paraId="4C5F7D68">
      <w:pPr>
        <w:pStyle w:val="182"/>
        <w:tabs>
          <w:tab w:val="left" w:pos="0"/>
        </w:tabs>
        <w:ind w:left="40"/>
        <w:rPr>
          <w:rFonts w:hint="eastAsia" w:ascii="宋体" w:hAnsi="宋体"/>
          <w:lang w:eastAsia="zh-Hans"/>
        </w:rPr>
      </w:pPr>
      <w:r>
        <w:rPr>
          <w:rFonts w:ascii="宋体" w:hAnsi="宋体"/>
        </w:rPr>
        <mc:AlternateContent>
          <mc:Choice Requires="wps">
            <w:drawing>
              <wp:anchor distT="0" distB="0" distL="114300" distR="114300" simplePos="0" relativeHeight="251663360" behindDoc="0" locked="0" layoutInCell="1" allowOverlap="1">
                <wp:simplePos x="0" y="0"/>
                <wp:positionH relativeFrom="column">
                  <wp:posOffset>3773805</wp:posOffset>
                </wp:positionH>
                <wp:positionV relativeFrom="paragraph">
                  <wp:posOffset>151765</wp:posOffset>
                </wp:positionV>
                <wp:extent cx="302895" cy="390525"/>
                <wp:effectExtent l="11430" t="12065" r="9525" b="16510"/>
                <wp:wrapNone/>
                <wp:docPr id="2059258315" name="矩形 2059258315"/>
                <wp:cNvGraphicFramePr/>
                <a:graphic xmlns:a="http://schemas.openxmlformats.org/drawingml/2006/main">
                  <a:graphicData uri="http://schemas.microsoft.com/office/word/2010/wordprocessingShape">
                    <wps:wsp>
                      <wps:cNvSpPr>
                        <a:spLocks noChangeArrowheads="1"/>
                      </wps:cNvSpPr>
                      <wps:spPr bwMode="auto">
                        <a:xfrm>
                          <a:off x="0" y="0"/>
                          <a:ext cx="302895" cy="390525"/>
                        </a:xfrm>
                        <a:prstGeom prst="rect">
                          <a:avLst/>
                        </a:prstGeom>
                        <a:solidFill>
                          <a:srgbClr val="FFFFFF"/>
                        </a:solidFill>
                        <a:ln w="15875">
                          <a:solidFill>
                            <a:srgbClr val="FFFFFF"/>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7.15pt;margin-top:11.95pt;height:30.75pt;width:23.85pt;z-index:251663360;mso-width-relative:page;mso-height-relative:page;" fillcolor="#FFFFFF" filled="t" stroked="t" coordsize="21600,21600" o:gfxdata="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h8Wip2AAAAAkBAAAPAAAAAAAAAAEAIAAAACIAAABkcnMvZG93&#10;bnJldi54bWxQSwECFAAUAAAACACHTuJAdQp7mjkCAACBBAAADgAAAAAAAAABACAAAAAnAQAAZHJz&#10;L2Uyb0RvYy54bWxQSwUGAAAAAAYABgBZAQAA0gUAAAAA&#10;">
                <v:fill on="t" focussize="0,0"/>
                <v:stroke weight="1.25pt" color="#FFFFFF" miterlimit="8" joinstyle="miter"/>
                <v:imagedata o:title=""/>
                <o:lock v:ext="edit" aspectratio="f"/>
              </v:rect>
            </w:pict>
          </mc:Fallback>
        </mc:AlternateContent>
      </w:r>
    </w:p>
    <w:tbl>
      <w:tblPr>
        <w:tblStyle w:val="90"/>
        <w:tblW w:w="5000" w:type="pct"/>
        <w:tblInd w:w="0" w:type="dxa"/>
        <w:tblLayout w:type="autofit"/>
        <w:tblCellMar>
          <w:top w:w="0" w:type="dxa"/>
          <w:left w:w="108" w:type="dxa"/>
          <w:bottom w:w="0" w:type="dxa"/>
          <w:right w:w="108" w:type="dxa"/>
        </w:tblCellMar>
      </w:tblPr>
      <w:tblGrid>
        <w:gridCol w:w="656"/>
        <w:gridCol w:w="1421"/>
        <w:gridCol w:w="1176"/>
        <w:gridCol w:w="1120"/>
        <w:gridCol w:w="1052"/>
        <w:gridCol w:w="1295"/>
        <w:gridCol w:w="1802"/>
      </w:tblGrid>
      <w:tr w14:paraId="655BC459">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2082A33C">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执法案件信息主要数据项</w:t>
            </w:r>
          </w:p>
        </w:tc>
      </w:tr>
      <w:tr w14:paraId="365116BA">
        <w:tblPrEx>
          <w:tblCellMar>
            <w:top w:w="0" w:type="dxa"/>
            <w:left w:w="108" w:type="dxa"/>
            <w:bottom w:w="0" w:type="dxa"/>
            <w:right w:w="108" w:type="dxa"/>
          </w:tblCellMar>
        </w:tblPrEx>
        <w:trPr>
          <w:cantSplit/>
          <w:trHeight w:val="255" w:hRule="atLeast"/>
          <w:tblHeader/>
        </w:trPr>
        <w:tc>
          <w:tcPr>
            <w:tcW w:w="385" w:type="pct"/>
            <w:tcBorders>
              <w:top w:val="single" w:color="000000" w:sz="4" w:space="0"/>
              <w:left w:val="single" w:color="000000" w:sz="4" w:space="0"/>
              <w:bottom w:val="single" w:color="auto" w:sz="4" w:space="0"/>
              <w:right w:val="single" w:color="000000" w:sz="4" w:space="0"/>
            </w:tcBorders>
            <w:vAlign w:val="center"/>
          </w:tcPr>
          <w:p w14:paraId="4610561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34" w:type="pct"/>
            <w:tcBorders>
              <w:top w:val="single" w:color="000000" w:sz="4" w:space="0"/>
              <w:left w:val="single" w:color="000000" w:sz="4" w:space="0"/>
              <w:bottom w:val="single" w:color="auto" w:sz="4" w:space="0"/>
              <w:right w:val="single" w:color="000000" w:sz="4" w:space="0"/>
            </w:tcBorders>
            <w:vAlign w:val="center"/>
          </w:tcPr>
          <w:p w14:paraId="6388E74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90" w:type="pct"/>
            <w:tcBorders>
              <w:top w:val="single" w:color="000000" w:sz="4" w:space="0"/>
              <w:left w:val="single" w:color="000000" w:sz="4" w:space="0"/>
              <w:bottom w:val="single" w:color="auto" w:sz="4" w:space="0"/>
              <w:right w:val="single" w:color="000000" w:sz="4" w:space="0"/>
            </w:tcBorders>
            <w:vAlign w:val="center"/>
          </w:tcPr>
          <w:p w14:paraId="11CDADC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57" w:type="pct"/>
            <w:tcBorders>
              <w:top w:val="single" w:color="000000" w:sz="4" w:space="0"/>
              <w:left w:val="single" w:color="000000" w:sz="4" w:space="0"/>
              <w:bottom w:val="single" w:color="auto" w:sz="4" w:space="0"/>
              <w:right w:val="single" w:color="000000" w:sz="4" w:space="0"/>
            </w:tcBorders>
            <w:vAlign w:val="center"/>
          </w:tcPr>
          <w:p w14:paraId="4212936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17" w:type="pct"/>
            <w:tcBorders>
              <w:top w:val="single" w:color="000000" w:sz="4" w:space="0"/>
              <w:left w:val="single" w:color="000000" w:sz="4" w:space="0"/>
              <w:bottom w:val="single" w:color="auto" w:sz="4" w:space="0"/>
              <w:right w:val="single" w:color="000000" w:sz="4" w:space="0"/>
            </w:tcBorders>
            <w:vAlign w:val="center"/>
          </w:tcPr>
          <w:p w14:paraId="5442ADF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60" w:type="pct"/>
            <w:tcBorders>
              <w:top w:val="single" w:color="000000" w:sz="4" w:space="0"/>
              <w:left w:val="single" w:color="000000" w:sz="4" w:space="0"/>
              <w:bottom w:val="single" w:color="auto" w:sz="4" w:space="0"/>
              <w:right w:val="single" w:color="000000" w:sz="4" w:space="0"/>
            </w:tcBorders>
            <w:vAlign w:val="center"/>
          </w:tcPr>
          <w:p w14:paraId="56A53B4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57" w:type="pct"/>
            <w:tcBorders>
              <w:top w:val="single" w:color="000000" w:sz="4" w:space="0"/>
              <w:left w:val="single" w:color="000000" w:sz="4" w:space="0"/>
              <w:bottom w:val="single" w:color="auto" w:sz="4" w:space="0"/>
              <w:right w:val="single" w:color="000000" w:sz="4" w:space="0"/>
            </w:tcBorders>
            <w:vAlign w:val="center"/>
          </w:tcPr>
          <w:p w14:paraId="7016C31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2B5C2EEA">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36281DB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34" w:type="pct"/>
            <w:tcBorders>
              <w:top w:val="single" w:color="auto" w:sz="4" w:space="0"/>
              <w:left w:val="single" w:color="auto" w:sz="4" w:space="0"/>
              <w:bottom w:val="single" w:color="auto" w:sz="4" w:space="0"/>
              <w:right w:val="single" w:color="auto" w:sz="4" w:space="0"/>
            </w:tcBorders>
            <w:vAlign w:val="center"/>
          </w:tcPr>
          <w:p w14:paraId="232E3E3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90" w:type="pct"/>
            <w:tcBorders>
              <w:top w:val="single" w:color="auto" w:sz="4" w:space="0"/>
              <w:left w:val="single" w:color="auto" w:sz="4" w:space="0"/>
              <w:bottom w:val="single" w:color="auto" w:sz="4" w:space="0"/>
              <w:right w:val="single" w:color="auto" w:sz="4" w:space="0"/>
            </w:tcBorders>
            <w:vAlign w:val="center"/>
          </w:tcPr>
          <w:p w14:paraId="6D5C93E2">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BSM</w:t>
            </w:r>
          </w:p>
        </w:tc>
        <w:tc>
          <w:tcPr>
            <w:tcW w:w="657" w:type="pct"/>
            <w:tcBorders>
              <w:top w:val="single" w:color="auto" w:sz="4" w:space="0"/>
              <w:left w:val="single" w:color="auto" w:sz="4" w:space="0"/>
              <w:bottom w:val="single" w:color="auto" w:sz="4" w:space="0"/>
              <w:right w:val="single" w:color="auto" w:sz="4" w:space="0"/>
            </w:tcBorders>
            <w:vAlign w:val="center"/>
          </w:tcPr>
          <w:p w14:paraId="07496384">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3933F70F">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2</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tcPr>
          <w:p w14:paraId="5B1D5B7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14:paraId="0A65C28F">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B4F1B0A">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3BA1B6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34" w:type="pct"/>
            <w:tcBorders>
              <w:top w:val="single" w:color="auto" w:sz="4" w:space="0"/>
              <w:left w:val="single" w:color="auto" w:sz="4" w:space="0"/>
              <w:bottom w:val="single" w:color="auto" w:sz="4" w:space="0"/>
              <w:right w:val="single" w:color="auto" w:sz="4" w:space="0"/>
            </w:tcBorders>
            <w:vAlign w:val="center"/>
          </w:tcPr>
          <w:p w14:paraId="14C63BA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执法程序类别</w:t>
            </w:r>
          </w:p>
        </w:tc>
        <w:tc>
          <w:tcPr>
            <w:tcW w:w="690" w:type="pct"/>
            <w:tcBorders>
              <w:top w:val="single" w:color="auto" w:sz="4" w:space="0"/>
              <w:left w:val="single" w:color="auto" w:sz="4" w:space="0"/>
              <w:bottom w:val="single" w:color="auto" w:sz="4" w:space="0"/>
              <w:right w:val="single" w:color="auto" w:sz="4" w:space="0"/>
            </w:tcBorders>
            <w:vAlign w:val="center"/>
          </w:tcPr>
          <w:p w14:paraId="31E4619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ZFCXLB</w:t>
            </w:r>
          </w:p>
        </w:tc>
        <w:tc>
          <w:tcPr>
            <w:tcW w:w="657" w:type="pct"/>
            <w:tcBorders>
              <w:top w:val="single" w:color="auto" w:sz="4" w:space="0"/>
              <w:left w:val="single" w:color="auto" w:sz="4" w:space="0"/>
              <w:bottom w:val="single" w:color="auto" w:sz="4" w:space="0"/>
              <w:right w:val="single" w:color="auto" w:sz="4" w:space="0"/>
            </w:tcBorders>
            <w:vAlign w:val="center"/>
          </w:tcPr>
          <w:p w14:paraId="1ECCC8CA">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66F5A632">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00CBF91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14:paraId="2DED63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一般程序</w:t>
            </w:r>
          </w:p>
          <w:p w14:paraId="6AE9248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责令改正</w:t>
            </w:r>
          </w:p>
          <w:p w14:paraId="3122D0A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当场处罚</w:t>
            </w:r>
          </w:p>
          <w:p w14:paraId="418CDC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r>
              <w:rPr>
                <w:rFonts w:hint="default" w:hAnsi="宋体"/>
                <w:szCs w:val="20"/>
              </w:rPr>
              <w:t>：</w:t>
            </w:r>
            <w:r>
              <w:rPr>
                <w:rFonts w:hint="eastAsia" w:hAnsi="宋体"/>
                <w:szCs w:val="20"/>
              </w:rPr>
              <w:t>温馨提示</w:t>
            </w:r>
          </w:p>
          <w:p w14:paraId="342E240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5</w:t>
            </w:r>
            <w:r>
              <w:rPr>
                <w:rFonts w:hint="default" w:hAnsi="宋体"/>
                <w:szCs w:val="20"/>
              </w:rPr>
              <w:t>：</w:t>
            </w:r>
            <w:r>
              <w:rPr>
                <w:rFonts w:hint="eastAsia" w:hAnsi="宋体"/>
                <w:szCs w:val="20"/>
              </w:rPr>
              <w:t>投诉受理</w:t>
            </w:r>
          </w:p>
        </w:tc>
      </w:tr>
      <w:tr w14:paraId="610D0C4A">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1AD4F04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34" w:type="pct"/>
            <w:tcBorders>
              <w:top w:val="single" w:color="auto" w:sz="4" w:space="0"/>
              <w:left w:val="single" w:color="auto" w:sz="4" w:space="0"/>
              <w:bottom w:val="single" w:color="auto" w:sz="4" w:space="0"/>
              <w:right w:val="single" w:color="auto" w:sz="4" w:space="0"/>
            </w:tcBorders>
            <w:vAlign w:val="center"/>
          </w:tcPr>
          <w:p w14:paraId="6F6B21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案件来源</w:t>
            </w:r>
          </w:p>
        </w:tc>
        <w:tc>
          <w:tcPr>
            <w:tcW w:w="690" w:type="pct"/>
            <w:tcBorders>
              <w:top w:val="single" w:color="auto" w:sz="4" w:space="0"/>
              <w:left w:val="single" w:color="auto" w:sz="4" w:space="0"/>
              <w:bottom w:val="single" w:color="auto" w:sz="4" w:space="0"/>
              <w:right w:val="single" w:color="auto" w:sz="4" w:space="0"/>
            </w:tcBorders>
            <w:vAlign w:val="center"/>
          </w:tcPr>
          <w:p w14:paraId="0C6AB4E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AJLY</w:t>
            </w:r>
          </w:p>
        </w:tc>
        <w:tc>
          <w:tcPr>
            <w:tcW w:w="657" w:type="pct"/>
            <w:tcBorders>
              <w:top w:val="single" w:color="auto" w:sz="4" w:space="0"/>
              <w:left w:val="single" w:color="auto" w:sz="4" w:space="0"/>
              <w:bottom w:val="single" w:color="auto" w:sz="4" w:space="0"/>
              <w:right w:val="single" w:color="auto" w:sz="4" w:space="0"/>
            </w:tcBorders>
            <w:vAlign w:val="center"/>
          </w:tcPr>
          <w:p w14:paraId="570FB68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24991E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245D596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14:paraId="31A6C8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日常检查</w:t>
            </w:r>
          </w:p>
          <w:p w14:paraId="258AA23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投诉</w:t>
            </w:r>
          </w:p>
          <w:p w14:paraId="1F4170B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举报</w:t>
            </w:r>
          </w:p>
          <w:p w14:paraId="4F9282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r>
              <w:rPr>
                <w:rFonts w:hint="default" w:hAnsi="宋体"/>
                <w:szCs w:val="20"/>
              </w:rPr>
              <w:t>：</w:t>
            </w:r>
            <w:r>
              <w:rPr>
                <w:rFonts w:hint="eastAsia" w:hAnsi="宋体"/>
                <w:szCs w:val="20"/>
              </w:rPr>
              <w:t>上级机关交办</w:t>
            </w:r>
          </w:p>
          <w:p w14:paraId="7E2065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r>
              <w:rPr>
                <w:rFonts w:hint="default" w:hAnsi="宋体"/>
                <w:szCs w:val="20"/>
              </w:rPr>
              <w:t>：</w:t>
            </w:r>
            <w:r>
              <w:rPr>
                <w:rFonts w:hint="eastAsia" w:hAnsi="宋体"/>
                <w:szCs w:val="20"/>
              </w:rPr>
              <w:t>其他机关移送</w:t>
            </w:r>
          </w:p>
          <w:p w14:paraId="3E6D8E8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6</w:t>
            </w:r>
            <w:r>
              <w:rPr>
                <w:rFonts w:hint="default" w:hAnsi="宋体"/>
                <w:szCs w:val="20"/>
              </w:rPr>
              <w:t>：</w:t>
            </w:r>
            <w:r>
              <w:rPr>
                <w:rFonts w:hint="eastAsia" w:hAnsi="宋体"/>
                <w:szCs w:val="20"/>
              </w:rPr>
              <w:t>媒体曝光</w:t>
            </w:r>
          </w:p>
          <w:p w14:paraId="743B0C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7</w:t>
            </w:r>
            <w:r>
              <w:rPr>
                <w:rFonts w:hint="default" w:hAnsi="宋体"/>
                <w:szCs w:val="20"/>
              </w:rPr>
              <w:t>：</w:t>
            </w:r>
            <w:r>
              <w:rPr>
                <w:rFonts w:hint="eastAsia" w:hAnsi="宋体"/>
                <w:szCs w:val="20"/>
              </w:rPr>
              <w:t>其他</w:t>
            </w:r>
          </w:p>
        </w:tc>
      </w:tr>
      <w:tr w14:paraId="2E059529">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4C6537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34" w:type="pct"/>
            <w:tcBorders>
              <w:top w:val="single" w:color="auto" w:sz="4" w:space="0"/>
              <w:left w:val="single" w:color="auto" w:sz="4" w:space="0"/>
              <w:bottom w:val="single" w:color="auto" w:sz="4" w:space="0"/>
              <w:right w:val="single" w:color="auto" w:sz="4" w:space="0"/>
            </w:tcBorders>
            <w:vAlign w:val="center"/>
          </w:tcPr>
          <w:p w14:paraId="55F8CB0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立案文号</w:t>
            </w:r>
          </w:p>
        </w:tc>
        <w:tc>
          <w:tcPr>
            <w:tcW w:w="690" w:type="pct"/>
            <w:tcBorders>
              <w:top w:val="single" w:color="auto" w:sz="4" w:space="0"/>
              <w:left w:val="single" w:color="auto" w:sz="4" w:space="0"/>
              <w:bottom w:val="single" w:color="auto" w:sz="4" w:space="0"/>
              <w:right w:val="single" w:color="auto" w:sz="4" w:space="0"/>
            </w:tcBorders>
            <w:vAlign w:val="center"/>
          </w:tcPr>
          <w:p w14:paraId="2ED03FD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L</w:t>
            </w:r>
            <w:r>
              <w:rPr>
                <w:rFonts w:hint="eastAsia" w:hAnsi="宋体"/>
                <w:szCs w:val="20"/>
              </w:rPr>
              <w:t>AWH</w:t>
            </w:r>
          </w:p>
        </w:tc>
        <w:tc>
          <w:tcPr>
            <w:tcW w:w="657" w:type="pct"/>
            <w:tcBorders>
              <w:top w:val="single" w:color="auto" w:sz="4" w:space="0"/>
              <w:left w:val="single" w:color="auto" w:sz="4" w:space="0"/>
              <w:bottom w:val="single" w:color="auto" w:sz="4" w:space="0"/>
              <w:right w:val="single" w:color="auto" w:sz="4" w:space="0"/>
            </w:tcBorders>
            <w:vAlign w:val="center"/>
          </w:tcPr>
          <w:p w14:paraId="7EBB9A1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47F89F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40</w:t>
            </w:r>
          </w:p>
        </w:tc>
        <w:tc>
          <w:tcPr>
            <w:tcW w:w="760" w:type="pct"/>
            <w:tcBorders>
              <w:top w:val="single" w:color="auto" w:sz="4" w:space="0"/>
              <w:left w:val="single" w:color="auto" w:sz="4" w:space="0"/>
              <w:bottom w:val="single" w:color="auto" w:sz="4" w:space="0"/>
              <w:right w:val="single" w:color="auto" w:sz="4" w:space="0"/>
            </w:tcBorders>
            <w:vAlign w:val="center"/>
          </w:tcPr>
          <w:p w14:paraId="6C7ED0B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DA2A42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4EB15A5">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48BF861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34" w:type="pct"/>
            <w:tcBorders>
              <w:top w:val="single" w:color="auto" w:sz="4" w:space="0"/>
              <w:left w:val="single" w:color="auto" w:sz="4" w:space="0"/>
              <w:bottom w:val="single" w:color="auto" w:sz="4" w:space="0"/>
              <w:right w:val="single" w:color="auto" w:sz="4" w:space="0"/>
            </w:tcBorders>
            <w:vAlign w:val="center"/>
          </w:tcPr>
          <w:p w14:paraId="3B51681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案件上报日期</w:t>
            </w:r>
          </w:p>
        </w:tc>
        <w:tc>
          <w:tcPr>
            <w:tcW w:w="690" w:type="pct"/>
            <w:tcBorders>
              <w:top w:val="single" w:color="auto" w:sz="4" w:space="0"/>
              <w:left w:val="single" w:color="auto" w:sz="4" w:space="0"/>
              <w:bottom w:val="single" w:color="auto" w:sz="4" w:space="0"/>
              <w:right w:val="single" w:color="auto" w:sz="4" w:space="0"/>
            </w:tcBorders>
            <w:vAlign w:val="center"/>
          </w:tcPr>
          <w:p w14:paraId="1CFB7C5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AJSBRQ</w:t>
            </w:r>
          </w:p>
        </w:tc>
        <w:tc>
          <w:tcPr>
            <w:tcW w:w="657" w:type="pct"/>
            <w:tcBorders>
              <w:top w:val="single" w:color="auto" w:sz="4" w:space="0"/>
              <w:left w:val="single" w:color="auto" w:sz="4" w:space="0"/>
              <w:bottom w:val="single" w:color="auto" w:sz="4" w:space="0"/>
              <w:right w:val="single" w:color="auto" w:sz="4" w:space="0"/>
            </w:tcBorders>
            <w:vAlign w:val="center"/>
          </w:tcPr>
          <w:p w14:paraId="1F41448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3EFBBE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08DEB0D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14:paraId="4E8F9AD4">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FF11C64">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591DD29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34" w:type="pct"/>
            <w:tcBorders>
              <w:top w:val="single" w:color="auto" w:sz="4" w:space="0"/>
              <w:left w:val="single" w:color="auto" w:sz="4" w:space="0"/>
              <w:bottom w:val="single" w:color="auto" w:sz="4" w:space="0"/>
              <w:right w:val="single" w:color="auto" w:sz="4" w:space="0"/>
            </w:tcBorders>
            <w:vAlign w:val="center"/>
          </w:tcPr>
          <w:p w14:paraId="661E30E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立案批准日期</w:t>
            </w:r>
          </w:p>
        </w:tc>
        <w:tc>
          <w:tcPr>
            <w:tcW w:w="690" w:type="pct"/>
            <w:tcBorders>
              <w:top w:val="single" w:color="auto" w:sz="4" w:space="0"/>
              <w:left w:val="single" w:color="auto" w:sz="4" w:space="0"/>
              <w:bottom w:val="single" w:color="auto" w:sz="4" w:space="0"/>
              <w:right w:val="single" w:color="auto" w:sz="4" w:space="0"/>
            </w:tcBorders>
            <w:vAlign w:val="center"/>
          </w:tcPr>
          <w:p w14:paraId="50C2293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LAPZRQ</w:t>
            </w:r>
          </w:p>
        </w:tc>
        <w:tc>
          <w:tcPr>
            <w:tcW w:w="657" w:type="pct"/>
            <w:tcBorders>
              <w:top w:val="single" w:color="auto" w:sz="4" w:space="0"/>
              <w:left w:val="single" w:color="auto" w:sz="4" w:space="0"/>
              <w:bottom w:val="single" w:color="auto" w:sz="4" w:space="0"/>
              <w:right w:val="single" w:color="auto" w:sz="4" w:space="0"/>
            </w:tcBorders>
            <w:vAlign w:val="center"/>
          </w:tcPr>
          <w:p w14:paraId="046C3A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2F398C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24D9298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5A6290C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42EC7C8">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79F5B5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34" w:type="pct"/>
            <w:tcBorders>
              <w:top w:val="single" w:color="auto" w:sz="4" w:space="0"/>
              <w:left w:val="single" w:color="auto" w:sz="4" w:space="0"/>
              <w:bottom w:val="single" w:color="auto" w:sz="4" w:space="0"/>
              <w:right w:val="single" w:color="auto" w:sz="4" w:space="0"/>
            </w:tcBorders>
            <w:vAlign w:val="center"/>
          </w:tcPr>
          <w:p w14:paraId="03A726D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执法领域名称</w:t>
            </w:r>
          </w:p>
        </w:tc>
        <w:tc>
          <w:tcPr>
            <w:tcW w:w="690" w:type="pct"/>
            <w:tcBorders>
              <w:top w:val="single" w:color="auto" w:sz="4" w:space="0"/>
              <w:left w:val="single" w:color="auto" w:sz="4" w:space="0"/>
              <w:bottom w:val="single" w:color="auto" w:sz="4" w:space="0"/>
              <w:right w:val="single" w:color="auto" w:sz="4" w:space="0"/>
            </w:tcBorders>
            <w:vAlign w:val="center"/>
          </w:tcPr>
          <w:p w14:paraId="7180EC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ZFLYMC</w:t>
            </w:r>
          </w:p>
        </w:tc>
        <w:tc>
          <w:tcPr>
            <w:tcW w:w="657" w:type="pct"/>
            <w:tcBorders>
              <w:top w:val="single" w:color="auto" w:sz="4" w:space="0"/>
              <w:left w:val="single" w:color="auto" w:sz="4" w:space="0"/>
              <w:bottom w:val="single" w:color="auto" w:sz="4" w:space="0"/>
              <w:right w:val="single" w:color="auto" w:sz="4" w:space="0"/>
            </w:tcBorders>
            <w:vAlign w:val="center"/>
          </w:tcPr>
          <w:p w14:paraId="45E079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44562D9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4A3792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614930C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AA2F450">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4ADF608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34" w:type="pct"/>
            <w:tcBorders>
              <w:top w:val="single" w:color="auto" w:sz="4" w:space="0"/>
              <w:left w:val="single" w:color="auto" w:sz="4" w:space="0"/>
              <w:bottom w:val="single" w:color="auto" w:sz="4" w:space="0"/>
              <w:right w:val="single" w:color="auto" w:sz="4" w:space="0"/>
            </w:tcBorders>
            <w:vAlign w:val="center"/>
          </w:tcPr>
          <w:p w14:paraId="0E64A38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违法事实</w:t>
            </w:r>
          </w:p>
        </w:tc>
        <w:tc>
          <w:tcPr>
            <w:tcW w:w="690" w:type="pct"/>
            <w:tcBorders>
              <w:top w:val="single" w:color="auto" w:sz="4" w:space="0"/>
              <w:left w:val="single" w:color="auto" w:sz="4" w:space="0"/>
              <w:bottom w:val="single" w:color="auto" w:sz="4" w:space="0"/>
              <w:right w:val="single" w:color="auto" w:sz="4" w:space="0"/>
            </w:tcBorders>
            <w:vAlign w:val="center"/>
          </w:tcPr>
          <w:p w14:paraId="3D9CB56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WFSS</w:t>
            </w:r>
          </w:p>
        </w:tc>
        <w:tc>
          <w:tcPr>
            <w:tcW w:w="657" w:type="pct"/>
            <w:tcBorders>
              <w:top w:val="single" w:color="auto" w:sz="4" w:space="0"/>
              <w:left w:val="single" w:color="auto" w:sz="4" w:space="0"/>
              <w:bottom w:val="single" w:color="auto" w:sz="4" w:space="0"/>
              <w:right w:val="single" w:color="auto" w:sz="4" w:space="0"/>
            </w:tcBorders>
            <w:vAlign w:val="center"/>
          </w:tcPr>
          <w:p w14:paraId="114DAD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2A203A3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14:paraId="68B8CEC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3523E7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FC913C7">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22D311E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34" w:type="pct"/>
            <w:tcBorders>
              <w:top w:val="single" w:color="auto" w:sz="4" w:space="0"/>
              <w:left w:val="single" w:color="auto" w:sz="4" w:space="0"/>
              <w:bottom w:val="single" w:color="auto" w:sz="4" w:space="0"/>
              <w:right w:val="single" w:color="auto" w:sz="4" w:space="0"/>
            </w:tcBorders>
            <w:vAlign w:val="center"/>
          </w:tcPr>
          <w:p w14:paraId="6C49E8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罚款金额</w:t>
            </w:r>
          </w:p>
        </w:tc>
        <w:tc>
          <w:tcPr>
            <w:tcW w:w="690" w:type="pct"/>
            <w:tcBorders>
              <w:top w:val="single" w:color="auto" w:sz="4" w:space="0"/>
              <w:left w:val="single" w:color="auto" w:sz="4" w:space="0"/>
              <w:bottom w:val="single" w:color="auto" w:sz="4" w:space="0"/>
              <w:right w:val="single" w:color="auto" w:sz="4" w:space="0"/>
            </w:tcBorders>
            <w:vAlign w:val="center"/>
          </w:tcPr>
          <w:p w14:paraId="3686BF0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FKJE</w:t>
            </w:r>
          </w:p>
        </w:tc>
        <w:tc>
          <w:tcPr>
            <w:tcW w:w="657" w:type="pct"/>
            <w:tcBorders>
              <w:top w:val="single" w:color="auto" w:sz="4" w:space="0"/>
              <w:left w:val="single" w:color="auto" w:sz="4" w:space="0"/>
              <w:bottom w:val="single" w:color="auto" w:sz="4" w:space="0"/>
              <w:right w:val="single" w:color="auto" w:sz="4" w:space="0"/>
            </w:tcBorders>
            <w:vAlign w:val="center"/>
          </w:tcPr>
          <w:p w14:paraId="6C9C19B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float</w:t>
            </w:r>
          </w:p>
        </w:tc>
        <w:tc>
          <w:tcPr>
            <w:tcW w:w="617" w:type="pct"/>
            <w:tcBorders>
              <w:top w:val="single" w:color="auto" w:sz="4" w:space="0"/>
              <w:left w:val="single" w:color="auto" w:sz="4" w:space="0"/>
              <w:bottom w:val="single" w:color="auto" w:sz="4" w:space="0"/>
              <w:right w:val="single" w:color="auto" w:sz="4" w:space="0"/>
            </w:tcBorders>
            <w:vAlign w:val="center"/>
          </w:tcPr>
          <w:p w14:paraId="618AFC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6789582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E18618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65C6E46">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2A80FBF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834" w:type="pct"/>
            <w:tcBorders>
              <w:top w:val="single" w:color="auto" w:sz="4" w:space="0"/>
              <w:left w:val="single" w:color="auto" w:sz="4" w:space="0"/>
              <w:bottom w:val="single" w:color="auto" w:sz="4" w:space="0"/>
              <w:right w:val="single" w:color="auto" w:sz="4" w:space="0"/>
            </w:tcBorders>
            <w:vAlign w:val="center"/>
          </w:tcPr>
          <w:p w14:paraId="4148A3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是否责令改正</w:t>
            </w:r>
          </w:p>
        </w:tc>
        <w:tc>
          <w:tcPr>
            <w:tcW w:w="690" w:type="pct"/>
            <w:tcBorders>
              <w:top w:val="single" w:color="auto" w:sz="4" w:space="0"/>
              <w:left w:val="single" w:color="auto" w:sz="4" w:space="0"/>
              <w:bottom w:val="single" w:color="auto" w:sz="4" w:space="0"/>
              <w:right w:val="single" w:color="auto" w:sz="4" w:space="0"/>
            </w:tcBorders>
            <w:vAlign w:val="center"/>
          </w:tcPr>
          <w:p w14:paraId="4EAC92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SFZLGZ</w:t>
            </w:r>
          </w:p>
        </w:tc>
        <w:tc>
          <w:tcPr>
            <w:tcW w:w="657" w:type="pct"/>
            <w:tcBorders>
              <w:top w:val="single" w:color="auto" w:sz="4" w:space="0"/>
              <w:left w:val="single" w:color="auto" w:sz="4" w:space="0"/>
              <w:bottom w:val="single" w:color="auto" w:sz="4" w:space="0"/>
              <w:right w:val="single" w:color="auto" w:sz="4" w:space="0"/>
            </w:tcBorders>
            <w:vAlign w:val="center"/>
          </w:tcPr>
          <w:p w14:paraId="2013D7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40C90F9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001D8C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2B512A2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DCDAE26">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73141CF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834" w:type="pct"/>
            <w:tcBorders>
              <w:top w:val="single" w:color="auto" w:sz="4" w:space="0"/>
              <w:left w:val="single" w:color="auto" w:sz="4" w:space="0"/>
              <w:bottom w:val="single" w:color="auto" w:sz="4" w:space="0"/>
              <w:right w:val="single" w:color="auto" w:sz="4" w:space="0"/>
            </w:tcBorders>
            <w:vAlign w:val="center"/>
          </w:tcPr>
          <w:p w14:paraId="5B2B37E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责令改正内容</w:t>
            </w:r>
          </w:p>
        </w:tc>
        <w:tc>
          <w:tcPr>
            <w:tcW w:w="690" w:type="pct"/>
            <w:tcBorders>
              <w:top w:val="single" w:color="auto" w:sz="4" w:space="0"/>
              <w:left w:val="single" w:color="auto" w:sz="4" w:space="0"/>
              <w:bottom w:val="single" w:color="auto" w:sz="4" w:space="0"/>
              <w:right w:val="single" w:color="auto" w:sz="4" w:space="0"/>
            </w:tcBorders>
            <w:vAlign w:val="center"/>
          </w:tcPr>
          <w:p w14:paraId="4D44563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ZLGZNR</w:t>
            </w:r>
          </w:p>
        </w:tc>
        <w:tc>
          <w:tcPr>
            <w:tcW w:w="657" w:type="pct"/>
            <w:tcBorders>
              <w:top w:val="single" w:color="auto" w:sz="4" w:space="0"/>
              <w:left w:val="single" w:color="auto" w:sz="4" w:space="0"/>
              <w:bottom w:val="single" w:color="auto" w:sz="4" w:space="0"/>
              <w:right w:val="single" w:color="auto" w:sz="4" w:space="0"/>
            </w:tcBorders>
            <w:vAlign w:val="center"/>
          </w:tcPr>
          <w:p w14:paraId="061913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105CEE4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14:paraId="1F27C0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B9E79F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B3959A0">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5E1C34E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12</w:t>
            </w:r>
          </w:p>
        </w:tc>
        <w:tc>
          <w:tcPr>
            <w:tcW w:w="834" w:type="pct"/>
            <w:tcBorders>
              <w:top w:val="single" w:color="auto" w:sz="4" w:space="0"/>
              <w:left w:val="single" w:color="auto" w:sz="4" w:space="0"/>
              <w:bottom w:val="single" w:color="auto" w:sz="4" w:space="0"/>
              <w:right w:val="single" w:color="auto" w:sz="4" w:space="0"/>
            </w:tcBorders>
            <w:vAlign w:val="center"/>
          </w:tcPr>
          <w:p w14:paraId="34EB53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责令改正期限</w:t>
            </w:r>
          </w:p>
        </w:tc>
        <w:tc>
          <w:tcPr>
            <w:tcW w:w="690" w:type="pct"/>
            <w:tcBorders>
              <w:top w:val="single" w:color="auto" w:sz="4" w:space="0"/>
              <w:left w:val="single" w:color="auto" w:sz="4" w:space="0"/>
              <w:bottom w:val="single" w:color="auto" w:sz="4" w:space="0"/>
              <w:right w:val="single" w:color="auto" w:sz="4" w:space="0"/>
            </w:tcBorders>
            <w:vAlign w:val="center"/>
          </w:tcPr>
          <w:p w14:paraId="745D4C0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ZLGZQX</w:t>
            </w:r>
          </w:p>
        </w:tc>
        <w:tc>
          <w:tcPr>
            <w:tcW w:w="657" w:type="pct"/>
            <w:tcBorders>
              <w:top w:val="single" w:color="auto" w:sz="4" w:space="0"/>
              <w:left w:val="single" w:color="auto" w:sz="4" w:space="0"/>
              <w:bottom w:val="single" w:color="auto" w:sz="4" w:space="0"/>
              <w:right w:val="single" w:color="auto" w:sz="4" w:space="0"/>
            </w:tcBorders>
            <w:vAlign w:val="center"/>
          </w:tcPr>
          <w:p w14:paraId="2100373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4DF3B0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220CC8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6361285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7578931">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62E9EC6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13</w:t>
            </w:r>
          </w:p>
        </w:tc>
        <w:tc>
          <w:tcPr>
            <w:tcW w:w="834" w:type="pct"/>
            <w:tcBorders>
              <w:top w:val="single" w:color="auto" w:sz="4" w:space="0"/>
              <w:left w:val="single" w:color="auto" w:sz="4" w:space="0"/>
              <w:bottom w:val="single" w:color="auto" w:sz="4" w:space="0"/>
              <w:right w:val="single" w:color="auto" w:sz="4" w:space="0"/>
            </w:tcBorders>
            <w:vAlign w:val="center"/>
          </w:tcPr>
          <w:p w14:paraId="710C057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是否涉刑</w:t>
            </w:r>
          </w:p>
        </w:tc>
        <w:tc>
          <w:tcPr>
            <w:tcW w:w="690" w:type="pct"/>
            <w:tcBorders>
              <w:top w:val="single" w:color="auto" w:sz="4" w:space="0"/>
              <w:left w:val="single" w:color="auto" w:sz="4" w:space="0"/>
              <w:bottom w:val="single" w:color="auto" w:sz="4" w:space="0"/>
              <w:right w:val="single" w:color="auto" w:sz="4" w:space="0"/>
            </w:tcBorders>
            <w:vAlign w:val="center"/>
          </w:tcPr>
          <w:p w14:paraId="660B3C7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SFSX</w:t>
            </w:r>
          </w:p>
        </w:tc>
        <w:tc>
          <w:tcPr>
            <w:tcW w:w="657" w:type="pct"/>
            <w:tcBorders>
              <w:top w:val="single" w:color="auto" w:sz="4" w:space="0"/>
              <w:left w:val="single" w:color="auto" w:sz="4" w:space="0"/>
              <w:bottom w:val="single" w:color="auto" w:sz="4" w:space="0"/>
              <w:right w:val="single" w:color="auto" w:sz="4" w:space="0"/>
            </w:tcBorders>
            <w:vAlign w:val="center"/>
          </w:tcPr>
          <w:p w14:paraId="3F3865B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01755BF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5B8B6B0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BEA7DE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9932BEE">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10A9F2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14</w:t>
            </w:r>
          </w:p>
        </w:tc>
        <w:tc>
          <w:tcPr>
            <w:tcW w:w="834" w:type="pct"/>
            <w:tcBorders>
              <w:top w:val="single" w:color="auto" w:sz="4" w:space="0"/>
              <w:left w:val="single" w:color="auto" w:sz="4" w:space="0"/>
              <w:bottom w:val="single" w:color="auto" w:sz="4" w:space="0"/>
              <w:right w:val="single" w:color="auto" w:sz="4" w:space="0"/>
            </w:tcBorders>
            <w:vAlign w:val="center"/>
          </w:tcPr>
          <w:p w14:paraId="43FA5C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是否重大</w:t>
            </w:r>
          </w:p>
        </w:tc>
        <w:tc>
          <w:tcPr>
            <w:tcW w:w="690" w:type="pct"/>
            <w:tcBorders>
              <w:top w:val="single" w:color="auto" w:sz="4" w:space="0"/>
              <w:left w:val="single" w:color="auto" w:sz="4" w:space="0"/>
              <w:bottom w:val="single" w:color="auto" w:sz="4" w:space="0"/>
              <w:right w:val="single" w:color="auto" w:sz="4" w:space="0"/>
            </w:tcBorders>
            <w:vAlign w:val="center"/>
          </w:tcPr>
          <w:p w14:paraId="5CECD7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SFZD</w:t>
            </w:r>
          </w:p>
        </w:tc>
        <w:tc>
          <w:tcPr>
            <w:tcW w:w="657" w:type="pct"/>
            <w:tcBorders>
              <w:top w:val="single" w:color="auto" w:sz="4" w:space="0"/>
              <w:left w:val="single" w:color="auto" w:sz="4" w:space="0"/>
              <w:bottom w:val="single" w:color="auto" w:sz="4" w:space="0"/>
              <w:right w:val="single" w:color="auto" w:sz="4" w:space="0"/>
            </w:tcBorders>
            <w:vAlign w:val="center"/>
          </w:tcPr>
          <w:p w14:paraId="7A4FD61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09A3E7A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722F1BB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7910B19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037A151">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3E953A0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15</w:t>
            </w:r>
          </w:p>
        </w:tc>
        <w:tc>
          <w:tcPr>
            <w:tcW w:w="834" w:type="pct"/>
            <w:tcBorders>
              <w:top w:val="single" w:color="auto" w:sz="4" w:space="0"/>
              <w:left w:val="single" w:color="auto" w:sz="4" w:space="0"/>
              <w:bottom w:val="single" w:color="auto" w:sz="4" w:space="0"/>
              <w:right w:val="single" w:color="auto" w:sz="4" w:space="0"/>
            </w:tcBorders>
            <w:vAlign w:val="center"/>
          </w:tcPr>
          <w:p w14:paraId="2A66C3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是否法制审核</w:t>
            </w:r>
          </w:p>
        </w:tc>
        <w:tc>
          <w:tcPr>
            <w:tcW w:w="690" w:type="pct"/>
            <w:tcBorders>
              <w:top w:val="single" w:color="auto" w:sz="4" w:space="0"/>
              <w:left w:val="single" w:color="auto" w:sz="4" w:space="0"/>
              <w:bottom w:val="single" w:color="auto" w:sz="4" w:space="0"/>
              <w:right w:val="single" w:color="auto" w:sz="4" w:space="0"/>
            </w:tcBorders>
            <w:vAlign w:val="center"/>
          </w:tcPr>
          <w:p w14:paraId="79A618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SFFZSH</w:t>
            </w:r>
          </w:p>
        </w:tc>
        <w:tc>
          <w:tcPr>
            <w:tcW w:w="657" w:type="pct"/>
            <w:tcBorders>
              <w:top w:val="single" w:color="auto" w:sz="4" w:space="0"/>
              <w:left w:val="single" w:color="auto" w:sz="4" w:space="0"/>
              <w:bottom w:val="single" w:color="auto" w:sz="4" w:space="0"/>
              <w:right w:val="single" w:color="auto" w:sz="4" w:space="0"/>
            </w:tcBorders>
            <w:vAlign w:val="center"/>
          </w:tcPr>
          <w:p w14:paraId="1CBCAA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65590DF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43FEC4D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7BC5B2E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977A61B">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73CC9C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16</w:t>
            </w:r>
          </w:p>
        </w:tc>
        <w:tc>
          <w:tcPr>
            <w:tcW w:w="834" w:type="pct"/>
            <w:tcBorders>
              <w:top w:val="single" w:color="auto" w:sz="4" w:space="0"/>
              <w:left w:val="single" w:color="auto" w:sz="4" w:space="0"/>
              <w:bottom w:val="single" w:color="auto" w:sz="4" w:space="0"/>
              <w:right w:val="single" w:color="auto" w:sz="4" w:space="0"/>
            </w:tcBorders>
            <w:vAlign w:val="center"/>
          </w:tcPr>
          <w:p w14:paraId="258CC9D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法制审核日期</w:t>
            </w:r>
          </w:p>
        </w:tc>
        <w:tc>
          <w:tcPr>
            <w:tcW w:w="690" w:type="pct"/>
            <w:tcBorders>
              <w:top w:val="single" w:color="auto" w:sz="4" w:space="0"/>
              <w:left w:val="single" w:color="auto" w:sz="4" w:space="0"/>
              <w:bottom w:val="single" w:color="auto" w:sz="4" w:space="0"/>
              <w:right w:val="single" w:color="auto" w:sz="4" w:space="0"/>
            </w:tcBorders>
            <w:vAlign w:val="center"/>
          </w:tcPr>
          <w:p w14:paraId="5B84B4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FZSHRQ</w:t>
            </w:r>
          </w:p>
        </w:tc>
        <w:tc>
          <w:tcPr>
            <w:tcW w:w="657" w:type="pct"/>
            <w:tcBorders>
              <w:top w:val="single" w:color="auto" w:sz="4" w:space="0"/>
              <w:left w:val="single" w:color="auto" w:sz="4" w:space="0"/>
              <w:bottom w:val="single" w:color="auto" w:sz="4" w:space="0"/>
              <w:right w:val="single" w:color="auto" w:sz="4" w:space="0"/>
            </w:tcBorders>
            <w:vAlign w:val="center"/>
          </w:tcPr>
          <w:p w14:paraId="2474D78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06D1BD8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0C4F280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40ABA3A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2563B31">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16E939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17</w:t>
            </w:r>
          </w:p>
        </w:tc>
        <w:tc>
          <w:tcPr>
            <w:tcW w:w="834" w:type="pct"/>
            <w:tcBorders>
              <w:top w:val="single" w:color="auto" w:sz="4" w:space="0"/>
              <w:left w:val="single" w:color="auto" w:sz="4" w:space="0"/>
              <w:bottom w:val="single" w:color="auto" w:sz="4" w:space="0"/>
              <w:right w:val="single" w:color="auto" w:sz="4" w:space="0"/>
            </w:tcBorders>
            <w:vAlign w:val="center"/>
          </w:tcPr>
          <w:p w14:paraId="78608BC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是否集体讨论</w:t>
            </w:r>
          </w:p>
        </w:tc>
        <w:tc>
          <w:tcPr>
            <w:tcW w:w="690" w:type="pct"/>
            <w:tcBorders>
              <w:top w:val="single" w:color="auto" w:sz="4" w:space="0"/>
              <w:left w:val="single" w:color="auto" w:sz="4" w:space="0"/>
              <w:bottom w:val="single" w:color="auto" w:sz="4" w:space="0"/>
              <w:right w:val="single" w:color="auto" w:sz="4" w:space="0"/>
            </w:tcBorders>
            <w:vAlign w:val="center"/>
          </w:tcPr>
          <w:p w14:paraId="47498B4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SFJTTL</w:t>
            </w:r>
          </w:p>
        </w:tc>
        <w:tc>
          <w:tcPr>
            <w:tcW w:w="657" w:type="pct"/>
            <w:tcBorders>
              <w:top w:val="single" w:color="auto" w:sz="4" w:space="0"/>
              <w:left w:val="single" w:color="auto" w:sz="4" w:space="0"/>
              <w:bottom w:val="single" w:color="auto" w:sz="4" w:space="0"/>
              <w:right w:val="single" w:color="auto" w:sz="4" w:space="0"/>
            </w:tcBorders>
            <w:vAlign w:val="center"/>
          </w:tcPr>
          <w:p w14:paraId="7A4FA2D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57286A7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3493123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168275F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74E175E">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61C316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18</w:t>
            </w:r>
          </w:p>
        </w:tc>
        <w:tc>
          <w:tcPr>
            <w:tcW w:w="834" w:type="pct"/>
            <w:tcBorders>
              <w:top w:val="single" w:color="auto" w:sz="4" w:space="0"/>
              <w:left w:val="single" w:color="auto" w:sz="4" w:space="0"/>
              <w:bottom w:val="single" w:color="auto" w:sz="4" w:space="0"/>
              <w:right w:val="single" w:color="auto" w:sz="4" w:space="0"/>
            </w:tcBorders>
            <w:vAlign w:val="center"/>
          </w:tcPr>
          <w:p w14:paraId="343125E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集体讨论日期</w:t>
            </w:r>
          </w:p>
        </w:tc>
        <w:tc>
          <w:tcPr>
            <w:tcW w:w="690" w:type="pct"/>
            <w:tcBorders>
              <w:top w:val="single" w:color="auto" w:sz="4" w:space="0"/>
              <w:left w:val="single" w:color="auto" w:sz="4" w:space="0"/>
              <w:bottom w:val="single" w:color="auto" w:sz="4" w:space="0"/>
              <w:right w:val="single" w:color="auto" w:sz="4" w:space="0"/>
            </w:tcBorders>
            <w:vAlign w:val="center"/>
          </w:tcPr>
          <w:p w14:paraId="4E94A14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JTTLRQ</w:t>
            </w:r>
          </w:p>
        </w:tc>
        <w:tc>
          <w:tcPr>
            <w:tcW w:w="657" w:type="pct"/>
            <w:tcBorders>
              <w:top w:val="single" w:color="auto" w:sz="4" w:space="0"/>
              <w:left w:val="single" w:color="auto" w:sz="4" w:space="0"/>
              <w:bottom w:val="single" w:color="auto" w:sz="4" w:space="0"/>
              <w:right w:val="single" w:color="auto" w:sz="4" w:space="0"/>
            </w:tcBorders>
            <w:vAlign w:val="center"/>
          </w:tcPr>
          <w:p w14:paraId="21ED20A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1C9F7B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0A768EC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BBDD65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326C623">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1E0DD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19</w:t>
            </w:r>
          </w:p>
        </w:tc>
        <w:tc>
          <w:tcPr>
            <w:tcW w:w="834" w:type="pct"/>
            <w:tcBorders>
              <w:top w:val="single" w:color="auto" w:sz="4" w:space="0"/>
              <w:left w:val="single" w:color="auto" w:sz="4" w:space="0"/>
              <w:bottom w:val="single" w:color="auto" w:sz="4" w:space="0"/>
              <w:right w:val="single" w:color="auto" w:sz="4" w:space="0"/>
            </w:tcBorders>
            <w:vAlign w:val="center"/>
          </w:tcPr>
          <w:p w14:paraId="5FF58F3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处罚决定日期</w:t>
            </w:r>
          </w:p>
        </w:tc>
        <w:tc>
          <w:tcPr>
            <w:tcW w:w="690" w:type="pct"/>
            <w:tcBorders>
              <w:top w:val="single" w:color="auto" w:sz="4" w:space="0"/>
              <w:left w:val="single" w:color="auto" w:sz="4" w:space="0"/>
              <w:bottom w:val="single" w:color="auto" w:sz="4" w:space="0"/>
              <w:right w:val="single" w:color="auto" w:sz="4" w:space="0"/>
            </w:tcBorders>
            <w:vAlign w:val="center"/>
          </w:tcPr>
          <w:p w14:paraId="39A7A83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CFJDRQ</w:t>
            </w:r>
          </w:p>
        </w:tc>
        <w:tc>
          <w:tcPr>
            <w:tcW w:w="657" w:type="pct"/>
            <w:tcBorders>
              <w:top w:val="single" w:color="auto" w:sz="4" w:space="0"/>
              <w:left w:val="single" w:color="auto" w:sz="4" w:space="0"/>
              <w:bottom w:val="single" w:color="auto" w:sz="4" w:space="0"/>
              <w:right w:val="single" w:color="auto" w:sz="4" w:space="0"/>
            </w:tcBorders>
            <w:vAlign w:val="center"/>
          </w:tcPr>
          <w:p w14:paraId="7004A7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4BE0DD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049C27B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177464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71B80DE">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32A4E2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834" w:type="pct"/>
            <w:tcBorders>
              <w:top w:val="single" w:color="auto" w:sz="4" w:space="0"/>
              <w:left w:val="single" w:color="auto" w:sz="4" w:space="0"/>
              <w:bottom w:val="single" w:color="auto" w:sz="4" w:space="0"/>
              <w:right w:val="single" w:color="auto" w:sz="4" w:space="0"/>
            </w:tcBorders>
            <w:vAlign w:val="center"/>
          </w:tcPr>
          <w:p w14:paraId="46622D0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送达日期</w:t>
            </w:r>
          </w:p>
        </w:tc>
        <w:tc>
          <w:tcPr>
            <w:tcW w:w="690" w:type="pct"/>
            <w:tcBorders>
              <w:top w:val="single" w:color="auto" w:sz="4" w:space="0"/>
              <w:left w:val="single" w:color="auto" w:sz="4" w:space="0"/>
              <w:bottom w:val="single" w:color="auto" w:sz="4" w:space="0"/>
              <w:right w:val="single" w:color="auto" w:sz="4" w:space="0"/>
            </w:tcBorders>
            <w:vAlign w:val="center"/>
          </w:tcPr>
          <w:p w14:paraId="7AB1E0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SDRQ</w:t>
            </w:r>
          </w:p>
        </w:tc>
        <w:tc>
          <w:tcPr>
            <w:tcW w:w="657" w:type="pct"/>
            <w:tcBorders>
              <w:top w:val="single" w:color="auto" w:sz="4" w:space="0"/>
              <w:left w:val="single" w:color="auto" w:sz="4" w:space="0"/>
              <w:bottom w:val="single" w:color="auto" w:sz="4" w:space="0"/>
              <w:right w:val="single" w:color="auto" w:sz="4" w:space="0"/>
            </w:tcBorders>
            <w:vAlign w:val="center"/>
          </w:tcPr>
          <w:p w14:paraId="090469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5C06CB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4F033B4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494D6B1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76EDF12">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4027699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21</w:t>
            </w:r>
          </w:p>
        </w:tc>
        <w:tc>
          <w:tcPr>
            <w:tcW w:w="834" w:type="pct"/>
            <w:tcBorders>
              <w:top w:val="single" w:color="auto" w:sz="4" w:space="0"/>
              <w:left w:val="single" w:color="auto" w:sz="4" w:space="0"/>
              <w:bottom w:val="single" w:color="auto" w:sz="4" w:space="0"/>
              <w:right w:val="single" w:color="auto" w:sz="4" w:space="0"/>
            </w:tcBorders>
            <w:vAlign w:val="center"/>
          </w:tcPr>
          <w:p w14:paraId="07F8742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送达方式</w:t>
            </w:r>
          </w:p>
        </w:tc>
        <w:tc>
          <w:tcPr>
            <w:tcW w:w="690" w:type="pct"/>
            <w:tcBorders>
              <w:top w:val="single" w:color="auto" w:sz="4" w:space="0"/>
              <w:left w:val="single" w:color="auto" w:sz="4" w:space="0"/>
              <w:bottom w:val="single" w:color="auto" w:sz="4" w:space="0"/>
              <w:right w:val="single" w:color="auto" w:sz="4" w:space="0"/>
            </w:tcBorders>
            <w:vAlign w:val="center"/>
          </w:tcPr>
          <w:p w14:paraId="142AB4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SDFS</w:t>
            </w:r>
          </w:p>
        </w:tc>
        <w:tc>
          <w:tcPr>
            <w:tcW w:w="657" w:type="pct"/>
            <w:tcBorders>
              <w:top w:val="single" w:color="auto" w:sz="4" w:space="0"/>
              <w:left w:val="single" w:color="auto" w:sz="4" w:space="0"/>
              <w:bottom w:val="single" w:color="auto" w:sz="4" w:space="0"/>
              <w:right w:val="single" w:color="auto" w:sz="4" w:space="0"/>
            </w:tcBorders>
            <w:vAlign w:val="center"/>
          </w:tcPr>
          <w:p w14:paraId="38E26F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027EEF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60" w:type="pct"/>
            <w:tcBorders>
              <w:top w:val="single" w:color="auto" w:sz="4" w:space="0"/>
              <w:left w:val="single" w:color="auto" w:sz="4" w:space="0"/>
              <w:bottom w:val="single" w:color="auto" w:sz="4" w:space="0"/>
              <w:right w:val="single" w:color="auto" w:sz="4" w:space="0"/>
            </w:tcBorders>
            <w:vAlign w:val="center"/>
          </w:tcPr>
          <w:p w14:paraId="6DBFC66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D9125E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0075D3A">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40DC471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22</w:t>
            </w:r>
          </w:p>
        </w:tc>
        <w:tc>
          <w:tcPr>
            <w:tcW w:w="834" w:type="pct"/>
            <w:tcBorders>
              <w:top w:val="single" w:color="auto" w:sz="4" w:space="0"/>
              <w:left w:val="single" w:color="auto" w:sz="4" w:space="0"/>
              <w:bottom w:val="single" w:color="auto" w:sz="4" w:space="0"/>
              <w:right w:val="single" w:color="auto" w:sz="4" w:space="0"/>
            </w:tcBorders>
            <w:vAlign w:val="center"/>
          </w:tcPr>
          <w:p w14:paraId="27A618F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处罚决定书文号</w:t>
            </w:r>
          </w:p>
        </w:tc>
        <w:tc>
          <w:tcPr>
            <w:tcW w:w="690" w:type="pct"/>
            <w:tcBorders>
              <w:top w:val="single" w:color="auto" w:sz="4" w:space="0"/>
              <w:left w:val="single" w:color="auto" w:sz="4" w:space="0"/>
              <w:bottom w:val="single" w:color="auto" w:sz="4" w:space="0"/>
              <w:right w:val="single" w:color="auto" w:sz="4" w:space="0"/>
            </w:tcBorders>
            <w:vAlign w:val="center"/>
          </w:tcPr>
          <w:p w14:paraId="28463E4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CFJDSWH</w:t>
            </w:r>
          </w:p>
        </w:tc>
        <w:tc>
          <w:tcPr>
            <w:tcW w:w="657" w:type="pct"/>
            <w:tcBorders>
              <w:top w:val="single" w:color="auto" w:sz="4" w:space="0"/>
              <w:left w:val="single" w:color="auto" w:sz="4" w:space="0"/>
              <w:bottom w:val="single" w:color="auto" w:sz="4" w:space="0"/>
              <w:right w:val="single" w:color="auto" w:sz="4" w:space="0"/>
            </w:tcBorders>
            <w:vAlign w:val="center"/>
          </w:tcPr>
          <w:p w14:paraId="0A88F75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7F2A418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08687A1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42B9A68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64C8645">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48CA748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23</w:t>
            </w:r>
          </w:p>
        </w:tc>
        <w:tc>
          <w:tcPr>
            <w:tcW w:w="834" w:type="pct"/>
            <w:tcBorders>
              <w:top w:val="single" w:color="auto" w:sz="4" w:space="0"/>
              <w:left w:val="single" w:color="auto" w:sz="4" w:space="0"/>
              <w:bottom w:val="single" w:color="auto" w:sz="4" w:space="0"/>
              <w:right w:val="single" w:color="auto" w:sz="4" w:space="0"/>
            </w:tcBorders>
            <w:vAlign w:val="center"/>
          </w:tcPr>
          <w:p w14:paraId="09BFD25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是否执行处罚决定</w:t>
            </w:r>
          </w:p>
        </w:tc>
        <w:tc>
          <w:tcPr>
            <w:tcW w:w="690" w:type="pct"/>
            <w:tcBorders>
              <w:top w:val="single" w:color="auto" w:sz="4" w:space="0"/>
              <w:left w:val="single" w:color="auto" w:sz="4" w:space="0"/>
              <w:bottom w:val="single" w:color="auto" w:sz="4" w:space="0"/>
              <w:right w:val="single" w:color="auto" w:sz="4" w:space="0"/>
            </w:tcBorders>
            <w:vAlign w:val="center"/>
          </w:tcPr>
          <w:p w14:paraId="617B257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SFZXCFJD</w:t>
            </w:r>
          </w:p>
        </w:tc>
        <w:tc>
          <w:tcPr>
            <w:tcW w:w="657" w:type="pct"/>
            <w:tcBorders>
              <w:top w:val="single" w:color="auto" w:sz="4" w:space="0"/>
              <w:left w:val="single" w:color="auto" w:sz="4" w:space="0"/>
              <w:bottom w:val="single" w:color="auto" w:sz="4" w:space="0"/>
              <w:right w:val="single" w:color="auto" w:sz="4" w:space="0"/>
            </w:tcBorders>
            <w:vAlign w:val="center"/>
          </w:tcPr>
          <w:p w14:paraId="7B31A90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6D2149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2084216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4092D54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86DE837">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7167A40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24</w:t>
            </w:r>
          </w:p>
        </w:tc>
        <w:tc>
          <w:tcPr>
            <w:tcW w:w="834" w:type="pct"/>
            <w:tcBorders>
              <w:top w:val="single" w:color="auto" w:sz="4" w:space="0"/>
              <w:left w:val="single" w:color="auto" w:sz="4" w:space="0"/>
              <w:bottom w:val="single" w:color="auto" w:sz="4" w:space="0"/>
              <w:right w:val="single" w:color="auto" w:sz="4" w:space="0"/>
            </w:tcBorders>
            <w:vAlign w:val="center"/>
          </w:tcPr>
          <w:p w14:paraId="17F1636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执行方式</w:t>
            </w:r>
          </w:p>
        </w:tc>
        <w:tc>
          <w:tcPr>
            <w:tcW w:w="690" w:type="pct"/>
            <w:tcBorders>
              <w:top w:val="single" w:color="auto" w:sz="4" w:space="0"/>
              <w:left w:val="single" w:color="auto" w:sz="4" w:space="0"/>
              <w:bottom w:val="single" w:color="auto" w:sz="4" w:space="0"/>
              <w:right w:val="single" w:color="auto" w:sz="4" w:space="0"/>
            </w:tcBorders>
            <w:vAlign w:val="center"/>
          </w:tcPr>
          <w:p w14:paraId="0FD2E9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ZXFS</w:t>
            </w:r>
          </w:p>
        </w:tc>
        <w:tc>
          <w:tcPr>
            <w:tcW w:w="657" w:type="pct"/>
            <w:tcBorders>
              <w:top w:val="single" w:color="auto" w:sz="4" w:space="0"/>
              <w:left w:val="single" w:color="auto" w:sz="4" w:space="0"/>
              <w:bottom w:val="single" w:color="auto" w:sz="4" w:space="0"/>
              <w:right w:val="single" w:color="auto" w:sz="4" w:space="0"/>
            </w:tcBorders>
            <w:vAlign w:val="center"/>
          </w:tcPr>
          <w:p w14:paraId="20648A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4C6C09D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54C155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2ECD1BF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主动履行</w:t>
            </w:r>
          </w:p>
          <w:p w14:paraId="1420B5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自主强制执行</w:t>
            </w:r>
          </w:p>
          <w:p w14:paraId="63F06D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申请法院强制执行</w:t>
            </w:r>
          </w:p>
        </w:tc>
      </w:tr>
      <w:tr w14:paraId="435FA79D">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612E67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25</w:t>
            </w:r>
          </w:p>
        </w:tc>
        <w:tc>
          <w:tcPr>
            <w:tcW w:w="834" w:type="pct"/>
            <w:tcBorders>
              <w:top w:val="single" w:color="auto" w:sz="4" w:space="0"/>
              <w:left w:val="single" w:color="auto" w:sz="4" w:space="0"/>
              <w:bottom w:val="single" w:color="auto" w:sz="4" w:space="0"/>
              <w:right w:val="single" w:color="auto" w:sz="4" w:space="0"/>
            </w:tcBorders>
            <w:vAlign w:val="center"/>
          </w:tcPr>
          <w:p w14:paraId="042327C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是否分期</w:t>
            </w:r>
          </w:p>
        </w:tc>
        <w:tc>
          <w:tcPr>
            <w:tcW w:w="690" w:type="pct"/>
            <w:tcBorders>
              <w:top w:val="single" w:color="auto" w:sz="4" w:space="0"/>
              <w:left w:val="single" w:color="auto" w:sz="4" w:space="0"/>
              <w:bottom w:val="single" w:color="auto" w:sz="4" w:space="0"/>
              <w:right w:val="single" w:color="auto" w:sz="4" w:space="0"/>
            </w:tcBorders>
            <w:vAlign w:val="center"/>
          </w:tcPr>
          <w:p w14:paraId="50FF5FA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SFFQ</w:t>
            </w:r>
          </w:p>
        </w:tc>
        <w:tc>
          <w:tcPr>
            <w:tcW w:w="657" w:type="pct"/>
            <w:tcBorders>
              <w:top w:val="single" w:color="auto" w:sz="4" w:space="0"/>
              <w:left w:val="single" w:color="auto" w:sz="4" w:space="0"/>
              <w:bottom w:val="single" w:color="auto" w:sz="4" w:space="0"/>
              <w:right w:val="single" w:color="auto" w:sz="4" w:space="0"/>
            </w:tcBorders>
            <w:vAlign w:val="center"/>
          </w:tcPr>
          <w:p w14:paraId="1073A2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1F90860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20E9997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38ABD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3CF40E2E">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305859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26</w:t>
            </w:r>
          </w:p>
        </w:tc>
        <w:tc>
          <w:tcPr>
            <w:tcW w:w="834" w:type="pct"/>
            <w:tcBorders>
              <w:top w:val="single" w:color="auto" w:sz="4" w:space="0"/>
              <w:left w:val="single" w:color="auto" w:sz="4" w:space="0"/>
              <w:bottom w:val="single" w:color="auto" w:sz="4" w:space="0"/>
              <w:right w:val="single" w:color="auto" w:sz="4" w:space="0"/>
            </w:tcBorders>
            <w:vAlign w:val="center"/>
          </w:tcPr>
          <w:p w14:paraId="4445A4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是否延期</w:t>
            </w:r>
          </w:p>
        </w:tc>
        <w:tc>
          <w:tcPr>
            <w:tcW w:w="690" w:type="pct"/>
            <w:tcBorders>
              <w:top w:val="single" w:color="auto" w:sz="4" w:space="0"/>
              <w:left w:val="single" w:color="auto" w:sz="4" w:space="0"/>
              <w:bottom w:val="single" w:color="auto" w:sz="4" w:space="0"/>
              <w:right w:val="single" w:color="auto" w:sz="4" w:space="0"/>
            </w:tcBorders>
            <w:vAlign w:val="center"/>
          </w:tcPr>
          <w:p w14:paraId="20338CA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SFYQ</w:t>
            </w:r>
          </w:p>
        </w:tc>
        <w:tc>
          <w:tcPr>
            <w:tcW w:w="657" w:type="pct"/>
            <w:tcBorders>
              <w:top w:val="single" w:color="auto" w:sz="4" w:space="0"/>
              <w:left w:val="single" w:color="auto" w:sz="4" w:space="0"/>
              <w:bottom w:val="single" w:color="auto" w:sz="4" w:space="0"/>
              <w:right w:val="single" w:color="auto" w:sz="4" w:space="0"/>
            </w:tcBorders>
            <w:vAlign w:val="center"/>
          </w:tcPr>
          <w:p w14:paraId="5B0FDB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59E9A71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5D5DA94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0F3B0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5FE81F5B">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82B9D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27</w:t>
            </w:r>
          </w:p>
        </w:tc>
        <w:tc>
          <w:tcPr>
            <w:tcW w:w="834" w:type="pct"/>
            <w:tcBorders>
              <w:top w:val="single" w:color="auto" w:sz="4" w:space="0"/>
              <w:left w:val="single" w:color="auto" w:sz="4" w:space="0"/>
              <w:bottom w:val="single" w:color="auto" w:sz="4" w:space="0"/>
              <w:right w:val="single" w:color="auto" w:sz="4" w:space="0"/>
            </w:tcBorders>
            <w:vAlign w:val="center"/>
          </w:tcPr>
          <w:p w14:paraId="480D734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执行完成日期</w:t>
            </w:r>
          </w:p>
        </w:tc>
        <w:tc>
          <w:tcPr>
            <w:tcW w:w="690" w:type="pct"/>
            <w:tcBorders>
              <w:top w:val="single" w:color="auto" w:sz="4" w:space="0"/>
              <w:left w:val="single" w:color="auto" w:sz="4" w:space="0"/>
              <w:bottom w:val="single" w:color="auto" w:sz="4" w:space="0"/>
              <w:right w:val="single" w:color="auto" w:sz="4" w:space="0"/>
            </w:tcBorders>
            <w:vAlign w:val="center"/>
          </w:tcPr>
          <w:p w14:paraId="3C0EA85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ZXWCRQ</w:t>
            </w:r>
          </w:p>
        </w:tc>
        <w:tc>
          <w:tcPr>
            <w:tcW w:w="657" w:type="pct"/>
            <w:tcBorders>
              <w:top w:val="single" w:color="auto" w:sz="4" w:space="0"/>
              <w:left w:val="single" w:color="auto" w:sz="4" w:space="0"/>
              <w:bottom w:val="single" w:color="auto" w:sz="4" w:space="0"/>
              <w:right w:val="single" w:color="auto" w:sz="4" w:space="0"/>
            </w:tcBorders>
            <w:vAlign w:val="center"/>
          </w:tcPr>
          <w:p w14:paraId="301F38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3857B4E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3956081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4270BB9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58D5A754">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4C7631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28</w:t>
            </w:r>
          </w:p>
        </w:tc>
        <w:tc>
          <w:tcPr>
            <w:tcW w:w="834" w:type="pct"/>
            <w:tcBorders>
              <w:top w:val="single" w:color="auto" w:sz="4" w:space="0"/>
              <w:left w:val="single" w:color="auto" w:sz="4" w:space="0"/>
              <w:bottom w:val="single" w:color="auto" w:sz="4" w:space="0"/>
              <w:right w:val="single" w:color="auto" w:sz="4" w:space="0"/>
            </w:tcBorders>
            <w:vAlign w:val="center"/>
          </w:tcPr>
          <w:p w14:paraId="122D9D2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结案类型</w:t>
            </w:r>
          </w:p>
        </w:tc>
        <w:tc>
          <w:tcPr>
            <w:tcW w:w="690" w:type="pct"/>
            <w:tcBorders>
              <w:top w:val="single" w:color="auto" w:sz="4" w:space="0"/>
              <w:left w:val="single" w:color="auto" w:sz="4" w:space="0"/>
              <w:bottom w:val="single" w:color="auto" w:sz="4" w:space="0"/>
              <w:right w:val="single" w:color="auto" w:sz="4" w:space="0"/>
            </w:tcBorders>
            <w:vAlign w:val="center"/>
          </w:tcPr>
          <w:p w14:paraId="2C235F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JALX</w:t>
            </w:r>
          </w:p>
        </w:tc>
        <w:tc>
          <w:tcPr>
            <w:tcW w:w="657" w:type="pct"/>
            <w:tcBorders>
              <w:top w:val="single" w:color="auto" w:sz="4" w:space="0"/>
              <w:left w:val="single" w:color="auto" w:sz="4" w:space="0"/>
              <w:bottom w:val="single" w:color="auto" w:sz="4" w:space="0"/>
              <w:right w:val="single" w:color="auto" w:sz="4" w:space="0"/>
            </w:tcBorders>
            <w:vAlign w:val="center"/>
          </w:tcPr>
          <w:p w14:paraId="146BB0D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19BD25D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6273C4F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C6AAFB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正常结案</w:t>
            </w:r>
          </w:p>
          <w:p w14:paraId="0488AF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撤销立案</w:t>
            </w:r>
          </w:p>
          <w:p w14:paraId="1BF8A53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不予处罚</w:t>
            </w:r>
          </w:p>
          <w:p w14:paraId="449FE77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r>
              <w:rPr>
                <w:rFonts w:hint="default" w:hAnsi="宋体"/>
                <w:szCs w:val="20"/>
              </w:rPr>
              <w:t>：</w:t>
            </w:r>
            <w:r>
              <w:rPr>
                <w:rFonts w:hint="eastAsia" w:hAnsi="宋体"/>
                <w:szCs w:val="20"/>
              </w:rPr>
              <w:t>撤销原处罚决定</w:t>
            </w:r>
          </w:p>
          <w:p w14:paraId="7D4B80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r>
              <w:rPr>
                <w:rFonts w:hint="default" w:hAnsi="宋体"/>
                <w:szCs w:val="20"/>
              </w:rPr>
              <w:t>：</w:t>
            </w:r>
            <w:r>
              <w:rPr>
                <w:rFonts w:hint="eastAsia" w:hAnsi="宋体"/>
                <w:szCs w:val="20"/>
              </w:rPr>
              <w:t>终结</w:t>
            </w:r>
          </w:p>
        </w:tc>
      </w:tr>
      <w:tr w14:paraId="04FA72B6">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2D166EB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29</w:t>
            </w:r>
          </w:p>
        </w:tc>
        <w:tc>
          <w:tcPr>
            <w:tcW w:w="834" w:type="pct"/>
            <w:tcBorders>
              <w:top w:val="single" w:color="auto" w:sz="4" w:space="0"/>
              <w:left w:val="single" w:color="auto" w:sz="4" w:space="0"/>
              <w:bottom w:val="single" w:color="auto" w:sz="4" w:space="0"/>
              <w:right w:val="single" w:color="auto" w:sz="4" w:space="0"/>
            </w:tcBorders>
            <w:vAlign w:val="center"/>
          </w:tcPr>
          <w:p w14:paraId="0C47E1D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结案日期</w:t>
            </w:r>
          </w:p>
        </w:tc>
        <w:tc>
          <w:tcPr>
            <w:tcW w:w="690" w:type="pct"/>
            <w:tcBorders>
              <w:top w:val="single" w:color="auto" w:sz="4" w:space="0"/>
              <w:left w:val="single" w:color="auto" w:sz="4" w:space="0"/>
              <w:bottom w:val="single" w:color="auto" w:sz="4" w:space="0"/>
              <w:right w:val="single" w:color="auto" w:sz="4" w:space="0"/>
            </w:tcBorders>
            <w:vAlign w:val="center"/>
          </w:tcPr>
          <w:p w14:paraId="705EDFF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JARQ</w:t>
            </w:r>
          </w:p>
        </w:tc>
        <w:tc>
          <w:tcPr>
            <w:tcW w:w="657" w:type="pct"/>
            <w:tcBorders>
              <w:top w:val="single" w:color="auto" w:sz="4" w:space="0"/>
              <w:left w:val="single" w:color="auto" w:sz="4" w:space="0"/>
              <w:bottom w:val="single" w:color="auto" w:sz="4" w:space="0"/>
              <w:right w:val="single" w:color="auto" w:sz="4" w:space="0"/>
            </w:tcBorders>
            <w:vAlign w:val="center"/>
          </w:tcPr>
          <w:p w14:paraId="5DD9247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07C25C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5B513E8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673761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E265318">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11EDBEF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30</w:t>
            </w:r>
          </w:p>
        </w:tc>
        <w:tc>
          <w:tcPr>
            <w:tcW w:w="834" w:type="pct"/>
            <w:tcBorders>
              <w:top w:val="single" w:color="auto" w:sz="4" w:space="0"/>
              <w:left w:val="single" w:color="auto" w:sz="4" w:space="0"/>
              <w:bottom w:val="single" w:color="auto" w:sz="4" w:space="0"/>
              <w:right w:val="single" w:color="auto" w:sz="4" w:space="0"/>
            </w:tcBorders>
            <w:vAlign w:val="center"/>
          </w:tcPr>
          <w:p w14:paraId="76CFA51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非正常结案原因</w:t>
            </w:r>
          </w:p>
        </w:tc>
        <w:tc>
          <w:tcPr>
            <w:tcW w:w="690" w:type="pct"/>
            <w:tcBorders>
              <w:top w:val="single" w:color="auto" w:sz="4" w:space="0"/>
              <w:left w:val="single" w:color="auto" w:sz="4" w:space="0"/>
              <w:bottom w:val="single" w:color="auto" w:sz="4" w:space="0"/>
              <w:right w:val="single" w:color="auto" w:sz="4" w:space="0"/>
            </w:tcBorders>
            <w:vAlign w:val="center"/>
          </w:tcPr>
          <w:p w14:paraId="7CC94E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FZCJAYY</w:t>
            </w:r>
          </w:p>
        </w:tc>
        <w:tc>
          <w:tcPr>
            <w:tcW w:w="657" w:type="pct"/>
            <w:tcBorders>
              <w:top w:val="single" w:color="auto" w:sz="4" w:space="0"/>
              <w:left w:val="single" w:color="auto" w:sz="4" w:space="0"/>
              <w:bottom w:val="single" w:color="auto" w:sz="4" w:space="0"/>
              <w:right w:val="single" w:color="auto" w:sz="4" w:space="0"/>
            </w:tcBorders>
            <w:vAlign w:val="center"/>
          </w:tcPr>
          <w:p w14:paraId="7F9EE84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4B01623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14:paraId="5E705E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57BF7834">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B06D225">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3CFAC97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31</w:t>
            </w:r>
          </w:p>
        </w:tc>
        <w:tc>
          <w:tcPr>
            <w:tcW w:w="834" w:type="pct"/>
            <w:tcBorders>
              <w:top w:val="single" w:color="auto" w:sz="4" w:space="0"/>
              <w:left w:val="single" w:color="auto" w:sz="4" w:space="0"/>
              <w:bottom w:val="single" w:color="auto" w:sz="4" w:space="0"/>
              <w:right w:val="single" w:color="auto" w:sz="4" w:space="0"/>
            </w:tcBorders>
            <w:vAlign w:val="center"/>
          </w:tcPr>
          <w:p w14:paraId="6C4DF97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主办人姓名</w:t>
            </w:r>
          </w:p>
        </w:tc>
        <w:tc>
          <w:tcPr>
            <w:tcW w:w="690" w:type="pct"/>
            <w:tcBorders>
              <w:top w:val="single" w:color="auto" w:sz="4" w:space="0"/>
              <w:left w:val="single" w:color="auto" w:sz="4" w:space="0"/>
              <w:bottom w:val="single" w:color="auto" w:sz="4" w:space="0"/>
              <w:right w:val="single" w:color="auto" w:sz="4" w:space="0"/>
            </w:tcBorders>
            <w:vAlign w:val="center"/>
          </w:tcPr>
          <w:p w14:paraId="037FDD8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ZBRXM</w:t>
            </w:r>
          </w:p>
        </w:tc>
        <w:tc>
          <w:tcPr>
            <w:tcW w:w="657" w:type="pct"/>
            <w:tcBorders>
              <w:top w:val="single" w:color="auto" w:sz="4" w:space="0"/>
              <w:left w:val="single" w:color="auto" w:sz="4" w:space="0"/>
              <w:bottom w:val="single" w:color="auto" w:sz="4" w:space="0"/>
              <w:right w:val="single" w:color="auto" w:sz="4" w:space="0"/>
            </w:tcBorders>
            <w:vAlign w:val="center"/>
          </w:tcPr>
          <w:p w14:paraId="1F3940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2DBFC1D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5519AED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5D3BB457">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AD2E79B">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3784CE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32</w:t>
            </w:r>
          </w:p>
        </w:tc>
        <w:tc>
          <w:tcPr>
            <w:tcW w:w="834" w:type="pct"/>
            <w:tcBorders>
              <w:top w:val="single" w:color="auto" w:sz="4" w:space="0"/>
              <w:left w:val="single" w:color="auto" w:sz="4" w:space="0"/>
              <w:bottom w:val="single" w:color="auto" w:sz="4" w:space="0"/>
              <w:right w:val="single" w:color="auto" w:sz="4" w:space="0"/>
            </w:tcBorders>
            <w:vAlign w:val="center"/>
          </w:tcPr>
          <w:p w14:paraId="75FC17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主办人证件号码</w:t>
            </w:r>
          </w:p>
        </w:tc>
        <w:tc>
          <w:tcPr>
            <w:tcW w:w="690" w:type="pct"/>
            <w:tcBorders>
              <w:top w:val="single" w:color="auto" w:sz="4" w:space="0"/>
              <w:left w:val="single" w:color="auto" w:sz="4" w:space="0"/>
              <w:bottom w:val="single" w:color="auto" w:sz="4" w:space="0"/>
              <w:right w:val="single" w:color="auto" w:sz="4" w:space="0"/>
            </w:tcBorders>
            <w:vAlign w:val="center"/>
          </w:tcPr>
          <w:p w14:paraId="7111589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ZBRZJHM</w:t>
            </w:r>
          </w:p>
        </w:tc>
        <w:tc>
          <w:tcPr>
            <w:tcW w:w="657" w:type="pct"/>
            <w:tcBorders>
              <w:top w:val="single" w:color="auto" w:sz="4" w:space="0"/>
              <w:left w:val="single" w:color="auto" w:sz="4" w:space="0"/>
              <w:bottom w:val="single" w:color="auto" w:sz="4" w:space="0"/>
              <w:right w:val="single" w:color="auto" w:sz="4" w:space="0"/>
            </w:tcBorders>
            <w:vAlign w:val="center"/>
          </w:tcPr>
          <w:p w14:paraId="7F3EB2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7BF0CF3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60" w:type="pct"/>
            <w:tcBorders>
              <w:top w:val="single" w:color="auto" w:sz="4" w:space="0"/>
              <w:left w:val="single" w:color="auto" w:sz="4" w:space="0"/>
              <w:bottom w:val="single" w:color="auto" w:sz="4" w:space="0"/>
              <w:right w:val="single" w:color="auto" w:sz="4" w:space="0"/>
            </w:tcBorders>
            <w:vAlign w:val="center"/>
          </w:tcPr>
          <w:p w14:paraId="42E4454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73686744">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2BAE462">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7AFB1C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33</w:t>
            </w:r>
          </w:p>
        </w:tc>
        <w:tc>
          <w:tcPr>
            <w:tcW w:w="834" w:type="pct"/>
            <w:tcBorders>
              <w:top w:val="single" w:color="auto" w:sz="4" w:space="0"/>
              <w:left w:val="single" w:color="auto" w:sz="4" w:space="0"/>
              <w:bottom w:val="single" w:color="auto" w:sz="4" w:space="0"/>
              <w:right w:val="single" w:color="auto" w:sz="4" w:space="0"/>
            </w:tcBorders>
            <w:vAlign w:val="center"/>
          </w:tcPr>
          <w:p w14:paraId="45739EB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协办人姓名</w:t>
            </w:r>
          </w:p>
        </w:tc>
        <w:tc>
          <w:tcPr>
            <w:tcW w:w="690" w:type="pct"/>
            <w:tcBorders>
              <w:top w:val="single" w:color="auto" w:sz="4" w:space="0"/>
              <w:left w:val="single" w:color="auto" w:sz="4" w:space="0"/>
              <w:bottom w:val="single" w:color="auto" w:sz="4" w:space="0"/>
              <w:right w:val="single" w:color="auto" w:sz="4" w:space="0"/>
            </w:tcBorders>
            <w:vAlign w:val="center"/>
          </w:tcPr>
          <w:p w14:paraId="73E66C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XBRXM</w:t>
            </w:r>
          </w:p>
        </w:tc>
        <w:tc>
          <w:tcPr>
            <w:tcW w:w="657" w:type="pct"/>
            <w:tcBorders>
              <w:top w:val="single" w:color="auto" w:sz="4" w:space="0"/>
              <w:left w:val="single" w:color="auto" w:sz="4" w:space="0"/>
              <w:bottom w:val="single" w:color="auto" w:sz="4" w:space="0"/>
              <w:right w:val="single" w:color="auto" w:sz="4" w:space="0"/>
            </w:tcBorders>
            <w:vAlign w:val="center"/>
          </w:tcPr>
          <w:p w14:paraId="2F25D6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13A38CB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500BE5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4D6B4A80">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43BBB1B">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5B37DD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34</w:t>
            </w:r>
          </w:p>
        </w:tc>
        <w:tc>
          <w:tcPr>
            <w:tcW w:w="834" w:type="pct"/>
            <w:tcBorders>
              <w:top w:val="single" w:color="auto" w:sz="4" w:space="0"/>
              <w:left w:val="single" w:color="auto" w:sz="4" w:space="0"/>
              <w:bottom w:val="single" w:color="auto" w:sz="4" w:space="0"/>
              <w:right w:val="single" w:color="auto" w:sz="4" w:space="0"/>
            </w:tcBorders>
            <w:vAlign w:val="center"/>
          </w:tcPr>
          <w:p w14:paraId="6591EC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协办人证件号码</w:t>
            </w:r>
          </w:p>
        </w:tc>
        <w:tc>
          <w:tcPr>
            <w:tcW w:w="690" w:type="pct"/>
            <w:tcBorders>
              <w:top w:val="single" w:color="auto" w:sz="4" w:space="0"/>
              <w:left w:val="single" w:color="auto" w:sz="4" w:space="0"/>
              <w:bottom w:val="single" w:color="auto" w:sz="4" w:space="0"/>
              <w:right w:val="single" w:color="auto" w:sz="4" w:space="0"/>
            </w:tcBorders>
            <w:vAlign w:val="center"/>
          </w:tcPr>
          <w:p w14:paraId="7B9554C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XBRZJHM</w:t>
            </w:r>
          </w:p>
        </w:tc>
        <w:tc>
          <w:tcPr>
            <w:tcW w:w="657" w:type="pct"/>
            <w:tcBorders>
              <w:top w:val="single" w:color="auto" w:sz="4" w:space="0"/>
              <w:left w:val="single" w:color="auto" w:sz="4" w:space="0"/>
              <w:bottom w:val="single" w:color="auto" w:sz="4" w:space="0"/>
              <w:right w:val="single" w:color="auto" w:sz="4" w:space="0"/>
            </w:tcBorders>
            <w:vAlign w:val="center"/>
          </w:tcPr>
          <w:p w14:paraId="403FCF7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0513C81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60" w:type="pct"/>
            <w:tcBorders>
              <w:top w:val="single" w:color="auto" w:sz="4" w:space="0"/>
              <w:left w:val="single" w:color="auto" w:sz="4" w:space="0"/>
              <w:bottom w:val="single" w:color="auto" w:sz="4" w:space="0"/>
              <w:right w:val="single" w:color="auto" w:sz="4" w:space="0"/>
            </w:tcBorders>
            <w:vAlign w:val="center"/>
          </w:tcPr>
          <w:p w14:paraId="38BC85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775609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C3D853E">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A2764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35</w:t>
            </w:r>
          </w:p>
        </w:tc>
        <w:tc>
          <w:tcPr>
            <w:tcW w:w="834" w:type="pct"/>
            <w:tcBorders>
              <w:top w:val="single" w:color="auto" w:sz="4" w:space="0"/>
              <w:left w:val="single" w:color="auto" w:sz="4" w:space="0"/>
              <w:bottom w:val="single" w:color="auto" w:sz="4" w:space="0"/>
              <w:right w:val="single" w:color="auto" w:sz="4" w:space="0"/>
            </w:tcBorders>
            <w:vAlign w:val="center"/>
          </w:tcPr>
          <w:p w14:paraId="3C9266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当前案件阶段</w:t>
            </w:r>
          </w:p>
        </w:tc>
        <w:tc>
          <w:tcPr>
            <w:tcW w:w="690" w:type="pct"/>
            <w:tcBorders>
              <w:top w:val="single" w:color="auto" w:sz="4" w:space="0"/>
              <w:left w:val="single" w:color="auto" w:sz="4" w:space="0"/>
              <w:bottom w:val="single" w:color="auto" w:sz="4" w:space="0"/>
              <w:right w:val="single" w:color="auto" w:sz="4" w:space="0"/>
            </w:tcBorders>
            <w:vAlign w:val="center"/>
          </w:tcPr>
          <w:p w14:paraId="5725F37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DQAJJD</w:t>
            </w:r>
          </w:p>
        </w:tc>
        <w:tc>
          <w:tcPr>
            <w:tcW w:w="657" w:type="pct"/>
            <w:tcBorders>
              <w:top w:val="single" w:color="auto" w:sz="4" w:space="0"/>
              <w:left w:val="single" w:color="auto" w:sz="4" w:space="0"/>
              <w:bottom w:val="single" w:color="auto" w:sz="4" w:space="0"/>
              <w:right w:val="single" w:color="auto" w:sz="4" w:space="0"/>
            </w:tcBorders>
            <w:vAlign w:val="center"/>
          </w:tcPr>
          <w:p w14:paraId="2BED4E1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1EE67F7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05EC2CB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2940270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E3BDB6D">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68CD4E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36</w:t>
            </w:r>
          </w:p>
        </w:tc>
        <w:tc>
          <w:tcPr>
            <w:tcW w:w="834" w:type="pct"/>
            <w:tcBorders>
              <w:top w:val="single" w:color="auto" w:sz="4" w:space="0"/>
              <w:left w:val="single" w:color="auto" w:sz="4" w:space="0"/>
              <w:bottom w:val="single" w:color="auto" w:sz="4" w:space="0"/>
              <w:right w:val="single" w:color="auto" w:sz="4" w:space="0"/>
            </w:tcBorders>
            <w:vAlign w:val="center"/>
          </w:tcPr>
          <w:p w14:paraId="0162B7D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地址描述</w:t>
            </w:r>
          </w:p>
        </w:tc>
        <w:tc>
          <w:tcPr>
            <w:tcW w:w="690" w:type="pct"/>
            <w:tcBorders>
              <w:top w:val="single" w:color="auto" w:sz="4" w:space="0"/>
              <w:left w:val="single" w:color="auto" w:sz="4" w:space="0"/>
              <w:bottom w:val="single" w:color="auto" w:sz="4" w:space="0"/>
              <w:right w:val="single" w:color="auto" w:sz="4" w:space="0"/>
            </w:tcBorders>
            <w:vAlign w:val="center"/>
          </w:tcPr>
          <w:p w14:paraId="4DF5C7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DZMS</w:t>
            </w:r>
          </w:p>
        </w:tc>
        <w:tc>
          <w:tcPr>
            <w:tcW w:w="657" w:type="pct"/>
            <w:tcBorders>
              <w:top w:val="single" w:color="auto" w:sz="4" w:space="0"/>
              <w:left w:val="single" w:color="auto" w:sz="4" w:space="0"/>
              <w:bottom w:val="single" w:color="auto" w:sz="4" w:space="0"/>
              <w:right w:val="single" w:color="auto" w:sz="4" w:space="0"/>
            </w:tcBorders>
            <w:vAlign w:val="center"/>
          </w:tcPr>
          <w:p w14:paraId="2EEDA4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0C9054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14:paraId="10647D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15E42CC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F7B6A42">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5E893E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37</w:t>
            </w:r>
          </w:p>
        </w:tc>
        <w:tc>
          <w:tcPr>
            <w:tcW w:w="834" w:type="pct"/>
            <w:tcBorders>
              <w:top w:val="single" w:color="auto" w:sz="4" w:space="0"/>
              <w:left w:val="single" w:color="auto" w:sz="4" w:space="0"/>
              <w:bottom w:val="single" w:color="auto" w:sz="4" w:space="0"/>
              <w:right w:val="single" w:color="auto" w:sz="4" w:space="0"/>
            </w:tcBorders>
            <w:vAlign w:val="center"/>
          </w:tcPr>
          <w:p w14:paraId="179EDEB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经度坐标</w:t>
            </w:r>
          </w:p>
        </w:tc>
        <w:tc>
          <w:tcPr>
            <w:tcW w:w="690" w:type="pct"/>
            <w:tcBorders>
              <w:top w:val="single" w:color="auto" w:sz="4" w:space="0"/>
              <w:left w:val="single" w:color="auto" w:sz="4" w:space="0"/>
              <w:bottom w:val="single" w:color="auto" w:sz="4" w:space="0"/>
              <w:right w:val="single" w:color="auto" w:sz="4" w:space="0"/>
            </w:tcBorders>
            <w:vAlign w:val="center"/>
          </w:tcPr>
          <w:p w14:paraId="53EAEC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JDZB</w:t>
            </w:r>
          </w:p>
        </w:tc>
        <w:tc>
          <w:tcPr>
            <w:tcW w:w="657" w:type="pct"/>
            <w:tcBorders>
              <w:top w:val="single" w:color="auto" w:sz="4" w:space="0"/>
              <w:left w:val="single" w:color="auto" w:sz="4" w:space="0"/>
              <w:bottom w:val="single" w:color="auto" w:sz="4" w:space="0"/>
              <w:right w:val="single" w:color="auto" w:sz="4" w:space="0"/>
            </w:tcBorders>
            <w:vAlign w:val="center"/>
          </w:tcPr>
          <w:p w14:paraId="03FC00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float</w:t>
            </w:r>
          </w:p>
        </w:tc>
        <w:tc>
          <w:tcPr>
            <w:tcW w:w="617" w:type="pct"/>
            <w:tcBorders>
              <w:top w:val="single" w:color="auto" w:sz="4" w:space="0"/>
              <w:left w:val="single" w:color="auto" w:sz="4" w:space="0"/>
              <w:bottom w:val="single" w:color="auto" w:sz="4" w:space="0"/>
              <w:right w:val="single" w:color="auto" w:sz="4" w:space="0"/>
            </w:tcBorders>
            <w:vAlign w:val="center"/>
          </w:tcPr>
          <w:p w14:paraId="6FB223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573EB0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541CAC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0B32E31">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57FA13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38</w:t>
            </w:r>
          </w:p>
        </w:tc>
        <w:tc>
          <w:tcPr>
            <w:tcW w:w="834" w:type="pct"/>
            <w:tcBorders>
              <w:top w:val="single" w:color="auto" w:sz="4" w:space="0"/>
              <w:left w:val="single" w:color="auto" w:sz="4" w:space="0"/>
              <w:bottom w:val="single" w:color="auto" w:sz="4" w:space="0"/>
              <w:right w:val="single" w:color="auto" w:sz="4" w:space="0"/>
            </w:tcBorders>
            <w:vAlign w:val="center"/>
          </w:tcPr>
          <w:p w14:paraId="698C87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纬度坐标</w:t>
            </w:r>
          </w:p>
        </w:tc>
        <w:tc>
          <w:tcPr>
            <w:tcW w:w="690" w:type="pct"/>
            <w:tcBorders>
              <w:top w:val="single" w:color="auto" w:sz="4" w:space="0"/>
              <w:left w:val="single" w:color="auto" w:sz="4" w:space="0"/>
              <w:bottom w:val="single" w:color="auto" w:sz="4" w:space="0"/>
              <w:right w:val="single" w:color="auto" w:sz="4" w:space="0"/>
            </w:tcBorders>
            <w:vAlign w:val="center"/>
          </w:tcPr>
          <w:p w14:paraId="0A34395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WDZB</w:t>
            </w:r>
          </w:p>
        </w:tc>
        <w:tc>
          <w:tcPr>
            <w:tcW w:w="657" w:type="pct"/>
            <w:tcBorders>
              <w:top w:val="single" w:color="auto" w:sz="4" w:space="0"/>
              <w:left w:val="single" w:color="auto" w:sz="4" w:space="0"/>
              <w:bottom w:val="single" w:color="auto" w:sz="4" w:space="0"/>
              <w:right w:val="single" w:color="auto" w:sz="4" w:space="0"/>
            </w:tcBorders>
            <w:vAlign w:val="center"/>
          </w:tcPr>
          <w:p w14:paraId="237E331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float</w:t>
            </w:r>
          </w:p>
        </w:tc>
        <w:tc>
          <w:tcPr>
            <w:tcW w:w="617" w:type="pct"/>
            <w:tcBorders>
              <w:top w:val="single" w:color="auto" w:sz="4" w:space="0"/>
              <w:left w:val="single" w:color="auto" w:sz="4" w:space="0"/>
              <w:bottom w:val="single" w:color="auto" w:sz="4" w:space="0"/>
              <w:right w:val="single" w:color="auto" w:sz="4" w:space="0"/>
            </w:tcBorders>
            <w:vAlign w:val="center"/>
          </w:tcPr>
          <w:p w14:paraId="4971648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7FC30B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5D0AD1DF">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DE6947E">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2B6D9D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39</w:t>
            </w:r>
          </w:p>
        </w:tc>
        <w:tc>
          <w:tcPr>
            <w:tcW w:w="834" w:type="pct"/>
            <w:tcBorders>
              <w:top w:val="single" w:color="auto" w:sz="4" w:space="0"/>
              <w:left w:val="single" w:color="auto" w:sz="4" w:space="0"/>
              <w:bottom w:val="single" w:color="auto" w:sz="4" w:space="0"/>
              <w:right w:val="single" w:color="auto" w:sz="4" w:space="0"/>
            </w:tcBorders>
            <w:vAlign w:val="center"/>
          </w:tcPr>
          <w:p w14:paraId="168FACF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执法机关名称</w:t>
            </w:r>
          </w:p>
        </w:tc>
        <w:tc>
          <w:tcPr>
            <w:tcW w:w="690" w:type="pct"/>
            <w:tcBorders>
              <w:top w:val="single" w:color="auto" w:sz="4" w:space="0"/>
              <w:left w:val="single" w:color="auto" w:sz="4" w:space="0"/>
              <w:bottom w:val="single" w:color="auto" w:sz="4" w:space="0"/>
              <w:right w:val="single" w:color="auto" w:sz="4" w:space="0"/>
            </w:tcBorders>
            <w:vAlign w:val="center"/>
          </w:tcPr>
          <w:p w14:paraId="59EFE1E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ZFJGMC</w:t>
            </w:r>
          </w:p>
        </w:tc>
        <w:tc>
          <w:tcPr>
            <w:tcW w:w="657" w:type="pct"/>
            <w:tcBorders>
              <w:top w:val="single" w:color="auto" w:sz="4" w:space="0"/>
              <w:left w:val="single" w:color="auto" w:sz="4" w:space="0"/>
              <w:bottom w:val="single" w:color="auto" w:sz="4" w:space="0"/>
              <w:right w:val="single" w:color="auto" w:sz="4" w:space="0"/>
            </w:tcBorders>
            <w:vAlign w:val="center"/>
          </w:tcPr>
          <w:p w14:paraId="222202D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5220D47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4F0438C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6AEF79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E5EF128">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1CBD114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40</w:t>
            </w:r>
          </w:p>
        </w:tc>
        <w:tc>
          <w:tcPr>
            <w:tcW w:w="834" w:type="pct"/>
            <w:tcBorders>
              <w:top w:val="single" w:color="auto" w:sz="4" w:space="0"/>
              <w:left w:val="single" w:color="auto" w:sz="4" w:space="0"/>
              <w:bottom w:val="single" w:color="auto" w:sz="4" w:space="0"/>
              <w:right w:val="single" w:color="auto" w:sz="4" w:space="0"/>
            </w:tcBorders>
            <w:vAlign w:val="center"/>
          </w:tcPr>
          <w:p w14:paraId="0BA808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实施机构名称</w:t>
            </w:r>
          </w:p>
        </w:tc>
        <w:tc>
          <w:tcPr>
            <w:tcW w:w="690" w:type="pct"/>
            <w:tcBorders>
              <w:top w:val="single" w:color="auto" w:sz="4" w:space="0"/>
              <w:left w:val="single" w:color="auto" w:sz="4" w:space="0"/>
              <w:bottom w:val="single" w:color="auto" w:sz="4" w:space="0"/>
              <w:right w:val="single" w:color="auto" w:sz="4" w:space="0"/>
            </w:tcBorders>
            <w:vAlign w:val="center"/>
          </w:tcPr>
          <w:p w14:paraId="34A2BF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SSJGMC</w:t>
            </w:r>
          </w:p>
        </w:tc>
        <w:tc>
          <w:tcPr>
            <w:tcW w:w="657" w:type="pct"/>
            <w:tcBorders>
              <w:top w:val="single" w:color="auto" w:sz="4" w:space="0"/>
              <w:left w:val="single" w:color="auto" w:sz="4" w:space="0"/>
              <w:bottom w:val="single" w:color="auto" w:sz="4" w:space="0"/>
              <w:right w:val="single" w:color="auto" w:sz="4" w:space="0"/>
            </w:tcBorders>
            <w:vAlign w:val="center"/>
          </w:tcPr>
          <w:p w14:paraId="6A942A2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6E13008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73EF34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1238901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489528E7">
      <w:pPr>
        <w:pStyle w:val="8"/>
        <w:rPr>
          <w:rFonts w:hint="eastAsia"/>
          <w:lang w:eastAsia="zh-Hans"/>
        </w:rPr>
      </w:pPr>
      <w:r>
        <w:rPr>
          <w:rFonts w:hint="eastAsia"/>
          <w:lang w:eastAsia="zh-Hans"/>
        </w:rPr>
        <w:t>相关行业数据</w:t>
      </w:r>
    </w:p>
    <w:p w14:paraId="05BB258D">
      <w:pPr>
        <w:pStyle w:val="397"/>
        <w:numPr>
          <w:ilvl w:val="4"/>
          <w:numId w:val="0"/>
        </w:numPr>
        <w:spacing w:before="156" w:after="156" w:line="360" w:lineRule="auto"/>
        <w:ind w:firstLine="480" w:firstLineChars="200"/>
        <w:outlineLvl w:val="9"/>
        <w:rPr>
          <w:rFonts w:hint="eastAsia" w:ascii="宋体" w:hAnsi="宋体" w:eastAsia="宋体" w:cs="宋体"/>
          <w:bCs/>
          <w:sz w:val="24"/>
          <w:szCs w:val="24"/>
        </w:rPr>
      </w:pPr>
      <w:r>
        <w:rPr>
          <w:rFonts w:hint="eastAsia" w:ascii="宋体" w:hAnsi="宋体" w:eastAsia="宋体" w:cs="宋体"/>
          <w:bCs/>
          <w:sz w:val="24"/>
          <w:szCs w:val="24"/>
          <w:lang w:eastAsia="zh-Hans"/>
        </w:rPr>
        <w:t>相关行业数据宜包括城乡建设、市场监管、公安交管、交通运输、自然资源和生态环境等部门与城市运行管理服务评价指标体系相关的数据</w:t>
      </w:r>
      <w:r>
        <w:rPr>
          <w:rFonts w:ascii="宋体" w:hAnsi="宋体" w:eastAsia="宋体" w:cs="宋体"/>
          <w:bCs/>
          <w:sz w:val="24"/>
          <w:szCs w:val="24"/>
          <w:lang w:eastAsia="zh-Hans"/>
        </w:rPr>
        <w:t>。</w:t>
      </w:r>
    </w:p>
    <w:p w14:paraId="4D3C13C9">
      <w:pPr>
        <w:pStyle w:val="8"/>
        <w:rPr>
          <w:rFonts w:hint="eastAsia"/>
          <w:lang w:eastAsia="zh-Hans"/>
        </w:rPr>
      </w:pPr>
      <w:r>
        <w:rPr>
          <w:rFonts w:hint="eastAsia"/>
          <w:lang w:eastAsia="zh-Hans"/>
        </w:rPr>
        <w:t>重点工作数据</w:t>
      </w:r>
    </w:p>
    <w:p w14:paraId="652F29F8">
      <w:pPr>
        <w:ind w:firstLine="480"/>
        <w:rPr>
          <w:rFonts w:hint="eastAsia" w:ascii="宋体" w:hAnsi="宋体" w:eastAsia="宋体"/>
        </w:rPr>
      </w:pPr>
      <w:r>
        <w:rPr>
          <w:rFonts w:hint="eastAsia"/>
        </w:rPr>
        <w:t xml:space="preserve"> </w:t>
      </w:r>
      <w:r>
        <w:rPr>
          <w:rFonts w:hint="eastAsia" w:ascii="宋体" w:hAnsi="宋体" w:eastAsia="宋体"/>
        </w:rPr>
        <w:t>包括国家平台、省级平台下发及市级平台录入的业务指导数据、监督检查数据。</w:t>
      </w:r>
    </w:p>
    <w:tbl>
      <w:tblPr>
        <w:tblStyle w:val="90"/>
        <w:tblW w:w="4980" w:type="pct"/>
        <w:tblInd w:w="23" w:type="dxa"/>
        <w:tblLayout w:type="fixed"/>
        <w:tblCellMar>
          <w:top w:w="0" w:type="dxa"/>
          <w:left w:w="0" w:type="dxa"/>
          <w:bottom w:w="0" w:type="dxa"/>
          <w:right w:w="0" w:type="dxa"/>
        </w:tblCellMar>
      </w:tblPr>
      <w:tblGrid>
        <w:gridCol w:w="541"/>
        <w:gridCol w:w="1292"/>
        <w:gridCol w:w="1292"/>
        <w:gridCol w:w="1294"/>
        <w:gridCol w:w="1294"/>
        <w:gridCol w:w="1292"/>
        <w:gridCol w:w="1299"/>
      </w:tblGrid>
      <w:tr w14:paraId="0DB15725">
        <w:tblPrEx>
          <w:tblCellMar>
            <w:top w:w="0" w:type="dxa"/>
            <w:left w:w="0" w:type="dxa"/>
            <w:bottom w:w="0" w:type="dxa"/>
            <w:right w:w="0" w:type="dxa"/>
          </w:tblCellMar>
        </w:tblPrEx>
        <w:trPr>
          <w:trHeight w:val="272" w:hRule="atLeast"/>
          <w:tblHeader/>
        </w:trPr>
        <w:tc>
          <w:tcPr>
            <w:tcW w:w="5000" w:type="pct"/>
            <w:gridSpan w:val="7"/>
            <w:tcBorders>
              <w:top w:val="nil"/>
              <w:left w:val="nil"/>
              <w:bottom w:val="single" w:color="000000" w:sz="4" w:space="0"/>
              <w:right w:val="nil"/>
            </w:tcBorders>
            <w:tcMar>
              <w:top w:w="15" w:type="dxa"/>
              <w:left w:w="15" w:type="dxa"/>
              <w:right w:w="15" w:type="dxa"/>
            </w:tcMar>
            <w:vAlign w:val="center"/>
          </w:tcPr>
          <w:p w14:paraId="2602CC3D">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color w:val="000000"/>
                <w:kern w:val="0"/>
                <w:sz w:val="24"/>
                <w:lang w:bidi="ar"/>
              </w:rPr>
            </w:pPr>
            <w:r>
              <w:rPr>
                <w:rFonts w:hint="eastAsia" w:ascii="宋体" w:hAnsi="宋体" w:cs="黑体"/>
                <w:sz w:val="24"/>
                <w:lang w:eastAsia="zh-Hans"/>
              </w:rPr>
              <w:t>重点工作主要数据项</w:t>
            </w:r>
          </w:p>
        </w:tc>
      </w:tr>
      <w:tr w14:paraId="50CEDD09">
        <w:tblPrEx>
          <w:tblCellMar>
            <w:top w:w="0" w:type="dxa"/>
            <w:left w:w="0" w:type="dxa"/>
            <w:bottom w:w="0" w:type="dxa"/>
            <w:right w:w="0" w:type="dxa"/>
          </w:tblCellMar>
        </w:tblPrEx>
        <w:trPr>
          <w:trHeight w:val="272" w:hRule="atLeast"/>
          <w:tblHeader/>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1E4C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序号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A6FA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字段名称</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E5E2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字段代码</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9D4B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字段类型</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3BE9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字段长度</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64E6D">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约束/条件</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0358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说明</w:t>
            </w:r>
          </w:p>
        </w:tc>
      </w:tr>
      <w:tr w14:paraId="51C66458">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0976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1</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B2A4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重点工作文号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1A2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ZDGZWH</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692F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B5D1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56B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4A8A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6DEACF14">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8054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2</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5AA4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工作类型</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107CF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GZLX</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70AA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int</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4A8DD">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E2052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M</w:t>
            </w:r>
          </w:p>
        </w:tc>
        <w:tc>
          <w:tcPr>
            <w:tcW w:w="778" w:type="pct"/>
            <w:tcBorders>
              <w:top w:val="single" w:color="000000" w:sz="4" w:space="0"/>
              <w:left w:val="single" w:color="000000" w:sz="4" w:space="0"/>
              <w:right w:val="single" w:color="000000" w:sz="4" w:space="0"/>
            </w:tcBorders>
            <w:tcMar>
              <w:top w:w="15" w:type="dxa"/>
              <w:left w:w="15" w:type="dxa"/>
              <w:right w:w="15" w:type="dxa"/>
            </w:tcMar>
            <w:vAlign w:val="center"/>
          </w:tcPr>
          <w:p w14:paraId="57488E3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kern w:val="0"/>
                <w:lang w:bidi="ar"/>
              </w:rPr>
              <w:t>1</w:t>
            </w:r>
            <w:r>
              <w:rPr>
                <w:rFonts w:hint="default" w:ascii="宋体" w:hAnsi="宋体" w:eastAsia="宋体"/>
                <w:color w:val="000000"/>
                <w:kern w:val="0"/>
                <w:lang w:bidi="ar"/>
              </w:rPr>
              <w:t>：</w:t>
            </w:r>
            <w:r>
              <w:rPr>
                <w:rFonts w:hint="eastAsia" w:ascii="宋体" w:hAnsi="宋体" w:eastAsia="宋体"/>
                <w:color w:val="000000"/>
                <w:kern w:val="0"/>
                <w:lang w:bidi="ar"/>
              </w:rPr>
              <w:t>专项工作</w:t>
            </w:r>
            <w:r>
              <w:rPr>
                <w:rFonts w:hint="default" w:ascii="宋体" w:hAnsi="宋体" w:eastAsia="宋体"/>
                <w:color w:val="000000"/>
                <w:kern w:val="0"/>
                <w:lang w:bidi="ar"/>
              </w:rPr>
              <w:t>；</w:t>
            </w:r>
          </w:p>
          <w:p w14:paraId="12601C6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kern w:val="0"/>
                <w:lang w:bidi="ar"/>
              </w:rPr>
              <w:t>2</w:t>
            </w:r>
            <w:r>
              <w:rPr>
                <w:rFonts w:hint="default" w:ascii="宋体" w:hAnsi="宋体" w:eastAsia="宋体"/>
                <w:color w:val="000000"/>
                <w:kern w:val="0"/>
                <w:lang w:bidi="ar"/>
              </w:rPr>
              <w:t>：</w:t>
            </w:r>
            <w:r>
              <w:rPr>
                <w:rFonts w:hint="eastAsia" w:ascii="宋体" w:hAnsi="宋体" w:eastAsia="宋体"/>
                <w:color w:val="000000"/>
                <w:kern w:val="0"/>
                <w:lang w:bidi="ar"/>
              </w:rPr>
              <w:t>督办件</w:t>
            </w:r>
          </w:p>
        </w:tc>
      </w:tr>
      <w:tr w14:paraId="229AB62D">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187B4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3</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E510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工作</w:t>
            </w:r>
            <w:r>
              <w:rPr>
                <w:rFonts w:hint="eastAsia" w:ascii="宋体" w:hAnsi="宋体" w:eastAsia="宋体"/>
                <w:lang w:eastAsia="zh-Hans"/>
              </w:rPr>
              <w:t>标题</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11365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GZBT</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453C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EEA3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6F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3E974">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p>
        </w:tc>
      </w:tr>
      <w:tr w14:paraId="36C10A37">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8388ED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4</w:t>
            </w: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0041BB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工作内容</w:t>
            </w: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D16B44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GZNR</w:t>
            </w:r>
          </w:p>
        </w:tc>
        <w:tc>
          <w:tcPr>
            <w:tcW w:w="77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CDC7EB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77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7DF781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1000</w:t>
            </w: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A4EB2A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0CB864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p>
        </w:tc>
      </w:tr>
      <w:tr w14:paraId="3A8975A2">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841D53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5</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637A2D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联系人</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9218BD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LXR</w:t>
            </w:r>
          </w:p>
        </w:tc>
        <w:tc>
          <w:tcPr>
            <w:tcW w:w="77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480D30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C32932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0</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E89F7C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22CE1D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30687CBC">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209F75F">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6</w:t>
            </w:r>
          </w:p>
        </w:tc>
        <w:tc>
          <w:tcPr>
            <w:tcW w:w="778" w:type="pct"/>
            <w:tcBorders>
              <w:top w:val="single" w:color="auto" w:sz="4" w:space="0"/>
              <w:left w:val="single" w:color="auto" w:sz="4" w:space="0"/>
              <w:bottom w:val="single" w:color="auto" w:sz="4" w:space="0"/>
              <w:right w:val="single" w:color="auto" w:sz="4" w:space="0"/>
            </w:tcBorders>
            <w:vAlign w:val="center"/>
          </w:tcPr>
          <w:p w14:paraId="12FD0D4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联系电话</w:t>
            </w:r>
          </w:p>
        </w:tc>
        <w:tc>
          <w:tcPr>
            <w:tcW w:w="778" w:type="pct"/>
            <w:tcBorders>
              <w:top w:val="single" w:color="auto" w:sz="4" w:space="0"/>
              <w:left w:val="single" w:color="auto" w:sz="4" w:space="0"/>
              <w:bottom w:val="single" w:color="auto" w:sz="4" w:space="0"/>
              <w:right w:val="single" w:color="auto" w:sz="4" w:space="0"/>
            </w:tcBorders>
            <w:vAlign w:val="center"/>
          </w:tcPr>
          <w:p w14:paraId="190F05B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LXDH</w:t>
            </w:r>
          </w:p>
        </w:tc>
        <w:tc>
          <w:tcPr>
            <w:tcW w:w="779" w:type="pct"/>
            <w:tcBorders>
              <w:top w:val="single" w:color="auto" w:sz="4" w:space="0"/>
              <w:left w:val="single" w:color="auto" w:sz="4" w:space="0"/>
              <w:bottom w:val="single" w:color="auto" w:sz="4" w:space="0"/>
              <w:right w:val="single" w:color="auto" w:sz="4" w:space="0"/>
            </w:tcBorders>
            <w:vAlign w:val="center"/>
          </w:tcPr>
          <w:p w14:paraId="363A022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779" w:type="pct"/>
            <w:tcBorders>
              <w:top w:val="single" w:color="auto" w:sz="4" w:space="0"/>
              <w:left w:val="single" w:color="auto" w:sz="4" w:space="0"/>
              <w:bottom w:val="single" w:color="auto" w:sz="4" w:space="0"/>
              <w:right w:val="single" w:color="auto" w:sz="4" w:space="0"/>
            </w:tcBorders>
            <w:vAlign w:val="center"/>
          </w:tcPr>
          <w:p w14:paraId="21377B0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8" w:type="pct"/>
            <w:tcBorders>
              <w:top w:val="single" w:color="auto" w:sz="4" w:space="0"/>
              <w:left w:val="single" w:color="auto" w:sz="4" w:space="0"/>
              <w:bottom w:val="single" w:color="auto" w:sz="4" w:space="0"/>
              <w:right w:val="single" w:color="auto" w:sz="4" w:space="0"/>
            </w:tcBorders>
            <w:vAlign w:val="center"/>
          </w:tcPr>
          <w:p w14:paraId="722D5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72A95F7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3C8D8E29">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65A5841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7</w:t>
            </w:r>
          </w:p>
        </w:tc>
        <w:tc>
          <w:tcPr>
            <w:tcW w:w="778" w:type="pct"/>
            <w:tcBorders>
              <w:top w:val="single" w:color="auto" w:sz="4" w:space="0"/>
              <w:left w:val="single" w:color="auto" w:sz="4" w:space="0"/>
              <w:bottom w:val="single" w:color="auto" w:sz="4" w:space="0"/>
              <w:right w:val="single" w:color="auto" w:sz="4" w:space="0"/>
            </w:tcBorders>
            <w:vAlign w:val="center"/>
          </w:tcPr>
          <w:p w14:paraId="230DB13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创建时间</w:t>
            </w:r>
          </w:p>
        </w:tc>
        <w:tc>
          <w:tcPr>
            <w:tcW w:w="778" w:type="pct"/>
            <w:tcBorders>
              <w:top w:val="single" w:color="auto" w:sz="4" w:space="0"/>
              <w:left w:val="single" w:color="auto" w:sz="4" w:space="0"/>
              <w:bottom w:val="single" w:color="auto" w:sz="4" w:space="0"/>
              <w:right w:val="single" w:color="auto" w:sz="4" w:space="0"/>
            </w:tcBorders>
            <w:vAlign w:val="center"/>
          </w:tcPr>
          <w:p w14:paraId="0AA8AA6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CJSJ</w:t>
            </w:r>
          </w:p>
        </w:tc>
        <w:tc>
          <w:tcPr>
            <w:tcW w:w="779" w:type="pct"/>
            <w:tcBorders>
              <w:top w:val="single" w:color="auto" w:sz="4" w:space="0"/>
              <w:left w:val="single" w:color="auto" w:sz="4" w:space="0"/>
              <w:bottom w:val="single" w:color="auto" w:sz="4" w:space="0"/>
              <w:right w:val="single" w:color="auto" w:sz="4" w:space="0"/>
            </w:tcBorders>
            <w:vAlign w:val="center"/>
          </w:tcPr>
          <w:p w14:paraId="4719A71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440EE0B3">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4458752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1076419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0C22A57E">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381B140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8</w:t>
            </w:r>
          </w:p>
        </w:tc>
        <w:tc>
          <w:tcPr>
            <w:tcW w:w="778" w:type="pct"/>
            <w:tcBorders>
              <w:top w:val="single" w:color="auto" w:sz="4" w:space="0"/>
              <w:left w:val="single" w:color="auto" w:sz="4" w:space="0"/>
              <w:bottom w:val="single" w:color="auto" w:sz="4" w:space="0"/>
              <w:right w:val="single" w:color="auto" w:sz="4" w:space="0"/>
            </w:tcBorders>
            <w:vAlign w:val="center"/>
          </w:tcPr>
          <w:p w14:paraId="746274D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开始时间</w:t>
            </w:r>
          </w:p>
        </w:tc>
        <w:tc>
          <w:tcPr>
            <w:tcW w:w="778" w:type="pct"/>
            <w:tcBorders>
              <w:top w:val="single" w:color="auto" w:sz="4" w:space="0"/>
              <w:left w:val="single" w:color="auto" w:sz="4" w:space="0"/>
              <w:bottom w:val="single" w:color="auto" w:sz="4" w:space="0"/>
              <w:right w:val="single" w:color="auto" w:sz="4" w:space="0"/>
            </w:tcBorders>
            <w:vAlign w:val="center"/>
          </w:tcPr>
          <w:p w14:paraId="31CDF9A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KSSJ</w:t>
            </w:r>
          </w:p>
        </w:tc>
        <w:tc>
          <w:tcPr>
            <w:tcW w:w="779" w:type="pct"/>
            <w:tcBorders>
              <w:top w:val="single" w:color="auto" w:sz="4" w:space="0"/>
              <w:left w:val="single" w:color="auto" w:sz="4" w:space="0"/>
              <w:bottom w:val="single" w:color="auto" w:sz="4" w:space="0"/>
              <w:right w:val="single" w:color="auto" w:sz="4" w:space="0"/>
            </w:tcBorders>
            <w:vAlign w:val="center"/>
          </w:tcPr>
          <w:p w14:paraId="074C2BE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1AF44FEE">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0585086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5311561D">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6F3B2845">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0AB5079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9</w:t>
            </w:r>
          </w:p>
        </w:tc>
        <w:tc>
          <w:tcPr>
            <w:tcW w:w="778" w:type="pct"/>
            <w:tcBorders>
              <w:top w:val="single" w:color="auto" w:sz="4" w:space="0"/>
              <w:left w:val="single" w:color="auto" w:sz="4" w:space="0"/>
              <w:bottom w:val="single" w:color="auto" w:sz="4" w:space="0"/>
              <w:right w:val="single" w:color="auto" w:sz="4" w:space="0"/>
            </w:tcBorders>
            <w:vAlign w:val="center"/>
          </w:tcPr>
          <w:p w14:paraId="7661D2A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截止时间</w:t>
            </w:r>
          </w:p>
        </w:tc>
        <w:tc>
          <w:tcPr>
            <w:tcW w:w="778" w:type="pct"/>
            <w:tcBorders>
              <w:top w:val="single" w:color="auto" w:sz="4" w:space="0"/>
              <w:left w:val="single" w:color="auto" w:sz="4" w:space="0"/>
              <w:bottom w:val="single" w:color="auto" w:sz="4" w:space="0"/>
              <w:right w:val="single" w:color="auto" w:sz="4" w:space="0"/>
            </w:tcBorders>
            <w:vAlign w:val="center"/>
          </w:tcPr>
          <w:p w14:paraId="5C46474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JZSJ</w:t>
            </w:r>
          </w:p>
        </w:tc>
        <w:tc>
          <w:tcPr>
            <w:tcW w:w="779" w:type="pct"/>
            <w:tcBorders>
              <w:top w:val="single" w:color="auto" w:sz="4" w:space="0"/>
              <w:left w:val="single" w:color="auto" w:sz="4" w:space="0"/>
              <w:bottom w:val="single" w:color="auto" w:sz="4" w:space="0"/>
              <w:right w:val="single" w:color="auto" w:sz="4" w:space="0"/>
            </w:tcBorders>
            <w:vAlign w:val="center"/>
          </w:tcPr>
          <w:p w14:paraId="7BA4E5B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02D0F0C9">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0D964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3448965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50845759">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224356E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0</w:t>
            </w:r>
          </w:p>
        </w:tc>
        <w:tc>
          <w:tcPr>
            <w:tcW w:w="778" w:type="pct"/>
            <w:tcBorders>
              <w:top w:val="single" w:color="auto" w:sz="4" w:space="0"/>
              <w:left w:val="single" w:color="auto" w:sz="4" w:space="0"/>
              <w:bottom w:val="single" w:color="auto" w:sz="4" w:space="0"/>
              <w:right w:val="single" w:color="auto" w:sz="4" w:space="0"/>
            </w:tcBorders>
            <w:vAlign w:val="center"/>
          </w:tcPr>
          <w:p w14:paraId="0F8F0EC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发送时间</w:t>
            </w:r>
          </w:p>
        </w:tc>
        <w:tc>
          <w:tcPr>
            <w:tcW w:w="778" w:type="pct"/>
            <w:tcBorders>
              <w:top w:val="single" w:color="auto" w:sz="4" w:space="0"/>
              <w:left w:val="single" w:color="auto" w:sz="4" w:space="0"/>
              <w:bottom w:val="single" w:color="auto" w:sz="4" w:space="0"/>
              <w:right w:val="single" w:color="auto" w:sz="4" w:space="0"/>
            </w:tcBorders>
            <w:vAlign w:val="center"/>
          </w:tcPr>
          <w:p w14:paraId="07AEDB3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FSSJ</w:t>
            </w:r>
          </w:p>
        </w:tc>
        <w:tc>
          <w:tcPr>
            <w:tcW w:w="779" w:type="pct"/>
            <w:tcBorders>
              <w:top w:val="single" w:color="auto" w:sz="4" w:space="0"/>
              <w:left w:val="single" w:color="auto" w:sz="4" w:space="0"/>
              <w:bottom w:val="single" w:color="auto" w:sz="4" w:space="0"/>
              <w:right w:val="single" w:color="auto" w:sz="4" w:space="0"/>
            </w:tcBorders>
            <w:vAlign w:val="center"/>
          </w:tcPr>
          <w:p w14:paraId="16BEEEE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033197EC">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6EACA34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488F063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101917AA">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7AE852A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11</w:t>
            </w:r>
          </w:p>
        </w:tc>
        <w:tc>
          <w:tcPr>
            <w:tcW w:w="778" w:type="pct"/>
            <w:tcBorders>
              <w:top w:val="single" w:color="auto" w:sz="4" w:space="0"/>
              <w:left w:val="single" w:color="auto" w:sz="4" w:space="0"/>
              <w:bottom w:val="single" w:color="auto" w:sz="4" w:space="0"/>
              <w:right w:val="single" w:color="auto" w:sz="4" w:space="0"/>
            </w:tcBorders>
            <w:vAlign w:val="center"/>
          </w:tcPr>
          <w:p w14:paraId="1C680C7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办结时间</w:t>
            </w:r>
          </w:p>
        </w:tc>
        <w:tc>
          <w:tcPr>
            <w:tcW w:w="778" w:type="pct"/>
            <w:tcBorders>
              <w:top w:val="single" w:color="auto" w:sz="4" w:space="0"/>
              <w:left w:val="single" w:color="auto" w:sz="4" w:space="0"/>
              <w:bottom w:val="single" w:color="auto" w:sz="4" w:space="0"/>
              <w:right w:val="single" w:color="auto" w:sz="4" w:space="0"/>
            </w:tcBorders>
            <w:vAlign w:val="center"/>
          </w:tcPr>
          <w:p w14:paraId="5D133A5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BJSJ</w:t>
            </w:r>
          </w:p>
        </w:tc>
        <w:tc>
          <w:tcPr>
            <w:tcW w:w="779" w:type="pct"/>
            <w:tcBorders>
              <w:top w:val="single" w:color="auto" w:sz="4" w:space="0"/>
              <w:left w:val="single" w:color="auto" w:sz="4" w:space="0"/>
              <w:bottom w:val="single" w:color="auto" w:sz="4" w:space="0"/>
              <w:right w:val="single" w:color="auto" w:sz="4" w:space="0"/>
            </w:tcBorders>
            <w:vAlign w:val="center"/>
          </w:tcPr>
          <w:p w14:paraId="281D029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3B776E7F">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5D18984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0C1D88AA">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69BC570A">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09315FC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2</w:t>
            </w:r>
          </w:p>
        </w:tc>
        <w:tc>
          <w:tcPr>
            <w:tcW w:w="778" w:type="pct"/>
            <w:tcBorders>
              <w:top w:val="single" w:color="auto" w:sz="4" w:space="0"/>
              <w:left w:val="single" w:color="auto" w:sz="4" w:space="0"/>
              <w:bottom w:val="single" w:color="auto" w:sz="4" w:space="0"/>
              <w:right w:val="single" w:color="auto" w:sz="4" w:space="0"/>
            </w:tcBorders>
            <w:vAlign w:val="center"/>
          </w:tcPr>
          <w:p w14:paraId="526CBA0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抄送单位名称集合</w:t>
            </w:r>
          </w:p>
        </w:tc>
        <w:tc>
          <w:tcPr>
            <w:tcW w:w="778" w:type="pct"/>
            <w:tcBorders>
              <w:top w:val="single" w:color="auto" w:sz="4" w:space="0"/>
              <w:left w:val="single" w:color="auto" w:sz="4" w:space="0"/>
              <w:bottom w:val="single" w:color="auto" w:sz="4" w:space="0"/>
              <w:right w:val="single" w:color="auto" w:sz="4" w:space="0"/>
            </w:tcBorders>
            <w:vAlign w:val="center"/>
          </w:tcPr>
          <w:p w14:paraId="78D55F8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CSDWMCJH</w:t>
            </w:r>
          </w:p>
        </w:tc>
        <w:tc>
          <w:tcPr>
            <w:tcW w:w="779" w:type="pct"/>
            <w:tcBorders>
              <w:top w:val="single" w:color="auto" w:sz="4" w:space="0"/>
              <w:left w:val="single" w:color="auto" w:sz="4" w:space="0"/>
              <w:bottom w:val="single" w:color="auto" w:sz="4" w:space="0"/>
              <w:right w:val="single" w:color="auto" w:sz="4" w:space="0"/>
            </w:tcBorders>
            <w:vAlign w:val="center"/>
          </w:tcPr>
          <w:p w14:paraId="49F9977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vAlign w:val="center"/>
          </w:tcPr>
          <w:p w14:paraId="4A734A1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500</w:t>
            </w:r>
          </w:p>
        </w:tc>
        <w:tc>
          <w:tcPr>
            <w:tcW w:w="778" w:type="pct"/>
            <w:tcBorders>
              <w:top w:val="single" w:color="auto" w:sz="4" w:space="0"/>
              <w:left w:val="single" w:color="auto" w:sz="4" w:space="0"/>
              <w:bottom w:val="single" w:color="auto" w:sz="4" w:space="0"/>
              <w:right w:val="single" w:color="auto" w:sz="4" w:space="0"/>
            </w:tcBorders>
            <w:vAlign w:val="center"/>
          </w:tcPr>
          <w:p w14:paraId="2742B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2E2A347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6C58BA58">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3A76FB6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13</w:t>
            </w:r>
          </w:p>
        </w:tc>
        <w:tc>
          <w:tcPr>
            <w:tcW w:w="778" w:type="pct"/>
            <w:tcBorders>
              <w:top w:val="single" w:color="auto" w:sz="4" w:space="0"/>
              <w:left w:val="single" w:color="auto" w:sz="4" w:space="0"/>
              <w:bottom w:val="single" w:color="auto" w:sz="4" w:space="0"/>
              <w:right w:val="single" w:color="auto" w:sz="4" w:space="0"/>
            </w:tcBorders>
            <w:vAlign w:val="center"/>
          </w:tcPr>
          <w:p w14:paraId="57DBE11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状态</w:t>
            </w:r>
          </w:p>
        </w:tc>
        <w:tc>
          <w:tcPr>
            <w:tcW w:w="778" w:type="pct"/>
            <w:tcBorders>
              <w:top w:val="single" w:color="auto" w:sz="4" w:space="0"/>
              <w:left w:val="single" w:color="auto" w:sz="4" w:space="0"/>
              <w:bottom w:val="single" w:color="auto" w:sz="4" w:space="0"/>
              <w:right w:val="single" w:color="auto" w:sz="4" w:space="0"/>
            </w:tcBorders>
            <w:vAlign w:val="center"/>
          </w:tcPr>
          <w:p w14:paraId="68D0ECB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ZT</w:t>
            </w:r>
          </w:p>
        </w:tc>
        <w:tc>
          <w:tcPr>
            <w:tcW w:w="779" w:type="pct"/>
            <w:tcBorders>
              <w:top w:val="single" w:color="auto" w:sz="4" w:space="0"/>
              <w:left w:val="single" w:color="auto" w:sz="4" w:space="0"/>
              <w:bottom w:val="single" w:color="auto" w:sz="4" w:space="0"/>
              <w:right w:val="single" w:color="auto" w:sz="4" w:space="0"/>
            </w:tcBorders>
            <w:vAlign w:val="center"/>
          </w:tcPr>
          <w:p w14:paraId="19E723B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int</w:t>
            </w:r>
          </w:p>
        </w:tc>
        <w:tc>
          <w:tcPr>
            <w:tcW w:w="779" w:type="pct"/>
            <w:tcBorders>
              <w:top w:val="single" w:color="auto" w:sz="4" w:space="0"/>
              <w:left w:val="single" w:color="auto" w:sz="4" w:space="0"/>
              <w:bottom w:val="single" w:color="auto" w:sz="4" w:space="0"/>
              <w:right w:val="single" w:color="auto" w:sz="4" w:space="0"/>
            </w:tcBorders>
            <w:vAlign w:val="center"/>
          </w:tcPr>
          <w:p w14:paraId="191D3B86">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0FCCB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7D4AD4D7">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1：部待下发；</w:t>
            </w:r>
          </w:p>
          <w:p w14:paraId="2263B512">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2：省待下发；</w:t>
            </w:r>
          </w:p>
          <w:p w14:paraId="35608B79">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3：市待报送；</w:t>
            </w:r>
          </w:p>
          <w:p w14:paraId="0DC08FA6">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4：省待报送；</w:t>
            </w:r>
          </w:p>
          <w:p w14:paraId="3D1D108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rPr>
              <w:t>5</w:t>
            </w:r>
            <w:r>
              <w:rPr>
                <w:rFonts w:hint="default" w:ascii="宋体" w:hAnsi="宋体" w:eastAsia="宋体"/>
              </w:rPr>
              <w:t>：办结</w:t>
            </w:r>
          </w:p>
        </w:tc>
      </w:tr>
    </w:tbl>
    <w:p w14:paraId="1517D35D">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重点工作操作记录主要数据项</w:t>
      </w:r>
    </w:p>
    <w:tbl>
      <w:tblPr>
        <w:tblStyle w:val="90"/>
        <w:tblW w:w="4980" w:type="pct"/>
        <w:tblInd w:w="23" w:type="dxa"/>
        <w:tblLayout w:type="fixed"/>
        <w:tblCellMar>
          <w:top w:w="0" w:type="dxa"/>
          <w:left w:w="0" w:type="dxa"/>
          <w:bottom w:w="0" w:type="dxa"/>
          <w:right w:w="0" w:type="dxa"/>
        </w:tblCellMar>
      </w:tblPr>
      <w:tblGrid>
        <w:gridCol w:w="541"/>
        <w:gridCol w:w="1292"/>
        <w:gridCol w:w="1293"/>
        <w:gridCol w:w="1295"/>
        <w:gridCol w:w="1295"/>
        <w:gridCol w:w="1293"/>
        <w:gridCol w:w="1293"/>
      </w:tblGrid>
      <w:tr w14:paraId="2A73569E">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E9F7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序号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B06A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字段名称</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C6AF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字段代码</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D952D">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字段类型</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210C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字段长度</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786C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约束/条件</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1E62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说明</w:t>
            </w:r>
          </w:p>
        </w:tc>
      </w:tr>
      <w:tr w14:paraId="3BE730DA">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E974A">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1</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CB889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重点工作</w:t>
            </w:r>
            <w:r>
              <w:rPr>
                <w:rFonts w:hint="eastAsia" w:ascii="宋体" w:hAnsi="宋体" w:eastAsia="宋体"/>
                <w:lang w:eastAsia="zh-Hans"/>
              </w:rPr>
              <w:t>文号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0A8013A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ZDGZWH</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27D6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7B48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F8461">
            <w:pPr>
              <w:keepNext w:val="0"/>
              <w:keepLines w:val="0"/>
              <w:widowControl/>
              <w:suppressLineNumbers w:val="0"/>
              <w:spacing w:before="0" w:beforeAutospacing="0" w:after="0" w:afterAutospacing="0"/>
              <w:ind w:left="0" w:right="0"/>
              <w:jc w:val="center"/>
              <w:textAlignment w:val="bottom"/>
              <w:rPr>
                <w:rFonts w:hint="eastAsia" w:ascii="宋体" w:hAnsi="宋体" w:eastAsia="宋体"/>
                <w:lang w:eastAsia="zh-Hans"/>
              </w:rPr>
            </w:pPr>
            <w:r>
              <w:rPr>
                <w:rFonts w:hint="eastAsia" w:ascii="宋体" w:hAnsi="宋体" w:eastAsia="宋体"/>
                <w:color w:val="000000"/>
                <w:kern w:val="0"/>
                <w:lang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3F74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文号见表</w:t>
            </w:r>
            <w:r>
              <w:rPr>
                <w:rFonts w:hint="default" w:ascii="宋体" w:hAnsi="宋体" w:eastAsia="宋体"/>
                <w:color w:val="000000"/>
                <w:kern w:val="0"/>
                <w:lang w:eastAsia="zh-Hans" w:bidi="ar"/>
              </w:rPr>
              <w:t>6</w:t>
            </w:r>
          </w:p>
        </w:tc>
      </w:tr>
      <w:tr w14:paraId="75BD6A03">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2F59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2</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67B3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操作人员</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516AB51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CZRY</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6518E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86FE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80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B15B4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5F941">
            <w:pPr>
              <w:keepNext w:val="0"/>
              <w:keepLines w:val="0"/>
              <w:suppressLineNumbers w:val="0"/>
              <w:spacing w:before="0" w:beforeAutospacing="0" w:after="0" w:afterAutospacing="0"/>
              <w:ind w:left="0" w:right="0"/>
              <w:jc w:val="center"/>
              <w:rPr>
                <w:rFonts w:hint="eastAsia" w:ascii="宋体" w:hAnsi="宋体" w:eastAsia="宋体"/>
                <w:color w:val="000000"/>
                <w:kern w:val="0"/>
                <w:lang w:eastAsia="zh-Hans" w:bidi="ar"/>
              </w:rPr>
            </w:pPr>
          </w:p>
        </w:tc>
      </w:tr>
      <w:tr w14:paraId="2AC23B19">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4BAF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3</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1458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操作部门</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0E7D859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CZBM</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0DC45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int</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F2B162">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269E8">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4ED0F3">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p>
        </w:tc>
      </w:tr>
      <w:tr w14:paraId="775A7FED">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750C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4</w:t>
            </w:r>
          </w:p>
        </w:tc>
        <w:tc>
          <w:tcPr>
            <w:tcW w:w="778" w:type="pct"/>
            <w:tcBorders>
              <w:top w:val="single" w:color="auto" w:sz="4" w:space="0"/>
              <w:left w:val="single" w:color="auto" w:sz="4" w:space="0"/>
              <w:bottom w:val="single" w:color="auto" w:sz="4" w:space="0"/>
              <w:right w:val="single" w:color="auto" w:sz="4" w:space="0"/>
            </w:tcBorders>
            <w:vAlign w:val="center"/>
          </w:tcPr>
          <w:p w14:paraId="18AECF5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操作</w:t>
            </w:r>
            <w:r>
              <w:rPr>
                <w:rFonts w:hint="eastAsia" w:ascii="宋体" w:hAnsi="宋体" w:eastAsia="宋体"/>
                <w:lang w:eastAsia="zh-Hans"/>
              </w:rPr>
              <w:t>时间</w:t>
            </w:r>
          </w:p>
        </w:tc>
        <w:tc>
          <w:tcPr>
            <w:tcW w:w="778" w:type="pct"/>
            <w:tcBorders>
              <w:top w:val="single" w:color="auto" w:sz="4" w:space="0"/>
              <w:left w:val="single" w:color="auto" w:sz="4" w:space="0"/>
              <w:bottom w:val="single" w:color="auto" w:sz="4" w:space="0"/>
              <w:right w:val="single" w:color="auto" w:sz="4" w:space="0"/>
            </w:tcBorders>
          </w:tcPr>
          <w:p w14:paraId="7127E3F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CZSJ</w:t>
            </w:r>
          </w:p>
        </w:tc>
        <w:tc>
          <w:tcPr>
            <w:tcW w:w="779" w:type="pct"/>
            <w:tcBorders>
              <w:top w:val="single" w:color="auto" w:sz="4" w:space="0"/>
              <w:left w:val="single" w:color="auto" w:sz="4" w:space="0"/>
              <w:bottom w:val="single" w:color="auto" w:sz="4" w:space="0"/>
              <w:right w:val="single" w:color="auto" w:sz="4" w:space="0"/>
            </w:tcBorders>
            <w:vAlign w:val="center"/>
          </w:tcPr>
          <w:p w14:paraId="7D2C720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7DC7BEA8">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5D140D98">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40BA6D6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1541F3EE">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47D489F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5</w:t>
            </w:r>
          </w:p>
        </w:tc>
        <w:tc>
          <w:tcPr>
            <w:tcW w:w="778" w:type="pct"/>
            <w:tcBorders>
              <w:top w:val="single" w:color="auto" w:sz="4" w:space="0"/>
              <w:left w:val="single" w:color="auto" w:sz="4" w:space="0"/>
              <w:bottom w:val="single" w:color="auto" w:sz="4" w:space="0"/>
              <w:right w:val="single" w:color="auto" w:sz="4" w:space="0"/>
            </w:tcBorders>
            <w:vAlign w:val="center"/>
          </w:tcPr>
          <w:p w14:paraId="430B961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下发意见</w:t>
            </w:r>
          </w:p>
        </w:tc>
        <w:tc>
          <w:tcPr>
            <w:tcW w:w="778" w:type="pct"/>
            <w:tcBorders>
              <w:top w:val="single" w:color="auto" w:sz="4" w:space="0"/>
              <w:left w:val="single" w:color="auto" w:sz="4" w:space="0"/>
              <w:bottom w:val="single" w:color="auto" w:sz="4" w:space="0"/>
              <w:right w:val="single" w:color="auto" w:sz="4" w:space="0"/>
            </w:tcBorders>
          </w:tcPr>
          <w:p w14:paraId="1BB3CAE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XFYJ</w:t>
            </w:r>
          </w:p>
        </w:tc>
        <w:tc>
          <w:tcPr>
            <w:tcW w:w="779" w:type="pct"/>
            <w:tcBorders>
              <w:top w:val="single" w:color="auto" w:sz="4" w:space="0"/>
              <w:left w:val="single" w:color="auto" w:sz="4" w:space="0"/>
              <w:bottom w:val="single" w:color="auto" w:sz="4" w:space="0"/>
              <w:right w:val="single" w:color="auto" w:sz="4" w:space="0"/>
            </w:tcBorders>
            <w:vAlign w:val="center"/>
          </w:tcPr>
          <w:p w14:paraId="69FE26B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vAlign w:val="center"/>
          </w:tcPr>
          <w:p w14:paraId="416A7B0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1000</w:t>
            </w:r>
          </w:p>
        </w:tc>
        <w:tc>
          <w:tcPr>
            <w:tcW w:w="778" w:type="pct"/>
            <w:tcBorders>
              <w:top w:val="single" w:color="auto" w:sz="4" w:space="0"/>
              <w:left w:val="single" w:color="auto" w:sz="4" w:space="0"/>
              <w:bottom w:val="single" w:color="auto" w:sz="4" w:space="0"/>
              <w:right w:val="single" w:color="auto" w:sz="4" w:space="0"/>
            </w:tcBorders>
            <w:vAlign w:val="center"/>
          </w:tcPr>
          <w:p w14:paraId="02C8E8E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O</w:t>
            </w:r>
          </w:p>
        </w:tc>
        <w:tc>
          <w:tcPr>
            <w:tcW w:w="778" w:type="pct"/>
            <w:tcBorders>
              <w:top w:val="single" w:color="auto" w:sz="4" w:space="0"/>
              <w:left w:val="single" w:color="auto" w:sz="4" w:space="0"/>
              <w:bottom w:val="single" w:color="auto" w:sz="4" w:space="0"/>
              <w:right w:val="single" w:color="auto" w:sz="4" w:space="0"/>
            </w:tcBorders>
            <w:vAlign w:val="center"/>
          </w:tcPr>
          <w:p w14:paraId="62A52D4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6B5A8608">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34904E9A">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6</w:t>
            </w:r>
          </w:p>
        </w:tc>
        <w:tc>
          <w:tcPr>
            <w:tcW w:w="778" w:type="pct"/>
            <w:tcBorders>
              <w:top w:val="single" w:color="auto" w:sz="4" w:space="0"/>
              <w:left w:val="single" w:color="auto" w:sz="4" w:space="0"/>
              <w:bottom w:val="single" w:color="auto" w:sz="4" w:space="0"/>
              <w:right w:val="single" w:color="auto" w:sz="4" w:space="0"/>
            </w:tcBorders>
            <w:vAlign w:val="center"/>
          </w:tcPr>
          <w:p w14:paraId="30D52E4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报送意见</w:t>
            </w:r>
          </w:p>
        </w:tc>
        <w:tc>
          <w:tcPr>
            <w:tcW w:w="778" w:type="pct"/>
            <w:tcBorders>
              <w:top w:val="single" w:color="auto" w:sz="4" w:space="0"/>
              <w:left w:val="single" w:color="auto" w:sz="4" w:space="0"/>
              <w:bottom w:val="single" w:color="auto" w:sz="4" w:space="0"/>
              <w:right w:val="single" w:color="auto" w:sz="4" w:space="0"/>
            </w:tcBorders>
          </w:tcPr>
          <w:p w14:paraId="0971DBE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BSYJ</w:t>
            </w:r>
          </w:p>
        </w:tc>
        <w:tc>
          <w:tcPr>
            <w:tcW w:w="779" w:type="pct"/>
            <w:tcBorders>
              <w:top w:val="single" w:color="auto" w:sz="4" w:space="0"/>
              <w:left w:val="single" w:color="auto" w:sz="4" w:space="0"/>
              <w:bottom w:val="single" w:color="auto" w:sz="4" w:space="0"/>
              <w:right w:val="single" w:color="auto" w:sz="4" w:space="0"/>
            </w:tcBorders>
            <w:vAlign w:val="center"/>
          </w:tcPr>
          <w:p w14:paraId="2DD9E1D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vAlign w:val="center"/>
          </w:tcPr>
          <w:p w14:paraId="545818E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1000</w:t>
            </w:r>
          </w:p>
        </w:tc>
        <w:tc>
          <w:tcPr>
            <w:tcW w:w="778" w:type="pct"/>
            <w:tcBorders>
              <w:top w:val="single" w:color="auto" w:sz="4" w:space="0"/>
              <w:left w:val="single" w:color="auto" w:sz="4" w:space="0"/>
              <w:bottom w:val="single" w:color="auto" w:sz="4" w:space="0"/>
              <w:right w:val="single" w:color="auto" w:sz="4" w:space="0"/>
            </w:tcBorders>
            <w:vAlign w:val="center"/>
          </w:tcPr>
          <w:p w14:paraId="19E8A7E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O</w:t>
            </w:r>
          </w:p>
        </w:tc>
        <w:tc>
          <w:tcPr>
            <w:tcW w:w="778" w:type="pct"/>
            <w:tcBorders>
              <w:top w:val="single" w:color="auto" w:sz="4" w:space="0"/>
              <w:left w:val="single" w:color="auto" w:sz="4" w:space="0"/>
              <w:bottom w:val="single" w:color="auto" w:sz="4" w:space="0"/>
              <w:right w:val="single" w:color="auto" w:sz="4" w:space="0"/>
            </w:tcBorders>
            <w:vAlign w:val="center"/>
          </w:tcPr>
          <w:p w14:paraId="0BDA7C6D">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bl>
    <w:p w14:paraId="0BF776A3">
      <w:pPr>
        <w:pStyle w:val="2"/>
        <w:ind w:firstLine="480"/>
        <w:rPr>
          <w:rFonts w:hint="eastAsia"/>
        </w:rPr>
      </w:pPr>
    </w:p>
    <w:p w14:paraId="6DBBD950">
      <w:pPr>
        <w:pStyle w:val="7"/>
        <w:rPr>
          <w:rFonts w:hint="eastAsia" w:ascii="宋体" w:hAnsi="宋体" w:eastAsia="宋体"/>
        </w:rPr>
      </w:pPr>
      <w:bookmarkStart w:id="396" w:name="_Toc25405"/>
      <w:r>
        <w:rPr>
          <w:rFonts w:hint="eastAsia" w:ascii="宋体" w:hAnsi="宋体" w:eastAsia="宋体"/>
        </w:rPr>
        <w:t>运行数据</w:t>
      </w:r>
      <w:bookmarkEnd w:id="396"/>
    </w:p>
    <w:p w14:paraId="6D60E1E4">
      <w:pPr>
        <w:ind w:firstLine="480"/>
        <w:rPr>
          <w:rFonts w:hint="eastAsia" w:ascii="宋体" w:hAnsi="宋体" w:eastAsia="宋体"/>
        </w:rPr>
      </w:pPr>
      <w:bookmarkStart w:id="397" w:name="_Toc22475896"/>
      <w:r>
        <w:rPr>
          <w:rFonts w:hint="eastAsia" w:ascii="宋体" w:hAnsi="宋体" w:eastAsia="宋体"/>
        </w:rPr>
        <w:t>运行数据应包括市政设施运行安全监测、房屋建筑安全监测、交通设施安全监测和人员密集区域安全监测等数据，运行数据需保证数据质量，满足数据传输实时性、安全性要求。</w:t>
      </w:r>
    </w:p>
    <w:p w14:paraId="3BE26D1C">
      <w:pPr>
        <w:pStyle w:val="8"/>
        <w:rPr>
          <w:rFonts w:hint="eastAsia"/>
        </w:rPr>
      </w:pPr>
      <w:r>
        <w:rPr>
          <w:rFonts w:hint="eastAsia"/>
        </w:rPr>
        <w:t>监测类基础数据</w:t>
      </w:r>
    </w:p>
    <w:p w14:paraId="45F90AD3">
      <w:pPr>
        <w:ind w:firstLine="480"/>
        <w:rPr>
          <w:rFonts w:hint="eastAsia" w:ascii="宋体" w:hAnsi="宋体" w:eastAsia="宋体"/>
          <w:sz w:val="24"/>
          <w:szCs w:val="28"/>
        </w:rPr>
      </w:pPr>
      <w:r>
        <w:rPr>
          <w:rFonts w:hint="eastAsia" w:ascii="宋体" w:hAnsi="宋体" w:eastAsia="宋体"/>
          <w:sz w:val="24"/>
          <w:szCs w:val="28"/>
        </w:rPr>
        <w:t>监测类基础数据包含监测点位、监测设备、监测项阈值、设备实时监测、设备报警、报警分析和报警关联处置等，提供可复用的主要数据字段，各类设施及监测设备根据实际业务以基础表为标准，将扩展字段与基础表字段数据合并形成新的数据内容，满足业务需要。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14:paraId="1A9A0A3D">
      <w:pPr>
        <w:pStyle w:val="8"/>
        <w:rPr>
          <w:rFonts w:hint="eastAsia"/>
          <w:lang w:eastAsia="zh-Hans"/>
        </w:rPr>
      </w:pPr>
      <w:r>
        <w:rPr>
          <w:rFonts w:hint="eastAsia"/>
          <w:lang w:eastAsia="zh-Hans"/>
        </w:rPr>
        <w:t>市政设施运行安全监测数据</w:t>
      </w:r>
    </w:p>
    <w:p w14:paraId="610F45DD">
      <w:pPr>
        <w:ind w:firstLine="480"/>
        <w:rPr>
          <w:rFonts w:hint="eastAsia" w:ascii="宋体" w:hAnsi="宋体" w:eastAsia="宋体"/>
          <w:sz w:val="24"/>
          <w:szCs w:val="28"/>
        </w:rPr>
      </w:pPr>
      <w:r>
        <w:rPr>
          <w:rFonts w:hint="eastAsia" w:ascii="宋体" w:hAnsi="宋体" w:eastAsia="宋体"/>
          <w:sz w:val="24"/>
          <w:szCs w:val="28"/>
        </w:rPr>
        <w:t>市政设施运行安全监测数据应分为桥梁类、燃气类、供水类、供热类、管廊类和其他等类。具体数据项符合城市运行管理服务平台数据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14:paraId="3CA9FD00">
      <w:pPr>
        <w:pStyle w:val="8"/>
        <w:rPr>
          <w:rFonts w:hint="eastAsia"/>
          <w:lang w:eastAsia="zh-Hans"/>
        </w:rPr>
      </w:pPr>
      <w:r>
        <w:rPr>
          <w:rFonts w:hint="eastAsia"/>
          <w:lang w:eastAsia="zh-Hans"/>
        </w:rPr>
        <w:t>房屋建筑安全监测数据</w:t>
      </w:r>
    </w:p>
    <w:p w14:paraId="5134B720">
      <w:pPr>
        <w:ind w:firstLine="480"/>
        <w:rPr>
          <w:rFonts w:hint="eastAsia" w:ascii="宋体" w:hAnsi="宋体" w:eastAsia="宋体"/>
          <w:bCs/>
          <w:sz w:val="24"/>
          <w:szCs w:val="28"/>
        </w:rPr>
      </w:pPr>
      <w:r>
        <w:rPr>
          <w:rFonts w:hint="eastAsia" w:ascii="宋体" w:hAnsi="宋体" w:eastAsia="宋体"/>
          <w:bCs/>
          <w:sz w:val="24"/>
          <w:szCs w:val="28"/>
        </w:rPr>
        <w:t>房屋建筑安全监测通过多种高精度传感器实时监测建筑的倾斜、沉降、裂缝等数据，提供防控保障，房屋安全监测数据建议参照市政设施运行安全监测数据标准进行建设，统一管理。</w:t>
      </w:r>
      <w:r>
        <w:rPr>
          <w:rFonts w:hint="eastAsia" w:ascii="宋体" w:hAnsi="宋体" w:eastAsia="宋体"/>
          <w:sz w:val="24"/>
          <w:szCs w:val="28"/>
        </w:rPr>
        <w:t>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14:paraId="12FAC739">
      <w:pPr>
        <w:pStyle w:val="8"/>
        <w:rPr>
          <w:rFonts w:hint="eastAsia"/>
          <w:lang w:eastAsia="zh-Hans"/>
        </w:rPr>
      </w:pPr>
      <w:r>
        <w:rPr>
          <w:rFonts w:hint="eastAsia"/>
          <w:lang w:eastAsia="zh-Hans"/>
        </w:rPr>
        <w:t>交通设施安全监测数据</w:t>
      </w:r>
    </w:p>
    <w:p w14:paraId="510DDFF8">
      <w:pPr>
        <w:ind w:firstLine="480"/>
        <w:rPr>
          <w:rFonts w:hint="eastAsia" w:ascii="宋体" w:hAnsi="宋体" w:eastAsia="宋体"/>
          <w:bCs/>
          <w:sz w:val="24"/>
          <w:szCs w:val="28"/>
        </w:rPr>
      </w:pPr>
      <w:r>
        <w:rPr>
          <w:rFonts w:hint="eastAsia" w:ascii="宋体" w:hAnsi="宋体" w:eastAsia="宋体"/>
          <w:bCs/>
          <w:sz w:val="24"/>
          <w:szCs w:val="28"/>
        </w:rPr>
        <w:t>交通设施安全监测数据包括地下空洞隐患排查覆盖率、地面塌陷事故数量</w:t>
      </w:r>
      <w:r>
        <w:rPr>
          <w:rFonts w:ascii="宋体" w:hAnsi="宋体" w:eastAsia="宋体"/>
          <w:bCs/>
          <w:sz w:val="24"/>
          <w:szCs w:val="28"/>
        </w:rPr>
        <w:t>、</w:t>
      </w:r>
      <w:r>
        <w:rPr>
          <w:rFonts w:hint="eastAsia" w:ascii="宋体" w:hAnsi="宋体" w:eastAsia="宋体"/>
          <w:bCs/>
          <w:sz w:val="24"/>
          <w:szCs w:val="28"/>
        </w:rPr>
        <w:t>道路病害隐患检测、道路地面塌陷监测、交通噪声监测、道路积水监测、道路超载监测和桥梁运行安全监测等数据。</w:t>
      </w:r>
      <w:r>
        <w:rPr>
          <w:rFonts w:hint="eastAsia" w:ascii="宋体" w:hAnsi="宋体" w:eastAsia="宋体"/>
          <w:sz w:val="24"/>
          <w:szCs w:val="28"/>
        </w:rPr>
        <w:t>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14:paraId="147C18BC">
      <w:pPr>
        <w:pStyle w:val="8"/>
        <w:rPr>
          <w:rFonts w:hint="eastAsia"/>
        </w:rPr>
      </w:pPr>
      <w:r>
        <w:rPr>
          <w:rFonts w:hint="eastAsia"/>
          <w:lang w:eastAsia="zh-Hans"/>
        </w:rPr>
        <w:t>人员密集区域安全监测</w:t>
      </w:r>
      <w:r>
        <w:rPr>
          <w:rFonts w:hint="eastAsia"/>
        </w:rPr>
        <w:t>数据</w:t>
      </w:r>
    </w:p>
    <w:p w14:paraId="48C9769D">
      <w:pPr>
        <w:ind w:firstLine="480"/>
        <w:rPr>
          <w:rFonts w:hint="eastAsia" w:ascii="宋体" w:hAnsi="宋体" w:eastAsia="宋体"/>
          <w:sz w:val="24"/>
          <w:szCs w:val="24"/>
        </w:rPr>
      </w:pPr>
      <w:r>
        <w:rPr>
          <w:rFonts w:ascii="宋体" w:hAnsi="宋体" w:eastAsia="宋体"/>
          <w:bCs/>
          <w:sz w:val="24"/>
          <w:szCs w:val="24"/>
        </w:rPr>
        <w:t>人员密集区域安全监测数据包括人员密集场所视频监测数据、人员密集场所火灾监测预警数据和大型活动监测预警等数据。</w:t>
      </w:r>
      <w:r>
        <w:rPr>
          <w:rFonts w:hint="eastAsia" w:ascii="宋体" w:hAnsi="宋体" w:eastAsia="宋体"/>
          <w:sz w:val="24"/>
          <w:szCs w:val="24"/>
        </w:rPr>
        <w:t>具体数据项符合城市运行管理服务平台数据</w:t>
      </w:r>
      <w:r>
        <w:rPr>
          <w:rFonts w:ascii="宋体" w:hAnsi="宋体" w:eastAsia="宋体"/>
          <w:sz w:val="24"/>
          <w:szCs w:val="24"/>
        </w:rPr>
        <w:t>标准》（CJJ/T 545 - 2020）</w:t>
      </w:r>
      <w:r>
        <w:rPr>
          <w:rFonts w:hint="eastAsia" w:ascii="宋体" w:hAnsi="宋体" w:eastAsia="宋体"/>
          <w:sz w:val="24"/>
          <w:szCs w:val="24"/>
        </w:rPr>
        <w:t>市级数据的相关标准。</w:t>
      </w:r>
    </w:p>
    <w:p w14:paraId="330A4AAF">
      <w:pPr>
        <w:ind w:firstLine="480"/>
        <w:rPr>
          <w:rFonts w:hint="eastAsia" w:ascii="宋体" w:hAnsi="宋体" w:eastAsia="宋体"/>
          <w:bCs/>
          <w:sz w:val="24"/>
          <w:szCs w:val="24"/>
        </w:rPr>
      </w:pPr>
    </w:p>
    <w:p w14:paraId="5E16753F">
      <w:pPr>
        <w:pStyle w:val="7"/>
        <w:rPr>
          <w:rFonts w:hint="eastAsia" w:ascii="宋体" w:hAnsi="宋体" w:eastAsia="宋体"/>
        </w:rPr>
      </w:pPr>
      <w:bookmarkStart w:id="398" w:name="_Toc25605"/>
      <w:bookmarkStart w:id="399" w:name="_Toc27790"/>
      <w:bookmarkStart w:id="400" w:name="_Toc515893125"/>
      <w:r>
        <w:rPr>
          <w:rFonts w:hint="eastAsia" w:ascii="宋体" w:hAnsi="宋体" w:eastAsia="宋体"/>
        </w:rPr>
        <w:t>服务数据</w:t>
      </w:r>
      <w:bookmarkEnd w:id="398"/>
    </w:p>
    <w:bookmarkEnd w:id="399"/>
    <w:p w14:paraId="3E02777C">
      <w:pPr>
        <w:pStyle w:val="369"/>
        <w:spacing w:line="360" w:lineRule="auto"/>
        <w:ind w:firstLine="480"/>
        <w:rPr>
          <w:rFonts w:hint="eastAsia" w:hAnsi="宋体"/>
          <w:sz w:val="24"/>
          <w:szCs w:val="24"/>
          <w:lang w:eastAsia="zh-Hans"/>
        </w:rPr>
      </w:pPr>
      <w:r>
        <w:rPr>
          <w:rFonts w:hint="eastAsia" w:hAnsi="宋体"/>
          <w:sz w:val="24"/>
          <w:szCs w:val="24"/>
          <w:lang w:eastAsia="zh-Hans"/>
        </w:rPr>
        <w:t>服务数据包括公众诉求数据和便民服务数据，各城市可根据实际需求，拓展或接入与公众服务相关的其他数据。</w:t>
      </w:r>
    </w:p>
    <w:p w14:paraId="5985DABA">
      <w:pPr>
        <w:pStyle w:val="8"/>
        <w:rPr>
          <w:rFonts w:hint="eastAsia"/>
        </w:rPr>
      </w:pPr>
      <w:r>
        <w:rPr>
          <w:rFonts w:hint="eastAsia"/>
        </w:rPr>
        <w:t>公众诉求数据</w:t>
      </w:r>
    </w:p>
    <w:p w14:paraId="45A08933">
      <w:pPr>
        <w:pStyle w:val="369"/>
        <w:spacing w:line="360" w:lineRule="auto"/>
        <w:ind w:firstLine="480"/>
        <w:rPr>
          <w:rFonts w:hint="eastAsia" w:hAnsi="宋体"/>
          <w:sz w:val="24"/>
          <w:szCs w:val="24"/>
          <w:lang w:eastAsia="zh-Hans"/>
        </w:rPr>
      </w:pPr>
      <w:r>
        <w:rPr>
          <w:rFonts w:hint="eastAsia" w:hAnsi="宋体"/>
          <w:sz w:val="24"/>
          <w:szCs w:val="24"/>
          <w:lang w:eastAsia="zh-Hans"/>
        </w:rPr>
        <w:t>主要包括12345/12319服务热线和“全民城管”收集的投诉、咨询和建议类数据。</w:t>
      </w:r>
    </w:p>
    <w:p w14:paraId="121BF102">
      <w:pPr>
        <w:pStyle w:val="369"/>
        <w:spacing w:line="360" w:lineRule="auto"/>
        <w:ind w:firstLine="480"/>
        <w:rPr>
          <w:rFonts w:hint="eastAsia" w:hAnsi="宋体"/>
          <w:sz w:val="24"/>
          <w:szCs w:val="24"/>
          <w:lang w:eastAsia="zh-Hans"/>
        </w:rPr>
      </w:pPr>
      <w:r>
        <w:rPr>
          <w:rFonts w:hint="eastAsia" w:hAnsi="宋体"/>
          <w:sz w:val="24"/>
          <w:szCs w:val="24"/>
          <w:lang w:eastAsia="zh-Hans"/>
        </w:rPr>
        <w:t>公众诉求数据包括受理编号、来源、类型、诉求时间、诉求人，联系电话、内容、位置等信息；</w:t>
      </w:r>
    </w:p>
    <w:p w14:paraId="58CDDE1B">
      <w:pPr>
        <w:pStyle w:val="369"/>
        <w:spacing w:line="360" w:lineRule="auto"/>
        <w:ind w:firstLine="480"/>
        <w:rPr>
          <w:rFonts w:hint="eastAsia" w:hAnsi="宋体"/>
          <w:sz w:val="24"/>
          <w:szCs w:val="24"/>
          <w:lang w:eastAsia="zh-Hans"/>
        </w:rPr>
      </w:pPr>
      <w:r>
        <w:rPr>
          <w:rFonts w:hint="eastAsia" w:hAnsi="宋体"/>
          <w:sz w:val="24"/>
          <w:szCs w:val="24"/>
          <w:lang w:eastAsia="zh-Hans"/>
        </w:rPr>
        <w:t>公众诉求办理数据包括受理编号、处置状态、交办情况、处置情况等信息；</w:t>
      </w:r>
    </w:p>
    <w:p w14:paraId="0C3BAA75">
      <w:pPr>
        <w:pStyle w:val="369"/>
        <w:spacing w:line="360" w:lineRule="auto"/>
        <w:ind w:firstLine="480"/>
        <w:rPr>
          <w:rFonts w:hint="eastAsia" w:hAnsi="宋体"/>
          <w:sz w:val="24"/>
          <w:szCs w:val="24"/>
          <w:lang w:eastAsia="zh-Hans"/>
        </w:rPr>
      </w:pPr>
      <w:r>
        <w:rPr>
          <w:rFonts w:hint="eastAsia" w:hAnsi="宋体"/>
          <w:sz w:val="24"/>
          <w:szCs w:val="24"/>
          <w:lang w:eastAsia="zh-Hans"/>
        </w:rPr>
        <w:t>公众诉求回访数据包括受理编号、回访人、回访记录、满意度等信息。</w:t>
      </w:r>
    </w:p>
    <w:p w14:paraId="010DF225">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p w14:paraId="7A55F29E">
      <w:pPr>
        <w:pStyle w:val="8"/>
        <w:rPr>
          <w:rFonts w:hint="eastAsia"/>
        </w:rPr>
      </w:pPr>
      <w:r>
        <w:rPr>
          <w:rFonts w:hint="eastAsia"/>
        </w:rPr>
        <w:t>便民服务数据</w:t>
      </w:r>
    </w:p>
    <w:p w14:paraId="5F5E6A5D">
      <w:pPr>
        <w:pStyle w:val="369"/>
        <w:spacing w:line="360" w:lineRule="auto"/>
        <w:ind w:firstLine="480"/>
        <w:rPr>
          <w:rFonts w:hint="eastAsia" w:hAnsi="宋体"/>
          <w:sz w:val="24"/>
          <w:szCs w:val="24"/>
          <w:lang w:eastAsia="zh-Hans"/>
        </w:rPr>
      </w:pPr>
      <w:r>
        <w:rPr>
          <w:rFonts w:hint="eastAsia" w:hAnsi="宋体"/>
          <w:sz w:val="24"/>
          <w:szCs w:val="24"/>
          <w:lang w:eastAsia="zh-Hans"/>
        </w:rPr>
        <w:t>主要包括停车（楼）场、公厕、城市公园、过街天桥、地下通  道、政策解读、办事指南、垃圾分类指南、行政审批公开等数据。</w:t>
      </w:r>
    </w:p>
    <w:p w14:paraId="5FD2FCE6">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bookmarkEnd w:id="397"/>
    <w:bookmarkEnd w:id="400"/>
    <w:p w14:paraId="4C0D9EC7">
      <w:pPr>
        <w:pStyle w:val="7"/>
        <w:rPr>
          <w:rFonts w:hint="eastAsia" w:ascii="宋体" w:hAnsi="宋体" w:eastAsia="宋体"/>
        </w:rPr>
      </w:pPr>
      <w:bookmarkStart w:id="401" w:name="_Toc14006"/>
      <w:bookmarkStart w:id="402" w:name="_Toc11381"/>
      <w:r>
        <w:rPr>
          <w:rFonts w:hint="eastAsia" w:ascii="宋体" w:hAnsi="宋体" w:eastAsia="宋体"/>
        </w:rPr>
        <w:t>综合评价数据</w:t>
      </w:r>
      <w:bookmarkEnd w:id="401"/>
    </w:p>
    <w:bookmarkEnd w:id="402"/>
    <w:p w14:paraId="7B50FFBA">
      <w:pPr>
        <w:pStyle w:val="369"/>
        <w:spacing w:line="360" w:lineRule="auto"/>
        <w:ind w:firstLine="480"/>
        <w:rPr>
          <w:rFonts w:hint="eastAsia" w:hAnsi="宋体"/>
          <w:sz w:val="24"/>
          <w:szCs w:val="24"/>
          <w:lang w:eastAsia="zh-Hans"/>
        </w:rPr>
      </w:pPr>
      <w:r>
        <w:rPr>
          <w:rFonts w:hint="eastAsia" w:hAnsi="宋体"/>
          <w:sz w:val="24"/>
          <w:szCs w:val="24"/>
          <w:lang w:eastAsia="zh-Hans"/>
        </w:rPr>
        <w:t>综合评价数据应包括运行评价和管理评价等数据。</w:t>
      </w:r>
    </w:p>
    <w:p w14:paraId="05AB1919">
      <w:pPr>
        <w:pStyle w:val="8"/>
        <w:rPr>
          <w:rFonts w:hint="eastAsia"/>
        </w:rPr>
      </w:pPr>
      <w:r>
        <w:rPr>
          <w:rFonts w:hint="eastAsia"/>
        </w:rPr>
        <w:t>运行评价数据</w:t>
      </w:r>
    </w:p>
    <w:p w14:paraId="6639A860">
      <w:pPr>
        <w:pStyle w:val="369"/>
        <w:spacing w:line="360" w:lineRule="auto"/>
        <w:ind w:firstLine="480"/>
        <w:rPr>
          <w:rFonts w:hint="eastAsia" w:hAnsi="宋体"/>
          <w:sz w:val="24"/>
          <w:szCs w:val="24"/>
          <w:lang w:eastAsia="zh-Hans"/>
        </w:rPr>
      </w:pPr>
      <w:r>
        <w:rPr>
          <w:rFonts w:hint="eastAsia" w:hAnsi="宋体"/>
          <w:sz w:val="24"/>
          <w:szCs w:val="24"/>
          <w:lang w:eastAsia="zh-Hans"/>
        </w:rPr>
        <w:t>运行评价数据应包括市政设施类、房屋建筑类、交通设施类、人员密集区域类和群众获得感等数据</w:t>
      </w:r>
      <w:r>
        <w:rPr>
          <w:rFonts w:hAnsi="宋体"/>
          <w:sz w:val="24"/>
          <w:szCs w:val="24"/>
          <w:lang w:eastAsia="zh-Hans"/>
        </w:rPr>
        <w:t>。</w:t>
      </w:r>
    </w:p>
    <w:p w14:paraId="297C4F7C">
      <w:pPr>
        <w:pStyle w:val="369"/>
        <w:spacing w:line="360" w:lineRule="auto"/>
        <w:ind w:firstLine="480"/>
        <w:rPr>
          <w:rFonts w:hint="eastAsia" w:hAnsi="宋体"/>
          <w:sz w:val="24"/>
          <w:szCs w:val="24"/>
          <w:lang w:eastAsia="zh-Hans"/>
        </w:rPr>
      </w:pPr>
      <w:r>
        <w:rPr>
          <w:rFonts w:hint="eastAsia" w:hAnsi="宋体"/>
          <w:sz w:val="24"/>
          <w:szCs w:val="24"/>
          <w:lang w:eastAsia="zh-Hans"/>
        </w:rPr>
        <w:t>运行评价数据应包含运行评价批次表、运行评价填报表和运行评价结果表等数据。</w:t>
      </w:r>
    </w:p>
    <w:p w14:paraId="3839DC65">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p w14:paraId="648FC166">
      <w:pPr>
        <w:pStyle w:val="8"/>
        <w:rPr>
          <w:rFonts w:hint="eastAsia"/>
        </w:rPr>
      </w:pPr>
      <w:r>
        <w:rPr>
          <w:rFonts w:hint="eastAsia"/>
        </w:rPr>
        <w:t>管理评价数据</w:t>
      </w:r>
    </w:p>
    <w:p w14:paraId="38857D7A">
      <w:pPr>
        <w:pStyle w:val="369"/>
        <w:spacing w:line="360" w:lineRule="auto"/>
        <w:ind w:firstLine="480"/>
        <w:rPr>
          <w:rFonts w:hint="eastAsia" w:hAnsi="宋体"/>
          <w:sz w:val="24"/>
          <w:szCs w:val="24"/>
          <w:lang w:eastAsia="zh-Hans"/>
        </w:rPr>
      </w:pPr>
      <w:r>
        <w:rPr>
          <w:rFonts w:hint="eastAsia" w:hAnsi="宋体"/>
          <w:sz w:val="24"/>
          <w:szCs w:val="24"/>
          <w:lang w:eastAsia="zh-Hans"/>
        </w:rPr>
        <w:t>管理评价数据应包括实地考察、填报、问卷调查、评价结果明细和评价成绩等数据。</w:t>
      </w:r>
    </w:p>
    <w:p w14:paraId="5E2B2A3C">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p w14:paraId="0CCE78F1">
      <w:pPr>
        <w:pStyle w:val="5"/>
        <w:rPr>
          <w:rFonts w:hint="eastAsia"/>
        </w:rPr>
      </w:pPr>
      <w:bookmarkStart w:id="403" w:name="_Toc13811"/>
      <w:r>
        <w:rPr>
          <w:rFonts w:hint="eastAsia"/>
        </w:rPr>
        <w:t>基础设施及应用支撑设计方案</w:t>
      </w:r>
      <w:bookmarkEnd w:id="403"/>
    </w:p>
    <w:p w14:paraId="132AF974">
      <w:pPr>
        <w:spacing w:line="276" w:lineRule="auto"/>
        <w:ind w:firstLine="420"/>
        <w:rPr>
          <w:rFonts w:hint="eastAsia" w:ascii="宋体" w:hAnsi="宋体" w:eastAsia="宋体"/>
          <w:sz w:val="24"/>
          <w:szCs w:val="24"/>
          <w:lang w:val="en-US" w:eastAsia="zh-CN"/>
        </w:rPr>
      </w:pPr>
      <w:r>
        <w:rPr>
          <w:rFonts w:hint="eastAsia" w:ascii="宋体" w:hAnsi="宋体" w:eastAsia="宋体"/>
          <w:sz w:val="24"/>
          <w:szCs w:val="24"/>
          <w:lang w:val="en-US" w:eastAsia="zh-CN"/>
        </w:rPr>
        <w:t>当前，本项目将先租用商务</w:t>
      </w:r>
      <w:r>
        <w:rPr>
          <w:rFonts w:hint="eastAsia" w:ascii="宋体" w:hAnsi="宋体" w:eastAsia="宋体"/>
          <w:sz w:val="24"/>
          <w:szCs w:val="24"/>
        </w:rPr>
        <w:t>云平台</w:t>
      </w:r>
      <w:r>
        <w:rPr>
          <w:rFonts w:hint="eastAsia" w:ascii="宋体" w:hAnsi="宋体" w:eastAsia="宋体"/>
          <w:sz w:val="24"/>
          <w:szCs w:val="24"/>
          <w:lang w:val="en-US" w:eastAsia="zh-CN"/>
        </w:rPr>
        <w:t>服务</w:t>
      </w:r>
      <w:r>
        <w:rPr>
          <w:rFonts w:hint="eastAsia" w:ascii="宋体" w:hAnsi="宋体" w:eastAsia="宋体"/>
          <w:sz w:val="24"/>
          <w:szCs w:val="24"/>
        </w:rPr>
        <w:t>，</w:t>
      </w:r>
      <w:r>
        <w:rPr>
          <w:rFonts w:hint="eastAsia" w:ascii="宋体" w:hAnsi="宋体" w:eastAsia="宋体"/>
          <w:sz w:val="24"/>
          <w:szCs w:val="24"/>
          <w:lang w:val="en-US" w:eastAsia="zh-CN"/>
        </w:rPr>
        <w:t>由商务云平台提供</w:t>
      </w:r>
      <w:r>
        <w:rPr>
          <w:rFonts w:hint="eastAsia" w:ascii="宋体" w:hAnsi="宋体" w:eastAsia="宋体"/>
          <w:sz w:val="24"/>
          <w:szCs w:val="24"/>
        </w:rPr>
        <w:t>相关服务器资源、存储资源、网络设备配套服务</w:t>
      </w:r>
      <w:r>
        <w:rPr>
          <w:rFonts w:hint="eastAsia" w:ascii="宋体" w:hAnsi="宋体" w:eastAsia="宋体"/>
          <w:sz w:val="24"/>
          <w:szCs w:val="24"/>
          <w:lang w:eastAsia="zh-CN"/>
        </w:rPr>
        <w:t>，</w:t>
      </w:r>
      <w:r>
        <w:rPr>
          <w:rFonts w:hint="eastAsia" w:ascii="宋体" w:hAnsi="宋体" w:eastAsia="宋体"/>
          <w:sz w:val="24"/>
          <w:szCs w:val="24"/>
          <w:lang w:val="en-US" w:eastAsia="zh-CN"/>
        </w:rPr>
        <w:t>后续等大丰区政务云建设完成后，将平台迁移至政务云平台中，再由政务云平台提供</w:t>
      </w:r>
      <w:r>
        <w:rPr>
          <w:rFonts w:hint="eastAsia" w:ascii="宋体" w:hAnsi="宋体" w:eastAsia="宋体"/>
          <w:sz w:val="24"/>
          <w:szCs w:val="24"/>
        </w:rPr>
        <w:t>相关服务器资源、存储资源、网络设备</w:t>
      </w:r>
      <w:r>
        <w:rPr>
          <w:rFonts w:hint="eastAsia" w:ascii="宋体" w:hAnsi="宋体" w:eastAsia="宋体"/>
          <w:sz w:val="24"/>
          <w:szCs w:val="24"/>
          <w:lang w:val="en-US" w:eastAsia="zh-CN"/>
        </w:rPr>
        <w:t>配套服务</w:t>
      </w:r>
      <w:r>
        <w:rPr>
          <w:rFonts w:hint="eastAsia" w:ascii="宋体" w:hAnsi="宋体" w:eastAsia="宋体"/>
          <w:sz w:val="24"/>
          <w:szCs w:val="24"/>
          <w:lang w:eastAsia="zh-CN"/>
        </w:rPr>
        <w:t>。</w:t>
      </w:r>
    </w:p>
    <w:p w14:paraId="64684D7F">
      <w:pPr>
        <w:pStyle w:val="5"/>
        <w:rPr>
          <w:rFonts w:hint="eastAsia"/>
        </w:rPr>
      </w:pPr>
      <w:bookmarkStart w:id="404" w:name="_Toc12030"/>
      <w:bookmarkStart w:id="405" w:name="_Toc194522907"/>
      <w:r>
        <w:rPr>
          <w:rFonts w:hint="eastAsia"/>
        </w:rPr>
        <w:t>网络安全设计方案</w:t>
      </w:r>
      <w:bookmarkEnd w:id="404"/>
      <w:bookmarkEnd w:id="405"/>
    </w:p>
    <w:p w14:paraId="4A5E681E">
      <w:pPr>
        <w:pStyle w:val="7"/>
        <w:rPr>
          <w:rFonts w:hint="eastAsia"/>
        </w:rPr>
      </w:pPr>
      <w:bookmarkStart w:id="406" w:name="_Toc116198619"/>
      <w:bookmarkEnd w:id="406"/>
      <w:bookmarkStart w:id="407" w:name="_Toc116201063"/>
      <w:bookmarkEnd w:id="407"/>
      <w:bookmarkStart w:id="408" w:name="_Toc115904801"/>
      <w:bookmarkEnd w:id="408"/>
      <w:bookmarkStart w:id="409" w:name="_Toc115904510"/>
      <w:bookmarkEnd w:id="409"/>
      <w:bookmarkStart w:id="410" w:name="_Toc116206504"/>
      <w:bookmarkEnd w:id="410"/>
      <w:bookmarkStart w:id="411" w:name="_Toc116199777"/>
      <w:bookmarkEnd w:id="411"/>
      <w:bookmarkStart w:id="412" w:name="_Toc140757301"/>
      <w:bookmarkStart w:id="413" w:name="_Toc2920"/>
      <w:bookmarkStart w:id="414" w:name="_Toc2440"/>
      <w:bookmarkStart w:id="415" w:name="_Toc194522908"/>
      <w:bookmarkStart w:id="416" w:name="_Toc53338265"/>
      <w:bookmarkStart w:id="417" w:name="_Toc53393671"/>
      <w:bookmarkStart w:id="418" w:name="_Toc142144114"/>
      <w:bookmarkStart w:id="419" w:name="_Toc115275040"/>
      <w:bookmarkStart w:id="420" w:name="_Toc91080577"/>
      <w:r>
        <w:rPr>
          <w:rFonts w:hint="eastAsia"/>
        </w:rPr>
        <w:t>安全防护框架设计</w:t>
      </w:r>
      <w:bookmarkEnd w:id="412"/>
      <w:bookmarkEnd w:id="413"/>
      <w:bookmarkEnd w:id="414"/>
      <w:bookmarkEnd w:id="415"/>
      <w:bookmarkEnd w:id="416"/>
      <w:bookmarkEnd w:id="417"/>
      <w:bookmarkEnd w:id="418"/>
      <w:bookmarkEnd w:id="419"/>
      <w:bookmarkEnd w:id="420"/>
    </w:p>
    <w:p w14:paraId="58FAF454">
      <w:pPr>
        <w:pStyle w:val="6"/>
        <w:spacing w:line="276" w:lineRule="auto"/>
        <w:rPr>
          <w:rFonts w:hint="eastAsia" w:ascii="宋体" w:hAnsi="宋体"/>
        </w:rPr>
      </w:pPr>
      <w:r>
        <w:rPr>
          <w:rFonts w:hint="eastAsia" w:ascii="宋体" w:hAnsi="宋体"/>
        </w:rPr>
        <w:t>本项目软件部分的实现均按照国家信息安全等级保护二级要求进行建设。为了保证信息系统的整体安全保护能力，遵循以下总体框架要求，如下图所示：</w:t>
      </w:r>
    </w:p>
    <w:p w14:paraId="3D9D81DC">
      <w:pPr>
        <w:tabs>
          <w:tab w:val="left" w:pos="1620"/>
        </w:tabs>
        <w:spacing w:line="276" w:lineRule="auto"/>
        <w:jc w:val="center"/>
        <w:rPr>
          <w:rFonts w:hint="eastAsia" w:ascii="宋体" w:hAnsi="宋体" w:eastAsia="宋体"/>
          <w:sz w:val="24"/>
          <w:szCs w:val="24"/>
        </w:rPr>
      </w:pPr>
      <w:r>
        <w:rPr>
          <w:rFonts w:hint="eastAsia" w:ascii="宋体" w:hAnsi="宋体" w:eastAsia="宋体"/>
          <w:sz w:val="24"/>
          <w:szCs w:val="24"/>
        </w:rPr>
        <w:drawing>
          <wp:inline distT="0" distB="0" distL="0" distR="0">
            <wp:extent cx="4840605" cy="2511425"/>
            <wp:effectExtent l="0" t="0" r="0" b="3175"/>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51786" cy="2517225"/>
                    </a:xfrm>
                    <a:prstGeom prst="rect">
                      <a:avLst/>
                    </a:prstGeom>
                    <a:noFill/>
                  </pic:spPr>
                </pic:pic>
              </a:graphicData>
            </a:graphic>
          </wp:inline>
        </w:drawing>
      </w:r>
    </w:p>
    <w:p w14:paraId="3330721E">
      <w:pPr>
        <w:tabs>
          <w:tab w:val="left" w:pos="1620"/>
        </w:tabs>
        <w:spacing w:line="276" w:lineRule="auto"/>
        <w:ind w:firstLine="482"/>
        <w:jc w:val="center"/>
        <w:rPr>
          <w:rFonts w:hint="eastAsia" w:ascii="宋体" w:hAnsi="宋体" w:eastAsia="宋体"/>
          <w:sz w:val="24"/>
          <w:szCs w:val="24"/>
        </w:rPr>
      </w:pPr>
      <w:r>
        <w:rPr>
          <w:rFonts w:hint="eastAsia" w:ascii="宋体" w:hAnsi="宋体" w:eastAsia="宋体"/>
          <w:sz w:val="24"/>
          <w:szCs w:val="24"/>
        </w:rPr>
        <w:t>图：安全防护框架设计</w:t>
      </w:r>
    </w:p>
    <w:p w14:paraId="2E06F77F">
      <w:pPr>
        <w:pStyle w:val="6"/>
        <w:spacing w:line="276" w:lineRule="auto"/>
        <w:rPr>
          <w:rFonts w:hint="eastAsia" w:ascii="宋体" w:hAnsi="宋体"/>
        </w:rPr>
      </w:pPr>
      <w:r>
        <w:rPr>
          <w:rFonts w:hint="eastAsia" w:ascii="宋体" w:hAnsi="宋体"/>
        </w:rPr>
        <w:t>安全技术体系是指通过一系列技术手段实现对安全保护对象的安全防护，包括等级保护基本要求提出的各项技术安全措施。</w:t>
      </w:r>
    </w:p>
    <w:p w14:paraId="7461E306">
      <w:pPr>
        <w:pStyle w:val="6"/>
        <w:spacing w:line="276" w:lineRule="auto"/>
        <w:rPr>
          <w:rFonts w:hint="eastAsia" w:ascii="宋体" w:hAnsi="宋体"/>
        </w:rPr>
      </w:pPr>
      <w:r>
        <w:rPr>
          <w:rFonts w:hint="eastAsia" w:ascii="宋体" w:hAnsi="宋体"/>
        </w:rPr>
        <w:t>安全管理体系是用户单位规范安全管理的基础，是执行各项安全策略和制度的依据，包括为用户单位建立符合等级保护要求的组织架构、人员安全、安全制度等。</w:t>
      </w:r>
    </w:p>
    <w:p w14:paraId="25F6E84D">
      <w:pPr>
        <w:pStyle w:val="6"/>
        <w:spacing w:line="276" w:lineRule="auto"/>
        <w:rPr>
          <w:rFonts w:hint="eastAsia" w:ascii="宋体" w:hAnsi="宋体"/>
        </w:rPr>
      </w:pPr>
      <w:r>
        <w:rPr>
          <w:rFonts w:hint="eastAsia" w:ascii="宋体" w:hAnsi="宋体"/>
        </w:rPr>
        <w:t>安全运维服务包括系统建设和运行维护过程对各项工作流程、各类工作事项的具体要求，为信息系统安全稳定运行提供持续保护，使得安全技术措施和安全管理措施发挥效用，以及为了保障系统安全能力持续提升所进行的代码审计、渗透测试、攻防演练、重保护航等活动。</w:t>
      </w:r>
    </w:p>
    <w:p w14:paraId="5E894763">
      <w:pPr>
        <w:pStyle w:val="6"/>
        <w:spacing w:line="276" w:lineRule="auto"/>
        <w:rPr>
          <w:rFonts w:hint="eastAsia" w:ascii="宋体" w:hAnsi="宋体"/>
        </w:rPr>
      </w:pPr>
      <w:r>
        <w:rPr>
          <w:rFonts w:hint="eastAsia" w:ascii="宋体" w:hAnsi="宋体"/>
        </w:rPr>
        <w:t>安全管理中心通过技术手段和管理手段相结合，实现信息系统安全运行过程所需要的系统管理、安全管理和审计管理等功能。</w:t>
      </w:r>
    </w:p>
    <w:p w14:paraId="16FDA2D0">
      <w:pPr>
        <w:pStyle w:val="7"/>
        <w:rPr>
          <w:rFonts w:hint="eastAsia"/>
        </w:rPr>
      </w:pPr>
      <w:bookmarkStart w:id="421" w:name="_Toc480802067"/>
      <w:bookmarkStart w:id="422" w:name="_Toc142144115"/>
      <w:bookmarkStart w:id="423" w:name="_Toc109482598"/>
      <w:bookmarkStart w:id="424" w:name="_Toc194522909"/>
      <w:bookmarkStart w:id="425" w:name="_Toc27418"/>
      <w:bookmarkStart w:id="426" w:name="_Toc480804610"/>
      <w:bookmarkStart w:id="427" w:name="_Toc140757302"/>
      <w:bookmarkStart w:id="428" w:name="_Toc115275041"/>
      <w:bookmarkStart w:id="429" w:name="_Toc29176"/>
      <w:r>
        <w:rPr>
          <w:rFonts w:hint="eastAsia"/>
        </w:rPr>
        <w:t>安全体系目标</w:t>
      </w:r>
      <w:bookmarkEnd w:id="421"/>
      <w:bookmarkEnd w:id="422"/>
      <w:bookmarkEnd w:id="423"/>
      <w:bookmarkEnd w:id="424"/>
      <w:bookmarkEnd w:id="425"/>
      <w:bookmarkEnd w:id="426"/>
      <w:bookmarkEnd w:id="427"/>
      <w:bookmarkEnd w:id="428"/>
      <w:bookmarkEnd w:id="429"/>
    </w:p>
    <w:p w14:paraId="42D53248">
      <w:pPr>
        <w:pStyle w:val="6"/>
        <w:spacing w:line="276" w:lineRule="auto"/>
        <w:rPr>
          <w:rFonts w:hint="eastAsia" w:ascii="宋体" w:hAnsi="宋体"/>
        </w:rPr>
      </w:pPr>
      <w:r>
        <w:rPr>
          <w:rFonts w:hint="eastAsia" w:ascii="宋体" w:hAnsi="宋体"/>
        </w:rPr>
        <w:t>按照国家有关法律法规、政策和电子政务相关的技术规范要求，实现防泄密、防窃取、防毁坏、防假冒、防篡改、抗抵赖，以及防止拒绝服务和网络攻击，保障交换平台的安全、需要针对交换平台业务进行风险评估与分析，寻求相应对策，从技术上和管理上制定相应措施，达到防范业务风险的目的。</w:t>
      </w:r>
    </w:p>
    <w:p w14:paraId="4B42AE30">
      <w:pPr>
        <w:pStyle w:val="6"/>
        <w:spacing w:line="276" w:lineRule="auto"/>
        <w:rPr>
          <w:rFonts w:hint="eastAsia" w:ascii="宋体" w:hAnsi="宋体"/>
        </w:rPr>
      </w:pPr>
      <w:r>
        <w:rPr>
          <w:rFonts w:hint="eastAsia" w:ascii="宋体" w:hAnsi="宋体"/>
        </w:rPr>
        <w:t>主要安全目标包括：</w:t>
      </w:r>
    </w:p>
    <w:p w14:paraId="47144D42">
      <w:pPr>
        <w:pStyle w:val="6"/>
        <w:spacing w:line="276" w:lineRule="auto"/>
        <w:rPr>
          <w:rFonts w:hint="eastAsia" w:ascii="宋体" w:hAnsi="宋体"/>
        </w:rPr>
      </w:pPr>
      <w:r>
        <w:rPr>
          <w:rFonts w:hint="eastAsia" w:ascii="宋体" w:hAnsi="宋体"/>
        </w:rPr>
        <w:t>1、建立可信安全的系统运行环境，保障各种实体的安全。</w:t>
      </w:r>
    </w:p>
    <w:p w14:paraId="093DB54C">
      <w:pPr>
        <w:pStyle w:val="6"/>
        <w:spacing w:line="276" w:lineRule="auto"/>
        <w:rPr>
          <w:rFonts w:hint="eastAsia" w:ascii="宋体" w:hAnsi="宋体"/>
        </w:rPr>
      </w:pPr>
      <w:r>
        <w:rPr>
          <w:rFonts w:hint="eastAsia" w:ascii="宋体" w:hAnsi="宋体"/>
        </w:rPr>
        <w:t>2、保障系统应用服务器、数据库服务器等主机系统的安全。</w:t>
      </w:r>
    </w:p>
    <w:p w14:paraId="38C13A30">
      <w:pPr>
        <w:pStyle w:val="6"/>
        <w:spacing w:line="276" w:lineRule="auto"/>
        <w:rPr>
          <w:rFonts w:hint="eastAsia" w:ascii="宋体" w:hAnsi="宋体"/>
        </w:rPr>
      </w:pPr>
      <w:r>
        <w:rPr>
          <w:rFonts w:hint="eastAsia" w:ascii="宋体" w:hAnsi="宋体"/>
        </w:rPr>
        <w:t>3、对系统的网络结构进行安全规划，制定口令管理和访问规则，保证网络不受来自外部和内部的非授权访问。同时保障原业务不因交换平台的接入而降低原有的安全性。</w:t>
      </w:r>
    </w:p>
    <w:p w14:paraId="1D5D304B">
      <w:pPr>
        <w:pStyle w:val="6"/>
        <w:spacing w:line="276" w:lineRule="auto"/>
        <w:rPr>
          <w:rFonts w:hint="eastAsia" w:ascii="宋体" w:hAnsi="宋体"/>
        </w:rPr>
      </w:pPr>
      <w:r>
        <w:rPr>
          <w:rFonts w:hint="eastAsia" w:ascii="宋体" w:hAnsi="宋体"/>
        </w:rPr>
        <w:t>4、采用密码和认证技术，支持PKI、SSI、X.509等规范，保证系统业务信息存放和传输的安全，保障信息资源交换业务的安全性。</w:t>
      </w:r>
    </w:p>
    <w:p w14:paraId="33732912">
      <w:pPr>
        <w:pStyle w:val="6"/>
        <w:spacing w:line="276" w:lineRule="auto"/>
        <w:rPr>
          <w:rFonts w:hint="eastAsia" w:ascii="宋体" w:hAnsi="宋体"/>
        </w:rPr>
      </w:pPr>
      <w:r>
        <w:rPr>
          <w:rFonts w:hint="eastAsia" w:ascii="宋体" w:hAnsi="宋体"/>
        </w:rPr>
        <w:t>5、建立有效的计算机病毒防治体系。</w:t>
      </w:r>
    </w:p>
    <w:p w14:paraId="72F139C6">
      <w:pPr>
        <w:pStyle w:val="6"/>
        <w:spacing w:line="276" w:lineRule="auto"/>
        <w:rPr>
          <w:rFonts w:hint="eastAsia" w:ascii="宋体" w:hAnsi="宋体"/>
        </w:rPr>
      </w:pPr>
      <w:r>
        <w:rPr>
          <w:rFonts w:hint="eastAsia" w:ascii="宋体" w:hAnsi="宋体"/>
        </w:rPr>
        <w:t>6、对未经授权的访问和恶意的攻击进行实时的响应。</w:t>
      </w:r>
    </w:p>
    <w:p w14:paraId="1C8E8B07">
      <w:pPr>
        <w:pStyle w:val="6"/>
        <w:spacing w:line="276" w:lineRule="auto"/>
        <w:rPr>
          <w:rFonts w:hint="eastAsia" w:ascii="宋体" w:hAnsi="宋体"/>
        </w:rPr>
      </w:pPr>
      <w:r>
        <w:rPr>
          <w:rFonts w:hint="eastAsia" w:ascii="宋体" w:hAnsi="宋体"/>
        </w:rPr>
        <w:t>7、提供有效的日志记录和审计功能。</w:t>
      </w:r>
    </w:p>
    <w:p w14:paraId="5AA9052E">
      <w:pPr>
        <w:pStyle w:val="6"/>
        <w:spacing w:line="276" w:lineRule="auto"/>
        <w:rPr>
          <w:rFonts w:hint="eastAsia" w:ascii="宋体" w:hAnsi="宋体"/>
        </w:rPr>
      </w:pPr>
      <w:r>
        <w:rPr>
          <w:rFonts w:hint="eastAsia" w:ascii="宋体" w:hAnsi="宋体"/>
        </w:rPr>
        <w:t>8、建立系统业务动态管理体系。强化抗拒网络攻击的能力，保障信息资源交换业务的可靠性和高可用性。</w:t>
      </w:r>
    </w:p>
    <w:p w14:paraId="2C16C185">
      <w:pPr>
        <w:pStyle w:val="6"/>
        <w:spacing w:line="276" w:lineRule="auto"/>
        <w:rPr>
          <w:rFonts w:hint="eastAsia" w:ascii="宋体" w:hAnsi="宋体"/>
        </w:rPr>
      </w:pPr>
      <w:r>
        <w:rPr>
          <w:rFonts w:hint="eastAsia" w:ascii="宋体" w:hAnsi="宋体"/>
        </w:rPr>
        <w:t>9、建立健全系统业务运行管理办法，形成统一的安全管理体系。</w:t>
      </w:r>
    </w:p>
    <w:p w14:paraId="7B144522">
      <w:pPr>
        <w:pStyle w:val="6"/>
        <w:spacing w:line="276" w:lineRule="auto"/>
        <w:rPr>
          <w:rFonts w:hint="eastAsia" w:ascii="宋体" w:hAnsi="宋体"/>
        </w:rPr>
      </w:pPr>
      <w:r>
        <w:rPr>
          <w:rFonts w:hint="eastAsia" w:ascii="宋体" w:hAnsi="宋体"/>
        </w:rPr>
        <w:t>项目的安全体系包括可靠性、可用性、完整性、保密性、不可抵赖性和可控性等六个方面。综合利用身份认证技术、数据加密技术、密码技术、访问控制技术、防病毒技术、防火墙技术、漏洞攻击保护技术、入侵防御技术、安全审计技术、操作系统安全技术等不同层次的安全技术，实现安全管理、物理安全、系统安全、应用安全和跟踪审计。</w:t>
      </w:r>
    </w:p>
    <w:p w14:paraId="286F8E93">
      <w:pPr>
        <w:pStyle w:val="7"/>
        <w:rPr>
          <w:rFonts w:hint="eastAsia"/>
        </w:rPr>
      </w:pPr>
      <w:bookmarkStart w:id="430" w:name="_Toc480804611"/>
      <w:bookmarkStart w:id="431" w:name="_Toc27717"/>
      <w:bookmarkStart w:id="432" w:name="_Toc1455"/>
      <w:bookmarkStart w:id="433" w:name="_Toc109482599"/>
      <w:bookmarkStart w:id="434" w:name="_Toc480802068"/>
      <w:bookmarkStart w:id="435" w:name="_Toc194522910"/>
      <w:bookmarkStart w:id="436" w:name="_Toc142144116"/>
      <w:bookmarkStart w:id="437" w:name="_Toc140757303"/>
      <w:bookmarkStart w:id="438" w:name="_Toc115275042"/>
      <w:r>
        <w:rPr>
          <w:rFonts w:hint="eastAsia"/>
        </w:rPr>
        <w:t>安全保障体系设计</w:t>
      </w:r>
      <w:bookmarkEnd w:id="430"/>
      <w:bookmarkEnd w:id="431"/>
      <w:bookmarkEnd w:id="432"/>
      <w:bookmarkEnd w:id="433"/>
      <w:bookmarkEnd w:id="434"/>
      <w:bookmarkEnd w:id="435"/>
      <w:bookmarkEnd w:id="436"/>
      <w:bookmarkEnd w:id="437"/>
      <w:bookmarkEnd w:id="438"/>
    </w:p>
    <w:p w14:paraId="62ED62C4">
      <w:pPr>
        <w:pStyle w:val="6"/>
        <w:spacing w:line="276" w:lineRule="auto"/>
        <w:rPr>
          <w:rFonts w:hint="eastAsia" w:ascii="宋体" w:hAnsi="宋体"/>
        </w:rPr>
      </w:pPr>
      <w:r>
        <w:rPr>
          <w:rFonts w:hint="eastAsia" w:ascii="宋体" w:hAnsi="宋体"/>
        </w:rPr>
        <w:t>遵循国家信息安全等级保护相关规范以及国家保密管理和密码管理的有关要求，建立此次项目的安全保障体系。整体考虑、顶层规划安全保障体系的建设，按照信息系统安全等级保护要求构建数据存储环境、应用系统环境、运行管理机制，确保政务数据安全和公民个人数据合法应用。安全保障体系要与应用系统同步建设，对所建安全保障体系要进行重点保护、实施动态调整。</w:t>
      </w:r>
    </w:p>
    <w:p w14:paraId="240340FB">
      <w:pPr>
        <w:pStyle w:val="6"/>
        <w:spacing w:line="276" w:lineRule="auto"/>
        <w:rPr>
          <w:rFonts w:hint="eastAsia" w:ascii="宋体" w:hAnsi="宋体"/>
        </w:rPr>
      </w:pPr>
      <w:r>
        <w:rPr>
          <w:rFonts w:hint="eastAsia" w:ascii="宋体" w:hAnsi="宋体"/>
        </w:rPr>
        <w:t>安全保障体系的设计需要从物理安全、网络安全、数据安全、系统安全、应用安全五个层面进行总体规划。其中物理安全、网络安全及系统安全由云机房统一负责防护，本方案仅提出安全防护建议；数据安全和应用安全则用于指导在系统的设计、开发、部署等环节的安全机制建议。</w:t>
      </w:r>
    </w:p>
    <w:p w14:paraId="62A2232D">
      <w:pPr>
        <w:pStyle w:val="7"/>
        <w:rPr>
          <w:rFonts w:hint="eastAsia"/>
        </w:rPr>
      </w:pPr>
      <w:bookmarkStart w:id="439" w:name="_Toc115904519"/>
      <w:bookmarkEnd w:id="439"/>
      <w:bookmarkStart w:id="440" w:name="_Toc116201073"/>
      <w:bookmarkEnd w:id="440"/>
      <w:bookmarkStart w:id="441" w:name="_Toc115904810"/>
      <w:bookmarkEnd w:id="441"/>
      <w:bookmarkStart w:id="442" w:name="_Toc116198629"/>
      <w:bookmarkEnd w:id="442"/>
      <w:bookmarkStart w:id="443" w:name="_Toc116199787"/>
      <w:bookmarkEnd w:id="443"/>
      <w:bookmarkStart w:id="444" w:name="_Toc116206514"/>
      <w:bookmarkEnd w:id="444"/>
      <w:bookmarkStart w:id="445" w:name="_Toc115275049"/>
      <w:bookmarkStart w:id="446" w:name="_Toc109482606"/>
      <w:bookmarkStart w:id="447" w:name="_Toc480804613"/>
      <w:bookmarkStart w:id="448" w:name="_Toc19151"/>
      <w:bookmarkStart w:id="449" w:name="_Toc194522913"/>
      <w:bookmarkStart w:id="450" w:name="_Toc142144138"/>
      <w:bookmarkStart w:id="451" w:name="_Toc140757311"/>
      <w:bookmarkStart w:id="452" w:name="_Toc480802070"/>
      <w:bookmarkStart w:id="453" w:name="_Toc28909"/>
      <w:r>
        <w:rPr>
          <w:rFonts w:hint="eastAsia"/>
        </w:rPr>
        <w:t>开放接口的安全防护</w:t>
      </w:r>
      <w:bookmarkEnd w:id="445"/>
      <w:bookmarkEnd w:id="446"/>
      <w:bookmarkEnd w:id="447"/>
      <w:bookmarkEnd w:id="448"/>
      <w:bookmarkEnd w:id="449"/>
      <w:bookmarkEnd w:id="450"/>
      <w:bookmarkEnd w:id="451"/>
      <w:bookmarkEnd w:id="452"/>
      <w:bookmarkEnd w:id="453"/>
    </w:p>
    <w:p w14:paraId="0DC46291">
      <w:pPr>
        <w:pStyle w:val="6"/>
        <w:spacing w:line="276" w:lineRule="auto"/>
        <w:rPr>
          <w:rFonts w:hint="eastAsia" w:ascii="宋体" w:hAnsi="宋体"/>
        </w:rPr>
      </w:pPr>
      <w:r>
        <w:rPr>
          <w:rFonts w:hint="eastAsia" w:ascii="宋体" w:hAnsi="宋体"/>
        </w:rPr>
        <w:t>数据交换和信息共享是此次项目技术体系得以发挥作用乃至正常运转的核心能力。任何数据交换和信息共享过程都会对系统的安全性带来影响。应采取有针对性的安全措施，完善开放接口的安全防护能力，对数据交换和信息共享环节给予端到端的全过程监控，及时发现和解决问题隐患，以确保关键业务正常运行。</w:t>
      </w:r>
    </w:p>
    <w:p w14:paraId="148F1195">
      <w:pPr>
        <w:pStyle w:val="7"/>
        <w:rPr>
          <w:rFonts w:hint="eastAsia"/>
        </w:rPr>
      </w:pPr>
      <w:bookmarkStart w:id="454" w:name="_Toc29321"/>
      <w:bookmarkStart w:id="455" w:name="_Toc140757312"/>
      <w:bookmarkStart w:id="456" w:name="_Toc109482607"/>
      <w:bookmarkStart w:id="457" w:name="_Toc19966"/>
      <w:bookmarkStart w:id="458" w:name="_Toc142144139"/>
      <w:bookmarkStart w:id="459" w:name="_Toc194522914"/>
      <w:bookmarkStart w:id="460" w:name="_Toc480804614"/>
      <w:bookmarkStart w:id="461" w:name="_Toc480802071"/>
      <w:bookmarkStart w:id="462" w:name="_Toc115275050"/>
      <w:r>
        <w:rPr>
          <w:rFonts w:hint="eastAsia"/>
        </w:rPr>
        <w:t>重要数据的保障</w:t>
      </w:r>
      <w:bookmarkEnd w:id="454"/>
      <w:bookmarkEnd w:id="455"/>
      <w:bookmarkEnd w:id="456"/>
      <w:bookmarkEnd w:id="457"/>
      <w:bookmarkEnd w:id="458"/>
      <w:bookmarkEnd w:id="459"/>
      <w:bookmarkEnd w:id="460"/>
      <w:bookmarkEnd w:id="461"/>
      <w:bookmarkEnd w:id="462"/>
    </w:p>
    <w:p w14:paraId="7E919323">
      <w:pPr>
        <w:pStyle w:val="6"/>
        <w:spacing w:line="276" w:lineRule="auto"/>
        <w:rPr>
          <w:rFonts w:hint="eastAsia" w:ascii="宋体" w:hAnsi="宋体"/>
        </w:rPr>
      </w:pPr>
      <w:r>
        <w:rPr>
          <w:rFonts w:hint="eastAsia" w:ascii="宋体" w:hAnsi="宋体"/>
        </w:rPr>
        <w:t>加强平台中各类公共信息、个人隐私等重要数据的安全防护，建立数据安全规范。在系统后台对每类数据的安全属性进行必要的定义和设置，详细规定数据的开放范围和开放力度，并严格执行相应的权限管理。</w:t>
      </w:r>
    </w:p>
    <w:p w14:paraId="21C0F829">
      <w:pPr>
        <w:pStyle w:val="7"/>
        <w:rPr>
          <w:rFonts w:hint="eastAsia"/>
        </w:rPr>
      </w:pPr>
      <w:bookmarkStart w:id="463" w:name="_Toc140757313"/>
      <w:bookmarkStart w:id="464" w:name="_Toc194522915"/>
      <w:bookmarkStart w:id="465" w:name="_Toc14781"/>
      <w:bookmarkStart w:id="466" w:name="_Toc22849"/>
      <w:bookmarkStart w:id="467" w:name="_Toc480802072"/>
      <w:bookmarkStart w:id="468" w:name="_Toc480804615"/>
      <w:bookmarkStart w:id="469" w:name="_Toc109482608"/>
      <w:bookmarkStart w:id="470" w:name="_Toc142144140"/>
      <w:bookmarkStart w:id="471" w:name="_Toc115275051"/>
      <w:r>
        <w:rPr>
          <w:rFonts w:hint="eastAsia"/>
        </w:rPr>
        <w:t>安全管理体系设计</w:t>
      </w:r>
      <w:bookmarkEnd w:id="463"/>
      <w:bookmarkEnd w:id="464"/>
      <w:bookmarkEnd w:id="465"/>
      <w:bookmarkEnd w:id="466"/>
      <w:bookmarkEnd w:id="467"/>
      <w:bookmarkEnd w:id="468"/>
      <w:bookmarkEnd w:id="469"/>
      <w:bookmarkEnd w:id="470"/>
      <w:bookmarkEnd w:id="471"/>
    </w:p>
    <w:p w14:paraId="71F72FF8">
      <w:pPr>
        <w:pStyle w:val="6"/>
        <w:spacing w:before="0" w:after="0" w:line="276" w:lineRule="auto"/>
        <w:rPr>
          <w:rFonts w:hint="eastAsia" w:ascii="宋体" w:hAnsi="宋体"/>
        </w:rPr>
      </w:pPr>
      <w:r>
        <w:rPr>
          <w:rFonts w:hint="eastAsia" w:ascii="宋体" w:hAnsi="宋体"/>
        </w:rPr>
        <w:t>安全管理是安全系统的重要组成部分，没有健全的安全管理，系统的安全性很难保证。任何网络系统仅在技术上无法达到完整的安全。为此，需要建立一套科学、严密的安全管理体系。</w:t>
      </w:r>
    </w:p>
    <w:p w14:paraId="5090CA22">
      <w:pPr>
        <w:pStyle w:val="6"/>
        <w:spacing w:before="0" w:after="0" w:line="276" w:lineRule="auto"/>
        <w:rPr>
          <w:rFonts w:hint="eastAsia" w:ascii="宋体" w:hAnsi="宋体"/>
        </w:rPr>
      </w:pPr>
      <w:r>
        <w:rPr>
          <w:rFonts w:hint="eastAsia" w:ascii="宋体" w:hAnsi="宋体"/>
        </w:rPr>
        <w:t>通过有效的安全管理体系的建设，最终要实现的目标是：采取集中控制、分级管理的模式，建立由专人负责安全事件定期报告和检查制度，从而在管理上确保全方位、多层次、快速有效的网络安全防护。</w:t>
      </w:r>
    </w:p>
    <w:p w14:paraId="16AC268F">
      <w:pPr>
        <w:pStyle w:val="7"/>
        <w:rPr>
          <w:rFonts w:hint="eastAsia"/>
        </w:rPr>
      </w:pPr>
      <w:bookmarkStart w:id="472" w:name="_Toc52098175"/>
      <w:bookmarkStart w:id="473" w:name="_Toc53338292"/>
      <w:bookmarkStart w:id="474" w:name="_Toc142144141"/>
      <w:bookmarkStart w:id="475" w:name="_Toc140757314"/>
      <w:bookmarkStart w:id="476" w:name="_Toc24892"/>
      <w:bookmarkStart w:id="477" w:name="_Toc194522916"/>
      <w:bookmarkStart w:id="478" w:name="_Toc25973"/>
      <w:bookmarkStart w:id="479" w:name="_Toc53393698"/>
      <w:bookmarkStart w:id="480" w:name="_Toc115275052"/>
      <w:bookmarkStart w:id="481" w:name="_Toc91080617"/>
      <w:bookmarkStart w:id="482" w:name="_Toc48288846"/>
      <w:r>
        <w:rPr>
          <w:rFonts w:hint="eastAsia"/>
        </w:rPr>
        <w:t>数据安全设计</w:t>
      </w:r>
      <w:bookmarkEnd w:id="472"/>
      <w:bookmarkEnd w:id="473"/>
      <w:bookmarkEnd w:id="474"/>
      <w:bookmarkEnd w:id="475"/>
      <w:bookmarkEnd w:id="476"/>
      <w:bookmarkEnd w:id="477"/>
      <w:bookmarkEnd w:id="478"/>
      <w:bookmarkEnd w:id="479"/>
      <w:bookmarkEnd w:id="480"/>
      <w:bookmarkEnd w:id="481"/>
      <w:bookmarkEnd w:id="482"/>
    </w:p>
    <w:p w14:paraId="17F45E39">
      <w:pPr>
        <w:pStyle w:val="8"/>
        <w:rPr>
          <w:rFonts w:hint="eastAsia" w:ascii="宋体" w:hAnsi="宋体" w:eastAsia="宋体"/>
        </w:rPr>
      </w:pPr>
      <w:bookmarkStart w:id="483" w:name="_Toc127648778"/>
      <w:bookmarkStart w:id="484" w:name="_Toc117515545"/>
      <w:bookmarkStart w:id="485" w:name="_Toc118474629"/>
      <w:r>
        <w:rPr>
          <w:rFonts w:hint="eastAsia" w:ascii="宋体" w:hAnsi="宋体" w:eastAsia="宋体"/>
        </w:rPr>
        <w:t>总体思路</w:t>
      </w:r>
      <w:bookmarkEnd w:id="483"/>
      <w:bookmarkEnd w:id="484"/>
      <w:bookmarkEnd w:id="485"/>
    </w:p>
    <w:p w14:paraId="1DA0D63C">
      <w:pPr>
        <w:pStyle w:val="2"/>
        <w:ind w:firstLine="480"/>
        <w:rPr>
          <w:rFonts w:hint="eastAsia"/>
        </w:rPr>
      </w:pPr>
      <w:r>
        <w:rPr>
          <w:rFonts w:hint="eastAsia"/>
        </w:rPr>
        <w:t>本方案在进行方案设计过程中，将根据《网络安全法》、《数据安全法》、《个人信息保护法》、《网络安全等级保护制度》、《信息安全技术 政务信息共享 数据安全技术要求》（国标）、《数据安全成熟度模型（DSMM、国标）》，参考《信息安全技术 智慧城市安全体系框架》、《信息安全技术 智慧城市建设信息安全保障指南》（征求意见稿）、《国家网络安全事件应急预案》，通过分析安全现状及实际安全需求，结合其业务信息的实际特性，建立信息安全保障体系方案。</w:t>
      </w:r>
    </w:p>
    <w:p w14:paraId="57BAA89D">
      <w:pPr>
        <w:pStyle w:val="2"/>
        <w:ind w:firstLine="480"/>
        <w:rPr>
          <w:rFonts w:hint="eastAsia"/>
        </w:rPr>
      </w:pPr>
      <w:r>
        <w:t>以技术保障为基础、以管理运营为抓手、以监测预警为核心、以协同响应为目标的</w:t>
      </w:r>
      <w:r>
        <w:rPr>
          <w:rFonts w:hint="eastAsia"/>
        </w:rPr>
        <w:t>数据</w:t>
      </w:r>
      <w:r>
        <w:t>安全防御体系，围绕</w:t>
      </w:r>
      <w:r>
        <w:rPr>
          <w:rFonts w:hint="eastAsia"/>
        </w:rPr>
        <w:t>在</w:t>
      </w:r>
      <w:r>
        <w:t>数据、人、工具、运营管理</w:t>
      </w:r>
      <w:r>
        <w:rPr>
          <w:rFonts w:hint="eastAsia"/>
        </w:rPr>
        <w:t>安全等方面进行积极防御，</w:t>
      </w:r>
      <w:r>
        <w:t>开展</w:t>
      </w:r>
      <w:r>
        <w:rPr>
          <w:rFonts w:hint="eastAsia"/>
        </w:rPr>
        <w:t>数据</w:t>
      </w:r>
      <w:r>
        <w:t>安全建设工作</w:t>
      </w:r>
      <w:r>
        <w:rPr>
          <w:rFonts w:hint="eastAsia"/>
        </w:rPr>
        <w:t>。</w:t>
      </w:r>
    </w:p>
    <w:p w14:paraId="2D369273">
      <w:pPr>
        <w:pStyle w:val="8"/>
        <w:rPr>
          <w:rFonts w:hint="eastAsia" w:ascii="宋体" w:hAnsi="宋体" w:eastAsia="宋体"/>
        </w:rPr>
      </w:pPr>
      <w:r>
        <w:rPr>
          <w:rFonts w:hint="eastAsia" w:ascii="宋体" w:hAnsi="宋体" w:eastAsia="宋体"/>
        </w:rPr>
        <w:t>数据安全管理体系建设</w:t>
      </w:r>
    </w:p>
    <w:p w14:paraId="1494907C">
      <w:pPr>
        <w:pStyle w:val="2"/>
        <w:ind w:firstLine="480"/>
        <w:rPr>
          <w:rFonts w:hint="eastAsia"/>
          <w:bCs/>
        </w:rPr>
      </w:pPr>
      <w:r>
        <w:rPr>
          <w:rFonts w:hint="eastAsia"/>
          <w:bCs/>
        </w:rPr>
        <w:t>数据安全能力建设是一个复合型、需多方联动型的工作，在开展组织架构建设时，需要考虑组织层面实体的管理团队及执行团队，同时也要考虑虚拟的联动小组，其中业务、安全</w:t>
      </w:r>
      <w:r>
        <w:rPr>
          <w:bCs/>
        </w:rPr>
        <w:t>等</w:t>
      </w:r>
      <w:r>
        <w:rPr>
          <w:rFonts w:hint="eastAsia"/>
          <w:bCs/>
        </w:rPr>
        <w:t>部门均需要参与数据安全建设当中。成立数据安全组织其目的是明确数据安全的政策、落实和监督等工作，</w:t>
      </w:r>
      <w:r>
        <w:rPr>
          <w:bCs/>
        </w:rPr>
        <w:t>以确保数据安全能力建设的有效执行。</w:t>
      </w:r>
    </w:p>
    <w:p w14:paraId="72ABE164">
      <w:pPr>
        <w:pStyle w:val="14"/>
        <w:rPr>
          <w:rFonts w:hint="eastAsia" w:ascii="宋体" w:hAnsi="宋体" w:eastAsia="宋体"/>
        </w:rPr>
      </w:pPr>
      <w:bookmarkStart w:id="486" w:name="_Toc49888652"/>
      <w:bookmarkStart w:id="487" w:name="_Toc35018550"/>
      <w:r>
        <w:rPr>
          <w:rFonts w:hint="eastAsia" w:ascii="宋体" w:hAnsi="宋体" w:eastAsia="宋体"/>
        </w:rPr>
        <w:t>组织架构设计</w:t>
      </w:r>
      <w:bookmarkEnd w:id="486"/>
      <w:bookmarkEnd w:id="487"/>
    </w:p>
    <w:p w14:paraId="01EB91CC">
      <w:pPr>
        <w:pStyle w:val="2"/>
        <w:ind w:firstLine="480"/>
        <w:rPr>
          <w:rFonts w:hint="eastAsia"/>
          <w:bCs/>
        </w:rPr>
      </w:pPr>
      <w:r>
        <w:rPr>
          <w:rFonts w:hint="eastAsia"/>
          <w:bCs/>
        </w:rPr>
        <w:t>设计数据安全的组织架构时，可按照决策层、管理层、执行层、供应商/服务商、监督层的组织架构设计。在具体执行过程中，组织也可赋予已有安全团队与其它相关部门数据安全的工作职能，或寻求第三</w:t>
      </w:r>
      <w:r>
        <w:rPr>
          <w:bCs/>
        </w:rPr>
        <w:t>方专业团队等形式开展工作</w:t>
      </w:r>
      <w:r>
        <w:rPr>
          <w:rFonts w:hint="eastAsia"/>
          <w:bCs/>
        </w:rPr>
        <w:t>。</w:t>
      </w:r>
    </w:p>
    <w:p w14:paraId="30ED4926">
      <w:pPr>
        <w:pStyle w:val="2"/>
        <w:ind w:firstLine="480"/>
        <w:rPr>
          <w:rFonts w:hint="eastAsia"/>
          <w:bCs/>
        </w:rPr>
      </w:pPr>
      <w:r>
        <w:rPr>
          <w:rFonts w:hint="eastAsia"/>
          <w:bCs/>
        </w:rPr>
        <w:t>1</w:t>
      </w:r>
      <w:r>
        <w:rPr>
          <w:bCs/>
        </w:rPr>
        <w:t>.</w:t>
      </w:r>
      <w:r>
        <w:rPr>
          <w:rFonts w:hint="eastAsia"/>
          <w:bCs/>
        </w:rPr>
        <w:t>决策层</w:t>
      </w:r>
    </w:p>
    <w:p w14:paraId="4EE338BE">
      <w:pPr>
        <w:pStyle w:val="2"/>
        <w:ind w:firstLine="480"/>
        <w:rPr>
          <w:rFonts w:hint="eastAsia"/>
        </w:rPr>
      </w:pPr>
      <w:r>
        <w:rPr>
          <w:rFonts w:hint="eastAsia"/>
        </w:rPr>
        <w:t>决策层是数据安全管理工作的决策机构，建议由单位数据资源分管领导担任，能参与到组织的业务发展决策，因为业务的发展和数据安全是密不可分。除数据资源分管领导外，其它高层管理人员对于数据安全的重视和决策是非常重要的，并</w:t>
      </w:r>
      <w:r>
        <w:t>形成定期的沟通运作机制，其主要工作职责包括：</w:t>
      </w:r>
    </w:p>
    <w:p w14:paraId="7EFBBFFE">
      <w:pPr>
        <w:pStyle w:val="2"/>
        <w:ind w:firstLine="480"/>
        <w:rPr>
          <w:rFonts w:hint="eastAsia"/>
        </w:rPr>
      </w:pPr>
      <w:r>
        <w:rPr>
          <w:rFonts w:hint="eastAsia"/>
        </w:rPr>
        <w:t>决策层</w:t>
      </w:r>
      <w:r>
        <w:t>制定组织的数据安全目标和愿景；</w:t>
      </w:r>
    </w:p>
    <w:p w14:paraId="3644E88F">
      <w:pPr>
        <w:pStyle w:val="2"/>
        <w:ind w:firstLine="480"/>
        <w:rPr>
          <w:rFonts w:hint="eastAsia"/>
        </w:rPr>
      </w:pPr>
      <w:r>
        <w:t>对数据安全策略</w:t>
      </w:r>
      <w:r>
        <w:rPr>
          <w:rFonts w:hint="eastAsia"/>
        </w:rPr>
        <w:t>、</w:t>
      </w:r>
      <w:r>
        <w:t>规划</w:t>
      </w:r>
      <w:r>
        <w:rPr>
          <w:rFonts w:hint="eastAsia"/>
        </w:rPr>
        <w:t>及</w:t>
      </w:r>
      <w:r>
        <w:t>发布</w:t>
      </w:r>
      <w:r>
        <w:rPr>
          <w:rFonts w:hint="eastAsia"/>
        </w:rPr>
        <w:t>。建设方负责</w:t>
      </w:r>
      <w:r>
        <w:t>制度与规范</w:t>
      </w:r>
      <w:r>
        <w:rPr>
          <w:rFonts w:hint="eastAsia"/>
        </w:rPr>
        <w:t>的咨询、编写</w:t>
      </w:r>
      <w:r>
        <w:t>等</w:t>
      </w:r>
      <w:r>
        <w:rPr>
          <w:rFonts w:hint="eastAsia"/>
        </w:rPr>
        <w:t>工作。运维方执行相关策略、制度并进行验证工作</w:t>
      </w:r>
      <w:r>
        <w:t>；</w:t>
      </w:r>
    </w:p>
    <w:p w14:paraId="774177DB">
      <w:pPr>
        <w:pStyle w:val="2"/>
        <w:ind w:firstLine="480"/>
        <w:rPr>
          <w:rFonts w:hint="eastAsia"/>
        </w:rPr>
      </w:pPr>
      <w:r>
        <w:rPr>
          <w:rFonts w:hint="eastAsia"/>
        </w:rPr>
        <w:t>决策层</w:t>
      </w:r>
      <w:r>
        <w:t>为组织的数据安全建设的供必要的资源；</w:t>
      </w:r>
    </w:p>
    <w:p w14:paraId="54570EA1">
      <w:pPr>
        <w:pStyle w:val="2"/>
        <w:ind w:firstLine="480"/>
        <w:rPr>
          <w:rFonts w:hint="eastAsia"/>
        </w:rPr>
      </w:pPr>
      <w:r>
        <w:rPr>
          <w:rFonts w:hint="eastAsia"/>
        </w:rPr>
        <w:t>决策层</w:t>
      </w:r>
      <w:r>
        <w:t>对</w:t>
      </w:r>
      <w:r>
        <w:rPr>
          <w:rFonts w:hint="eastAsia"/>
        </w:rPr>
        <w:t>本单位</w:t>
      </w:r>
      <w:r>
        <w:t>的重大数据安全事件进行协调和决策；</w:t>
      </w:r>
    </w:p>
    <w:p w14:paraId="38E562CF">
      <w:pPr>
        <w:pStyle w:val="2"/>
        <w:ind w:firstLine="480"/>
        <w:rPr>
          <w:rFonts w:hint="eastAsia"/>
        </w:rPr>
      </w:pPr>
      <w:r>
        <w:rPr>
          <w:rFonts w:hint="eastAsia"/>
        </w:rPr>
        <w:t>决策层通过项目过程中咨询服务细化、落地。</w:t>
      </w:r>
    </w:p>
    <w:p w14:paraId="56DF67A5">
      <w:pPr>
        <w:pStyle w:val="2"/>
        <w:ind w:left="432" w:firstLine="0" w:firstLineChars="0"/>
        <w:rPr>
          <w:rFonts w:hint="eastAsia"/>
          <w:bCs/>
        </w:rPr>
      </w:pPr>
      <w:r>
        <w:rPr>
          <w:rFonts w:hint="eastAsia"/>
          <w:bCs/>
        </w:rPr>
        <w:t>2</w:t>
      </w:r>
      <w:r>
        <w:rPr>
          <w:bCs/>
        </w:rPr>
        <w:t>.</w:t>
      </w:r>
      <w:r>
        <w:rPr>
          <w:rFonts w:hint="eastAsia"/>
          <w:bCs/>
        </w:rPr>
        <w:t>管理层</w:t>
      </w:r>
    </w:p>
    <w:p w14:paraId="3B97118B">
      <w:pPr>
        <w:pStyle w:val="2"/>
        <w:ind w:firstLine="480"/>
        <w:rPr>
          <w:rFonts w:hint="eastAsia"/>
        </w:rPr>
      </w:pPr>
      <w:r>
        <w:rPr>
          <w:rFonts w:hint="eastAsia"/>
        </w:rPr>
        <w:t>管理层是数据安全组织机构的第二层，基于组织决策层给出的策略，对数据安全实际工作制定详细方案，做好业务发展与数据安全之间的平衡。在组织中承上启下，做好数据安全全面落地工作，是组织内开展数据安全工作最核心的部门或岗位，部分工作可能需要组织外部专业资源共同来履行。其主要工作职责</w:t>
      </w:r>
      <w:r>
        <w:t>包括：</w:t>
      </w:r>
    </w:p>
    <w:p w14:paraId="263B66E2">
      <w:pPr>
        <w:pStyle w:val="2"/>
        <w:ind w:firstLine="480"/>
        <w:rPr>
          <w:rFonts w:hint="eastAsia"/>
        </w:rPr>
      </w:pPr>
      <w:r>
        <w:t>结合合规要求和业务发展需求，制订数据安全整体解决方案并组织实施</w:t>
      </w:r>
      <w:r>
        <w:rPr>
          <w:rFonts w:hint="eastAsia"/>
        </w:rPr>
        <w:t>。建设方职责配合完成相关方案的编写并完成实施；</w:t>
      </w:r>
    </w:p>
    <w:p w14:paraId="6A5643B0">
      <w:pPr>
        <w:pStyle w:val="2"/>
        <w:ind w:firstLine="480"/>
        <w:rPr>
          <w:rFonts w:hint="eastAsia"/>
        </w:rPr>
      </w:pPr>
      <w:r>
        <w:t>制定数据安全管理策略和规划，统一数据安全管理规范体系等</w:t>
      </w:r>
      <w:r>
        <w:rPr>
          <w:rFonts w:hint="eastAsia"/>
        </w:rPr>
        <w:t>。建设方负责通过咨询等方式落地策略、规划及规范。运维方执行相关要求；</w:t>
      </w:r>
    </w:p>
    <w:p w14:paraId="7726BC64">
      <w:pPr>
        <w:pStyle w:val="2"/>
        <w:ind w:firstLine="480"/>
        <w:rPr>
          <w:rFonts w:hint="eastAsia"/>
        </w:rPr>
      </w:pPr>
      <w:r>
        <w:t>对组织内人员能力开展数据安全技术培训和意识宣导，逐步升数据安全工作人员的能力水平和组织内人员安全意识；</w:t>
      </w:r>
      <w:r>
        <w:rPr>
          <w:rFonts w:hint="eastAsia"/>
        </w:rPr>
        <w:t>建设方负责培训；</w:t>
      </w:r>
    </w:p>
    <w:p w14:paraId="3CE890CB">
      <w:pPr>
        <w:pStyle w:val="2"/>
        <w:ind w:firstLine="480"/>
        <w:rPr>
          <w:rFonts w:hint="eastAsia"/>
        </w:rPr>
      </w:pPr>
      <w:r>
        <w:t>制定数据安全决策层、管理层、执行层、监督层等的运作机制，保障数据安全工作在内部保持信息通畅、运作顺利；</w:t>
      </w:r>
      <w:r>
        <w:rPr>
          <w:rFonts w:hint="eastAsia"/>
        </w:rPr>
        <w:t>建设方负责通过咨询方式落地相关运作机制；运维方执行相关运作机制；</w:t>
      </w:r>
    </w:p>
    <w:p w14:paraId="4EFFAF08">
      <w:pPr>
        <w:pStyle w:val="2"/>
        <w:ind w:firstLine="480"/>
        <w:rPr>
          <w:rFonts w:hint="eastAsia"/>
        </w:rPr>
      </w:pPr>
      <w:r>
        <w:t>保持外部组织的沟通，包括国家及行业监管、第三方咨询服务商（安全咨询、安全厂商）以认证、测评机构（认证及认可</w:t>
      </w:r>
      <w:r>
        <w:rPr>
          <w:rFonts w:hint="eastAsia"/>
        </w:rPr>
        <w:t>、</w:t>
      </w:r>
      <w:r>
        <w:t>安全测评机构）等。</w:t>
      </w:r>
    </w:p>
    <w:p w14:paraId="1DFA4F5F">
      <w:pPr>
        <w:pStyle w:val="2"/>
        <w:ind w:firstLine="480"/>
        <w:rPr>
          <w:rFonts w:hint="eastAsia"/>
          <w:bCs/>
        </w:rPr>
      </w:pPr>
      <w:r>
        <w:rPr>
          <w:bCs/>
        </w:rPr>
        <w:t>3.</w:t>
      </w:r>
      <w:r>
        <w:rPr>
          <w:rFonts w:hint="eastAsia"/>
          <w:bCs/>
        </w:rPr>
        <w:t>监督层</w:t>
      </w:r>
    </w:p>
    <w:p w14:paraId="27D074D0">
      <w:pPr>
        <w:pStyle w:val="2"/>
        <w:ind w:firstLine="480"/>
        <w:rPr>
          <w:rFonts w:hint="eastAsia"/>
          <w:bCs/>
        </w:rPr>
      </w:pPr>
      <w:r>
        <w:rPr>
          <w:rFonts w:hint="eastAsia"/>
          <w:bCs/>
        </w:rPr>
        <w:t>监督层负责定期监督审核管理小组、执行小组，员工和合作伙伴对数据安全政策和管理要求的执行情况，并且向决策层进行汇报，监督层人员必须具备独立性，不能与其它管理小组、执行</w:t>
      </w:r>
      <w:r>
        <w:rPr>
          <w:bCs/>
        </w:rPr>
        <w:t>小组等人员共同兼任，建议由组织内部的审计部门担任。其主要职责包括：</w:t>
      </w:r>
    </w:p>
    <w:p w14:paraId="75563A88">
      <w:pPr>
        <w:pStyle w:val="2"/>
        <w:ind w:firstLine="480"/>
        <w:rPr>
          <w:rFonts w:hint="eastAsia"/>
          <w:bCs/>
        </w:rPr>
      </w:pPr>
      <w:r>
        <w:rPr>
          <w:bCs/>
        </w:rPr>
        <w:t>对数据安全制度落地执行情况监督；</w:t>
      </w:r>
    </w:p>
    <w:p w14:paraId="211C58A7">
      <w:pPr>
        <w:pStyle w:val="2"/>
        <w:ind w:firstLine="480"/>
        <w:rPr>
          <w:rFonts w:hint="eastAsia"/>
          <w:bCs/>
        </w:rPr>
      </w:pPr>
      <w:r>
        <w:rPr>
          <w:bCs/>
        </w:rPr>
        <w:t>对数据安全工具执行有效性监督；</w:t>
      </w:r>
    </w:p>
    <w:p w14:paraId="436A19E3">
      <w:pPr>
        <w:pStyle w:val="2"/>
        <w:ind w:firstLine="480"/>
        <w:rPr>
          <w:rFonts w:hint="eastAsia"/>
          <w:bCs/>
        </w:rPr>
      </w:pPr>
      <w:r>
        <w:rPr>
          <w:bCs/>
        </w:rPr>
        <w:t>对数据安全风险开展监控与审计</w:t>
      </w:r>
      <w:r>
        <w:rPr>
          <w:rFonts w:hint="eastAsia"/>
          <w:bCs/>
        </w:rPr>
        <w:t>。</w:t>
      </w:r>
    </w:p>
    <w:p w14:paraId="6B44C5DC">
      <w:pPr>
        <w:pStyle w:val="2"/>
        <w:ind w:left="432" w:firstLine="0" w:firstLineChars="0"/>
        <w:rPr>
          <w:rFonts w:hint="eastAsia"/>
          <w:bCs/>
        </w:rPr>
      </w:pPr>
      <w:r>
        <w:rPr>
          <w:bCs/>
        </w:rPr>
        <w:t>4.</w:t>
      </w:r>
      <w:r>
        <w:rPr>
          <w:rFonts w:hint="eastAsia"/>
          <w:bCs/>
        </w:rPr>
        <w:t>执行层</w:t>
      </w:r>
    </w:p>
    <w:p w14:paraId="3719376E">
      <w:pPr>
        <w:pStyle w:val="2"/>
        <w:ind w:firstLine="480"/>
        <w:rPr>
          <w:rFonts w:hint="eastAsia"/>
        </w:rPr>
      </w:pPr>
      <w:r>
        <w:rPr>
          <w:rFonts w:hint="eastAsia"/>
        </w:rPr>
        <w:t>执行层与管理层是紧密配合的关系，其职责主要聚焦每一个数据安全场景，对设定的流程进行逐个实现。执行层主要包括数据安全专职人员和各业务部门的数据安全接口人员、风险管理人员、数据</w:t>
      </w:r>
      <w:r>
        <w:t>owner等，其主要工作职责主要包括：</w:t>
      </w:r>
    </w:p>
    <w:p w14:paraId="583A76FF">
      <w:pPr>
        <w:pStyle w:val="2"/>
        <w:ind w:firstLine="480"/>
        <w:rPr>
          <w:rFonts w:hint="eastAsia"/>
        </w:rPr>
      </w:pPr>
      <w:r>
        <w:rPr>
          <w:rFonts w:hint="eastAsia"/>
        </w:rPr>
        <w:t>运维方</w:t>
      </w:r>
      <w:r>
        <w:t>负责数据安全风险的评估和改进；</w:t>
      </w:r>
    </w:p>
    <w:p w14:paraId="599610B5">
      <w:pPr>
        <w:pStyle w:val="2"/>
        <w:ind w:firstLine="480"/>
        <w:rPr>
          <w:rFonts w:hint="eastAsia"/>
        </w:rPr>
      </w:pPr>
      <w:r>
        <w:rPr>
          <w:rFonts w:hint="eastAsia"/>
        </w:rPr>
        <w:t>运维方</w:t>
      </w:r>
      <w:r>
        <w:t>负责数据安全运营工作如：数据权限授权、数据共享、数据下载等审批；</w:t>
      </w:r>
    </w:p>
    <w:p w14:paraId="5F4344F1">
      <w:pPr>
        <w:pStyle w:val="2"/>
        <w:ind w:firstLine="480"/>
        <w:rPr>
          <w:rFonts w:hint="eastAsia"/>
        </w:rPr>
      </w:pPr>
      <w:r>
        <w:rPr>
          <w:rFonts w:hint="eastAsia"/>
        </w:rPr>
        <w:t>运维方</w:t>
      </w:r>
      <w:r>
        <w:t>负责数据安全事件的跟进和处理；</w:t>
      </w:r>
    </w:p>
    <w:p w14:paraId="39F1415D">
      <w:pPr>
        <w:pStyle w:val="2"/>
        <w:ind w:firstLine="480"/>
        <w:rPr>
          <w:rFonts w:hint="eastAsia"/>
        </w:rPr>
      </w:pPr>
      <w:r>
        <w:rPr>
          <w:rFonts w:hint="eastAsia"/>
        </w:rPr>
        <w:t>运维方</w:t>
      </w:r>
      <w:r>
        <w:t>协助数据安全管理团队展开数据治理工作，如数据分类分级工作；</w:t>
      </w:r>
    </w:p>
    <w:p w14:paraId="59C40315">
      <w:pPr>
        <w:pStyle w:val="2"/>
        <w:ind w:firstLine="480"/>
        <w:rPr>
          <w:rFonts w:hint="eastAsia"/>
        </w:rPr>
      </w:pPr>
      <w:r>
        <w:rPr>
          <w:rFonts w:hint="eastAsia"/>
        </w:rPr>
        <w:t>运维方</w:t>
      </w:r>
      <w:r>
        <w:t>负责数据安全专案项目管理和实施。</w:t>
      </w:r>
    </w:p>
    <w:p w14:paraId="0CB42C8B">
      <w:pPr>
        <w:pStyle w:val="14"/>
        <w:rPr>
          <w:rFonts w:hint="eastAsia" w:ascii="宋体" w:hAnsi="宋体" w:eastAsia="宋体"/>
        </w:rPr>
      </w:pPr>
      <w:bookmarkStart w:id="488" w:name="_Toc49888653"/>
      <w:bookmarkStart w:id="489" w:name="_Toc35018551"/>
      <w:r>
        <w:rPr>
          <w:rFonts w:hint="eastAsia" w:ascii="宋体" w:hAnsi="宋体" w:eastAsia="宋体"/>
        </w:rPr>
        <w:t>协同部门数据安全职能</w:t>
      </w:r>
      <w:bookmarkEnd w:id="488"/>
      <w:bookmarkEnd w:id="489"/>
    </w:p>
    <w:p w14:paraId="019EAF1D">
      <w:pPr>
        <w:pStyle w:val="2"/>
        <w:ind w:firstLine="480"/>
        <w:rPr>
          <w:rFonts w:hint="eastAsia"/>
        </w:rPr>
      </w:pPr>
      <w:r>
        <w:rPr>
          <w:rFonts w:hint="eastAsia"/>
        </w:rPr>
        <w:t>数据安全组织和组织内多个部门之间有非常紧密的关系，在组织架构的顶层设计层面，业务部、安全管理部、运维等部门需要参与到策略方向及重大事件的决策中；在实际数据安全业务开展层面，从平台底层设计到流程制定实施、安全工具部署、人员安全管控、数据安全合规、对外披露等方面均需要深度介入和协作。</w:t>
      </w:r>
    </w:p>
    <w:p w14:paraId="3CC8078E">
      <w:pPr>
        <w:pStyle w:val="2"/>
        <w:ind w:firstLine="480"/>
        <w:rPr>
          <w:rFonts w:hint="eastAsia"/>
        </w:rPr>
      </w:pPr>
      <w:r>
        <w:rPr>
          <w:rFonts w:hint="eastAsia"/>
        </w:rPr>
        <w:t>同时，需要数据安全管理层制定与各部门之间的数据安全工作机制，目的是为了保障数据安全工作顺利开展，过程中的争议得到解决，如数据安全安全团队与业务方、法务以及合作伙伴之间的日常工作交流、争议与问题解决等事项。</w:t>
      </w:r>
    </w:p>
    <w:p w14:paraId="7F3C3452">
      <w:pPr>
        <w:pStyle w:val="2"/>
        <w:ind w:firstLine="480"/>
        <w:rPr>
          <w:rFonts w:hint="eastAsia"/>
        </w:rPr>
      </w:pPr>
      <w:r>
        <w:rPr>
          <w:rFonts w:hint="eastAsia"/>
        </w:rPr>
        <w:t>协同部门数据安全职能通过项目过程中咨询服务细化、落地。</w:t>
      </w:r>
    </w:p>
    <w:p w14:paraId="4594AA9F">
      <w:pPr>
        <w:pStyle w:val="14"/>
        <w:rPr>
          <w:rFonts w:hint="eastAsia" w:ascii="宋体" w:hAnsi="宋体" w:eastAsia="宋体"/>
        </w:rPr>
      </w:pPr>
      <w:bookmarkStart w:id="490" w:name="_Toc49888654"/>
      <w:bookmarkStart w:id="491" w:name="_Toc35018552"/>
      <w:r>
        <w:rPr>
          <w:rFonts w:hint="eastAsia" w:ascii="宋体" w:hAnsi="宋体" w:eastAsia="宋体"/>
        </w:rPr>
        <w:t>业务部门数据安全职能</w:t>
      </w:r>
      <w:bookmarkEnd w:id="490"/>
      <w:bookmarkEnd w:id="491"/>
    </w:p>
    <w:p w14:paraId="008C0052">
      <w:pPr>
        <w:pStyle w:val="2"/>
        <w:ind w:firstLine="480"/>
        <w:rPr>
          <w:rFonts w:hint="eastAsia"/>
        </w:rPr>
      </w:pPr>
      <w:r>
        <w:rPr>
          <w:rFonts w:hint="eastAsia"/>
        </w:rPr>
        <w:t>业务部门在组织内主要职能是拓展业务，保障业务持续发展，但是同时需要兼顾数据安全风险问题。在业务开展过程中，主要会涉及以下几方面的数据安全联动工作，对于较为复杂大型的组织，考虑业务</w:t>
      </w:r>
      <w:r>
        <w:t>内部有一名数据安全接口人经过培训、赋能等工作开展以下相关工作：</w:t>
      </w:r>
    </w:p>
    <w:p w14:paraId="7FD90C86">
      <w:pPr>
        <w:pStyle w:val="2"/>
        <w:ind w:firstLine="480"/>
        <w:rPr>
          <w:rFonts w:hint="eastAsia"/>
        </w:rPr>
      </w:pPr>
      <w:r>
        <w:rPr>
          <w:rFonts w:hint="eastAsia"/>
        </w:rPr>
        <w:t>1</w:t>
      </w:r>
      <w:r>
        <w:t>.业务新增</w:t>
      </w:r>
    </w:p>
    <w:p w14:paraId="3DC27207">
      <w:pPr>
        <w:pStyle w:val="2"/>
        <w:ind w:firstLine="480"/>
        <w:rPr>
          <w:rFonts w:hint="eastAsia"/>
        </w:rPr>
      </w:pPr>
      <w:r>
        <w:t>大部分场景主要涉及数据采集合规，需要由数据安全组织及法务合规部门，联合开展新增业务的数据安全风险评估</w:t>
      </w:r>
      <w:r>
        <w:rPr>
          <w:rFonts w:hint="eastAsia"/>
        </w:rPr>
        <w:t>。</w:t>
      </w:r>
    </w:p>
    <w:p w14:paraId="12ABE50D">
      <w:pPr>
        <w:pStyle w:val="2"/>
        <w:ind w:firstLine="480"/>
        <w:rPr>
          <w:rFonts w:hint="eastAsia"/>
        </w:rPr>
      </w:pPr>
      <w:r>
        <w:rPr>
          <w:rFonts w:hint="eastAsia"/>
        </w:rPr>
        <w:t>2</w:t>
      </w:r>
      <w:r>
        <w:t>.业务运营</w:t>
      </w:r>
    </w:p>
    <w:p w14:paraId="3F63B889">
      <w:pPr>
        <w:pStyle w:val="2"/>
        <w:ind w:firstLine="480"/>
        <w:rPr>
          <w:rFonts w:hint="eastAsia"/>
        </w:rPr>
      </w:pPr>
      <w:r>
        <w:t>可能涉及数据批量查询、下载、分析和处理，过程中做好岗位权限管理，保障数据最小化使用的原则</w:t>
      </w:r>
      <w:r>
        <w:rPr>
          <w:rFonts w:hint="eastAsia"/>
        </w:rPr>
        <w:t>。</w:t>
      </w:r>
    </w:p>
    <w:p w14:paraId="396F34E7">
      <w:pPr>
        <w:pStyle w:val="2"/>
        <w:ind w:firstLine="480"/>
        <w:rPr>
          <w:rFonts w:hint="eastAsia"/>
        </w:rPr>
      </w:pPr>
      <w:r>
        <w:t>3.业务外部合作</w:t>
      </w:r>
    </w:p>
    <w:p w14:paraId="18595EDB">
      <w:pPr>
        <w:pStyle w:val="2"/>
        <w:ind w:firstLine="480"/>
        <w:rPr>
          <w:rFonts w:hint="eastAsia"/>
        </w:rPr>
      </w:pPr>
      <w:r>
        <w:t>当与外部产生合作，可能涉及数据共享、交换等场景，需要数据安全组织或数据</w:t>
      </w:r>
      <w:r>
        <w:rPr>
          <w:rFonts w:hint="eastAsia"/>
        </w:rPr>
        <w:t>安全接口人开展数据共享、数据披露的风险评估，避免敏感数据外泄等风险；同时接收外部合作</w:t>
      </w:r>
      <w:r>
        <w:t>的数据时，与合规部门联合做好数据来源合法的控制等措施</w:t>
      </w:r>
      <w:r>
        <w:rPr>
          <w:rFonts w:hint="eastAsia"/>
        </w:rPr>
        <w:t>。</w:t>
      </w:r>
    </w:p>
    <w:p w14:paraId="6A7F1490">
      <w:pPr>
        <w:pStyle w:val="2"/>
        <w:ind w:firstLine="480"/>
        <w:rPr>
          <w:rFonts w:hint="eastAsia"/>
        </w:rPr>
      </w:pPr>
      <w:r>
        <w:t>4.数据安全事件</w:t>
      </w:r>
    </w:p>
    <w:p w14:paraId="36BD5238">
      <w:pPr>
        <w:pStyle w:val="2"/>
        <w:ind w:firstLine="480"/>
        <w:rPr>
          <w:rFonts w:hint="eastAsia"/>
        </w:rPr>
      </w:pPr>
      <w:r>
        <w:t>当业务部门内部发生数据安全事件时，业务负责人需要联合数据安全组织及时调</w:t>
      </w:r>
      <w:r>
        <w:rPr>
          <w:rFonts w:hint="eastAsia"/>
        </w:rPr>
        <w:t>查和处理，降低事件影响面及影响程度。并举一反三，改进业务流程机制，降低数据安全风险。</w:t>
      </w:r>
    </w:p>
    <w:p w14:paraId="3680E38C">
      <w:pPr>
        <w:pStyle w:val="8"/>
        <w:rPr>
          <w:rFonts w:hint="eastAsia" w:ascii="宋体" w:hAnsi="宋体" w:eastAsia="宋体"/>
        </w:rPr>
      </w:pPr>
      <w:r>
        <w:rPr>
          <w:rFonts w:hint="eastAsia" w:ascii="宋体" w:hAnsi="宋体" w:eastAsia="宋体"/>
        </w:rPr>
        <w:t>数据安全技术能力建设</w:t>
      </w:r>
    </w:p>
    <w:p w14:paraId="74DDA51B">
      <w:pPr>
        <w:pStyle w:val="14"/>
        <w:rPr>
          <w:rFonts w:hint="eastAsia" w:ascii="宋体" w:hAnsi="宋体" w:eastAsia="宋体"/>
        </w:rPr>
      </w:pPr>
      <w:r>
        <w:rPr>
          <w:rFonts w:hint="eastAsia" w:ascii="宋体" w:hAnsi="宋体" w:eastAsia="宋体"/>
        </w:rPr>
        <w:t>数据分类分级服务</w:t>
      </w:r>
    </w:p>
    <w:p w14:paraId="08FE1AE2">
      <w:pPr>
        <w:pStyle w:val="2"/>
        <w:ind w:left="432" w:firstLine="0" w:firstLineChars="0"/>
        <w:rPr>
          <w:rFonts w:hint="eastAsia"/>
          <w:bCs/>
        </w:rPr>
      </w:pPr>
      <w:bookmarkStart w:id="492" w:name="_Toc5603"/>
      <w:bookmarkStart w:id="493" w:name="_Toc112167951"/>
      <w:r>
        <w:rPr>
          <w:rFonts w:hint="eastAsia"/>
          <w:bCs/>
        </w:rPr>
        <w:t>1</w:t>
      </w:r>
      <w:r>
        <w:rPr>
          <w:bCs/>
        </w:rPr>
        <w:t>.</w:t>
      </w:r>
      <w:r>
        <w:rPr>
          <w:rFonts w:hint="eastAsia"/>
          <w:bCs/>
        </w:rPr>
        <w:t>服务概述</w:t>
      </w:r>
      <w:bookmarkEnd w:id="492"/>
    </w:p>
    <w:p w14:paraId="1CEF8A0B">
      <w:pPr>
        <w:pStyle w:val="2"/>
        <w:ind w:firstLine="480"/>
        <w:rPr>
          <w:rFonts w:hint="eastAsia"/>
        </w:rPr>
      </w:pPr>
      <w:r>
        <w:rPr>
          <w:rFonts w:hint="eastAsia"/>
        </w:rPr>
        <w:t>基于数据安全分类分级服务从组织机构的角度出发，以数据为中心，突破无特征数据识别难题，帮助组织全面梳理数据资产，根据定义对敏感数据进行自动化发现，依照国家标准和行业规范完成数据分类分级识别，构建持续更新的敏感数据分类分级目录。从而满足行业分类分级监管要求，有针对性地为组织数据安全能力的提升提供依据，帮助客户对数据由暗转明、分类有序，促进客户数据安全能力的提升。</w:t>
      </w:r>
    </w:p>
    <w:bookmarkEnd w:id="493"/>
    <w:p w14:paraId="7AB03621">
      <w:pPr>
        <w:pStyle w:val="2"/>
        <w:ind w:left="432" w:firstLine="0" w:firstLineChars="0"/>
        <w:rPr>
          <w:rFonts w:hint="eastAsia"/>
          <w:bCs/>
        </w:rPr>
      </w:pPr>
      <w:bookmarkStart w:id="494" w:name="_Toc30390"/>
      <w:r>
        <w:rPr>
          <w:rFonts w:hint="eastAsia"/>
          <w:bCs/>
        </w:rPr>
        <w:t>2</w:t>
      </w:r>
      <w:r>
        <w:rPr>
          <w:bCs/>
        </w:rPr>
        <w:t>.</w:t>
      </w:r>
      <w:r>
        <w:rPr>
          <w:rFonts w:hint="eastAsia"/>
          <w:bCs/>
        </w:rPr>
        <w:t>服务流程</w:t>
      </w:r>
      <w:bookmarkEnd w:id="494"/>
      <w:r>
        <w:rPr>
          <w:rFonts w:hint="eastAsia"/>
          <w:bCs/>
        </w:rPr>
        <w:t xml:space="preserve"> </w:t>
      </w:r>
    </w:p>
    <w:p w14:paraId="1278357E">
      <w:pPr>
        <w:pStyle w:val="2"/>
        <w:ind w:firstLine="0" w:firstLineChars="0"/>
        <w:rPr>
          <w:rFonts w:hint="eastAsia"/>
        </w:rPr>
      </w:pPr>
      <w:r>
        <w:drawing>
          <wp:inline distT="0" distB="0" distL="0" distR="0">
            <wp:extent cx="5311140" cy="1733550"/>
            <wp:effectExtent l="0" t="0" r="1016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11140" cy="1733550"/>
                    </a:xfrm>
                    <a:prstGeom prst="rect">
                      <a:avLst/>
                    </a:prstGeom>
                    <a:noFill/>
                    <a:ln>
                      <a:noFill/>
                    </a:ln>
                  </pic:spPr>
                </pic:pic>
              </a:graphicData>
            </a:graphic>
          </wp:inline>
        </w:drawing>
      </w:r>
    </w:p>
    <w:p w14:paraId="5CE896B7">
      <w:pPr>
        <w:pStyle w:val="2"/>
        <w:ind w:firstLine="0" w:firstLineChars="0"/>
        <w:rPr>
          <w:rFonts w:hint="eastAsia"/>
          <w:bCs/>
        </w:rPr>
      </w:pPr>
      <w:r>
        <w:rPr>
          <w:rFonts w:hint="eastAsia"/>
          <w:bCs/>
        </w:rPr>
        <w:t>数据安全分类分级服务流程</w:t>
      </w:r>
    </w:p>
    <w:p w14:paraId="6A570B66">
      <w:pPr>
        <w:pStyle w:val="2"/>
        <w:ind w:left="432" w:firstLine="0" w:firstLineChars="0"/>
        <w:rPr>
          <w:rFonts w:hint="eastAsia"/>
          <w:bCs/>
        </w:rPr>
      </w:pPr>
      <w:bookmarkStart w:id="495" w:name="_Toc23537"/>
      <w:r>
        <w:rPr>
          <w:rFonts w:hint="eastAsia"/>
          <w:bCs/>
        </w:rPr>
        <w:t>1</w:t>
      </w:r>
      <w:r>
        <w:rPr>
          <w:bCs/>
        </w:rPr>
        <w:t>.</w:t>
      </w:r>
      <w:r>
        <w:rPr>
          <w:rFonts w:hint="eastAsia"/>
          <w:bCs/>
        </w:rPr>
        <w:t>服务内容</w:t>
      </w:r>
      <w:bookmarkEnd w:id="495"/>
    </w:p>
    <w:p w14:paraId="359C0DAC">
      <w:pPr>
        <w:pStyle w:val="2"/>
        <w:ind w:firstLine="480"/>
        <w:rPr>
          <w:rFonts w:hint="eastAsia"/>
          <w:bCs/>
        </w:rPr>
      </w:pPr>
      <w:bookmarkStart w:id="496" w:name="_Toc32229"/>
      <w:r>
        <w:rPr>
          <w:rFonts w:hint="eastAsia"/>
          <w:bCs/>
        </w:rPr>
        <w:t>（1）数据资产梳理</w:t>
      </w:r>
      <w:bookmarkEnd w:id="496"/>
    </w:p>
    <w:p w14:paraId="4AD29E4E">
      <w:pPr>
        <w:pStyle w:val="2"/>
        <w:ind w:firstLine="480"/>
        <w:rPr>
          <w:rFonts w:hint="eastAsia"/>
        </w:rPr>
      </w:pPr>
      <w:r>
        <w:rPr>
          <w:rFonts w:hint="eastAsia"/>
        </w:rPr>
        <w:t>数据资产梳理是对组织的数据资产进行全面梳理，包括以物理或电子形式记录的数据库表、数据项、数据文件等结构化和非结构化数据资产，明确数据资产基本信息和相关方，形成数据资产清单。</w:t>
      </w:r>
    </w:p>
    <w:p w14:paraId="675534F4">
      <w:pPr>
        <w:pStyle w:val="2"/>
        <w:ind w:firstLine="480"/>
        <w:rPr>
          <w:rFonts w:hint="eastAsia"/>
          <w:b/>
          <w:bCs/>
        </w:rPr>
      </w:pPr>
      <w:bookmarkStart w:id="497" w:name="_Toc395"/>
      <w:r>
        <w:rPr>
          <w:rFonts w:hint="eastAsia"/>
          <w:bCs/>
        </w:rPr>
        <w:t>（2）数据制度建</w:t>
      </w:r>
      <w:r>
        <w:rPr>
          <w:rFonts w:hint="eastAsia"/>
          <w:b/>
          <w:bCs/>
        </w:rPr>
        <w:t>立</w:t>
      </w:r>
      <w:bookmarkEnd w:id="497"/>
    </w:p>
    <w:p w14:paraId="34B437E6">
      <w:pPr>
        <w:pStyle w:val="2"/>
        <w:ind w:firstLine="480"/>
        <w:rPr>
          <w:rFonts w:hint="eastAsia"/>
        </w:rPr>
      </w:pPr>
      <w:r>
        <w:rPr>
          <w:rFonts w:hint="eastAsia"/>
        </w:rPr>
        <w:t>数据制度建立即规定数据分类分级的一般要求 、维度与方法；指导对数据进行分类和分级管理；并为后续开展政务数据采集、存储、传输、处理、共享、开放、销毁等行为及其安全与管理活动提供依据。</w:t>
      </w:r>
    </w:p>
    <w:p w14:paraId="7702F656">
      <w:pPr>
        <w:pStyle w:val="2"/>
        <w:ind w:firstLine="480"/>
        <w:rPr>
          <w:rFonts w:hint="eastAsia"/>
        </w:rPr>
      </w:pPr>
      <w:bookmarkStart w:id="498" w:name="_Toc24260"/>
      <w:r>
        <w:rPr>
          <w:rFonts w:hint="eastAsia"/>
        </w:rPr>
        <w:t>（3）数据分类确定</w:t>
      </w:r>
      <w:bookmarkEnd w:id="498"/>
    </w:p>
    <w:p w14:paraId="2D67E899">
      <w:pPr>
        <w:pStyle w:val="2"/>
        <w:ind w:firstLine="480"/>
        <w:rPr>
          <w:rFonts w:hint="eastAsia"/>
        </w:rPr>
      </w:pPr>
      <w:r>
        <w:rPr>
          <w:rFonts w:hint="eastAsia"/>
        </w:rPr>
        <w:t>数据分类具有多种视角和维度，其主要目的是便于数据管理和使用。数据分类的方法，从国家、行业、组织等视角给出了多个维度的数据分类参考框架。常见的数据分类维度，包括但不限于：a）公民个人维度、b）公共管理维度、c）信息传播维度、d）行业领域维度、e）组织经营维度。</w:t>
      </w:r>
    </w:p>
    <w:p w14:paraId="27311043">
      <w:pPr>
        <w:pStyle w:val="2"/>
        <w:ind w:firstLine="0" w:firstLineChars="0"/>
        <w:rPr>
          <w:rFonts w:hint="eastAsia"/>
        </w:rPr>
      </w:pPr>
      <w:r>
        <w:rPr>
          <w:rFonts w:hint="eastAsia"/>
        </w:rPr>
        <w:t xml:space="preserve"> </w:t>
      </w:r>
      <w:r>
        <w:t xml:space="preserve">  </w:t>
      </w:r>
      <w:r>
        <w:rPr>
          <w:rFonts w:hint="eastAsia"/>
        </w:rPr>
        <w:t>数据分类时，可在遵循国家和行业数据分类要求的基础上，采用面分类法从多个维度进行分类，对不同维度的数据类别进行标识，每个维度的数据分类也可采用线分类法进行细分。数据分类流程如下图所示</w:t>
      </w:r>
    </w:p>
    <w:p w14:paraId="52B4266D">
      <w:pPr>
        <w:pStyle w:val="2"/>
        <w:ind w:firstLine="2126" w:firstLineChars="886"/>
        <w:rPr>
          <w:rFonts w:hint="eastAsia"/>
        </w:rPr>
      </w:pPr>
      <w:r>
        <w:drawing>
          <wp:inline distT="0" distB="0" distL="0" distR="0">
            <wp:extent cx="2750820" cy="3555365"/>
            <wp:effectExtent l="0" t="0" r="5080" b="635"/>
            <wp:docPr id="16"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片1"/>
                    <pic:cNvPicPr>
                      <a:picLocks noChangeAspect="1" noChangeArrowheads="1"/>
                    </pic:cNvPicPr>
                  </pic:nvPicPr>
                  <pic:blipFill>
                    <a:blip r:embed="rId26">
                      <a:extLst>
                        <a:ext uri="{28A0092B-C50C-407E-A947-70E740481C1C}">
                          <a14:useLocalDpi xmlns:a14="http://schemas.microsoft.com/office/drawing/2010/main" val="0"/>
                        </a:ext>
                      </a:extLst>
                    </a:blip>
                    <a:srcRect b="3569"/>
                    <a:stretch>
                      <a:fillRect/>
                    </a:stretch>
                  </pic:blipFill>
                  <pic:spPr>
                    <a:xfrm>
                      <a:off x="0" y="0"/>
                      <a:ext cx="2750820" cy="3555365"/>
                    </a:xfrm>
                    <a:prstGeom prst="rect">
                      <a:avLst/>
                    </a:prstGeom>
                    <a:noFill/>
                    <a:ln>
                      <a:noFill/>
                    </a:ln>
                  </pic:spPr>
                </pic:pic>
              </a:graphicData>
            </a:graphic>
          </wp:inline>
        </w:drawing>
      </w:r>
    </w:p>
    <w:p w14:paraId="6FC454DD">
      <w:pPr>
        <w:pStyle w:val="2"/>
        <w:ind w:firstLine="480"/>
        <w:rPr>
          <w:rFonts w:hint="eastAsia"/>
          <w:bCs/>
        </w:rPr>
      </w:pPr>
      <w:bookmarkStart w:id="499" w:name="_Toc24710"/>
      <w:r>
        <w:rPr>
          <w:rFonts w:hint="eastAsia"/>
          <w:bCs/>
        </w:rPr>
        <w:t>（4）数据分级判定</w:t>
      </w:r>
      <w:bookmarkEnd w:id="499"/>
    </w:p>
    <w:p w14:paraId="7683184A">
      <w:pPr>
        <w:pStyle w:val="2"/>
        <w:ind w:firstLine="480"/>
        <w:rPr>
          <w:rFonts w:hint="eastAsia"/>
        </w:rPr>
      </w:pPr>
      <w:r>
        <w:rPr>
          <w:rFonts w:hint="eastAsia"/>
        </w:rPr>
        <w:t>数据分级是在数据分类的基础上按照数据遭到破坏（包括攻击、泄露、篡改、非法使用等）后对国家安全、社会秩序、公共利益以及个人、法人和其他组织的合法权益（受侵害客体）的危害程度对数据进行分级；为数据全生命周期管理的安全策略制定提供支撑。</w:t>
      </w:r>
    </w:p>
    <w:p w14:paraId="0A888902">
      <w:pPr>
        <w:pStyle w:val="2"/>
        <w:ind w:firstLine="480"/>
        <w:rPr>
          <w:rFonts w:hint="eastAsia"/>
        </w:rPr>
      </w:pPr>
      <w:r>
        <w:rPr>
          <w:rFonts w:hint="eastAsia"/>
        </w:rPr>
        <w:t xml:space="preserve">《网络安全标准实践指南—网络数据分类分级指引》给出了数据分级基本框架，将数据从低到高分成一般数据、重要数据、核心数据三个级别。各级别与影响对象、影响程度的对应关系如下表所示。 </w:t>
      </w:r>
    </w:p>
    <w:tbl>
      <w:tblPr>
        <w:tblStyle w:val="90"/>
        <w:tblW w:w="83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9"/>
        <w:gridCol w:w="1659"/>
        <w:gridCol w:w="1660"/>
        <w:gridCol w:w="1660"/>
        <w:gridCol w:w="1673"/>
      </w:tblGrid>
      <w:tr w14:paraId="7CCC0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 w:hRule="atLeast"/>
        </w:trPr>
        <w:tc>
          <w:tcPr>
            <w:tcW w:w="1659" w:type="dxa"/>
            <w:vMerge w:val="restart"/>
            <w:shd w:val="clear" w:color="auto" w:fill="BFBFBF"/>
            <w:vAlign w:val="center"/>
          </w:tcPr>
          <w:p w14:paraId="1182BE98">
            <w:pPr>
              <w:pStyle w:val="2"/>
              <w:keepNext w:val="0"/>
              <w:keepLines w:val="0"/>
              <w:suppressLineNumbers w:val="0"/>
              <w:spacing w:before="0" w:beforeAutospacing="0" w:after="0" w:afterAutospacing="0"/>
              <w:ind w:left="0" w:right="0" w:firstLine="0" w:firstLineChars="0"/>
              <w:rPr>
                <w:rFonts w:hint="eastAsia"/>
                <w:b/>
              </w:rPr>
            </w:pPr>
            <w:r>
              <w:rPr>
                <w:rFonts w:hint="eastAsia"/>
                <w:b/>
              </w:rPr>
              <w:t>基本级别</w:t>
            </w:r>
          </w:p>
        </w:tc>
        <w:tc>
          <w:tcPr>
            <w:tcW w:w="6652" w:type="dxa"/>
            <w:gridSpan w:val="4"/>
            <w:shd w:val="clear" w:color="auto" w:fill="BFBFBF"/>
          </w:tcPr>
          <w:p w14:paraId="1EE28512">
            <w:pPr>
              <w:pStyle w:val="2"/>
              <w:keepNext w:val="0"/>
              <w:keepLines w:val="0"/>
              <w:suppressLineNumbers w:val="0"/>
              <w:spacing w:before="0" w:beforeAutospacing="0" w:after="0" w:afterAutospacing="0"/>
              <w:ind w:left="0" w:right="0" w:firstLine="0" w:firstLineChars="0"/>
              <w:rPr>
                <w:rFonts w:hint="eastAsia"/>
                <w:b/>
              </w:rPr>
            </w:pPr>
            <w:r>
              <w:rPr>
                <w:rFonts w:hint="eastAsia"/>
                <w:b/>
              </w:rPr>
              <w:t>影响对象</w:t>
            </w:r>
          </w:p>
        </w:tc>
      </w:tr>
      <w:tr w14:paraId="27A16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659" w:type="dxa"/>
            <w:vMerge w:val="continue"/>
            <w:shd w:val="clear" w:color="auto" w:fill="BFBFBF"/>
          </w:tcPr>
          <w:p w14:paraId="659A9949">
            <w:pPr>
              <w:pStyle w:val="2"/>
              <w:keepNext w:val="0"/>
              <w:keepLines w:val="0"/>
              <w:suppressLineNumbers w:val="0"/>
              <w:spacing w:before="0" w:beforeAutospacing="0" w:after="0" w:afterAutospacing="0"/>
              <w:ind w:left="0" w:right="0" w:firstLine="0" w:firstLineChars="0"/>
              <w:rPr>
                <w:rFonts w:hint="eastAsia"/>
                <w:b/>
              </w:rPr>
            </w:pPr>
          </w:p>
        </w:tc>
        <w:tc>
          <w:tcPr>
            <w:tcW w:w="1659" w:type="dxa"/>
            <w:shd w:val="clear" w:color="auto" w:fill="BFBFBF"/>
          </w:tcPr>
          <w:p w14:paraId="54140F37">
            <w:pPr>
              <w:pStyle w:val="2"/>
              <w:keepNext w:val="0"/>
              <w:keepLines w:val="0"/>
              <w:suppressLineNumbers w:val="0"/>
              <w:spacing w:before="0" w:beforeAutospacing="0" w:after="0" w:afterAutospacing="0"/>
              <w:ind w:left="0" w:right="0" w:firstLine="0" w:firstLineChars="0"/>
              <w:rPr>
                <w:rFonts w:hint="eastAsia"/>
                <w:b/>
              </w:rPr>
            </w:pPr>
            <w:r>
              <w:rPr>
                <w:rFonts w:hint="eastAsia"/>
                <w:b/>
              </w:rPr>
              <w:t>国家安全</w:t>
            </w:r>
          </w:p>
        </w:tc>
        <w:tc>
          <w:tcPr>
            <w:tcW w:w="1660" w:type="dxa"/>
            <w:shd w:val="clear" w:color="auto" w:fill="BFBFBF"/>
          </w:tcPr>
          <w:p w14:paraId="6977E76C">
            <w:pPr>
              <w:pStyle w:val="2"/>
              <w:keepNext w:val="0"/>
              <w:keepLines w:val="0"/>
              <w:suppressLineNumbers w:val="0"/>
              <w:spacing w:before="0" w:beforeAutospacing="0" w:after="0" w:afterAutospacing="0"/>
              <w:ind w:left="0" w:right="0" w:firstLine="0" w:firstLineChars="0"/>
              <w:rPr>
                <w:rFonts w:hint="eastAsia"/>
                <w:b/>
              </w:rPr>
            </w:pPr>
            <w:r>
              <w:rPr>
                <w:rFonts w:hint="eastAsia"/>
                <w:b/>
              </w:rPr>
              <w:t>公共利益</w:t>
            </w:r>
          </w:p>
        </w:tc>
        <w:tc>
          <w:tcPr>
            <w:tcW w:w="1660" w:type="dxa"/>
            <w:shd w:val="clear" w:color="auto" w:fill="BFBFBF"/>
          </w:tcPr>
          <w:p w14:paraId="65573B14">
            <w:pPr>
              <w:pStyle w:val="2"/>
              <w:keepNext w:val="0"/>
              <w:keepLines w:val="0"/>
              <w:suppressLineNumbers w:val="0"/>
              <w:spacing w:before="0" w:beforeAutospacing="0" w:after="0" w:afterAutospacing="0"/>
              <w:ind w:left="0" w:right="0" w:firstLine="0" w:firstLineChars="0"/>
              <w:rPr>
                <w:rFonts w:hint="eastAsia"/>
                <w:b/>
              </w:rPr>
            </w:pPr>
            <w:r>
              <w:rPr>
                <w:rFonts w:hint="eastAsia"/>
                <w:b/>
              </w:rPr>
              <w:t>个人合法权益</w:t>
            </w:r>
          </w:p>
        </w:tc>
        <w:tc>
          <w:tcPr>
            <w:tcW w:w="1673" w:type="dxa"/>
            <w:shd w:val="clear" w:color="auto" w:fill="BFBFBF"/>
          </w:tcPr>
          <w:p w14:paraId="24750109">
            <w:pPr>
              <w:pStyle w:val="2"/>
              <w:keepNext w:val="0"/>
              <w:keepLines w:val="0"/>
              <w:suppressLineNumbers w:val="0"/>
              <w:spacing w:before="0" w:beforeAutospacing="0" w:after="0" w:afterAutospacing="0"/>
              <w:ind w:left="0" w:right="0" w:firstLine="0" w:firstLineChars="0"/>
              <w:rPr>
                <w:rFonts w:hint="eastAsia"/>
                <w:b/>
              </w:rPr>
            </w:pPr>
            <w:r>
              <w:rPr>
                <w:rFonts w:hint="eastAsia"/>
                <w:b/>
              </w:rPr>
              <w:t>组织合法权益</w:t>
            </w:r>
          </w:p>
        </w:tc>
      </w:tr>
      <w:tr w14:paraId="17830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659" w:type="dxa"/>
            <w:vAlign w:val="center"/>
          </w:tcPr>
          <w:p w14:paraId="3A964500">
            <w:pPr>
              <w:pStyle w:val="2"/>
              <w:keepNext w:val="0"/>
              <w:keepLines w:val="0"/>
              <w:suppressLineNumbers w:val="0"/>
              <w:spacing w:before="0" w:beforeAutospacing="0" w:after="0" w:afterAutospacing="0"/>
              <w:ind w:left="0" w:right="0" w:firstLine="0" w:firstLineChars="0"/>
              <w:rPr>
                <w:rFonts w:hint="eastAsia"/>
              </w:rPr>
            </w:pPr>
            <w:r>
              <w:rPr>
                <w:rFonts w:hint="eastAsia"/>
              </w:rPr>
              <w:t>核心数据</w:t>
            </w:r>
          </w:p>
        </w:tc>
        <w:tc>
          <w:tcPr>
            <w:tcW w:w="1659" w:type="dxa"/>
            <w:vAlign w:val="center"/>
          </w:tcPr>
          <w:p w14:paraId="4950FFD5">
            <w:pPr>
              <w:pStyle w:val="2"/>
              <w:keepNext w:val="0"/>
              <w:keepLines w:val="0"/>
              <w:suppressLineNumbers w:val="0"/>
              <w:spacing w:before="0" w:beforeAutospacing="0" w:after="0" w:afterAutospacing="0"/>
              <w:ind w:left="0" w:right="0" w:firstLine="0" w:firstLineChars="0"/>
              <w:rPr>
                <w:rFonts w:hint="eastAsia"/>
              </w:rPr>
            </w:pPr>
            <w:r>
              <w:rPr>
                <w:rFonts w:hint="eastAsia"/>
              </w:rPr>
              <w:t>一般危害、严重危害</w:t>
            </w:r>
          </w:p>
        </w:tc>
        <w:tc>
          <w:tcPr>
            <w:tcW w:w="1660" w:type="dxa"/>
            <w:vAlign w:val="center"/>
          </w:tcPr>
          <w:p w14:paraId="2C8236F1">
            <w:pPr>
              <w:pStyle w:val="2"/>
              <w:keepNext w:val="0"/>
              <w:keepLines w:val="0"/>
              <w:suppressLineNumbers w:val="0"/>
              <w:spacing w:before="0" w:beforeAutospacing="0" w:after="0" w:afterAutospacing="0"/>
              <w:ind w:left="0" w:right="0" w:firstLine="0" w:firstLineChars="0"/>
              <w:rPr>
                <w:rFonts w:hint="eastAsia"/>
              </w:rPr>
            </w:pPr>
            <w:r>
              <w:rPr>
                <w:rFonts w:hint="eastAsia"/>
              </w:rPr>
              <w:t>严重危害</w:t>
            </w:r>
          </w:p>
        </w:tc>
        <w:tc>
          <w:tcPr>
            <w:tcW w:w="1660" w:type="dxa"/>
            <w:vAlign w:val="center"/>
          </w:tcPr>
          <w:p w14:paraId="766D17A5">
            <w:pPr>
              <w:pStyle w:val="2"/>
              <w:keepNext w:val="0"/>
              <w:keepLines w:val="0"/>
              <w:suppressLineNumbers w:val="0"/>
              <w:spacing w:before="0" w:beforeAutospacing="0" w:after="0" w:afterAutospacing="0"/>
              <w:ind w:left="0" w:right="0" w:firstLine="0" w:firstLineChars="0"/>
              <w:rPr>
                <w:rFonts w:hint="eastAsia"/>
              </w:rPr>
            </w:pPr>
          </w:p>
        </w:tc>
        <w:tc>
          <w:tcPr>
            <w:tcW w:w="1673" w:type="dxa"/>
            <w:vAlign w:val="center"/>
          </w:tcPr>
          <w:p w14:paraId="112474D9">
            <w:pPr>
              <w:pStyle w:val="2"/>
              <w:keepNext w:val="0"/>
              <w:keepLines w:val="0"/>
              <w:suppressLineNumbers w:val="0"/>
              <w:spacing w:before="0" w:beforeAutospacing="0" w:after="0" w:afterAutospacing="0"/>
              <w:ind w:left="0" w:right="0" w:firstLine="0" w:firstLineChars="0"/>
              <w:rPr>
                <w:rFonts w:hint="eastAsia"/>
              </w:rPr>
            </w:pPr>
          </w:p>
        </w:tc>
      </w:tr>
      <w:tr w14:paraId="268FB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659" w:type="dxa"/>
            <w:vAlign w:val="center"/>
          </w:tcPr>
          <w:p w14:paraId="62519DC1">
            <w:pPr>
              <w:pStyle w:val="2"/>
              <w:keepNext w:val="0"/>
              <w:keepLines w:val="0"/>
              <w:suppressLineNumbers w:val="0"/>
              <w:spacing w:before="0" w:beforeAutospacing="0" w:after="0" w:afterAutospacing="0"/>
              <w:ind w:left="0" w:right="0" w:firstLine="0" w:firstLineChars="0"/>
              <w:rPr>
                <w:rFonts w:hint="eastAsia"/>
              </w:rPr>
            </w:pPr>
            <w:r>
              <w:rPr>
                <w:rFonts w:hint="eastAsia"/>
              </w:rPr>
              <w:t>重要数据</w:t>
            </w:r>
          </w:p>
        </w:tc>
        <w:tc>
          <w:tcPr>
            <w:tcW w:w="1659" w:type="dxa"/>
            <w:vAlign w:val="center"/>
          </w:tcPr>
          <w:p w14:paraId="349E87D4">
            <w:pPr>
              <w:pStyle w:val="2"/>
              <w:keepNext w:val="0"/>
              <w:keepLines w:val="0"/>
              <w:suppressLineNumbers w:val="0"/>
              <w:spacing w:before="0" w:beforeAutospacing="0" w:after="0" w:afterAutospacing="0"/>
              <w:ind w:left="0" w:right="0" w:firstLine="0" w:firstLineChars="0"/>
              <w:rPr>
                <w:rFonts w:hint="eastAsia"/>
              </w:rPr>
            </w:pPr>
            <w:r>
              <w:rPr>
                <w:rFonts w:hint="eastAsia"/>
              </w:rPr>
              <w:t>轻微危害</w:t>
            </w:r>
          </w:p>
        </w:tc>
        <w:tc>
          <w:tcPr>
            <w:tcW w:w="1660" w:type="dxa"/>
            <w:vAlign w:val="center"/>
          </w:tcPr>
          <w:p w14:paraId="5CF59784">
            <w:pPr>
              <w:pStyle w:val="2"/>
              <w:keepNext w:val="0"/>
              <w:keepLines w:val="0"/>
              <w:suppressLineNumbers w:val="0"/>
              <w:spacing w:before="0" w:beforeAutospacing="0" w:after="0" w:afterAutospacing="0"/>
              <w:ind w:left="0" w:right="0" w:firstLine="0" w:firstLineChars="0"/>
              <w:rPr>
                <w:rFonts w:hint="eastAsia"/>
              </w:rPr>
            </w:pPr>
            <w:r>
              <w:rPr>
                <w:rFonts w:hint="eastAsia"/>
              </w:rPr>
              <w:t>一般危害、轻微危害</w:t>
            </w:r>
          </w:p>
        </w:tc>
        <w:tc>
          <w:tcPr>
            <w:tcW w:w="1660" w:type="dxa"/>
            <w:vAlign w:val="center"/>
          </w:tcPr>
          <w:p w14:paraId="741B8109">
            <w:pPr>
              <w:pStyle w:val="2"/>
              <w:keepNext w:val="0"/>
              <w:keepLines w:val="0"/>
              <w:suppressLineNumbers w:val="0"/>
              <w:spacing w:before="0" w:beforeAutospacing="0" w:after="0" w:afterAutospacing="0"/>
              <w:ind w:left="0" w:right="0" w:firstLine="0" w:firstLineChars="0"/>
              <w:rPr>
                <w:rFonts w:hint="eastAsia"/>
              </w:rPr>
            </w:pPr>
          </w:p>
        </w:tc>
        <w:tc>
          <w:tcPr>
            <w:tcW w:w="1673" w:type="dxa"/>
            <w:vAlign w:val="center"/>
          </w:tcPr>
          <w:p w14:paraId="76BE8829">
            <w:pPr>
              <w:pStyle w:val="2"/>
              <w:keepNext w:val="0"/>
              <w:keepLines w:val="0"/>
              <w:suppressLineNumbers w:val="0"/>
              <w:spacing w:before="0" w:beforeAutospacing="0" w:after="0" w:afterAutospacing="0"/>
              <w:ind w:left="0" w:right="0" w:firstLine="0" w:firstLineChars="0"/>
              <w:rPr>
                <w:rFonts w:hint="eastAsia"/>
              </w:rPr>
            </w:pPr>
          </w:p>
        </w:tc>
      </w:tr>
      <w:tr w14:paraId="5F5AB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trPr>
        <w:tc>
          <w:tcPr>
            <w:tcW w:w="1659" w:type="dxa"/>
            <w:vAlign w:val="center"/>
          </w:tcPr>
          <w:p w14:paraId="0A16ADED">
            <w:pPr>
              <w:pStyle w:val="2"/>
              <w:keepNext w:val="0"/>
              <w:keepLines w:val="0"/>
              <w:suppressLineNumbers w:val="0"/>
              <w:spacing w:before="0" w:beforeAutospacing="0" w:after="0" w:afterAutospacing="0"/>
              <w:ind w:left="0" w:right="0" w:firstLine="0" w:firstLineChars="0"/>
              <w:rPr>
                <w:rFonts w:hint="eastAsia"/>
              </w:rPr>
            </w:pPr>
            <w:r>
              <w:rPr>
                <w:rFonts w:hint="eastAsia"/>
              </w:rPr>
              <w:t>一般数据</w:t>
            </w:r>
          </w:p>
        </w:tc>
        <w:tc>
          <w:tcPr>
            <w:tcW w:w="1659" w:type="dxa"/>
            <w:vAlign w:val="center"/>
          </w:tcPr>
          <w:p w14:paraId="43190934">
            <w:pPr>
              <w:pStyle w:val="2"/>
              <w:keepNext w:val="0"/>
              <w:keepLines w:val="0"/>
              <w:suppressLineNumbers w:val="0"/>
              <w:spacing w:before="0" w:beforeAutospacing="0" w:after="0" w:afterAutospacing="0"/>
              <w:ind w:left="0" w:right="0" w:firstLine="0" w:firstLineChars="0"/>
              <w:rPr>
                <w:rFonts w:hint="eastAsia"/>
              </w:rPr>
            </w:pPr>
            <w:r>
              <w:rPr>
                <w:rFonts w:hint="eastAsia"/>
              </w:rPr>
              <w:t>无危害</w:t>
            </w:r>
          </w:p>
        </w:tc>
        <w:tc>
          <w:tcPr>
            <w:tcW w:w="1660" w:type="dxa"/>
            <w:vAlign w:val="center"/>
          </w:tcPr>
          <w:p w14:paraId="6C92A547">
            <w:pPr>
              <w:pStyle w:val="2"/>
              <w:keepNext w:val="0"/>
              <w:keepLines w:val="0"/>
              <w:suppressLineNumbers w:val="0"/>
              <w:spacing w:before="0" w:beforeAutospacing="0" w:after="0" w:afterAutospacing="0"/>
              <w:ind w:left="0" w:right="0" w:firstLine="0" w:firstLineChars="0"/>
              <w:rPr>
                <w:rFonts w:hint="eastAsia"/>
              </w:rPr>
            </w:pPr>
            <w:r>
              <w:rPr>
                <w:rFonts w:hint="eastAsia"/>
              </w:rPr>
              <w:t>无危害</w:t>
            </w:r>
          </w:p>
        </w:tc>
        <w:tc>
          <w:tcPr>
            <w:tcW w:w="1660" w:type="dxa"/>
            <w:vAlign w:val="center"/>
          </w:tcPr>
          <w:p w14:paraId="2DCC9B4B">
            <w:pPr>
              <w:pStyle w:val="2"/>
              <w:keepNext w:val="0"/>
              <w:keepLines w:val="0"/>
              <w:suppressLineNumbers w:val="0"/>
              <w:spacing w:before="0" w:beforeAutospacing="0" w:after="0" w:afterAutospacing="0"/>
              <w:ind w:left="0" w:right="0" w:firstLine="0" w:firstLineChars="0"/>
              <w:rPr>
                <w:rFonts w:hint="eastAsia"/>
              </w:rPr>
            </w:pPr>
            <w:r>
              <w:rPr>
                <w:rFonts w:hint="eastAsia"/>
              </w:rPr>
              <w:t>无危害、轻微危害、一般危害、严重危害</w:t>
            </w:r>
          </w:p>
        </w:tc>
        <w:tc>
          <w:tcPr>
            <w:tcW w:w="1673" w:type="dxa"/>
            <w:vAlign w:val="center"/>
          </w:tcPr>
          <w:p w14:paraId="2689CFF8">
            <w:pPr>
              <w:pStyle w:val="2"/>
              <w:keepNext w:val="0"/>
              <w:keepLines w:val="0"/>
              <w:suppressLineNumbers w:val="0"/>
              <w:spacing w:before="0" w:beforeAutospacing="0" w:after="0" w:afterAutospacing="0"/>
              <w:ind w:left="0" w:right="0" w:firstLine="0" w:firstLineChars="0"/>
              <w:rPr>
                <w:rFonts w:hint="eastAsia"/>
              </w:rPr>
            </w:pPr>
            <w:r>
              <w:rPr>
                <w:rFonts w:hint="eastAsia"/>
              </w:rPr>
              <w:t>无危害、轻微危害、一般危害、严重危害；</w:t>
            </w:r>
          </w:p>
        </w:tc>
      </w:tr>
    </w:tbl>
    <w:p w14:paraId="264EB35B">
      <w:pPr>
        <w:pStyle w:val="2"/>
        <w:ind w:firstLine="480"/>
        <w:rPr>
          <w:rFonts w:hint="eastAsia"/>
        </w:rPr>
      </w:pPr>
      <w:r>
        <w:rPr>
          <w:rFonts w:hint="eastAsia"/>
        </w:rPr>
        <w:t>数据分级的流程包括：</w:t>
      </w:r>
    </w:p>
    <w:p w14:paraId="6B345A31">
      <w:pPr>
        <w:pStyle w:val="2"/>
        <w:ind w:firstLine="480"/>
        <w:rPr>
          <w:rFonts w:hint="eastAsia"/>
        </w:rPr>
      </w:pPr>
      <w:r>
        <w:rPr>
          <w:rFonts w:hint="eastAsia"/>
        </w:rPr>
        <w:t>按照国家和行业领域的核心数据目录、重要数据目录，依次判定是否核心数据、重要数据，如是则按照就高从严原则定为核心数据级、重要数据级，其他数据定为一般数据；</w:t>
      </w:r>
    </w:p>
    <w:p w14:paraId="72802048">
      <w:pPr>
        <w:pStyle w:val="2"/>
        <w:ind w:firstLine="480"/>
        <w:rPr>
          <w:rFonts w:hint="eastAsia"/>
        </w:rPr>
      </w:pPr>
      <w:r>
        <w:rPr>
          <w:rFonts w:hint="eastAsia"/>
        </w:rPr>
        <w:t>国家和行业核心数据、重要数据目录不明确时，可参考核心数据、重要数据认定的规定或标准，分析数据一旦遭到篡改、破坏、泄露或者非法获取、非法利用的危害对象和危害程度进行基本分级，确定核心数据、重要数据和一般数据级别；</w:t>
      </w:r>
    </w:p>
    <w:p w14:paraId="49C861E3">
      <w:pPr>
        <w:pStyle w:val="2"/>
        <w:ind w:firstLine="480"/>
        <w:rPr>
          <w:rFonts w:hint="eastAsia"/>
        </w:rPr>
      </w:pPr>
      <w:r>
        <w:rPr>
          <w:rFonts w:hint="eastAsia"/>
        </w:rPr>
        <w:t>按照一般数据分级规则或者所属行业共识的数据分级规则对一般数据进行分级，确定一般数据细分级别。部分行业领域与本实践指南的分级对应关系</w:t>
      </w:r>
    </w:p>
    <w:p w14:paraId="3FB9D22A">
      <w:pPr>
        <w:pStyle w:val="2"/>
        <w:ind w:firstLine="480"/>
        <w:rPr>
          <w:rFonts w:hint="eastAsia"/>
        </w:rPr>
      </w:pPr>
      <w:r>
        <w:rPr>
          <w:rFonts w:hint="eastAsia"/>
        </w:rPr>
        <w:t>如果数据属于个人信息，应识别敏感个人信息、一般个人信息，具体流程如下图所示</w:t>
      </w:r>
    </w:p>
    <w:p w14:paraId="292C2D39">
      <w:pPr>
        <w:pStyle w:val="2"/>
        <w:ind w:left="1485" w:leftChars="707" w:firstLine="568" w:firstLineChars="237"/>
        <w:rPr>
          <w:rFonts w:hint="eastAsia"/>
        </w:rPr>
      </w:pPr>
      <w:r>
        <w:drawing>
          <wp:inline distT="0" distB="0" distL="0" distR="0">
            <wp:extent cx="2172335" cy="3145790"/>
            <wp:effectExtent l="0" t="0" r="12065" b="3810"/>
            <wp:docPr id="17" name="图片 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11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72335" cy="3145790"/>
                    </a:xfrm>
                    <a:prstGeom prst="rect">
                      <a:avLst/>
                    </a:prstGeom>
                    <a:noFill/>
                    <a:ln>
                      <a:noFill/>
                    </a:ln>
                  </pic:spPr>
                </pic:pic>
              </a:graphicData>
            </a:graphic>
          </wp:inline>
        </w:drawing>
      </w:r>
    </w:p>
    <w:p w14:paraId="5E991F25">
      <w:pPr>
        <w:pStyle w:val="2"/>
        <w:ind w:firstLine="480"/>
        <w:rPr>
          <w:rFonts w:hint="eastAsia"/>
          <w:bCs/>
        </w:rPr>
      </w:pPr>
      <w:bookmarkStart w:id="500" w:name="_Toc22826"/>
      <w:r>
        <w:rPr>
          <w:rFonts w:hint="eastAsia"/>
          <w:bCs/>
        </w:rPr>
        <w:t>（5）审核标志管理</w:t>
      </w:r>
      <w:bookmarkEnd w:id="500"/>
    </w:p>
    <w:p w14:paraId="157F3970">
      <w:pPr>
        <w:pStyle w:val="2"/>
        <w:ind w:firstLine="480"/>
        <w:rPr>
          <w:rFonts w:hint="eastAsia"/>
          <w:bCs/>
        </w:rPr>
      </w:pPr>
      <w:r>
        <w:rPr>
          <w:rFonts w:hint="eastAsia"/>
          <w:bCs/>
        </w:rPr>
        <w:t>对数据资产分类分级结果进行评审和完善，最后批准发布实施，形成数据资产分类分级清单。并对数据资产和数据分类分级进行维护、管理和定期审核。</w:t>
      </w:r>
    </w:p>
    <w:p w14:paraId="7E962C71">
      <w:pPr>
        <w:pStyle w:val="2"/>
        <w:ind w:firstLine="480"/>
        <w:rPr>
          <w:rFonts w:hint="eastAsia"/>
          <w:bCs/>
        </w:rPr>
      </w:pPr>
      <w:bookmarkStart w:id="501" w:name="_Toc22257"/>
      <w:r>
        <w:rPr>
          <w:rFonts w:hint="eastAsia"/>
          <w:bCs/>
        </w:rPr>
        <w:t>（6）数据分类分级保护</w:t>
      </w:r>
      <w:bookmarkEnd w:id="501"/>
    </w:p>
    <w:p w14:paraId="2F170F7A">
      <w:pPr>
        <w:pStyle w:val="2"/>
        <w:ind w:firstLine="480"/>
        <w:rPr>
          <w:rFonts w:hint="eastAsia"/>
        </w:rPr>
      </w:pPr>
      <w:r>
        <w:rPr>
          <w:rFonts w:hint="eastAsia"/>
        </w:rPr>
        <w:t>依据国家给出的关于核心数据、重要数据、个人信息、公共数据等安全要求，以及行业领域给出的数据分类分级保护要求，建立数据分类分级保护策略，按照核心数据严格管理、重要数据重点保护、个人信息安全合规和一般数据分级保护的思路，对数据实施全流程分类分级管理和保护。</w:t>
      </w:r>
    </w:p>
    <w:p w14:paraId="1696D06D">
      <w:pPr>
        <w:pStyle w:val="2"/>
        <w:ind w:firstLine="480"/>
        <w:rPr>
          <w:rFonts w:hint="eastAsia"/>
          <w:bCs/>
        </w:rPr>
      </w:pPr>
      <w:r>
        <w:rPr>
          <w:rFonts w:hint="eastAsia"/>
          <w:bCs/>
        </w:rPr>
        <w:t>（7）服务成效</w:t>
      </w:r>
    </w:p>
    <w:p w14:paraId="36931E75">
      <w:pPr>
        <w:pStyle w:val="2"/>
        <w:ind w:firstLine="480"/>
        <w:rPr>
          <w:rFonts w:hint="eastAsia"/>
        </w:rPr>
      </w:pPr>
      <w:r>
        <w:rPr>
          <w:rFonts w:hint="eastAsia"/>
        </w:rPr>
        <w:t>根据数据安全法、个人信息保护法以及相关政策和标准，为客户提供数据安全分类分级服务，给客户带来如下收益：</w:t>
      </w:r>
    </w:p>
    <w:p w14:paraId="507D70C2">
      <w:pPr>
        <w:pStyle w:val="2"/>
        <w:ind w:firstLine="480"/>
        <w:rPr>
          <w:rFonts w:hint="eastAsia"/>
        </w:rPr>
      </w:pPr>
      <w:r>
        <w:rPr>
          <w:rFonts w:hint="eastAsia"/>
        </w:rPr>
        <w:t>帮助客户满足合法合规需求：数据分类分级是我国近年来数据安全治理的高频热点词汇，国标/行标相继出台，根据城管局内、外部监管合规与管理要求，采用咨询调研访谈及结合分类分级辅助技术，梳理城管局关键敏感数据类型，并根据数据分类、风险与影响程度进行分级建议，通过对数据进行分类分级保护，保障数据在采集、传输、存储、使用、共享、销毁过程中的合规合法。</w:t>
      </w:r>
    </w:p>
    <w:p w14:paraId="19C3F5CB">
      <w:pPr>
        <w:pStyle w:val="2"/>
        <w:ind w:firstLine="480"/>
        <w:rPr>
          <w:rFonts w:hint="eastAsia"/>
        </w:rPr>
      </w:pPr>
      <w:r>
        <w:rPr>
          <w:rFonts w:hint="eastAsia"/>
        </w:rPr>
        <w:t>帮助客户满足自身运营要求：分类分级除了可以满足合规需求，更是提升自身信息化水平和运营能力的良方。基于业务的分类可以更好地将数据资产化，持续性为城管局提供精准的数据服务；同时数据分级可以在安全角度为城管局保驾护航，哪些数据可以使用、哪些不可以使用、哪些能对外开放、哪些不能开放、不同等级的数据在不同场景使用哪种安全策略，一目了然。</w:t>
      </w:r>
    </w:p>
    <w:p w14:paraId="0CF91293">
      <w:pPr>
        <w:pStyle w:val="2"/>
        <w:ind w:firstLine="480"/>
        <w:rPr>
          <w:rFonts w:hint="eastAsia"/>
        </w:rPr>
      </w:pPr>
      <w:r>
        <w:rPr>
          <w:rFonts w:hint="eastAsia"/>
        </w:rPr>
        <w:t>提升安全保障能力，形成主动防御能力：基于数据安全分类分级结果，针对各级数据进行数据安全体系规划及建设，协助客户建立健壮的数据安全保障体系，形成整体化、主动防御能力，保障客户业务连续性。</w:t>
      </w:r>
    </w:p>
    <w:p w14:paraId="1C497F5E">
      <w:pPr>
        <w:pStyle w:val="14"/>
        <w:rPr>
          <w:rFonts w:hint="eastAsia" w:ascii="宋体" w:hAnsi="宋体" w:eastAsia="宋体"/>
        </w:rPr>
      </w:pPr>
      <w:r>
        <w:rPr>
          <w:rFonts w:hint="eastAsia" w:ascii="宋体" w:hAnsi="宋体" w:eastAsia="宋体"/>
        </w:rPr>
        <w:t>数据全生命周期管理</w:t>
      </w:r>
    </w:p>
    <w:p w14:paraId="0BB594EE">
      <w:pPr>
        <w:pStyle w:val="2"/>
        <w:ind w:firstLine="480"/>
        <w:rPr>
          <w:rFonts w:hint="eastAsia"/>
        </w:rPr>
      </w:pPr>
      <w:r>
        <w:rPr>
          <w:rFonts w:hint="eastAsia"/>
        </w:rPr>
        <w:t>数据生命周期管理包括数据采集阶段监控审计、数据传输阶段监控审计、数据存储阶段监控审计、数据使用阶段监控审计（包括数据处理阶段和共享阶段）、数据销毁阶段监控审计。</w:t>
      </w:r>
    </w:p>
    <w:p w14:paraId="783CB9EE">
      <w:pPr>
        <w:pStyle w:val="2"/>
        <w:ind w:firstLine="480"/>
        <w:rPr>
          <w:rFonts w:hint="eastAsia"/>
        </w:rPr>
      </w:pPr>
      <w:r>
        <w:rPr>
          <w:rFonts w:hint="eastAsia"/>
        </w:rPr>
        <w:t>全生命周期管理是对生命周期各个阶段的数据使用情况进行分析、展现管理。</w:t>
      </w:r>
    </w:p>
    <w:p w14:paraId="679EFDBD">
      <w:pPr>
        <w:pStyle w:val="2"/>
        <w:ind w:left="432" w:firstLine="0" w:firstLineChars="0"/>
        <w:rPr>
          <w:rFonts w:hint="eastAsia"/>
          <w:bCs/>
        </w:rPr>
      </w:pPr>
      <w:r>
        <w:rPr>
          <w:rFonts w:hint="eastAsia"/>
          <w:bCs/>
        </w:rPr>
        <w:t>1</w:t>
      </w:r>
      <w:r>
        <w:rPr>
          <w:bCs/>
        </w:rPr>
        <w:t>.</w:t>
      </w:r>
      <w:r>
        <w:rPr>
          <w:rFonts w:hint="eastAsia"/>
          <w:bCs/>
        </w:rPr>
        <w:t>数据采集监控管理</w:t>
      </w:r>
    </w:p>
    <w:p w14:paraId="2CD96593">
      <w:pPr>
        <w:pStyle w:val="2"/>
        <w:ind w:firstLine="480"/>
        <w:rPr>
          <w:rFonts w:hint="eastAsia"/>
        </w:rPr>
      </w:pPr>
      <w:r>
        <w:rPr>
          <w:rFonts w:hint="eastAsia"/>
        </w:rPr>
        <w:t>数据采集包括多方面，一是人工通过业务系统填入，写入数据库中，二是通过各类应用厂商提供的数据接口或代理，实现数据采集汇聚，写入系统中；三是通过开放式数据库，使用数据拉取或推送的方式，将数据直接传送到其他数据库服务器；四是基于异构数据交换采集技术，采集目标软件产生的所有数据，输出到新的数据库，供软件系统调用。</w:t>
      </w:r>
    </w:p>
    <w:p w14:paraId="6521DB7C">
      <w:pPr>
        <w:pStyle w:val="2"/>
        <w:ind w:firstLine="0" w:firstLineChars="0"/>
        <w:rPr>
          <w:rFonts w:hint="eastAsia"/>
        </w:rPr>
      </w:pPr>
      <w:r>
        <w:drawing>
          <wp:inline distT="0" distB="0" distL="0" distR="0">
            <wp:extent cx="5274310" cy="1894840"/>
            <wp:effectExtent l="0" t="0" r="8890" b="10160"/>
            <wp:docPr id="18" name="图片 3" descr="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采集"/>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1894840"/>
                    </a:xfrm>
                    <a:prstGeom prst="rect">
                      <a:avLst/>
                    </a:prstGeom>
                    <a:noFill/>
                    <a:ln>
                      <a:noFill/>
                    </a:ln>
                  </pic:spPr>
                </pic:pic>
              </a:graphicData>
            </a:graphic>
          </wp:inline>
        </w:drawing>
      </w:r>
    </w:p>
    <w:p w14:paraId="2088A7EA">
      <w:pPr>
        <w:pStyle w:val="2"/>
        <w:ind w:firstLine="480"/>
        <w:rPr>
          <w:rFonts w:hint="eastAsia"/>
        </w:rPr>
      </w:pPr>
      <w:r>
        <w:rPr>
          <w:rFonts w:hint="eastAsia"/>
        </w:rPr>
        <w:t>通过安全策略管理模块定期驱动敏感数据发现组件，对采集节点的主机、数据库进行扫描发现，发现敏感数据和新增的敏感数据。</w:t>
      </w:r>
    </w:p>
    <w:p w14:paraId="4BE2337D">
      <w:pPr>
        <w:pStyle w:val="2"/>
        <w:ind w:firstLine="480"/>
        <w:rPr>
          <w:rFonts w:hint="eastAsia"/>
        </w:rPr>
      </w:pPr>
      <w:r>
        <w:rPr>
          <w:rFonts w:hint="eastAsia"/>
        </w:rPr>
        <w:t>采集节点数据资产的展现、数据采集节点数据的分级分类、数据位置展示。</w:t>
      </w:r>
    </w:p>
    <w:p w14:paraId="1950E8C7">
      <w:pPr>
        <w:pStyle w:val="2"/>
        <w:ind w:left="432" w:firstLine="0" w:firstLineChars="0"/>
        <w:rPr>
          <w:rFonts w:hint="eastAsia"/>
          <w:bCs/>
        </w:rPr>
      </w:pPr>
      <w:r>
        <w:rPr>
          <w:rFonts w:hint="eastAsia"/>
          <w:bCs/>
        </w:rPr>
        <w:t>（1）数据传输监控管理</w:t>
      </w:r>
    </w:p>
    <w:p w14:paraId="318C36EF">
      <w:pPr>
        <w:pStyle w:val="2"/>
        <w:ind w:firstLine="480"/>
        <w:rPr>
          <w:rFonts w:hint="eastAsia"/>
        </w:rPr>
      </w:pPr>
      <w:r>
        <w:rPr>
          <w:rFonts w:hint="eastAsia"/>
        </w:rPr>
        <w:t>数据传输监控管理，对应用之间、F</w:t>
      </w:r>
      <w:r>
        <w:t>TP</w:t>
      </w:r>
      <w:r>
        <w:rPr>
          <w:rFonts w:hint="eastAsia"/>
        </w:rPr>
        <w:t>服务器、终端之间或终端与外网之间数据传输的监控管理。</w:t>
      </w:r>
    </w:p>
    <w:p w14:paraId="14C583BC">
      <w:pPr>
        <w:pStyle w:val="2"/>
        <w:ind w:firstLine="480"/>
        <w:rPr>
          <w:rFonts w:hint="eastAsia"/>
        </w:rPr>
      </w:pPr>
      <w:r>
        <w:rPr>
          <w:rFonts w:hint="eastAsia"/>
        </w:rPr>
        <w:t>对传输阶段的数据进行监控</w:t>
      </w:r>
    </w:p>
    <w:p w14:paraId="42D4F062">
      <w:pPr>
        <w:pStyle w:val="2"/>
        <w:ind w:firstLine="480"/>
        <w:rPr>
          <w:rFonts w:hint="eastAsia"/>
        </w:rPr>
      </w:pPr>
      <w:r>
        <w:rPr>
          <w:rFonts w:hint="eastAsia"/>
        </w:rPr>
        <w:t>对传输阶段的行为事件进行监控</w:t>
      </w:r>
    </w:p>
    <w:p w14:paraId="6FC681B8">
      <w:pPr>
        <w:pStyle w:val="2"/>
        <w:ind w:firstLine="480"/>
        <w:rPr>
          <w:rFonts w:hint="eastAsia"/>
        </w:rPr>
      </w:pPr>
      <w:r>
        <w:rPr>
          <w:rFonts w:hint="eastAsia"/>
        </w:rPr>
        <w:t>对传输阶段的能力进行展现（加密）</w:t>
      </w:r>
    </w:p>
    <w:p w14:paraId="5A9E12FE">
      <w:pPr>
        <w:pStyle w:val="2"/>
        <w:ind w:firstLine="480"/>
        <w:rPr>
          <w:rFonts w:hint="eastAsia"/>
        </w:rPr>
      </w:pPr>
      <w:r>
        <w:rPr>
          <w:rFonts w:hint="eastAsia"/>
        </w:rPr>
        <w:t>对传输阶段的合规进行分析展现</w:t>
      </w:r>
    </w:p>
    <w:p w14:paraId="2EBCF15B">
      <w:pPr>
        <w:pStyle w:val="2"/>
        <w:ind w:firstLine="2409" w:firstLineChars="1004"/>
        <w:rPr>
          <w:rFonts w:hint="eastAsia"/>
        </w:rPr>
      </w:pPr>
      <w:r>
        <w:drawing>
          <wp:inline distT="0" distB="0" distL="0" distR="0">
            <wp:extent cx="2385060" cy="2340610"/>
            <wp:effectExtent l="0" t="0" r="2540" b="8890"/>
            <wp:docPr id="19" name="图片 4" descr="数据传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数据传输"/>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85060" cy="2340610"/>
                    </a:xfrm>
                    <a:prstGeom prst="rect">
                      <a:avLst/>
                    </a:prstGeom>
                    <a:noFill/>
                    <a:ln>
                      <a:noFill/>
                    </a:ln>
                  </pic:spPr>
                </pic:pic>
              </a:graphicData>
            </a:graphic>
          </wp:inline>
        </w:drawing>
      </w:r>
    </w:p>
    <w:p w14:paraId="7E9D79E3">
      <w:pPr>
        <w:pStyle w:val="2"/>
        <w:ind w:firstLine="480"/>
        <w:rPr>
          <w:rFonts w:hint="eastAsia"/>
          <w:bCs/>
        </w:rPr>
      </w:pPr>
      <w:r>
        <w:rPr>
          <w:rFonts w:hint="eastAsia"/>
          <w:bCs/>
        </w:rPr>
        <w:t>（2）文件共享传输</w:t>
      </w:r>
    </w:p>
    <w:p w14:paraId="636AE6A9">
      <w:pPr>
        <w:pStyle w:val="2"/>
        <w:ind w:firstLine="480"/>
        <w:rPr>
          <w:rFonts w:hint="eastAsia"/>
        </w:rPr>
      </w:pPr>
      <w:r>
        <w:rPr>
          <w:rFonts w:hint="eastAsia"/>
        </w:rPr>
        <w:t>通过FTP/SMB文件共享协议进行数据的传输场景，包括但不限于网内文件共享、内部文件服务器数据上传下载等。</w:t>
      </w:r>
    </w:p>
    <w:p w14:paraId="7D9A54A2">
      <w:pPr>
        <w:pStyle w:val="2"/>
        <w:ind w:firstLine="480"/>
        <w:rPr>
          <w:rFonts w:hint="eastAsia"/>
          <w:bCs/>
        </w:rPr>
      </w:pPr>
      <w:r>
        <w:rPr>
          <w:rFonts w:hint="eastAsia"/>
          <w:bCs/>
        </w:rPr>
        <w:t>（3）应用系统挂载传输</w:t>
      </w:r>
    </w:p>
    <w:p w14:paraId="430605A1">
      <w:pPr>
        <w:pStyle w:val="2"/>
        <w:ind w:firstLine="480"/>
        <w:rPr>
          <w:rFonts w:hint="eastAsia"/>
        </w:rPr>
      </w:pPr>
      <w:r>
        <w:rPr>
          <w:rFonts w:hint="eastAsia"/>
        </w:rPr>
        <w:t>通过HTTP/HTTPS网络传输协议进行数据的传输场景，主要针对用户通过应用系统上传数据。</w:t>
      </w:r>
    </w:p>
    <w:p w14:paraId="6AE1B066">
      <w:pPr>
        <w:pStyle w:val="2"/>
        <w:ind w:firstLine="480"/>
        <w:rPr>
          <w:rFonts w:hint="eastAsia"/>
          <w:bCs/>
        </w:rPr>
      </w:pPr>
      <w:r>
        <w:rPr>
          <w:rFonts w:hint="eastAsia"/>
          <w:bCs/>
        </w:rPr>
        <w:t>（4）接口传输</w:t>
      </w:r>
    </w:p>
    <w:p w14:paraId="05DEEB24">
      <w:pPr>
        <w:pStyle w:val="2"/>
        <w:ind w:firstLine="480"/>
        <w:rPr>
          <w:rFonts w:hint="eastAsia"/>
        </w:rPr>
      </w:pPr>
      <w:r>
        <w:rPr>
          <w:rFonts w:hint="eastAsia"/>
        </w:rPr>
        <w:t>通过移动存储/光盘/蓝牙终端数据传输接口进行的数据传输场景，包括但不限于用户通过移动存储进行数据的拷贝、光盘数据刻录机蓝牙数据传输等。</w:t>
      </w:r>
    </w:p>
    <w:p w14:paraId="165CFF26">
      <w:pPr>
        <w:pStyle w:val="2"/>
        <w:ind w:firstLine="480"/>
        <w:rPr>
          <w:rFonts w:hint="eastAsia"/>
          <w:bCs/>
        </w:rPr>
      </w:pPr>
      <w:r>
        <w:rPr>
          <w:rFonts w:hint="eastAsia"/>
          <w:bCs/>
        </w:rPr>
        <w:t>（5）应用系统之间通过接口传输数据</w:t>
      </w:r>
    </w:p>
    <w:p w14:paraId="02DA815E">
      <w:pPr>
        <w:pStyle w:val="2"/>
        <w:ind w:firstLine="480"/>
        <w:rPr>
          <w:rFonts w:hint="eastAsia"/>
        </w:rPr>
      </w:pPr>
      <w:r>
        <w:rPr>
          <w:rFonts w:hint="eastAsia"/>
        </w:rPr>
        <w:t>应用系统与应用系统之间的数据上传、下载、调用等数据传输场景。</w:t>
      </w:r>
    </w:p>
    <w:p w14:paraId="1FCAEB12">
      <w:pPr>
        <w:pStyle w:val="2"/>
        <w:ind w:firstLine="0" w:firstLineChars="0"/>
        <w:rPr>
          <w:rFonts w:hint="eastAsia"/>
        </w:rPr>
      </w:pPr>
      <w:r>
        <w:rPr>
          <w:rFonts w:hint="eastAsia"/>
        </w:rPr>
        <w:t>内部应用系统与外部应用系统通过接口数据调用、下载、上传等数据传输场景。</w:t>
      </w:r>
    </w:p>
    <w:p w14:paraId="23B4D2ED">
      <w:pPr>
        <w:pStyle w:val="2"/>
        <w:ind w:firstLine="480"/>
        <w:rPr>
          <w:rFonts w:hint="eastAsia"/>
          <w:bCs/>
        </w:rPr>
      </w:pPr>
      <w:r>
        <w:rPr>
          <w:rFonts w:hint="eastAsia"/>
          <w:bCs/>
        </w:rPr>
        <w:t>（6）第三方工具传输</w:t>
      </w:r>
    </w:p>
    <w:p w14:paraId="51661694">
      <w:pPr>
        <w:pStyle w:val="2"/>
        <w:ind w:firstLine="480"/>
        <w:rPr>
          <w:rFonts w:hint="eastAsia"/>
        </w:rPr>
      </w:pPr>
      <w:r>
        <w:rPr>
          <w:rFonts w:hint="eastAsia"/>
        </w:rPr>
        <w:t>通过聊天工具、公共云盘、第三方邮箱等第三方应用，进行数据传输场景。</w:t>
      </w:r>
    </w:p>
    <w:p w14:paraId="2A500490">
      <w:pPr>
        <w:pStyle w:val="2"/>
        <w:ind w:firstLine="0" w:firstLineChars="0"/>
        <w:rPr>
          <w:rFonts w:hint="eastAsia"/>
          <w:bCs/>
        </w:rPr>
      </w:pPr>
      <w:r>
        <w:rPr>
          <w:rFonts w:hint="eastAsia"/>
          <w:bCs/>
        </w:rPr>
        <w:t>数据存储监控管理</w:t>
      </w:r>
    </w:p>
    <w:p w14:paraId="038DE19C">
      <w:pPr>
        <w:pStyle w:val="2"/>
        <w:ind w:firstLine="480"/>
        <w:rPr>
          <w:rFonts w:hint="eastAsia"/>
        </w:rPr>
      </w:pPr>
      <w:r>
        <w:rPr>
          <w:rFonts w:hint="eastAsia"/>
        </w:rPr>
        <w:t>监测数据存储状态，以时间为维度定期发现数据存储的位置、数据分级分类情况，发现数据存储异常，位置变化。</w:t>
      </w:r>
    </w:p>
    <w:p w14:paraId="17374475">
      <w:pPr>
        <w:pStyle w:val="2"/>
        <w:ind w:firstLine="0" w:firstLineChars="0"/>
        <w:rPr>
          <w:rFonts w:hint="eastAsia"/>
        </w:rPr>
      </w:pPr>
      <w:r>
        <w:drawing>
          <wp:inline distT="0" distB="0" distL="0" distR="0">
            <wp:extent cx="5054600" cy="1660525"/>
            <wp:effectExtent l="0" t="0" r="0" b="317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054600" cy="1660525"/>
                    </a:xfrm>
                    <a:prstGeom prst="rect">
                      <a:avLst/>
                    </a:prstGeom>
                    <a:noFill/>
                    <a:ln>
                      <a:noFill/>
                    </a:ln>
                  </pic:spPr>
                </pic:pic>
              </a:graphicData>
            </a:graphic>
          </wp:inline>
        </w:drawing>
      </w:r>
    </w:p>
    <w:p w14:paraId="158B51D0">
      <w:pPr>
        <w:pStyle w:val="2"/>
        <w:ind w:left="432" w:firstLine="0" w:firstLineChars="0"/>
        <w:rPr>
          <w:rFonts w:hint="eastAsia"/>
          <w:bCs/>
        </w:rPr>
      </w:pPr>
      <w:r>
        <w:rPr>
          <w:rFonts w:hint="eastAsia"/>
          <w:bCs/>
        </w:rPr>
        <w:t>2</w:t>
      </w:r>
      <w:r>
        <w:rPr>
          <w:bCs/>
        </w:rPr>
        <w:t>.</w:t>
      </w:r>
      <w:r>
        <w:rPr>
          <w:rFonts w:hint="eastAsia"/>
          <w:bCs/>
        </w:rPr>
        <w:t>数据使用监控管理</w:t>
      </w:r>
    </w:p>
    <w:p w14:paraId="2F803290">
      <w:pPr>
        <w:pStyle w:val="2"/>
        <w:ind w:firstLine="480"/>
        <w:rPr>
          <w:rFonts w:hint="eastAsia"/>
        </w:rPr>
      </w:pPr>
      <w:r>
        <w:rPr>
          <w:rFonts w:hint="eastAsia"/>
        </w:rPr>
        <w:t>数据使用主要包括应用数据访问、数据开发管理、数据运维管理等。</w:t>
      </w:r>
    </w:p>
    <w:p w14:paraId="339823F4">
      <w:pPr>
        <w:pStyle w:val="2"/>
        <w:ind w:firstLine="480"/>
        <w:rPr>
          <w:rFonts w:hint="eastAsia"/>
        </w:rPr>
      </w:pPr>
      <w:r>
        <w:rPr>
          <w:rFonts w:hint="eastAsia"/>
        </w:rPr>
        <w:t>采用数据授权与鉴权、数据操作审计、运维和测试数据脱敏、高敏感数据加密、应用数据安全分析、敏感数据可视化、文档内容识别等技术，防止在数据处理过程中出现数据泄露和篡改。</w:t>
      </w:r>
    </w:p>
    <w:p w14:paraId="0B159035">
      <w:pPr>
        <w:pStyle w:val="2"/>
        <w:ind w:firstLine="0" w:firstLineChars="0"/>
        <w:rPr>
          <w:rFonts w:hint="eastAsia"/>
        </w:rPr>
      </w:pPr>
      <w:r>
        <w:drawing>
          <wp:inline distT="0" distB="0" distL="0" distR="0">
            <wp:extent cx="5266690" cy="2962910"/>
            <wp:effectExtent l="0" t="0" r="3810" b="8890"/>
            <wp:docPr id="21" name="图片 6"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画图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66690" cy="2962910"/>
                    </a:xfrm>
                    <a:prstGeom prst="rect">
                      <a:avLst/>
                    </a:prstGeom>
                    <a:noFill/>
                    <a:ln>
                      <a:noFill/>
                    </a:ln>
                  </pic:spPr>
                </pic:pic>
              </a:graphicData>
            </a:graphic>
          </wp:inline>
        </w:drawing>
      </w:r>
    </w:p>
    <w:p w14:paraId="74BDFAE9">
      <w:pPr>
        <w:pStyle w:val="2"/>
        <w:ind w:firstLine="480"/>
        <w:rPr>
          <w:rFonts w:hint="eastAsia"/>
          <w:bCs/>
        </w:rPr>
      </w:pPr>
      <w:r>
        <w:rPr>
          <w:rFonts w:hint="eastAsia"/>
          <w:bCs/>
        </w:rPr>
        <w:t>（1）运维场景</w:t>
      </w:r>
    </w:p>
    <w:p w14:paraId="4AABA166">
      <w:pPr>
        <w:pStyle w:val="2"/>
        <w:ind w:firstLine="480"/>
        <w:rPr>
          <w:rFonts w:hint="eastAsia"/>
        </w:rPr>
      </w:pPr>
      <w:r>
        <w:rPr>
          <w:rFonts w:hint="eastAsia"/>
        </w:rPr>
        <w:t>针对不同数据系统，开展的软件安装、配置优化、备份策略选择及实施、数据恢复、数据迁移、故障排除、预防性巡检等一系列操作。</w:t>
      </w:r>
    </w:p>
    <w:p w14:paraId="7C7FD9EE">
      <w:pPr>
        <w:pStyle w:val="2"/>
        <w:ind w:firstLine="480"/>
        <w:rPr>
          <w:rFonts w:hint="eastAsia"/>
          <w:bCs/>
        </w:rPr>
      </w:pPr>
      <w:r>
        <w:rPr>
          <w:rFonts w:hint="eastAsia"/>
          <w:bCs/>
        </w:rPr>
        <w:t>（2）业务访问场景</w:t>
      </w:r>
    </w:p>
    <w:p w14:paraId="6E73A79A">
      <w:pPr>
        <w:pStyle w:val="2"/>
        <w:ind w:firstLine="480"/>
        <w:rPr>
          <w:rFonts w:hint="eastAsia"/>
        </w:rPr>
      </w:pPr>
      <w:r>
        <w:rPr>
          <w:rFonts w:hint="eastAsia"/>
        </w:rPr>
        <w:t xml:space="preserve">业务应用存在查询业务、下载业务、新增业务、更新业务等业务场景，内部业务人员根据实际业务场景，利用应用接口直接对数据进行查询、下载、新增、更新等操作。 </w:t>
      </w:r>
    </w:p>
    <w:p w14:paraId="065E1B12">
      <w:pPr>
        <w:pStyle w:val="2"/>
        <w:ind w:firstLine="480"/>
        <w:rPr>
          <w:rFonts w:hint="eastAsia"/>
          <w:bCs/>
        </w:rPr>
      </w:pPr>
      <w:r>
        <w:rPr>
          <w:rFonts w:hint="eastAsia"/>
          <w:bCs/>
        </w:rPr>
        <w:t>（3）开发测试场景</w:t>
      </w:r>
    </w:p>
    <w:p w14:paraId="44797C59">
      <w:pPr>
        <w:pStyle w:val="2"/>
        <w:ind w:firstLine="480"/>
        <w:rPr>
          <w:rFonts w:hint="eastAsia"/>
        </w:rPr>
      </w:pPr>
      <w:r>
        <w:rPr>
          <w:rFonts w:hint="eastAsia"/>
        </w:rPr>
        <w:t>应用系统在开发测试阶段，需要数据集做业务逻辑测试和功能验证；新应用、新功能上线前，需要数据集做系统测试和性能测试。从数据库提取大量真实业务数据，生成测试数据集。</w:t>
      </w:r>
    </w:p>
    <w:p w14:paraId="336EA44E">
      <w:pPr>
        <w:pStyle w:val="2"/>
        <w:ind w:firstLine="480"/>
        <w:rPr>
          <w:rFonts w:hint="eastAsia"/>
          <w:bCs/>
        </w:rPr>
      </w:pPr>
      <w:r>
        <w:rPr>
          <w:rFonts w:hint="eastAsia"/>
          <w:bCs/>
        </w:rPr>
        <w:t>（4）数据共享监控管理</w:t>
      </w:r>
    </w:p>
    <w:p w14:paraId="2617F41A">
      <w:pPr>
        <w:pStyle w:val="2"/>
        <w:ind w:firstLine="480"/>
        <w:rPr>
          <w:rFonts w:hint="eastAsia"/>
        </w:rPr>
      </w:pPr>
      <w:r>
        <w:rPr>
          <w:rFonts w:hint="eastAsia"/>
        </w:rPr>
        <w:t>数据共享监控包括文件服务器共享、应用系统下载、应用系统之间共享和数据库调用之间共享。</w:t>
      </w:r>
    </w:p>
    <w:p w14:paraId="13A58FCF">
      <w:pPr>
        <w:pStyle w:val="2"/>
        <w:ind w:firstLine="0" w:firstLineChars="0"/>
        <w:rPr>
          <w:rFonts w:hint="eastAsia"/>
        </w:rPr>
      </w:pPr>
      <w:r>
        <w:drawing>
          <wp:inline distT="0" distB="0" distL="0" distR="0">
            <wp:extent cx="5274310" cy="1821180"/>
            <wp:effectExtent l="0" t="0" r="8890" b="7620"/>
            <wp:docPr id="22" name="图片 7"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画图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1821180"/>
                    </a:xfrm>
                    <a:prstGeom prst="rect">
                      <a:avLst/>
                    </a:prstGeom>
                    <a:noFill/>
                    <a:ln>
                      <a:noFill/>
                    </a:ln>
                  </pic:spPr>
                </pic:pic>
              </a:graphicData>
            </a:graphic>
          </wp:inline>
        </w:drawing>
      </w:r>
    </w:p>
    <w:p w14:paraId="0E5C4E79">
      <w:pPr>
        <w:pStyle w:val="2"/>
        <w:ind w:left="432" w:firstLine="0" w:firstLineChars="0"/>
        <w:rPr>
          <w:rFonts w:hint="eastAsia"/>
          <w:bCs/>
        </w:rPr>
      </w:pPr>
      <w:r>
        <w:rPr>
          <w:rFonts w:hint="eastAsia"/>
          <w:bCs/>
        </w:rPr>
        <w:t>3</w:t>
      </w:r>
      <w:r>
        <w:rPr>
          <w:bCs/>
        </w:rPr>
        <w:t>.</w:t>
      </w:r>
      <w:r>
        <w:rPr>
          <w:rFonts w:hint="eastAsia"/>
          <w:bCs/>
        </w:rPr>
        <w:t>数据销毁监控管理</w:t>
      </w:r>
    </w:p>
    <w:p w14:paraId="0F48EB7B">
      <w:pPr>
        <w:pStyle w:val="2"/>
        <w:ind w:firstLine="480"/>
        <w:rPr>
          <w:rFonts w:hint="eastAsia"/>
        </w:rPr>
      </w:pPr>
      <w:r>
        <w:rPr>
          <w:rFonts w:hint="eastAsia"/>
        </w:rPr>
        <w:t>数据销毁是指数据库中文件删除、终端文件删除、文件服务器中敏感文件删除。</w:t>
      </w:r>
    </w:p>
    <w:p w14:paraId="3EFF161D">
      <w:pPr>
        <w:pStyle w:val="2"/>
        <w:ind w:firstLine="0" w:firstLineChars="0"/>
        <w:rPr>
          <w:rFonts w:hint="eastAsia"/>
        </w:rPr>
      </w:pPr>
      <w:r>
        <w:rPr>
          <w:rFonts w:hint="eastAsia"/>
        </w:rPr>
        <w:t xml:space="preserve"> </w:t>
      </w:r>
      <w:r>
        <w:t xml:space="preserve">    </w:t>
      </w:r>
      <w:r>
        <w:drawing>
          <wp:inline distT="0" distB="0" distL="0" distR="0">
            <wp:extent cx="5274310" cy="1821180"/>
            <wp:effectExtent l="0" t="0" r="8890" b="7620"/>
            <wp:docPr id="23" name="图片 8"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画图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1821180"/>
                    </a:xfrm>
                    <a:prstGeom prst="rect">
                      <a:avLst/>
                    </a:prstGeom>
                    <a:noFill/>
                    <a:ln>
                      <a:noFill/>
                    </a:ln>
                  </pic:spPr>
                </pic:pic>
              </a:graphicData>
            </a:graphic>
          </wp:inline>
        </w:drawing>
      </w:r>
    </w:p>
    <w:p w14:paraId="794DF087">
      <w:pPr>
        <w:pStyle w:val="2"/>
        <w:ind w:firstLine="480"/>
        <w:rPr>
          <w:rFonts w:hint="eastAsia"/>
        </w:rPr>
      </w:pPr>
      <w:r>
        <w:rPr>
          <w:rFonts w:hint="eastAsia"/>
          <w:bCs/>
        </w:rPr>
        <w:t>（1）</w:t>
      </w:r>
      <w:r>
        <w:rPr>
          <w:rFonts w:hint="eastAsia"/>
        </w:rPr>
        <w:t>场景功能定义</w:t>
      </w:r>
    </w:p>
    <w:p w14:paraId="34B7182A">
      <w:pPr>
        <w:pStyle w:val="2"/>
        <w:ind w:firstLine="480"/>
        <w:rPr>
          <w:rFonts w:hint="eastAsia"/>
        </w:rPr>
      </w:pPr>
      <w:r>
        <w:rPr>
          <w:rFonts w:hint="eastAsia"/>
        </w:rPr>
        <w:t>对数据库中文件执行清除命令，或对数据库某字段执行清除命令。</w:t>
      </w:r>
    </w:p>
    <w:p w14:paraId="02D3EFC3">
      <w:pPr>
        <w:pStyle w:val="2"/>
        <w:ind w:firstLine="480"/>
        <w:rPr>
          <w:rFonts w:hint="eastAsia"/>
        </w:rPr>
      </w:pPr>
      <w:r>
        <w:rPr>
          <w:rFonts w:hint="eastAsia"/>
        </w:rPr>
        <w:t>（2）场景能力展现</w:t>
      </w:r>
    </w:p>
    <w:p w14:paraId="3341C495">
      <w:pPr>
        <w:pStyle w:val="2"/>
        <w:ind w:firstLine="480"/>
        <w:rPr>
          <w:rFonts w:hint="eastAsia"/>
        </w:rPr>
      </w:pPr>
      <w:r>
        <w:rPr>
          <w:rFonts w:hint="eastAsia"/>
        </w:rPr>
        <w:t>访问控制策略：鉴别用户身份,根据用户身份属性、数据属性以及用户对数据的操作行为，配置用户数据访问权限策略。</w:t>
      </w:r>
    </w:p>
    <w:p w14:paraId="203AD9D0">
      <w:pPr>
        <w:pStyle w:val="2"/>
        <w:ind w:firstLine="0" w:firstLineChars="0"/>
        <w:rPr>
          <w:rFonts w:hint="eastAsia"/>
        </w:rPr>
      </w:pPr>
      <w:r>
        <w:rPr>
          <w:rFonts w:hint="eastAsia"/>
        </w:rPr>
        <w:t>金库策略：运维操作二次授权管理。</w:t>
      </w:r>
    </w:p>
    <w:p w14:paraId="1A4CA1B8">
      <w:pPr>
        <w:pStyle w:val="2"/>
        <w:ind w:firstLine="480"/>
        <w:rPr>
          <w:rFonts w:hint="eastAsia"/>
        </w:rPr>
      </w:pPr>
      <w:r>
        <w:rPr>
          <w:rFonts w:hint="eastAsia"/>
        </w:rPr>
        <w:t>（3）场景事件展示</w:t>
      </w:r>
    </w:p>
    <w:p w14:paraId="34F05DCF">
      <w:pPr>
        <w:pStyle w:val="2"/>
        <w:ind w:firstLine="480"/>
        <w:rPr>
          <w:rFonts w:hint="eastAsia"/>
        </w:rPr>
      </w:pPr>
      <w:r>
        <w:rPr>
          <w:rFonts w:hint="eastAsia"/>
        </w:rPr>
        <w:t>数据库中数据删除（del）审计日志。</w:t>
      </w:r>
    </w:p>
    <w:p w14:paraId="0BC47E4B">
      <w:pPr>
        <w:pStyle w:val="2"/>
        <w:ind w:firstLine="480"/>
        <w:rPr>
          <w:rFonts w:hint="eastAsia"/>
          <w:bCs/>
        </w:rPr>
      </w:pPr>
      <w:r>
        <w:rPr>
          <w:rFonts w:hint="eastAsia"/>
          <w:bCs/>
        </w:rPr>
        <w:t>F</w:t>
      </w:r>
      <w:r>
        <w:rPr>
          <w:bCs/>
        </w:rPr>
        <w:t>TP</w:t>
      </w:r>
      <w:r>
        <w:rPr>
          <w:rFonts w:hint="eastAsia"/>
          <w:bCs/>
        </w:rPr>
        <w:t>中文件清除</w:t>
      </w:r>
    </w:p>
    <w:p w14:paraId="1BDA2BEB">
      <w:pPr>
        <w:pStyle w:val="2"/>
        <w:ind w:firstLine="480"/>
        <w:rPr>
          <w:rFonts w:hint="eastAsia"/>
        </w:rPr>
      </w:pPr>
      <w:r>
        <w:rPr>
          <w:rFonts w:hint="eastAsia"/>
        </w:rPr>
        <w:t>（4）场景功能定义</w:t>
      </w:r>
    </w:p>
    <w:p w14:paraId="14C9E599">
      <w:pPr>
        <w:pStyle w:val="2"/>
        <w:ind w:firstLine="480"/>
        <w:rPr>
          <w:rFonts w:hint="eastAsia"/>
        </w:rPr>
      </w:pPr>
      <w:r>
        <w:rPr>
          <w:rFonts w:hint="eastAsia"/>
        </w:rPr>
        <w:t>对F</w:t>
      </w:r>
      <w:r>
        <w:t>TP</w:t>
      </w:r>
      <w:r>
        <w:rPr>
          <w:rFonts w:hint="eastAsia"/>
        </w:rPr>
        <w:t>服务器中文件执行清除命令。</w:t>
      </w:r>
    </w:p>
    <w:p w14:paraId="0641755C">
      <w:pPr>
        <w:pStyle w:val="2"/>
        <w:ind w:firstLine="480"/>
        <w:rPr>
          <w:rFonts w:hint="eastAsia"/>
        </w:rPr>
      </w:pPr>
      <w:r>
        <w:rPr>
          <w:rFonts w:hint="eastAsia"/>
        </w:rPr>
        <w:t>（5）场景能力展现</w:t>
      </w:r>
    </w:p>
    <w:p w14:paraId="4CC0D2A5">
      <w:pPr>
        <w:pStyle w:val="2"/>
        <w:ind w:firstLine="480"/>
        <w:rPr>
          <w:rFonts w:hint="eastAsia"/>
        </w:rPr>
      </w:pPr>
      <w:r>
        <w:rPr>
          <w:rFonts w:hint="eastAsia"/>
        </w:rPr>
        <w:t>访问控制策略：鉴别用户身份,根据用户身份属性、数据属性以及用户对数据的操作行为，配置用户数据访问权限策略。</w:t>
      </w:r>
    </w:p>
    <w:p w14:paraId="12A16094">
      <w:pPr>
        <w:pStyle w:val="2"/>
        <w:ind w:firstLine="480"/>
        <w:rPr>
          <w:rFonts w:hint="eastAsia"/>
        </w:rPr>
      </w:pPr>
      <w:r>
        <w:rPr>
          <w:rFonts w:hint="eastAsia"/>
        </w:rPr>
        <w:t>金库策略：运维操作二次授权管理。</w:t>
      </w:r>
    </w:p>
    <w:p w14:paraId="5F639401">
      <w:pPr>
        <w:pStyle w:val="2"/>
        <w:ind w:firstLine="480"/>
        <w:rPr>
          <w:rFonts w:hint="eastAsia"/>
        </w:rPr>
      </w:pPr>
      <w:r>
        <w:rPr>
          <w:rFonts w:hint="eastAsia"/>
        </w:rPr>
        <w:t>（6）场景事件展示</w:t>
      </w:r>
    </w:p>
    <w:p w14:paraId="603063EA">
      <w:pPr>
        <w:pStyle w:val="2"/>
        <w:ind w:firstLine="480"/>
        <w:rPr>
          <w:rFonts w:hint="eastAsia"/>
        </w:rPr>
      </w:pPr>
      <w:r>
        <w:rPr>
          <w:rFonts w:hint="eastAsia"/>
        </w:rPr>
        <w:t>F</w:t>
      </w:r>
      <w:r>
        <w:t>TP</w:t>
      </w:r>
      <w:r>
        <w:rPr>
          <w:rFonts w:hint="eastAsia"/>
        </w:rPr>
        <w:t>文件删除（del）审计日志。</w:t>
      </w:r>
    </w:p>
    <w:p w14:paraId="5FED1B89">
      <w:pPr>
        <w:pStyle w:val="2"/>
        <w:ind w:firstLine="480"/>
        <w:rPr>
          <w:rFonts w:hint="eastAsia"/>
          <w:bCs/>
        </w:rPr>
      </w:pPr>
      <w:r>
        <w:rPr>
          <w:rFonts w:hint="eastAsia"/>
          <w:bCs/>
        </w:rPr>
        <w:t>终端中文件清除</w:t>
      </w:r>
    </w:p>
    <w:p w14:paraId="22C779F3">
      <w:pPr>
        <w:pStyle w:val="2"/>
        <w:ind w:firstLine="480"/>
        <w:rPr>
          <w:rFonts w:hint="eastAsia"/>
        </w:rPr>
      </w:pPr>
      <w:r>
        <w:rPr>
          <w:rFonts w:hint="eastAsia"/>
        </w:rPr>
        <w:t>（7）场景功能定义</w:t>
      </w:r>
    </w:p>
    <w:p w14:paraId="6CEC0414">
      <w:pPr>
        <w:pStyle w:val="2"/>
        <w:ind w:firstLine="480"/>
        <w:rPr>
          <w:rFonts w:hint="eastAsia"/>
        </w:rPr>
      </w:pPr>
      <w:r>
        <w:rPr>
          <w:rFonts w:hint="eastAsia"/>
        </w:rPr>
        <w:t>对终端设备中文件执行清除命令。</w:t>
      </w:r>
    </w:p>
    <w:p w14:paraId="4521510F">
      <w:pPr>
        <w:pStyle w:val="2"/>
        <w:ind w:firstLine="480"/>
        <w:rPr>
          <w:rFonts w:hint="eastAsia"/>
        </w:rPr>
      </w:pPr>
      <w:r>
        <w:rPr>
          <w:rFonts w:hint="eastAsia"/>
        </w:rPr>
        <w:t>（8）场景事件展示</w:t>
      </w:r>
    </w:p>
    <w:p w14:paraId="59E99DDD">
      <w:pPr>
        <w:pStyle w:val="2"/>
        <w:ind w:firstLine="480"/>
        <w:rPr>
          <w:rFonts w:hint="eastAsia"/>
        </w:rPr>
      </w:pPr>
      <w:r>
        <w:rPr>
          <w:rFonts w:hint="eastAsia"/>
        </w:rPr>
        <w:t>终端D</w:t>
      </w:r>
      <w:r>
        <w:t>LP</w:t>
      </w:r>
      <w:r>
        <w:rPr>
          <w:rFonts w:hint="eastAsia"/>
        </w:rPr>
        <w:t>删除文件审计日志。</w:t>
      </w:r>
    </w:p>
    <w:p w14:paraId="17E1C55D">
      <w:pPr>
        <w:pStyle w:val="2"/>
        <w:ind w:firstLine="480"/>
        <w:rPr>
          <w:rFonts w:hint="eastAsia"/>
          <w:bCs/>
        </w:rPr>
      </w:pPr>
      <w:r>
        <w:rPr>
          <w:rFonts w:hint="eastAsia"/>
          <w:bCs/>
        </w:rPr>
        <w:t>个人文件夹中数据清除</w:t>
      </w:r>
    </w:p>
    <w:p w14:paraId="4925C7A0">
      <w:pPr>
        <w:pStyle w:val="2"/>
        <w:ind w:firstLine="480"/>
        <w:rPr>
          <w:rFonts w:hint="eastAsia"/>
        </w:rPr>
      </w:pPr>
      <w:r>
        <w:rPr>
          <w:rFonts w:hint="eastAsia"/>
        </w:rPr>
        <w:t>（9）场景功能定义</w:t>
      </w:r>
    </w:p>
    <w:p w14:paraId="5D136CD7">
      <w:pPr>
        <w:pStyle w:val="2"/>
        <w:ind w:firstLine="480"/>
        <w:rPr>
          <w:rFonts w:hint="eastAsia"/>
        </w:rPr>
      </w:pPr>
      <w:r>
        <w:rPr>
          <w:rFonts w:hint="eastAsia"/>
        </w:rPr>
        <w:t>对个人文件夹或共享文件中文件执行清除命令。</w:t>
      </w:r>
    </w:p>
    <w:p w14:paraId="5ED20216">
      <w:pPr>
        <w:pStyle w:val="2"/>
        <w:ind w:firstLine="480"/>
        <w:rPr>
          <w:rFonts w:hint="eastAsia"/>
        </w:rPr>
      </w:pPr>
      <w:r>
        <w:rPr>
          <w:rFonts w:hint="eastAsia"/>
        </w:rPr>
        <w:t>（1</w:t>
      </w:r>
      <w:r>
        <w:t>0</w:t>
      </w:r>
      <w:r>
        <w:rPr>
          <w:rFonts w:hint="eastAsia"/>
        </w:rPr>
        <w:t>）场景事件展示</w:t>
      </w:r>
    </w:p>
    <w:p w14:paraId="07567B6F">
      <w:pPr>
        <w:pStyle w:val="2"/>
        <w:ind w:firstLine="480"/>
        <w:rPr>
          <w:rFonts w:hint="eastAsia"/>
        </w:rPr>
      </w:pPr>
      <w:r>
        <w:rPr>
          <w:rFonts w:hint="eastAsia"/>
        </w:rPr>
        <w:t>文件删除审计日志。</w:t>
      </w:r>
    </w:p>
    <w:p w14:paraId="6FFD921D">
      <w:pPr>
        <w:pStyle w:val="8"/>
        <w:rPr>
          <w:rFonts w:hint="eastAsia" w:ascii="宋体" w:hAnsi="宋体" w:eastAsia="宋体"/>
        </w:rPr>
      </w:pPr>
      <w:r>
        <w:rPr>
          <w:rFonts w:hint="eastAsia" w:ascii="宋体" w:hAnsi="宋体" w:eastAsia="宋体"/>
        </w:rPr>
        <w:t>数据安全运营体系建设</w:t>
      </w:r>
    </w:p>
    <w:p w14:paraId="28C18FC1">
      <w:pPr>
        <w:pStyle w:val="14"/>
        <w:rPr>
          <w:rFonts w:hint="eastAsia" w:ascii="宋体" w:hAnsi="宋体" w:eastAsia="宋体"/>
        </w:rPr>
      </w:pPr>
      <w:r>
        <w:rPr>
          <w:rFonts w:hint="eastAsia" w:ascii="宋体" w:hAnsi="宋体" w:eastAsia="宋体"/>
        </w:rPr>
        <w:t>安全</w:t>
      </w:r>
      <w:r>
        <w:rPr>
          <w:rFonts w:ascii="宋体" w:hAnsi="宋体" w:eastAsia="宋体"/>
        </w:rPr>
        <w:t>运营服务人员</w:t>
      </w:r>
    </w:p>
    <w:p w14:paraId="4ACEA69B">
      <w:pPr>
        <w:pStyle w:val="2"/>
        <w:ind w:firstLine="480"/>
        <w:rPr>
          <w:rFonts w:hint="eastAsia"/>
        </w:rPr>
      </w:pPr>
      <w:r>
        <w:rPr>
          <w:rFonts w:hint="eastAsia"/>
        </w:rPr>
        <w:t>安全运营服务</w:t>
      </w:r>
      <w:r>
        <w:t>人员</w:t>
      </w:r>
      <w:r>
        <w:rPr>
          <w:rFonts w:hint="eastAsia"/>
        </w:rPr>
        <w:t>专门</w:t>
      </w:r>
      <w:r>
        <w:t>负责</w:t>
      </w:r>
      <w:r>
        <w:rPr>
          <w:rFonts w:hint="eastAsia"/>
        </w:rPr>
        <w:t>实现</w:t>
      </w:r>
      <w:r>
        <w:t>安全</w:t>
      </w:r>
      <w:r>
        <w:rPr>
          <w:rFonts w:hint="eastAsia"/>
        </w:rPr>
        <w:t>运营</w:t>
      </w:r>
      <w:r>
        <w:t>的服务</w:t>
      </w:r>
      <w:r>
        <w:rPr>
          <w:rFonts w:hint="eastAsia"/>
        </w:rPr>
        <w:t>。</w:t>
      </w:r>
      <w:r>
        <w:t>实现</w:t>
      </w:r>
      <w:r>
        <w:rPr>
          <w:rFonts w:hint="eastAsia"/>
        </w:rPr>
        <w:t>数据</w:t>
      </w:r>
      <w:r>
        <w:t>安全事件</w:t>
      </w:r>
      <w:r>
        <w:rPr>
          <w:rFonts w:hint="eastAsia"/>
        </w:rPr>
        <w:t>的</w:t>
      </w:r>
      <w:r>
        <w:t>监测，</w:t>
      </w:r>
      <w:r>
        <w:rPr>
          <w:rFonts w:hint="eastAsia"/>
        </w:rPr>
        <w:t>安全</w:t>
      </w:r>
      <w:r>
        <w:t>的处置和加固，以及安全事件的</w:t>
      </w:r>
      <w:r>
        <w:rPr>
          <w:rFonts w:hint="eastAsia"/>
        </w:rPr>
        <w:t>通知</w:t>
      </w:r>
      <w:r>
        <w:t>和预警。</w:t>
      </w:r>
      <w:r>
        <w:rPr>
          <w:rFonts w:hint="eastAsia"/>
        </w:rPr>
        <w:t>在</w:t>
      </w:r>
      <w:r>
        <w:t>项目</w:t>
      </w:r>
      <w:r>
        <w:rPr>
          <w:rFonts w:hint="eastAsia"/>
        </w:rPr>
        <w:t>建设周期内</w:t>
      </w:r>
      <w:r>
        <w:t>，项目初验前，提供驻场的安全运维服务人员</w:t>
      </w:r>
      <w:r>
        <w:rPr>
          <w:rFonts w:hint="eastAsia"/>
        </w:rPr>
        <w:t>，</w:t>
      </w:r>
      <w:r>
        <w:t>来对接安全咨询团队和研发团队，了解数据</w:t>
      </w:r>
      <w:r>
        <w:rPr>
          <w:rFonts w:hint="eastAsia"/>
        </w:rPr>
        <w:t>分级</w:t>
      </w:r>
      <w:r>
        <w:t>分类，敏感数据识别的相关工作流程</w:t>
      </w:r>
      <w:r>
        <w:rPr>
          <w:rFonts w:hint="eastAsia"/>
        </w:rPr>
        <w:t>，辅助团队</w:t>
      </w:r>
      <w:r>
        <w:t>完成项目交付。</w:t>
      </w:r>
    </w:p>
    <w:p w14:paraId="776C699B">
      <w:pPr>
        <w:pStyle w:val="2"/>
        <w:ind w:firstLine="480"/>
        <w:rPr>
          <w:rFonts w:hint="eastAsia"/>
        </w:rPr>
      </w:pPr>
      <w:r>
        <w:rPr>
          <w:rFonts w:hint="eastAsia"/>
        </w:rPr>
        <w:t>相关运营</w:t>
      </w:r>
      <w:r>
        <w:t>服务人员</w:t>
      </w:r>
      <w:r>
        <w:rPr>
          <w:rFonts w:hint="eastAsia"/>
        </w:rPr>
        <w:t>维护更新，</w:t>
      </w:r>
      <w:r>
        <w:t>最后输出</w:t>
      </w:r>
      <w:r>
        <w:rPr>
          <w:rFonts w:hint="eastAsia"/>
        </w:rPr>
        <w:t>的主要</w:t>
      </w:r>
      <w:r>
        <w:t>文档如下：</w:t>
      </w:r>
    </w:p>
    <w:p w14:paraId="4B55FE38">
      <w:pPr>
        <w:pStyle w:val="2"/>
        <w:ind w:firstLine="480"/>
        <w:rPr>
          <w:rFonts w:hint="eastAsia"/>
        </w:rPr>
      </w:pPr>
      <w:r>
        <w:rPr>
          <w:rFonts w:hint="eastAsia"/>
        </w:rPr>
        <w:t>1</w:t>
      </w:r>
      <w:r>
        <w:t>.</w:t>
      </w:r>
      <w:r>
        <w:rPr>
          <w:rFonts w:hint="eastAsia"/>
        </w:rPr>
        <w:t>数据安全异常攻击行为分析报告（每月）</w:t>
      </w:r>
    </w:p>
    <w:p w14:paraId="3EC1F8C7">
      <w:pPr>
        <w:pStyle w:val="2"/>
        <w:ind w:firstLine="480"/>
        <w:rPr>
          <w:rFonts w:hint="eastAsia"/>
        </w:rPr>
      </w:pPr>
      <w:r>
        <w:rPr>
          <w:rFonts w:hint="eastAsia"/>
        </w:rPr>
        <w:t>2</w:t>
      </w:r>
      <w:r>
        <w:t>.</w:t>
      </w:r>
      <w:r>
        <w:rPr>
          <w:rFonts w:hint="eastAsia"/>
        </w:rPr>
        <w:t>数据安全敏感信息访问安全分析报告（每月）</w:t>
      </w:r>
    </w:p>
    <w:p w14:paraId="5FBEAF67">
      <w:pPr>
        <w:pStyle w:val="2"/>
        <w:ind w:firstLine="480"/>
        <w:rPr>
          <w:rFonts w:hint="eastAsia"/>
        </w:rPr>
      </w:pPr>
      <w:r>
        <w:rPr>
          <w:rFonts w:hint="eastAsia"/>
        </w:rPr>
        <w:t>3</w:t>
      </w:r>
      <w:r>
        <w:t>.</w:t>
      </w:r>
      <w:r>
        <w:rPr>
          <w:rFonts w:hint="eastAsia"/>
        </w:rPr>
        <w:t>数据安全深入分析报告（每次分析后提供）</w:t>
      </w:r>
    </w:p>
    <w:p w14:paraId="1BF58A40">
      <w:pPr>
        <w:pStyle w:val="2"/>
        <w:ind w:firstLine="480"/>
        <w:rPr>
          <w:rFonts w:hint="eastAsia"/>
        </w:rPr>
      </w:pPr>
      <w:r>
        <w:rPr>
          <w:rFonts w:hint="eastAsia"/>
        </w:rPr>
        <w:t>4</w:t>
      </w:r>
      <w:r>
        <w:t>.</w:t>
      </w:r>
      <w:r>
        <w:rPr>
          <w:rFonts w:hint="eastAsia"/>
        </w:rPr>
        <w:t>数据安全整改建议书</w:t>
      </w:r>
    </w:p>
    <w:p w14:paraId="1B59D310">
      <w:pPr>
        <w:pStyle w:val="2"/>
        <w:ind w:firstLine="480"/>
        <w:rPr>
          <w:rFonts w:hint="eastAsia"/>
        </w:rPr>
      </w:pPr>
      <w:r>
        <w:rPr>
          <w:rFonts w:hint="eastAsia"/>
        </w:rPr>
        <w:t>5</w:t>
      </w:r>
      <w:r>
        <w:t>.</w:t>
      </w:r>
      <w:r>
        <w:rPr>
          <w:rFonts w:hint="eastAsia"/>
        </w:rPr>
        <w:t>数据库脆弱性分析报告（每季度）</w:t>
      </w:r>
    </w:p>
    <w:p w14:paraId="739072F2">
      <w:pPr>
        <w:pStyle w:val="2"/>
        <w:ind w:firstLine="480"/>
        <w:rPr>
          <w:rFonts w:hint="eastAsia"/>
        </w:rPr>
      </w:pPr>
      <w:r>
        <w:rPr>
          <w:rFonts w:hint="eastAsia"/>
        </w:rPr>
        <w:t>6</w:t>
      </w:r>
      <w:r>
        <w:t>.</w:t>
      </w:r>
      <w:r>
        <w:rPr>
          <w:rFonts w:hint="eastAsia"/>
        </w:rPr>
        <w:t>数据安全通报预警态势分析报告（每月）</w:t>
      </w:r>
    </w:p>
    <w:p w14:paraId="273DECCB">
      <w:pPr>
        <w:pStyle w:val="2"/>
        <w:ind w:firstLine="480"/>
        <w:rPr>
          <w:rFonts w:hint="eastAsia"/>
        </w:rPr>
      </w:pPr>
      <w:r>
        <w:rPr>
          <w:rFonts w:hint="eastAsia"/>
        </w:rPr>
        <w:t>7</w:t>
      </w:r>
      <w:r>
        <w:t>.</w:t>
      </w:r>
      <w:r>
        <w:rPr>
          <w:rFonts w:hint="eastAsia"/>
        </w:rPr>
        <w:t>数据安全通报预警态势年度分析报告（每年）</w:t>
      </w:r>
    </w:p>
    <w:p w14:paraId="4AD38519">
      <w:pPr>
        <w:pStyle w:val="2"/>
        <w:ind w:firstLine="480"/>
        <w:rPr>
          <w:rFonts w:hint="eastAsia"/>
        </w:rPr>
      </w:pPr>
      <w:r>
        <w:rPr>
          <w:rFonts w:hint="eastAsia"/>
        </w:rPr>
        <w:t>8</w:t>
      </w:r>
      <w:r>
        <w:t>.</w:t>
      </w:r>
      <w:r>
        <w:rPr>
          <w:rFonts w:hint="eastAsia"/>
        </w:rPr>
        <w:t>数据安全态势分析报告（每季度）</w:t>
      </w:r>
    </w:p>
    <w:p w14:paraId="1DF804E7">
      <w:pPr>
        <w:pStyle w:val="2"/>
        <w:ind w:firstLine="480"/>
        <w:rPr>
          <w:rFonts w:hint="eastAsia"/>
        </w:rPr>
      </w:pPr>
      <w:r>
        <w:rPr>
          <w:rFonts w:hint="eastAsia"/>
        </w:rPr>
        <w:t>9</w:t>
      </w:r>
      <w:r>
        <w:t>.</w:t>
      </w:r>
      <w:r>
        <w:rPr>
          <w:rFonts w:hint="eastAsia"/>
        </w:rPr>
        <w:t>数据安全</w:t>
      </w:r>
      <w:r>
        <w:t>策略配置变更记录表</w:t>
      </w:r>
      <w:r>
        <w:rPr>
          <w:rFonts w:hint="eastAsia"/>
        </w:rPr>
        <w:t>（实时）</w:t>
      </w:r>
    </w:p>
    <w:p w14:paraId="5EB3904C">
      <w:pPr>
        <w:pStyle w:val="2"/>
        <w:ind w:firstLine="480"/>
        <w:rPr>
          <w:rFonts w:hint="eastAsia"/>
        </w:rPr>
      </w:pPr>
      <w:r>
        <w:rPr>
          <w:rFonts w:hint="eastAsia"/>
        </w:rPr>
        <w:t>1</w:t>
      </w:r>
      <w:r>
        <w:t>0.</w:t>
      </w:r>
      <w:r>
        <w:rPr>
          <w:rFonts w:hint="eastAsia"/>
        </w:rPr>
        <w:t>数据</w:t>
      </w:r>
      <w:r>
        <w:t>安全通报</w:t>
      </w:r>
      <w:r>
        <w:rPr>
          <w:rFonts w:hint="eastAsia"/>
        </w:rPr>
        <w:t>预警记录</w:t>
      </w:r>
      <w:r>
        <w:t>表</w:t>
      </w:r>
      <w:r>
        <w:rPr>
          <w:rFonts w:hint="eastAsia"/>
        </w:rPr>
        <w:t>（每周）</w:t>
      </w:r>
    </w:p>
    <w:p w14:paraId="6D04A1F6">
      <w:pPr>
        <w:pStyle w:val="2"/>
        <w:ind w:firstLine="480"/>
        <w:rPr>
          <w:rFonts w:hint="eastAsia"/>
        </w:rPr>
      </w:pPr>
      <w:r>
        <w:rPr>
          <w:rFonts w:hint="eastAsia"/>
        </w:rPr>
        <w:t>1</w:t>
      </w:r>
      <w:r>
        <w:t>1.</w:t>
      </w:r>
      <w:r>
        <w:rPr>
          <w:rFonts w:hint="eastAsia"/>
        </w:rPr>
        <w:t>数据安全事件</w:t>
      </w:r>
      <w:r>
        <w:t>响应记录表</w:t>
      </w:r>
      <w:r>
        <w:rPr>
          <w:rFonts w:hint="eastAsia"/>
        </w:rPr>
        <w:t>（每周）</w:t>
      </w:r>
    </w:p>
    <w:p w14:paraId="5138F45C">
      <w:pPr>
        <w:pStyle w:val="2"/>
        <w:ind w:firstLine="480"/>
        <w:rPr>
          <w:rFonts w:hint="eastAsia"/>
        </w:rPr>
      </w:pPr>
      <w:r>
        <w:rPr>
          <w:rFonts w:hint="eastAsia"/>
        </w:rPr>
        <w:t>1</w:t>
      </w:r>
      <w:r>
        <w:t>2.</w:t>
      </w:r>
      <w:r>
        <w:rPr>
          <w:rFonts w:hint="eastAsia"/>
        </w:rPr>
        <w:t>数据安全事件</w:t>
      </w:r>
      <w:r>
        <w:t>处置记录表</w:t>
      </w:r>
      <w:r>
        <w:rPr>
          <w:rFonts w:hint="eastAsia"/>
        </w:rPr>
        <w:t>（每周）</w:t>
      </w:r>
    </w:p>
    <w:p w14:paraId="73CB19FA">
      <w:pPr>
        <w:pStyle w:val="2"/>
        <w:ind w:firstLine="480"/>
        <w:rPr>
          <w:rFonts w:hint="eastAsia"/>
        </w:rPr>
      </w:pPr>
      <w:r>
        <w:rPr>
          <w:rFonts w:hint="eastAsia"/>
        </w:rPr>
        <w:t>1</w:t>
      </w:r>
      <w:r>
        <w:t>3.</w:t>
      </w:r>
      <w:r>
        <w:rPr>
          <w:rFonts w:hint="eastAsia"/>
        </w:rPr>
        <w:t>数据资产信息概况</w:t>
      </w:r>
      <w:r>
        <w:t>表</w:t>
      </w:r>
      <w:r>
        <w:rPr>
          <w:rFonts w:hint="eastAsia"/>
        </w:rPr>
        <w:t>（每季度）</w:t>
      </w:r>
    </w:p>
    <w:p w14:paraId="45683FA9">
      <w:pPr>
        <w:pStyle w:val="2"/>
        <w:ind w:firstLine="480"/>
        <w:rPr>
          <w:rFonts w:hint="eastAsia"/>
        </w:rPr>
      </w:pPr>
      <w:r>
        <w:rPr>
          <w:rFonts w:hint="eastAsia"/>
        </w:rPr>
        <w:t>1</w:t>
      </w:r>
      <w:r>
        <w:t>4.</w:t>
      </w:r>
      <w:r>
        <w:rPr>
          <w:rFonts w:hint="eastAsia"/>
        </w:rPr>
        <w:t>数据安全</w:t>
      </w:r>
      <w:r>
        <w:t>运营</w:t>
      </w:r>
      <w:r>
        <w:rPr>
          <w:rFonts w:hint="eastAsia"/>
        </w:rPr>
        <w:t>概况</w:t>
      </w:r>
      <w:r>
        <w:t>表</w:t>
      </w:r>
      <w:r>
        <w:rPr>
          <w:rFonts w:hint="eastAsia"/>
        </w:rPr>
        <w:t>（每季度）</w:t>
      </w:r>
    </w:p>
    <w:p w14:paraId="7F388A4C">
      <w:pPr>
        <w:pStyle w:val="2"/>
        <w:ind w:firstLine="480"/>
        <w:rPr>
          <w:rFonts w:hint="eastAsia"/>
        </w:rPr>
      </w:pPr>
      <w:r>
        <w:rPr>
          <w:rFonts w:hint="eastAsia"/>
        </w:rPr>
        <w:t>及</w:t>
      </w:r>
      <w:r>
        <w:t>其他</w:t>
      </w:r>
      <w:r>
        <w:rPr>
          <w:rFonts w:hint="eastAsia"/>
        </w:rPr>
        <w:t>涉及</w:t>
      </w:r>
      <w:r>
        <w:t>数据安全运营所需的相关文档和表格。</w:t>
      </w:r>
    </w:p>
    <w:p w14:paraId="73C87DF1">
      <w:pPr>
        <w:pStyle w:val="2"/>
        <w:ind w:firstLine="480"/>
        <w:rPr>
          <w:rFonts w:hint="eastAsia"/>
        </w:rPr>
      </w:pPr>
      <w:r>
        <w:rPr>
          <w:rFonts w:hint="eastAsia"/>
        </w:rPr>
        <w:t>安全运营</w:t>
      </w:r>
      <w:r>
        <w:t>服务人员同时进行</w:t>
      </w:r>
      <w:r>
        <w:rPr>
          <w:rFonts w:hint="eastAsia"/>
        </w:rPr>
        <w:t>持续</w:t>
      </w:r>
      <w:r>
        <w:t>的常态化的</w:t>
      </w:r>
      <w:r>
        <w:rPr>
          <w:rFonts w:hint="eastAsia"/>
        </w:rPr>
        <w:t>数据</w:t>
      </w:r>
      <w:r>
        <w:t>安全运营服务，包括但不限于数据梳理服务</w:t>
      </w:r>
      <w:r>
        <w:rPr>
          <w:rFonts w:hint="eastAsia"/>
        </w:rPr>
        <w:t>、</w:t>
      </w:r>
      <w:r>
        <w:t>数据安全</w:t>
      </w:r>
      <w:r>
        <w:rPr>
          <w:rFonts w:hint="eastAsia"/>
        </w:rPr>
        <w:t>分析</w:t>
      </w:r>
      <w:r>
        <w:t>服务</w:t>
      </w:r>
      <w:r>
        <w:rPr>
          <w:rFonts w:hint="eastAsia"/>
        </w:rPr>
        <w:t>、</w:t>
      </w:r>
      <w:r>
        <w:t>数据安全评估服务</w:t>
      </w:r>
      <w:r>
        <w:rPr>
          <w:rFonts w:hint="eastAsia"/>
        </w:rPr>
        <w:t>。</w:t>
      </w:r>
      <w:r>
        <w:t>以及</w:t>
      </w:r>
      <w:r>
        <w:rPr>
          <w:rFonts w:hint="eastAsia"/>
        </w:rPr>
        <w:t>专项</w:t>
      </w:r>
      <w:r>
        <w:t>服务如</w:t>
      </w:r>
      <w:r>
        <w:rPr>
          <w:rFonts w:hint="eastAsia"/>
        </w:rPr>
        <w:t>通知</w:t>
      </w:r>
      <w:r>
        <w:t>通报预警服务，安全处置和加固服务，数据安全常态化监测服务</w:t>
      </w:r>
      <w:r>
        <w:rPr>
          <w:rFonts w:hint="eastAsia"/>
        </w:rPr>
        <w:t>、数据安全培训服务</w:t>
      </w:r>
      <w:r>
        <w:t>等</w:t>
      </w:r>
      <w:r>
        <w:rPr>
          <w:rFonts w:hint="eastAsia"/>
        </w:rPr>
        <w:t>。</w:t>
      </w:r>
    </w:p>
    <w:p w14:paraId="72BDC6C6">
      <w:pPr>
        <w:pStyle w:val="14"/>
        <w:rPr>
          <w:rFonts w:hint="eastAsia" w:ascii="宋体" w:hAnsi="宋体" w:eastAsia="宋体"/>
        </w:rPr>
      </w:pPr>
      <w:r>
        <w:rPr>
          <w:rFonts w:hint="eastAsia" w:ascii="宋体" w:hAnsi="宋体" w:eastAsia="宋体"/>
        </w:rPr>
        <w:t>通告预警专项服务</w:t>
      </w:r>
    </w:p>
    <w:p w14:paraId="7FAA7211">
      <w:pPr>
        <w:pStyle w:val="2"/>
        <w:ind w:firstLine="480"/>
        <w:rPr>
          <w:rFonts w:hint="eastAsia"/>
        </w:rPr>
      </w:pPr>
      <w:r>
        <w:rPr>
          <w:rFonts w:hint="eastAsia"/>
        </w:rPr>
        <w:t>持续关注数据库、业务系统情况，实时分析数据安全设备中的操作日志、审计日志及敏感数据泄露告警日志等，及时发现存在的敏感数据泄露和关键数据丢失风险，并根据平台通报预警系统进行通报预警，下发处置整改建议和处置期限实时反馈其处置状态。</w:t>
      </w:r>
    </w:p>
    <w:p w14:paraId="47979295">
      <w:pPr>
        <w:pStyle w:val="2"/>
        <w:ind w:firstLine="480"/>
        <w:rPr>
          <w:rFonts w:hint="eastAsia"/>
        </w:rPr>
      </w:pPr>
      <w:r>
        <w:rPr>
          <w:rFonts w:hint="eastAsia"/>
        </w:rPr>
        <w:t>安全通告服务包括以下内容：</w:t>
      </w:r>
    </w:p>
    <w:p w14:paraId="6BF30494">
      <w:pPr>
        <w:pStyle w:val="2"/>
        <w:ind w:firstLine="480"/>
        <w:rPr>
          <w:rFonts w:hint="eastAsia"/>
        </w:rPr>
      </w:pPr>
      <w:r>
        <w:rPr>
          <w:rFonts w:hint="eastAsia"/>
        </w:rPr>
        <w:t>1</w:t>
      </w:r>
      <w:r>
        <w:t>.</w:t>
      </w:r>
      <w:r>
        <w:rPr>
          <w:rFonts w:hint="eastAsia"/>
        </w:rPr>
        <w:t>敏感数据泄露事件通告</w:t>
      </w:r>
    </w:p>
    <w:p w14:paraId="7EFDD306">
      <w:pPr>
        <w:pStyle w:val="2"/>
        <w:ind w:firstLine="480"/>
        <w:rPr>
          <w:rFonts w:hint="eastAsia"/>
        </w:rPr>
      </w:pPr>
      <w:r>
        <w:t>2.</w:t>
      </w:r>
      <w:r>
        <w:rPr>
          <w:rFonts w:hint="eastAsia"/>
        </w:rPr>
        <w:t>敏感数据访问异常事件通告</w:t>
      </w:r>
    </w:p>
    <w:p w14:paraId="5B68473B">
      <w:pPr>
        <w:pStyle w:val="2"/>
        <w:ind w:firstLine="480"/>
        <w:rPr>
          <w:rFonts w:hint="eastAsia"/>
        </w:rPr>
      </w:pPr>
      <w:r>
        <w:t>3.</w:t>
      </w:r>
      <w:r>
        <w:rPr>
          <w:rFonts w:hint="eastAsia"/>
        </w:rPr>
        <w:t>敏感数据篡改事件</w:t>
      </w:r>
    </w:p>
    <w:p w14:paraId="133D617B">
      <w:pPr>
        <w:pStyle w:val="2"/>
        <w:ind w:firstLine="480"/>
        <w:rPr>
          <w:rFonts w:hint="eastAsia"/>
        </w:rPr>
      </w:pPr>
      <w:r>
        <w:t>4.</w:t>
      </w:r>
      <w:r>
        <w:rPr>
          <w:rFonts w:hint="eastAsia"/>
        </w:rPr>
        <w:t>数据被勒索软件加密通告</w:t>
      </w:r>
    </w:p>
    <w:p w14:paraId="0E2D8B8A">
      <w:pPr>
        <w:pStyle w:val="14"/>
        <w:rPr>
          <w:rFonts w:hint="eastAsia" w:ascii="宋体" w:hAnsi="宋体" w:eastAsia="宋体"/>
        </w:rPr>
      </w:pPr>
      <w:r>
        <w:rPr>
          <w:rFonts w:hint="eastAsia" w:ascii="宋体" w:hAnsi="宋体" w:eastAsia="宋体"/>
        </w:rPr>
        <w:t>安全处置加固服务</w:t>
      </w:r>
    </w:p>
    <w:p w14:paraId="35EC8F9F">
      <w:pPr>
        <w:pStyle w:val="2"/>
        <w:ind w:firstLine="480"/>
        <w:rPr>
          <w:rFonts w:hint="eastAsia"/>
        </w:rPr>
      </w:pPr>
      <w:r>
        <w:rPr>
          <w:rFonts w:hint="eastAsia"/>
        </w:rPr>
        <w:t>针对敏感数据安全泄露，关键数据被恶意加密以及数据丢失等情况收集解决方法及加固方案，协助相关供应商运维人员进行业务数据泄露漏洞修复，加固过程包括安全漏洞加固和安全配置加固。</w:t>
      </w:r>
    </w:p>
    <w:p w14:paraId="324DFB33">
      <w:pPr>
        <w:pStyle w:val="2"/>
        <w:ind w:firstLine="480"/>
        <w:rPr>
          <w:rFonts w:hint="eastAsia"/>
        </w:rPr>
      </w:pPr>
      <w:r>
        <w:rPr>
          <w:rFonts w:hint="eastAsia"/>
        </w:rPr>
        <w:t>安全漏洞加固：针对信息安全漏洞进行的加固，可采用的加固方法包括安装修复补丁彻底修复程序漏洞；关闭漏洞依据的相关服务使用漏洞没有利用条件；使用安全防护设备进行外部过滤防护。</w:t>
      </w:r>
    </w:p>
    <w:p w14:paraId="637F424B">
      <w:pPr>
        <w:pStyle w:val="2"/>
        <w:ind w:firstLine="480"/>
        <w:rPr>
          <w:rFonts w:hint="eastAsia"/>
        </w:rPr>
      </w:pPr>
      <w:r>
        <w:rPr>
          <w:rFonts w:hint="eastAsia"/>
        </w:rPr>
        <w:t>安全配置加固：针对应用程序、操作系统、中间件、数据库、网络设备等不当的配置进行，如“应用登录未启用验证码”、“操作系统密码复杂路策略”、“网络设备密码明文存放”、“安全功能未启用”等，通常采用的加固方法为更正不当配置和使用外部设备替代对象自身相应安全功能。</w:t>
      </w:r>
    </w:p>
    <w:p w14:paraId="24A19CB3">
      <w:pPr>
        <w:pStyle w:val="14"/>
        <w:rPr>
          <w:rFonts w:hint="eastAsia" w:ascii="宋体" w:hAnsi="宋体" w:eastAsia="宋体"/>
        </w:rPr>
      </w:pPr>
      <w:r>
        <w:rPr>
          <w:rFonts w:hint="eastAsia" w:ascii="宋体" w:hAnsi="宋体" w:eastAsia="宋体"/>
        </w:rPr>
        <w:t>应急响应处置服务</w:t>
      </w:r>
    </w:p>
    <w:p w14:paraId="458B74A2">
      <w:pPr>
        <w:pStyle w:val="2"/>
        <w:ind w:firstLine="480"/>
        <w:rPr>
          <w:rFonts w:hint="eastAsia"/>
        </w:rPr>
      </w:pPr>
      <w:r>
        <w:rPr>
          <w:rFonts w:hint="eastAsia"/>
        </w:rPr>
        <w:t>1</w:t>
      </w:r>
      <w:r>
        <w:t>.</w:t>
      </w:r>
      <w:r>
        <w:rPr>
          <w:rFonts w:hint="eastAsia"/>
        </w:rPr>
        <w:t>应急响应预案：</w:t>
      </w:r>
    </w:p>
    <w:p w14:paraId="018DB4DE">
      <w:pPr>
        <w:pStyle w:val="2"/>
        <w:ind w:firstLine="480"/>
        <w:rPr>
          <w:rFonts w:hint="eastAsia"/>
        </w:rPr>
      </w:pPr>
      <w:r>
        <w:rPr>
          <w:rFonts w:hint="eastAsia"/>
        </w:rPr>
        <w:t>（1）针对重大突发安全事件的响应处置，协助客户完善必要的安全应急响应机制，提供客户应急响应能力与响应速度，协助客户完善应急响应相关流程、规范。</w:t>
      </w:r>
    </w:p>
    <w:p w14:paraId="72C7D055">
      <w:pPr>
        <w:pStyle w:val="2"/>
        <w:ind w:firstLine="480"/>
        <w:rPr>
          <w:rFonts w:hint="eastAsia"/>
        </w:rPr>
      </w:pPr>
      <w:r>
        <w:rPr>
          <w:rFonts w:hint="eastAsia"/>
        </w:rPr>
        <w:t>（2）提供专业的应急响应专家，协助客户建立应急响应小组，小组成员具备信息安全执业资质，并须具备针对应急响应相关工作经验。</w:t>
      </w:r>
    </w:p>
    <w:p w14:paraId="56103625">
      <w:pPr>
        <w:pStyle w:val="2"/>
        <w:ind w:firstLine="480"/>
        <w:rPr>
          <w:rFonts w:hint="eastAsia"/>
        </w:rPr>
      </w:pPr>
      <w:r>
        <w:rPr>
          <w:rFonts w:hint="eastAsia"/>
        </w:rPr>
        <w:t>（3）为事件响编制详细的应急响应计划、响应流程、响应要求、工作预案，并在安全紧急事件发生时严格按照预案组织实施。</w:t>
      </w:r>
    </w:p>
    <w:p w14:paraId="39582763">
      <w:pPr>
        <w:pStyle w:val="2"/>
        <w:ind w:firstLine="480"/>
        <w:rPr>
          <w:rFonts w:hint="eastAsia"/>
        </w:rPr>
      </w:pPr>
      <w:r>
        <w:rPr>
          <w:rFonts w:hint="eastAsia"/>
        </w:rPr>
        <w:t>（4）输出《应急响应预案》</w:t>
      </w:r>
    </w:p>
    <w:p w14:paraId="0C14B259">
      <w:pPr>
        <w:pStyle w:val="2"/>
        <w:ind w:firstLine="480"/>
        <w:rPr>
          <w:rFonts w:hint="eastAsia"/>
        </w:rPr>
      </w:pPr>
      <w:r>
        <w:rPr>
          <w:rFonts w:hint="eastAsia"/>
        </w:rPr>
        <w:t>2</w:t>
      </w:r>
      <w:r>
        <w:t>.应急响应保障措施</w:t>
      </w:r>
    </w:p>
    <w:p w14:paraId="35E05F06">
      <w:pPr>
        <w:pStyle w:val="2"/>
        <w:ind w:firstLine="480"/>
        <w:rPr>
          <w:rFonts w:hint="eastAsia"/>
        </w:rPr>
      </w:pPr>
      <w:r>
        <w:rPr>
          <w:rFonts w:hint="eastAsia"/>
        </w:rPr>
        <w:t>应急保障措施是信息安全应急响应计划的重要组成部分，是保证信息安全突发事件发生后能够快速有效得实施应急响应计划的关键要素。考虑到</w:t>
      </w:r>
      <w:r>
        <w:rPr>
          <w:rFonts w:hint="eastAsia"/>
          <w:lang w:val="en-US" w:eastAsia="zh-CN"/>
        </w:rPr>
        <w:t>大丰区</w:t>
      </w:r>
      <w:r>
        <w:rPr>
          <w:rFonts w:hint="eastAsia"/>
        </w:rPr>
        <w:t>实际情况和需求可能存在较大的差异性，本节描述的具体内容是可选择的，也可以做适当调整，但应急人力保障、物质条件保障和技术支撑保障这三个大的方面是必须包含的。</w:t>
      </w:r>
    </w:p>
    <w:p w14:paraId="4E4329C2">
      <w:pPr>
        <w:pStyle w:val="2"/>
        <w:ind w:firstLine="480"/>
        <w:rPr>
          <w:rFonts w:hint="eastAsia"/>
        </w:rPr>
      </w:pPr>
      <w:r>
        <w:rPr>
          <w:rFonts w:hint="eastAsia"/>
        </w:rPr>
        <w:t>（1）</w:t>
      </w:r>
      <w:r>
        <w:t>管理人力保障</w:t>
      </w:r>
    </w:p>
    <w:p w14:paraId="4FA1502B">
      <w:pPr>
        <w:pStyle w:val="2"/>
        <w:ind w:firstLine="480"/>
        <w:rPr>
          <w:rFonts w:hint="eastAsia"/>
        </w:rPr>
      </w:pPr>
      <w:r>
        <w:rPr>
          <w:rFonts w:hint="eastAsia"/>
          <w:lang w:val="en-US" w:eastAsia="zh-CN"/>
        </w:rPr>
        <w:t>大丰区数字化监督指挥中心</w:t>
      </w:r>
      <w:r>
        <w:rPr>
          <w:rFonts w:hint="eastAsia"/>
        </w:rPr>
        <w:t>要依据自身的职责制定具体角色和职责分工细则，细则需要制度化，并依据现有人员的实际情况制定合理工作安排，工作安排要直接落实到人，形成所有工作人员的独立工作手册，如有人员工作安排变动时要及时更正工作手册。管理人力的具体保障由日常管理办公室统一规划和组织管理。</w:t>
      </w:r>
    </w:p>
    <w:p w14:paraId="41DE1849">
      <w:pPr>
        <w:pStyle w:val="2"/>
        <w:ind w:firstLine="480"/>
        <w:rPr>
          <w:rFonts w:hint="eastAsia"/>
        </w:rPr>
      </w:pPr>
      <w:r>
        <w:rPr>
          <w:rFonts w:hint="eastAsia"/>
        </w:rPr>
        <w:t>（2）</w:t>
      </w:r>
      <w:r>
        <w:t>技术人力保障</w:t>
      </w:r>
    </w:p>
    <w:p w14:paraId="77B75B09">
      <w:pPr>
        <w:pStyle w:val="2"/>
        <w:ind w:firstLine="480"/>
        <w:rPr>
          <w:rFonts w:hint="eastAsia"/>
        </w:rPr>
      </w:pPr>
      <w:r>
        <w:rPr>
          <w:rFonts w:hint="eastAsia"/>
        </w:rPr>
        <w:t>技术人力保障通过建立应急技术协调中心和应急专家组来进行保障，所有技术保障问题统一由技术协调中心负责，技术协调中心要依据应急的技术需要制定具体角色和职责分工细则，细则需要制度化，并依据现有人员的实际情况制定合理工作安排，工作安排要直接落实到人，形成所有工作人员的独立工作手册，如有人员工作安排变动时要及时更正工作手册。</w:t>
      </w:r>
    </w:p>
    <w:p w14:paraId="5CCB152F">
      <w:pPr>
        <w:pStyle w:val="2"/>
        <w:ind w:firstLine="480"/>
        <w:rPr>
          <w:rFonts w:hint="eastAsia"/>
        </w:rPr>
      </w:pPr>
      <w:r>
        <w:rPr>
          <w:rFonts w:hint="eastAsia"/>
        </w:rPr>
        <w:t>由于技术协调中心除了建立自身的技术支持队伍外，所确定的角色与职责大多需要依赖合作者（包括社会力量和专家等），因此，技术协调中心要建立完备的技术培训机构和操作管理方案，保证新技术与应急技术的及时培训，保证应急技术的有效性。</w:t>
      </w:r>
    </w:p>
    <w:p w14:paraId="112B2E0C">
      <w:pPr>
        <w:pStyle w:val="2"/>
        <w:ind w:firstLine="480"/>
        <w:rPr>
          <w:rFonts w:hint="eastAsia"/>
        </w:rPr>
      </w:pPr>
      <w:r>
        <w:rPr>
          <w:rFonts w:hint="eastAsia"/>
        </w:rPr>
        <w:t>技术协调中心可以依据自身的工作特点、协作单位与人员的具体情况制订应急协同调度方案，但无论采取什么方案均要有具体的协同工作记录以备审计。</w:t>
      </w:r>
    </w:p>
    <w:p w14:paraId="61EA783B">
      <w:pPr>
        <w:pStyle w:val="14"/>
        <w:rPr>
          <w:rFonts w:hint="eastAsia" w:ascii="宋体" w:hAnsi="宋体" w:eastAsia="宋体"/>
        </w:rPr>
      </w:pPr>
      <w:r>
        <w:rPr>
          <w:rFonts w:hint="eastAsia" w:ascii="宋体" w:hAnsi="宋体" w:eastAsia="宋体"/>
        </w:rPr>
        <w:t>数据安全监测服务</w:t>
      </w:r>
    </w:p>
    <w:p w14:paraId="6B24C31A">
      <w:pPr>
        <w:pStyle w:val="2"/>
        <w:ind w:firstLine="480"/>
        <w:rPr>
          <w:rFonts w:hint="eastAsia"/>
        </w:rPr>
      </w:pPr>
      <w:r>
        <w:rPr>
          <w:rFonts w:hint="eastAsia"/>
        </w:rPr>
        <w:t>数据安全监测专门来负责数据安全平台日志接入、统计、分析及数据日常运维工作，并提供多名专家级高级安全咨询人员作为本项目的二线安全分析师，对本项目提供整体规划和其他重要数据安全咨询服务。负责对用户服务范围内的产生的审计日志、操作日志及告警日志进行监控，对异常的访问行为、敏感数据未授权访问行为、异常攻击行为等进行定期处理和上报，并编写数据安全监控报告和《数据安全深入分析报告》。</w:t>
      </w:r>
    </w:p>
    <w:p w14:paraId="2073ADFD">
      <w:pPr>
        <w:pStyle w:val="2"/>
        <w:ind w:firstLine="480"/>
        <w:rPr>
          <w:rFonts w:hint="eastAsia"/>
        </w:rPr>
      </w:pPr>
      <w:r>
        <w:rPr>
          <w:rFonts w:hint="eastAsia"/>
        </w:rPr>
        <w:t>监控人员将对目标系统执行以下监控与报告机制：</w:t>
      </w:r>
    </w:p>
    <w:p w14:paraId="4560F39B">
      <w:pPr>
        <w:pStyle w:val="2"/>
        <w:ind w:firstLine="480"/>
        <w:rPr>
          <w:rFonts w:hint="eastAsia"/>
        </w:rPr>
      </w:pPr>
      <w:r>
        <w:t>1.</w:t>
      </w:r>
      <w:r>
        <w:rPr>
          <w:rFonts w:hint="eastAsia"/>
        </w:rPr>
        <w:t>实时监控，定期对安全日志关键数据记录；</w:t>
      </w:r>
    </w:p>
    <w:p w14:paraId="02E43C8C">
      <w:pPr>
        <w:pStyle w:val="2"/>
        <w:ind w:firstLine="480"/>
        <w:rPr>
          <w:rFonts w:hint="eastAsia"/>
        </w:rPr>
      </w:pPr>
      <w:r>
        <w:t>2.</w:t>
      </w:r>
      <w:r>
        <w:rPr>
          <w:rFonts w:hint="eastAsia"/>
        </w:rPr>
        <w:t>定期提供数据安全事件汇总及分析报告；</w:t>
      </w:r>
    </w:p>
    <w:p w14:paraId="23AA1480">
      <w:pPr>
        <w:pStyle w:val="2"/>
        <w:ind w:firstLine="480"/>
        <w:rPr>
          <w:rFonts w:hint="eastAsia"/>
        </w:rPr>
      </w:pPr>
      <w:r>
        <w:t>3.</w:t>
      </w:r>
      <w:r>
        <w:rPr>
          <w:rFonts w:hint="eastAsia"/>
        </w:rPr>
        <w:t>对可疑数据安全事件进行深层次的分析，并判断其可能造成的伤害和影响，并对数据安全事件提出处理建议和实施。</w:t>
      </w:r>
    </w:p>
    <w:p w14:paraId="2789EFBA">
      <w:pPr>
        <w:pStyle w:val="14"/>
        <w:rPr>
          <w:rFonts w:hint="eastAsia" w:ascii="宋体" w:hAnsi="宋体" w:eastAsia="宋体"/>
        </w:rPr>
      </w:pPr>
      <w:r>
        <w:rPr>
          <w:rFonts w:hint="eastAsia" w:ascii="宋体" w:hAnsi="宋体" w:eastAsia="宋体"/>
        </w:rPr>
        <w:t>数据安全培训服务</w:t>
      </w:r>
    </w:p>
    <w:p w14:paraId="5318157D">
      <w:pPr>
        <w:pStyle w:val="2"/>
        <w:ind w:firstLine="480"/>
        <w:rPr>
          <w:rFonts w:hint="eastAsia"/>
        </w:rPr>
      </w:pPr>
      <w:r>
        <w:rPr>
          <w:rFonts w:hint="eastAsia"/>
        </w:rPr>
        <w:t>对整个运营体系中涉及的人员，定期进行安全培训，包括但不限于安全意识培训，应急响应培训等内容，持续提升安全服务能力和整体安全意识。</w:t>
      </w:r>
    </w:p>
    <w:p w14:paraId="1FDE5A71">
      <w:pPr>
        <w:pStyle w:val="2"/>
        <w:ind w:firstLine="0" w:firstLineChars="0"/>
        <w:rPr>
          <w:rFonts w:hint="eastAsia"/>
        </w:rPr>
      </w:pPr>
      <w:r>
        <w:rPr>
          <w:rFonts w:hint="eastAsia"/>
        </w:rPr>
        <w:t>采用现场培训的方式，分多期培训，覆盖项目负责领导和相关负责人、运维单位负责人、建设单位人员。</w:t>
      </w:r>
    </w:p>
    <w:p w14:paraId="58B05BB2">
      <w:pPr>
        <w:pStyle w:val="2"/>
        <w:ind w:firstLine="480"/>
        <w:rPr>
          <w:rFonts w:hint="eastAsia"/>
        </w:rPr>
      </w:pPr>
      <w:r>
        <w:rPr>
          <w:rFonts w:hint="eastAsia"/>
        </w:rPr>
        <w:t>初期培训主要是针对相关领导和责任人进行现场培训，培训相关项目运作流程，相关系统功能，以及针对不同用户进行管理理念导入，使其认识到管理的重要性，以及如何利用系统来提升自己的管理水平。</w:t>
      </w:r>
    </w:p>
    <w:p w14:paraId="3FEC71E8">
      <w:pPr>
        <w:pStyle w:val="2"/>
        <w:ind w:firstLine="480"/>
        <w:rPr>
          <w:rFonts w:hint="eastAsia"/>
        </w:rPr>
      </w:pPr>
      <w:r>
        <w:rPr>
          <w:rFonts w:hint="eastAsia"/>
        </w:rPr>
        <w:t>后期培训主要是采用现场培训和远程培训的方式，面对相关运维人员和业务负责人，针对整个系统的详细使用方法，事件监测方式，安全事件响应流程，应急处置流程等细节性功能进行培训。</w:t>
      </w:r>
    </w:p>
    <w:p w14:paraId="7B5953F3">
      <w:pPr>
        <w:pStyle w:val="2"/>
        <w:ind w:firstLine="480"/>
        <w:rPr>
          <w:rFonts w:hint="eastAsia"/>
        </w:rPr>
      </w:pPr>
      <w:r>
        <w:rPr>
          <w:rFonts w:hint="eastAsia"/>
        </w:rPr>
        <w:t>培训内容大致如下：</w:t>
      </w:r>
    </w:p>
    <w:p w14:paraId="1852CB6B">
      <w:pPr>
        <w:pStyle w:val="2"/>
        <w:ind w:firstLine="480"/>
        <w:rPr>
          <w:rFonts w:hint="eastAsia"/>
        </w:rPr>
      </w:pPr>
      <w:r>
        <w:t>1.</w:t>
      </w:r>
      <w:r>
        <w:rPr>
          <w:rFonts w:hint="eastAsia"/>
        </w:rPr>
        <w:t>安全意识</w:t>
      </w:r>
      <w:r>
        <w:t>培训</w:t>
      </w:r>
      <w:r>
        <w:rPr>
          <w:rFonts w:hint="eastAsia"/>
        </w:rPr>
        <w:t>：培养管理层</w:t>
      </w:r>
      <w:r>
        <w:t>的数据安全意识</w:t>
      </w:r>
    </w:p>
    <w:p w14:paraId="7F680699">
      <w:pPr>
        <w:pStyle w:val="2"/>
        <w:ind w:firstLine="480"/>
        <w:rPr>
          <w:rFonts w:hint="eastAsia"/>
        </w:rPr>
      </w:pPr>
      <w:r>
        <w:t>2.</w:t>
      </w:r>
      <w:r>
        <w:rPr>
          <w:rFonts w:hint="eastAsia"/>
        </w:rPr>
        <w:t>应急响应</w:t>
      </w:r>
      <w:r>
        <w:t>培训</w:t>
      </w:r>
      <w:r>
        <w:rPr>
          <w:rFonts w:hint="eastAsia"/>
        </w:rPr>
        <w:t>：培养管理人员的应急</w:t>
      </w:r>
      <w:r>
        <w:t>响应处置能力</w:t>
      </w:r>
    </w:p>
    <w:p w14:paraId="26365A3A">
      <w:pPr>
        <w:pStyle w:val="2"/>
        <w:ind w:firstLine="480"/>
        <w:rPr>
          <w:rFonts w:hint="eastAsia"/>
        </w:rPr>
      </w:pPr>
      <w:r>
        <w:t>3.</w:t>
      </w:r>
      <w:r>
        <w:rPr>
          <w:rFonts w:hint="eastAsia"/>
        </w:rPr>
        <w:t>故障处理流程培训：故障情况下的运行模式的操作及管理培训</w:t>
      </w:r>
    </w:p>
    <w:p w14:paraId="70C9ACA8">
      <w:pPr>
        <w:pStyle w:val="2"/>
        <w:ind w:firstLine="480"/>
        <w:rPr>
          <w:rFonts w:hint="eastAsia"/>
        </w:rPr>
      </w:pPr>
      <w:r>
        <w:rPr>
          <w:rFonts w:hint="eastAsia"/>
        </w:rPr>
        <w:t>4.系统操作使用培训：包括系统各模块功能的操作培训</w:t>
      </w:r>
    </w:p>
    <w:p w14:paraId="0BD1CFE0">
      <w:pPr>
        <w:pStyle w:val="7"/>
        <w:rPr>
          <w:rFonts w:hint="eastAsia"/>
        </w:rPr>
      </w:pPr>
      <w:bookmarkStart w:id="502" w:name="_Toc53423830"/>
      <w:bookmarkEnd w:id="502"/>
      <w:bookmarkStart w:id="503" w:name="_Toc115904823"/>
      <w:bookmarkEnd w:id="503"/>
      <w:bookmarkStart w:id="504" w:name="_Toc53423506"/>
      <w:bookmarkEnd w:id="504"/>
      <w:bookmarkStart w:id="505" w:name="_Toc54471425"/>
      <w:bookmarkEnd w:id="505"/>
      <w:bookmarkStart w:id="506" w:name="_Toc115904532"/>
      <w:bookmarkEnd w:id="506"/>
      <w:bookmarkStart w:id="507" w:name="_Toc53405514"/>
      <w:bookmarkEnd w:id="507"/>
      <w:bookmarkStart w:id="508" w:name="_Toc116199800"/>
      <w:bookmarkEnd w:id="508"/>
      <w:bookmarkStart w:id="509" w:name="_Toc58426396"/>
      <w:bookmarkEnd w:id="509"/>
      <w:bookmarkStart w:id="510" w:name="_Toc116206529"/>
      <w:bookmarkEnd w:id="510"/>
      <w:bookmarkStart w:id="511" w:name="_Toc91080618"/>
      <w:bookmarkEnd w:id="511"/>
      <w:bookmarkStart w:id="512" w:name="_Toc53394039"/>
      <w:bookmarkEnd w:id="512"/>
      <w:bookmarkStart w:id="513" w:name="_Toc53394374"/>
      <w:bookmarkEnd w:id="513"/>
      <w:bookmarkStart w:id="514" w:name="_Toc116201088"/>
      <w:bookmarkEnd w:id="514"/>
      <w:bookmarkStart w:id="515" w:name="_Toc116198642"/>
      <w:bookmarkEnd w:id="515"/>
      <w:bookmarkStart w:id="516" w:name="_Toc115275053"/>
      <w:bookmarkEnd w:id="516"/>
      <w:bookmarkStart w:id="517" w:name="_Toc391236689"/>
      <w:bookmarkStart w:id="518" w:name="_Toc498624111"/>
      <w:bookmarkStart w:id="519" w:name="_Toc463881492"/>
      <w:bookmarkStart w:id="520" w:name="_Toc380180724"/>
      <w:bookmarkStart w:id="521" w:name="_Toc91080594"/>
      <w:bookmarkStart w:id="522" w:name="_Toc11403"/>
      <w:bookmarkStart w:id="523" w:name="_Toc115275062"/>
      <w:bookmarkStart w:id="524" w:name="_Toc12685"/>
      <w:bookmarkStart w:id="525" w:name="_Toc43468057"/>
      <w:bookmarkStart w:id="526" w:name="_Toc142144150"/>
      <w:bookmarkStart w:id="527" w:name="_Toc194522917"/>
      <w:bookmarkStart w:id="528" w:name="_Toc53338272"/>
      <w:bookmarkStart w:id="529" w:name="_Toc53393678"/>
      <w:bookmarkStart w:id="530" w:name="_Toc48288843"/>
      <w:bookmarkStart w:id="531" w:name="_Toc8949258"/>
      <w:bookmarkStart w:id="532" w:name="_Toc8824951"/>
      <w:bookmarkStart w:id="533" w:name="_Toc140757323"/>
      <w:bookmarkStart w:id="534" w:name="_Toc41656185"/>
      <w:bookmarkStart w:id="535" w:name="_Toc20232384"/>
      <w:bookmarkStart w:id="536" w:name="_Toc52098161"/>
      <w:bookmarkStart w:id="537" w:name="_Toc24653802"/>
      <w:bookmarkStart w:id="538" w:name="_Toc42642072"/>
      <w:r>
        <w:rPr>
          <w:rFonts w:hint="eastAsia"/>
        </w:rPr>
        <w:t>安全管理体系</w:t>
      </w:r>
      <w:bookmarkEnd w:id="517"/>
      <w:bookmarkEnd w:id="518"/>
      <w:bookmarkEnd w:id="519"/>
      <w:bookmarkEnd w:id="520"/>
      <w:r>
        <w:rPr>
          <w:rFonts w:hint="eastAsia"/>
        </w:rPr>
        <w:t>设计</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5741BE35">
      <w:pPr>
        <w:pStyle w:val="6"/>
        <w:spacing w:line="276" w:lineRule="auto"/>
        <w:rPr>
          <w:rFonts w:hint="eastAsia" w:ascii="宋体" w:hAnsi="宋体"/>
        </w:rPr>
      </w:pPr>
      <w:r>
        <w:rPr>
          <w:rFonts w:hint="eastAsia" w:ascii="宋体" w:hAnsi="宋体"/>
        </w:rPr>
        <w:t>安全体系管理层面设计主要是依据《信息系统安全等级保护基本要求》中的管理要求而设计。分别从以下方面进行设计：</w:t>
      </w:r>
      <w:bookmarkStart w:id="539" w:name="_Toc53394351"/>
      <w:bookmarkEnd w:id="539"/>
      <w:bookmarkStart w:id="540" w:name="_Toc54471402"/>
      <w:bookmarkEnd w:id="540"/>
      <w:bookmarkStart w:id="541" w:name="_Toc53405491"/>
      <w:bookmarkEnd w:id="541"/>
      <w:bookmarkStart w:id="542" w:name="_Toc116199825"/>
      <w:bookmarkEnd w:id="542"/>
      <w:bookmarkStart w:id="543" w:name="_Toc116198667"/>
      <w:bookmarkEnd w:id="543"/>
      <w:bookmarkStart w:id="544" w:name="_Toc116206554"/>
      <w:bookmarkEnd w:id="544"/>
      <w:bookmarkStart w:id="545" w:name="_Toc115904556"/>
      <w:bookmarkEnd w:id="545"/>
      <w:bookmarkStart w:id="546" w:name="_Toc115904847"/>
      <w:bookmarkEnd w:id="546"/>
      <w:bookmarkStart w:id="547" w:name="_Toc53423483"/>
      <w:bookmarkEnd w:id="547"/>
      <w:bookmarkStart w:id="548" w:name="_Toc53394016"/>
      <w:bookmarkEnd w:id="548"/>
      <w:bookmarkStart w:id="549" w:name="_Toc115275063"/>
      <w:bookmarkEnd w:id="549"/>
      <w:bookmarkStart w:id="550" w:name="_Toc116201113"/>
      <w:bookmarkEnd w:id="550"/>
      <w:bookmarkStart w:id="551" w:name="_Toc91080595"/>
      <w:bookmarkEnd w:id="551"/>
      <w:bookmarkStart w:id="552" w:name="_Toc58426373"/>
      <w:bookmarkEnd w:id="552"/>
      <w:bookmarkStart w:id="553" w:name="_Toc53423807"/>
      <w:bookmarkEnd w:id="553"/>
      <w:bookmarkStart w:id="554" w:name="_Toc20232385"/>
      <w:bookmarkStart w:id="555" w:name="_Toc52098162"/>
      <w:bookmarkStart w:id="556" w:name="_Toc42642073"/>
      <w:bookmarkStart w:id="557" w:name="_Toc24653803"/>
      <w:bookmarkStart w:id="558" w:name="_Toc8824952"/>
      <w:bookmarkStart w:id="559" w:name="_Toc43468058"/>
      <w:bookmarkStart w:id="560" w:name="_Toc8949259"/>
      <w:bookmarkStart w:id="561" w:name="_Toc41656186"/>
      <w:bookmarkStart w:id="562" w:name="_Toc391236690"/>
    </w:p>
    <w:p w14:paraId="4CC67EE6">
      <w:pPr>
        <w:pStyle w:val="8"/>
        <w:rPr>
          <w:rFonts w:hint="eastAsia"/>
        </w:rPr>
      </w:pPr>
      <w:bookmarkStart w:id="563" w:name="_Toc116198668"/>
      <w:bookmarkEnd w:id="563"/>
      <w:bookmarkStart w:id="564" w:name="_Toc116199826"/>
      <w:bookmarkEnd w:id="564"/>
      <w:bookmarkStart w:id="565" w:name="_Toc116201114"/>
      <w:bookmarkEnd w:id="565"/>
      <w:bookmarkStart w:id="566" w:name="_Toc116206555"/>
      <w:bookmarkEnd w:id="566"/>
      <w:bookmarkStart w:id="567" w:name="_Toc115904557"/>
      <w:bookmarkEnd w:id="567"/>
      <w:bookmarkStart w:id="568" w:name="_Toc115904848"/>
      <w:bookmarkEnd w:id="568"/>
      <w:bookmarkStart w:id="569" w:name="_Toc115275064"/>
      <w:bookmarkStart w:id="570" w:name="_Toc142144151"/>
      <w:bookmarkStart w:id="571" w:name="_Toc53338273"/>
      <w:bookmarkStart w:id="572" w:name="_Toc53393679"/>
      <w:bookmarkStart w:id="573" w:name="_Toc1367"/>
      <w:bookmarkStart w:id="574" w:name="_Toc140757324"/>
      <w:bookmarkStart w:id="575" w:name="_Toc91080596"/>
      <w:r>
        <w:rPr>
          <w:rFonts w:hint="eastAsia"/>
        </w:rPr>
        <w:t>安全策略和管理制度</w:t>
      </w:r>
      <w:bookmarkEnd w:id="554"/>
      <w:bookmarkEnd w:id="555"/>
      <w:bookmarkEnd w:id="556"/>
      <w:bookmarkEnd w:id="557"/>
      <w:bookmarkEnd w:id="558"/>
      <w:bookmarkEnd w:id="559"/>
      <w:bookmarkEnd w:id="560"/>
      <w:bookmarkEnd w:id="561"/>
      <w:bookmarkEnd w:id="562"/>
      <w:bookmarkEnd w:id="569"/>
      <w:bookmarkEnd w:id="570"/>
      <w:bookmarkEnd w:id="571"/>
      <w:bookmarkEnd w:id="572"/>
      <w:bookmarkEnd w:id="573"/>
      <w:bookmarkEnd w:id="574"/>
      <w:bookmarkEnd w:id="575"/>
    </w:p>
    <w:p w14:paraId="3B25D798">
      <w:pPr>
        <w:pStyle w:val="6"/>
        <w:spacing w:line="276" w:lineRule="auto"/>
        <w:rPr>
          <w:rFonts w:hint="eastAsia" w:ascii="宋体" w:hAnsi="宋体"/>
        </w:rPr>
      </w:pPr>
      <w:r>
        <w:rPr>
          <w:rFonts w:hint="eastAsia" w:ascii="宋体" w:hAnsi="宋体"/>
        </w:rPr>
        <w:t>根据安全管理制度的基本要求制定各类管理规定、管理办法和暂行规定。从安全策略主文档中规定的安全的各个方面应遵守的原则方法和指导性策略引出的具体管理规定、管理实施办法，是具有可操作性，且必须得到有效推行和实施的制度。</w:t>
      </w:r>
    </w:p>
    <w:p w14:paraId="03EAEC15">
      <w:pPr>
        <w:pStyle w:val="6"/>
        <w:spacing w:line="276" w:lineRule="auto"/>
        <w:rPr>
          <w:rFonts w:hint="eastAsia" w:ascii="宋体" w:hAnsi="宋体"/>
        </w:rPr>
      </w:pPr>
      <w:r>
        <w:rPr>
          <w:rFonts w:hint="eastAsia" w:ascii="宋体" w:hAnsi="宋体"/>
        </w:rPr>
        <w:t>制定严格的制定与发布流程、方式、范围等，制度需要统一格式并进行有效版本控制；发布方式需要正式、有效并注明发布范围，对收发文进行登记。</w:t>
      </w:r>
    </w:p>
    <w:p w14:paraId="0E70608A">
      <w:pPr>
        <w:pStyle w:val="6"/>
        <w:spacing w:line="276" w:lineRule="auto"/>
        <w:rPr>
          <w:rFonts w:hint="eastAsia" w:ascii="宋体" w:hAnsi="宋体"/>
        </w:rPr>
      </w:pPr>
      <w:r>
        <w:rPr>
          <w:rFonts w:hint="eastAsia" w:ascii="宋体" w:hAnsi="宋体"/>
        </w:rPr>
        <w:t>信息安全领导小组负责定期组织相关部门和相关人员对安全管理制度体系的合理性和适用性进行审定，定期或不定期对安全管理制度进行评审和修订，修订不足及时进行改进。</w:t>
      </w:r>
    </w:p>
    <w:p w14:paraId="6CBC7FD0">
      <w:pPr>
        <w:pStyle w:val="8"/>
        <w:rPr>
          <w:rFonts w:hint="eastAsia"/>
        </w:rPr>
      </w:pPr>
      <w:bookmarkStart w:id="576" w:name="_Toc391236691"/>
      <w:bookmarkStart w:id="577" w:name="_Toc8824953"/>
      <w:bookmarkStart w:id="578" w:name="_Toc52098163"/>
      <w:bookmarkStart w:id="579" w:name="_Toc140757325"/>
      <w:bookmarkStart w:id="580" w:name="_Toc53338274"/>
      <w:bookmarkStart w:id="581" w:name="_Toc115275065"/>
      <w:bookmarkStart w:id="582" w:name="_Toc43468059"/>
      <w:bookmarkStart w:id="583" w:name="_Toc53393680"/>
      <w:bookmarkStart w:id="584" w:name="_Toc142144152"/>
      <w:bookmarkStart w:id="585" w:name="_Toc42642074"/>
      <w:bookmarkStart w:id="586" w:name="_Toc20232386"/>
      <w:bookmarkStart w:id="587" w:name="_Toc25888"/>
      <w:bookmarkStart w:id="588" w:name="_Toc24653804"/>
      <w:bookmarkStart w:id="589" w:name="_Toc8949260"/>
      <w:bookmarkStart w:id="590" w:name="_Toc91080597"/>
      <w:bookmarkStart w:id="591" w:name="_Toc41656187"/>
      <w:r>
        <w:rPr>
          <w:rFonts w:hint="eastAsia"/>
        </w:rPr>
        <w:t>安全管理机构</w:t>
      </w:r>
      <w:bookmarkEnd w:id="576"/>
      <w:r>
        <w:rPr>
          <w:rFonts w:hint="eastAsia"/>
        </w:rPr>
        <w:t>和人员</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69A355E1">
      <w:pPr>
        <w:pStyle w:val="6"/>
        <w:spacing w:line="276" w:lineRule="auto"/>
        <w:rPr>
          <w:rFonts w:hint="eastAsia" w:ascii="宋体" w:hAnsi="宋体"/>
        </w:rPr>
      </w:pPr>
      <w:r>
        <w:rPr>
          <w:rFonts w:hint="eastAsia" w:ascii="宋体" w:hAnsi="宋体"/>
        </w:rPr>
        <w:t>根据基本要求设置安全管理机构的组织形式和运作方式，明确岗位职责。</w:t>
      </w:r>
    </w:p>
    <w:p w14:paraId="6E189528">
      <w:pPr>
        <w:pStyle w:val="6"/>
        <w:spacing w:line="276" w:lineRule="auto"/>
        <w:rPr>
          <w:rFonts w:hint="eastAsia" w:ascii="宋体" w:hAnsi="宋体"/>
        </w:rPr>
      </w:pPr>
      <w:r>
        <w:rPr>
          <w:rFonts w:hint="eastAsia" w:ascii="宋体" w:hAnsi="宋体"/>
        </w:rPr>
        <w:t>设置安全管理岗位，设立系统管理员、网络管理员、安全管理员等岗位，根据要求进行人员配备，配备专职安全员；成立指导和管理信息安全工作的委员会或领导小组，其最高领导由单位主管领导委任或授权；制定文件明确安全管理机构各个部门和岗位的职责、分工和技能要求。</w:t>
      </w:r>
    </w:p>
    <w:p w14:paraId="34C705A8">
      <w:pPr>
        <w:pStyle w:val="6"/>
        <w:spacing w:line="276" w:lineRule="auto"/>
        <w:rPr>
          <w:rFonts w:hint="eastAsia" w:ascii="宋体" w:hAnsi="宋体"/>
        </w:rPr>
      </w:pPr>
      <w:r>
        <w:rPr>
          <w:rFonts w:hint="eastAsia" w:ascii="宋体" w:hAnsi="宋体"/>
        </w:rPr>
        <w:t>建立授权与审批制度，建立内外部沟通合作渠道，定期对系统日常运行、系统漏洞和数据备份进行全面安全检查。</w:t>
      </w:r>
    </w:p>
    <w:p w14:paraId="3BD2B3B1">
      <w:pPr>
        <w:pStyle w:val="8"/>
        <w:rPr>
          <w:rFonts w:hint="eastAsia"/>
        </w:rPr>
      </w:pPr>
      <w:bookmarkStart w:id="592" w:name="_Toc24653805"/>
      <w:bookmarkStart w:id="593" w:name="_Toc391236693"/>
      <w:bookmarkStart w:id="594" w:name="_Toc8949261"/>
      <w:bookmarkStart w:id="595" w:name="_Toc53393681"/>
      <w:bookmarkStart w:id="596" w:name="_Toc41656188"/>
      <w:bookmarkStart w:id="597" w:name="_Toc115275066"/>
      <w:bookmarkStart w:id="598" w:name="_Toc91080598"/>
      <w:bookmarkStart w:id="599" w:name="_Toc53338275"/>
      <w:bookmarkStart w:id="600" w:name="_Toc52098164"/>
      <w:bookmarkStart w:id="601" w:name="_Toc5483"/>
      <w:bookmarkStart w:id="602" w:name="_Toc8824954"/>
      <w:bookmarkStart w:id="603" w:name="_Toc43468060"/>
      <w:bookmarkStart w:id="604" w:name="_Toc142144153"/>
      <w:bookmarkStart w:id="605" w:name="_Toc140757326"/>
      <w:bookmarkStart w:id="606" w:name="_Toc20232387"/>
      <w:bookmarkStart w:id="607" w:name="_Toc42642075"/>
      <w:r>
        <w:rPr>
          <w:rFonts w:hint="eastAsia"/>
        </w:rPr>
        <w:t>系统建设管理</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56F8B03C">
      <w:pPr>
        <w:pStyle w:val="6"/>
        <w:spacing w:line="276" w:lineRule="auto"/>
        <w:rPr>
          <w:rFonts w:hint="eastAsia" w:ascii="宋体" w:hAnsi="宋体"/>
        </w:rPr>
      </w:pPr>
      <w:r>
        <w:rPr>
          <w:rFonts w:hint="eastAsia" w:ascii="宋体" w:hAnsi="宋体"/>
        </w:rPr>
        <w:t>根据基本要求制定系统建设管理制度，包括：系统定级、安全方案设计、产品采购和使用、软件开发、工程实施、测试验收、系统交付、系统备案、等级评测、安全服务商选择等方面。从工程实施的前、中、后三个方面，从初始定级设计到验收评测的完整的工程周期角度进行系统建设管理。</w:t>
      </w:r>
    </w:p>
    <w:p w14:paraId="117D0A3C">
      <w:pPr>
        <w:pStyle w:val="8"/>
        <w:rPr>
          <w:rFonts w:hint="eastAsia"/>
        </w:rPr>
      </w:pPr>
      <w:bookmarkStart w:id="608" w:name="_Toc53393682"/>
      <w:bookmarkStart w:id="609" w:name="_Toc53338276"/>
      <w:bookmarkStart w:id="610" w:name="_Toc20232388"/>
      <w:bookmarkStart w:id="611" w:name="_Toc41656189"/>
      <w:bookmarkStart w:id="612" w:name="_Toc391236694"/>
      <w:bookmarkStart w:id="613" w:name="_Toc43468061"/>
      <w:bookmarkStart w:id="614" w:name="_Toc140757327"/>
      <w:bookmarkStart w:id="615" w:name="_Toc8949262"/>
      <w:bookmarkStart w:id="616" w:name="_Toc142144154"/>
      <w:bookmarkStart w:id="617" w:name="_Toc115275067"/>
      <w:bookmarkStart w:id="618" w:name="_Toc24653806"/>
      <w:bookmarkStart w:id="619" w:name="_Toc11014"/>
      <w:bookmarkStart w:id="620" w:name="_Toc91080599"/>
      <w:bookmarkStart w:id="621" w:name="_Toc8824955"/>
      <w:bookmarkStart w:id="622" w:name="_Toc52098165"/>
      <w:bookmarkStart w:id="623" w:name="_Toc42642076"/>
      <w:r>
        <w:rPr>
          <w:rFonts w:hint="eastAsia"/>
        </w:rPr>
        <w:t>系统运维管理</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0A7D20BC">
      <w:pPr>
        <w:pStyle w:val="6"/>
        <w:spacing w:line="276" w:lineRule="auto"/>
        <w:rPr>
          <w:rFonts w:hint="eastAsia" w:ascii="宋体" w:hAnsi="宋体"/>
        </w:rPr>
      </w:pPr>
      <w:r>
        <w:rPr>
          <w:rFonts w:hint="eastAsia" w:ascii="宋体" w:hAnsi="宋体"/>
        </w:rPr>
        <w:t>根据基本要求进行信息系统日常运行维护管理，利用管理制度以及安全管理中心进行，包括：环境管理、资产管理、介质管理、设备管理、监控管理、安全管理中心、网络安全管理、系统安全管理、恶意代码防范管理、密码管理、变更管理、备份与恢复管理、安全事件处置和应急预案管理等，使系统始终处于相应等级安全状态中。</w:t>
      </w:r>
    </w:p>
    <w:p w14:paraId="79FD563A">
      <w:pPr>
        <w:pStyle w:val="7"/>
        <w:rPr>
          <w:rFonts w:hint="eastAsia"/>
        </w:rPr>
      </w:pPr>
      <w:bookmarkStart w:id="624" w:name="_Toc142144155"/>
      <w:bookmarkStart w:id="625" w:name="_Toc52098169"/>
      <w:bookmarkStart w:id="626" w:name="_Toc91080610"/>
      <w:bookmarkStart w:id="627" w:name="_Toc19227"/>
      <w:bookmarkStart w:id="628" w:name="_Toc53393692"/>
      <w:bookmarkStart w:id="629" w:name="_Toc48288845"/>
      <w:bookmarkStart w:id="630" w:name="_Toc53338286"/>
      <w:bookmarkStart w:id="631" w:name="_Toc194522918"/>
      <w:bookmarkStart w:id="632" w:name="_Toc115275068"/>
      <w:bookmarkStart w:id="633" w:name="_Toc140757328"/>
      <w:bookmarkStart w:id="634" w:name="_Toc30322"/>
      <w:r>
        <w:rPr>
          <w:rFonts w:hint="eastAsia"/>
        </w:rPr>
        <w:t>应用安全设计</w:t>
      </w:r>
      <w:bookmarkEnd w:id="624"/>
      <w:bookmarkEnd w:id="625"/>
      <w:bookmarkEnd w:id="626"/>
      <w:bookmarkEnd w:id="627"/>
      <w:bookmarkEnd w:id="628"/>
      <w:bookmarkEnd w:id="629"/>
      <w:bookmarkEnd w:id="630"/>
      <w:bookmarkEnd w:id="631"/>
      <w:bookmarkEnd w:id="632"/>
      <w:bookmarkEnd w:id="633"/>
      <w:bookmarkEnd w:id="634"/>
    </w:p>
    <w:p w14:paraId="74F82C68">
      <w:pPr>
        <w:pStyle w:val="6"/>
        <w:spacing w:line="276" w:lineRule="auto"/>
        <w:rPr>
          <w:rFonts w:hint="eastAsia" w:ascii="宋体" w:hAnsi="宋体"/>
        </w:rPr>
      </w:pPr>
      <w:r>
        <w:rPr>
          <w:rFonts w:hint="eastAsia" w:ascii="宋体" w:hAnsi="宋体"/>
        </w:rPr>
        <w:t>应用安全主要是对资源的有效性进行控制，管理和控制不同等级用户对信息资源和服务资源具有什么权限，其安全性策略包括用户和服务器间的双向身份认证、信息和服务资源的访问控制和访问资源的加密，并通过审计和记录机制，确保服务请求和资源访问的防抵赖。针对各项目的信息资源的安全级别的特点，其安全策略主要包括统一的身份认证、权限管理、日记审计等。</w:t>
      </w:r>
    </w:p>
    <w:p w14:paraId="42A520D8">
      <w:pPr>
        <w:pStyle w:val="6"/>
        <w:spacing w:line="276" w:lineRule="auto"/>
        <w:rPr>
          <w:rFonts w:hint="eastAsia" w:ascii="宋体" w:hAnsi="宋体"/>
        </w:rPr>
      </w:pPr>
      <w:r>
        <w:rPr>
          <w:rFonts w:hint="eastAsia" w:ascii="宋体" w:hAnsi="宋体"/>
        </w:rPr>
        <w:t>网络设备提交的服务请求包含其物理地址、端口、设备类型、权限等信息，核心服务平台系统根据这些信息对每一次服务请求进行验证，仅允许合法设备获取权限范围内的服务，对于非法数据一律丢弃，同时网络且仅对本次服务发放通信许可并建立专用通信连接，实现业务数据的端到端转发，服务结束后自动撤销通行证、拆除通信连接。</w:t>
      </w:r>
      <w:bookmarkStart w:id="635" w:name="_Toc53394032"/>
      <w:bookmarkEnd w:id="635"/>
      <w:bookmarkStart w:id="636" w:name="_Toc115904868"/>
      <w:bookmarkEnd w:id="636"/>
      <w:bookmarkStart w:id="637" w:name="_Toc116199846"/>
      <w:bookmarkEnd w:id="637"/>
      <w:bookmarkStart w:id="638" w:name="_Toc53405507"/>
      <w:bookmarkEnd w:id="638"/>
      <w:bookmarkStart w:id="639" w:name="_Toc116198688"/>
      <w:bookmarkEnd w:id="639"/>
      <w:bookmarkStart w:id="640" w:name="_Toc58426389"/>
      <w:bookmarkEnd w:id="640"/>
      <w:bookmarkStart w:id="641" w:name="_Toc53423499"/>
      <w:bookmarkEnd w:id="641"/>
      <w:bookmarkStart w:id="642" w:name="_Toc53394367"/>
      <w:bookmarkEnd w:id="642"/>
      <w:bookmarkStart w:id="643" w:name="_Toc91080611"/>
      <w:bookmarkEnd w:id="643"/>
      <w:bookmarkStart w:id="644" w:name="_Toc116206576"/>
      <w:bookmarkEnd w:id="644"/>
      <w:bookmarkStart w:id="645" w:name="_Toc115904577"/>
      <w:bookmarkEnd w:id="645"/>
      <w:bookmarkStart w:id="646" w:name="_Toc53423823"/>
      <w:bookmarkEnd w:id="646"/>
      <w:bookmarkStart w:id="647" w:name="_Toc115275069"/>
      <w:bookmarkEnd w:id="647"/>
      <w:bookmarkStart w:id="648" w:name="_Toc116201135"/>
      <w:bookmarkEnd w:id="648"/>
      <w:bookmarkStart w:id="649" w:name="_Toc54471418"/>
      <w:bookmarkEnd w:id="649"/>
      <w:bookmarkStart w:id="650" w:name="_Toc52098170"/>
    </w:p>
    <w:p w14:paraId="23A67B73">
      <w:pPr>
        <w:pStyle w:val="8"/>
        <w:rPr>
          <w:rFonts w:hint="eastAsia"/>
        </w:rPr>
      </w:pPr>
      <w:bookmarkStart w:id="651" w:name="_Toc116201136"/>
      <w:bookmarkEnd w:id="651"/>
      <w:bookmarkStart w:id="652" w:name="_Toc115904578"/>
      <w:bookmarkEnd w:id="652"/>
      <w:bookmarkStart w:id="653" w:name="_Toc116198689"/>
      <w:bookmarkEnd w:id="653"/>
      <w:bookmarkStart w:id="654" w:name="_Toc116199847"/>
      <w:bookmarkEnd w:id="654"/>
      <w:bookmarkStart w:id="655" w:name="_Toc116206577"/>
      <w:bookmarkEnd w:id="655"/>
      <w:bookmarkStart w:id="656" w:name="_Toc115904869"/>
      <w:bookmarkEnd w:id="656"/>
      <w:bookmarkStart w:id="657" w:name="_Toc53393693"/>
      <w:bookmarkStart w:id="658" w:name="_Toc140757329"/>
      <w:bookmarkStart w:id="659" w:name="_Toc142144156"/>
      <w:bookmarkStart w:id="660" w:name="_Toc53338287"/>
      <w:bookmarkStart w:id="661" w:name="_Toc12395"/>
      <w:bookmarkStart w:id="662" w:name="_Toc115275070"/>
      <w:bookmarkStart w:id="663" w:name="_Toc91080612"/>
      <w:r>
        <w:rPr>
          <w:rFonts w:hint="eastAsia"/>
        </w:rPr>
        <w:t>口令管理与认证安全</w:t>
      </w:r>
      <w:bookmarkEnd w:id="650"/>
      <w:bookmarkEnd w:id="657"/>
      <w:bookmarkEnd w:id="658"/>
      <w:bookmarkEnd w:id="659"/>
      <w:bookmarkEnd w:id="660"/>
      <w:bookmarkEnd w:id="661"/>
      <w:bookmarkEnd w:id="662"/>
      <w:bookmarkEnd w:id="663"/>
    </w:p>
    <w:p w14:paraId="411E3541">
      <w:pPr>
        <w:pStyle w:val="6"/>
        <w:spacing w:before="0" w:after="0" w:line="276" w:lineRule="auto"/>
        <w:rPr>
          <w:rFonts w:hint="eastAsia" w:ascii="宋体" w:hAnsi="宋体"/>
        </w:rPr>
      </w:pPr>
      <w:r>
        <w:rPr>
          <w:rFonts w:hint="eastAsia" w:ascii="宋体" w:hAnsi="宋体"/>
        </w:rPr>
        <w:t>口令复杂度：复杂度可配置，可选大写字母、小写字母、数字、特殊字符的任意组合。</w:t>
      </w:r>
    </w:p>
    <w:p w14:paraId="420FCEB1">
      <w:pPr>
        <w:pStyle w:val="6"/>
        <w:spacing w:before="0" w:after="0" w:line="276" w:lineRule="auto"/>
        <w:rPr>
          <w:rFonts w:hint="eastAsia" w:ascii="宋体" w:hAnsi="宋体"/>
        </w:rPr>
      </w:pPr>
      <w:r>
        <w:rPr>
          <w:rFonts w:hint="eastAsia" w:ascii="宋体" w:hAnsi="宋体"/>
        </w:rPr>
        <w:t>管理用户的密码，支持重置、查看等操作。密码在数据库中全部加密保存，即使用户自己查看密钥，传输过程也是加密的。</w:t>
      </w:r>
    </w:p>
    <w:p w14:paraId="063010B3">
      <w:pPr>
        <w:pStyle w:val="6"/>
        <w:spacing w:before="0" w:after="0" w:line="276" w:lineRule="auto"/>
        <w:rPr>
          <w:rFonts w:hint="eastAsia" w:ascii="宋体" w:hAnsi="宋体"/>
        </w:rPr>
      </w:pPr>
      <w:r>
        <w:rPr>
          <w:rFonts w:hint="eastAsia" w:ascii="宋体" w:hAnsi="宋体"/>
        </w:rPr>
        <w:t>为确保用户安全，采用主动型安全理念，在设计其通信体系时，采用了“一认证、二连接、三通信”的概念，即：</w:t>
      </w:r>
    </w:p>
    <w:p w14:paraId="0CCA7D7A">
      <w:pPr>
        <w:pStyle w:val="6"/>
        <w:spacing w:before="0" w:after="0" w:line="276" w:lineRule="auto"/>
        <w:rPr>
          <w:rFonts w:hint="eastAsia" w:ascii="宋体" w:hAnsi="宋体"/>
        </w:rPr>
      </w:pPr>
      <w:r>
        <w:rPr>
          <w:rFonts w:hint="eastAsia" w:ascii="宋体" w:hAnsi="宋体"/>
        </w:rPr>
        <w:t>在用户入网过程中，先登记用户信息和权限信息，由服务器主动确认用户身份后，判定用户的入网许可；</w:t>
      </w:r>
    </w:p>
    <w:p w14:paraId="13696352">
      <w:pPr>
        <w:pStyle w:val="6"/>
        <w:spacing w:before="0" w:after="0" w:line="276" w:lineRule="auto"/>
        <w:rPr>
          <w:rFonts w:hint="eastAsia" w:ascii="宋体" w:hAnsi="宋体"/>
        </w:rPr>
      </w:pPr>
      <w:r>
        <w:rPr>
          <w:rFonts w:hint="eastAsia" w:ascii="宋体" w:hAnsi="宋体"/>
        </w:rPr>
        <w:t>在用户请求业务时，服务器再次验证用户信息和服务权限；</w:t>
      </w:r>
    </w:p>
    <w:p w14:paraId="27E88A48">
      <w:pPr>
        <w:pStyle w:val="6"/>
        <w:spacing w:before="0" w:after="0" w:line="276" w:lineRule="auto"/>
        <w:rPr>
          <w:rFonts w:hint="eastAsia" w:ascii="宋体" w:hAnsi="宋体"/>
        </w:rPr>
      </w:pPr>
      <w:r>
        <w:rPr>
          <w:rFonts w:hint="eastAsia" w:ascii="宋体" w:hAnsi="宋体"/>
        </w:rPr>
        <w:t>通过审核后以单次通信为基础向用户授权“一事一密”的密钥。通过上述认证机制，实现网络设备与用户数据主动隔离，从结构上彻底根除了困扰互联网的网络安全问题。</w:t>
      </w:r>
    </w:p>
    <w:p w14:paraId="1AC12A5D">
      <w:pPr>
        <w:pStyle w:val="8"/>
        <w:rPr>
          <w:rFonts w:hint="eastAsia"/>
        </w:rPr>
      </w:pPr>
      <w:bookmarkStart w:id="664" w:name="_Toc91080613"/>
      <w:bookmarkStart w:id="665" w:name="_Toc52098171"/>
      <w:bookmarkStart w:id="666" w:name="_Toc115275071"/>
      <w:bookmarkStart w:id="667" w:name="_Toc10998"/>
      <w:bookmarkStart w:id="668" w:name="_Toc53338288"/>
      <w:bookmarkStart w:id="669" w:name="_Toc53393694"/>
      <w:bookmarkStart w:id="670" w:name="_Toc140757330"/>
      <w:bookmarkStart w:id="671" w:name="_Toc142144157"/>
      <w:r>
        <w:rPr>
          <w:rFonts w:hint="eastAsia"/>
        </w:rPr>
        <w:t>管理员身份认证</w:t>
      </w:r>
      <w:bookmarkEnd w:id="664"/>
      <w:bookmarkEnd w:id="665"/>
      <w:bookmarkEnd w:id="666"/>
      <w:bookmarkEnd w:id="667"/>
      <w:bookmarkEnd w:id="668"/>
      <w:bookmarkEnd w:id="669"/>
      <w:bookmarkEnd w:id="670"/>
      <w:bookmarkEnd w:id="671"/>
    </w:p>
    <w:p w14:paraId="62C1561A">
      <w:pPr>
        <w:pStyle w:val="6"/>
        <w:spacing w:line="276" w:lineRule="auto"/>
        <w:rPr>
          <w:rFonts w:hint="eastAsia" w:ascii="宋体" w:hAnsi="宋体"/>
        </w:rPr>
      </w:pPr>
      <w:r>
        <w:rPr>
          <w:rFonts w:hint="eastAsia" w:ascii="宋体" w:hAnsi="宋体"/>
        </w:rPr>
        <w:t>系统中的</w:t>
      </w:r>
      <w:r>
        <w:rPr>
          <w:rFonts w:hint="eastAsia" w:ascii="宋体" w:hAnsi="宋体"/>
          <w:lang w:val="en-US" w:eastAsia="zh-CN"/>
        </w:rPr>
        <w:t>管理员</w:t>
      </w:r>
      <w:r>
        <w:rPr>
          <w:rFonts w:hint="eastAsia" w:ascii="宋体" w:hAnsi="宋体"/>
        </w:rPr>
        <w:t>用户都必须通过</w:t>
      </w:r>
      <w:r>
        <w:rPr>
          <w:rFonts w:hint="eastAsia" w:ascii="宋体" w:hAnsi="宋体"/>
          <w:lang w:val="en-US" w:eastAsia="zh-CN"/>
        </w:rPr>
        <w:t>权限</w:t>
      </w:r>
      <w:r>
        <w:rPr>
          <w:rFonts w:hint="eastAsia" w:ascii="宋体" w:hAnsi="宋体"/>
        </w:rPr>
        <w:t>认证才能在自己的权限范围内使用系统，以防止未授权用户非法使用系统。</w:t>
      </w:r>
    </w:p>
    <w:p w14:paraId="01C5C2AC">
      <w:pPr>
        <w:pStyle w:val="6"/>
        <w:spacing w:line="276" w:lineRule="auto"/>
        <w:rPr>
          <w:rFonts w:hint="eastAsia" w:ascii="宋体" w:hAnsi="宋体"/>
        </w:rPr>
      </w:pPr>
      <w:r>
        <w:rPr>
          <w:rFonts w:hint="eastAsia" w:ascii="宋体" w:hAnsi="宋体"/>
        </w:rPr>
        <w:t>帐号验证：是否存在、禁用帐号识别、锁定帐号识别；</w:t>
      </w:r>
    </w:p>
    <w:p w14:paraId="5B3A8313">
      <w:pPr>
        <w:pStyle w:val="6"/>
        <w:spacing w:line="276" w:lineRule="auto"/>
        <w:rPr>
          <w:rFonts w:hint="eastAsia" w:ascii="宋体" w:hAnsi="宋体"/>
        </w:rPr>
      </w:pPr>
      <w:r>
        <w:rPr>
          <w:rFonts w:hint="eastAsia" w:ascii="宋体" w:hAnsi="宋体"/>
        </w:rPr>
        <w:t>口令验证：口令由应用维护系统统一维护。</w:t>
      </w:r>
    </w:p>
    <w:p w14:paraId="42912385">
      <w:pPr>
        <w:pStyle w:val="6"/>
        <w:spacing w:line="276" w:lineRule="auto"/>
        <w:rPr>
          <w:rFonts w:hint="eastAsia" w:ascii="宋体" w:hAnsi="宋体"/>
        </w:rPr>
      </w:pPr>
      <w:r>
        <w:rPr>
          <w:rFonts w:hint="eastAsia" w:ascii="宋体" w:hAnsi="宋体"/>
        </w:rPr>
        <w:t>权限验证:系统依据用户的角色与权限，完成对用户的一次性身份认证，提供该认证用户相应的访问范围、信息资源和基于其权限的功能模块。</w:t>
      </w:r>
    </w:p>
    <w:p w14:paraId="57FEC739">
      <w:pPr>
        <w:pStyle w:val="8"/>
        <w:rPr>
          <w:rFonts w:hint="eastAsia"/>
        </w:rPr>
      </w:pPr>
      <w:bookmarkStart w:id="672" w:name="_Toc140757331"/>
      <w:bookmarkStart w:id="673" w:name="_Toc115275072"/>
      <w:bookmarkStart w:id="674" w:name="_Toc91080614"/>
      <w:bookmarkStart w:id="675" w:name="_Toc53338289"/>
      <w:bookmarkStart w:id="676" w:name="_Toc53393695"/>
      <w:bookmarkStart w:id="677" w:name="_Toc52098172"/>
      <w:bookmarkStart w:id="678" w:name="_Toc142144158"/>
      <w:bookmarkStart w:id="679" w:name="_Toc2656"/>
      <w:r>
        <w:rPr>
          <w:rFonts w:hint="eastAsia"/>
        </w:rPr>
        <w:t>系统访问控制</w:t>
      </w:r>
      <w:bookmarkEnd w:id="672"/>
      <w:bookmarkEnd w:id="673"/>
      <w:bookmarkEnd w:id="674"/>
      <w:bookmarkEnd w:id="675"/>
      <w:bookmarkEnd w:id="676"/>
      <w:bookmarkEnd w:id="677"/>
      <w:bookmarkEnd w:id="678"/>
      <w:bookmarkEnd w:id="679"/>
    </w:p>
    <w:p w14:paraId="580FB496">
      <w:pPr>
        <w:pStyle w:val="6"/>
        <w:spacing w:line="276" w:lineRule="auto"/>
        <w:rPr>
          <w:rFonts w:hint="eastAsia" w:ascii="宋体" w:hAnsi="宋体"/>
        </w:rPr>
      </w:pPr>
      <w:r>
        <w:rPr>
          <w:rFonts w:hint="eastAsia" w:ascii="宋体" w:hAnsi="宋体"/>
        </w:rPr>
        <w:t>身份认证是安全系统的基础，可以包括用户密码、数字证书、随机验证码（将一串随机产生的数字上英文字每，生成一幅图片，图片里加上一些干扰象素（防止OCR），由用户肉眼识别其中的验证码信息，输入表单提交验证）等多种模式，防止恶意软件自动登录攻击，实现对各类用户访问系统的合法性进行验证。</w:t>
      </w:r>
    </w:p>
    <w:p w14:paraId="3A9A1518">
      <w:pPr>
        <w:pStyle w:val="6"/>
        <w:spacing w:before="0" w:after="0" w:line="276" w:lineRule="auto"/>
        <w:rPr>
          <w:rFonts w:hint="eastAsia" w:ascii="宋体" w:hAnsi="宋体"/>
        </w:rPr>
      </w:pPr>
      <w:r>
        <w:rPr>
          <w:rFonts w:hint="eastAsia" w:ascii="宋体" w:hAnsi="宋体"/>
        </w:rPr>
        <w:t>应用系统开发中，还应提供以下功能要求：</w:t>
      </w:r>
    </w:p>
    <w:p w14:paraId="7975F6FD">
      <w:pPr>
        <w:pStyle w:val="6"/>
        <w:spacing w:before="0" w:after="0" w:line="276" w:lineRule="auto"/>
        <w:rPr>
          <w:rFonts w:hint="eastAsia" w:ascii="宋体" w:hAnsi="宋体"/>
        </w:rPr>
      </w:pPr>
      <w:r>
        <w:rPr>
          <w:rFonts w:hint="eastAsia" w:ascii="宋体" w:hAnsi="宋体"/>
        </w:rPr>
        <w:t>（1）提供强制要求修改口令的功能。通过管理端的设置，可要求所有或部分用户必须定期或在符合特定条件的情况下修改口令；</w:t>
      </w:r>
    </w:p>
    <w:p w14:paraId="0D66D609">
      <w:pPr>
        <w:pStyle w:val="6"/>
        <w:spacing w:before="0" w:after="0" w:line="276" w:lineRule="auto"/>
        <w:rPr>
          <w:rFonts w:hint="eastAsia" w:ascii="宋体" w:hAnsi="宋体"/>
        </w:rPr>
      </w:pPr>
      <w:r>
        <w:rPr>
          <w:rFonts w:hint="eastAsia" w:ascii="宋体" w:hAnsi="宋体"/>
        </w:rPr>
        <w:t>（2）具有登录失败处理的功能，锁定登录失败次数超过一定数量的用户账号；</w:t>
      </w:r>
    </w:p>
    <w:p w14:paraId="532E1C31">
      <w:pPr>
        <w:pStyle w:val="6"/>
        <w:spacing w:before="0" w:after="0" w:line="276" w:lineRule="auto"/>
        <w:rPr>
          <w:rFonts w:hint="eastAsia" w:ascii="宋体" w:hAnsi="宋体"/>
        </w:rPr>
      </w:pPr>
      <w:r>
        <w:rPr>
          <w:rFonts w:hint="eastAsia" w:ascii="宋体" w:hAnsi="宋体"/>
        </w:rPr>
        <w:t>（3）具有超时处理的功能，当用户登录后在一段时间内无任何动作，应用系统锁定界面并清除用户状态，用户必须再次进行身份认证才可恢复。</w:t>
      </w:r>
    </w:p>
    <w:p w14:paraId="037CC745">
      <w:pPr>
        <w:pStyle w:val="6"/>
        <w:spacing w:before="0" w:after="0" w:line="276" w:lineRule="auto"/>
        <w:rPr>
          <w:rFonts w:hint="eastAsia" w:ascii="宋体" w:hAnsi="宋体"/>
        </w:rPr>
      </w:pPr>
      <w:r>
        <w:rPr>
          <w:rFonts w:hint="eastAsia" w:ascii="宋体" w:hAnsi="宋体"/>
        </w:rPr>
        <w:t>（4）提供访问控制功能，依据安全策略控制用户对文件、数据库表等客体的访问；</w:t>
      </w:r>
    </w:p>
    <w:p w14:paraId="6EA8BBBF">
      <w:pPr>
        <w:pStyle w:val="6"/>
        <w:spacing w:before="0" w:after="0" w:line="276" w:lineRule="auto"/>
        <w:rPr>
          <w:rFonts w:hint="eastAsia" w:ascii="宋体" w:hAnsi="宋体"/>
        </w:rPr>
      </w:pPr>
      <w:r>
        <w:rPr>
          <w:rFonts w:hint="eastAsia" w:ascii="宋体" w:hAnsi="宋体"/>
        </w:rPr>
        <w:t>（5）访问控制的覆盖范围应包括与资源访问相关的主体、客体及它们之间的操作；</w:t>
      </w:r>
    </w:p>
    <w:p w14:paraId="480D700D">
      <w:pPr>
        <w:pStyle w:val="6"/>
        <w:spacing w:before="0" w:after="0" w:line="276" w:lineRule="auto"/>
        <w:rPr>
          <w:rFonts w:hint="eastAsia" w:ascii="宋体" w:hAnsi="宋体"/>
        </w:rPr>
      </w:pPr>
      <w:r>
        <w:rPr>
          <w:rFonts w:hint="eastAsia" w:ascii="宋体" w:hAnsi="宋体"/>
        </w:rPr>
        <w:t>（6）由授权主体配置访问控制策略，并严格限制默认账户的访问权限；</w:t>
      </w:r>
    </w:p>
    <w:p w14:paraId="3C37AC5D">
      <w:pPr>
        <w:pStyle w:val="6"/>
        <w:spacing w:before="0" w:after="0" w:line="276" w:lineRule="auto"/>
        <w:rPr>
          <w:rFonts w:hint="eastAsia" w:ascii="宋体" w:hAnsi="宋体"/>
        </w:rPr>
      </w:pPr>
      <w:r>
        <w:rPr>
          <w:rFonts w:hint="eastAsia" w:ascii="宋体" w:hAnsi="宋体"/>
        </w:rPr>
        <w:t>（7）授予不同账户完成各自承担任务的最小权限，并在它们之间形成相互制约的关系。</w:t>
      </w:r>
    </w:p>
    <w:p w14:paraId="6D7E1EA4">
      <w:pPr>
        <w:pStyle w:val="6"/>
        <w:spacing w:before="0" w:after="0" w:line="276" w:lineRule="auto"/>
        <w:rPr>
          <w:rFonts w:hint="eastAsia" w:ascii="宋体" w:hAnsi="宋体"/>
        </w:rPr>
      </w:pPr>
      <w:r>
        <w:rPr>
          <w:rFonts w:hint="eastAsia" w:ascii="宋体" w:hAnsi="宋体"/>
        </w:rPr>
        <w:t>（8）具有对重要信息资源设置敏感标记的功能；</w:t>
      </w:r>
    </w:p>
    <w:p w14:paraId="5D2D39A1">
      <w:pPr>
        <w:pStyle w:val="6"/>
        <w:spacing w:before="0" w:after="0" w:line="276" w:lineRule="auto"/>
        <w:rPr>
          <w:rFonts w:hint="eastAsia" w:ascii="宋体" w:hAnsi="宋体"/>
        </w:rPr>
      </w:pPr>
      <w:r>
        <w:rPr>
          <w:rFonts w:hint="eastAsia" w:ascii="宋体" w:hAnsi="宋体"/>
        </w:rPr>
        <w:t>（9）依据安全策略严格控制用户对有敏感标记重要信息资源的操作；</w:t>
      </w:r>
    </w:p>
    <w:p w14:paraId="345EAE5A">
      <w:pPr>
        <w:pStyle w:val="8"/>
        <w:rPr>
          <w:rFonts w:hint="eastAsia"/>
        </w:rPr>
      </w:pPr>
      <w:bookmarkStart w:id="680" w:name="_Toc142144159"/>
      <w:bookmarkStart w:id="681" w:name="_Toc91080615"/>
      <w:bookmarkStart w:id="682" w:name="_Toc115275073"/>
      <w:bookmarkStart w:id="683" w:name="_Toc52098173"/>
      <w:bookmarkStart w:id="684" w:name="_Toc53393696"/>
      <w:bookmarkStart w:id="685" w:name="_Toc26035"/>
      <w:bookmarkStart w:id="686" w:name="_Toc53338290"/>
      <w:bookmarkStart w:id="687" w:name="_Toc140757332"/>
      <w:r>
        <w:rPr>
          <w:rFonts w:hint="eastAsia"/>
        </w:rPr>
        <w:t>系统登录认证</w:t>
      </w:r>
      <w:bookmarkEnd w:id="680"/>
      <w:bookmarkEnd w:id="681"/>
      <w:bookmarkEnd w:id="682"/>
      <w:bookmarkEnd w:id="683"/>
      <w:bookmarkEnd w:id="684"/>
      <w:bookmarkEnd w:id="685"/>
      <w:bookmarkEnd w:id="686"/>
      <w:bookmarkEnd w:id="687"/>
    </w:p>
    <w:p w14:paraId="0537CB6E">
      <w:pPr>
        <w:pStyle w:val="6"/>
        <w:spacing w:before="0" w:after="0" w:line="276" w:lineRule="auto"/>
        <w:rPr>
          <w:rFonts w:hint="eastAsia" w:ascii="宋体" w:hAnsi="宋体"/>
        </w:rPr>
      </w:pPr>
      <w:r>
        <w:rPr>
          <w:rFonts w:hint="eastAsia" w:ascii="宋体" w:hAnsi="宋体"/>
        </w:rPr>
        <w:t>信息系统使用支持SM2的SSL安全证，采用SM2数字签名、密钥加密，采用SM3摘要运算，采用SM4对称加密。</w:t>
      </w:r>
    </w:p>
    <w:p w14:paraId="13B130B4">
      <w:pPr>
        <w:pStyle w:val="6"/>
        <w:spacing w:before="0" w:after="0" w:line="276" w:lineRule="auto"/>
        <w:rPr>
          <w:rFonts w:hint="eastAsia" w:ascii="宋体" w:hAnsi="宋体"/>
        </w:rPr>
      </w:pPr>
      <w:r>
        <w:rPr>
          <w:rFonts w:hint="eastAsia" w:ascii="宋体" w:hAnsi="宋体"/>
        </w:rPr>
        <w:t>身份认证管理是以认证服务为基础，将组织信息、用户信息统一存储，进行分级授权和集中身份认证，进而规范应用系统的用户认证方式。用户经身份认证登录后，从一个功能进入到另一个功能时，系统依据用户的角色与权限，完成对用户的一次性身份认证，提供该认证用户相应的访问范围、信息资源和基于其权限的功能模块和工具，提高应用系统的安全性和用户使用的方便性。</w:t>
      </w:r>
    </w:p>
    <w:p w14:paraId="2C999FBE">
      <w:pPr>
        <w:pStyle w:val="6"/>
        <w:spacing w:before="0" w:after="0" w:line="276" w:lineRule="auto"/>
        <w:rPr>
          <w:rFonts w:hint="eastAsia" w:ascii="宋体" w:hAnsi="宋体"/>
        </w:rPr>
      </w:pPr>
      <w:r>
        <w:rPr>
          <w:rFonts w:hint="eastAsia" w:ascii="宋体" w:hAnsi="宋体"/>
        </w:rPr>
        <w:t>不同用户分级认证，同时支持口令方式、PKI等多种系统身份认证机制。</w:t>
      </w:r>
    </w:p>
    <w:p w14:paraId="6F0FB87B">
      <w:pPr>
        <w:pStyle w:val="6"/>
        <w:spacing w:before="0" w:after="0" w:line="276" w:lineRule="auto"/>
        <w:rPr>
          <w:rFonts w:hint="eastAsia" w:ascii="宋体" w:hAnsi="宋体"/>
        </w:rPr>
      </w:pPr>
      <w:r>
        <w:rPr>
          <w:rFonts w:hint="eastAsia" w:ascii="宋体" w:hAnsi="宋体"/>
        </w:rPr>
        <w:t>（1）用户名/密码登录是系统最常用的身份认证方式，也是系统安全的第一道防线。当用户的口令采用明文方式进行存储或者通过网络进行传输，则容易被攻击者截获。因此，系统在存储用户口令时，采用SM3算法进行加密，并存储到数据库。当用户登录客户端或者调用身份认证服务接口时，对输入的密码先进行SM3加密，生成的密文再进行SM2非对称双重加密。服务端则先对密文进行SM2解密，再与数据库的对应密码进行比较，如果账号密码一致则可登录系统；</w:t>
      </w:r>
    </w:p>
    <w:p w14:paraId="5FD61461">
      <w:pPr>
        <w:pStyle w:val="6"/>
        <w:spacing w:before="0" w:after="0" w:line="276" w:lineRule="auto"/>
        <w:rPr>
          <w:rFonts w:hint="eastAsia" w:ascii="宋体" w:hAnsi="宋体"/>
        </w:rPr>
      </w:pPr>
      <w:r>
        <w:rPr>
          <w:rFonts w:hint="eastAsia" w:ascii="宋体" w:hAnsi="宋体"/>
        </w:rPr>
        <w:t>（2）系统采用PKI作为身份识别标识的。系统通过政务服务数字证书互认平台PKI接口，获取用户身份信息，实现数字证书用户认证与管理。</w:t>
      </w:r>
    </w:p>
    <w:p w14:paraId="2DAF4A6E">
      <w:pPr>
        <w:pStyle w:val="8"/>
        <w:rPr>
          <w:rFonts w:hint="eastAsia"/>
        </w:rPr>
      </w:pPr>
      <w:bookmarkStart w:id="688" w:name="_Toc52098174"/>
      <w:bookmarkStart w:id="689" w:name="_Toc140757333"/>
      <w:bookmarkStart w:id="690" w:name="_Toc91080616"/>
      <w:bookmarkStart w:id="691" w:name="_Toc142144160"/>
      <w:bookmarkStart w:id="692" w:name="_Toc53338291"/>
      <w:bookmarkStart w:id="693" w:name="_Toc29427"/>
      <w:bookmarkStart w:id="694" w:name="_Toc53393697"/>
      <w:bookmarkStart w:id="695" w:name="_Toc115275074"/>
      <w:r>
        <w:rPr>
          <w:rFonts w:hint="eastAsia"/>
        </w:rPr>
        <w:t>系统管理</w:t>
      </w:r>
      <w:bookmarkEnd w:id="688"/>
      <w:r>
        <w:rPr>
          <w:rFonts w:hint="eastAsia"/>
        </w:rPr>
        <w:t>角色</w:t>
      </w:r>
      <w:bookmarkEnd w:id="689"/>
      <w:bookmarkEnd w:id="690"/>
      <w:bookmarkEnd w:id="691"/>
      <w:bookmarkEnd w:id="692"/>
      <w:bookmarkEnd w:id="693"/>
      <w:bookmarkEnd w:id="694"/>
      <w:bookmarkEnd w:id="695"/>
    </w:p>
    <w:p w14:paraId="6482E2CB">
      <w:pPr>
        <w:pStyle w:val="6"/>
        <w:spacing w:line="276" w:lineRule="auto"/>
        <w:rPr>
          <w:rFonts w:hint="eastAsia" w:ascii="宋体" w:hAnsi="宋体"/>
        </w:rPr>
      </w:pPr>
      <w:r>
        <w:rPr>
          <w:rFonts w:hint="eastAsia" w:ascii="宋体" w:hAnsi="宋体"/>
        </w:rPr>
        <w:t>系统通过系统自身的用户角色、权限管理功能，实现系统管理员可通过管理工具或平台进行系统管理操作，并对这些操作进行审计；根据用户角色和权限分配信息，支持系统管理员对系统的资源和运行进行配置、控制和管理，包括用户身份、资源配置、加载和启动、运行的异常处理、数据和设备的备份与恢复等。</w:t>
      </w:r>
    </w:p>
    <w:p w14:paraId="47D24DD6">
      <w:pPr>
        <w:pStyle w:val="7"/>
        <w:rPr>
          <w:rFonts w:hint="eastAsia"/>
        </w:rPr>
      </w:pPr>
      <w:bookmarkStart w:id="696" w:name="_Toc48288844"/>
      <w:bookmarkStart w:id="697" w:name="_Toc21790"/>
      <w:bookmarkStart w:id="698" w:name="_Toc53393683"/>
      <w:bookmarkStart w:id="699" w:name="_Toc91080600"/>
      <w:bookmarkStart w:id="700" w:name="_Toc43468062"/>
      <w:bookmarkStart w:id="701" w:name="_Toc8824956"/>
      <w:bookmarkStart w:id="702" w:name="_Toc2487"/>
      <w:bookmarkStart w:id="703" w:name="_Toc20232389"/>
      <w:bookmarkStart w:id="704" w:name="_Toc24653807"/>
      <w:bookmarkStart w:id="705" w:name="_Toc41656190"/>
      <w:bookmarkStart w:id="706" w:name="_Toc142144162"/>
      <w:bookmarkStart w:id="707" w:name="_Toc8949263"/>
      <w:bookmarkStart w:id="708" w:name="_Toc194522919"/>
      <w:bookmarkStart w:id="709" w:name="_Toc115275075"/>
      <w:bookmarkStart w:id="710" w:name="_Toc52098166"/>
      <w:bookmarkStart w:id="711" w:name="_Toc53338277"/>
      <w:bookmarkStart w:id="712" w:name="_Toc42642077"/>
      <w:bookmarkStart w:id="713" w:name="_Toc140757334"/>
      <w:r>
        <w:rPr>
          <w:rFonts w:hint="eastAsia"/>
        </w:rPr>
        <w:t>安全运维服务设计</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03D085C5">
      <w:pPr>
        <w:pStyle w:val="6"/>
        <w:spacing w:line="276" w:lineRule="auto"/>
        <w:rPr>
          <w:rFonts w:hint="eastAsia" w:ascii="宋体" w:hAnsi="宋体"/>
        </w:rPr>
      </w:pPr>
      <w:r>
        <w:rPr>
          <w:rFonts w:hint="eastAsia" w:ascii="宋体" w:hAnsi="宋体"/>
        </w:rPr>
        <w:t>采取严格的访问控制、监控审计和职责分离来确保平台运营安全。</w:t>
      </w:r>
    </w:p>
    <w:p w14:paraId="5863E7BB">
      <w:pPr>
        <w:pStyle w:val="8"/>
        <w:rPr>
          <w:rFonts w:hint="eastAsia"/>
        </w:rPr>
      </w:pPr>
      <w:bookmarkStart w:id="714" w:name="_Toc53394022"/>
      <w:bookmarkEnd w:id="714"/>
      <w:bookmarkStart w:id="715" w:name="_Toc116198712"/>
      <w:bookmarkEnd w:id="715"/>
      <w:bookmarkStart w:id="716" w:name="_Toc53423813"/>
      <w:bookmarkEnd w:id="716"/>
      <w:bookmarkStart w:id="717" w:name="_Toc53423489"/>
      <w:bookmarkEnd w:id="717"/>
      <w:bookmarkStart w:id="718" w:name="_Toc116199870"/>
      <w:bookmarkEnd w:id="718"/>
      <w:bookmarkStart w:id="719" w:name="_Toc54471408"/>
      <w:bookmarkEnd w:id="719"/>
      <w:bookmarkStart w:id="720" w:name="_Toc53405497"/>
      <w:bookmarkEnd w:id="720"/>
      <w:bookmarkStart w:id="721" w:name="_Toc115904600"/>
      <w:bookmarkEnd w:id="721"/>
      <w:bookmarkStart w:id="722" w:name="_Toc116206600"/>
      <w:bookmarkEnd w:id="722"/>
      <w:bookmarkStart w:id="723" w:name="_Toc115275076"/>
      <w:bookmarkEnd w:id="723"/>
      <w:bookmarkStart w:id="724" w:name="_Toc53394357"/>
      <w:bookmarkEnd w:id="724"/>
      <w:bookmarkStart w:id="725" w:name="_Toc115904891"/>
      <w:bookmarkEnd w:id="725"/>
      <w:bookmarkStart w:id="726" w:name="_Toc116201159"/>
      <w:bookmarkEnd w:id="726"/>
      <w:bookmarkStart w:id="727" w:name="_Toc58426379"/>
      <w:bookmarkEnd w:id="727"/>
      <w:bookmarkStart w:id="728" w:name="_Toc91080601"/>
      <w:bookmarkEnd w:id="728"/>
      <w:bookmarkStart w:id="729" w:name="_Toc8824957"/>
      <w:bookmarkStart w:id="730" w:name="_Toc140757335"/>
      <w:bookmarkStart w:id="731" w:name="_Toc115275077"/>
      <w:bookmarkStart w:id="732" w:name="_Toc8949264"/>
      <w:bookmarkStart w:id="733" w:name="_Toc142144163"/>
      <w:bookmarkStart w:id="734" w:name="_Toc43468063"/>
      <w:bookmarkStart w:id="735" w:name="_Toc41656191"/>
      <w:bookmarkStart w:id="736" w:name="_Toc91080602"/>
      <w:bookmarkStart w:id="737" w:name="_Toc42642078"/>
      <w:bookmarkStart w:id="738" w:name="_Toc24653808"/>
      <w:bookmarkStart w:id="739" w:name="_Toc53338278"/>
      <w:bookmarkStart w:id="740" w:name="_Toc30032"/>
      <w:bookmarkStart w:id="741" w:name="_Toc20232390"/>
      <w:bookmarkStart w:id="742" w:name="_Toc52098167"/>
      <w:bookmarkStart w:id="743" w:name="_Toc53393684"/>
      <w:r>
        <w:rPr>
          <w:rFonts w:hint="eastAsia"/>
        </w:rPr>
        <w:t>运维安全</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7DBD0E47">
      <w:pPr>
        <w:pStyle w:val="14"/>
        <w:rPr>
          <w:rFonts w:hint="eastAsia"/>
        </w:rPr>
      </w:pPr>
      <w:bookmarkStart w:id="744" w:name="_Toc53423815"/>
      <w:bookmarkEnd w:id="744"/>
      <w:bookmarkStart w:id="745" w:name="_Toc54471410"/>
      <w:bookmarkEnd w:id="745"/>
      <w:bookmarkStart w:id="746" w:name="_Toc91080603"/>
      <w:bookmarkEnd w:id="746"/>
      <w:bookmarkStart w:id="747" w:name="_Toc115275078"/>
      <w:bookmarkEnd w:id="747"/>
      <w:bookmarkStart w:id="748" w:name="_Toc20232391"/>
      <w:bookmarkStart w:id="749" w:name="_Toc24653809"/>
      <w:bookmarkStart w:id="750" w:name="_Toc142144164"/>
      <w:bookmarkStart w:id="751" w:name="_Toc53393685"/>
      <w:bookmarkStart w:id="752" w:name="_Toc53338279"/>
      <w:r>
        <w:rPr>
          <w:rFonts w:hint="eastAsia"/>
        </w:rPr>
        <w:t>账号管理和身份认证</w:t>
      </w:r>
      <w:bookmarkEnd w:id="748"/>
      <w:bookmarkEnd w:id="749"/>
      <w:bookmarkEnd w:id="750"/>
      <w:bookmarkEnd w:id="751"/>
      <w:bookmarkEnd w:id="752"/>
    </w:p>
    <w:p w14:paraId="58E25334">
      <w:pPr>
        <w:pStyle w:val="6"/>
        <w:spacing w:line="276" w:lineRule="auto"/>
        <w:rPr>
          <w:rFonts w:hint="eastAsia" w:ascii="宋体" w:hAnsi="宋体"/>
        </w:rPr>
      </w:pPr>
      <w:r>
        <w:rPr>
          <w:rFonts w:hint="eastAsia" w:ascii="宋体" w:hAnsi="宋体"/>
        </w:rPr>
        <w:t>使用统一的账号管理和身份认证系统。每个运维人员存在唯一的账号。账号的唯一性保证了审计时可以定位到个人。</w:t>
      </w:r>
    </w:p>
    <w:p w14:paraId="1C686410">
      <w:pPr>
        <w:pStyle w:val="6"/>
        <w:spacing w:line="276" w:lineRule="auto"/>
        <w:rPr>
          <w:rFonts w:hint="eastAsia" w:ascii="宋体" w:hAnsi="宋体"/>
        </w:rPr>
      </w:pPr>
      <w:r>
        <w:rPr>
          <w:rFonts w:hint="eastAsia" w:ascii="宋体" w:hAnsi="宋体"/>
        </w:rPr>
        <w:t>集中下发密码策略，强制要求运维人员设置符合密码长度、复杂度要求的密码，并定期修改密码。</w:t>
      </w:r>
    </w:p>
    <w:p w14:paraId="21F6111D">
      <w:pPr>
        <w:pStyle w:val="6"/>
        <w:spacing w:line="276" w:lineRule="auto"/>
        <w:rPr>
          <w:rFonts w:hint="eastAsia" w:ascii="宋体" w:hAnsi="宋体"/>
        </w:rPr>
      </w:pPr>
      <w:r>
        <w:rPr>
          <w:rFonts w:hint="eastAsia" w:ascii="宋体" w:hAnsi="宋体"/>
        </w:rPr>
        <w:t>账号管理和身份认证的集中，使得其它信息系统不需要管理身份信息，也不需要保存账号密码，从而降低了应用的复杂性，提高了账号的安全性。账号管理与授权管理分离还可以防止私建账号越权操作行为。</w:t>
      </w:r>
    </w:p>
    <w:p w14:paraId="650760E8">
      <w:pPr>
        <w:pStyle w:val="14"/>
        <w:rPr>
          <w:rFonts w:hint="eastAsia"/>
        </w:rPr>
      </w:pPr>
      <w:bookmarkStart w:id="753" w:name="_Toc53338280"/>
      <w:bookmarkStart w:id="754" w:name="_Toc142144165"/>
      <w:bookmarkStart w:id="755" w:name="_Toc53393686"/>
      <w:bookmarkStart w:id="756" w:name="_Toc20232392"/>
      <w:bookmarkStart w:id="757" w:name="_Toc24653810"/>
      <w:r>
        <w:rPr>
          <w:rFonts w:hint="eastAsia"/>
        </w:rPr>
        <w:t>授权</w:t>
      </w:r>
      <w:bookmarkEnd w:id="753"/>
      <w:bookmarkEnd w:id="754"/>
      <w:bookmarkEnd w:id="755"/>
      <w:bookmarkEnd w:id="756"/>
      <w:bookmarkEnd w:id="757"/>
    </w:p>
    <w:p w14:paraId="2C9D409B">
      <w:pPr>
        <w:pStyle w:val="6"/>
        <w:spacing w:line="276" w:lineRule="auto"/>
        <w:rPr>
          <w:rFonts w:hint="eastAsia" w:ascii="宋体" w:hAnsi="宋体"/>
        </w:rPr>
      </w:pPr>
      <w:r>
        <w:rPr>
          <w:rFonts w:hint="eastAsia" w:ascii="宋体" w:hAnsi="宋体"/>
        </w:rPr>
        <w:t>基于员工工作岗位和角色，遵循最小权限和职责分离原则，授予员工有限的资源访问权限。</w:t>
      </w:r>
    </w:p>
    <w:p w14:paraId="3EF812CA">
      <w:pPr>
        <w:pStyle w:val="14"/>
        <w:rPr>
          <w:rFonts w:hint="eastAsia"/>
        </w:rPr>
      </w:pPr>
      <w:bookmarkStart w:id="758" w:name="_Toc20232393"/>
      <w:bookmarkStart w:id="759" w:name="_Toc24653811"/>
      <w:bookmarkStart w:id="760" w:name="_Toc142144166"/>
      <w:bookmarkStart w:id="761" w:name="_Toc53338281"/>
      <w:bookmarkStart w:id="762" w:name="_Toc53393687"/>
      <w:r>
        <w:rPr>
          <w:rFonts w:hint="eastAsia"/>
        </w:rPr>
        <w:t>职责分离</w:t>
      </w:r>
      <w:bookmarkEnd w:id="758"/>
      <w:bookmarkEnd w:id="759"/>
      <w:bookmarkEnd w:id="760"/>
      <w:bookmarkEnd w:id="761"/>
      <w:bookmarkEnd w:id="762"/>
    </w:p>
    <w:p w14:paraId="118770F0">
      <w:pPr>
        <w:pStyle w:val="6"/>
        <w:spacing w:line="276" w:lineRule="auto"/>
        <w:rPr>
          <w:rFonts w:hint="eastAsia" w:ascii="宋体" w:hAnsi="宋体"/>
        </w:rPr>
      </w:pPr>
      <w:r>
        <w:rPr>
          <w:rFonts w:hint="eastAsia" w:ascii="宋体" w:hAnsi="宋体"/>
        </w:rPr>
        <w:t>对运维和审计实施职责分离，由审计人员负责安全审计。</w:t>
      </w:r>
    </w:p>
    <w:p w14:paraId="42AE77F2">
      <w:pPr>
        <w:pStyle w:val="6"/>
        <w:spacing w:line="276" w:lineRule="auto"/>
        <w:rPr>
          <w:rFonts w:hint="eastAsia" w:ascii="宋体" w:hAnsi="宋体"/>
        </w:rPr>
      </w:pPr>
      <w:r>
        <w:rPr>
          <w:rFonts w:hint="eastAsia" w:ascii="宋体" w:hAnsi="宋体"/>
        </w:rPr>
        <w:t>数据库管理员和系统管理员由不同的人担任。</w:t>
      </w:r>
    </w:p>
    <w:p w14:paraId="68B0B06C">
      <w:pPr>
        <w:pStyle w:val="6"/>
        <w:spacing w:line="276" w:lineRule="auto"/>
        <w:rPr>
          <w:rFonts w:hint="eastAsia" w:ascii="宋体" w:hAnsi="宋体"/>
        </w:rPr>
      </w:pPr>
      <w:r>
        <w:rPr>
          <w:rFonts w:hint="eastAsia" w:ascii="宋体" w:hAnsi="宋体"/>
        </w:rPr>
        <w:t>适当的职责分离能有效防止权限滥用和审计失效。</w:t>
      </w:r>
    </w:p>
    <w:p w14:paraId="4B8EAF01">
      <w:pPr>
        <w:pStyle w:val="14"/>
        <w:rPr>
          <w:rFonts w:hint="eastAsia"/>
        </w:rPr>
      </w:pPr>
      <w:bookmarkStart w:id="763" w:name="_Toc53338282"/>
      <w:bookmarkStart w:id="764" w:name="_Toc53393688"/>
      <w:bookmarkStart w:id="765" w:name="_Toc142144167"/>
      <w:bookmarkStart w:id="766" w:name="_Toc20232394"/>
      <w:bookmarkStart w:id="767" w:name="_Toc24653812"/>
      <w:r>
        <w:rPr>
          <w:rFonts w:hint="eastAsia"/>
        </w:rPr>
        <w:t>审计</w:t>
      </w:r>
      <w:bookmarkEnd w:id="763"/>
      <w:bookmarkEnd w:id="764"/>
      <w:bookmarkEnd w:id="765"/>
      <w:bookmarkEnd w:id="766"/>
      <w:bookmarkEnd w:id="767"/>
    </w:p>
    <w:p w14:paraId="2CF097DB">
      <w:pPr>
        <w:pStyle w:val="6"/>
        <w:spacing w:line="276" w:lineRule="auto"/>
        <w:rPr>
          <w:rFonts w:hint="eastAsia" w:ascii="宋体" w:hAnsi="宋体"/>
        </w:rPr>
      </w:pPr>
      <w:r>
        <w:rPr>
          <w:rFonts w:hint="eastAsia" w:ascii="宋体" w:hAnsi="宋体"/>
        </w:rPr>
        <w:t>运维人员对生产系统的所有运维操作必须且只能通过堡垒机进行。所有操作过程完整记录下来实时传输到集中日志平台。</w:t>
      </w:r>
    </w:p>
    <w:p w14:paraId="5D020CEF">
      <w:pPr>
        <w:pStyle w:val="6"/>
        <w:spacing w:line="276" w:lineRule="auto"/>
        <w:rPr>
          <w:rFonts w:hint="eastAsia" w:ascii="宋体" w:hAnsi="宋体"/>
        </w:rPr>
      </w:pPr>
      <w:r>
        <w:rPr>
          <w:rFonts w:hint="eastAsia" w:ascii="宋体" w:hAnsi="宋体"/>
        </w:rPr>
        <w:t>内部使用的B/S管理和支持系统按照服务器日志审计规范详细记录敏感操作，并把日志发送到集中日志平台。</w:t>
      </w:r>
    </w:p>
    <w:p w14:paraId="356F401F">
      <w:pPr>
        <w:pStyle w:val="6"/>
        <w:spacing w:line="276" w:lineRule="auto"/>
        <w:rPr>
          <w:rFonts w:hint="eastAsia" w:ascii="宋体" w:hAnsi="宋体"/>
        </w:rPr>
      </w:pPr>
      <w:r>
        <w:rPr>
          <w:rFonts w:hint="eastAsia" w:ascii="宋体" w:hAnsi="宋体"/>
        </w:rPr>
        <w:t>集中日志平台仅提供日志采集和查看接口，不提供修改和删除接口。</w:t>
      </w:r>
    </w:p>
    <w:p w14:paraId="00AD56CE">
      <w:pPr>
        <w:pStyle w:val="14"/>
        <w:rPr>
          <w:rFonts w:hint="eastAsia"/>
        </w:rPr>
      </w:pPr>
      <w:bookmarkStart w:id="768" w:name="_Toc20232395"/>
      <w:bookmarkStart w:id="769" w:name="_Toc142144168"/>
      <w:bookmarkStart w:id="770" w:name="_Toc53338283"/>
      <w:bookmarkStart w:id="771" w:name="_Toc53393689"/>
      <w:bookmarkStart w:id="772" w:name="_Toc24653813"/>
      <w:r>
        <w:rPr>
          <w:rFonts w:hint="eastAsia"/>
        </w:rPr>
        <w:t>访问控制</w:t>
      </w:r>
      <w:bookmarkEnd w:id="768"/>
      <w:bookmarkEnd w:id="769"/>
      <w:bookmarkEnd w:id="770"/>
      <w:bookmarkEnd w:id="771"/>
      <w:bookmarkEnd w:id="772"/>
    </w:p>
    <w:p w14:paraId="511F4C7A">
      <w:pPr>
        <w:pStyle w:val="6"/>
        <w:spacing w:line="276" w:lineRule="auto"/>
        <w:rPr>
          <w:rFonts w:hint="eastAsia" w:ascii="宋体" w:hAnsi="宋体"/>
        </w:rPr>
      </w:pPr>
      <w:r>
        <w:rPr>
          <w:rFonts w:hint="eastAsia" w:ascii="宋体" w:hAnsi="宋体"/>
        </w:rPr>
        <w:t>堡垒机使用高强度加密算法保障运维通道数据传输的机密性和完整性。</w:t>
      </w:r>
    </w:p>
    <w:p w14:paraId="5C1B4D9D">
      <w:pPr>
        <w:pStyle w:val="14"/>
        <w:rPr>
          <w:rFonts w:hint="eastAsia"/>
        </w:rPr>
      </w:pPr>
      <w:bookmarkStart w:id="773" w:name="_Toc53338284"/>
      <w:bookmarkStart w:id="774" w:name="_Toc142144169"/>
      <w:bookmarkStart w:id="775" w:name="_Toc53393690"/>
      <w:bookmarkStart w:id="776" w:name="_Toc24653814"/>
      <w:bookmarkStart w:id="777" w:name="_Toc20232396"/>
      <w:r>
        <w:rPr>
          <w:rFonts w:hint="eastAsia"/>
        </w:rPr>
        <w:t>运维过程数据安全</w:t>
      </w:r>
      <w:bookmarkEnd w:id="773"/>
      <w:bookmarkEnd w:id="774"/>
      <w:bookmarkEnd w:id="775"/>
      <w:bookmarkEnd w:id="776"/>
      <w:bookmarkEnd w:id="777"/>
    </w:p>
    <w:p w14:paraId="1DAD2E5C">
      <w:pPr>
        <w:pStyle w:val="6"/>
        <w:spacing w:line="276" w:lineRule="auto"/>
        <w:rPr>
          <w:rFonts w:hint="eastAsia" w:ascii="宋体" w:hAnsi="宋体"/>
        </w:rPr>
      </w:pPr>
      <w:r>
        <w:rPr>
          <w:rFonts w:hint="eastAsia" w:ascii="宋体" w:hAnsi="宋体"/>
        </w:rPr>
        <w:t>运维人员不得以任意方式访问租户未经公开的数据内容，例如使用关系型数据库服务的服务器管理员账号访问租户关系型数据库服务实例。</w:t>
      </w:r>
    </w:p>
    <w:p w14:paraId="077E0CFA">
      <w:pPr>
        <w:pStyle w:val="6"/>
        <w:spacing w:line="276" w:lineRule="auto"/>
        <w:rPr>
          <w:rFonts w:hint="eastAsia" w:ascii="宋体" w:hAnsi="宋体"/>
        </w:rPr>
      </w:pPr>
      <w:r>
        <w:rPr>
          <w:rFonts w:hint="eastAsia" w:ascii="宋体" w:hAnsi="宋体"/>
        </w:rPr>
        <w:t>遵循生产数据不出生产集群的原则，从技术上控制了生产数据流出生产集群的通道，防止运维人员从生产系统拷贝数据。</w:t>
      </w:r>
    </w:p>
    <w:p w14:paraId="0CC4C4B8">
      <w:pPr>
        <w:pStyle w:val="8"/>
        <w:rPr>
          <w:rFonts w:hint="eastAsia"/>
        </w:rPr>
      </w:pPr>
      <w:bookmarkStart w:id="778" w:name="_Toc41656192"/>
      <w:bookmarkStart w:id="779" w:name="_Toc53338285"/>
      <w:bookmarkStart w:id="780" w:name="_Toc91080609"/>
      <w:bookmarkStart w:id="781" w:name="_Toc43468064"/>
      <w:bookmarkStart w:id="782" w:name="_Toc20232397"/>
      <w:bookmarkStart w:id="783" w:name="_Toc142144170"/>
      <w:bookmarkStart w:id="784" w:name="_Toc115275084"/>
      <w:bookmarkStart w:id="785" w:name="_Toc8329"/>
      <w:bookmarkStart w:id="786" w:name="_Toc24653815"/>
      <w:bookmarkStart w:id="787" w:name="_Toc52098168"/>
      <w:bookmarkStart w:id="788" w:name="_Toc53393691"/>
      <w:bookmarkStart w:id="789" w:name="_Toc8949265"/>
      <w:bookmarkStart w:id="790" w:name="_Toc8824958"/>
      <w:bookmarkStart w:id="791" w:name="_Toc42642079"/>
      <w:bookmarkStart w:id="792" w:name="_Toc140757336"/>
      <w:r>
        <w:rPr>
          <w:rFonts w:hint="eastAsia"/>
        </w:rPr>
        <w:t>安全服务</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54DD7E2D">
      <w:pPr>
        <w:pStyle w:val="6"/>
        <w:spacing w:line="276" w:lineRule="auto"/>
        <w:rPr>
          <w:rFonts w:hint="eastAsia" w:ascii="宋体" w:hAnsi="宋体"/>
        </w:rPr>
      </w:pPr>
      <w:r>
        <w:rPr>
          <w:rFonts w:hint="eastAsia" w:ascii="宋体" w:hAnsi="宋体"/>
        </w:rPr>
        <w:t>为有效保障项目整体运行安全，需要配套建设响应安全服务，本次提供的安全服务包括安全驻场、等级保护测评及风险评估服务、安全重保护航等，进一步提升大丰区运行管理服务平台各系统运行安全能力。</w:t>
      </w:r>
      <w:bookmarkStart w:id="793" w:name="_Toc385931611"/>
      <w:bookmarkStart w:id="794" w:name="_Toc384997733"/>
    </w:p>
    <w:bookmarkEnd w:id="793"/>
    <w:bookmarkEnd w:id="794"/>
    <w:p w14:paraId="6507473E">
      <w:pPr>
        <w:pStyle w:val="5"/>
        <w:rPr>
          <w:rFonts w:hint="eastAsia"/>
        </w:rPr>
      </w:pPr>
      <w:bookmarkStart w:id="795" w:name="_Toc639"/>
      <w:r>
        <w:rPr>
          <w:rFonts w:hint="eastAsia"/>
        </w:rPr>
        <w:t>与数字化改革总体方案的关系</w:t>
      </w:r>
      <w:bookmarkEnd w:id="795"/>
    </w:p>
    <w:p w14:paraId="0DA4D99C">
      <w:pPr>
        <w:pStyle w:val="7"/>
        <w:rPr>
          <w:rFonts w:hint="eastAsia"/>
        </w:rPr>
      </w:pPr>
      <w:bookmarkStart w:id="796" w:name="_Toc27090"/>
      <w:r>
        <w:rPr>
          <w:rFonts w:hint="eastAsia"/>
        </w:rPr>
        <w:t>基础设施</w:t>
      </w:r>
      <w:bookmarkEnd w:id="796"/>
    </w:p>
    <w:p w14:paraId="38DAEF7D">
      <w:pPr>
        <w:pStyle w:val="6"/>
        <w:spacing w:line="276" w:lineRule="auto"/>
        <w:rPr>
          <w:rFonts w:hint="default" w:ascii="宋体" w:hAnsi="宋体" w:cs="Times New Roman"/>
          <w:lang w:val="en-US" w:eastAsia="zh-CN"/>
        </w:rPr>
      </w:pPr>
      <w:r>
        <w:rPr>
          <w:rFonts w:hint="eastAsia" w:ascii="宋体" w:hAnsi="宋体" w:cs="Times New Roman"/>
          <w:lang w:val="en-US" w:eastAsia="zh-CN"/>
        </w:rPr>
        <w:t>本项目是</w:t>
      </w:r>
      <w:r>
        <w:rPr>
          <w:rFonts w:hint="eastAsia" w:ascii="宋体" w:hAnsi="宋体" w:cs="Times New Roman"/>
        </w:rPr>
        <w:t>按照“市级开发、县区复用”的路径，</w:t>
      </w:r>
      <w:r>
        <w:rPr>
          <w:rFonts w:hint="eastAsia" w:ascii="宋体" w:hAnsi="宋体" w:cs="Times New Roman"/>
          <w:lang w:val="en-US" w:eastAsia="zh-CN"/>
        </w:rPr>
        <w:t>进行大丰区城市运行管理服务平台的</w:t>
      </w:r>
      <w:r>
        <w:rPr>
          <w:rFonts w:hint="eastAsia" w:ascii="宋体" w:hAnsi="宋体" w:cs="Times New Roman"/>
        </w:rPr>
        <w:t>本地化部署</w:t>
      </w:r>
      <w:r>
        <w:rPr>
          <w:rFonts w:hint="eastAsia" w:ascii="宋体" w:hAnsi="宋体" w:cs="Times New Roman"/>
          <w:lang w:eastAsia="zh-CN"/>
        </w:rPr>
        <w:t>，</w:t>
      </w:r>
      <w:r>
        <w:rPr>
          <w:rFonts w:hint="eastAsia" w:ascii="宋体" w:hAnsi="宋体" w:cs="Times New Roman"/>
          <w:lang w:val="en-US" w:eastAsia="zh-CN"/>
        </w:rPr>
        <w:t>本项目建设符合盐城市对全市运行管理服务平台建设的整体规划。</w:t>
      </w:r>
    </w:p>
    <w:p w14:paraId="0D276084">
      <w:pPr>
        <w:pStyle w:val="7"/>
        <w:rPr>
          <w:rFonts w:hint="eastAsia"/>
        </w:rPr>
      </w:pPr>
      <w:bookmarkStart w:id="797" w:name="_Toc194522922"/>
      <w:bookmarkStart w:id="798" w:name="_Toc12391"/>
      <w:r>
        <w:t>数据资源</w:t>
      </w:r>
      <w:bookmarkEnd w:id="797"/>
      <w:bookmarkEnd w:id="798"/>
    </w:p>
    <w:p w14:paraId="5073394A">
      <w:pPr>
        <w:pStyle w:val="8"/>
        <w:rPr>
          <w:rFonts w:hint="eastAsia"/>
        </w:rPr>
      </w:pPr>
      <w:bookmarkStart w:id="799" w:name="_Toc131523431"/>
      <w:r>
        <w:rPr>
          <w:rFonts w:hint="eastAsia"/>
        </w:rPr>
        <w:t>数据资源规划</w:t>
      </w:r>
      <w:bookmarkEnd w:id="799"/>
    </w:p>
    <w:p w14:paraId="1C319219">
      <w:pPr>
        <w:pStyle w:val="6"/>
        <w:spacing w:line="276" w:lineRule="auto"/>
        <w:rPr>
          <w:rFonts w:hint="eastAsia" w:ascii="宋体" w:hAnsi="宋体"/>
        </w:rPr>
      </w:pPr>
      <w:r>
        <w:rPr>
          <w:rFonts w:hint="eastAsia" w:ascii="宋体" w:hAnsi="宋体"/>
        </w:rPr>
        <w:t>通过接入现有系统数据和新建终端设备数据，实现业务数据的不断完善；按照建立的标准规范采集辖区基础数据、业务数据，重构基础数据库和业务数据库，基础数据库是业务数据库的基础，同时两类数据库同时为最后的数据统计建立数据基础，辅助决策分析。</w:t>
      </w:r>
    </w:p>
    <w:p w14:paraId="43EC2AB7">
      <w:pPr>
        <w:pStyle w:val="5"/>
        <w:rPr>
          <w:rFonts w:hint="eastAsia"/>
        </w:rPr>
      </w:pPr>
      <w:bookmarkStart w:id="800" w:name="_Toc17964"/>
      <w:r>
        <w:rPr>
          <w:rFonts w:hint="eastAsia"/>
        </w:rPr>
        <w:t>项目边界与接口设计方案</w:t>
      </w:r>
      <w:bookmarkEnd w:id="800"/>
    </w:p>
    <w:p w14:paraId="654E8286">
      <w:pPr>
        <w:pStyle w:val="7"/>
        <w:rPr>
          <w:rFonts w:hint="eastAsia"/>
        </w:rPr>
      </w:pPr>
      <w:bookmarkStart w:id="801" w:name="_Toc27323"/>
      <w:bookmarkStart w:id="802" w:name="_Toc69745500"/>
      <w:r>
        <w:rPr>
          <w:rFonts w:hint="eastAsia"/>
        </w:rPr>
        <w:t>与市级运管服平台对接</w:t>
      </w:r>
      <w:bookmarkEnd w:id="801"/>
    </w:p>
    <w:p w14:paraId="546080A2">
      <w:pPr>
        <w:pStyle w:val="188"/>
        <w:spacing w:line="276" w:lineRule="auto"/>
        <w:rPr>
          <w:rFonts w:hint="eastAsia" w:ascii="宋体" w:hAnsi="宋体"/>
        </w:rPr>
      </w:pPr>
      <w:r>
        <w:rPr>
          <w:rFonts w:hint="eastAsia" w:ascii="宋体" w:hAnsi="宋体"/>
        </w:rPr>
        <w:t>实现盐城市级平台和大丰区级运管服平台数据共享交换，按照市平台要求上传大丰区城市运行管理服务数据。</w:t>
      </w:r>
    </w:p>
    <w:p w14:paraId="12617072">
      <w:pPr>
        <w:pStyle w:val="7"/>
        <w:rPr>
          <w:rFonts w:hint="eastAsia"/>
        </w:rPr>
      </w:pPr>
      <w:bookmarkStart w:id="803" w:name="_Toc9251"/>
      <w:r>
        <w:rPr>
          <w:rFonts w:hint="eastAsia"/>
        </w:rPr>
        <w:t>与“我的盐城”对接</w:t>
      </w:r>
      <w:bookmarkEnd w:id="803"/>
    </w:p>
    <w:p w14:paraId="206DF373">
      <w:pPr>
        <w:pStyle w:val="188"/>
        <w:spacing w:line="276" w:lineRule="auto"/>
        <w:rPr>
          <w:rFonts w:hint="eastAsia" w:ascii="宋体" w:hAnsi="宋体"/>
        </w:rPr>
      </w:pPr>
      <w:r>
        <w:rPr>
          <w:rFonts w:hint="eastAsia" w:ascii="宋体" w:hAnsi="宋体"/>
        </w:rPr>
        <w:t>与“我的盐城”对接，嵌入面向盐城市民的城管服务模块。</w:t>
      </w:r>
    </w:p>
    <w:p w14:paraId="20B4FE6A">
      <w:pPr>
        <w:pStyle w:val="7"/>
        <w:rPr>
          <w:rFonts w:hint="eastAsia"/>
        </w:rPr>
      </w:pPr>
      <w:bookmarkStart w:id="804" w:name="_Toc14493"/>
      <w:r>
        <w:rPr>
          <w:rFonts w:hint="eastAsia"/>
        </w:rPr>
        <w:t>预留与大数据共享交换平台</w:t>
      </w:r>
      <w:bookmarkEnd w:id="802"/>
      <w:r>
        <w:rPr>
          <w:rFonts w:hint="eastAsia"/>
        </w:rPr>
        <w:t>接口</w:t>
      </w:r>
      <w:bookmarkEnd w:id="804"/>
    </w:p>
    <w:p w14:paraId="1FEEACE7">
      <w:pPr>
        <w:pStyle w:val="188"/>
        <w:spacing w:line="276" w:lineRule="auto"/>
        <w:rPr>
          <w:rFonts w:hint="eastAsia" w:ascii="宋体" w:hAnsi="宋体" w:cs="宋体"/>
          <w:kern w:val="0"/>
        </w:rPr>
      </w:pPr>
      <w:r>
        <w:rPr>
          <w:rFonts w:ascii="宋体" w:hAnsi="宋体"/>
        </w:rPr>
        <w:t>本项目</w:t>
      </w:r>
      <w:r>
        <w:rPr>
          <w:rFonts w:hint="eastAsia" w:ascii="宋体" w:hAnsi="宋体"/>
        </w:rPr>
        <w:t>预留</w:t>
      </w:r>
      <w:r>
        <w:rPr>
          <w:rFonts w:ascii="宋体" w:hAnsi="宋体"/>
        </w:rPr>
        <w:t>与大数据共享交换平台</w:t>
      </w:r>
      <w:r>
        <w:rPr>
          <w:rFonts w:hint="eastAsia" w:ascii="宋体" w:hAnsi="宋体"/>
        </w:rPr>
        <w:t>接口，</w:t>
      </w:r>
      <w:r>
        <w:rPr>
          <w:rFonts w:ascii="宋体" w:hAnsi="宋体"/>
        </w:rPr>
        <w:t>通过接口方式实现数据获取，主要是从</w:t>
      </w:r>
      <w:r>
        <w:rPr>
          <w:rFonts w:hint="eastAsia" w:ascii="宋体" w:hAnsi="宋体"/>
        </w:rPr>
        <w:t>商务局获取</w:t>
      </w:r>
      <w:r>
        <w:rPr>
          <w:rFonts w:hint="eastAsia" w:ascii="宋体" w:hAnsi="宋体" w:cs="宋体"/>
          <w:kern w:val="0"/>
        </w:rPr>
        <w:t>可回收物产量数据，从住建局获取建筑工地信息（备案、未备案）、施工许可证、工地视频数据，从数据局获取各类许可（城市管理相关范畴），从资规局获取土地选址规划信息。</w:t>
      </w:r>
    </w:p>
    <w:p w14:paraId="0CAE3822">
      <w:pPr>
        <w:pStyle w:val="7"/>
        <w:rPr>
          <w:rFonts w:hint="eastAsia"/>
        </w:rPr>
      </w:pPr>
      <w:bookmarkStart w:id="805" w:name="_Toc22347"/>
      <w:r>
        <w:rPr>
          <w:rFonts w:hint="eastAsia"/>
        </w:rPr>
        <w:t>预留与城市生命线平台接口</w:t>
      </w:r>
      <w:bookmarkEnd w:id="805"/>
    </w:p>
    <w:p w14:paraId="3E3F6995">
      <w:pPr>
        <w:pStyle w:val="188"/>
        <w:spacing w:line="276" w:lineRule="auto"/>
        <w:rPr>
          <w:rFonts w:hint="eastAsia" w:ascii="宋体" w:hAnsi="宋体" w:cs="宋体"/>
          <w:kern w:val="0"/>
        </w:rPr>
      </w:pPr>
      <w:r>
        <w:rPr>
          <w:rFonts w:hint="eastAsia" w:ascii="宋体" w:hAnsi="宋体" w:cs="宋体"/>
          <w:kern w:val="0"/>
        </w:rPr>
        <w:t>预留与城市生命线系统对接接口，实现对城市生命线各业务线条业务基础数据和运行数据的对接。</w:t>
      </w:r>
    </w:p>
    <w:p w14:paraId="213A6E99">
      <w:pPr>
        <w:pStyle w:val="5"/>
        <w:rPr>
          <w:rFonts w:hint="eastAsia"/>
        </w:rPr>
      </w:pPr>
      <w:bookmarkStart w:id="806" w:name="_Toc19554"/>
      <w:r>
        <w:rPr>
          <w:rFonts w:hint="eastAsia"/>
          <w:lang w:val="en-US" w:eastAsia="zh-CN"/>
        </w:rPr>
        <w:t>第三方软件测评</w:t>
      </w:r>
      <w:bookmarkEnd w:id="806"/>
    </w:p>
    <w:p w14:paraId="5B086280">
      <w:pPr>
        <w:pStyle w:val="188"/>
        <w:spacing w:line="276" w:lineRule="auto"/>
        <w:rPr>
          <w:rFonts w:hint="eastAsia" w:ascii="宋体" w:hAnsi="宋体" w:cs="宋体"/>
          <w:kern w:val="2"/>
          <w:sz w:val="24"/>
          <w:szCs w:val="24"/>
          <w:lang w:val="en-US" w:eastAsia="zh-CN" w:bidi="ar"/>
        </w:rPr>
      </w:pPr>
      <w:r>
        <w:rPr>
          <w:rFonts w:hint="eastAsia" w:ascii="宋体" w:hAnsi="宋体" w:eastAsia="宋体" w:cs="宋体"/>
          <w:kern w:val="2"/>
          <w:sz w:val="24"/>
          <w:szCs w:val="24"/>
          <w:lang w:val="en-US" w:eastAsia="zh-CN" w:bidi="ar"/>
        </w:rPr>
        <w:t>项目完成后，委托第三方软件专业测评机构对城市运行管理服务平台进行功能测试、性能测试、安全测试等工作，保障系统的安全性</w:t>
      </w:r>
      <w:r>
        <w:rPr>
          <w:rFonts w:hint="eastAsia" w:ascii="宋体" w:hAnsi="宋体" w:cs="宋体"/>
          <w:kern w:val="2"/>
          <w:sz w:val="24"/>
          <w:szCs w:val="24"/>
          <w:lang w:val="en-US" w:eastAsia="zh-CN" w:bidi="ar"/>
        </w:rPr>
        <w:t>。</w:t>
      </w:r>
    </w:p>
    <w:p w14:paraId="3D51773A">
      <w:pPr>
        <w:pStyle w:val="5"/>
        <w:rPr>
          <w:rFonts w:hint="eastAsia"/>
        </w:rPr>
      </w:pPr>
      <w:bookmarkStart w:id="807" w:name="_Toc2411"/>
      <w:r>
        <w:rPr>
          <w:rFonts w:hint="eastAsia"/>
        </w:rPr>
        <w:t>项目应急处置预案</w:t>
      </w:r>
      <w:bookmarkEnd w:id="807"/>
    </w:p>
    <w:p w14:paraId="41172B9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有关法规和政策，结合系统平台建设和运行情况，重点针对可能发生的重大突发事件制定应急处置预案，包括总则、组织指挥体系及职责、预警和预防机制、应急处理程序、保障措施等，其中明确规定了在发生系统突发事件情况下，系统管理人员的相关职能和工作方法，具有一定的指导性和可操作性。</w:t>
      </w:r>
    </w:p>
    <w:p w14:paraId="41118390">
      <w:pPr>
        <w:pStyle w:val="7"/>
        <w:rPr>
          <w:rFonts w:hint="eastAsia"/>
        </w:rPr>
      </w:pPr>
      <w:bookmarkStart w:id="808" w:name="_Toc3665"/>
      <w:r>
        <w:rPr>
          <w:rFonts w:hint="eastAsia"/>
          <w:lang w:val="en-US" w:eastAsia="zh-CN"/>
        </w:rPr>
        <w:t>总则</w:t>
      </w:r>
      <w:bookmarkEnd w:id="808"/>
    </w:p>
    <w:p w14:paraId="206360A1">
      <w:pPr>
        <w:pStyle w:val="8"/>
        <w:rPr>
          <w:rFonts w:hint="eastAsia"/>
        </w:rPr>
      </w:pPr>
      <w:r>
        <w:rPr>
          <w:rFonts w:hint="eastAsia"/>
          <w:lang w:val="en-US" w:eastAsia="zh-CN"/>
        </w:rPr>
        <w:t>目的</w:t>
      </w:r>
    </w:p>
    <w:p w14:paraId="6BF39FFC">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为科学应对系统突发事件，建立健全系统的应急响应机制，有效预防、及时控制和最大限度地消除各类突发事件的危害和影响，制订应急处置预案。</w:t>
      </w:r>
    </w:p>
    <w:p w14:paraId="35262CE8">
      <w:pPr>
        <w:pStyle w:val="8"/>
        <w:rPr>
          <w:rFonts w:hint="eastAsia"/>
        </w:rPr>
      </w:pPr>
      <w:r>
        <w:rPr>
          <w:rFonts w:hint="eastAsia"/>
        </w:rPr>
        <w:t>工作原则</w:t>
      </w:r>
    </w:p>
    <w:p w14:paraId="321C6F2B">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(1)统一领导</w:t>
      </w:r>
    </w:p>
    <w:p w14:paraId="17D948F8">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遇到重大系统异常情况，应及时向有关领导报告，以便于统一调度、减少损失。</w:t>
      </w:r>
    </w:p>
    <w:p w14:paraId="21BC5976">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(2)综合协调</w:t>
      </w:r>
    </w:p>
    <w:p w14:paraId="42526B4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明确综合协调的职能机构和人员，做到职能间的相互衔接。</w:t>
      </w:r>
    </w:p>
    <w:p w14:paraId="151216CA">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(3)重点突出应急处理的重点放在运行着重要业务系统或可能导致严重事故后果的关键系统上。</w:t>
      </w:r>
    </w:p>
    <w:p w14:paraId="76DB12E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(4)及时反应，积极应对</w:t>
      </w:r>
    </w:p>
    <w:p w14:paraId="26205585">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出现系统故障时，系统维护人员应及时发现、及时报告、及时抢修、及时控制，积极对系统突发事件进行防范、监测、预警、报告、响应。</w:t>
      </w:r>
    </w:p>
    <w:p w14:paraId="5CCC1D1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(5)快速恢复</w:t>
      </w:r>
    </w:p>
    <w:p w14:paraId="4F3CA1A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系统管理人员在坚持快速恢复系统的原则下，根据职责分工，加强团结协作，必要情况下与设备供应商以及系统集成商共同谋求问题的快速解决。</w:t>
      </w:r>
    </w:p>
    <w:p w14:paraId="313D975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(6)防范为主，加强监控</w:t>
      </w:r>
    </w:p>
    <w:p w14:paraId="1876F0E3">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经常性地做好应对系统突发事件的思想准备、预案准备、机制准备和工作准备，提高基础设备和重要系统的综合保障水平。加强对系统应用的日常监视，及时发现系统突发性事件并采取有效措施，迅速控制事件影响范围，力争将损失降到最低程度。</w:t>
      </w:r>
    </w:p>
    <w:p w14:paraId="072F54F4">
      <w:pPr>
        <w:pStyle w:val="7"/>
        <w:rPr>
          <w:rFonts w:hint="eastAsia"/>
        </w:rPr>
      </w:pPr>
      <w:bookmarkStart w:id="809" w:name="_Toc22730"/>
      <w:r>
        <w:rPr>
          <w:rFonts w:hint="eastAsia"/>
        </w:rPr>
        <w:t>应急工作小组机构及职责</w:t>
      </w:r>
      <w:bookmarkEnd w:id="809"/>
    </w:p>
    <w:p w14:paraId="78441132">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在系统事件的处理中，一个组织良好、职责明确、科学管理的应急队伍是成功的关键。组织机构的成立对于事件的响应、决策、恢复，防止类似事件的发生都具有重要意义。结合系统的实际情况，将有关应急人员的角色和职责进行了明确的划分。</w:t>
      </w:r>
    </w:p>
    <w:p w14:paraId="06CAC993">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(1)应急处理领导小组</w:t>
      </w:r>
    </w:p>
    <w:p w14:paraId="1C422D52">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及时掌握系统故障事件的发展动态，向上级部门报告事件动态;对有关事项作出重大决策;启动应急预案;组织和调度必要的人、财、物等资源。</w:t>
      </w:r>
    </w:p>
    <w:p w14:paraId="4851440F">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(2)应急处理工作小组</w:t>
      </w:r>
    </w:p>
    <w:p w14:paraId="58E0C24E">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负责定期了解外部支持人员的变动情况，及时更新其技术人员及联系方式等信息;快速响应系统发现的故障事件、业务部门对系统故障的申告;执行系统故障的诊断、排查和恢复操作;定期通过设备监控软件、系统运行报告等工具对系统的使用情况进行分析，尽早发现系统的异常状况，排除系统的隐患。</w:t>
      </w:r>
    </w:p>
    <w:p w14:paraId="648F1B6B">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(3)外部支持人员</w:t>
      </w:r>
    </w:p>
    <w:p w14:paraId="16EA674C">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包括运营商、设备供应商以及系统集成商。负责事先向技术部提供紧急情况下的应急技术方案和应急技术支援体系;积极配合应急人员进行故障处理。</w:t>
      </w:r>
    </w:p>
    <w:tbl>
      <w:tblPr>
        <w:tblStyle w:val="90"/>
        <w:tblW w:w="5000" w:type="pct"/>
        <w:tblInd w:w="0" w:type="dxa"/>
        <w:tblLayout w:type="autofit"/>
        <w:tblCellMar>
          <w:top w:w="0" w:type="dxa"/>
          <w:left w:w="108" w:type="dxa"/>
          <w:bottom w:w="0" w:type="dxa"/>
          <w:right w:w="108" w:type="dxa"/>
        </w:tblCellMar>
      </w:tblPr>
      <w:tblGrid>
        <w:gridCol w:w="1969"/>
        <w:gridCol w:w="3252"/>
        <w:gridCol w:w="3301"/>
      </w:tblGrid>
      <w:tr w14:paraId="098BD178">
        <w:tblPrEx>
          <w:tblCellMar>
            <w:top w:w="0" w:type="dxa"/>
            <w:left w:w="108" w:type="dxa"/>
            <w:bottom w:w="0" w:type="dxa"/>
            <w:right w:w="108" w:type="dxa"/>
          </w:tblCellMar>
        </w:tblPrEx>
        <w:trPr>
          <w:trHeight w:val="520" w:hRule="atLeast"/>
        </w:trPr>
        <w:tc>
          <w:tcPr>
            <w:tcW w:w="1155" w:type="pct"/>
            <w:tcBorders>
              <w:top w:val="single" w:color="auto" w:sz="4" w:space="0"/>
              <w:left w:val="single" w:color="auto" w:sz="4" w:space="0"/>
              <w:bottom w:val="single" w:color="auto" w:sz="4" w:space="0"/>
              <w:right w:val="single" w:color="auto" w:sz="4" w:space="0"/>
            </w:tcBorders>
            <w:shd w:val="clear" w:color="000000" w:fill="D0CECE"/>
            <w:noWrap/>
            <w:vAlign w:val="center"/>
          </w:tcPr>
          <w:p w14:paraId="0C117639">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color w:val="000000"/>
                <w:kern w:val="0"/>
                <w:szCs w:val="28"/>
              </w:rPr>
            </w:pPr>
            <w:r>
              <w:rPr>
                <w:rFonts w:hint="eastAsia" w:ascii="方正仿宋_GB2312" w:hAnsi="方正仿宋_GB2312" w:eastAsia="方正仿宋_GB2312" w:cs="方正仿宋_GB2312"/>
                <w:color w:val="000000"/>
                <w:kern w:val="0"/>
                <w:szCs w:val="28"/>
              </w:rPr>
              <w:t>步骤</w:t>
            </w:r>
          </w:p>
        </w:tc>
        <w:tc>
          <w:tcPr>
            <w:tcW w:w="1908" w:type="pct"/>
            <w:tcBorders>
              <w:top w:val="single" w:color="auto" w:sz="4" w:space="0"/>
              <w:left w:val="nil"/>
              <w:bottom w:val="single" w:color="auto" w:sz="4" w:space="0"/>
              <w:right w:val="single" w:color="auto" w:sz="4" w:space="0"/>
            </w:tcBorders>
            <w:shd w:val="clear" w:color="000000" w:fill="D0CECE"/>
            <w:noWrap/>
            <w:vAlign w:val="center"/>
          </w:tcPr>
          <w:p w14:paraId="6CB10AAF">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color w:val="000000"/>
                <w:kern w:val="0"/>
                <w:szCs w:val="28"/>
              </w:rPr>
            </w:pPr>
            <w:r>
              <w:rPr>
                <w:rFonts w:hint="eastAsia" w:ascii="方正仿宋_GB2312" w:hAnsi="方正仿宋_GB2312" w:eastAsia="方正仿宋_GB2312" w:cs="方正仿宋_GB2312"/>
                <w:color w:val="000000"/>
                <w:kern w:val="0"/>
                <w:szCs w:val="28"/>
              </w:rPr>
              <w:t>具体内容</w:t>
            </w:r>
          </w:p>
        </w:tc>
        <w:tc>
          <w:tcPr>
            <w:tcW w:w="1937" w:type="pct"/>
            <w:tcBorders>
              <w:top w:val="single" w:color="auto" w:sz="4" w:space="0"/>
              <w:left w:val="nil"/>
              <w:bottom w:val="single" w:color="auto" w:sz="4" w:space="0"/>
              <w:right w:val="single" w:color="auto" w:sz="4" w:space="0"/>
            </w:tcBorders>
            <w:shd w:val="clear" w:color="000000" w:fill="D0CECE"/>
            <w:noWrap/>
            <w:vAlign w:val="center"/>
          </w:tcPr>
          <w:p w14:paraId="7CDEA7C3">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color w:val="000000"/>
                <w:kern w:val="0"/>
                <w:szCs w:val="28"/>
              </w:rPr>
            </w:pPr>
            <w:r>
              <w:rPr>
                <w:rFonts w:hint="eastAsia" w:ascii="方正仿宋_GB2312" w:hAnsi="方正仿宋_GB2312" w:eastAsia="方正仿宋_GB2312" w:cs="方正仿宋_GB2312"/>
                <w:color w:val="000000"/>
                <w:kern w:val="0"/>
                <w:szCs w:val="28"/>
              </w:rPr>
              <w:t>责任人</w:t>
            </w:r>
          </w:p>
        </w:tc>
      </w:tr>
      <w:tr w14:paraId="296A9E21">
        <w:tblPrEx>
          <w:tblCellMar>
            <w:top w:w="0" w:type="dxa"/>
            <w:left w:w="108" w:type="dxa"/>
            <w:bottom w:w="0" w:type="dxa"/>
            <w:right w:w="108" w:type="dxa"/>
          </w:tblCellMar>
        </w:tblPrEx>
        <w:trPr>
          <w:trHeight w:val="620" w:hRule="atLeast"/>
        </w:trPr>
        <w:tc>
          <w:tcPr>
            <w:tcW w:w="1155" w:type="pct"/>
            <w:tcBorders>
              <w:top w:val="nil"/>
              <w:left w:val="single" w:color="auto" w:sz="4" w:space="0"/>
              <w:bottom w:val="single" w:color="auto" w:sz="4" w:space="0"/>
              <w:right w:val="single" w:color="auto" w:sz="4" w:space="0"/>
            </w:tcBorders>
            <w:noWrap/>
            <w:vAlign w:val="center"/>
          </w:tcPr>
          <w:p w14:paraId="1BEEDDB2">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事件发现</w:t>
            </w:r>
          </w:p>
        </w:tc>
        <w:tc>
          <w:tcPr>
            <w:tcW w:w="1908" w:type="pct"/>
            <w:tcBorders>
              <w:top w:val="nil"/>
              <w:left w:val="nil"/>
              <w:bottom w:val="single" w:color="auto" w:sz="4" w:space="0"/>
              <w:right w:val="single" w:color="auto" w:sz="4" w:space="0"/>
            </w:tcBorders>
            <w:vAlign w:val="center"/>
          </w:tcPr>
          <w:p w14:paraId="06D344EB">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通过系统健康监控工具或用户报告发现异常。</w:t>
            </w:r>
          </w:p>
        </w:tc>
        <w:tc>
          <w:tcPr>
            <w:tcW w:w="1937" w:type="pct"/>
            <w:tcBorders>
              <w:top w:val="nil"/>
              <w:left w:val="nil"/>
              <w:bottom w:val="single" w:color="auto" w:sz="4" w:space="0"/>
              <w:right w:val="single" w:color="auto" w:sz="4" w:space="0"/>
            </w:tcBorders>
            <w:vAlign w:val="center"/>
          </w:tcPr>
          <w:p w14:paraId="6AE49C63">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运维人员（24小时值班）</w:t>
            </w:r>
          </w:p>
        </w:tc>
      </w:tr>
      <w:tr w14:paraId="5BBCBF65">
        <w:tblPrEx>
          <w:tblCellMar>
            <w:top w:w="0" w:type="dxa"/>
            <w:left w:w="108" w:type="dxa"/>
            <w:bottom w:w="0" w:type="dxa"/>
            <w:right w:w="108" w:type="dxa"/>
          </w:tblCellMar>
        </w:tblPrEx>
        <w:trPr>
          <w:trHeight w:val="620" w:hRule="atLeast"/>
        </w:trPr>
        <w:tc>
          <w:tcPr>
            <w:tcW w:w="1155" w:type="pct"/>
            <w:tcBorders>
              <w:top w:val="nil"/>
              <w:left w:val="single" w:color="auto" w:sz="4" w:space="0"/>
              <w:bottom w:val="single" w:color="auto" w:sz="4" w:space="0"/>
              <w:right w:val="single" w:color="auto" w:sz="4" w:space="0"/>
            </w:tcBorders>
            <w:noWrap/>
            <w:vAlign w:val="center"/>
          </w:tcPr>
          <w:p w14:paraId="45CCB4CC">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初步评估</w:t>
            </w:r>
          </w:p>
        </w:tc>
        <w:tc>
          <w:tcPr>
            <w:tcW w:w="1908" w:type="pct"/>
            <w:tcBorders>
              <w:top w:val="nil"/>
              <w:left w:val="nil"/>
              <w:bottom w:val="single" w:color="auto" w:sz="4" w:space="0"/>
              <w:right w:val="single" w:color="auto" w:sz="4" w:space="0"/>
            </w:tcBorders>
            <w:vAlign w:val="center"/>
          </w:tcPr>
          <w:p w14:paraId="1EB44A02">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运维人员初步评估事件等级（轻微、一般、严重、重大）。</w:t>
            </w:r>
          </w:p>
        </w:tc>
        <w:tc>
          <w:tcPr>
            <w:tcW w:w="1937" w:type="pct"/>
            <w:tcBorders>
              <w:top w:val="nil"/>
              <w:left w:val="nil"/>
              <w:bottom w:val="single" w:color="auto" w:sz="4" w:space="0"/>
              <w:right w:val="single" w:color="auto" w:sz="4" w:space="0"/>
            </w:tcBorders>
            <w:vAlign w:val="center"/>
          </w:tcPr>
          <w:p w14:paraId="62949758">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运维主管</w:t>
            </w:r>
          </w:p>
        </w:tc>
      </w:tr>
      <w:tr w14:paraId="244360CA">
        <w:tblPrEx>
          <w:tblCellMar>
            <w:top w:w="0" w:type="dxa"/>
            <w:left w:w="108" w:type="dxa"/>
            <w:bottom w:w="0" w:type="dxa"/>
            <w:right w:w="108" w:type="dxa"/>
          </w:tblCellMar>
        </w:tblPrEx>
        <w:trPr>
          <w:trHeight w:val="310" w:hRule="atLeast"/>
        </w:trPr>
        <w:tc>
          <w:tcPr>
            <w:tcW w:w="1155" w:type="pct"/>
            <w:vMerge w:val="restart"/>
            <w:tcBorders>
              <w:top w:val="nil"/>
              <w:left w:val="single" w:color="auto" w:sz="4" w:space="0"/>
              <w:bottom w:val="single" w:color="auto" w:sz="4" w:space="0"/>
              <w:right w:val="single" w:color="auto" w:sz="4" w:space="0"/>
            </w:tcBorders>
            <w:vAlign w:val="center"/>
          </w:tcPr>
          <w:p w14:paraId="295F403E">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事件上报</w:t>
            </w:r>
          </w:p>
        </w:tc>
        <w:tc>
          <w:tcPr>
            <w:tcW w:w="1908" w:type="pct"/>
            <w:tcBorders>
              <w:top w:val="nil"/>
              <w:left w:val="nil"/>
              <w:bottom w:val="single" w:color="auto" w:sz="4" w:space="0"/>
              <w:right w:val="single" w:color="auto" w:sz="4" w:space="0"/>
            </w:tcBorders>
            <w:vAlign w:val="center"/>
          </w:tcPr>
          <w:p w14:paraId="626966FA">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轻微事件</w:t>
            </w:r>
          </w:p>
        </w:tc>
        <w:tc>
          <w:tcPr>
            <w:tcW w:w="1937" w:type="pct"/>
            <w:tcBorders>
              <w:top w:val="nil"/>
              <w:left w:val="nil"/>
              <w:bottom w:val="single" w:color="auto" w:sz="4" w:space="0"/>
              <w:right w:val="single" w:color="auto" w:sz="4" w:space="0"/>
            </w:tcBorders>
            <w:vAlign w:val="center"/>
          </w:tcPr>
          <w:p w14:paraId="231D237C">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运维主管</w:t>
            </w:r>
          </w:p>
        </w:tc>
      </w:tr>
      <w:tr w14:paraId="4A1236B9">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14:paraId="50157BDB">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14:paraId="0C3FB5E1">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一般事件</w:t>
            </w:r>
          </w:p>
        </w:tc>
        <w:tc>
          <w:tcPr>
            <w:tcW w:w="1937" w:type="pct"/>
            <w:tcBorders>
              <w:top w:val="nil"/>
              <w:left w:val="nil"/>
              <w:bottom w:val="single" w:color="auto" w:sz="4" w:space="0"/>
              <w:right w:val="single" w:color="auto" w:sz="4" w:space="0"/>
            </w:tcBorders>
            <w:vAlign w:val="center"/>
          </w:tcPr>
          <w:p w14:paraId="28468D8D">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技术负责人</w:t>
            </w:r>
          </w:p>
        </w:tc>
      </w:tr>
      <w:tr w14:paraId="0189DDAD">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14:paraId="0AAF42B7">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14:paraId="6FB3A9BC">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严重及以上事件</w:t>
            </w:r>
          </w:p>
        </w:tc>
        <w:tc>
          <w:tcPr>
            <w:tcW w:w="1937" w:type="pct"/>
            <w:tcBorders>
              <w:top w:val="nil"/>
              <w:left w:val="nil"/>
              <w:bottom w:val="single" w:color="auto" w:sz="4" w:space="0"/>
              <w:right w:val="single" w:color="auto" w:sz="4" w:space="0"/>
            </w:tcBorders>
            <w:vAlign w:val="center"/>
          </w:tcPr>
          <w:p w14:paraId="594927C9">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项目负责人及安全团队</w:t>
            </w:r>
          </w:p>
        </w:tc>
      </w:tr>
      <w:tr w14:paraId="39DED8EB">
        <w:tblPrEx>
          <w:tblCellMar>
            <w:top w:w="0" w:type="dxa"/>
            <w:left w:w="108" w:type="dxa"/>
            <w:bottom w:w="0" w:type="dxa"/>
            <w:right w:w="108" w:type="dxa"/>
          </w:tblCellMar>
        </w:tblPrEx>
        <w:trPr>
          <w:trHeight w:val="310" w:hRule="atLeast"/>
        </w:trPr>
        <w:tc>
          <w:tcPr>
            <w:tcW w:w="1155" w:type="pct"/>
            <w:vMerge w:val="restart"/>
            <w:tcBorders>
              <w:top w:val="nil"/>
              <w:left w:val="single" w:color="auto" w:sz="4" w:space="0"/>
              <w:bottom w:val="single" w:color="auto" w:sz="4" w:space="0"/>
              <w:right w:val="single" w:color="auto" w:sz="4" w:space="0"/>
            </w:tcBorders>
            <w:noWrap/>
            <w:vAlign w:val="center"/>
          </w:tcPr>
          <w:p w14:paraId="104813DB">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应急处置</w:t>
            </w:r>
          </w:p>
        </w:tc>
        <w:tc>
          <w:tcPr>
            <w:tcW w:w="1908" w:type="pct"/>
            <w:tcBorders>
              <w:top w:val="nil"/>
              <w:left w:val="nil"/>
              <w:bottom w:val="single" w:color="auto" w:sz="4" w:space="0"/>
              <w:right w:val="single" w:color="auto" w:sz="4" w:space="0"/>
            </w:tcBorders>
            <w:vAlign w:val="center"/>
          </w:tcPr>
          <w:p w14:paraId="055EB514">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轻微事件</w:t>
            </w:r>
          </w:p>
        </w:tc>
        <w:tc>
          <w:tcPr>
            <w:tcW w:w="1937" w:type="pct"/>
            <w:tcBorders>
              <w:top w:val="nil"/>
              <w:left w:val="nil"/>
              <w:bottom w:val="single" w:color="auto" w:sz="4" w:space="0"/>
              <w:right w:val="single" w:color="auto" w:sz="4" w:space="0"/>
            </w:tcBorders>
            <w:vAlign w:val="center"/>
          </w:tcPr>
          <w:p w14:paraId="33B321A4">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运维人员直接处理</w:t>
            </w:r>
          </w:p>
        </w:tc>
      </w:tr>
      <w:tr w14:paraId="3F6B98CE">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14:paraId="4828FAEA">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14:paraId="0B36FA16">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一般事件</w:t>
            </w:r>
          </w:p>
        </w:tc>
        <w:tc>
          <w:tcPr>
            <w:tcW w:w="1937" w:type="pct"/>
            <w:tcBorders>
              <w:top w:val="nil"/>
              <w:left w:val="nil"/>
              <w:bottom w:val="single" w:color="auto" w:sz="4" w:space="0"/>
              <w:right w:val="single" w:color="auto" w:sz="4" w:space="0"/>
            </w:tcBorders>
            <w:vAlign w:val="center"/>
          </w:tcPr>
          <w:p w14:paraId="45988CDE">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技术负责人协调处理</w:t>
            </w:r>
          </w:p>
        </w:tc>
      </w:tr>
      <w:tr w14:paraId="507C9A20">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14:paraId="0EDAE3B8">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14:paraId="32A3A78A">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严重及以上事件</w:t>
            </w:r>
          </w:p>
        </w:tc>
        <w:tc>
          <w:tcPr>
            <w:tcW w:w="1937" w:type="pct"/>
            <w:tcBorders>
              <w:top w:val="nil"/>
              <w:left w:val="nil"/>
              <w:bottom w:val="single" w:color="auto" w:sz="4" w:space="0"/>
              <w:right w:val="single" w:color="auto" w:sz="4" w:space="0"/>
            </w:tcBorders>
            <w:vAlign w:val="center"/>
          </w:tcPr>
          <w:p w14:paraId="53D4A730">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启动应急响应小组，多部门协同处理</w:t>
            </w:r>
          </w:p>
        </w:tc>
      </w:tr>
      <w:tr w14:paraId="58FC0BDE">
        <w:tblPrEx>
          <w:tblCellMar>
            <w:top w:w="0" w:type="dxa"/>
            <w:left w:w="108" w:type="dxa"/>
            <w:bottom w:w="0" w:type="dxa"/>
            <w:right w:w="108" w:type="dxa"/>
          </w:tblCellMar>
        </w:tblPrEx>
        <w:trPr>
          <w:trHeight w:val="310" w:hRule="atLeast"/>
        </w:trPr>
        <w:tc>
          <w:tcPr>
            <w:tcW w:w="1155" w:type="pct"/>
            <w:tcBorders>
              <w:top w:val="nil"/>
              <w:left w:val="single" w:color="auto" w:sz="4" w:space="0"/>
              <w:bottom w:val="single" w:color="auto" w:sz="4" w:space="0"/>
              <w:right w:val="single" w:color="auto" w:sz="4" w:space="0"/>
            </w:tcBorders>
            <w:noWrap/>
            <w:vAlign w:val="center"/>
          </w:tcPr>
          <w:p w14:paraId="1A2E330D">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lang w:eastAsia="zh-CN"/>
              </w:rPr>
            </w:pPr>
            <w:r>
              <w:rPr>
                <w:rFonts w:hint="eastAsia" w:ascii="方正仿宋_GB2312" w:hAnsi="方正仿宋_GB2312" w:eastAsia="方正仿宋_GB2312" w:cs="方正仿宋_GB2312"/>
                <w:color w:val="000000"/>
                <w:kern w:val="0"/>
                <w:sz w:val="24"/>
              </w:rPr>
              <w:t>事件</w:t>
            </w:r>
            <w:r>
              <w:rPr>
                <w:rFonts w:hint="eastAsia" w:ascii="方正仿宋_GB2312" w:hAnsi="方正仿宋_GB2312" w:eastAsia="方正仿宋_GB2312" w:cs="方正仿宋_GB2312"/>
                <w:color w:val="000000"/>
                <w:kern w:val="0"/>
                <w:sz w:val="24"/>
                <w:lang w:val="en-US" w:eastAsia="zh-CN"/>
              </w:rPr>
              <w:t>回复</w:t>
            </w:r>
          </w:p>
        </w:tc>
        <w:tc>
          <w:tcPr>
            <w:tcW w:w="1908" w:type="pct"/>
            <w:tcBorders>
              <w:top w:val="nil"/>
              <w:left w:val="nil"/>
              <w:bottom w:val="single" w:color="auto" w:sz="4" w:space="0"/>
              <w:right w:val="single" w:color="auto" w:sz="4" w:space="0"/>
            </w:tcBorders>
            <w:vAlign w:val="center"/>
          </w:tcPr>
          <w:p w14:paraId="76185D57">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修复系统故障，恢复业务运行。</w:t>
            </w:r>
          </w:p>
        </w:tc>
        <w:tc>
          <w:tcPr>
            <w:tcW w:w="1937" w:type="pct"/>
            <w:tcBorders>
              <w:top w:val="nil"/>
              <w:left w:val="nil"/>
              <w:bottom w:val="single" w:color="auto" w:sz="4" w:space="0"/>
              <w:right w:val="single" w:color="auto" w:sz="4" w:space="0"/>
            </w:tcBorders>
            <w:vAlign w:val="center"/>
          </w:tcPr>
          <w:p w14:paraId="1868C728">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运维人员、开发团队</w:t>
            </w:r>
          </w:p>
        </w:tc>
      </w:tr>
      <w:tr w14:paraId="0290B2C5">
        <w:tblPrEx>
          <w:tblCellMar>
            <w:top w:w="0" w:type="dxa"/>
            <w:left w:w="108" w:type="dxa"/>
            <w:bottom w:w="0" w:type="dxa"/>
            <w:right w:w="108" w:type="dxa"/>
          </w:tblCellMar>
        </w:tblPrEx>
        <w:trPr>
          <w:trHeight w:val="620" w:hRule="atLeast"/>
        </w:trPr>
        <w:tc>
          <w:tcPr>
            <w:tcW w:w="1155" w:type="pct"/>
            <w:tcBorders>
              <w:top w:val="nil"/>
              <w:left w:val="single" w:color="auto" w:sz="4" w:space="0"/>
              <w:bottom w:val="single" w:color="auto" w:sz="4" w:space="0"/>
              <w:right w:val="single" w:color="auto" w:sz="4" w:space="0"/>
            </w:tcBorders>
            <w:noWrap/>
            <w:vAlign w:val="center"/>
          </w:tcPr>
          <w:p w14:paraId="0CAFEE49">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事件总结</w:t>
            </w:r>
          </w:p>
        </w:tc>
        <w:tc>
          <w:tcPr>
            <w:tcW w:w="1908" w:type="pct"/>
            <w:tcBorders>
              <w:top w:val="nil"/>
              <w:left w:val="nil"/>
              <w:bottom w:val="single" w:color="auto" w:sz="4" w:space="0"/>
              <w:right w:val="single" w:color="auto" w:sz="4" w:space="0"/>
            </w:tcBorders>
            <w:vAlign w:val="center"/>
          </w:tcPr>
          <w:p w14:paraId="270AE520">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撰写事件报告，分析原因并提出改进措施。</w:t>
            </w:r>
          </w:p>
        </w:tc>
        <w:tc>
          <w:tcPr>
            <w:tcW w:w="1937" w:type="pct"/>
            <w:tcBorders>
              <w:top w:val="nil"/>
              <w:left w:val="nil"/>
              <w:bottom w:val="single" w:color="auto" w:sz="4" w:space="0"/>
              <w:right w:val="single" w:color="auto" w:sz="4" w:space="0"/>
            </w:tcBorders>
            <w:vAlign w:val="center"/>
          </w:tcPr>
          <w:p w14:paraId="5DA6F8A3">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技术负责人</w:t>
            </w:r>
          </w:p>
        </w:tc>
      </w:tr>
    </w:tbl>
    <w:p w14:paraId="1E25270E">
      <w:pPr>
        <w:pStyle w:val="7"/>
        <w:rPr>
          <w:rFonts w:hint="eastAsia"/>
        </w:rPr>
      </w:pPr>
      <w:bookmarkStart w:id="810" w:name="_Toc1614"/>
      <w:r>
        <w:rPr>
          <w:rFonts w:hint="eastAsia"/>
        </w:rPr>
        <w:t>预警和预防机制</w:t>
      </w:r>
      <w:bookmarkEnd w:id="810"/>
    </w:p>
    <w:p w14:paraId="6E5DF87E">
      <w:pPr>
        <w:pStyle w:val="8"/>
        <w:rPr>
          <w:rFonts w:hint="eastAsia"/>
        </w:rPr>
      </w:pPr>
      <w:r>
        <w:rPr>
          <w:rFonts w:hint="eastAsia"/>
        </w:rPr>
        <w:t>系统监测及报告</w:t>
      </w:r>
    </w:p>
    <w:p w14:paraId="2B53EB57">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(1)系统的日常管理和维护</w:t>
      </w:r>
    </w:p>
    <w:p w14:paraId="4DF708CF">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系统的日常管理和维护应加强系统应用的监测、分析和预警工作。</w:t>
      </w:r>
    </w:p>
    <w:p w14:paraId="0AF73DE8">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(2)建立系统故障事故报告制度</w:t>
      </w:r>
    </w:p>
    <w:p w14:paraId="39DF508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发生系统故障时，值班人员应当立即向应急处理小组领导报告，并及时进行故障处理、调查核实、保存相关证据等。</w:t>
      </w:r>
    </w:p>
    <w:p w14:paraId="32D9B6E7">
      <w:pPr>
        <w:pStyle w:val="8"/>
        <w:rPr>
          <w:rFonts w:hint="eastAsia"/>
        </w:rPr>
      </w:pPr>
      <w:r>
        <w:rPr>
          <w:rFonts w:hint="eastAsia"/>
        </w:rPr>
        <w:t>预警</w:t>
      </w:r>
    </w:p>
    <w:p w14:paraId="761C83FF">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在接到突发事件报告后，应当经初步核实之后，将有关情况及时向应急处理小组领导报告，进一步进行情况综合，研究分析可能造成损害的程度，提出初步行动对策。由上级领导视情况紧急程度召集协调会，决策行动方案，发布指示和实施命令等。</w:t>
      </w:r>
    </w:p>
    <w:p w14:paraId="53EB8CA6">
      <w:pPr>
        <w:pStyle w:val="8"/>
        <w:rPr>
          <w:rFonts w:hint="eastAsia"/>
        </w:rPr>
      </w:pPr>
      <w:r>
        <w:rPr>
          <w:rFonts w:hint="eastAsia"/>
        </w:rPr>
        <w:t>预警支持系统</w:t>
      </w:r>
    </w:p>
    <w:p w14:paraId="31B6418E">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应建立和完善信息监测、消息传递和指挥决策支持系统，保证突发事件处理过程中的资源共享、运转正常、指挥有力。</w:t>
      </w:r>
    </w:p>
    <w:p w14:paraId="3B270ED0">
      <w:pPr>
        <w:pStyle w:val="8"/>
        <w:rPr>
          <w:rFonts w:hint="eastAsia"/>
        </w:rPr>
      </w:pPr>
      <w:r>
        <w:rPr>
          <w:rFonts w:hint="eastAsia"/>
        </w:rPr>
        <w:t>预防机制</w:t>
      </w:r>
    </w:p>
    <w:p w14:paraId="24E0465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各业务系统和重要系统建设要充分考虑抗毁性与灾难恢复，制定并不断完善应急处理预案。针对基础系统的突发性、大规模异常事件，各相关部门建立制度化、程序化的处理流程。</w:t>
      </w:r>
    </w:p>
    <w:p w14:paraId="0A4A8DCA">
      <w:pPr>
        <w:pStyle w:val="7"/>
        <w:rPr>
          <w:rFonts w:hint="eastAsia"/>
        </w:rPr>
      </w:pPr>
      <w:bookmarkStart w:id="811" w:name="_Toc19880"/>
      <w:r>
        <w:rPr>
          <w:rFonts w:hint="eastAsia"/>
        </w:rPr>
        <w:t>应急处理程序</w:t>
      </w:r>
      <w:bookmarkEnd w:id="811"/>
    </w:p>
    <w:p w14:paraId="22CB1809">
      <w:pPr>
        <w:pStyle w:val="8"/>
        <w:rPr>
          <w:rFonts w:hint="eastAsia"/>
        </w:rPr>
      </w:pPr>
      <w:r>
        <w:rPr>
          <w:rFonts w:hint="eastAsia"/>
        </w:rPr>
        <w:t>系统突发事件分类分级的说明</w:t>
      </w:r>
    </w:p>
    <w:p w14:paraId="1FF80693">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根据业务系统突发事件的发生原因、性质和机理，业务系统突发事件主要分为以下三类:</w:t>
      </w:r>
    </w:p>
    <w:p w14:paraId="08F05F81">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(1)攻击类事件:指系统因计算机病毒感染、非法入侵等导致业务中断、系统宕机、系统瘫痪等情况。</w:t>
      </w:r>
    </w:p>
    <w:p w14:paraId="47EFCF92">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(2)故障类事件:指系统因计算机软硬件故障、停电、人为误操作等导致业务中断、系统宕机、系统瘫痪等情况。</w:t>
      </w:r>
    </w:p>
    <w:p w14:paraId="0BFE1BBE">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灾害类事件:指因爆炸、火灾、雷击、地震、台风等外力素导致系统损毁造成业务中断、系统宕机、系统瘫痪等情况。按照突发事件的性质、严重程度、可控性和影响范围，将其分为一般故障、严重故障、重大故障、特级故障四级。</w:t>
      </w:r>
    </w:p>
    <w:p w14:paraId="6DF32B25">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(1)一般故障</w:t>
      </w:r>
    </w:p>
    <w:p w14:paraId="23C5480B">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系统中单个系统故障，但未影响业务系统运行，也未造成社会影响或经济损失的突发事件。</w:t>
      </w:r>
    </w:p>
    <w:p w14:paraId="691F2F6A">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(2)严重故障</w:t>
      </w:r>
    </w:p>
    <w:p w14:paraId="4944D731">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系统中单个节点故障导致部分业务中断，可能造成较大业务影响或较大经济损失的突发事件。</w:t>
      </w:r>
    </w:p>
    <w:p w14:paraId="7A8C38C4">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(3)重大故障</w:t>
      </w:r>
    </w:p>
    <w:p w14:paraId="5701151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系统中骨干节点故障引起的多个业务系统长时间中断，可能造成重大社会影响和巨大经济损失的突发事件。</w:t>
      </w:r>
    </w:p>
    <w:p w14:paraId="3E5E9317">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(4)特级故障</w:t>
      </w:r>
    </w:p>
    <w:p w14:paraId="1B04EC56">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特指发生不可预见的灾难性事故，如火灾、水灾和地震等。</w:t>
      </w:r>
    </w:p>
    <w:p w14:paraId="0DC51A7B">
      <w:pPr>
        <w:pStyle w:val="8"/>
        <w:rPr>
          <w:rFonts w:hint="eastAsia"/>
        </w:rPr>
      </w:pPr>
      <w:r>
        <w:rPr>
          <w:rFonts w:hint="eastAsia"/>
        </w:rPr>
        <w:t>系统应急预案启动</w:t>
      </w:r>
    </w:p>
    <w:p w14:paraId="5E60FAF6">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根据以上定义的故障分级，当系统事件的要素满足启动应急预案要求时，进入相应的应急启动流程。</w:t>
      </w:r>
    </w:p>
    <w:p w14:paraId="61B93CD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(1)应急处理工作小组从业务人员或值班人员的故障申告、系统监控报告的故障告警中得知系统异常事件后，应在第一时间赶赴系统故障现场。</w:t>
      </w:r>
    </w:p>
    <w:p w14:paraId="01DA2B47">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(2)应急处理工作小组向领导小组报告，在领导小组的授权后启动相应的应急预案。针对灾难事件和影响重要业务运行的重大事件，还要及时向上级机关进行报告。</w:t>
      </w:r>
    </w:p>
    <w:p w14:paraId="409C7BB4">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应急处理工作小组根据故障类型及时与外部支持人员取得联系。其中设备故障的，可与设备供应商和集成商联系;软件故障的，可与系统集成商联系，由系统集成商进行现场或远程技术支持;线路故障的，可与运营商联系，三方密切协作力求通信线路在短时间内恢复正常。</w:t>
      </w:r>
    </w:p>
    <w:p w14:paraId="322E7E0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(4)应急处理工作小组在上级机构或外部支持人员的配合下，充分利用应急预案的资源准备，采取有力措施进行故障处理，及时恢复系统的正常工作状态。</w:t>
      </w:r>
    </w:p>
    <w:p w14:paraId="5E1A4EAC">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(5)应急处理工作小组通知业务部门系统恢复正常，并向领导小组报告故障处理的基本情况。重大事件形成文字资料，以书面形式向上级报告。</w:t>
      </w:r>
    </w:p>
    <w:p w14:paraId="4E13DDCB">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(6)总结整个处理过程中出现的问题，并及时改进应急预案。</w:t>
      </w:r>
    </w:p>
    <w:p w14:paraId="649EEDC6">
      <w:pPr>
        <w:pStyle w:val="8"/>
        <w:rPr>
          <w:rFonts w:hint="eastAsia"/>
        </w:rPr>
      </w:pPr>
      <w:r>
        <w:rPr>
          <w:rFonts w:hint="eastAsia"/>
        </w:rPr>
        <w:t>现场应急处理</w:t>
      </w:r>
    </w:p>
    <w:p w14:paraId="5931A65E">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(1)如遇到预知外界因素(如定时、定点停电)影响业务系统的正常运行，将根据有关部门的通知，提前安排技术人员到实地关闭系统设备并进行现场维护，直至外界因素消除。</w:t>
      </w:r>
    </w:p>
    <w:p w14:paraId="1383A7F0">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(2)如遇到不可抗力因素(如火灾)造成的系统故障时，接到通知的值班人员要快速到达现场，果断切断相关设备配电柜的电源，积极参与消除不可抗力因素，并及时将情况上报应急处理工作小组领导。</w:t>
      </w:r>
    </w:p>
    <w:p w14:paraId="2CB1CD9A">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(3)如遇到一般故障、严重故障和重大故障，影响系统的正常运行，值班人员要迅速、及时地赶到现场，进行相应突发事件的应急处理。</w:t>
      </w:r>
    </w:p>
    <w:p w14:paraId="26809AAC">
      <w:pPr>
        <w:pStyle w:val="7"/>
        <w:rPr>
          <w:rFonts w:hint="eastAsia"/>
        </w:rPr>
      </w:pPr>
      <w:r>
        <w:rPr>
          <w:rFonts w:hint="eastAsia"/>
        </w:rPr>
        <w:t xml:space="preserve"> </w:t>
      </w:r>
      <w:bookmarkStart w:id="812" w:name="_Toc25558"/>
      <w:r>
        <w:rPr>
          <w:rFonts w:hint="eastAsia"/>
        </w:rPr>
        <w:t>保障措施</w:t>
      </w:r>
      <w:bookmarkEnd w:id="812"/>
    </w:p>
    <w:p w14:paraId="195F376E">
      <w:pPr>
        <w:pStyle w:val="8"/>
        <w:rPr>
          <w:rFonts w:hint="eastAsia"/>
        </w:rPr>
      </w:pPr>
      <w:r>
        <w:rPr>
          <w:rFonts w:hint="eastAsia"/>
        </w:rPr>
        <w:t>应急演练</w:t>
      </w:r>
    </w:p>
    <w:p w14:paraId="284AD383">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为提高系统突发事件应急响应水平，技术部和相关部门应定期或不定期组织应急预案演练;检验应急预案各环节之间的通信、协调、指挥等是否符合快速、高效的要求。通过演习，进一步明确应急响应各岗位责任，对预案中存在的问题和不足及时补充、完善。</w:t>
      </w:r>
    </w:p>
    <w:p w14:paraId="26D6FD59">
      <w:pPr>
        <w:pStyle w:val="8"/>
        <w:rPr>
          <w:rFonts w:hint="eastAsia"/>
        </w:rPr>
      </w:pPr>
      <w:r>
        <w:rPr>
          <w:rFonts w:hint="eastAsia"/>
        </w:rPr>
        <w:t>人员培训</w:t>
      </w:r>
    </w:p>
    <w:p w14:paraId="3E733961">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不定期对相关人员进行专业培训，提高风险意识，增强应急处理技能。</w:t>
      </w:r>
    </w:p>
    <w:p w14:paraId="5960F01C">
      <w:pPr>
        <w:pStyle w:val="188"/>
        <w:spacing w:line="276" w:lineRule="auto"/>
        <w:rPr>
          <w:rFonts w:hint="eastAsia" w:ascii="宋体" w:hAnsi="宋体" w:eastAsia="宋体" w:cs="宋体"/>
          <w:kern w:val="2"/>
          <w:sz w:val="24"/>
          <w:szCs w:val="24"/>
          <w:lang w:val="en-US" w:eastAsia="zh-CN" w:bidi="ar"/>
        </w:rPr>
      </w:pPr>
    </w:p>
    <w:p w14:paraId="58CA14F3">
      <w:pPr>
        <w:pStyle w:val="188"/>
        <w:spacing w:line="276" w:lineRule="auto"/>
        <w:rPr>
          <w:rFonts w:hint="eastAsia" w:ascii="宋体" w:hAnsi="宋体" w:eastAsia="宋体" w:cs="宋体"/>
          <w:kern w:val="2"/>
          <w:sz w:val="24"/>
          <w:szCs w:val="24"/>
          <w:lang w:val="en-US" w:eastAsia="zh-CN" w:bidi="ar"/>
        </w:rPr>
      </w:pPr>
    </w:p>
    <w:p w14:paraId="3500E1B3">
      <w:pPr>
        <w:pStyle w:val="188"/>
        <w:spacing w:line="276" w:lineRule="auto"/>
        <w:rPr>
          <w:rFonts w:hint="eastAsia" w:ascii="宋体" w:hAnsi="宋体" w:eastAsia="宋体" w:cs="宋体"/>
          <w:kern w:val="2"/>
          <w:sz w:val="24"/>
          <w:szCs w:val="24"/>
          <w:lang w:val="en-US" w:eastAsia="zh-CN" w:bidi="ar"/>
        </w:rPr>
      </w:pPr>
    </w:p>
    <w:p w14:paraId="528FDE3B">
      <w:pPr>
        <w:pStyle w:val="188"/>
        <w:spacing w:line="276" w:lineRule="auto"/>
        <w:rPr>
          <w:rFonts w:hint="eastAsia" w:ascii="宋体" w:hAnsi="宋体" w:eastAsia="宋体" w:cs="宋体"/>
          <w:kern w:val="2"/>
          <w:sz w:val="24"/>
          <w:szCs w:val="24"/>
          <w:lang w:val="en-US" w:eastAsia="zh-CN" w:bidi="ar"/>
        </w:rPr>
      </w:pPr>
    </w:p>
    <w:p w14:paraId="4E77F696">
      <w:pPr>
        <w:pStyle w:val="188"/>
        <w:spacing w:line="276" w:lineRule="auto"/>
        <w:rPr>
          <w:rFonts w:hint="eastAsia" w:ascii="宋体" w:hAnsi="宋体" w:eastAsia="宋体" w:cs="宋体"/>
          <w:kern w:val="2"/>
          <w:sz w:val="24"/>
          <w:szCs w:val="24"/>
          <w:lang w:val="en-US" w:eastAsia="zh-CN" w:bidi="ar"/>
        </w:rPr>
      </w:pPr>
    </w:p>
    <w:p w14:paraId="3F1F0A91">
      <w:pPr>
        <w:pStyle w:val="188"/>
        <w:spacing w:line="276" w:lineRule="auto"/>
        <w:rPr>
          <w:rFonts w:hint="eastAsia" w:ascii="宋体" w:hAnsi="宋体" w:eastAsia="宋体" w:cs="宋体"/>
          <w:kern w:val="2"/>
          <w:sz w:val="24"/>
          <w:szCs w:val="24"/>
          <w:lang w:val="en-US" w:eastAsia="zh-CN" w:bidi="ar"/>
        </w:rPr>
      </w:pPr>
    </w:p>
    <w:p w14:paraId="16E91064">
      <w:pPr>
        <w:pStyle w:val="188"/>
        <w:spacing w:line="276" w:lineRule="auto"/>
        <w:rPr>
          <w:rFonts w:hint="eastAsia" w:ascii="宋体" w:hAnsi="宋体" w:eastAsia="宋体" w:cs="宋体"/>
          <w:kern w:val="2"/>
          <w:sz w:val="24"/>
          <w:szCs w:val="24"/>
          <w:lang w:val="en-US" w:eastAsia="zh-CN" w:bidi="ar"/>
        </w:rPr>
      </w:pPr>
    </w:p>
    <w:p w14:paraId="7EF07B11">
      <w:pPr>
        <w:pStyle w:val="188"/>
        <w:spacing w:line="276" w:lineRule="auto"/>
        <w:rPr>
          <w:rFonts w:hint="eastAsia" w:ascii="宋体" w:hAnsi="宋体" w:eastAsia="宋体" w:cs="宋体"/>
          <w:kern w:val="2"/>
          <w:sz w:val="24"/>
          <w:szCs w:val="24"/>
          <w:lang w:val="en-US" w:eastAsia="zh-CN" w:bidi="ar"/>
        </w:rPr>
      </w:pPr>
    </w:p>
    <w:p w14:paraId="5508429F">
      <w:pPr>
        <w:pStyle w:val="188"/>
        <w:spacing w:line="276" w:lineRule="auto"/>
        <w:rPr>
          <w:rFonts w:hint="eastAsia" w:ascii="宋体" w:hAnsi="宋体" w:eastAsia="宋体" w:cs="宋体"/>
          <w:kern w:val="2"/>
          <w:sz w:val="24"/>
          <w:szCs w:val="24"/>
          <w:lang w:val="en-US" w:eastAsia="zh-CN" w:bidi="ar"/>
        </w:rPr>
      </w:pPr>
    </w:p>
    <w:p w14:paraId="1C07269A">
      <w:pPr>
        <w:pStyle w:val="188"/>
        <w:spacing w:line="276" w:lineRule="auto"/>
        <w:rPr>
          <w:rFonts w:hint="eastAsia" w:ascii="宋体" w:hAnsi="宋体" w:eastAsia="宋体" w:cs="宋体"/>
          <w:kern w:val="2"/>
          <w:sz w:val="24"/>
          <w:szCs w:val="24"/>
          <w:lang w:val="en-US" w:eastAsia="zh-CN" w:bidi="ar"/>
        </w:rPr>
      </w:pPr>
    </w:p>
    <w:p w14:paraId="3F9767E2">
      <w:pPr>
        <w:keepNext/>
        <w:keepLines/>
        <w:widowControl w:val="0"/>
        <w:numPr>
          <w:ilvl w:val="0"/>
          <w:numId w:val="1"/>
        </w:numPr>
        <w:spacing w:before="340" w:after="330" w:line="578" w:lineRule="auto"/>
        <w:jc w:val="center"/>
        <w:outlineLvl w:val="0"/>
        <w:rPr>
          <w:rFonts w:hint="eastAsia" w:ascii="宋体" w:hAnsi="宋体" w:eastAsia="宋体" w:cstheme="minorBidi"/>
          <w:b/>
          <w:bCs/>
          <w:kern w:val="44"/>
          <w:sz w:val="32"/>
          <w:szCs w:val="32"/>
          <w:lang w:val="en-US" w:eastAsia="zh-CN" w:bidi="ar-SA"/>
        </w:rPr>
      </w:pPr>
      <w:bookmarkStart w:id="813" w:name="_Toc13745"/>
      <w:r>
        <w:rPr>
          <w:rFonts w:hint="eastAsia" w:ascii="宋体" w:hAnsi="宋体" w:eastAsia="宋体" w:cstheme="minorBidi"/>
          <w:b/>
          <w:bCs/>
          <w:kern w:val="44"/>
          <w:sz w:val="32"/>
          <w:szCs w:val="32"/>
          <w:lang w:val="en-US" w:eastAsia="zh-CN" w:bidi="ar-SA"/>
        </w:rPr>
        <w:t>项目组织架构和人员</w:t>
      </w:r>
      <w:bookmarkEnd w:id="813"/>
    </w:p>
    <w:p w14:paraId="1415FD29">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14" w:name="_Toc11497"/>
      <w:r>
        <w:rPr>
          <w:rFonts w:hint="eastAsia" w:ascii="宋体" w:hAnsi="宋体" w:eastAsia="宋体" w:cstheme="majorBidi"/>
          <w:b/>
          <w:bCs/>
          <w:kern w:val="2"/>
          <w:sz w:val="28"/>
          <w:szCs w:val="28"/>
          <w:lang w:val="en-US" w:eastAsia="zh-CN" w:bidi="ar-SA"/>
        </w:rPr>
        <w:t>项目实施和运维机构及组织管理</w:t>
      </w:r>
      <w:bookmarkEnd w:id="814"/>
    </w:p>
    <w:p w14:paraId="310ADA8B">
      <w:pPr>
        <w:pStyle w:val="7"/>
        <w:rPr>
          <w:rFonts w:hint="eastAsia"/>
        </w:rPr>
      </w:pPr>
      <w:bookmarkStart w:id="815" w:name="_Toc21604"/>
      <w:r>
        <w:rPr>
          <w:rFonts w:hint="eastAsia"/>
        </w:rPr>
        <w:t>项目实施和运维机构</w:t>
      </w:r>
      <w:bookmarkEnd w:id="815"/>
    </w:p>
    <w:p w14:paraId="36686CE7">
      <w:pPr>
        <w:spacing w:line="276" w:lineRule="auto"/>
        <w:ind w:firstLine="480" w:firstLineChars="200"/>
        <w:rPr>
          <w:rFonts w:hint="eastAsia" w:ascii="宋体" w:hAnsi="宋体" w:eastAsia="宋体" w:cs="仿宋"/>
          <w:sz w:val="24"/>
          <w:szCs w:val="24"/>
          <w:lang w:bidi="ar"/>
        </w:rPr>
      </w:pPr>
      <w:r>
        <w:rPr>
          <w:rFonts w:ascii="宋体" w:hAnsi="宋体" w:eastAsia="宋体" w:cs="仿宋"/>
          <w:sz w:val="24"/>
          <w:szCs w:val="24"/>
          <w:lang w:bidi="ar"/>
        </w:rPr>
        <w:t>系统建成投入运行后，需要一支稳定的技术队伍进行日常维护，保障系统的长期正常运行。系统建成投入运行后，将组建一支高素质的系统维护队伍，成立系统运行维护机构，专门负责软硬件系统的日常维护工作，以保城市运行管理服务平台管能够安全、稳定运行。</w:t>
      </w:r>
    </w:p>
    <w:p w14:paraId="50C41F05">
      <w:pPr>
        <w:pStyle w:val="7"/>
        <w:rPr>
          <w:rFonts w:hint="eastAsia"/>
        </w:rPr>
      </w:pPr>
      <w:bookmarkStart w:id="816" w:name="_Toc28469"/>
      <w:r>
        <w:rPr>
          <w:rFonts w:hint="eastAsia"/>
        </w:rPr>
        <w:t>项目组织管理</w:t>
      </w:r>
      <w:bookmarkEnd w:id="816"/>
    </w:p>
    <w:p w14:paraId="2371B456">
      <w:pPr>
        <w:autoSpaceDE w:val="0"/>
        <w:autoSpaceDN w:val="0"/>
        <w:adjustRightInd w:val="0"/>
        <w:spacing w:line="276" w:lineRule="auto"/>
        <w:ind w:firstLine="480"/>
        <w:rPr>
          <w:rFonts w:hint="eastAsia" w:ascii="宋体" w:hAnsi="宋体" w:eastAsia="宋体"/>
          <w:sz w:val="24"/>
          <w:szCs w:val="24"/>
        </w:rPr>
      </w:pPr>
      <w:r>
        <w:rPr>
          <w:rFonts w:ascii="宋体" w:hAnsi="宋体" w:eastAsia="宋体"/>
          <w:sz w:val="24"/>
          <w:szCs w:val="24"/>
        </w:rPr>
        <w:t>本项目的快速建设投入使用，依靠项目管理的保障措施来完成。根据项目状况采用以下措施保障项目顺利实施</w:t>
      </w:r>
      <w:r>
        <w:rPr>
          <w:rFonts w:hint="eastAsia" w:ascii="宋体" w:hAnsi="宋体" w:eastAsia="宋体"/>
          <w:sz w:val="24"/>
          <w:szCs w:val="24"/>
        </w:rPr>
        <w:t>。</w:t>
      </w:r>
    </w:p>
    <w:p w14:paraId="12DD4840">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17" w:name="_Toc5091"/>
      <w:r>
        <w:rPr>
          <w:rFonts w:hint="eastAsia" w:ascii="宋体" w:hAnsi="宋体" w:eastAsia="宋体" w:cstheme="majorBidi"/>
          <w:b/>
          <w:bCs/>
          <w:kern w:val="2"/>
          <w:sz w:val="28"/>
          <w:szCs w:val="28"/>
          <w:lang w:val="en-US" w:eastAsia="zh-CN" w:bidi="ar-SA"/>
        </w:rPr>
        <w:t>人员配置</w:t>
      </w:r>
      <w:bookmarkEnd w:id="817"/>
    </w:p>
    <w:p w14:paraId="0D4C8EE9">
      <w:pPr>
        <w:autoSpaceDE w:val="0"/>
        <w:autoSpaceDN w:val="0"/>
        <w:adjustRightInd w:val="0"/>
        <w:spacing w:line="276" w:lineRule="auto"/>
        <w:ind w:firstLine="480"/>
        <w:rPr>
          <w:rFonts w:hint="eastAsia" w:ascii="宋体" w:hAnsi="宋体" w:eastAsia="宋体"/>
          <w:sz w:val="24"/>
          <w:szCs w:val="24"/>
        </w:rPr>
      </w:pPr>
      <w:r>
        <w:rPr>
          <w:rFonts w:ascii="宋体" w:hAnsi="宋体" w:eastAsia="宋体"/>
          <w:sz w:val="24"/>
          <w:szCs w:val="24"/>
        </w:rPr>
        <w:t>本项目要求中标单位具有丰富信息化工程经验的项目经理和精深专业技术的工程师，结合其在基础硬件、应用软件开发与实施方面的经验，提出较详细的项目实施计划，制订软硬件系统需求调研、系统分析和开发、实施、试运行、正式运行、验收等各项规范</w:t>
      </w:r>
      <w:r>
        <w:rPr>
          <w:rFonts w:hint="eastAsia" w:ascii="宋体" w:hAnsi="宋体" w:eastAsia="宋体"/>
          <w:sz w:val="24"/>
          <w:szCs w:val="24"/>
        </w:rPr>
        <w:t>。</w:t>
      </w:r>
    </w:p>
    <w:p w14:paraId="70943098">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18" w:name="_Toc4652"/>
      <w:r>
        <w:rPr>
          <w:rFonts w:hint="eastAsia" w:ascii="宋体" w:hAnsi="宋体" w:eastAsia="宋体" w:cstheme="majorBidi"/>
          <w:b/>
          <w:bCs/>
          <w:kern w:val="2"/>
          <w:sz w:val="28"/>
          <w:szCs w:val="28"/>
          <w:lang w:val="en-US" w:eastAsia="zh-CN" w:bidi="ar-SA"/>
        </w:rPr>
        <w:t>人员培训需求和计划</w:t>
      </w:r>
      <w:bookmarkEnd w:id="818"/>
    </w:p>
    <w:p w14:paraId="208F29B5">
      <w:pPr>
        <w:pStyle w:val="7"/>
        <w:rPr>
          <w:rFonts w:hint="eastAsia"/>
        </w:rPr>
      </w:pPr>
      <w:bookmarkStart w:id="819" w:name="_Toc12104"/>
      <w:r>
        <w:rPr>
          <w:rFonts w:hint="eastAsia"/>
        </w:rPr>
        <w:t>培训需求</w:t>
      </w:r>
      <w:bookmarkEnd w:id="819"/>
    </w:p>
    <w:p w14:paraId="7339A6E8">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系统建成后项目组提供两次免费培训；系统建成超过一年后，运维机构每年提供一次免费培训服务。</w:t>
      </w:r>
    </w:p>
    <w:p w14:paraId="0E2E569F">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培训地点可以在工程现场或指定的地方，系统操作及管理人员的培训人数由甲方指定，运维机构将确保相关人员正确使用该系统。</w:t>
      </w:r>
    </w:p>
    <w:p w14:paraId="187C744F">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运维单位向培训人员提供有关主要软件的技术资料和系统操作使用说明书。</w:t>
      </w:r>
    </w:p>
    <w:p w14:paraId="35349C6A">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培训课程的主要内容是系统的操作、系统的相关参数设定和修改和系统的维护与简单升级等，具体内容如下：</w:t>
      </w:r>
    </w:p>
    <w:p w14:paraId="1A6015B3">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系统文档解读；</w:t>
      </w:r>
    </w:p>
    <w:p w14:paraId="6528B9A2">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系统的技术特点、安装维护和系统管理方式；</w:t>
      </w:r>
    </w:p>
    <w:p w14:paraId="0E420DA9">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系统一般故障排除。</w:t>
      </w:r>
    </w:p>
    <w:p w14:paraId="1298FFE1">
      <w:pPr>
        <w:autoSpaceDE w:val="0"/>
        <w:autoSpaceDN w:val="0"/>
        <w:adjustRightInd w:val="0"/>
        <w:spacing w:line="276" w:lineRule="auto"/>
        <w:ind w:firstLine="480"/>
        <w:rPr>
          <w:rFonts w:hint="eastAsia" w:ascii="宋体" w:hAnsi="宋体" w:eastAsia="宋体"/>
          <w:sz w:val="24"/>
          <w:szCs w:val="24"/>
        </w:rPr>
      </w:pPr>
      <w:bookmarkStart w:id="820" w:name="_Toc191366605"/>
      <w:r>
        <w:rPr>
          <w:rFonts w:hint="eastAsia" w:ascii="宋体" w:hAnsi="宋体" w:eastAsia="宋体"/>
          <w:sz w:val="24"/>
          <w:szCs w:val="24"/>
        </w:rPr>
        <w:t>人员培训需求和计划</w:t>
      </w:r>
      <w:bookmarkEnd w:id="820"/>
    </w:p>
    <w:p w14:paraId="5A903CE8">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项目建成后组织系统用户培训工作，通过实地教授、项目培训等方式实现对各类用户进行培训，对不同类型的用户分别进行培训。</w:t>
      </w:r>
    </w:p>
    <w:p w14:paraId="7ED58F05">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待招投标完成后确认承建单位，我局与承建单位共同组织培训工作，构建有效的培训环境，并采取学员访问等形式，调查培训效果，监督培训师的每一次培训活动，协助用户的项目工作组，做好学员组织工作，以确保培训工作顺利、优质、高效完成。</w:t>
      </w:r>
    </w:p>
    <w:p w14:paraId="6B698F15">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培训采用以下几种培训方式：</w:t>
      </w:r>
    </w:p>
    <w:p w14:paraId="726ABF32">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项目培训（集中授课培训）；</w:t>
      </w:r>
    </w:p>
    <w:p w14:paraId="46E35BD5">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实践培训（跟项目）；</w:t>
      </w:r>
    </w:p>
    <w:p w14:paraId="4BB6D4EF">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现场培训；</w:t>
      </w:r>
    </w:p>
    <w:p w14:paraId="41B943C6">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在线互动培训等。</w:t>
      </w:r>
    </w:p>
    <w:p w14:paraId="6C627D01">
      <w:pPr>
        <w:pStyle w:val="7"/>
        <w:rPr>
          <w:rFonts w:hint="eastAsia"/>
        </w:rPr>
      </w:pPr>
      <w:bookmarkStart w:id="821" w:name="_Toc14651"/>
      <w:bookmarkStart w:id="822" w:name="_Toc3207186"/>
      <w:r>
        <w:rPr>
          <w:rFonts w:hint="eastAsia"/>
        </w:rPr>
        <w:t>培训计划</w:t>
      </w:r>
      <w:bookmarkEnd w:id="821"/>
    </w:p>
    <w:p w14:paraId="4F5746B3">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为了满足上述培训需求，制定以下培训计划：</w:t>
      </w:r>
    </w:p>
    <w:p w14:paraId="3509C2F5">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1.培训目标：提升信息化人员的计算机操作技能、网络应用能力、数据分析能力以及信息化意识和能力。</w:t>
      </w:r>
    </w:p>
    <w:p w14:paraId="22142F41">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2.培训内容：根据培训需求确定培训内容，包括基础知识培训、专业技能培训、信息化意识培养等方面。具体可以包括操作系统使用、网络基础知识、数据库基础、办公软件使用、编程语言、系统开发、网络安全、数据分析工具使用等。</w:t>
      </w:r>
    </w:p>
    <w:p w14:paraId="6CA7A214">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3.培训方式：采用线上和线下相结合的方式，线上学习理论知识，线下进行实践操作和答疑。可以组织专业讲师进行面对面授课，也可以邀请行业内的专家和学者进行线上讲座。此外，还可以利用网络资源，如在线课程、视频教程等，进行自学。</w:t>
      </w:r>
    </w:p>
    <w:p w14:paraId="71F04555">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4.培训时间：根据员工的工作安排和培训内容的难易程度，制定合理的培训时间。可以每周安排一定的时间进行学习，也可以利用业余时间进行自学。</w:t>
      </w:r>
    </w:p>
    <w:p w14:paraId="1BE2DA1D">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5.培训资源：准备充足的培训资源，包括教材、软件、硬件等。可以购买或下载相关的电子书籍、教程、视频等，制作培训手册，包含培训大纲、操作步骤、常见问题解答等。同时，提供足够的计算机设备和网络设备，确保每位员工都有操作机会。</w:t>
      </w:r>
    </w:p>
    <w:p w14:paraId="6DE48C0A">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6.培训评估：定期对信息化人员的培训成果进行评估，通过考试、实际操作等方式，检验员工的学习效果。同时，收集员工的反馈意见，及时调整培训计划，确保培训质量。</w:t>
      </w:r>
    </w:p>
    <w:p w14:paraId="0237B121">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通过以上培训计划和措施的实施，相信可以全面提升信息化人员的专业技能和素养，为企业的发展提供有力的支持。</w:t>
      </w:r>
    </w:p>
    <w:p w14:paraId="5A36C5B7">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第一阶段为项目实施前培训及技术评测：旨在理解项目背景、目标，掌握技术技能基础，保证项目实施的质量控制和技术转移的顺利进行。</w:t>
      </w:r>
    </w:p>
    <w:p w14:paraId="6D2A4DDA">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第二阶段为项目实施期项目技术支持及维护培训：旨在提高技术队伍项目建设的技术能力，服务于各部门的应用系统，提高应用系统与云平台的对接能力，及系统运行维护支持能力。</w:t>
      </w:r>
    </w:p>
    <w:p w14:paraId="61813F05">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要求承建商每月提供一次云平台应用系统迁移能力的培训，培训对象是应用系统开发公司和技术维护人员。</w:t>
      </w:r>
    </w:p>
    <w:p w14:paraId="7096EB50">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第三阶段为项目实施完成后的云平台使用等培训：通过对项目管理人员、系统管理人员的培训，使其清晰地了解云平台的设计理念和设计方法，掌握云平台的整体结构，以及各类云资源的申请、审核、开通、回收等管理流程；</w:t>
      </w:r>
    </w:p>
    <w:p w14:paraId="78710517">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通过对系统维护人员的培训，使其切实理解和掌握云平台的相关技术知识，能够熟练地维护云平台，快速定位和解决系统出现的问题，保证云平台服务期间正常运转，并持续提高运维服务质量；</w:t>
      </w:r>
    </w:p>
    <w:p w14:paraId="1BCD8C48">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通过对云平台最终用户的培训，使其切实理解和掌握各类云服务的使用方法和操作技巧，能够高效、熟练地基于云平台部署上层业务应用；</w:t>
      </w:r>
    </w:p>
    <w:p w14:paraId="514B29F3">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对开发人员的培训，使其切实理解和掌握基于云平台的开发规范，针对具体的业务应用场景能够充分发挥云平台的技术优势，合理地设计上层业务应用的技术架构，制订部署、迁移方案，评估云资源的容量需求。</w:t>
      </w:r>
      <w:bookmarkEnd w:id="822"/>
    </w:p>
    <w:p w14:paraId="35FCF768">
      <w:pPr>
        <w:widowControl/>
        <w:spacing w:line="276" w:lineRule="auto"/>
        <w:jc w:val="left"/>
        <w:rPr>
          <w:rFonts w:hint="eastAsia" w:ascii="宋体" w:hAnsi="宋体" w:eastAsia="宋体"/>
          <w:sz w:val="24"/>
          <w:szCs w:val="24"/>
        </w:rPr>
      </w:pPr>
      <w:r>
        <w:rPr>
          <w:rFonts w:hint="eastAsia" w:ascii="宋体" w:hAnsi="宋体" w:eastAsia="宋体"/>
          <w:sz w:val="24"/>
          <w:szCs w:val="24"/>
        </w:rPr>
        <w:br w:type="page"/>
      </w:r>
    </w:p>
    <w:p w14:paraId="21E1697B">
      <w:pPr>
        <w:keepNext/>
        <w:keepLines/>
        <w:widowControl w:val="0"/>
        <w:numPr>
          <w:ilvl w:val="0"/>
          <w:numId w:val="1"/>
        </w:numPr>
        <w:spacing w:before="340" w:after="330" w:line="578" w:lineRule="auto"/>
        <w:jc w:val="center"/>
        <w:outlineLvl w:val="0"/>
        <w:rPr>
          <w:rFonts w:hint="eastAsia" w:ascii="宋体" w:hAnsi="宋体" w:eastAsia="宋体" w:cstheme="minorBidi"/>
          <w:b/>
          <w:bCs/>
          <w:kern w:val="44"/>
          <w:sz w:val="32"/>
          <w:szCs w:val="32"/>
          <w:lang w:val="en-US" w:eastAsia="zh-CN" w:bidi="ar-SA"/>
        </w:rPr>
      </w:pPr>
      <w:bookmarkStart w:id="823" w:name="_Toc15357"/>
      <w:r>
        <w:rPr>
          <w:rFonts w:hint="eastAsia" w:ascii="宋体" w:hAnsi="宋体" w:eastAsia="宋体" w:cstheme="minorBidi"/>
          <w:b/>
          <w:bCs/>
          <w:kern w:val="44"/>
          <w:sz w:val="32"/>
          <w:szCs w:val="32"/>
          <w:lang w:val="en-US" w:eastAsia="zh-CN" w:bidi="ar-SA"/>
        </w:rPr>
        <w:t>项目实施进度</w:t>
      </w:r>
      <w:bookmarkEnd w:id="823"/>
    </w:p>
    <w:p w14:paraId="260D8BA8">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24" w:name="_Toc17554"/>
      <w:r>
        <w:rPr>
          <w:rFonts w:hint="eastAsia" w:ascii="宋体" w:hAnsi="宋体" w:eastAsia="宋体" w:cstheme="majorBidi"/>
          <w:b/>
          <w:bCs/>
          <w:kern w:val="2"/>
          <w:sz w:val="28"/>
          <w:szCs w:val="28"/>
          <w:lang w:val="en-US" w:eastAsia="zh-CN" w:bidi="ar-SA"/>
        </w:rPr>
        <w:t>项目建设期</w:t>
      </w:r>
      <w:bookmarkEnd w:id="824"/>
    </w:p>
    <w:p w14:paraId="03D2BDBD">
      <w:pPr>
        <w:spacing w:line="276" w:lineRule="auto"/>
        <w:ind w:firstLine="480" w:firstLineChars="200"/>
        <w:rPr>
          <w:rFonts w:hint="eastAsia" w:ascii="宋体" w:hAnsi="宋体" w:eastAsia="宋体" w:cs="仿宋"/>
          <w:sz w:val="24"/>
          <w:szCs w:val="24"/>
          <w:highlight w:val="red"/>
          <w:lang w:bidi="ar"/>
        </w:rPr>
      </w:pPr>
      <w:r>
        <w:rPr>
          <w:rFonts w:hint="eastAsia" w:ascii="宋体" w:hAnsi="宋体" w:eastAsia="宋体" w:cs="仿宋"/>
          <w:sz w:val="24"/>
          <w:szCs w:val="24"/>
          <w:highlight w:val="red"/>
          <w:lang w:bidi="ar"/>
        </w:rPr>
        <w:t>项目完成施工通过初验后进入服务期，服务期为三年。</w:t>
      </w:r>
    </w:p>
    <w:p w14:paraId="39276DFC">
      <w:pPr>
        <w:spacing w:line="276" w:lineRule="auto"/>
        <w:ind w:firstLine="480" w:firstLineChars="200"/>
        <w:rPr>
          <w:rFonts w:hint="eastAsia" w:ascii="宋体" w:hAnsi="宋体" w:eastAsia="宋体" w:cs="仿宋"/>
          <w:sz w:val="24"/>
          <w:szCs w:val="24"/>
          <w:highlight w:val="red"/>
          <w:lang w:bidi="ar"/>
        </w:rPr>
      </w:pPr>
      <w:r>
        <w:rPr>
          <w:rFonts w:hint="eastAsia" w:ascii="宋体" w:hAnsi="宋体" w:eastAsia="宋体" w:cs="仿宋"/>
          <w:sz w:val="24"/>
          <w:szCs w:val="24"/>
          <w:highlight w:val="red"/>
          <w:lang w:val="en-AU" w:bidi="ar"/>
        </w:rPr>
        <w:t>建设过渡期（</w:t>
      </w:r>
      <w:bookmarkStart w:id="825" w:name="OLE_LINK2"/>
      <w:r>
        <w:rPr>
          <w:rFonts w:hint="eastAsia" w:ascii="宋体" w:hAnsi="宋体" w:eastAsia="宋体" w:cs="仿宋"/>
          <w:sz w:val="24"/>
          <w:szCs w:val="24"/>
          <w:highlight w:val="red"/>
          <w:lang w:val="en-AU" w:bidi="ar"/>
        </w:rPr>
        <w:t>政务云</w:t>
      </w:r>
      <w:bookmarkEnd w:id="825"/>
      <w:r>
        <w:rPr>
          <w:rFonts w:hint="eastAsia" w:ascii="宋体" w:hAnsi="宋体" w:eastAsia="宋体" w:cs="仿宋"/>
          <w:sz w:val="24"/>
          <w:szCs w:val="24"/>
          <w:highlight w:val="red"/>
          <w:lang w:val="en-AU" w:bidi="ar"/>
        </w:rPr>
        <w:t>建成前）：采用商务云短租模式，政务云建成后免费迁移至政务云。</w:t>
      </w:r>
    </w:p>
    <w:p w14:paraId="1DC2B30C">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26" w:name="_Toc30024"/>
      <w:r>
        <w:rPr>
          <w:rFonts w:hint="eastAsia" w:ascii="宋体" w:hAnsi="宋体" w:eastAsia="宋体" w:cstheme="majorBidi"/>
          <w:b/>
          <w:bCs/>
          <w:kern w:val="2"/>
          <w:sz w:val="28"/>
          <w:szCs w:val="28"/>
          <w:lang w:val="en-US" w:eastAsia="zh-CN" w:bidi="ar-SA"/>
        </w:rPr>
        <w:t>项目实施保障</w:t>
      </w:r>
      <w:bookmarkEnd w:id="826"/>
    </w:p>
    <w:p w14:paraId="24FCD0F9">
      <w:pPr>
        <w:autoSpaceDE w:val="0"/>
        <w:autoSpaceDN w:val="0"/>
        <w:adjustRightInd w:val="0"/>
        <w:spacing w:line="276" w:lineRule="auto"/>
        <w:ind w:firstLine="480"/>
        <w:rPr>
          <w:rFonts w:hint="eastAsia" w:ascii="宋体" w:hAnsi="宋体" w:eastAsia="宋体"/>
          <w:sz w:val="24"/>
          <w:szCs w:val="24"/>
        </w:rPr>
      </w:pPr>
      <w:bookmarkStart w:id="827" w:name="_Toc3207190"/>
      <w:r>
        <w:rPr>
          <w:rFonts w:hint="eastAsia" w:ascii="宋体" w:hAnsi="宋体" w:eastAsia="宋体"/>
          <w:sz w:val="24"/>
          <w:szCs w:val="24"/>
        </w:rPr>
        <w:t>系统工程建成运行后，需要施工企业提供稳定的技术队伍进行日常维护，保障系统的长期正常运行。另外，需要建立科学、严格的系统日常管理与维护规章制度，规范系统管理。明确分工，责任到人。</w:t>
      </w:r>
    </w:p>
    <w:p w14:paraId="6281605C">
      <w:pPr>
        <w:pStyle w:val="7"/>
        <w:rPr>
          <w:rFonts w:hint="eastAsia"/>
        </w:rPr>
      </w:pPr>
      <w:bookmarkStart w:id="828" w:name="_Toc4179"/>
      <w:bookmarkStart w:id="829" w:name="_Toc23490"/>
      <w:r>
        <w:rPr>
          <w:rFonts w:hint="eastAsia"/>
        </w:rPr>
        <w:t>技术保障</w:t>
      </w:r>
      <w:bookmarkEnd w:id="828"/>
      <w:bookmarkEnd w:id="829"/>
    </w:p>
    <w:p w14:paraId="3E0534D5">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针对数据安全隐患，建立数据分类管理制度，对敏感数据进行加密存储与传输。定期开展数据安全审计，确保数据的完整性和保密性。</w:t>
      </w:r>
    </w:p>
    <w:p w14:paraId="2D99609A">
      <w:pPr>
        <w:pStyle w:val="7"/>
        <w:rPr>
          <w:rFonts w:hint="eastAsia"/>
        </w:rPr>
      </w:pPr>
      <w:bookmarkStart w:id="830" w:name="_Toc31330"/>
      <w:bookmarkStart w:id="831" w:name="_Toc16470"/>
      <w:r>
        <w:rPr>
          <w:rFonts w:hint="eastAsia"/>
        </w:rPr>
        <w:t>人员保障</w:t>
      </w:r>
      <w:bookmarkEnd w:id="830"/>
      <w:bookmarkEnd w:id="831"/>
    </w:p>
    <w:p w14:paraId="293CB11E">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加强信息化人才队伍的建设，制定吸引、稳定信息化人才的措施。建立多层次、多渠道、重实效的信息化人力资源培养制度和考核、评估制度。对技术人员进行系统的培训和考核，提升他们的专业素养和技能水平。</w:t>
      </w:r>
    </w:p>
    <w:p w14:paraId="09111F55">
      <w:pPr>
        <w:pStyle w:val="7"/>
        <w:rPr>
          <w:rFonts w:hint="eastAsia"/>
        </w:rPr>
      </w:pPr>
      <w:bookmarkStart w:id="832" w:name="_Toc30216"/>
      <w:bookmarkStart w:id="833" w:name="_Toc10510"/>
      <w:r>
        <w:rPr>
          <w:rFonts w:hint="eastAsia"/>
        </w:rPr>
        <w:t>制度保障</w:t>
      </w:r>
      <w:bookmarkEnd w:id="832"/>
      <w:bookmarkEnd w:id="833"/>
    </w:p>
    <w:p w14:paraId="37F9E78A">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制定完善的信息化管理制度，包括组织管理制度、人员培训与知识更新制度、工作纪律、考核与奖惩制度等。通过制度来保证信息化工作的顺利进行。同时，建立系统运行情况记录制度，定期分析系统的数据处理量、数据处理效率和故障维修情况，以便对系统进行及时的优化和改进。</w:t>
      </w:r>
    </w:p>
    <w:p w14:paraId="68562D3A">
      <w:pPr>
        <w:pStyle w:val="7"/>
        <w:rPr>
          <w:rFonts w:hint="eastAsia"/>
        </w:rPr>
      </w:pPr>
      <w:bookmarkStart w:id="834" w:name="_Toc24338"/>
      <w:bookmarkStart w:id="835" w:name="_Toc32302"/>
      <w:r>
        <w:rPr>
          <w:rFonts w:hint="eastAsia"/>
        </w:rPr>
        <w:t>风险保障</w:t>
      </w:r>
      <w:bookmarkEnd w:id="834"/>
      <w:bookmarkEnd w:id="835"/>
    </w:p>
    <w:p w14:paraId="4930EB30">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在项目实施前，进行全面的风险评估，识别可能影响项目进度和质量的风险因素。制定详细的风险应对策略，并设定量化的风险指标，定期评估项目风险状况。通过动态调整项目计划，降低风险对项目的影响。</w:t>
      </w:r>
    </w:p>
    <w:p w14:paraId="21F6FC6D">
      <w:pPr>
        <w:pStyle w:val="7"/>
        <w:rPr>
          <w:rFonts w:hint="eastAsia"/>
        </w:rPr>
      </w:pPr>
      <w:bookmarkStart w:id="836" w:name="_Toc4568"/>
      <w:bookmarkStart w:id="837" w:name="_Toc15033"/>
      <w:r>
        <w:rPr>
          <w:rFonts w:hint="eastAsia"/>
        </w:rPr>
        <w:t>沟通保障</w:t>
      </w:r>
      <w:bookmarkEnd w:id="836"/>
      <w:bookmarkEnd w:id="837"/>
    </w:p>
    <w:p w14:paraId="59BF097C">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建立有效的沟通机制，确保项目团队内部以及与其他相关部门的及时沟通。定期召开项目进展会议，确保所有参与方对项目进展、问题及解决方案有充分的了解。设立项目反馈渠道，鼓励各方提出意见和建议，及时调整项目策略。</w:t>
      </w:r>
    </w:p>
    <w:p w14:paraId="4957E580">
      <w:pPr>
        <w:pStyle w:val="7"/>
        <w:rPr>
          <w:rFonts w:hint="eastAsia"/>
        </w:rPr>
      </w:pPr>
      <w:bookmarkStart w:id="838" w:name="_Toc21527"/>
      <w:bookmarkStart w:id="839" w:name="_Toc27201"/>
      <w:r>
        <w:rPr>
          <w:rFonts w:hint="eastAsia" w:ascii="宋体" w:hAnsi="宋体" w:eastAsia="宋体"/>
          <w:sz w:val="24"/>
          <w:szCs w:val="24"/>
          <w:lang w:val="en-US" w:eastAsia="zh-CN"/>
        </w:rPr>
        <w:t>技术</w:t>
      </w:r>
      <w:r>
        <w:rPr>
          <w:rFonts w:hint="eastAsia"/>
          <w:lang w:val="en-US" w:eastAsia="zh-CN"/>
        </w:rPr>
        <w:t>服务</w:t>
      </w:r>
      <w:r>
        <w:rPr>
          <w:rFonts w:hint="eastAsia"/>
        </w:rPr>
        <w:t>人员要求</w:t>
      </w:r>
      <w:bookmarkEnd w:id="838"/>
      <w:bookmarkEnd w:id="839"/>
    </w:p>
    <w:p w14:paraId="5B07D740">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中标供应商技术服务</w:t>
      </w:r>
      <w:r>
        <w:rPr>
          <w:rFonts w:hint="eastAsia" w:ascii="宋体" w:hAnsi="宋体" w:eastAsia="宋体"/>
          <w:sz w:val="24"/>
          <w:szCs w:val="24"/>
        </w:rPr>
        <w:t>人员需参加</w:t>
      </w:r>
      <w:r>
        <w:rPr>
          <w:rFonts w:hint="eastAsia" w:ascii="宋体" w:hAnsi="宋体" w:eastAsia="宋体"/>
          <w:sz w:val="24"/>
          <w:szCs w:val="24"/>
          <w:lang w:val="en-US" w:eastAsia="zh-CN"/>
        </w:rPr>
        <w:t>招标人</w:t>
      </w:r>
      <w:r>
        <w:rPr>
          <w:rFonts w:hint="eastAsia" w:ascii="宋体" w:hAnsi="宋体" w:eastAsia="宋体"/>
          <w:sz w:val="24"/>
          <w:szCs w:val="24"/>
        </w:rPr>
        <w:t>的安全培训并通过考核，内容涵盖数据安全政策、操作规范及应急响应流程；根据职责分配最小必要权限，使用多因素认证（MFA）控制访问，并定期审查权限；对</w:t>
      </w:r>
      <w:r>
        <w:rPr>
          <w:rFonts w:hint="eastAsia" w:ascii="宋体" w:hAnsi="宋体" w:eastAsia="宋体"/>
          <w:sz w:val="24"/>
          <w:szCs w:val="24"/>
          <w:lang w:val="en-US" w:eastAsia="zh-CN"/>
        </w:rPr>
        <w:t>中标供应商技术服务</w:t>
      </w:r>
      <w:r>
        <w:rPr>
          <w:rFonts w:hint="eastAsia" w:ascii="宋体" w:hAnsi="宋体" w:eastAsia="宋体"/>
          <w:sz w:val="24"/>
          <w:szCs w:val="24"/>
        </w:rPr>
        <w:t>人员的操作行为进行实时监控和日志记录，对异常行为（如大量数据下载、非工作时间访问）进行告警和拦截。</w:t>
      </w:r>
    </w:p>
    <w:p w14:paraId="7A0D3463">
      <w:pPr>
        <w:autoSpaceDE w:val="0"/>
        <w:autoSpaceDN w:val="0"/>
        <w:adjustRightInd w:val="0"/>
        <w:spacing w:line="276" w:lineRule="auto"/>
        <w:ind w:firstLine="480"/>
        <w:rPr>
          <w:rFonts w:hint="eastAsia" w:ascii="宋体" w:hAnsi="宋体" w:eastAsia="宋体"/>
          <w:sz w:val="24"/>
          <w:szCs w:val="24"/>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sz w:val="24"/>
          <w:szCs w:val="24"/>
        </w:rPr>
        <w:t>安全事件处理要求：</w:t>
      </w:r>
      <w:r>
        <w:rPr>
          <w:rFonts w:hint="eastAsia" w:ascii="宋体" w:hAnsi="宋体" w:eastAsia="宋体"/>
          <w:sz w:val="24"/>
          <w:szCs w:val="24"/>
          <w:lang w:val="en-US" w:eastAsia="zh-CN"/>
        </w:rPr>
        <w:t>中标供应商</w:t>
      </w:r>
      <w:r>
        <w:rPr>
          <w:rFonts w:hint="eastAsia" w:ascii="宋体" w:hAnsi="宋体" w:eastAsia="宋体"/>
          <w:sz w:val="24"/>
          <w:szCs w:val="24"/>
        </w:rPr>
        <w:t>需在发现安全事件后规定时间内向</w:t>
      </w:r>
      <w:r>
        <w:rPr>
          <w:rFonts w:hint="eastAsia" w:ascii="宋体" w:hAnsi="宋体" w:eastAsia="宋体"/>
          <w:sz w:val="24"/>
          <w:szCs w:val="24"/>
          <w:lang w:val="en-US" w:eastAsia="zh-CN"/>
        </w:rPr>
        <w:t>招标人</w:t>
      </w:r>
      <w:r>
        <w:rPr>
          <w:rFonts w:hint="eastAsia" w:ascii="宋体" w:hAnsi="宋体" w:eastAsia="宋体"/>
          <w:sz w:val="24"/>
          <w:szCs w:val="24"/>
        </w:rPr>
        <w:t>报告，内容包括事件描述、影响范围及初步处理措施；</w:t>
      </w:r>
      <w:r>
        <w:rPr>
          <w:rFonts w:hint="eastAsia" w:ascii="宋体" w:hAnsi="宋体" w:eastAsia="宋体"/>
          <w:sz w:val="24"/>
          <w:szCs w:val="24"/>
          <w:lang w:val="en-US" w:eastAsia="zh-CN"/>
        </w:rPr>
        <w:t>招标人</w:t>
      </w:r>
      <w:r>
        <w:rPr>
          <w:rFonts w:hint="eastAsia" w:ascii="宋体" w:hAnsi="宋体" w:eastAsia="宋体"/>
          <w:sz w:val="24"/>
          <w:szCs w:val="24"/>
        </w:rPr>
        <w:t>与</w:t>
      </w:r>
      <w:r>
        <w:rPr>
          <w:rFonts w:hint="eastAsia" w:ascii="宋体" w:hAnsi="宋体" w:eastAsia="宋体"/>
          <w:sz w:val="24"/>
          <w:szCs w:val="24"/>
          <w:lang w:val="en-US" w:eastAsia="zh-CN"/>
        </w:rPr>
        <w:t>中标供应商</w:t>
      </w:r>
      <w:r>
        <w:rPr>
          <w:rFonts w:hint="eastAsia" w:ascii="宋体" w:hAnsi="宋体" w:eastAsia="宋体"/>
          <w:sz w:val="24"/>
          <w:szCs w:val="24"/>
        </w:rPr>
        <w:t>共同制定事件处置方案，</w:t>
      </w:r>
      <w:r>
        <w:rPr>
          <w:rFonts w:hint="eastAsia" w:ascii="宋体" w:hAnsi="宋体" w:eastAsia="宋体"/>
          <w:sz w:val="24"/>
          <w:szCs w:val="24"/>
          <w:lang w:val="en-US" w:eastAsia="zh-CN"/>
        </w:rPr>
        <w:t>中标供应商</w:t>
      </w:r>
      <w:r>
        <w:rPr>
          <w:rFonts w:hint="eastAsia" w:ascii="宋体" w:hAnsi="宋体" w:eastAsia="宋体"/>
          <w:sz w:val="24"/>
          <w:szCs w:val="24"/>
        </w:rPr>
        <w:t>需配合调查和修复；若事件由</w:t>
      </w:r>
      <w:r>
        <w:rPr>
          <w:rFonts w:hint="eastAsia" w:ascii="宋体" w:hAnsi="宋体" w:eastAsia="宋体"/>
          <w:sz w:val="24"/>
          <w:szCs w:val="24"/>
          <w:lang w:val="en-US" w:eastAsia="zh-CN"/>
        </w:rPr>
        <w:t>中标供应商</w:t>
      </w:r>
      <w:r>
        <w:rPr>
          <w:rFonts w:hint="eastAsia" w:ascii="宋体" w:hAnsi="宋体" w:eastAsia="宋体"/>
          <w:sz w:val="24"/>
          <w:szCs w:val="24"/>
        </w:rPr>
        <w:t>或其人员引起，</w:t>
      </w:r>
      <w:r>
        <w:rPr>
          <w:rFonts w:hint="eastAsia" w:ascii="宋体" w:hAnsi="宋体" w:eastAsia="宋体"/>
          <w:sz w:val="24"/>
          <w:szCs w:val="24"/>
          <w:lang w:val="en-US" w:eastAsia="zh-CN"/>
        </w:rPr>
        <w:t>中标供应商</w:t>
      </w:r>
      <w:r>
        <w:rPr>
          <w:rFonts w:hint="eastAsia" w:ascii="宋体" w:hAnsi="宋体" w:eastAsia="宋体"/>
          <w:sz w:val="24"/>
          <w:szCs w:val="24"/>
        </w:rPr>
        <w:t>需承担相应责任，包括经济赔偿和法律后果。</w:t>
      </w:r>
      <w:bookmarkEnd w:id="827"/>
    </w:p>
    <w:p w14:paraId="59A0AA91">
      <w:pPr>
        <w:keepNext/>
        <w:keepLines/>
        <w:pageBreakBefore w:val="0"/>
        <w:widowControl w:val="0"/>
        <w:numPr>
          <w:ilvl w:val="0"/>
          <w:numId w:val="1"/>
        </w:numPr>
        <w:kinsoku/>
        <w:wordWrap/>
        <w:overflowPunct/>
        <w:topLinePunct w:val="0"/>
        <w:autoSpaceDE/>
        <w:autoSpaceDN/>
        <w:bidi w:val="0"/>
        <w:adjustRightInd/>
        <w:snapToGrid/>
        <w:spacing w:before="100" w:after="90" w:line="579" w:lineRule="auto"/>
        <w:ind w:left="431" w:hanging="431"/>
        <w:jc w:val="center"/>
        <w:textAlignment w:val="auto"/>
        <w:outlineLvl w:val="0"/>
        <w:rPr>
          <w:rFonts w:hint="eastAsia" w:ascii="宋体" w:hAnsi="宋体" w:eastAsia="宋体" w:cstheme="minorBidi"/>
          <w:b/>
          <w:bCs/>
          <w:kern w:val="44"/>
          <w:sz w:val="32"/>
          <w:szCs w:val="32"/>
          <w:lang w:val="en-US" w:eastAsia="zh-CN" w:bidi="ar-SA"/>
        </w:rPr>
      </w:pPr>
      <w:bookmarkStart w:id="840" w:name="_Toc28974"/>
      <w:r>
        <w:rPr>
          <w:rFonts w:hint="eastAsia" w:ascii="宋体" w:hAnsi="宋体" w:eastAsia="宋体" w:cstheme="minorBidi"/>
          <w:b/>
          <w:bCs/>
          <w:kern w:val="44"/>
          <w:sz w:val="32"/>
          <w:szCs w:val="32"/>
          <w:lang w:val="en-US" w:eastAsia="zh-CN" w:bidi="ar-SA"/>
        </w:rPr>
        <w:t>采购</w:t>
      </w:r>
      <w:bookmarkEnd w:id="840"/>
      <w:r>
        <w:rPr>
          <w:rFonts w:hint="eastAsia" w:ascii="宋体" w:hAnsi="宋体" w:eastAsia="宋体" w:cstheme="minorBidi"/>
          <w:b/>
          <w:bCs/>
          <w:kern w:val="44"/>
          <w:sz w:val="32"/>
          <w:szCs w:val="32"/>
          <w:lang w:val="en-US" w:eastAsia="zh-CN" w:bidi="ar-SA"/>
        </w:rPr>
        <w:t>清单</w:t>
      </w:r>
    </w:p>
    <w:p w14:paraId="70666D0B">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41" w:name="_Toc32723"/>
      <w:r>
        <w:rPr>
          <w:rFonts w:hint="eastAsia" w:ascii="宋体" w:hAnsi="宋体" w:eastAsia="宋体" w:cstheme="majorBidi"/>
          <w:b/>
          <w:bCs/>
          <w:kern w:val="2"/>
          <w:sz w:val="28"/>
          <w:szCs w:val="28"/>
          <w:lang w:val="en-US" w:eastAsia="zh-CN" w:bidi="ar-SA"/>
        </w:rPr>
        <w:t>平台建设</w:t>
      </w:r>
      <w:bookmarkEnd w:id="841"/>
      <w:r>
        <w:rPr>
          <w:rFonts w:hint="eastAsia" w:ascii="宋体" w:hAnsi="宋体" w:eastAsia="宋体" w:cstheme="majorBidi"/>
          <w:b/>
          <w:bCs/>
          <w:kern w:val="2"/>
          <w:sz w:val="28"/>
          <w:szCs w:val="28"/>
          <w:lang w:val="en-US" w:eastAsia="zh-CN" w:bidi="ar-SA"/>
        </w:rPr>
        <w:t>清单</w:t>
      </w:r>
    </w:p>
    <w:tbl>
      <w:tblPr>
        <w:tblStyle w:val="90"/>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9"/>
        <w:gridCol w:w="640"/>
        <w:gridCol w:w="3203"/>
        <w:gridCol w:w="663"/>
        <w:gridCol w:w="764"/>
        <w:gridCol w:w="8182"/>
      </w:tblGrid>
      <w:tr w14:paraId="04B4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469" w:type="dxa"/>
            <w:shd w:val="clear" w:color="auto" w:fill="auto"/>
            <w:vAlign w:val="center"/>
          </w:tcPr>
          <w:p w14:paraId="4782C6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40" w:type="dxa"/>
            <w:shd w:val="clear" w:color="auto" w:fill="auto"/>
            <w:vAlign w:val="center"/>
          </w:tcPr>
          <w:p w14:paraId="76144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类别</w:t>
            </w:r>
          </w:p>
        </w:tc>
        <w:tc>
          <w:tcPr>
            <w:tcW w:w="3203" w:type="dxa"/>
            <w:shd w:val="clear" w:color="auto" w:fill="auto"/>
            <w:vAlign w:val="center"/>
          </w:tcPr>
          <w:p w14:paraId="7D6ECA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建设内容</w:t>
            </w:r>
          </w:p>
        </w:tc>
        <w:tc>
          <w:tcPr>
            <w:tcW w:w="663" w:type="dxa"/>
            <w:shd w:val="clear" w:color="auto" w:fill="auto"/>
            <w:vAlign w:val="center"/>
          </w:tcPr>
          <w:p w14:paraId="461118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764" w:type="dxa"/>
            <w:shd w:val="clear" w:color="auto" w:fill="auto"/>
            <w:vAlign w:val="center"/>
          </w:tcPr>
          <w:p w14:paraId="08A33E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8182" w:type="dxa"/>
            <w:shd w:val="clear" w:color="auto" w:fill="auto"/>
            <w:vAlign w:val="center"/>
          </w:tcPr>
          <w:p w14:paraId="626D34D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规格型号及参数要求</w:t>
            </w:r>
          </w:p>
        </w:tc>
      </w:tr>
      <w:tr w14:paraId="73CF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69" w:type="dxa"/>
            <w:shd w:val="clear" w:color="auto" w:fill="auto"/>
            <w:vAlign w:val="center"/>
          </w:tcPr>
          <w:p w14:paraId="11446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14:paraId="26ED04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软件开发</w:t>
            </w:r>
          </w:p>
        </w:tc>
        <w:tc>
          <w:tcPr>
            <w:tcW w:w="3203" w:type="dxa"/>
            <w:shd w:val="clear" w:color="auto" w:fill="auto"/>
            <w:vAlign w:val="center"/>
          </w:tcPr>
          <w:p w14:paraId="37BBBF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综合性城市管理数据库</w:t>
            </w:r>
          </w:p>
        </w:tc>
        <w:tc>
          <w:tcPr>
            <w:tcW w:w="663" w:type="dxa"/>
            <w:shd w:val="clear" w:color="auto" w:fill="auto"/>
            <w:vAlign w:val="center"/>
          </w:tcPr>
          <w:p w14:paraId="3BC507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283D71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restart"/>
            <w:shd w:val="clear" w:color="auto" w:fill="auto"/>
            <w:vAlign w:val="center"/>
          </w:tcPr>
          <w:p w14:paraId="5B04AA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kern w:val="0"/>
                <w:sz w:val="17"/>
                <w:szCs w:val="17"/>
                <w:u w:val="none"/>
                <w:lang w:val="en-US" w:eastAsia="zh-CN" w:bidi="ar"/>
              </w:rPr>
            </w:pPr>
            <w:r>
              <w:rPr>
                <w:rFonts w:hint="eastAsia" w:ascii="宋体" w:hAnsi="宋体" w:eastAsia="宋体" w:cs="宋体"/>
                <w:i w:val="0"/>
                <w:iCs w:val="0"/>
                <w:color w:val="000000"/>
                <w:kern w:val="0"/>
                <w:sz w:val="17"/>
                <w:szCs w:val="17"/>
                <w:u w:val="none"/>
                <w:lang w:val="en-US" w:eastAsia="zh-CN" w:bidi="ar"/>
              </w:rPr>
              <w:t>基于盐城市城市运行管理服务平台进行本地化部署，并结合本地化需求进行定制开发，具体详见附件软件开发明细</w:t>
            </w:r>
          </w:p>
          <w:p w14:paraId="34D9D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29A8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69" w:type="dxa"/>
            <w:shd w:val="clear" w:color="auto" w:fill="auto"/>
            <w:vAlign w:val="center"/>
          </w:tcPr>
          <w:p w14:paraId="41567E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14:paraId="783B9EA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93D90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业务指导系统</w:t>
            </w:r>
          </w:p>
        </w:tc>
        <w:tc>
          <w:tcPr>
            <w:tcW w:w="663" w:type="dxa"/>
            <w:shd w:val="clear" w:color="auto" w:fill="auto"/>
            <w:vAlign w:val="center"/>
          </w:tcPr>
          <w:p w14:paraId="522704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7D1054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3C928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6BA6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9" w:type="dxa"/>
            <w:shd w:val="clear" w:color="auto" w:fill="auto"/>
            <w:vAlign w:val="center"/>
          </w:tcPr>
          <w:p w14:paraId="5D41D1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14:paraId="57BBCC5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7348E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指挥协调系统</w:t>
            </w:r>
          </w:p>
        </w:tc>
        <w:tc>
          <w:tcPr>
            <w:tcW w:w="663" w:type="dxa"/>
            <w:shd w:val="clear" w:color="auto" w:fill="auto"/>
            <w:vAlign w:val="center"/>
          </w:tcPr>
          <w:p w14:paraId="17BDC3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36A0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78909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63D4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69" w:type="dxa"/>
            <w:shd w:val="clear" w:color="auto" w:fill="auto"/>
            <w:vAlign w:val="center"/>
          </w:tcPr>
          <w:p w14:paraId="754642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14:paraId="3F88C7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8AEF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行业应用系统</w:t>
            </w:r>
          </w:p>
        </w:tc>
        <w:tc>
          <w:tcPr>
            <w:tcW w:w="663" w:type="dxa"/>
            <w:shd w:val="clear" w:color="auto" w:fill="auto"/>
            <w:vAlign w:val="center"/>
          </w:tcPr>
          <w:p w14:paraId="3467D9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7F831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204C4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2DE9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469" w:type="dxa"/>
            <w:shd w:val="clear" w:color="auto" w:fill="auto"/>
            <w:vAlign w:val="center"/>
          </w:tcPr>
          <w:p w14:paraId="1A1246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14:paraId="545563E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7CAF5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公众服务系统</w:t>
            </w:r>
          </w:p>
        </w:tc>
        <w:tc>
          <w:tcPr>
            <w:tcW w:w="663" w:type="dxa"/>
            <w:shd w:val="clear" w:color="auto" w:fill="auto"/>
            <w:vAlign w:val="center"/>
          </w:tcPr>
          <w:p w14:paraId="5F2DB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3659EF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03F67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720F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trPr>
        <w:tc>
          <w:tcPr>
            <w:tcW w:w="469" w:type="dxa"/>
            <w:shd w:val="clear" w:color="auto" w:fill="auto"/>
            <w:vAlign w:val="center"/>
          </w:tcPr>
          <w:p w14:paraId="1445F3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14:paraId="43A8BB0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94288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综合评价系统</w:t>
            </w:r>
          </w:p>
        </w:tc>
        <w:tc>
          <w:tcPr>
            <w:tcW w:w="663" w:type="dxa"/>
            <w:shd w:val="clear" w:color="auto" w:fill="auto"/>
            <w:vAlign w:val="center"/>
          </w:tcPr>
          <w:p w14:paraId="4D269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E7517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46632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367F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69" w:type="dxa"/>
            <w:shd w:val="clear" w:color="auto" w:fill="auto"/>
            <w:vAlign w:val="center"/>
          </w:tcPr>
          <w:p w14:paraId="0D8C1A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14:paraId="79B1EB4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4AF6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决策建议系统</w:t>
            </w:r>
          </w:p>
        </w:tc>
        <w:tc>
          <w:tcPr>
            <w:tcW w:w="663" w:type="dxa"/>
            <w:shd w:val="clear" w:color="auto" w:fill="auto"/>
            <w:vAlign w:val="center"/>
          </w:tcPr>
          <w:p w14:paraId="73168A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F6AD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7E5A6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2C85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9" w:type="dxa"/>
            <w:shd w:val="clear" w:color="auto" w:fill="auto"/>
            <w:vAlign w:val="center"/>
          </w:tcPr>
          <w:p w14:paraId="66B051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0" w:type="dxa"/>
            <w:vMerge w:val="continue"/>
            <w:shd w:val="clear" w:color="auto" w:fill="auto"/>
            <w:vAlign w:val="center"/>
          </w:tcPr>
          <w:p w14:paraId="5005DEE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33F2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数据交换系统</w:t>
            </w:r>
          </w:p>
        </w:tc>
        <w:tc>
          <w:tcPr>
            <w:tcW w:w="663" w:type="dxa"/>
            <w:shd w:val="clear" w:color="auto" w:fill="auto"/>
            <w:vAlign w:val="center"/>
          </w:tcPr>
          <w:p w14:paraId="069B70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73AFB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2ABAC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116A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69" w:type="dxa"/>
            <w:shd w:val="clear" w:color="auto" w:fill="auto"/>
            <w:vAlign w:val="center"/>
          </w:tcPr>
          <w:p w14:paraId="0C216E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0" w:type="dxa"/>
            <w:vMerge w:val="continue"/>
            <w:shd w:val="clear" w:color="auto" w:fill="auto"/>
            <w:vAlign w:val="center"/>
          </w:tcPr>
          <w:p w14:paraId="5B004F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496D1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数据汇聚系统</w:t>
            </w:r>
          </w:p>
        </w:tc>
        <w:tc>
          <w:tcPr>
            <w:tcW w:w="663" w:type="dxa"/>
            <w:shd w:val="clear" w:color="auto" w:fill="auto"/>
            <w:vAlign w:val="center"/>
          </w:tcPr>
          <w:p w14:paraId="2EFC08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A9454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0BEA01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18DC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9" w:type="dxa"/>
            <w:shd w:val="clear" w:color="auto" w:fill="auto"/>
            <w:vAlign w:val="center"/>
          </w:tcPr>
          <w:p w14:paraId="24BD94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40" w:type="dxa"/>
            <w:vMerge w:val="continue"/>
            <w:shd w:val="clear" w:color="auto" w:fill="auto"/>
            <w:vAlign w:val="center"/>
          </w:tcPr>
          <w:p w14:paraId="109773D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0C3BDD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应用维护系统</w:t>
            </w:r>
          </w:p>
        </w:tc>
        <w:tc>
          <w:tcPr>
            <w:tcW w:w="663" w:type="dxa"/>
            <w:shd w:val="clear" w:color="auto" w:fill="auto"/>
            <w:vAlign w:val="center"/>
          </w:tcPr>
          <w:p w14:paraId="4638F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6AC12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15E29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5545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shd w:val="clear" w:color="auto" w:fill="auto"/>
            <w:vAlign w:val="center"/>
          </w:tcPr>
          <w:p w14:paraId="3C26E8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14:paraId="26BF15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云资源服务</w:t>
            </w:r>
          </w:p>
        </w:tc>
        <w:tc>
          <w:tcPr>
            <w:tcW w:w="3203" w:type="dxa"/>
            <w:shd w:val="clear" w:color="auto" w:fill="auto"/>
            <w:vAlign w:val="center"/>
          </w:tcPr>
          <w:p w14:paraId="4065F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运管服web服务器-1（互联网）</w:t>
            </w:r>
          </w:p>
        </w:tc>
        <w:tc>
          <w:tcPr>
            <w:tcW w:w="663" w:type="dxa"/>
            <w:shd w:val="clear" w:color="auto" w:fill="auto"/>
            <w:vAlign w:val="center"/>
          </w:tcPr>
          <w:p w14:paraId="2BBABA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36482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1910E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vCPU:8核心，内存：16G，包括供货期间和3年服务期</w:t>
            </w:r>
          </w:p>
        </w:tc>
      </w:tr>
      <w:tr w14:paraId="25ED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25432C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14:paraId="526A7A6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600E69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运管服核心应用服务器-1</w:t>
            </w:r>
          </w:p>
        </w:tc>
        <w:tc>
          <w:tcPr>
            <w:tcW w:w="663" w:type="dxa"/>
            <w:shd w:val="clear" w:color="auto" w:fill="auto"/>
            <w:vAlign w:val="center"/>
          </w:tcPr>
          <w:p w14:paraId="75A02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77262F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089F2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1DF2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4AFA19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14:paraId="7ABA90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431DC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运管服核心应用服务器-2</w:t>
            </w:r>
          </w:p>
        </w:tc>
        <w:tc>
          <w:tcPr>
            <w:tcW w:w="663" w:type="dxa"/>
            <w:shd w:val="clear" w:color="auto" w:fill="auto"/>
            <w:vAlign w:val="center"/>
          </w:tcPr>
          <w:p w14:paraId="56E2C9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C95F1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773AC9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5FC2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6C01B3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14:paraId="1D8534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A891A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运管服核心应用服务器-3</w:t>
            </w:r>
          </w:p>
        </w:tc>
        <w:tc>
          <w:tcPr>
            <w:tcW w:w="663" w:type="dxa"/>
            <w:shd w:val="clear" w:color="auto" w:fill="auto"/>
            <w:vAlign w:val="center"/>
          </w:tcPr>
          <w:p w14:paraId="43B699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177103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59B2C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36D6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0C158A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14:paraId="374A58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2E3F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运管服中间件服务器-1+缓存服务器</w:t>
            </w:r>
          </w:p>
        </w:tc>
        <w:tc>
          <w:tcPr>
            <w:tcW w:w="663" w:type="dxa"/>
            <w:shd w:val="clear" w:color="auto" w:fill="auto"/>
            <w:vAlign w:val="center"/>
          </w:tcPr>
          <w:p w14:paraId="3E6FBC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21838B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244A8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38E0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68336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14:paraId="6CABA4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600B0B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主数据库服务器</w:t>
            </w:r>
          </w:p>
        </w:tc>
        <w:tc>
          <w:tcPr>
            <w:tcW w:w="663" w:type="dxa"/>
            <w:shd w:val="clear" w:color="auto" w:fill="auto"/>
            <w:vAlign w:val="center"/>
          </w:tcPr>
          <w:p w14:paraId="18F6B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3D6B61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6D94D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vCPU:16核心，内存：64G，包括供货期间和3年服务期</w:t>
            </w:r>
          </w:p>
        </w:tc>
      </w:tr>
      <w:tr w14:paraId="6F78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57444A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14:paraId="0325C0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E1BA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备份数据库服务器+NOSQL文件存储服务器</w:t>
            </w:r>
          </w:p>
        </w:tc>
        <w:tc>
          <w:tcPr>
            <w:tcW w:w="663" w:type="dxa"/>
            <w:shd w:val="clear" w:color="auto" w:fill="auto"/>
            <w:vAlign w:val="center"/>
          </w:tcPr>
          <w:p w14:paraId="601F9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31C769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D113E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6395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35FD1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0" w:type="dxa"/>
            <w:vMerge w:val="continue"/>
            <w:shd w:val="clear" w:color="auto" w:fill="auto"/>
            <w:vAlign w:val="center"/>
          </w:tcPr>
          <w:p w14:paraId="771D509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48DDD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运维跳板机</w:t>
            </w:r>
          </w:p>
        </w:tc>
        <w:tc>
          <w:tcPr>
            <w:tcW w:w="663" w:type="dxa"/>
            <w:shd w:val="clear" w:color="auto" w:fill="auto"/>
            <w:vAlign w:val="center"/>
          </w:tcPr>
          <w:p w14:paraId="7A622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46FD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4ECC1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vCPU:8核心，内存：16G，包括供货期间和3年服务期</w:t>
            </w:r>
          </w:p>
        </w:tc>
      </w:tr>
      <w:tr w14:paraId="05C1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2930A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0" w:type="dxa"/>
            <w:vMerge w:val="continue"/>
            <w:shd w:val="clear" w:color="auto" w:fill="auto"/>
            <w:vAlign w:val="center"/>
          </w:tcPr>
          <w:p w14:paraId="36FC123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682F29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云存储</w:t>
            </w:r>
          </w:p>
        </w:tc>
        <w:tc>
          <w:tcPr>
            <w:tcW w:w="663" w:type="dxa"/>
            <w:shd w:val="clear" w:color="auto" w:fill="auto"/>
            <w:vAlign w:val="center"/>
          </w:tcPr>
          <w:p w14:paraId="77889F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13BFE0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06A6D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3700G</w:t>
            </w:r>
          </w:p>
        </w:tc>
      </w:tr>
      <w:tr w14:paraId="3232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7AE6FD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40" w:type="dxa"/>
            <w:vMerge w:val="continue"/>
            <w:shd w:val="clear" w:color="auto" w:fill="auto"/>
            <w:vAlign w:val="center"/>
          </w:tcPr>
          <w:p w14:paraId="06BBD8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6833F5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国产操作系统</w:t>
            </w:r>
          </w:p>
        </w:tc>
        <w:tc>
          <w:tcPr>
            <w:tcW w:w="663" w:type="dxa"/>
            <w:shd w:val="clear" w:color="auto" w:fill="auto"/>
            <w:vAlign w:val="center"/>
          </w:tcPr>
          <w:p w14:paraId="35542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64" w:type="dxa"/>
            <w:shd w:val="clear" w:color="auto" w:fill="auto"/>
            <w:vAlign w:val="center"/>
          </w:tcPr>
          <w:p w14:paraId="7F20E3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182" w:type="dxa"/>
            <w:shd w:val="clear" w:color="auto" w:fill="auto"/>
            <w:vAlign w:val="center"/>
          </w:tcPr>
          <w:p w14:paraId="6448F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国产操作系统，如：银河麒麟v10</w:t>
            </w:r>
          </w:p>
        </w:tc>
      </w:tr>
      <w:tr w14:paraId="019D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shd w:val="clear" w:color="auto" w:fill="auto"/>
            <w:vAlign w:val="center"/>
          </w:tcPr>
          <w:p w14:paraId="16B29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40" w:type="dxa"/>
            <w:vMerge w:val="continue"/>
            <w:shd w:val="clear" w:color="auto" w:fill="auto"/>
            <w:vAlign w:val="center"/>
          </w:tcPr>
          <w:p w14:paraId="6D058D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4A2BA4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国产数据库</w:t>
            </w:r>
          </w:p>
        </w:tc>
        <w:tc>
          <w:tcPr>
            <w:tcW w:w="663" w:type="dxa"/>
            <w:shd w:val="clear" w:color="auto" w:fill="auto"/>
            <w:vAlign w:val="center"/>
          </w:tcPr>
          <w:p w14:paraId="7AE99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8B2B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0E21AC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国产数据库(兼容 MySQL生态)节点-16核 64G,包括1个节点3年服务</w:t>
            </w:r>
          </w:p>
        </w:tc>
      </w:tr>
      <w:tr w14:paraId="00DA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469" w:type="dxa"/>
            <w:shd w:val="clear" w:color="auto" w:fill="auto"/>
            <w:vAlign w:val="center"/>
          </w:tcPr>
          <w:p w14:paraId="6DD1D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40" w:type="dxa"/>
            <w:vMerge w:val="continue"/>
            <w:shd w:val="clear" w:color="auto" w:fill="auto"/>
            <w:vAlign w:val="center"/>
          </w:tcPr>
          <w:p w14:paraId="36EA28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09BBE9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分布式数据库中间件DDM</w:t>
            </w:r>
          </w:p>
        </w:tc>
        <w:tc>
          <w:tcPr>
            <w:tcW w:w="663" w:type="dxa"/>
            <w:shd w:val="clear" w:color="auto" w:fill="auto"/>
            <w:vAlign w:val="center"/>
          </w:tcPr>
          <w:p w14:paraId="4D07AE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3AC7C6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B902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分布式数据库中间件，16核32G；DDM 通用/鲲鹏通用增强型，16C32GB，兼容mysql8.0，支持规格变更和扩容。包括1个节点3年服务</w:t>
            </w:r>
          </w:p>
        </w:tc>
      </w:tr>
      <w:tr w14:paraId="4835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469" w:type="dxa"/>
            <w:shd w:val="clear" w:color="auto" w:fill="auto"/>
            <w:vAlign w:val="center"/>
          </w:tcPr>
          <w:p w14:paraId="001FF1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40" w:type="dxa"/>
            <w:vMerge w:val="continue"/>
            <w:shd w:val="clear" w:color="auto" w:fill="auto"/>
            <w:vAlign w:val="center"/>
          </w:tcPr>
          <w:p w14:paraId="1B09DA2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6D79A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应用中间件分布式缓存服务 Redis</w:t>
            </w:r>
          </w:p>
        </w:tc>
        <w:tc>
          <w:tcPr>
            <w:tcW w:w="663" w:type="dxa"/>
            <w:shd w:val="clear" w:color="auto" w:fill="auto"/>
            <w:vAlign w:val="center"/>
          </w:tcPr>
          <w:p w14:paraId="33E8F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5B49E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28DA4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内存数据库服务 Redis 主备版 16G；分布式缓存服务是一款内存数据库服务，基于双机热备的高可用架构，提供单机、主从、集群等丰富类型的缓存类型，满足用户高读写性能及快速数据访问的业务诉求。包括1个套3年服务</w:t>
            </w:r>
          </w:p>
        </w:tc>
      </w:tr>
      <w:tr w14:paraId="37F4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46456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40" w:type="dxa"/>
            <w:vMerge w:val="continue"/>
            <w:shd w:val="clear" w:color="auto" w:fill="auto"/>
            <w:vAlign w:val="center"/>
          </w:tcPr>
          <w:p w14:paraId="7ED0BF5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678ED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政务外网专线链路</w:t>
            </w:r>
          </w:p>
        </w:tc>
        <w:tc>
          <w:tcPr>
            <w:tcW w:w="663" w:type="dxa"/>
            <w:shd w:val="clear" w:color="auto" w:fill="auto"/>
            <w:vAlign w:val="center"/>
          </w:tcPr>
          <w:p w14:paraId="49761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1C1BDC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02051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highlight w:val="red"/>
                <w:u w:val="none"/>
                <w:lang w:val="en-US" w:eastAsia="zh-CN" w:bidi="ar"/>
              </w:rPr>
              <w:t>从云平台至数字监督指挥中心专线链路，带宽100M，包括供货期间和3年服务期</w:t>
            </w:r>
          </w:p>
        </w:tc>
      </w:tr>
      <w:tr w14:paraId="4AAE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287848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40" w:type="dxa"/>
            <w:vMerge w:val="continue"/>
            <w:shd w:val="clear" w:color="auto" w:fill="auto"/>
            <w:vAlign w:val="center"/>
          </w:tcPr>
          <w:p w14:paraId="4A95672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62FF4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互联网弹性IP</w:t>
            </w:r>
          </w:p>
        </w:tc>
        <w:tc>
          <w:tcPr>
            <w:tcW w:w="663" w:type="dxa"/>
            <w:shd w:val="clear" w:color="auto" w:fill="auto"/>
            <w:vAlign w:val="center"/>
          </w:tcPr>
          <w:p w14:paraId="59A06A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19FA6A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AD3F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静态互联网 IP一个，包括3年服务</w:t>
            </w:r>
          </w:p>
        </w:tc>
      </w:tr>
      <w:tr w14:paraId="0217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17F6E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14:paraId="049A40E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安全服务</w:t>
            </w:r>
          </w:p>
        </w:tc>
        <w:tc>
          <w:tcPr>
            <w:tcW w:w="3203" w:type="dxa"/>
            <w:shd w:val="clear" w:color="auto" w:fill="auto"/>
            <w:vAlign w:val="center"/>
          </w:tcPr>
          <w:p w14:paraId="0F9A65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Web应用防火墙</w:t>
            </w:r>
          </w:p>
        </w:tc>
        <w:tc>
          <w:tcPr>
            <w:tcW w:w="663" w:type="dxa"/>
            <w:shd w:val="clear" w:color="auto" w:fill="auto"/>
            <w:vAlign w:val="center"/>
          </w:tcPr>
          <w:p w14:paraId="02A74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57132D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4F9B5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云WAF-Web应用防火墙W1标准型,包括供货期间和3年服务期</w:t>
            </w:r>
          </w:p>
        </w:tc>
      </w:tr>
      <w:tr w14:paraId="6C79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69" w:type="dxa"/>
            <w:shd w:val="clear" w:color="auto" w:fill="auto"/>
            <w:vAlign w:val="center"/>
          </w:tcPr>
          <w:p w14:paraId="7240C4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14:paraId="117F91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92C28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主机安全</w:t>
            </w:r>
          </w:p>
        </w:tc>
        <w:tc>
          <w:tcPr>
            <w:tcW w:w="663" w:type="dxa"/>
            <w:shd w:val="clear" w:color="auto" w:fill="auto"/>
            <w:vAlign w:val="center"/>
          </w:tcPr>
          <w:p w14:paraId="2F089B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7557C1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5000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主机安全服务（资产管理、漏洞管理、基线检查、入侵检测）,包括3年服务</w:t>
            </w:r>
          </w:p>
        </w:tc>
      </w:tr>
      <w:tr w14:paraId="19F8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74F2F6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14:paraId="4DA5789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022B23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数据库安全</w:t>
            </w:r>
          </w:p>
        </w:tc>
        <w:tc>
          <w:tcPr>
            <w:tcW w:w="663" w:type="dxa"/>
            <w:shd w:val="clear" w:color="auto" w:fill="auto"/>
            <w:vAlign w:val="center"/>
          </w:tcPr>
          <w:p w14:paraId="10F65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FE46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7562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数据库审计服务C1标准版,包括供货期间和3年服务期</w:t>
            </w:r>
          </w:p>
        </w:tc>
      </w:tr>
      <w:tr w14:paraId="6FF9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476817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14:paraId="172994B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78978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堡垒机</w:t>
            </w:r>
          </w:p>
        </w:tc>
        <w:tc>
          <w:tcPr>
            <w:tcW w:w="663" w:type="dxa"/>
            <w:shd w:val="clear" w:color="auto" w:fill="auto"/>
            <w:vAlign w:val="center"/>
          </w:tcPr>
          <w:p w14:paraId="5ACF9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03B4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4C86D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云堡垒机5资产,包括供货期间和3年服务期</w:t>
            </w:r>
          </w:p>
        </w:tc>
      </w:tr>
      <w:tr w14:paraId="3FD6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00E0C2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14:paraId="5305476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5EFB08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安全日志审计</w:t>
            </w:r>
          </w:p>
        </w:tc>
        <w:tc>
          <w:tcPr>
            <w:tcW w:w="663" w:type="dxa"/>
            <w:shd w:val="clear" w:color="auto" w:fill="auto"/>
            <w:vAlign w:val="center"/>
          </w:tcPr>
          <w:p w14:paraId="6DA384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790A34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455ED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安全日志审计,包括供货期间和3年服务期</w:t>
            </w:r>
          </w:p>
        </w:tc>
      </w:tr>
      <w:tr w14:paraId="4244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0" w:hRule="atLeast"/>
        </w:trPr>
        <w:tc>
          <w:tcPr>
            <w:tcW w:w="469" w:type="dxa"/>
            <w:shd w:val="clear" w:color="auto" w:fill="auto"/>
            <w:vAlign w:val="center"/>
          </w:tcPr>
          <w:p w14:paraId="485B0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14:paraId="38EC8E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064F0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密码安全服务</w:t>
            </w:r>
          </w:p>
        </w:tc>
        <w:tc>
          <w:tcPr>
            <w:tcW w:w="663" w:type="dxa"/>
            <w:shd w:val="clear" w:color="auto" w:fill="auto"/>
            <w:vAlign w:val="center"/>
          </w:tcPr>
          <w:p w14:paraId="40FDB1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C9BB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110F9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密码安全服务实例，包含一个通用密码服务实例，客户可根据需求自己进行实例配置，实例种类包含如下10 类(1.协同签名服务 2.动态令牌认证服务 3.签名验签服务 4.数据加解密服务 5.数据库加密服务 6.文件加密服务 7.SSLVPN 服务 8.电子签章服务 9.时间戳服务10.密钥管理服务),包括3年服务</w:t>
            </w:r>
          </w:p>
        </w:tc>
      </w:tr>
      <w:tr w14:paraId="55CC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2A20BD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14:paraId="602882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4CEEA4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二级等保测评费</w:t>
            </w:r>
          </w:p>
        </w:tc>
        <w:tc>
          <w:tcPr>
            <w:tcW w:w="663" w:type="dxa"/>
            <w:shd w:val="clear" w:color="auto" w:fill="auto"/>
            <w:vAlign w:val="center"/>
          </w:tcPr>
          <w:p w14:paraId="13D2E6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7F80DB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23447B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二级等保测评，（3年2次）</w:t>
            </w:r>
          </w:p>
        </w:tc>
      </w:tr>
      <w:tr w14:paraId="2534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7DBE2A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0" w:type="dxa"/>
            <w:vMerge w:val="continue"/>
            <w:shd w:val="clear" w:color="auto" w:fill="auto"/>
            <w:vAlign w:val="center"/>
          </w:tcPr>
          <w:p w14:paraId="715C66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CDC66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密码评测费</w:t>
            </w:r>
          </w:p>
        </w:tc>
        <w:tc>
          <w:tcPr>
            <w:tcW w:w="663" w:type="dxa"/>
            <w:shd w:val="clear" w:color="auto" w:fill="auto"/>
            <w:vAlign w:val="center"/>
          </w:tcPr>
          <w:p w14:paraId="265405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72A15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66DCA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密评测试及配套服务</w:t>
            </w:r>
          </w:p>
        </w:tc>
      </w:tr>
      <w:tr w14:paraId="5935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469" w:type="dxa"/>
            <w:shd w:val="clear" w:color="auto" w:fill="auto"/>
            <w:vAlign w:val="center"/>
          </w:tcPr>
          <w:p w14:paraId="08BB15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0" w:type="dxa"/>
            <w:vMerge w:val="continue"/>
            <w:shd w:val="clear" w:color="auto" w:fill="auto"/>
            <w:vAlign w:val="center"/>
          </w:tcPr>
          <w:p w14:paraId="2F90FA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A49C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软件测评服务、代码审计服务</w:t>
            </w:r>
          </w:p>
        </w:tc>
        <w:tc>
          <w:tcPr>
            <w:tcW w:w="663" w:type="dxa"/>
            <w:shd w:val="clear" w:color="auto" w:fill="auto"/>
            <w:vAlign w:val="center"/>
          </w:tcPr>
          <w:p w14:paraId="341004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26E28B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705D7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定制软件测试服务</w:t>
            </w:r>
          </w:p>
        </w:tc>
      </w:tr>
      <w:tr w14:paraId="3124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469" w:type="dxa"/>
            <w:shd w:val="clear" w:color="auto" w:fill="auto"/>
            <w:vAlign w:val="center"/>
          </w:tcPr>
          <w:p w14:paraId="77BC5B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shd w:val="clear" w:color="auto" w:fill="auto"/>
            <w:vAlign w:val="center"/>
          </w:tcPr>
          <w:p w14:paraId="47859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硬件建设</w:t>
            </w:r>
          </w:p>
        </w:tc>
        <w:tc>
          <w:tcPr>
            <w:tcW w:w="3203" w:type="dxa"/>
            <w:shd w:val="clear" w:color="auto" w:fill="auto"/>
            <w:vAlign w:val="center"/>
          </w:tcPr>
          <w:p w14:paraId="5EBBBD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工作站</w:t>
            </w:r>
          </w:p>
        </w:tc>
        <w:tc>
          <w:tcPr>
            <w:tcW w:w="663" w:type="dxa"/>
            <w:shd w:val="clear" w:color="auto" w:fill="auto"/>
            <w:vAlign w:val="center"/>
          </w:tcPr>
          <w:p w14:paraId="50405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76E61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182" w:type="dxa"/>
            <w:shd w:val="clear" w:color="auto" w:fill="auto"/>
            <w:vAlign w:val="center"/>
          </w:tcPr>
          <w:p w14:paraId="140F6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lang w:eastAsia="zh-CN"/>
              </w:rPr>
            </w:pPr>
            <w:bookmarkStart w:id="842" w:name="_GoBack"/>
            <w:r>
              <w:rPr>
                <w:rFonts w:hint="eastAsia" w:ascii="宋体" w:hAnsi="宋体" w:eastAsia="宋体" w:cs="宋体"/>
                <w:i w:val="0"/>
                <w:iCs w:val="0"/>
                <w:color w:val="000000"/>
                <w:kern w:val="0"/>
                <w:sz w:val="17"/>
                <w:szCs w:val="17"/>
                <w:highlight w:val="yellow"/>
                <w:u w:val="none"/>
                <w:lang w:val="en-US" w:eastAsia="zh-CN" w:bidi="ar"/>
              </w:rPr>
              <w:t>国产品牌台式计算机</w:t>
            </w:r>
            <w:bookmarkEnd w:id="842"/>
            <w:r>
              <w:rPr>
                <w:rFonts w:hint="eastAsia" w:ascii="宋体" w:hAnsi="宋体" w:eastAsia="宋体" w:cs="宋体"/>
                <w:i w:val="0"/>
                <w:iCs w:val="0"/>
                <w:color w:val="000000"/>
                <w:kern w:val="0"/>
                <w:sz w:val="17"/>
                <w:szCs w:val="17"/>
                <w:highlight w:val="yellow"/>
                <w:u w:val="none"/>
                <w:lang w:val="en-US" w:eastAsia="zh-CN" w:bidi="ar"/>
              </w:rPr>
              <w:t>；</w:t>
            </w:r>
            <w:r>
              <w:rPr>
                <w:rFonts w:hint="eastAsia" w:ascii="宋体" w:hAnsi="宋体" w:eastAsia="宋体" w:cs="宋体"/>
                <w:i w:val="0"/>
                <w:iCs w:val="0"/>
                <w:color w:val="000000"/>
                <w:kern w:val="0"/>
                <w:sz w:val="17"/>
                <w:szCs w:val="17"/>
                <w:highlight w:val="red"/>
                <w:u w:val="none"/>
                <w:lang w:val="en-US" w:eastAsia="zh-CN" w:bidi="ar"/>
              </w:rPr>
              <w:t xml:space="preserve"> CPU：国产处理器，8 核；内存：不低于16GB ；硬盘：不低于1TB ；显卡：标配独立显卡；操作系统：支持 UOSV20 桌面操作系统/银河麒麟 V10 桌面操作系统，支持安装双系统；不低于 23.8 寸液晶显示器；配置国产办公软件；配置国产信创操作系统</w:t>
            </w:r>
          </w:p>
        </w:tc>
      </w:tr>
      <w:tr w14:paraId="05CF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trPr>
        <w:tc>
          <w:tcPr>
            <w:tcW w:w="469" w:type="dxa"/>
            <w:shd w:val="clear" w:color="auto" w:fill="auto"/>
            <w:vAlign w:val="center"/>
          </w:tcPr>
          <w:p w14:paraId="1B949C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14:paraId="0E377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运行维护</w:t>
            </w:r>
          </w:p>
        </w:tc>
        <w:tc>
          <w:tcPr>
            <w:tcW w:w="3203" w:type="dxa"/>
            <w:shd w:val="clear" w:color="auto" w:fill="auto"/>
            <w:vAlign w:val="center"/>
          </w:tcPr>
          <w:p w14:paraId="511DD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数字城管大屏维护及指挥中心数通设备、办公自动化设备等维修及更换服务</w:t>
            </w:r>
          </w:p>
        </w:tc>
        <w:tc>
          <w:tcPr>
            <w:tcW w:w="663" w:type="dxa"/>
            <w:shd w:val="clear" w:color="auto" w:fill="auto"/>
            <w:vAlign w:val="center"/>
          </w:tcPr>
          <w:p w14:paraId="22C92B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594FF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789C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指挥中心LED屏、会议设备、工作站等硬件维护</w:t>
            </w:r>
          </w:p>
        </w:tc>
      </w:tr>
      <w:tr w14:paraId="2FFB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shd w:val="clear" w:color="auto" w:fill="auto"/>
            <w:vAlign w:val="center"/>
          </w:tcPr>
          <w:p w14:paraId="5546AB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14:paraId="6BDB97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590EF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垃圾分类宣教馆软件维护</w:t>
            </w:r>
          </w:p>
        </w:tc>
        <w:tc>
          <w:tcPr>
            <w:tcW w:w="663" w:type="dxa"/>
            <w:shd w:val="clear" w:color="auto" w:fill="auto"/>
            <w:vAlign w:val="center"/>
          </w:tcPr>
          <w:p w14:paraId="4460F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286C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17282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垃圾分类宣教馆现有电子展示与交互设备软件内容升级</w:t>
            </w:r>
          </w:p>
        </w:tc>
      </w:tr>
      <w:tr w14:paraId="178A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69" w:type="dxa"/>
            <w:shd w:val="clear" w:color="auto" w:fill="auto"/>
            <w:vAlign w:val="center"/>
          </w:tcPr>
          <w:p w14:paraId="2BB8D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14:paraId="7083F2D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346EC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线路租用费</w:t>
            </w:r>
          </w:p>
        </w:tc>
        <w:tc>
          <w:tcPr>
            <w:tcW w:w="663" w:type="dxa"/>
            <w:shd w:val="clear" w:color="auto" w:fill="auto"/>
            <w:vAlign w:val="center"/>
          </w:tcPr>
          <w:p w14:paraId="368F9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1E319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72DD5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1、数字化城管监督指挥中心互联网传输服务：互联网专线100M；2、22路高清视频监控专线传输服务：专线20M/路；3、服务期3年，从项目初验后开始。</w:t>
            </w:r>
          </w:p>
        </w:tc>
      </w:tr>
      <w:tr w14:paraId="57E0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69" w:type="dxa"/>
            <w:shd w:val="clear" w:color="auto" w:fill="auto"/>
            <w:vAlign w:val="center"/>
          </w:tcPr>
          <w:p w14:paraId="1EC4F0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14:paraId="77278BF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6CA1C9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流量服务费</w:t>
            </w:r>
          </w:p>
        </w:tc>
        <w:tc>
          <w:tcPr>
            <w:tcW w:w="663" w:type="dxa"/>
            <w:shd w:val="clear" w:color="auto" w:fill="auto"/>
            <w:vAlign w:val="center"/>
          </w:tcPr>
          <w:p w14:paraId="47394D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70505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11B7B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1、4G执法仪160台：流量不低于</w:t>
            </w:r>
            <w:r>
              <w:rPr>
                <w:rFonts w:hint="eastAsia" w:ascii="宋体" w:hAnsi="宋体" w:eastAsia="宋体" w:cs="宋体"/>
                <w:i w:val="0"/>
                <w:iCs w:val="0"/>
                <w:color w:val="000000"/>
                <w:kern w:val="0"/>
                <w:sz w:val="17"/>
                <w:szCs w:val="17"/>
                <w:highlight w:val="red"/>
                <w:u w:val="none"/>
                <w:lang w:val="en-US" w:eastAsia="zh-CN" w:bidi="ar"/>
              </w:rPr>
              <w:t>30G/月</w:t>
            </w:r>
            <w:r>
              <w:rPr>
                <w:rFonts w:hint="eastAsia" w:ascii="宋体" w:hAnsi="宋体" w:eastAsia="宋体" w:cs="宋体"/>
                <w:i w:val="0"/>
                <w:iCs w:val="0"/>
                <w:color w:val="000000"/>
                <w:kern w:val="0"/>
                <w:sz w:val="17"/>
                <w:szCs w:val="17"/>
                <w:u w:val="none"/>
                <w:lang w:val="en-US" w:eastAsia="zh-CN" w:bidi="ar"/>
              </w:rPr>
              <w:t>且保证正常运行确保视频不卡顿不断流。2、工作手机361台：流量不低于50G且保证正常运行，国内通话不低于1000分钟，VPN通话不低于2000分钟。3、服务期3年，从项目初验后开始。</w:t>
            </w:r>
          </w:p>
        </w:tc>
      </w:tr>
      <w:tr w14:paraId="2B18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5" w:hRule="atLeast"/>
        </w:trPr>
        <w:tc>
          <w:tcPr>
            <w:tcW w:w="469" w:type="dxa"/>
            <w:shd w:val="clear" w:color="auto" w:fill="auto"/>
            <w:vAlign w:val="center"/>
          </w:tcPr>
          <w:p w14:paraId="203579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14:paraId="4C0C270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5A4B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消纳场、处置场视频服务</w:t>
            </w:r>
          </w:p>
        </w:tc>
        <w:tc>
          <w:tcPr>
            <w:tcW w:w="663" w:type="dxa"/>
            <w:shd w:val="clear" w:color="auto" w:fill="auto"/>
            <w:vAlign w:val="center"/>
          </w:tcPr>
          <w:p w14:paraId="13737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64" w:type="dxa"/>
            <w:shd w:val="clear" w:color="auto" w:fill="auto"/>
            <w:vAlign w:val="center"/>
          </w:tcPr>
          <w:p w14:paraId="19E8DC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6D3EF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1、摄像机：不低于400万像素；内置高效红外补光灯，最大红外监控距离50米；支持DC12V/PoE供电方式，方便工程安装；支持IP67防护等级；视频存储不低于</w:t>
            </w:r>
            <w:r>
              <w:rPr>
                <w:rFonts w:hint="eastAsia" w:ascii="宋体" w:hAnsi="宋体" w:eastAsia="宋体" w:cs="宋体"/>
                <w:i w:val="0"/>
                <w:iCs w:val="0"/>
                <w:color w:val="000000"/>
                <w:kern w:val="0"/>
                <w:sz w:val="17"/>
                <w:szCs w:val="17"/>
                <w:highlight w:val="red"/>
                <w:u w:val="none"/>
                <w:lang w:val="en-US" w:eastAsia="zh-CN" w:bidi="ar"/>
              </w:rPr>
              <w:t>30日历天</w:t>
            </w:r>
            <w:r>
              <w:rPr>
                <w:rFonts w:hint="eastAsia" w:ascii="宋体" w:hAnsi="宋体" w:eastAsia="宋体" w:cs="宋体"/>
                <w:i w:val="0"/>
                <w:iCs w:val="0"/>
                <w:color w:val="000000"/>
                <w:kern w:val="0"/>
                <w:sz w:val="17"/>
                <w:szCs w:val="17"/>
                <w:u w:val="none"/>
                <w:lang w:val="en-US" w:eastAsia="zh-CN" w:bidi="ar"/>
              </w:rPr>
              <w:t>；2、数据服务：年在线率不低于95%；3、服务期3年，从项目初验后开始。</w:t>
            </w:r>
          </w:p>
        </w:tc>
      </w:tr>
      <w:tr w14:paraId="574A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5" w:hRule="atLeast"/>
        </w:trPr>
        <w:tc>
          <w:tcPr>
            <w:tcW w:w="469" w:type="dxa"/>
            <w:shd w:val="clear" w:color="auto" w:fill="auto"/>
            <w:vAlign w:val="center"/>
          </w:tcPr>
          <w:p w14:paraId="42EB8E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14:paraId="289F43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7768E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渣土车道路监测视频服务</w:t>
            </w:r>
          </w:p>
        </w:tc>
        <w:tc>
          <w:tcPr>
            <w:tcW w:w="663" w:type="dxa"/>
            <w:shd w:val="clear" w:color="auto" w:fill="auto"/>
            <w:vAlign w:val="center"/>
          </w:tcPr>
          <w:p w14:paraId="7AF4A8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64" w:type="dxa"/>
            <w:shd w:val="clear" w:color="auto" w:fill="auto"/>
            <w:vAlign w:val="center"/>
          </w:tcPr>
          <w:p w14:paraId="5E9556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43676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1、摄像机：不低于400万像素；内置高效红外补光灯，最大红外监控距离50米；支持DC12V/PoE供电方式，方便工程安装；支持IP67防护等级；视频存储不低于</w:t>
            </w:r>
            <w:r>
              <w:rPr>
                <w:rFonts w:hint="eastAsia" w:ascii="宋体" w:hAnsi="宋体" w:eastAsia="宋体" w:cs="宋体"/>
                <w:i w:val="0"/>
                <w:iCs w:val="0"/>
                <w:color w:val="000000"/>
                <w:kern w:val="0"/>
                <w:sz w:val="17"/>
                <w:szCs w:val="17"/>
                <w:highlight w:val="red"/>
                <w:u w:val="none"/>
                <w:lang w:val="en-US" w:eastAsia="zh-CN" w:bidi="ar"/>
              </w:rPr>
              <w:t>30日历天</w:t>
            </w:r>
            <w:r>
              <w:rPr>
                <w:rFonts w:hint="eastAsia" w:ascii="宋体" w:hAnsi="宋体" w:eastAsia="宋体" w:cs="宋体"/>
                <w:i w:val="0"/>
                <w:iCs w:val="0"/>
                <w:color w:val="000000"/>
                <w:kern w:val="0"/>
                <w:sz w:val="17"/>
                <w:szCs w:val="17"/>
                <w:u w:val="none"/>
                <w:lang w:val="en-US" w:eastAsia="zh-CN" w:bidi="ar"/>
              </w:rPr>
              <w:t>；2、数据服务：年在线率不低于95%；3、服务期3年，从项目初验后开始。</w:t>
            </w:r>
          </w:p>
        </w:tc>
      </w:tr>
      <w:tr w14:paraId="27B6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469" w:type="dxa"/>
            <w:shd w:val="clear" w:color="auto" w:fill="auto"/>
            <w:vAlign w:val="center"/>
          </w:tcPr>
          <w:p w14:paraId="4AA8C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14:paraId="70A08D2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BE54C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环保小屋数据应用服务</w:t>
            </w:r>
          </w:p>
        </w:tc>
        <w:tc>
          <w:tcPr>
            <w:tcW w:w="663" w:type="dxa"/>
            <w:shd w:val="clear" w:color="auto" w:fill="auto"/>
            <w:vAlign w:val="center"/>
          </w:tcPr>
          <w:p w14:paraId="4E96F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64" w:type="dxa"/>
            <w:shd w:val="clear" w:color="auto" w:fill="auto"/>
            <w:vAlign w:val="center"/>
          </w:tcPr>
          <w:p w14:paraId="0F7C8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0F6B2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1、摄像机：不低于200万像素；内置高效红外补光灯，最大红外监控距离50米；支持DC12V/PoE供电方式，方便工程安装；支持IP67防护等级；视频存储不低于</w:t>
            </w:r>
            <w:r>
              <w:rPr>
                <w:rFonts w:hint="eastAsia" w:ascii="宋体" w:hAnsi="宋体" w:eastAsia="宋体" w:cs="宋体"/>
                <w:i w:val="0"/>
                <w:iCs w:val="0"/>
                <w:color w:val="000000"/>
                <w:kern w:val="0"/>
                <w:sz w:val="17"/>
                <w:szCs w:val="17"/>
                <w:highlight w:val="red"/>
                <w:u w:val="none"/>
                <w:lang w:val="en-US" w:eastAsia="zh-CN" w:bidi="ar"/>
              </w:rPr>
              <w:t>30日历天</w:t>
            </w:r>
            <w:r>
              <w:rPr>
                <w:rFonts w:hint="eastAsia" w:ascii="宋体" w:hAnsi="宋体" w:eastAsia="宋体" w:cs="宋体"/>
                <w:i w:val="0"/>
                <w:iCs w:val="0"/>
                <w:color w:val="000000"/>
                <w:kern w:val="0"/>
                <w:sz w:val="17"/>
                <w:szCs w:val="17"/>
                <w:u w:val="none"/>
                <w:lang w:val="en-US" w:eastAsia="zh-CN" w:bidi="ar"/>
              </w:rPr>
              <w:t>；2、路由器：Wi-Fi 6；适用面积：90㎡；LAN口类型：电口；LAN口数量：3个；网口数量：4个；适用频段：2.4GHz+5GHz；3、数据服务：接入环保小屋管理主机、摄像头，年在线率不低于95%；4、服务期3年，从项目初验后开始。</w:t>
            </w:r>
          </w:p>
        </w:tc>
      </w:tr>
      <w:tr w14:paraId="5E70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4" w:hRule="atLeast"/>
        </w:trPr>
        <w:tc>
          <w:tcPr>
            <w:tcW w:w="469" w:type="dxa"/>
            <w:shd w:val="clear" w:color="auto" w:fill="auto"/>
            <w:vAlign w:val="center"/>
          </w:tcPr>
          <w:p w14:paraId="6CF1E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shd w:val="clear" w:color="auto" w:fill="auto"/>
            <w:vAlign w:val="center"/>
          </w:tcPr>
          <w:p w14:paraId="1A2786B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其他费用</w:t>
            </w:r>
          </w:p>
        </w:tc>
        <w:tc>
          <w:tcPr>
            <w:tcW w:w="3203" w:type="dxa"/>
            <w:shd w:val="clear" w:color="auto" w:fill="auto"/>
            <w:vAlign w:val="center"/>
          </w:tcPr>
          <w:p w14:paraId="0A573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red"/>
                <w:u w:val="none"/>
                <w:lang w:val="en-US" w:eastAsia="zh-CN" w:bidi="ar"/>
              </w:rPr>
            </w:pPr>
            <w:r>
              <w:rPr>
                <w:rFonts w:hint="eastAsia" w:ascii="宋体" w:hAnsi="宋体" w:eastAsia="宋体" w:cs="宋体"/>
                <w:i w:val="0"/>
                <w:iCs w:val="0"/>
                <w:color w:val="000000"/>
                <w:kern w:val="0"/>
                <w:sz w:val="18"/>
                <w:szCs w:val="18"/>
                <w:u w:val="none"/>
                <w:lang w:val="en-US" w:eastAsia="zh-CN" w:bidi="ar"/>
              </w:rPr>
              <w:t>不可竞争费</w:t>
            </w:r>
          </w:p>
        </w:tc>
        <w:tc>
          <w:tcPr>
            <w:tcW w:w="663" w:type="dxa"/>
            <w:shd w:val="clear" w:color="auto" w:fill="auto"/>
            <w:vAlign w:val="center"/>
          </w:tcPr>
          <w:p w14:paraId="69D838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78F579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59B46E6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此项为不可竞争80000.00元，投标人报价时不得改变也不得缺项，否则按无效标论处。</w:t>
            </w:r>
          </w:p>
        </w:tc>
      </w:tr>
    </w:tbl>
    <w:p w14:paraId="359F24B1">
      <w:pPr>
        <w:rPr>
          <w:rFonts w:hint="eastAsia"/>
        </w:rPr>
      </w:pPr>
      <w:r>
        <w:rPr>
          <w:rFonts w:hint="eastAsia"/>
        </w:rPr>
        <w:br w:type="page"/>
      </w:r>
    </w:p>
    <w:p w14:paraId="46669A20">
      <w:pPr>
        <w:spacing w:line="276" w:lineRule="auto"/>
        <w:rPr>
          <w:rFonts w:hint="eastAsia" w:ascii="宋体" w:hAnsi="宋体" w:eastAsia="宋体"/>
        </w:rPr>
      </w:pPr>
      <w:r>
        <w:rPr>
          <w:rFonts w:hint="eastAsia" w:ascii="宋体" w:hAnsi="宋体" w:eastAsia="宋体"/>
        </w:rPr>
        <w:t>平台建设附表：</w:t>
      </w:r>
      <w:r>
        <w:rPr>
          <w:rFonts w:hint="eastAsia" w:ascii="宋体" w:hAnsi="宋体" w:eastAsia="宋体" w:cs="宋体"/>
          <w:i w:val="0"/>
          <w:iCs w:val="0"/>
          <w:color w:val="000000"/>
          <w:kern w:val="0"/>
          <w:sz w:val="21"/>
          <w:szCs w:val="21"/>
          <w:u w:val="none"/>
          <w:lang w:val="en-US" w:eastAsia="zh-CN" w:bidi="ar"/>
        </w:rPr>
        <w:t>软件开发</w:t>
      </w:r>
      <w:r>
        <w:rPr>
          <w:rFonts w:hint="eastAsia" w:ascii="宋体" w:hAnsi="宋体" w:eastAsia="宋体"/>
        </w:rPr>
        <w:t>明细</w:t>
      </w:r>
    </w:p>
    <w:tbl>
      <w:tblPr>
        <w:tblStyle w:val="90"/>
        <w:tblW w:w="46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4288"/>
        <w:gridCol w:w="7796"/>
      </w:tblGrid>
      <w:tr w14:paraId="55A6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6" w:type="pct"/>
            <w:vAlign w:val="center"/>
          </w:tcPr>
          <w:p w14:paraId="16FDDB4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1619" w:type="pct"/>
            <w:vAlign w:val="center"/>
          </w:tcPr>
          <w:p w14:paraId="2172666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一级菜单</w:t>
            </w:r>
          </w:p>
        </w:tc>
        <w:tc>
          <w:tcPr>
            <w:tcW w:w="2943" w:type="pct"/>
            <w:vAlign w:val="center"/>
          </w:tcPr>
          <w:p w14:paraId="15829CD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二级菜单</w:t>
            </w:r>
          </w:p>
        </w:tc>
      </w:tr>
      <w:tr w14:paraId="54E9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4AAD5C1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1619" w:type="pct"/>
            <w:vMerge w:val="restart"/>
            <w:vAlign w:val="center"/>
          </w:tcPr>
          <w:p w14:paraId="2AECC9F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综合性城市管理数据库</w:t>
            </w:r>
          </w:p>
        </w:tc>
        <w:tc>
          <w:tcPr>
            <w:tcW w:w="2943" w:type="pct"/>
            <w:vAlign w:val="center"/>
          </w:tcPr>
          <w:p w14:paraId="2A02043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城市基础数据</w:t>
            </w:r>
          </w:p>
        </w:tc>
      </w:tr>
      <w:tr w14:paraId="5347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3A5482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1619" w:type="pct"/>
            <w:vMerge w:val="continue"/>
            <w:vAlign w:val="center"/>
          </w:tcPr>
          <w:p w14:paraId="56568FC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202BF29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运行数据</w:t>
            </w:r>
          </w:p>
        </w:tc>
      </w:tr>
      <w:tr w14:paraId="3561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D4E4CF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w:t>
            </w:r>
          </w:p>
        </w:tc>
        <w:tc>
          <w:tcPr>
            <w:tcW w:w="1619" w:type="pct"/>
            <w:vMerge w:val="continue"/>
            <w:vAlign w:val="center"/>
          </w:tcPr>
          <w:p w14:paraId="64E5AA4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33408D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管理数据</w:t>
            </w:r>
          </w:p>
        </w:tc>
      </w:tr>
      <w:tr w14:paraId="1244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695068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493FF24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5DAF16F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服务数据</w:t>
            </w:r>
          </w:p>
        </w:tc>
      </w:tr>
      <w:tr w14:paraId="6728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44C842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1619" w:type="pct"/>
            <w:vMerge w:val="continue"/>
            <w:vAlign w:val="center"/>
          </w:tcPr>
          <w:p w14:paraId="3B6321F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011B67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综合评价数据</w:t>
            </w:r>
          </w:p>
        </w:tc>
      </w:tr>
      <w:tr w14:paraId="72E0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579D1C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Align w:val="center"/>
          </w:tcPr>
          <w:p w14:paraId="1D2B442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业务指导系统</w:t>
            </w:r>
          </w:p>
        </w:tc>
        <w:tc>
          <w:tcPr>
            <w:tcW w:w="2943" w:type="pct"/>
            <w:vAlign w:val="center"/>
          </w:tcPr>
          <w:p w14:paraId="55318FA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r>
      <w:tr w14:paraId="2B09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0DAA4B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1619" w:type="pct"/>
            <w:vMerge w:val="restart"/>
            <w:vAlign w:val="center"/>
          </w:tcPr>
          <w:p w14:paraId="149A909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指挥协调系统</w:t>
            </w:r>
          </w:p>
        </w:tc>
        <w:tc>
          <w:tcPr>
            <w:tcW w:w="2943" w:type="pct"/>
            <w:vAlign w:val="center"/>
          </w:tcPr>
          <w:p w14:paraId="75A426A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监管数据无线采集子系统</w:t>
            </w:r>
          </w:p>
        </w:tc>
      </w:tr>
      <w:tr w14:paraId="3394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9BEFB6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7EAC061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FEC9D8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监督指挥受理子系统</w:t>
            </w:r>
          </w:p>
        </w:tc>
      </w:tr>
      <w:tr w14:paraId="06C4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05B01D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481F45E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0C3E98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协同工作子系统</w:t>
            </w:r>
          </w:p>
        </w:tc>
      </w:tr>
      <w:tr w14:paraId="2CEA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4CA0F5C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2EF6117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5000520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监督指挥子系统</w:t>
            </w:r>
          </w:p>
        </w:tc>
      </w:tr>
      <w:tr w14:paraId="0983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F2AC7A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14:paraId="5F70FAA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BB1FAF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综合评价子系统</w:t>
            </w:r>
          </w:p>
        </w:tc>
      </w:tr>
      <w:tr w14:paraId="4D36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EB3A0C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14:paraId="64597FE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936572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地理编码子系统</w:t>
            </w:r>
          </w:p>
        </w:tc>
      </w:tr>
      <w:tr w14:paraId="13FB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BBEA5B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14:paraId="29AEC82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3C613D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应用维护子系统</w:t>
            </w:r>
          </w:p>
        </w:tc>
      </w:tr>
      <w:tr w14:paraId="7A4B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3CF387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rPr>
              <w:t>　</w:t>
            </w:r>
          </w:p>
        </w:tc>
        <w:tc>
          <w:tcPr>
            <w:tcW w:w="1619" w:type="pct"/>
            <w:vMerge w:val="continue"/>
            <w:vAlign w:val="center"/>
          </w:tcPr>
          <w:p w14:paraId="117393D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657E73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基础数据资源管理子系统</w:t>
            </w:r>
          </w:p>
        </w:tc>
      </w:tr>
      <w:tr w14:paraId="705E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D5F344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w:t>
            </w:r>
          </w:p>
        </w:tc>
        <w:tc>
          <w:tcPr>
            <w:tcW w:w="1619" w:type="pct"/>
            <w:vMerge w:val="continue"/>
            <w:vAlign w:val="center"/>
          </w:tcPr>
          <w:p w14:paraId="7C36203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9D6F0A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业务短信子系统</w:t>
            </w:r>
          </w:p>
        </w:tc>
      </w:tr>
      <w:tr w14:paraId="3092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19D09C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w:t>
            </w:r>
            <w:r>
              <w:rPr>
                <w:rFonts w:hint="eastAsia" w:ascii="宋体" w:hAnsi="宋体" w:eastAsia="宋体" w:cs="宋体"/>
                <w:color w:val="000000"/>
                <w:kern w:val="0"/>
                <w:sz w:val="24"/>
                <w:szCs w:val="24"/>
              </w:rPr>
              <w:t>　</w:t>
            </w:r>
          </w:p>
        </w:tc>
        <w:tc>
          <w:tcPr>
            <w:tcW w:w="1619" w:type="pct"/>
            <w:vMerge w:val="continue"/>
            <w:vAlign w:val="center"/>
          </w:tcPr>
          <w:p w14:paraId="2CB9602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992DE6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视频上报子系统</w:t>
            </w:r>
          </w:p>
        </w:tc>
      </w:tr>
      <w:tr w14:paraId="2440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4E36BDC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11</w:t>
            </w:r>
          </w:p>
        </w:tc>
        <w:tc>
          <w:tcPr>
            <w:tcW w:w="1619" w:type="pct"/>
            <w:vMerge w:val="continue"/>
            <w:vAlign w:val="center"/>
          </w:tcPr>
          <w:p w14:paraId="4372349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FBA82E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专项普查子系统</w:t>
            </w:r>
          </w:p>
        </w:tc>
      </w:tr>
      <w:tr w14:paraId="5994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D2230C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34074EA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行业应用系统</w:t>
            </w:r>
          </w:p>
        </w:tc>
        <w:tc>
          <w:tcPr>
            <w:tcW w:w="2943" w:type="pct"/>
            <w:vAlign w:val="center"/>
          </w:tcPr>
          <w:p w14:paraId="0CF6F05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垃圾分类管理系统</w:t>
            </w:r>
          </w:p>
        </w:tc>
      </w:tr>
      <w:tr w14:paraId="4413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6108F9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78F430E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2285924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建筑垃圾（渣土）全链条监管系统</w:t>
            </w:r>
          </w:p>
        </w:tc>
      </w:tr>
      <w:tr w14:paraId="6CF3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AA1E51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1BD1DDF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7CDDBA1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综合执法信息管理系统</w:t>
            </w:r>
          </w:p>
        </w:tc>
      </w:tr>
      <w:tr w14:paraId="0085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17B9C5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0667A5E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75DB238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环卫作业管理系统</w:t>
            </w:r>
          </w:p>
        </w:tc>
      </w:tr>
      <w:tr w14:paraId="2F38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68B468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14:paraId="33ED222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29EF84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餐厨垃圾处理管理系统</w:t>
            </w:r>
          </w:p>
        </w:tc>
      </w:tr>
      <w:tr w14:paraId="50FF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E8A711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14:paraId="564B3B4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3A503E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终端处置设施监管系统</w:t>
            </w:r>
          </w:p>
        </w:tc>
      </w:tr>
      <w:tr w14:paraId="7096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48A1674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14:paraId="5DE1763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1F2667F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广告店招信息管理系统</w:t>
            </w:r>
          </w:p>
        </w:tc>
      </w:tr>
      <w:tr w14:paraId="000A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E3813C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rPr>
              <w:t>　</w:t>
            </w:r>
          </w:p>
        </w:tc>
        <w:tc>
          <w:tcPr>
            <w:tcW w:w="1619" w:type="pct"/>
            <w:vMerge w:val="continue"/>
            <w:vAlign w:val="center"/>
          </w:tcPr>
          <w:p w14:paraId="32D28D8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22D0A58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智能识别分析系统</w:t>
            </w:r>
          </w:p>
        </w:tc>
      </w:tr>
      <w:tr w14:paraId="0481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5320AE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w:t>
            </w:r>
          </w:p>
        </w:tc>
        <w:tc>
          <w:tcPr>
            <w:tcW w:w="1619" w:type="pct"/>
            <w:vMerge w:val="continue"/>
            <w:vAlign w:val="center"/>
          </w:tcPr>
          <w:p w14:paraId="0FE7DF4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EB9679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局内办公应用系统</w:t>
            </w:r>
          </w:p>
        </w:tc>
      </w:tr>
      <w:tr w14:paraId="766E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4BAF6C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Align w:val="center"/>
          </w:tcPr>
          <w:p w14:paraId="561791F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公众服务系统</w:t>
            </w:r>
          </w:p>
        </w:tc>
        <w:tc>
          <w:tcPr>
            <w:tcW w:w="2943" w:type="pct"/>
            <w:vAlign w:val="center"/>
          </w:tcPr>
          <w:p w14:paraId="4F43FE9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公众服务号</w:t>
            </w:r>
          </w:p>
        </w:tc>
      </w:tr>
      <w:tr w14:paraId="2C27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A02610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34EF71B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综合评价系统</w:t>
            </w:r>
          </w:p>
        </w:tc>
        <w:tc>
          <w:tcPr>
            <w:tcW w:w="2943" w:type="pct"/>
            <w:vAlign w:val="center"/>
          </w:tcPr>
          <w:p w14:paraId="67395CF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考核指标管理</w:t>
            </w:r>
          </w:p>
        </w:tc>
      </w:tr>
      <w:tr w14:paraId="1808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3CA2EE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77496A2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160B71E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评价配置管理</w:t>
            </w:r>
          </w:p>
        </w:tc>
      </w:tr>
      <w:tr w14:paraId="0EF8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70E2B6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201E414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5A8F071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评价指标填报</w:t>
            </w:r>
          </w:p>
        </w:tc>
      </w:tr>
      <w:tr w14:paraId="7EA4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A0908F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4A372CA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911147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评价任务管理</w:t>
            </w:r>
          </w:p>
        </w:tc>
      </w:tr>
      <w:tr w14:paraId="1075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042053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14:paraId="76195DB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1C6A35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评价方法</w:t>
            </w:r>
          </w:p>
        </w:tc>
      </w:tr>
      <w:tr w14:paraId="2FED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9179B8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14:paraId="2828223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5F5E49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评价数据审核</w:t>
            </w:r>
          </w:p>
        </w:tc>
      </w:tr>
      <w:tr w14:paraId="46A8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4E5516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14:paraId="2605AE3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288A952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评价结果生成</w:t>
            </w:r>
          </w:p>
        </w:tc>
      </w:tr>
      <w:tr w14:paraId="1A2F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4E0AD9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055AB72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决策建议系统</w:t>
            </w:r>
          </w:p>
        </w:tc>
        <w:tc>
          <w:tcPr>
            <w:tcW w:w="2943" w:type="pct"/>
            <w:vAlign w:val="center"/>
          </w:tcPr>
          <w:p w14:paraId="686DFD0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运行体征态势感知</w:t>
            </w:r>
          </w:p>
        </w:tc>
      </w:tr>
      <w:tr w14:paraId="20D0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F94F72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11E0F96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B7C451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智慧环卫分析研判</w:t>
            </w:r>
          </w:p>
        </w:tc>
      </w:tr>
      <w:tr w14:paraId="3659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03A8E9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166D705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7E16DA2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垃圾分类分析研判</w:t>
            </w:r>
          </w:p>
        </w:tc>
      </w:tr>
      <w:tr w14:paraId="1C89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428013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2574AC2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34D7A8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餐厨垃圾监管分析研判</w:t>
            </w:r>
          </w:p>
        </w:tc>
      </w:tr>
      <w:tr w14:paraId="567F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8E9C04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14:paraId="49D1BC2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180B382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垃圾终端处置分析研判</w:t>
            </w:r>
          </w:p>
        </w:tc>
      </w:tr>
      <w:tr w14:paraId="130E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8A71F8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14:paraId="2761CCF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2240491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综合执法调度指挥专题</w:t>
            </w:r>
          </w:p>
        </w:tc>
      </w:tr>
      <w:tr w14:paraId="1B20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2DB0FB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14:paraId="4C3149B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10FA56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市政公用分析研判</w:t>
            </w:r>
          </w:p>
        </w:tc>
      </w:tr>
      <w:tr w14:paraId="65DB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475EB5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rPr>
              <w:t>　</w:t>
            </w:r>
          </w:p>
        </w:tc>
        <w:tc>
          <w:tcPr>
            <w:tcW w:w="1619" w:type="pct"/>
            <w:vMerge w:val="continue"/>
            <w:vAlign w:val="center"/>
          </w:tcPr>
          <w:p w14:paraId="56B45FB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4B81B3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园林绿化分析研判</w:t>
            </w:r>
          </w:p>
        </w:tc>
      </w:tr>
      <w:tr w14:paraId="1244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205104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w:t>
            </w:r>
          </w:p>
        </w:tc>
        <w:tc>
          <w:tcPr>
            <w:tcW w:w="1619" w:type="pct"/>
            <w:vMerge w:val="continue"/>
            <w:vAlign w:val="center"/>
          </w:tcPr>
          <w:p w14:paraId="41E0DDC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52C172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亮化广告专题</w:t>
            </w:r>
          </w:p>
        </w:tc>
      </w:tr>
      <w:tr w14:paraId="7305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72BD9B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365FD06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数据交换系统</w:t>
            </w:r>
          </w:p>
        </w:tc>
        <w:tc>
          <w:tcPr>
            <w:tcW w:w="2943" w:type="pct"/>
            <w:vAlign w:val="center"/>
          </w:tcPr>
          <w:p w14:paraId="067566A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接口服务发布</w:t>
            </w:r>
          </w:p>
        </w:tc>
      </w:tr>
      <w:tr w14:paraId="16D7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ADFD0F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3E4A7DE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5B6CBE3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接口服务订阅</w:t>
            </w:r>
          </w:p>
        </w:tc>
      </w:tr>
      <w:tr w14:paraId="2CC8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82CD75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6D5D7BF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1EF88E9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接口状态监控</w:t>
            </w:r>
          </w:p>
        </w:tc>
      </w:tr>
      <w:tr w14:paraId="5EB3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4500E2F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0B704FF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4605B4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数据交换接口</w:t>
            </w:r>
          </w:p>
        </w:tc>
      </w:tr>
      <w:tr w14:paraId="7983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163AB4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3C722D8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数据汇聚系统</w:t>
            </w:r>
          </w:p>
        </w:tc>
        <w:tc>
          <w:tcPr>
            <w:tcW w:w="2943" w:type="pct"/>
            <w:vAlign w:val="center"/>
          </w:tcPr>
          <w:p w14:paraId="2811241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数据获取</w:t>
            </w:r>
          </w:p>
        </w:tc>
      </w:tr>
      <w:tr w14:paraId="6CB6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2F503D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6B6F112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0F9A76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数据清洗</w:t>
            </w:r>
          </w:p>
        </w:tc>
      </w:tr>
      <w:tr w14:paraId="23F1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1DFA74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29B20CA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406CF3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数据融合</w:t>
            </w:r>
          </w:p>
        </w:tc>
      </w:tr>
      <w:tr w14:paraId="534F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8EB3D3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5B5618C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1D3E1D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数据编目</w:t>
            </w:r>
          </w:p>
        </w:tc>
      </w:tr>
      <w:tr w14:paraId="7B92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F1D469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349298D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应用维护系统</w:t>
            </w:r>
          </w:p>
        </w:tc>
        <w:tc>
          <w:tcPr>
            <w:tcW w:w="2943" w:type="pct"/>
            <w:vAlign w:val="center"/>
          </w:tcPr>
          <w:p w14:paraId="6A4E06E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应用监控</w:t>
            </w:r>
          </w:p>
        </w:tc>
      </w:tr>
      <w:tr w14:paraId="78AE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4044B08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15CC7B3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CB8251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接口监控</w:t>
            </w:r>
          </w:p>
        </w:tc>
      </w:tr>
      <w:tr w14:paraId="70B5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495B47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10264C5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152B5C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报警信息</w:t>
            </w:r>
          </w:p>
        </w:tc>
      </w:tr>
    </w:tbl>
    <w:p w14:paraId="6B37CFE6">
      <w:pPr>
        <w:spacing w:line="276" w:lineRule="auto"/>
        <w:rPr>
          <w:rFonts w:hint="eastAsia" w:ascii="宋体" w:hAnsi="宋体" w:eastAsia="宋体" w:cs="仿宋"/>
          <w:sz w:val="24"/>
          <w:szCs w:val="24"/>
          <w:lang w:bidi="ar"/>
        </w:rPr>
      </w:pPr>
    </w:p>
    <w:sectPr>
      <w:headerReference r:id="rId4" w:type="default"/>
      <w:footerReference r:id="rId5" w:type="default"/>
      <w:pgSz w:w="16838" w:h="11906" w:orient="landscape"/>
      <w:pgMar w:top="1797" w:right="1440" w:bottom="1797" w:left="1440" w:header="851" w:footer="992" w:gutter="0"/>
      <w:pgNumType w:fmt="decimal"/>
      <w:cols w:space="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7F2A15-F70C-4236-AF1E-01ABAB39A97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0DB8463E-23E4-484E-8167-C6ED431E4E4E}"/>
  </w:font>
  <w:font w:name="Calibri">
    <w:panose1 w:val="020F0502020204030204"/>
    <w:charset w:val="00"/>
    <w:family w:val="swiss"/>
    <w:pitch w:val="default"/>
    <w:sig w:usb0="E4002EFF" w:usb1="C200247B" w:usb2="00000009" w:usb3="00000000" w:csb0="200001FF" w:csb1="00000000"/>
    <w:embedRegular r:id="rId3" w:fontKey="{8DAC0322-2265-4F70-B346-CD9284235342}"/>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7788F06D-9EE4-4FE6-820F-C0391280D37A}"/>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5" w:fontKey="{51AF9AA7-8087-43B0-8EB5-71692F9C37F9}"/>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6" w:fontKey="{9EFE8FE1-B986-434C-90B0-4F83FB4E2B15}"/>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FuturaA Bk BT">
    <w:altName w:val="Segoe Print"/>
    <w:panose1 w:val="00000000000000000000"/>
    <w:charset w:val="00"/>
    <w:family w:val="modern"/>
    <w:pitch w:val="default"/>
    <w:sig w:usb0="00000000" w:usb1="00000000" w:usb2="00000008" w:usb3="00000000" w:csb0="000001FF"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细黑">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Palatino Linotype">
    <w:panose1 w:val="02040502050505030304"/>
    <w:charset w:val="00"/>
    <w:family w:val="roman"/>
    <w:pitch w:val="default"/>
    <w:sig w:usb0="E0000287" w:usb1="40000013" w:usb2="00000000" w:usb3="00000000" w:csb0="2000019F" w:csb1="00000000"/>
  </w:font>
  <w:font w:name="SimSun-ExtB">
    <w:panose1 w:val="02010609060101010101"/>
    <w:charset w:val="86"/>
    <w:family w:val="modern"/>
    <w:pitch w:val="default"/>
    <w:sig w:usb0="00000001" w:usb1="02000000" w:usb2="00000000" w:usb3="00000000" w:csb0="00040001" w:csb1="00000000"/>
  </w:font>
  <w:font w:name="Myriad Pro">
    <w:altName w:val="DejaVu Math TeX Gyre"/>
    <w:panose1 w:val="020B0503030403020204"/>
    <w:charset w:val="00"/>
    <w:family w:val="swiss"/>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ˎ̥">
    <w:altName w:val="Segoe Print"/>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ngsana New">
    <w:altName w:val="Tahoma"/>
    <w:panose1 w:val="02020603050405020304"/>
    <w:charset w:val="DE"/>
    <w:family w:val="roman"/>
    <w:pitch w:val="default"/>
    <w:sig w:usb0="00000000" w:usb1="00000000" w:usb2="00000000" w:usb3="00000000" w:csb0="00010001" w:csb1="00000000"/>
  </w:font>
  <w:font w:name="Arial Narrow">
    <w:panose1 w:val="020B0606020202030204"/>
    <w:charset w:val="00"/>
    <w:family w:val="swiss"/>
    <w:pitch w:val="default"/>
    <w:sig w:usb0="00000287" w:usb1="00000800" w:usb2="00000000" w:usb3="00000000" w:csb0="2000009F" w:csb1="DFD70000"/>
  </w:font>
  <w:font w:name="MS PMincho">
    <w:altName w:val="Yu Gothic"/>
    <w:panose1 w:val="00000000000000000000"/>
    <w:charset w:val="80"/>
    <w:family w:val="roman"/>
    <w:pitch w:val="default"/>
    <w:sig w:usb0="00000000" w:usb1="00000000" w:usb2="08000012" w:usb3="00000000" w:csb0="0002009F" w:csb1="00000000"/>
  </w:font>
  <w:font w:name="Yu Gothic">
    <w:panose1 w:val="020B0400000000000000"/>
    <w:charset w:val="80"/>
    <w:family w:val="auto"/>
    <w:pitch w:val="default"/>
    <w:sig w:usb0="E00002FF" w:usb1="2AC7FDFF" w:usb2="00000016" w:usb3="00000000" w:csb0="2002009F" w:csb1="00000000"/>
  </w:font>
  <w:font w:name="HTJ-PK74820000008-Identity-H">
    <w:altName w:val="Segoe Print"/>
    <w:panose1 w:val="00000000000000000000"/>
    <w:charset w:val="00"/>
    <w:family w:val="roman"/>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7" w:fontKey="{34FE0D4B-C4ED-488B-B889-4422B604187B}"/>
  </w:font>
  <w:font w:name="隶书">
    <w:panose1 w:val="02010509060101010101"/>
    <w:charset w:val="86"/>
    <w:family w:val="modern"/>
    <w:pitch w:val="default"/>
    <w:sig w:usb0="00000001" w:usb1="080E0000" w:usb2="00000000" w:usb3="00000000" w:csb0="00040000" w:csb1="00000000"/>
  </w:font>
  <w:font w:name="汉仪中等线KW">
    <w:altName w:val="宋体"/>
    <w:panose1 w:val="01010104010101010101"/>
    <w:charset w:val="86"/>
    <w:family w:val="auto"/>
    <w:pitch w:val="default"/>
    <w:sig w:usb0="00000000" w:usb1="00000000" w:usb2="00000000" w:usb3="00000000" w:csb0="00040001" w:csb1="00000000"/>
  </w:font>
  <w:font w:name="儷宋 Pro">
    <w:altName w:val="宋体"/>
    <w:panose1 w:val="02020300000000000000"/>
    <w:charset w:val="88"/>
    <w:family w:val="auto"/>
    <w:pitch w:val="default"/>
    <w:sig w:usb0="00000000" w:usb1="00000000" w:usb2="00000016" w:usb3="00000000" w:csb0="00100000" w:csb1="00000000"/>
  </w:font>
  <w:font w:name="LineDraw">
    <w:altName w:val="Segoe Print"/>
    <w:panose1 w:val="00000000000000000000"/>
    <w:charset w:val="00"/>
    <w:family w:val="auto"/>
    <w:pitch w:val="default"/>
    <w:sig w:usb0="00000000" w:usb1="00000000" w:usb2="00000000" w:usb3="00000000" w:csb0="00000001" w:csb1="00000000"/>
  </w:font>
  <w:font w:name="ST Song">
    <w:altName w:val="宋体"/>
    <w:panose1 w:val="00000000000000000000"/>
    <w:charset w:val="86"/>
    <w:family w:val="swiss"/>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Microsoft Sans Serif">
    <w:panose1 w:val="020B0604020202020204"/>
    <w:charset w:val="00"/>
    <w:family w:val="swiss"/>
    <w:pitch w:val="default"/>
    <w:sig w:usb0="E5002EFF" w:usb1="C000605B" w:usb2="00000029" w:usb3="00000000" w:csb0="200101FF" w:csb1="20280000"/>
  </w:font>
  <w:font w:name="TimesNewRomanPSMT">
    <w:altName w:val="Times New Roman"/>
    <w:panose1 w:val="02020503050405090304"/>
    <w:charset w:val="00"/>
    <w:family w:val="roman"/>
    <w:pitch w:val="default"/>
    <w:sig w:usb0="00000000" w:usb1="00000000" w:usb2="00000001" w:usb3="00000000" w:csb0="400001BF" w:csb1="DFF70000"/>
  </w:font>
  <w:font w:name="华文宋体">
    <w:panose1 w:val="02010600040101010101"/>
    <w:charset w:val="86"/>
    <w:family w:val="auto"/>
    <w:pitch w:val="default"/>
    <w:sig w:usb0="00000287" w:usb1="080F0000" w:usb2="00000000" w:usb3="00000000" w:csb0="0004009F" w:csb1="DFD70000"/>
  </w:font>
  <w:font w:name="微软简行楷">
    <w:altName w:val="宋体"/>
    <w:panose1 w:val="00000000000000000000"/>
    <w:charset w:val="00"/>
    <w:family w:val="auto"/>
    <w:pitch w:val="default"/>
    <w:sig w:usb0="00000000" w:usb1="00000000" w:usb2="00000000" w:usb3="00000000" w:csb0="00000000" w:csb1="00000000"/>
  </w:font>
  <w:font w:name="??">
    <w:altName w:val="Segoe Print"/>
    <w:panose1 w:val="00000000000000000000"/>
    <w:charset w:val="00"/>
    <w:family w:val="roman"/>
    <w:pitch w:val="default"/>
    <w:sig w:usb0="00000000" w:usb1="00000000" w:usb2="00000000" w:usb3="00000000" w:csb0="00000001" w:csb1="00000000"/>
  </w:font>
  <w:font w:name="Syntax">
    <w:altName w:val="Segoe Print"/>
    <w:panose1 w:val="00000000000000000000"/>
    <w:charset w:val="00"/>
    <w:family w:val="swiss"/>
    <w:pitch w:val="default"/>
    <w:sig w:usb0="00000000" w:usb1="00000000" w:usb2="00000000" w:usb3="00000000" w:csb0="00000001" w:csb1="00000000"/>
  </w:font>
  <w:font w:name=".PingFang SC">
    <w:altName w:val="宋体"/>
    <w:panose1 w:val="02020503050405090304"/>
    <w:charset w:val="86"/>
    <w:family w:val="swiss"/>
    <w:pitch w:val="default"/>
    <w:sig w:usb0="00000000" w:usb1="00000000" w:usb2="00000001" w:usb3="00000000" w:csb0="400001BF" w:csb1="DFF70000"/>
  </w:font>
  <w:font w:name="Times New Roman Regular">
    <w:altName w:val="Times New Roman"/>
    <w:panose1 w:val="02020503050405090304"/>
    <w:charset w:val="00"/>
    <w:family w:val="auto"/>
    <w:pitch w:val="default"/>
    <w:sig w:usb0="00000000" w:usb1="00000000" w:usb2="00000001" w:usb3="00000000" w:csb0="400001BF" w:csb1="DFF70000"/>
    <w:embedRegular r:id="rId8" w:fontKey="{2415FB3F-A9F3-4792-9D5C-B0EE357EFE53}"/>
  </w:font>
  <w:font w:name="方正黑体_GBK">
    <w:altName w:val="微软雅黑"/>
    <w:panose1 w:val="03000509000000000000"/>
    <w:charset w:val="86"/>
    <w:family w:val="auto"/>
    <w:pitch w:val="default"/>
    <w:sig w:usb0="00000000" w:usb1="00000000" w:usb2="00000000" w:usb3="00000000" w:csb0="00040000" w:csb1="00000000"/>
    <w:embedRegular r:id="rId9" w:fontKey="{0BEB80BC-483E-4656-B057-7DC6F0818725}"/>
  </w:font>
  <w:font w:name="___WRD_EMBED_SUB_46">
    <w:altName w:val="宋体"/>
    <w:panose1 w:val="00000000000000000000"/>
    <w:charset w:val="86"/>
    <w:family w:val="script"/>
    <w:pitch w:val="default"/>
    <w:sig w:usb0="00000000" w:usb1="00000000" w:usb2="00000006" w:usb3="00000000" w:csb0="00040001" w:csb1="00000000"/>
    <w:embedRegular r:id="rId10" w:fontKey="{FEA066AA-C4FF-4821-A852-D02BC84B58DE}"/>
  </w:font>
  <w:font w:name="Times New Roman Bold">
    <w:altName w:val="Times New Roman"/>
    <w:panose1 w:val="02020503050405090304"/>
    <w:charset w:val="00"/>
    <w:family w:val="auto"/>
    <w:pitch w:val="default"/>
    <w:sig w:usb0="00000000" w:usb1="00000000" w:usb2="00000001" w:usb3="00000000" w:csb0="400001BF" w:csb1="DFF70000"/>
    <w:embedRegular r:id="rId11" w:fontKey="{BB70B2C4-31AD-41D5-9731-C8494E76CB8B}"/>
  </w:font>
  <w:font w:name="苹方-简">
    <w:altName w:val="宋体"/>
    <w:panose1 w:val="020B0400000000000000"/>
    <w:charset w:val="86"/>
    <w:family w:val="auto"/>
    <w:pitch w:val="default"/>
    <w:sig w:usb0="00000000" w:usb1="00000000" w:usb2="00000017" w:usb3="00000000" w:csb0="00040001" w:csb1="00000000"/>
  </w:font>
  <w:font w:name="WPSEMBED3">
    <w:panose1 w:val="02000000000000000000"/>
    <w:charset w:val="86"/>
    <w:family w:val="auto"/>
    <w:pitch w:val="default"/>
    <w:sig w:usb0="A00002BF" w:usb1="184F6CFA" w:usb2="00000012" w:usb3="00000000" w:csb0="00040001" w:csb1="00000000"/>
  </w:font>
  <w:font w:name="WPSEMBED1">
    <w:panose1 w:val="02010609030101010101"/>
    <w:charset w:val="86"/>
    <w:family w:val="auto"/>
    <w:pitch w:val="default"/>
    <w:sig w:usb0="00000001" w:usb1="080E0000" w:usb2="00000000" w:usb3="00000000" w:csb0="00040000" w:csb1="00000000"/>
  </w:font>
  <w:font w:name="WPSEMBED2">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2E0FA">
    <w:pPr>
      <w:spacing w:line="168" w:lineRule="auto"/>
      <w:ind w:left="4124"/>
      <w:rPr>
        <w:rFonts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06DEC">
                          <w:pPr>
                            <w:pStyle w:val="5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C606DEC">
                    <w:pPr>
                      <w:pStyle w:val="5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4043C">
    <w:pPr>
      <w:spacing w:line="168" w:lineRule="auto"/>
      <w:jc w:val="center"/>
      <w:rPr>
        <w:rFonts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10DD3">
                          <w:pPr>
                            <w:pStyle w:val="59"/>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2310DD3">
                    <w:pPr>
                      <w:pStyle w:val="59"/>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E099C">
    <w:pPr>
      <w:pStyle w:val="61"/>
      <w:rPr>
        <w:rFonts w:hint="eastAsia" w:ascii="宋体" w:hAnsi="宋体" w:eastAsia="宋体"/>
      </w:rPr>
    </w:pPr>
    <w:r>
      <w:rPr>
        <w:rFonts w:hint="eastAsia" w:ascii="宋体" w:hAnsi="宋体" w:eastAsia="宋体"/>
      </w:rPr>
      <w:t>大丰区城市运行管理服务平台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838E8312"/>
    <w:multiLevelType w:val="multilevel"/>
    <w:tmpl w:val="838E8312"/>
    <w:lvl w:ilvl="0" w:tentative="0">
      <w:start w:val="1"/>
      <w:numFmt w:val="chineseCountingThousand"/>
      <w:lvlText w:val="第%1章"/>
      <w:lvlJc w:val="left"/>
      <w:pPr>
        <w:ind w:left="0" w:firstLine="0"/>
      </w:pPr>
      <w:rPr>
        <w:rFonts w:hint="eastAsia" w:ascii="Times New Roman" w:hAnsi="Times New Roman" w:eastAsia="微软雅黑"/>
        <w:b w:val="0"/>
        <w:i w:val="0"/>
        <w:sz w:val="44"/>
      </w:rPr>
    </w:lvl>
    <w:lvl w:ilvl="1" w:tentative="0">
      <w:start w:val="1"/>
      <w:numFmt w:val="decimal"/>
      <w:pStyle w:val="3363"/>
      <w:isLgl/>
      <w:lvlText w:val="%1.%2"/>
      <w:lvlJc w:val="left"/>
      <w:pPr>
        <w:ind w:left="0" w:firstLine="0"/>
      </w:pPr>
      <w:rPr>
        <w:rFonts w:hint="eastAsia" w:ascii="Times New Roman" w:hAnsi="Times New Roman" w:eastAsia="宋体"/>
        <w:b/>
        <w:i w:val="0"/>
        <w:sz w:val="32"/>
      </w:rPr>
    </w:lvl>
    <w:lvl w:ilvl="2" w:tentative="0">
      <w:start w:val="1"/>
      <w:numFmt w:val="decimal"/>
      <w:isLgl/>
      <w:lvlText w:val="%1.%2.%3"/>
      <w:lvlJc w:val="left"/>
      <w:pPr>
        <w:ind w:left="0" w:firstLine="0"/>
      </w:pPr>
      <w:rPr>
        <w:rFonts w:hint="eastAsia" w:ascii="Times New Roman" w:hAnsi="Times New Roman" w:eastAsia="宋体"/>
        <w:b/>
        <w:i w:val="0"/>
        <w:sz w:val="28"/>
      </w:rPr>
    </w:lvl>
    <w:lvl w:ilvl="3" w:tentative="0">
      <w:start w:val="1"/>
      <w:numFmt w:val="decimal"/>
      <w:isLgl/>
      <w:lvlText w:val="%1.%2.%3.%4"/>
      <w:lvlJc w:val="left"/>
      <w:pPr>
        <w:ind w:left="0" w:firstLine="0"/>
      </w:pPr>
      <w:rPr>
        <w:rFonts w:hint="eastAsia" w:ascii="Times New Roman" w:hAnsi="Times New Roman" w:eastAsia="宋体"/>
        <w:b/>
        <w:i w:val="0"/>
        <w:sz w:val="24"/>
      </w:rPr>
    </w:lvl>
    <w:lvl w:ilvl="4" w:tentative="0">
      <w:start w:val="1"/>
      <w:numFmt w:val="decimal"/>
      <w:isLgl/>
      <w:lvlText w:val="%1.%2.%3.%4.%5"/>
      <w:lvlJc w:val="left"/>
      <w:pPr>
        <w:ind w:left="993" w:hanging="993"/>
      </w:pPr>
      <w:rPr>
        <w:rFonts w:hint="eastAsia" w:ascii="Times New Roman" w:hAnsi="Times New Roman" w:eastAsia="宋体"/>
        <w:b/>
        <w:i w:val="0"/>
        <w:sz w:val="24"/>
      </w:rPr>
    </w:lvl>
    <w:lvl w:ilvl="5" w:tentative="0">
      <w:start w:val="1"/>
      <w:numFmt w:val="decimal"/>
      <w:isLgl/>
      <w:lvlText w:val="%1.%2.%3.%4.%5.%6"/>
      <w:lvlJc w:val="left"/>
      <w:pPr>
        <w:ind w:left="0" w:firstLine="0"/>
      </w:pPr>
      <w:rPr>
        <w:rFonts w:hint="eastAsia" w:ascii="Times New Roman" w:hAnsi="Times New Roman" w:eastAsia="宋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C92B463A"/>
    <w:multiLevelType w:val="singleLevel"/>
    <w:tmpl w:val="C92B463A"/>
    <w:lvl w:ilvl="0" w:tentative="0">
      <w:start w:val="1"/>
      <w:numFmt w:val="bullet"/>
      <w:pStyle w:val="2603"/>
      <w:lvlText w:val=""/>
      <w:lvlJc w:val="left"/>
      <w:pPr>
        <w:ind w:left="420" w:hanging="420"/>
      </w:pPr>
      <w:rPr>
        <w:rFonts w:hint="default" w:ascii="Wingdings" w:hAnsi="Wingdings"/>
      </w:rPr>
    </w:lvl>
  </w:abstractNum>
  <w:abstractNum w:abstractNumId="2">
    <w:nsid w:val="FFFFFF7C"/>
    <w:multiLevelType w:val="singleLevel"/>
    <w:tmpl w:val="FFFFFF7C"/>
    <w:lvl w:ilvl="0" w:tentative="0">
      <w:start w:val="1"/>
      <w:numFmt w:val="decimal"/>
      <w:pStyle w:val="69"/>
      <w:lvlText w:val="%1."/>
      <w:lvlJc w:val="left"/>
      <w:pPr>
        <w:tabs>
          <w:tab w:val="left" w:pos="2040"/>
        </w:tabs>
        <w:ind w:left="2040" w:leftChars="800" w:hanging="360" w:hangingChars="200"/>
      </w:pPr>
    </w:lvl>
  </w:abstractNum>
  <w:abstractNum w:abstractNumId="3">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41"/>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21"/>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24"/>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40"/>
      <w:lvlText w:val=""/>
      <w:lvlJc w:val="left"/>
      <w:pPr>
        <w:tabs>
          <w:tab w:val="left" w:pos="1200"/>
        </w:tabs>
        <w:ind w:left="1200" w:leftChars="400" w:hanging="360" w:hangingChars="200"/>
      </w:pPr>
      <w:rPr>
        <w:rFonts w:hint="default" w:ascii="Wingdings" w:hAnsi="Wingdings"/>
      </w:rPr>
    </w:lvl>
  </w:abstractNum>
  <w:abstractNum w:abstractNumId="9">
    <w:nsid w:val="FFFFFF83"/>
    <w:multiLevelType w:val="singleLevel"/>
    <w:tmpl w:val="FFFFFF83"/>
    <w:lvl w:ilvl="0" w:tentative="0">
      <w:start w:val="1"/>
      <w:numFmt w:val="bullet"/>
      <w:pStyle w:val="45"/>
      <w:lvlText w:val=""/>
      <w:lvlJc w:val="left"/>
      <w:pPr>
        <w:tabs>
          <w:tab w:val="left" w:pos="780"/>
        </w:tabs>
        <w:ind w:left="780" w:leftChars="200" w:hanging="360" w:hangingChars="200"/>
      </w:pPr>
      <w:rPr>
        <w:rFonts w:hint="default" w:ascii="Wingdings" w:hAnsi="Wingdings"/>
      </w:rPr>
    </w:lvl>
  </w:abstractNum>
  <w:abstractNum w:abstractNumId="10">
    <w:nsid w:val="FFFFFF89"/>
    <w:multiLevelType w:val="singleLevel"/>
    <w:tmpl w:val="FFFFFF89"/>
    <w:lvl w:ilvl="0" w:tentative="0">
      <w:start w:val="1"/>
      <w:numFmt w:val="bullet"/>
      <w:pStyle w:val="31"/>
      <w:lvlText w:val=""/>
      <w:lvlJc w:val="left"/>
      <w:pPr>
        <w:tabs>
          <w:tab w:val="left" w:pos="360"/>
        </w:tabs>
        <w:ind w:left="360" w:hanging="360" w:hangingChars="200"/>
      </w:pPr>
      <w:rPr>
        <w:rFonts w:hint="default" w:ascii="Wingdings" w:hAnsi="Wingdings"/>
      </w:rPr>
    </w:lvl>
  </w:abstractNum>
  <w:abstractNum w:abstractNumId="11">
    <w:nsid w:val="FFFFFFFB"/>
    <w:multiLevelType w:val="multilevel"/>
    <w:tmpl w:val="FFFFFFFB"/>
    <w:lvl w:ilvl="0" w:tentative="0">
      <w:start w:val="1"/>
      <w:numFmt w:val="decimal"/>
      <w:lvlText w:val="%1"/>
      <w:legacy w:legacy="1" w:legacySpace="144" w:legacyIndent="0"/>
      <w:lvlJc w:val="left"/>
      <w:pPr>
        <w:ind w:left="0" w:firstLine="0"/>
      </w:pPr>
      <w:rPr>
        <w:rFonts w:hint="default" w:ascii="Times New Roman" w:hAnsi="Times New Roman" w:cs="Times New Roman"/>
        <w:lang w:val="en-US"/>
      </w:rPr>
    </w:lvl>
    <w:lvl w:ilvl="1" w:tentative="0">
      <w:start w:val="1"/>
      <w:numFmt w:val="decimal"/>
      <w:lvlText w:val="%1.%2"/>
      <w:legacy w:legacy="1" w:legacySpace="144" w:legacyIndent="0"/>
      <w:lvlJc w:val="left"/>
      <w:pPr>
        <w:ind w:left="0" w:firstLine="0"/>
      </w:pPr>
      <w:rPr>
        <w:rFonts w:hint="default" w:ascii="Times New Roman" w:hAnsi="Times New Roman" w:cs="Times New Roman"/>
        <w:b/>
        <w:sz w:val="36"/>
        <w:szCs w:val="36"/>
        <w:lang w:val="en-US"/>
      </w:rPr>
    </w:lvl>
    <w:lvl w:ilvl="2" w:tentative="0">
      <w:start w:val="1"/>
      <w:numFmt w:val="decimal"/>
      <w:pStyle w:val="2931"/>
      <w:lvlText w:val="%1.%2.%3"/>
      <w:legacy w:legacy="1" w:legacySpace="144" w:legacyIndent="0"/>
      <w:lvlJc w:val="left"/>
      <w:pPr>
        <w:ind w:left="0" w:firstLine="0"/>
      </w:pPr>
      <w:rPr>
        <w:rFonts w:hint="default" w:ascii="Times New Roman" w:hAnsi="Times New Roman" w:cs="Times New Roman"/>
        <w:i w:val="0"/>
        <w:sz w:val="30"/>
        <w:szCs w:val="30"/>
        <w:lang w:val="en-US"/>
      </w:rPr>
    </w:lvl>
    <w:lvl w:ilvl="3" w:tentative="0">
      <w:start w:val="1"/>
      <w:numFmt w:val="decimal"/>
      <w:lvlText w:val="%1.%2.%3.%4"/>
      <w:legacy w:legacy="1" w:legacySpace="144" w:legacyIndent="0"/>
      <w:lvlJc w:val="left"/>
      <w:pPr>
        <w:ind w:left="0" w:firstLine="0"/>
      </w:pPr>
      <w:rPr>
        <w:rFonts w:hint="default" w:ascii="Times New Roman" w:hAnsi="Times New Roman" w:cs="Times New Roman"/>
        <w:b w:val="0"/>
        <w:i w:val="0"/>
        <w:sz w:val="24"/>
        <w:szCs w:val="28"/>
        <w:lang w:val="en-US"/>
      </w:rPr>
    </w:lvl>
    <w:lvl w:ilvl="4" w:tentative="0">
      <w:start w:val="1"/>
      <w:numFmt w:val="decimal"/>
      <w:lvlText w:val="%1.%2.%3.%4.%5"/>
      <w:legacy w:legacy="1" w:legacySpace="144" w:legacyIndent="0"/>
      <w:lvlJc w:val="left"/>
      <w:pPr>
        <w:ind w:left="0" w:firstLine="0"/>
      </w:pPr>
      <w:rPr>
        <w:rFonts w:hint="default" w:ascii="Times New Roman" w:hAnsi="Times New Roman" w:cs="Times New Roman"/>
        <w:b w:val="0"/>
        <w:sz w:val="24"/>
        <w:szCs w:val="24"/>
      </w:rPr>
    </w:lvl>
    <w:lvl w:ilvl="5" w:tentative="0">
      <w:start w:val="1"/>
      <w:numFmt w:val="decimal"/>
      <w:lvlText w:val="%1.%2.%3.%4.%5.%6"/>
      <w:legacy w:legacy="1" w:legacySpace="144" w:legacyIndent="0"/>
      <w:lvlJc w:val="left"/>
      <w:pPr>
        <w:ind w:left="0" w:firstLine="0"/>
      </w:pPr>
      <w:rPr>
        <w:rFonts w:hint="default" w:ascii="Times New Roman" w:hAnsi="Times New Roman" w:cs="Times New Roman"/>
        <w:i w:val="0"/>
        <w:sz w:val="24"/>
        <w:szCs w:val="24"/>
      </w:rPr>
    </w:lvl>
    <w:lvl w:ilvl="6" w:tentative="0">
      <w:start w:val="1"/>
      <w:numFmt w:val="decimal"/>
      <w:lvlText w:val="%1.%2.%3.%4.%5.%6.%7"/>
      <w:legacy w:legacy="1" w:legacySpace="144" w:legacyIndent="0"/>
      <w:lvlJc w:val="left"/>
      <w:pPr>
        <w:ind w:left="0" w:firstLine="0"/>
      </w:pPr>
    </w:lvl>
    <w:lvl w:ilvl="7" w:tentative="0">
      <w:start w:val="1"/>
      <w:numFmt w:val="decimal"/>
      <w:lvlText w:val="%1.%2.%3.%4.%5.%6.%7.%8"/>
      <w:legacy w:legacy="1" w:legacySpace="144" w:legacyIndent="0"/>
      <w:lvlJc w:val="left"/>
      <w:pPr>
        <w:ind w:left="0" w:firstLine="0"/>
      </w:pPr>
    </w:lvl>
    <w:lvl w:ilvl="8" w:tentative="0">
      <w:start w:val="1"/>
      <w:numFmt w:val="decimal"/>
      <w:lvlText w:val="%1.%2.%3.%4.%5.%6.%7.%8.%9"/>
      <w:legacy w:legacy="1" w:legacySpace="144" w:legacyIndent="0"/>
      <w:lvlJc w:val="left"/>
      <w:pPr>
        <w:ind w:left="0" w:firstLine="0"/>
      </w:pPr>
    </w:lvl>
  </w:abstractNum>
  <w:abstractNum w:abstractNumId="12">
    <w:nsid w:val="00000001"/>
    <w:multiLevelType w:val="multilevel"/>
    <w:tmpl w:val="00000001"/>
    <w:lvl w:ilvl="0" w:tentative="0">
      <w:start w:val="1"/>
      <w:numFmt w:val="bullet"/>
      <w:pStyle w:val="24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00000044"/>
    <w:multiLevelType w:val="multilevel"/>
    <w:tmpl w:val="00000044"/>
    <w:lvl w:ilvl="0" w:tentative="0">
      <w:start w:val="1"/>
      <w:numFmt w:val="decimal"/>
      <w:pStyle w:val="3409"/>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7B"/>
    <w:multiLevelType w:val="multilevel"/>
    <w:tmpl w:val="0000007B"/>
    <w:lvl w:ilvl="0" w:tentative="0">
      <w:start w:val="1"/>
      <w:numFmt w:val="chineseCountingThousand"/>
      <w:suff w:val="space"/>
      <w:lvlText w:val="第%1章"/>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425" w:hanging="425"/>
      </w:pPr>
      <w:rPr>
        <w:rFonts w:hint="eastAsia" w:cs="Times New Roman"/>
        <w:b/>
        <w:bCs w:val="0"/>
        <w:i w:val="0"/>
        <w:iCs w:val="0"/>
        <w:caps w:val="0"/>
        <w:smallCaps w:val="0"/>
        <w:vanish w:val="0"/>
        <w:color w:val="000000"/>
        <w:spacing w:val="0"/>
        <w:position w:val="0"/>
        <w:u w:val="none"/>
        <w:vertAlign w:val="baseline"/>
      </w:rPr>
    </w:lvl>
    <w:lvl w:ilvl="3" w:tentative="0">
      <w:start w:val="1"/>
      <w:numFmt w:val="decimal"/>
      <w:pStyle w:val="1583"/>
      <w:isLgl/>
      <w:suff w:val="space"/>
      <w:lvlText w:val="%1.%2.%3.%4"/>
      <w:lvlJc w:val="left"/>
      <w:pPr>
        <w:ind w:left="0" w:firstLine="0"/>
      </w:pPr>
      <w:rPr>
        <w:rFonts w:hint="eastAsia"/>
      </w:rPr>
    </w:lvl>
    <w:lvl w:ilvl="4" w:tentative="0">
      <w:start w:val="1"/>
      <w:numFmt w:val="decimal"/>
      <w:pStyle w:val="1584"/>
      <w:isLgl/>
      <w:lvlText w:val="%1.%2.%3.%4.%5."/>
      <w:lvlJc w:val="left"/>
      <w:pPr>
        <w:ind w:left="0" w:firstLine="0"/>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5">
    <w:nsid w:val="01EE354D"/>
    <w:multiLevelType w:val="multilevel"/>
    <w:tmpl w:val="01EE354D"/>
    <w:lvl w:ilvl="0" w:tentative="0">
      <w:start w:val="1"/>
      <w:numFmt w:val="decimal"/>
      <w:pStyle w:val="3000"/>
      <w:lvlText w:val="%1)"/>
      <w:lvlJc w:val="left"/>
      <w:pPr>
        <w:ind w:left="845" w:hanging="420"/>
      </w:pPr>
      <w:rPr>
        <w:rFonts w:hint="eastAsia"/>
      </w:rPr>
    </w:lvl>
    <w:lvl w:ilvl="1" w:tentative="0">
      <w:start w:val="1"/>
      <w:numFmt w:val="lowerLetter"/>
      <w:lvlText w:val="%2."/>
      <w:lvlJc w:val="left"/>
      <w:pPr>
        <w:ind w:left="1265" w:hanging="420"/>
      </w:pPr>
      <w:rPr>
        <w:rFonts w:hint="eastAsia"/>
      </w:rPr>
    </w:lvl>
    <w:lvl w:ilvl="2" w:tentative="0">
      <w:start w:val="1"/>
      <w:numFmt w:val="lowerRoman"/>
      <w:lvlText w:val="%3."/>
      <w:lvlJc w:val="right"/>
      <w:pPr>
        <w:ind w:left="1685" w:hanging="420"/>
      </w:pPr>
      <w:rPr>
        <w:rFonts w:hint="eastAsia"/>
      </w:rPr>
    </w:lvl>
    <w:lvl w:ilvl="3" w:tentative="0">
      <w:start w:val="1"/>
      <w:numFmt w:val="decimal"/>
      <w:lvlText w:val="%4."/>
      <w:lvlJc w:val="left"/>
      <w:pPr>
        <w:ind w:left="2105" w:hanging="420"/>
      </w:pPr>
      <w:rPr>
        <w:rFonts w:hint="eastAsia"/>
      </w:rPr>
    </w:lvl>
    <w:lvl w:ilvl="4" w:tentative="0">
      <w:start w:val="1"/>
      <w:numFmt w:val="lowerLetter"/>
      <w:lvlText w:val="%5)"/>
      <w:lvlJc w:val="left"/>
      <w:pPr>
        <w:ind w:left="2525" w:hanging="420"/>
      </w:pPr>
      <w:rPr>
        <w:rFonts w:hint="eastAsia"/>
      </w:rPr>
    </w:lvl>
    <w:lvl w:ilvl="5" w:tentative="0">
      <w:start w:val="1"/>
      <w:numFmt w:val="lowerRoman"/>
      <w:lvlText w:val="%6."/>
      <w:lvlJc w:val="right"/>
      <w:pPr>
        <w:ind w:left="2945" w:hanging="420"/>
      </w:pPr>
      <w:rPr>
        <w:rFonts w:hint="eastAsia"/>
      </w:rPr>
    </w:lvl>
    <w:lvl w:ilvl="6" w:tentative="0">
      <w:start w:val="1"/>
      <w:numFmt w:val="decimal"/>
      <w:lvlText w:val="%7."/>
      <w:lvlJc w:val="left"/>
      <w:pPr>
        <w:ind w:left="3365" w:hanging="420"/>
      </w:pPr>
      <w:rPr>
        <w:rFonts w:hint="eastAsia"/>
      </w:rPr>
    </w:lvl>
    <w:lvl w:ilvl="7" w:tentative="0">
      <w:start w:val="1"/>
      <w:numFmt w:val="lowerLetter"/>
      <w:lvlText w:val="%8)"/>
      <w:lvlJc w:val="left"/>
      <w:pPr>
        <w:ind w:left="3785" w:hanging="420"/>
      </w:pPr>
      <w:rPr>
        <w:rFonts w:hint="eastAsia"/>
      </w:rPr>
    </w:lvl>
    <w:lvl w:ilvl="8" w:tentative="0">
      <w:start w:val="1"/>
      <w:numFmt w:val="lowerRoman"/>
      <w:lvlText w:val="%9."/>
      <w:lvlJc w:val="right"/>
      <w:pPr>
        <w:ind w:left="4205" w:hanging="420"/>
      </w:pPr>
      <w:rPr>
        <w:rFonts w:hint="eastAsia"/>
      </w:rPr>
    </w:lvl>
  </w:abstractNum>
  <w:abstractNum w:abstractNumId="16">
    <w:nsid w:val="042B19E7"/>
    <w:multiLevelType w:val="multilevel"/>
    <w:tmpl w:val="042B19E7"/>
    <w:lvl w:ilvl="0" w:tentative="0">
      <w:start w:val="1"/>
      <w:numFmt w:val="chineseCountingThousand"/>
      <w:pStyle w:val="339"/>
      <w:lvlText w:val="第%1章"/>
      <w:lvlJc w:val="left"/>
      <w:pPr>
        <w:ind w:left="425" w:hanging="425"/>
      </w:pPr>
      <w:rPr>
        <w:rFonts w:hint="eastAsia" w:ascii="宋体" w:hAnsi="宋体" w:eastAsia="宋体"/>
        <w:b/>
        <w:bCs w:val="0"/>
      </w:rPr>
    </w:lvl>
    <w:lvl w:ilvl="1" w:tentative="0">
      <w:start w:val="1"/>
      <w:numFmt w:val="decimal"/>
      <w:pStyle w:val="337"/>
      <w:isLgl/>
      <w:lvlText w:val="%1.%2"/>
      <w:lvlJc w:val="left"/>
      <w:pPr>
        <w:ind w:left="1277" w:hanging="567"/>
      </w:pPr>
      <w:rPr>
        <w:rFonts w:hint="default" w:ascii="宋体" w:hAnsi="宋体" w:eastAsia="宋体" w:cs="Times New Roman"/>
        <w:strike w:val="0"/>
      </w:rPr>
    </w:lvl>
    <w:lvl w:ilvl="2" w:tentative="0">
      <w:start w:val="1"/>
      <w:numFmt w:val="decimal"/>
      <w:pStyle w:val="336"/>
      <w:isLgl/>
      <w:lvlText w:val="%1.%2.%3"/>
      <w:lvlJc w:val="left"/>
      <w:pPr>
        <w:ind w:left="4734" w:hanging="567"/>
      </w:pPr>
      <w:rPr>
        <w:b/>
        <w:bCs/>
      </w:rPr>
    </w:lvl>
    <w:lvl w:ilvl="3" w:tentative="0">
      <w:start w:val="1"/>
      <w:numFmt w:val="decimal"/>
      <w:pStyle w:val="335"/>
      <w:isLgl/>
      <w:lvlText w:val="%1.%2.%3.%4"/>
      <w:lvlJc w:val="left"/>
      <w:pPr>
        <w:ind w:left="0" w:firstLine="0"/>
      </w:pPr>
      <w:rPr>
        <w:rFonts w:hint="default" w:ascii="宋体" w:hAnsi="宋体" w:eastAsia="宋体" w:cs="Times New Roman"/>
        <w:b/>
        <w:sz w:val="28"/>
        <w:szCs w:val="28"/>
      </w:rPr>
    </w:lvl>
    <w:lvl w:ilvl="4" w:tentative="0">
      <w:start w:val="1"/>
      <w:numFmt w:val="decimal"/>
      <w:pStyle w:val="340"/>
      <w:isLgl/>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04BF4AD6"/>
    <w:multiLevelType w:val="multilevel"/>
    <w:tmpl w:val="04BF4AD6"/>
    <w:lvl w:ilvl="0" w:tentative="0">
      <w:start w:val="1"/>
      <w:numFmt w:val="bullet"/>
      <w:pStyle w:val="274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04CC2927"/>
    <w:multiLevelType w:val="multilevel"/>
    <w:tmpl w:val="04CC2927"/>
    <w:lvl w:ilvl="0" w:tentative="0">
      <w:start w:val="1"/>
      <w:numFmt w:val="decimal"/>
      <w:pStyle w:val="2026"/>
      <w:lvlText w:val="(%1)"/>
      <w:lvlJc w:val="left"/>
      <w:pPr>
        <w:tabs>
          <w:tab w:val="left" w:pos="200"/>
        </w:tabs>
        <w:ind w:left="0" w:firstLine="482"/>
      </w:pPr>
      <w:rPr>
        <w:rFonts w:hint="default" w:ascii="Times New Roman" w:hAnsi="Times New Roman" w:eastAsia="宋体" w:cs="Times New Roman"/>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5721531"/>
    <w:multiLevelType w:val="multilevel"/>
    <w:tmpl w:val="05721531"/>
    <w:lvl w:ilvl="0" w:tentative="0">
      <w:start w:val="1"/>
      <w:numFmt w:val="decimal"/>
      <w:pStyle w:val="2966"/>
      <w:lvlText w:val="图%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079102AD"/>
    <w:multiLevelType w:val="multilevel"/>
    <w:tmpl w:val="079102AD"/>
    <w:lvl w:ilvl="0" w:tentative="0">
      <w:start w:val="1"/>
      <w:numFmt w:val="decimal"/>
      <w:pStyle w:val="443"/>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1">
    <w:nsid w:val="08902689"/>
    <w:multiLevelType w:val="multilevel"/>
    <w:tmpl w:val="08902689"/>
    <w:lvl w:ilvl="0" w:tentative="0">
      <w:start w:val="1"/>
      <w:numFmt w:val="decimal"/>
      <w:lvlText w:val="%1"/>
      <w:lvlJc w:val="left"/>
      <w:pPr>
        <w:ind w:left="432" w:hanging="432"/>
      </w:pPr>
    </w:lvl>
    <w:lvl w:ilvl="1" w:tentative="0">
      <w:start w:val="1"/>
      <w:numFmt w:val="decimal"/>
      <w:pStyle w:val="1907"/>
      <w:lvlText w:val="%1.%2"/>
      <w:lvlJc w:val="left"/>
      <w:pPr>
        <w:ind w:left="576" w:hanging="576"/>
      </w:pPr>
    </w:lvl>
    <w:lvl w:ilvl="2" w:tentative="0">
      <w:start w:val="1"/>
      <w:numFmt w:val="decimal"/>
      <w:lvlText w:val="%1.%2.%3"/>
      <w:lvlJc w:val="left"/>
      <w:pPr>
        <w:ind w:left="720" w:hanging="720"/>
      </w:pPr>
      <w:rPr>
        <w:rFonts w:hint="default" w:ascii="Times New Roman" w:hAnsi="Times New Roman" w:cs="Times New Roman"/>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2">
    <w:nsid w:val="0938630D"/>
    <w:multiLevelType w:val="multilevel"/>
    <w:tmpl w:val="0938630D"/>
    <w:lvl w:ilvl="0" w:tentative="0">
      <w:start w:val="1"/>
      <w:numFmt w:val="decimal"/>
      <w:pStyle w:val="266"/>
      <w:suff w:val="nothing"/>
      <w:lvlText w:val="%1、"/>
      <w:lvlJc w:val="left"/>
      <w:pPr>
        <w:ind w:left="0" w:firstLine="0"/>
      </w:pPr>
      <w:rPr>
        <w:rFonts w:hint="eastAsia" w:ascii="黑体" w:hAnsi="黑体" w:eastAsia="黑体"/>
        <w:b/>
        <w:i w:val="0"/>
        <w:sz w:val="36"/>
      </w:rPr>
    </w:lvl>
    <w:lvl w:ilvl="1" w:tentative="0">
      <w:start w:val="1"/>
      <w:numFmt w:val="decimal"/>
      <w:pStyle w:val="267"/>
      <w:suff w:val="space"/>
      <w:lvlText w:val="%1.%2"/>
      <w:lvlJc w:val="left"/>
      <w:pPr>
        <w:ind w:left="0" w:firstLine="0"/>
      </w:pPr>
      <w:rPr>
        <w:rFonts w:hint="eastAsia" w:ascii="黑体" w:hAnsi="黑体" w:eastAsia="黑体"/>
        <w:b/>
        <w:i w:val="0"/>
        <w:sz w:val="32"/>
      </w:rPr>
    </w:lvl>
    <w:lvl w:ilvl="2" w:tentative="0">
      <w:start w:val="1"/>
      <w:numFmt w:val="decimal"/>
      <w:pStyle w:val="268"/>
      <w:suff w:val="space"/>
      <w:lvlText w:val="%1.%2.%3"/>
      <w:lvlJc w:val="left"/>
      <w:pPr>
        <w:ind w:left="0" w:firstLine="0"/>
      </w:pPr>
      <w:rPr>
        <w:rFonts w:hint="eastAsia" w:ascii="黑体" w:hAnsi="黑体" w:eastAsia="黑体"/>
        <w:b/>
        <w:i w:val="0"/>
        <w:sz w:val="30"/>
      </w:rPr>
    </w:lvl>
    <w:lvl w:ilvl="3" w:tentative="0">
      <w:start w:val="1"/>
      <w:numFmt w:val="decimal"/>
      <w:pStyle w:val="269"/>
      <w:suff w:val="space"/>
      <w:lvlText w:val="%1.%2.%3.%4"/>
      <w:lvlJc w:val="left"/>
      <w:pPr>
        <w:ind w:left="0" w:firstLine="0"/>
      </w:pPr>
      <w:rPr>
        <w:rFonts w:hint="eastAsia" w:ascii="黑体" w:hAnsi="黑体" w:eastAsia="黑体"/>
        <w:b/>
        <w:i w:val="0"/>
        <w:sz w:val="28"/>
      </w:rPr>
    </w:lvl>
    <w:lvl w:ilvl="4" w:tentative="0">
      <w:start w:val="1"/>
      <w:numFmt w:val="decimal"/>
      <w:pStyle w:val="270"/>
      <w:suff w:val="space"/>
      <w:lvlText w:val="%1.%2.%3.%4.%5"/>
      <w:lvlJc w:val="left"/>
      <w:pPr>
        <w:ind w:left="0" w:firstLine="0"/>
      </w:pPr>
      <w:rPr>
        <w:rFonts w:hint="eastAsia" w:ascii="黑体" w:hAnsi="黑体" w:eastAsia="黑体"/>
        <w:b/>
        <w:i w:val="0"/>
        <w:sz w:val="26"/>
      </w:rPr>
    </w:lvl>
    <w:lvl w:ilvl="5" w:tentative="0">
      <w:start w:val="1"/>
      <w:numFmt w:val="decimal"/>
      <w:pStyle w:val="271"/>
      <w:suff w:val="space"/>
      <w:lvlText w:val="%1.%2.%3.%4.%5.%6"/>
      <w:lvlJc w:val="left"/>
      <w:pPr>
        <w:ind w:left="0" w:firstLine="0"/>
      </w:pPr>
      <w:rPr>
        <w:rFonts w:hint="eastAsia" w:ascii="黑体" w:hAnsi="黑体" w:eastAsia="黑体"/>
        <w:b/>
        <w:i w:val="0"/>
        <w:sz w:val="24"/>
      </w:rPr>
    </w:lvl>
    <w:lvl w:ilvl="6" w:tentative="0">
      <w:start w:val="1"/>
      <w:numFmt w:val="decimal"/>
      <w:pStyle w:val="272"/>
      <w:suff w:val="space"/>
      <w:lvlText w:val="%1.%2.%3.%4.%5.%6.%7"/>
      <w:lvlJc w:val="left"/>
      <w:pPr>
        <w:ind w:left="0" w:firstLine="0"/>
      </w:pPr>
      <w:rPr>
        <w:rFonts w:hint="default" w:ascii="宋体" w:eastAsia="宋体"/>
        <w:b/>
        <w:i w:val="0"/>
        <w:sz w:val="24"/>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3">
    <w:nsid w:val="093C6778"/>
    <w:multiLevelType w:val="multilevel"/>
    <w:tmpl w:val="093C6778"/>
    <w:lvl w:ilvl="0" w:tentative="0">
      <w:start w:val="1"/>
      <w:numFmt w:val="decimal"/>
      <w:pStyle w:val="401"/>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0AE367E9"/>
    <w:multiLevelType w:val="multilevel"/>
    <w:tmpl w:val="0AE367E9"/>
    <w:lvl w:ilvl="0" w:tentative="0">
      <w:start w:val="1"/>
      <w:numFmt w:val="none"/>
      <w:pStyle w:val="403"/>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25">
    <w:nsid w:val="0C596FFF"/>
    <w:multiLevelType w:val="multilevel"/>
    <w:tmpl w:val="0C596FFF"/>
    <w:lvl w:ilvl="0" w:tentative="0">
      <w:start w:val="1"/>
      <w:numFmt w:val="bullet"/>
      <w:pStyle w:val="274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6">
    <w:nsid w:val="0D273AB8"/>
    <w:multiLevelType w:val="multilevel"/>
    <w:tmpl w:val="0D273AB8"/>
    <w:lvl w:ilvl="0" w:tentative="0">
      <w:start w:val="1"/>
      <w:numFmt w:val="bullet"/>
      <w:pStyle w:val="2577"/>
      <w:lvlText w:val=""/>
      <w:lvlJc w:val="left"/>
      <w:pPr>
        <w:tabs>
          <w:tab w:val="left" w:pos="987"/>
        </w:tabs>
        <w:ind w:left="987" w:hanging="420"/>
      </w:pPr>
      <w:rPr>
        <w:rFonts w:hint="default" w:ascii="Wingdings" w:hAnsi="Wingdings"/>
      </w:rPr>
    </w:lvl>
    <w:lvl w:ilvl="1" w:tentative="0">
      <w:start w:val="1"/>
      <w:numFmt w:val="decimal"/>
      <w:lvlText w:val="%2."/>
      <w:lvlJc w:val="left"/>
      <w:pPr>
        <w:tabs>
          <w:tab w:val="left" w:pos="1407"/>
        </w:tabs>
        <w:ind w:left="1407" w:hanging="420"/>
      </w:p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7">
    <w:nsid w:val="0DDE2B46"/>
    <w:multiLevelType w:val="multilevel"/>
    <w:tmpl w:val="0DDE2B46"/>
    <w:lvl w:ilvl="0" w:tentative="0">
      <w:start w:val="1"/>
      <w:numFmt w:val="lowerLetter"/>
      <w:pStyle w:val="471"/>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28">
    <w:nsid w:val="0E9358CB"/>
    <w:multiLevelType w:val="multilevel"/>
    <w:tmpl w:val="0E9358CB"/>
    <w:lvl w:ilvl="0" w:tentative="0">
      <w:start w:val="1"/>
      <w:numFmt w:val="bullet"/>
      <w:pStyle w:val="2913"/>
      <w:lvlText w:val=""/>
      <w:lvlJc w:val="left"/>
      <w:pPr>
        <w:tabs>
          <w:tab w:val="left" w:pos="1701"/>
        </w:tabs>
        <w:ind w:left="1701" w:hanging="1701"/>
      </w:pPr>
      <w:rPr>
        <w:rFonts w:hint="default" w:ascii="Wingdings" w:hAnsi="Wingdings"/>
        <w:b w:val="0"/>
        <w:i w:val="0"/>
        <w:sz w:val="52"/>
        <w:szCs w:val="5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9">
    <w:nsid w:val="0EDB2900"/>
    <w:multiLevelType w:val="multilevel"/>
    <w:tmpl w:val="0EDB2900"/>
    <w:lvl w:ilvl="0" w:tentative="0">
      <w:start w:val="1"/>
      <w:numFmt w:val="bullet"/>
      <w:pStyle w:val="1809"/>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1810"/>
      <w:lvlText w:val=""/>
      <w:lvlJc w:val="left"/>
      <w:pPr>
        <w:tabs>
          <w:tab w:val="left" w:pos="2976"/>
        </w:tabs>
        <w:ind w:left="2976" w:hanging="425"/>
      </w:pPr>
      <w:rPr>
        <w:rFonts w:hint="default" w:ascii="Wingdings" w:hAnsi="Wingdings" w:cs="Wingdings"/>
        <w:sz w:val="16"/>
        <w:szCs w:val="16"/>
      </w:rPr>
    </w:lvl>
    <w:lvl w:ilvl="2" w:tentative="0">
      <w:start w:val="1"/>
      <w:numFmt w:val="bullet"/>
      <w:pStyle w:val="1811"/>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0">
    <w:nsid w:val="0FE334E5"/>
    <w:multiLevelType w:val="multilevel"/>
    <w:tmpl w:val="0FE334E5"/>
    <w:lvl w:ilvl="0" w:tentative="0">
      <w:start w:val="1"/>
      <w:numFmt w:val="bullet"/>
      <w:pStyle w:val="2750"/>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1">
    <w:nsid w:val="10C21570"/>
    <w:multiLevelType w:val="multilevel"/>
    <w:tmpl w:val="10C2157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2">
    <w:nsid w:val="14AB0CDC"/>
    <w:multiLevelType w:val="multilevel"/>
    <w:tmpl w:val="14AB0CDC"/>
    <w:lvl w:ilvl="0" w:tentative="0">
      <w:start w:val="1"/>
      <w:numFmt w:val="decimal"/>
      <w:lvlText w:val="%1"/>
      <w:lvlJc w:val="left"/>
      <w:pPr>
        <w:tabs>
          <w:tab w:val="left" w:pos="432"/>
        </w:tabs>
        <w:ind w:left="432" w:hanging="432"/>
      </w:pPr>
      <w:rPr>
        <w:rFonts w:hint="default" w:ascii="Arial" w:hAnsi="Arial" w:eastAsia="黑体"/>
        <w:b/>
        <w:i w:val="0"/>
        <w:sz w:val="30"/>
        <w:szCs w:val="30"/>
      </w:rPr>
    </w:lvl>
    <w:lvl w:ilvl="1" w:tentative="0">
      <w:start w:val="1"/>
      <w:numFmt w:val="decimal"/>
      <w:lvlText w:val="%1.%2"/>
      <w:lvlJc w:val="left"/>
      <w:pPr>
        <w:tabs>
          <w:tab w:val="left" w:pos="576"/>
        </w:tabs>
        <w:ind w:left="576" w:hanging="576"/>
      </w:pPr>
      <w:rPr>
        <w:rFonts w:hint="default" w:ascii="Arial" w:hAnsi="Arial" w:eastAsia="黑体"/>
        <w:b/>
        <w:i w:val="0"/>
        <w:sz w:val="28"/>
        <w:szCs w:val="28"/>
      </w:rPr>
    </w:lvl>
    <w:lvl w:ilvl="2" w:tentative="0">
      <w:start w:val="1"/>
      <w:numFmt w:val="decimal"/>
      <w:lvlText w:val="%1.%2.%3"/>
      <w:lvlJc w:val="left"/>
      <w:pPr>
        <w:tabs>
          <w:tab w:val="left" w:pos="720"/>
        </w:tabs>
        <w:ind w:left="720" w:hanging="720"/>
      </w:pPr>
      <w:rPr>
        <w:rFonts w:hint="default" w:ascii="Arial" w:hAnsi="Arial" w:eastAsia="黑体"/>
        <w:b/>
        <w:i w:val="0"/>
        <w:sz w:val="28"/>
        <w:szCs w:val="28"/>
      </w:rPr>
    </w:lvl>
    <w:lvl w:ilvl="3" w:tentative="0">
      <w:start w:val="1"/>
      <w:numFmt w:val="decimal"/>
      <w:lvlText w:val="%1.%2.%3.%4"/>
      <w:lvlJc w:val="left"/>
      <w:pPr>
        <w:tabs>
          <w:tab w:val="left" w:pos="864"/>
        </w:tabs>
        <w:ind w:left="864" w:hanging="864"/>
      </w:pPr>
      <w:rPr>
        <w:rFonts w:hint="default" w:ascii="Arial" w:hAnsi="Arial" w:eastAsia="黑体"/>
        <w:b/>
        <w:i w:val="0"/>
        <w:sz w:val="24"/>
        <w:szCs w:val="24"/>
      </w:rPr>
    </w:lvl>
    <w:lvl w:ilvl="4" w:tentative="0">
      <w:start w:val="1"/>
      <w:numFmt w:val="decimal"/>
      <w:pStyle w:val="271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3">
    <w:nsid w:val="17D9120B"/>
    <w:multiLevelType w:val="multilevel"/>
    <w:tmpl w:val="17D9120B"/>
    <w:lvl w:ilvl="0" w:tentative="0">
      <w:start w:val="1"/>
      <w:numFmt w:val="decimal"/>
      <w:pStyle w:val="2768"/>
      <w:lvlText w:val="%1)"/>
      <w:lvlJc w:val="left"/>
      <w:pPr>
        <w:tabs>
          <w:tab w:val="left" w:pos="1211"/>
        </w:tabs>
        <w:ind w:left="1134" w:hanging="283"/>
      </w:pPr>
      <w:rPr>
        <w:rFonts w:hint="default" w:ascii="Times New Roman" w:hAnsi="Times New Roman" w:eastAsia="宋体"/>
        <w:b w:val="0"/>
        <w:i w:val="0"/>
        <w:color w:val="auto"/>
        <w:spacing w:val="0"/>
        <w:w w:val="100"/>
        <w:position w:val="0"/>
        <w:sz w:val="24"/>
      </w:rPr>
    </w:lvl>
    <w:lvl w:ilvl="1" w:tentative="0">
      <w:start w:val="6"/>
      <w:numFmt w:val="japaneseCounting"/>
      <w:lvlText w:val="%2、"/>
      <w:lvlJc w:val="left"/>
      <w:pPr>
        <w:tabs>
          <w:tab w:val="left" w:pos="1200"/>
        </w:tabs>
        <w:ind w:left="1200" w:hanging="78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19714B62"/>
    <w:multiLevelType w:val="multilevel"/>
    <w:tmpl w:val="19714B62"/>
    <w:lvl w:ilvl="0" w:tentative="0">
      <w:start w:val="1"/>
      <w:numFmt w:val="chineseCountingThousand"/>
      <w:lvlText w:val="第%1章"/>
      <w:lvlJc w:val="left"/>
      <w:pPr>
        <w:ind w:left="0" w:firstLine="0"/>
      </w:pPr>
      <w:rPr>
        <w:rFonts w:hint="default" w:ascii="微软雅黑" w:hAnsi="微软雅黑" w:eastAsia="Times New Roman"/>
        <w:b w:val="0"/>
        <w:i w:val="0"/>
        <w:sz w:val="44"/>
      </w:rPr>
    </w:lvl>
    <w:lvl w:ilvl="1" w:tentative="0">
      <w:start w:val="1"/>
      <w:numFmt w:val="decimal"/>
      <w:pStyle w:val="3355"/>
      <w:isLgl/>
      <w:lvlText w:val="%1.%2"/>
      <w:lvlJc w:val="left"/>
      <w:pPr>
        <w:ind w:left="0" w:firstLine="0"/>
      </w:pPr>
      <w:rPr>
        <w:rFonts w:hint="default" w:ascii="微软雅黑" w:hAnsi="微软雅黑" w:eastAsia="宋体"/>
        <w:b/>
        <w:i w:val="0"/>
        <w:sz w:val="32"/>
      </w:rPr>
    </w:lvl>
    <w:lvl w:ilvl="2" w:tentative="0">
      <w:start w:val="1"/>
      <w:numFmt w:val="decimal"/>
      <w:isLgl/>
      <w:lvlText w:val="%1.%2.%3"/>
      <w:lvlJc w:val="left"/>
      <w:pPr>
        <w:ind w:left="0" w:firstLine="0"/>
      </w:pPr>
      <w:rPr>
        <w:rFonts w:hint="default" w:ascii="微软雅黑" w:hAnsi="微软雅黑" w:eastAsia="宋体"/>
        <w:b/>
        <w:i w:val="0"/>
        <w:sz w:val="28"/>
      </w:rPr>
    </w:lvl>
    <w:lvl w:ilvl="3" w:tentative="0">
      <w:start w:val="1"/>
      <w:numFmt w:val="decimal"/>
      <w:pStyle w:val="3356"/>
      <w:isLgl/>
      <w:lvlText w:val="%1.%2.%3.%4"/>
      <w:lvlJc w:val="left"/>
      <w:pPr>
        <w:ind w:left="0" w:firstLine="0"/>
      </w:pPr>
      <w:rPr>
        <w:rFonts w:hint="default" w:ascii="微软雅黑" w:hAnsi="微软雅黑" w:eastAsia="宋体"/>
        <w:b/>
        <w:i w:val="0"/>
        <w:sz w:val="24"/>
      </w:rPr>
    </w:lvl>
    <w:lvl w:ilvl="4" w:tentative="0">
      <w:start w:val="1"/>
      <w:numFmt w:val="decimal"/>
      <w:pStyle w:val="3357"/>
      <w:isLgl/>
      <w:lvlText w:val="%1.%2.%3.%4.%5"/>
      <w:lvlJc w:val="left"/>
      <w:pPr>
        <w:ind w:left="993" w:hanging="993"/>
      </w:pPr>
      <w:rPr>
        <w:rFonts w:hint="default" w:ascii="微软雅黑" w:hAnsi="微软雅黑" w:eastAsia="宋体"/>
        <w:b/>
        <w:i w:val="0"/>
        <w:sz w:val="24"/>
      </w:rPr>
    </w:lvl>
    <w:lvl w:ilvl="5" w:tentative="0">
      <w:start w:val="1"/>
      <w:numFmt w:val="decimal"/>
      <w:isLgl/>
      <w:lvlText w:val="%1.%2.%3.%4.%5.%6"/>
      <w:lvlJc w:val="left"/>
      <w:pPr>
        <w:ind w:left="0" w:firstLine="0"/>
      </w:pPr>
      <w:rPr>
        <w:rFonts w:hint="default" w:ascii="微软雅黑" w:hAnsi="微软雅黑" w:eastAsia="宋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5">
    <w:nsid w:val="19AA4711"/>
    <w:multiLevelType w:val="multilevel"/>
    <w:tmpl w:val="19AA4711"/>
    <w:lvl w:ilvl="0" w:tentative="0">
      <w:start w:val="1"/>
      <w:numFmt w:val="decimal"/>
      <w:pStyle w:val="1421"/>
      <w:lvlText w:val="%1."/>
      <w:lvlJc w:val="left"/>
      <w:pPr>
        <w:tabs>
          <w:tab w:val="left" w:pos="902"/>
        </w:tabs>
        <w:ind w:left="0" w:firstLine="482"/>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6">
    <w:nsid w:val="19E8088F"/>
    <w:multiLevelType w:val="multilevel"/>
    <w:tmpl w:val="19E8088F"/>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pStyle w:val="3408"/>
      <w:lvlText w:val="%1.%2.%3."/>
      <w:lvlJc w:val="left"/>
      <w:pPr>
        <w:tabs>
          <w:tab w:val="left" w:pos="1129"/>
        </w:tabs>
        <w:ind w:left="112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7">
    <w:nsid w:val="1ACC486B"/>
    <w:multiLevelType w:val="multilevel"/>
    <w:tmpl w:val="1ACC486B"/>
    <w:lvl w:ilvl="0" w:tentative="0">
      <w:start w:val="1"/>
      <w:numFmt w:val="bullet"/>
      <w:pStyle w:val="2597"/>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1B1526F3"/>
    <w:multiLevelType w:val="multilevel"/>
    <w:tmpl w:val="1B1526F3"/>
    <w:lvl w:ilvl="0" w:tentative="0">
      <w:start w:val="1"/>
      <w:numFmt w:val="decimal"/>
      <w:lvlText w:val="第%1章"/>
      <w:lvlJc w:val="left"/>
      <w:pPr>
        <w:ind w:left="0" w:firstLine="0"/>
      </w:pPr>
      <w:rPr>
        <w:rFonts w:hint="eastAsia" w:ascii="宋体" w:hAnsi="Times New Roman" w:eastAsia="宋体"/>
        <w:b/>
        <w:i w:val="0"/>
        <w:sz w:val="32"/>
        <w:szCs w:val="40"/>
      </w:rPr>
    </w:lvl>
    <w:lvl w:ilvl="1" w:tentative="0">
      <w:start w:val="1"/>
      <w:numFmt w:val="decimal"/>
      <w:suff w:val="space"/>
      <w:lvlText w:val="%1.%2"/>
      <w:lvlJc w:val="left"/>
      <w:pPr>
        <w:ind w:left="0" w:firstLine="0"/>
      </w:pPr>
      <w:rPr>
        <w:rFonts w:hint="eastAsia" w:ascii="宋体" w:hAnsi="Times New Roman" w:eastAsia="宋体"/>
        <w:b/>
        <w:i w:val="0"/>
        <w:sz w:val="28"/>
      </w:rPr>
    </w:lvl>
    <w:lvl w:ilvl="2" w:tentative="0">
      <w:start w:val="1"/>
      <w:numFmt w:val="decimal"/>
      <w:pStyle w:val="611"/>
      <w:suff w:val="space"/>
      <w:lvlText w:val="%1.%2.%3"/>
      <w:lvlJc w:val="left"/>
      <w:pPr>
        <w:ind w:left="1560" w:firstLine="0"/>
      </w:pPr>
      <w:rPr>
        <w:rFonts w:hint="eastAsia" w:ascii="宋体" w:hAnsi="Times New Roman" w:eastAsia="宋体"/>
        <w:b/>
        <w:i w:val="0"/>
        <w:sz w:val="24"/>
      </w:rPr>
    </w:lvl>
    <w:lvl w:ilvl="3" w:tentative="0">
      <w:start w:val="1"/>
      <w:numFmt w:val="decimal"/>
      <w:pStyle w:val="612"/>
      <w:suff w:val="space"/>
      <w:lvlText w:val="%1.%2.%3.%4"/>
      <w:lvlJc w:val="left"/>
      <w:pPr>
        <w:ind w:left="0" w:firstLine="0"/>
      </w:pPr>
    </w:lvl>
    <w:lvl w:ilvl="4" w:tentative="0">
      <w:start w:val="1"/>
      <w:numFmt w:val="decimal"/>
      <w:pStyle w:val="610"/>
      <w:lvlText w:val="%1.%2.%3.%4.%5"/>
      <w:lvlJc w:val="left"/>
      <w:pPr>
        <w:ind w:left="283" w:firstLine="0"/>
      </w:pPr>
      <w:rPr>
        <w:rFonts w:hint="eastAsia" w:ascii="宋体" w:hAnsi="Times New Roman" w:eastAsia="宋体"/>
        <w:b/>
        <w:i w:val="0"/>
        <w:sz w:val="24"/>
      </w:rPr>
    </w:lvl>
    <w:lvl w:ilvl="5" w:tentative="0">
      <w:start w:val="1"/>
      <w:numFmt w:val="decimal"/>
      <w:lvlText w:val="%6)"/>
      <w:lvlJc w:val="left"/>
      <w:pPr>
        <w:tabs>
          <w:tab w:val="left" w:pos="284"/>
        </w:tabs>
        <w:ind w:left="0" w:firstLine="227"/>
      </w:pPr>
    </w:lvl>
    <w:lvl w:ilvl="6" w:tentative="0">
      <w:start w:val="1"/>
      <w:numFmt w:val="upperLetter"/>
      <w:lvlRestart w:val="5"/>
      <w:pStyle w:val="613"/>
      <w:lvlText w:val="%7."/>
      <w:lvlJc w:val="left"/>
      <w:pPr>
        <w:tabs>
          <w:tab w:val="left" w:pos="340"/>
        </w:tabs>
        <w:ind w:left="0" w:firstLine="340"/>
      </w:pPr>
    </w:lvl>
    <w:lvl w:ilvl="7" w:tentative="0">
      <w:start w:val="1"/>
      <w:numFmt w:val="lowerLetter"/>
      <w:pStyle w:val="614"/>
      <w:lvlText w:val="%8."/>
      <w:lvlJc w:val="left"/>
      <w:pPr>
        <w:ind w:left="397" w:firstLine="0"/>
      </w:pPr>
    </w:lvl>
    <w:lvl w:ilvl="8" w:tentative="0">
      <w:start w:val="1"/>
      <w:numFmt w:val="bullet"/>
      <w:pStyle w:val="615"/>
      <w:lvlText w:val=""/>
      <w:lvlJc w:val="left"/>
      <w:pPr>
        <w:ind w:left="0" w:firstLine="680"/>
      </w:pPr>
      <w:rPr>
        <w:rFonts w:hint="default" w:ascii="Wingdings" w:hAnsi="Wingdings"/>
      </w:rPr>
    </w:lvl>
  </w:abstractNum>
  <w:abstractNum w:abstractNumId="39">
    <w:nsid w:val="1C855D3D"/>
    <w:multiLevelType w:val="multilevel"/>
    <w:tmpl w:val="1C855D3D"/>
    <w:lvl w:ilvl="0" w:tentative="0">
      <w:start w:val="1"/>
      <w:numFmt w:val="bullet"/>
      <w:pStyle w:val="1214"/>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0">
    <w:nsid w:val="1D2F48D5"/>
    <w:multiLevelType w:val="multilevel"/>
    <w:tmpl w:val="1D2F48D5"/>
    <w:lvl w:ilvl="0" w:tentative="0">
      <w:start w:val="1"/>
      <w:numFmt w:val="decimal"/>
      <w:pStyle w:val="2978"/>
      <w:lvlText w:val="图%1"/>
      <w:lvlJc w:val="center"/>
      <w:pPr>
        <w:ind w:left="840" w:hanging="420"/>
      </w:pPr>
      <w:rPr>
        <w:rFonts w:hint="eastAsia" w:ascii="宋体" w:hAnsi="黑体" w:eastAsia="宋体"/>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1D5755D3"/>
    <w:multiLevelType w:val="multilevel"/>
    <w:tmpl w:val="1D5755D3"/>
    <w:lvl w:ilvl="0" w:tentative="0">
      <w:start w:val="1"/>
      <w:numFmt w:val="bullet"/>
      <w:pStyle w:val="1812"/>
      <w:lvlText w:val=""/>
      <w:lvlJc w:val="left"/>
      <w:rPr>
        <w:rFonts w:hint="default" w:ascii="仿宋_GB2312" w:hAnsi="仿宋_GB2312" w:cs="仿宋_GB2312"/>
        <w:b w:val="0"/>
        <w:bCs w:val="0"/>
        <w:i w:val="0"/>
        <w:iCs w:val="0"/>
        <w:caps w:val="0"/>
        <w:strike w:val="0"/>
        <w:dstrike w:val="0"/>
        <w:vanish w:val="0"/>
        <w:color w:val="000000"/>
        <w:spacing w:val="0"/>
        <w:w w:val="100"/>
        <w:position w:val="2"/>
        <w:sz w:val="16"/>
        <w:szCs w:val="16"/>
        <w:vertAlign w:val="baseline"/>
      </w:rPr>
    </w:lvl>
    <w:lvl w:ilvl="1" w:tentative="0">
      <w:start w:val="1"/>
      <w:numFmt w:val="bullet"/>
      <w:lvlText w:val=""/>
      <w:lvlJc w:val="left"/>
      <w:pPr>
        <w:tabs>
          <w:tab w:val="left" w:pos="-381"/>
        </w:tabs>
        <w:ind w:left="-381" w:hanging="420"/>
      </w:pPr>
      <w:rPr>
        <w:rFonts w:hint="default" w:ascii="仿宋_GB2312" w:hAnsi="仿宋_GB2312"/>
      </w:rPr>
    </w:lvl>
    <w:lvl w:ilvl="2" w:tentative="0">
      <w:start w:val="1"/>
      <w:numFmt w:val="bullet"/>
      <w:lvlText w:val=""/>
      <w:lvlJc w:val="left"/>
      <w:pPr>
        <w:tabs>
          <w:tab w:val="left" w:pos="39"/>
        </w:tabs>
        <w:ind w:left="39" w:hanging="420"/>
      </w:pPr>
      <w:rPr>
        <w:rFonts w:hint="default" w:ascii="仿宋_GB2312" w:hAnsi="仿宋_GB2312"/>
      </w:rPr>
    </w:lvl>
    <w:lvl w:ilvl="3" w:tentative="0">
      <w:start w:val="1"/>
      <w:numFmt w:val="bullet"/>
      <w:lvlText w:val=""/>
      <w:lvlJc w:val="left"/>
      <w:pPr>
        <w:tabs>
          <w:tab w:val="left" w:pos="459"/>
        </w:tabs>
        <w:ind w:left="459" w:hanging="420"/>
      </w:pPr>
      <w:rPr>
        <w:rFonts w:hint="default" w:ascii="仿宋_GB2312" w:hAnsi="仿宋_GB2312"/>
      </w:rPr>
    </w:lvl>
    <w:lvl w:ilvl="4" w:tentative="0">
      <w:start w:val="1"/>
      <w:numFmt w:val="bullet"/>
      <w:lvlText w:val=""/>
      <w:lvlJc w:val="left"/>
      <w:pPr>
        <w:tabs>
          <w:tab w:val="left" w:pos="879"/>
        </w:tabs>
        <w:ind w:left="879" w:hanging="420"/>
      </w:pPr>
      <w:rPr>
        <w:rFonts w:hint="default" w:ascii="仿宋_GB2312" w:hAnsi="仿宋_GB2312"/>
      </w:rPr>
    </w:lvl>
    <w:lvl w:ilvl="5" w:tentative="0">
      <w:start w:val="1"/>
      <w:numFmt w:val="bullet"/>
      <w:lvlText w:val=""/>
      <w:lvlJc w:val="left"/>
      <w:pPr>
        <w:tabs>
          <w:tab w:val="left" w:pos="1299"/>
        </w:tabs>
        <w:ind w:left="1299" w:hanging="420"/>
      </w:pPr>
      <w:rPr>
        <w:rFonts w:hint="default" w:ascii="仿宋_GB2312" w:hAnsi="仿宋_GB2312"/>
      </w:rPr>
    </w:lvl>
    <w:lvl w:ilvl="6" w:tentative="0">
      <w:start w:val="1"/>
      <w:numFmt w:val="bullet"/>
      <w:lvlText w:val=""/>
      <w:lvlJc w:val="left"/>
      <w:pPr>
        <w:tabs>
          <w:tab w:val="left" w:pos="1719"/>
        </w:tabs>
        <w:ind w:left="1719" w:hanging="420"/>
      </w:pPr>
      <w:rPr>
        <w:rFonts w:hint="default" w:ascii="仿宋_GB2312" w:hAnsi="仿宋_GB2312"/>
      </w:rPr>
    </w:lvl>
    <w:lvl w:ilvl="7" w:tentative="0">
      <w:start w:val="1"/>
      <w:numFmt w:val="bullet"/>
      <w:lvlText w:val=""/>
      <w:lvlJc w:val="left"/>
      <w:pPr>
        <w:tabs>
          <w:tab w:val="left" w:pos="2139"/>
        </w:tabs>
        <w:ind w:left="2139" w:hanging="420"/>
      </w:pPr>
      <w:rPr>
        <w:rFonts w:hint="default" w:ascii="仿宋_GB2312" w:hAnsi="仿宋_GB2312"/>
      </w:rPr>
    </w:lvl>
    <w:lvl w:ilvl="8" w:tentative="0">
      <w:start w:val="1"/>
      <w:numFmt w:val="bullet"/>
      <w:lvlText w:val=""/>
      <w:lvlJc w:val="left"/>
      <w:pPr>
        <w:tabs>
          <w:tab w:val="left" w:pos="2559"/>
        </w:tabs>
        <w:ind w:left="2559" w:hanging="420"/>
      </w:pPr>
      <w:rPr>
        <w:rFonts w:hint="default" w:ascii="仿宋_GB2312" w:hAnsi="仿宋_GB2312"/>
      </w:rPr>
    </w:lvl>
  </w:abstractNum>
  <w:abstractNum w:abstractNumId="42">
    <w:nsid w:val="1D847897"/>
    <w:multiLevelType w:val="multilevel"/>
    <w:tmpl w:val="1D847897"/>
    <w:lvl w:ilvl="0" w:tentative="0">
      <w:start w:val="1"/>
      <w:numFmt w:val="bullet"/>
      <w:pStyle w:val="149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3">
    <w:nsid w:val="1DBF583A"/>
    <w:multiLevelType w:val="multilevel"/>
    <w:tmpl w:val="1DBF583A"/>
    <w:lvl w:ilvl="0" w:tentative="0">
      <w:start w:val="1"/>
      <w:numFmt w:val="decimal"/>
      <w:pStyle w:val="393"/>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44">
    <w:nsid w:val="1E5052E7"/>
    <w:multiLevelType w:val="multilevel"/>
    <w:tmpl w:val="1E5052E7"/>
    <w:lvl w:ilvl="0" w:tentative="0">
      <w:start w:val="1"/>
      <w:numFmt w:val="decimal"/>
      <w:pStyle w:val="4"/>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7"/>
      <w:lvlText w:val="%1.%2.%3."/>
      <w:lvlJc w:val="left"/>
      <w:pPr>
        <w:ind w:left="720" w:hanging="720"/>
      </w:pPr>
      <w:rPr>
        <w:rFonts w:hint="default"/>
      </w:rPr>
    </w:lvl>
    <w:lvl w:ilvl="3" w:tentative="0">
      <w:start w:val="1"/>
      <w:numFmt w:val="decimal"/>
      <w:pStyle w:val="8"/>
      <w:suff w:val="nothing"/>
      <w:lvlText w:val="%1.%2.%3.%4."/>
      <w:lvlJc w:val="left"/>
      <w:pPr>
        <w:ind w:left="864" w:hanging="864"/>
      </w:pPr>
      <w:rPr>
        <w:rFonts w:hint="default"/>
      </w:rPr>
    </w:lvl>
    <w:lvl w:ilvl="4" w:tentative="0">
      <w:start w:val="1"/>
      <w:numFmt w:val="decimal"/>
      <w:pStyle w:val="14"/>
      <w:suff w:val="nothing"/>
      <w:lvlText w:val="%1.%2.%3.%4.%5."/>
      <w:lvlJc w:val="left"/>
      <w:pPr>
        <w:ind w:left="0" w:firstLine="0"/>
      </w:pPr>
      <w:rPr>
        <w:rFonts w:hint="default"/>
      </w:rPr>
    </w:lvl>
    <w:lvl w:ilvl="5" w:tentative="0">
      <w:start w:val="1"/>
      <w:numFmt w:val="decimal"/>
      <w:pStyle w:val="15"/>
      <w:lvlText w:val="%1.%2.%3.%4.%5.%6."/>
      <w:lvlJc w:val="left"/>
      <w:pPr>
        <w:ind w:left="1151" w:hanging="1151"/>
      </w:pPr>
      <w:rPr>
        <w:rFonts w:hint="default"/>
      </w:rPr>
    </w:lvl>
    <w:lvl w:ilvl="6" w:tentative="0">
      <w:start w:val="1"/>
      <w:numFmt w:val="decimal"/>
      <w:pStyle w:val="16"/>
      <w:lvlText w:val="%1.%2.%3.%4.%5.%6.%7."/>
      <w:lvlJc w:val="left"/>
      <w:pPr>
        <w:ind w:left="1296" w:hanging="1296"/>
      </w:pPr>
      <w:rPr>
        <w:rFonts w:hint="default"/>
      </w:rPr>
    </w:lvl>
    <w:lvl w:ilvl="7" w:tentative="0">
      <w:start w:val="1"/>
      <w:numFmt w:val="decimal"/>
      <w:pStyle w:val="17"/>
      <w:lvlText w:val="%1.%2.%3.%4.%5.%6.%7.%8."/>
      <w:lvlJc w:val="left"/>
      <w:pPr>
        <w:ind w:left="1440" w:hanging="1440"/>
      </w:pPr>
      <w:rPr>
        <w:rFonts w:hint="default"/>
      </w:rPr>
    </w:lvl>
    <w:lvl w:ilvl="8" w:tentative="0">
      <w:start w:val="1"/>
      <w:numFmt w:val="decimal"/>
      <w:pStyle w:val="18"/>
      <w:lvlText w:val="%1.%2.%3.%4.%5.%6.%7.%8.%9."/>
      <w:lvlJc w:val="left"/>
      <w:pPr>
        <w:ind w:left="1583" w:hanging="1583"/>
      </w:pPr>
      <w:rPr>
        <w:rFonts w:hint="default"/>
      </w:rPr>
    </w:lvl>
  </w:abstractNum>
  <w:abstractNum w:abstractNumId="45">
    <w:nsid w:val="1E670B04"/>
    <w:multiLevelType w:val="multilevel"/>
    <w:tmpl w:val="1E670B04"/>
    <w:lvl w:ilvl="0" w:tentative="0">
      <w:start w:val="1"/>
      <w:numFmt w:val="decimal"/>
      <w:lvlText w:val="第%1章"/>
      <w:lvlJc w:val="left"/>
      <w:pPr>
        <w:ind w:left="0" w:firstLine="0"/>
      </w:pPr>
      <w:rPr>
        <w:b w:val="0"/>
        <w:bCs w:val="0"/>
        <w:i w:val="0"/>
        <w:iCs w:val="0"/>
        <w:caps w:val="0"/>
        <w:smallCaps w:val="0"/>
        <w:strike w:val="0"/>
        <w:dstrike w:val="0"/>
        <w:vanish w:val="0"/>
        <w:color w:val="000000"/>
        <w:spacing w:val="0"/>
        <w:position w:val="0"/>
        <w:u w:val="none"/>
        <w:vertAlign w:val="baseline"/>
      </w:rPr>
    </w:lvl>
    <w:lvl w:ilvl="1" w:tentative="0">
      <w:start w:val="1"/>
      <w:numFmt w:val="decimal"/>
      <w:suff w:val="space"/>
      <w:lvlText w:val="%1.%2"/>
      <w:lvlJc w:val="left"/>
      <w:pPr>
        <w:ind w:left="0" w:firstLine="0"/>
      </w:pPr>
      <w:rPr>
        <w:rFonts w:hint="eastAsia" w:ascii="宋体" w:hAnsi="Times New Roman" w:eastAsia="宋体"/>
        <w:b/>
        <w:i w:val="0"/>
        <w:color w:val="auto"/>
        <w:sz w:val="36"/>
      </w:rPr>
    </w:lvl>
    <w:lvl w:ilvl="2" w:tentative="0">
      <w:start w:val="1"/>
      <w:numFmt w:val="decimal"/>
      <w:suff w:val="space"/>
      <w:lvlText w:val="%1.%2.%3"/>
      <w:lvlJc w:val="left"/>
      <w:pPr>
        <w:ind w:left="0" w:firstLine="0"/>
      </w:pPr>
      <w:rPr>
        <w:b w:val="0"/>
        <w:bCs w:val="0"/>
        <w:i w:val="0"/>
        <w:iCs w:val="0"/>
        <w:caps w:val="0"/>
        <w:smallCaps w:val="0"/>
        <w:strike w:val="0"/>
        <w:dstrike w:val="0"/>
        <w:vanish w:val="0"/>
        <w:color w:val="000000"/>
        <w:spacing w:val="0"/>
        <w:position w:val="0"/>
        <w:u w:val="none"/>
        <w:vertAlign w:val="baseline"/>
      </w:rPr>
    </w:lvl>
    <w:lvl w:ilvl="3" w:tentative="0">
      <w:start w:val="1"/>
      <w:numFmt w:val="decimal"/>
      <w:suff w:val="space"/>
      <w:lvlText w:val="%1.%2.%3.%4"/>
      <w:lvlJc w:val="left"/>
      <w:pPr>
        <w:ind w:left="0" w:firstLine="0"/>
      </w:pPr>
    </w:lvl>
    <w:lvl w:ilvl="4" w:tentative="0">
      <w:start w:val="1"/>
      <w:numFmt w:val="decimal"/>
      <w:pStyle w:val="620"/>
      <w:lvlText w:val="%1.%2.%3.%4.%5"/>
      <w:lvlJc w:val="left"/>
      <w:pPr>
        <w:ind w:left="3969" w:firstLine="0"/>
      </w:pPr>
      <w:rPr>
        <w:rFonts w:hint="eastAsia" w:ascii="宋体" w:eastAsia="宋体"/>
        <w:b/>
        <w:i w:val="0"/>
        <w:sz w:val="28"/>
      </w:rPr>
    </w:lvl>
    <w:lvl w:ilvl="5" w:tentative="0">
      <w:start w:val="1"/>
      <w:numFmt w:val="decimal"/>
      <w:lvlText w:val="%6)"/>
      <w:lvlJc w:val="left"/>
      <w:pPr>
        <w:tabs>
          <w:tab w:val="left" w:pos="284"/>
        </w:tabs>
        <w:ind w:left="0" w:firstLine="227"/>
      </w:pPr>
      <w:rPr>
        <w:rFonts w:hint="default"/>
      </w:rPr>
    </w:lvl>
    <w:lvl w:ilvl="6" w:tentative="0">
      <w:start w:val="1"/>
      <w:numFmt w:val="upperLetter"/>
      <w:lvlRestart w:val="5"/>
      <w:lvlText w:val="%7."/>
      <w:lvlJc w:val="left"/>
      <w:pPr>
        <w:tabs>
          <w:tab w:val="left" w:pos="340"/>
        </w:tabs>
        <w:ind w:left="0" w:firstLine="340"/>
      </w:pPr>
      <w:rPr>
        <w:rFonts w:hint="eastAsia"/>
      </w:rPr>
    </w:lvl>
    <w:lvl w:ilvl="7" w:tentative="0">
      <w:start w:val="1"/>
      <w:numFmt w:val="lowerLetter"/>
      <w:lvlText w:val="%8."/>
      <w:lvlJc w:val="left"/>
      <w:pPr>
        <w:ind w:left="397" w:firstLine="0"/>
      </w:pPr>
      <w:rPr>
        <w:rFonts w:hint="eastAsia"/>
      </w:rPr>
    </w:lvl>
    <w:lvl w:ilvl="8" w:tentative="0">
      <w:start w:val="1"/>
      <w:numFmt w:val="bullet"/>
      <w:lvlText w:val=""/>
      <w:lvlJc w:val="left"/>
      <w:pPr>
        <w:ind w:left="0" w:firstLine="680"/>
      </w:pPr>
      <w:rPr>
        <w:rFonts w:hint="default" w:ascii="Wingdings" w:hAnsi="Wingdings"/>
      </w:rPr>
    </w:lvl>
  </w:abstractNum>
  <w:abstractNum w:abstractNumId="46">
    <w:nsid w:val="1FAA630F"/>
    <w:multiLevelType w:val="multilevel"/>
    <w:tmpl w:val="1FAA630F"/>
    <w:lvl w:ilvl="0" w:tentative="0">
      <w:start w:val="1"/>
      <w:numFmt w:val="bullet"/>
      <w:pStyle w:val="2761"/>
      <w:lvlText w:val=""/>
      <w:lvlJc w:val="left"/>
      <w:pPr>
        <w:tabs>
          <w:tab w:val="left" w:pos="1134"/>
        </w:tabs>
        <w:ind w:left="567" w:firstLine="0"/>
      </w:pPr>
      <w:rPr>
        <w:rFonts w:hint="default" w:ascii="Wingdings" w:hAnsi="Wingdings"/>
        <w:b w:val="0"/>
        <w:i w:val="0"/>
        <w:color w:val="00808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7">
    <w:nsid w:val="1FB93DCC"/>
    <w:multiLevelType w:val="multilevel"/>
    <w:tmpl w:val="1FB93DCC"/>
    <w:lvl w:ilvl="0" w:tentative="0">
      <w:start w:val="1"/>
      <w:numFmt w:val="decimal"/>
      <w:pStyle w:val="2919"/>
      <w:lvlText w:val="表3.%1"/>
      <w:lvlJc w:val="left"/>
      <w:pPr>
        <w:ind w:left="420" w:hanging="420"/>
      </w:pPr>
      <w:rPr>
        <w:rFonts w:ascii="Times New Roman" w:hAnsi="Times New Roman"/>
        <w:b w:val="0"/>
        <w:bCs w:val="0"/>
        <w:i w:val="0"/>
        <w:iCs w:val="0"/>
        <w:caps w:val="0"/>
        <w:smallCaps w:val="0"/>
        <w:strike w:val="0"/>
        <w:dstrike w:val="0"/>
        <w:vanish w:val="0"/>
        <w:color w:val="000000"/>
        <w:position w:val="0"/>
        <w:sz w:val="21"/>
        <w:szCs w:val="21"/>
        <w:u w:val="none"/>
        <w:vertAlign w:val="baseli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1FC91163"/>
    <w:multiLevelType w:val="multilevel"/>
    <w:tmpl w:val="1FC91163"/>
    <w:lvl w:ilvl="0" w:tentative="0">
      <w:start w:val="1"/>
      <w:numFmt w:val="decimal"/>
      <w:pStyle w:val="40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99"/>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398"/>
      <w:suff w:val="nothing"/>
      <w:lvlText w:val="%1.%2.%3　"/>
      <w:lvlJc w:val="left"/>
      <w:pPr>
        <w:ind w:left="568" w:firstLine="0"/>
      </w:pPr>
      <w:rPr>
        <w:rFonts w:hint="eastAsia" w:ascii="黑体" w:hAnsi="Times New Roman" w:eastAsia="黑体"/>
        <w:b w:val="0"/>
        <w:i w:val="0"/>
        <w:sz w:val="21"/>
      </w:rPr>
    </w:lvl>
    <w:lvl w:ilvl="3" w:tentative="0">
      <w:start w:val="1"/>
      <w:numFmt w:val="decimal"/>
      <w:pStyle w:val="397"/>
      <w:suff w:val="nothing"/>
      <w:lvlText w:val="%1.%2.%3.%4　"/>
      <w:lvlJc w:val="left"/>
      <w:pPr>
        <w:ind w:left="1135" w:firstLine="0"/>
      </w:pPr>
      <w:rPr>
        <w:rFonts w:hint="eastAsia" w:ascii="黑体" w:hAnsi="Times New Roman" w:eastAsia="黑体"/>
        <w:b w:val="0"/>
        <w:i w:val="0"/>
        <w:color w:val="auto"/>
        <w:sz w:val="21"/>
      </w:rPr>
    </w:lvl>
    <w:lvl w:ilvl="4" w:tentative="0">
      <w:start w:val="1"/>
      <w:numFmt w:val="decimal"/>
      <w:pStyle w:val="396"/>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9">
    <w:nsid w:val="21020E15"/>
    <w:multiLevelType w:val="multilevel"/>
    <w:tmpl w:val="21020E15"/>
    <w:lvl w:ilvl="0" w:tentative="0">
      <w:start w:val="1"/>
      <w:numFmt w:val="bullet"/>
      <w:pStyle w:val="295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28D119AB"/>
    <w:multiLevelType w:val="multilevel"/>
    <w:tmpl w:val="28D119AB"/>
    <w:lvl w:ilvl="0" w:tentative="0">
      <w:start w:val="1"/>
      <w:numFmt w:val="bullet"/>
      <w:pStyle w:val="2749"/>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1">
    <w:nsid w:val="295435E7"/>
    <w:multiLevelType w:val="multilevel"/>
    <w:tmpl w:val="295435E7"/>
    <w:lvl w:ilvl="0" w:tentative="0">
      <w:start w:val="1"/>
      <w:numFmt w:val="decimal"/>
      <w:lvlText w:val="%1"/>
      <w:lvlJc w:val="left"/>
      <w:pPr>
        <w:tabs>
          <w:tab w:val="left" w:pos="605"/>
        </w:tabs>
        <w:ind w:left="605" w:hanging="425"/>
      </w:pPr>
      <w:rPr>
        <w:rFonts w:hint="eastAsia"/>
      </w:rPr>
    </w:lvl>
    <w:lvl w:ilvl="1" w:tentative="0">
      <w:start w:val="1"/>
      <w:numFmt w:val="decimal"/>
      <w:pStyle w:val="2726"/>
      <w:lvlText w:val="%1.%2"/>
      <w:lvlJc w:val="left"/>
      <w:pPr>
        <w:tabs>
          <w:tab w:val="left" w:pos="567"/>
        </w:tabs>
        <w:ind w:left="567" w:hanging="567"/>
      </w:pPr>
      <w:rPr>
        <w:rFonts w:hint="eastAsia"/>
      </w:rPr>
    </w:lvl>
    <w:lvl w:ilvl="2" w:tentative="0">
      <w:start w:val="1"/>
      <w:numFmt w:val="decimal"/>
      <w:lvlText w:val="%1.%2.%3"/>
      <w:lvlJc w:val="left"/>
      <w:pPr>
        <w:tabs>
          <w:tab w:val="left" w:pos="1192"/>
        </w:tabs>
        <w:ind w:left="1192" w:hanging="652"/>
      </w:pPr>
      <w:rPr>
        <w:rFonts w:hint="eastAsia"/>
      </w:rPr>
    </w:lvl>
    <w:lvl w:ilvl="3" w:tentative="0">
      <w:start w:val="1"/>
      <w:numFmt w:val="decimal"/>
      <w:pStyle w:val="2727"/>
      <w:lvlText w:val="%1.%2.%3.%4"/>
      <w:lvlJc w:val="left"/>
      <w:pPr>
        <w:tabs>
          <w:tab w:val="left" w:pos="709"/>
        </w:tabs>
        <w:ind w:left="709" w:hanging="709"/>
      </w:pPr>
      <w:rPr>
        <w:rFonts w:hint="eastAsia"/>
      </w:rPr>
    </w:lvl>
    <w:lvl w:ilvl="4" w:tentative="0">
      <w:start w:val="1"/>
      <w:numFmt w:val="decimal"/>
      <w:lvlText w:val="%1.%2.%3.%4.%5."/>
      <w:lvlJc w:val="left"/>
      <w:pPr>
        <w:tabs>
          <w:tab w:val="left" w:pos="1472"/>
        </w:tabs>
        <w:ind w:left="1472" w:hanging="992"/>
      </w:pPr>
      <w:rPr>
        <w:rFonts w:hint="eastAsia"/>
      </w:rPr>
    </w:lvl>
    <w:lvl w:ilvl="5" w:tentative="0">
      <w:start w:val="1"/>
      <w:numFmt w:val="decimal"/>
      <w:lvlText w:val="%1.%2.%3.%4.%5.%6."/>
      <w:lvlJc w:val="left"/>
      <w:pPr>
        <w:tabs>
          <w:tab w:val="left" w:pos="1614"/>
        </w:tabs>
        <w:ind w:left="1614" w:hanging="1134"/>
      </w:pPr>
      <w:rPr>
        <w:rFonts w:hint="eastAsia"/>
      </w:rPr>
    </w:lvl>
    <w:lvl w:ilvl="6" w:tentative="0">
      <w:start w:val="1"/>
      <w:numFmt w:val="decimal"/>
      <w:lvlText w:val="%1.%2.%3.%4.%5.%6.%7."/>
      <w:lvlJc w:val="left"/>
      <w:pPr>
        <w:tabs>
          <w:tab w:val="left" w:pos="1756"/>
        </w:tabs>
        <w:ind w:left="1756" w:hanging="1276"/>
      </w:pPr>
      <w:rPr>
        <w:rFonts w:hint="eastAsia"/>
      </w:rPr>
    </w:lvl>
    <w:lvl w:ilvl="7" w:tentative="0">
      <w:start w:val="1"/>
      <w:numFmt w:val="decimal"/>
      <w:lvlText w:val="%1.%2.%3.%4.%5.%6.%7.%8."/>
      <w:lvlJc w:val="left"/>
      <w:pPr>
        <w:tabs>
          <w:tab w:val="left" w:pos="1898"/>
        </w:tabs>
        <w:ind w:left="1898" w:hanging="1418"/>
      </w:pPr>
      <w:rPr>
        <w:rFonts w:hint="eastAsia"/>
      </w:rPr>
    </w:lvl>
    <w:lvl w:ilvl="8" w:tentative="0">
      <w:start w:val="1"/>
      <w:numFmt w:val="decimal"/>
      <w:lvlText w:val="%1.%2.%3.%4.%5.%6.%7.%8.%9."/>
      <w:lvlJc w:val="left"/>
      <w:pPr>
        <w:tabs>
          <w:tab w:val="left" w:pos="2039"/>
        </w:tabs>
        <w:ind w:left="2039" w:hanging="1559"/>
      </w:pPr>
      <w:rPr>
        <w:rFonts w:hint="eastAsia"/>
      </w:rPr>
    </w:lvl>
  </w:abstractNum>
  <w:abstractNum w:abstractNumId="52">
    <w:nsid w:val="295C677E"/>
    <w:multiLevelType w:val="multilevel"/>
    <w:tmpl w:val="295C677E"/>
    <w:lvl w:ilvl="0" w:tentative="0">
      <w:start w:val="1"/>
      <w:numFmt w:val="bullet"/>
      <w:pStyle w:val="274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3">
    <w:nsid w:val="299320C1"/>
    <w:multiLevelType w:val="multilevel"/>
    <w:tmpl w:val="299320C1"/>
    <w:lvl w:ilvl="0" w:tentative="0">
      <w:start w:val="1"/>
      <w:numFmt w:val="decimal"/>
      <w:pStyle w:val="2772"/>
      <w:lvlText w:val="图%1"/>
      <w:lvlJc w:val="left"/>
      <w:pPr>
        <w:ind w:left="420" w:hanging="420"/>
      </w:pPr>
      <w:rPr>
        <w:rFonts w:hint="eastAsia" w:ascii="黑体" w:hAnsi="黑体" w:eastAsia="黑体"/>
        <w:b/>
        <w:bCs w:val="0"/>
        <w:i w:val="0"/>
        <w:iCs w:val="0"/>
        <w: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A792CA5"/>
    <w:multiLevelType w:val="multilevel"/>
    <w:tmpl w:val="2A792CA5"/>
    <w:lvl w:ilvl="0" w:tentative="0">
      <w:start w:val="1"/>
      <w:numFmt w:val="decimal"/>
      <w:pStyle w:val="3338"/>
      <w:lvlText w:val="%1."/>
      <w:lvlJc w:val="left"/>
      <w:pPr>
        <w:ind w:left="1063" w:hanging="420"/>
      </w:p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55">
    <w:nsid w:val="2A8D227C"/>
    <w:multiLevelType w:val="multilevel"/>
    <w:tmpl w:val="2A8D227C"/>
    <w:lvl w:ilvl="0" w:tentative="0">
      <w:start w:val="1"/>
      <w:numFmt w:val="chineseCountingThousand"/>
      <w:pStyle w:val="2490"/>
      <w:suff w:val="nothing"/>
      <w:lvlText w:val="第%1部分"/>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isLgl/>
      <w:suff w:val="space"/>
      <w:lvlText w:val="%1.%2.%3.%4.%5.%6"/>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6">
    <w:nsid w:val="2A8F7113"/>
    <w:multiLevelType w:val="multilevel"/>
    <w:tmpl w:val="2A8F7113"/>
    <w:lvl w:ilvl="0" w:tentative="0">
      <w:start w:val="1"/>
      <w:numFmt w:val="upperLetter"/>
      <w:pStyle w:val="430"/>
      <w:suff w:val="space"/>
      <w:lvlText w:val="%1"/>
      <w:lvlJc w:val="left"/>
      <w:pPr>
        <w:ind w:left="5360" w:hanging="425"/>
      </w:pPr>
      <w:rPr>
        <w:rFonts w:hint="eastAsia"/>
      </w:rPr>
    </w:lvl>
    <w:lvl w:ilvl="1" w:tentative="0">
      <w:start w:val="1"/>
      <w:numFmt w:val="decimal"/>
      <w:suff w:val="nothing"/>
      <w:lvlText w:val="图%1.%2　"/>
      <w:lvlJc w:val="left"/>
      <w:pPr>
        <w:ind w:left="2013" w:hanging="567"/>
      </w:pPr>
      <w:rPr>
        <w:rFonts w:hint="eastAsia"/>
      </w:rPr>
    </w:lvl>
    <w:lvl w:ilvl="2" w:tentative="0">
      <w:start w:val="1"/>
      <w:numFmt w:val="decimal"/>
      <w:lvlText w:val="%1.%2.%3"/>
      <w:lvlJc w:val="left"/>
      <w:pPr>
        <w:tabs>
          <w:tab w:val="left" w:pos="2439"/>
        </w:tabs>
        <w:ind w:left="2439" w:hanging="567"/>
      </w:pPr>
      <w:rPr>
        <w:rFonts w:hint="eastAsia"/>
      </w:rPr>
    </w:lvl>
    <w:lvl w:ilvl="3" w:tentative="0">
      <w:start w:val="1"/>
      <w:numFmt w:val="decimal"/>
      <w:lvlText w:val="%1.%2.%3.%4"/>
      <w:lvlJc w:val="left"/>
      <w:pPr>
        <w:tabs>
          <w:tab w:val="left" w:pos="3737"/>
        </w:tabs>
        <w:ind w:left="3005" w:hanging="708"/>
      </w:pPr>
      <w:rPr>
        <w:rFonts w:hint="eastAsia"/>
      </w:rPr>
    </w:lvl>
    <w:lvl w:ilvl="4" w:tentative="0">
      <w:start w:val="1"/>
      <w:numFmt w:val="decimal"/>
      <w:lvlText w:val="%1.%2.%3.%4.%5"/>
      <w:lvlJc w:val="left"/>
      <w:pPr>
        <w:tabs>
          <w:tab w:val="left" w:pos="4522"/>
        </w:tabs>
        <w:ind w:left="3572" w:hanging="850"/>
      </w:pPr>
      <w:rPr>
        <w:rFonts w:hint="eastAsia"/>
      </w:rPr>
    </w:lvl>
    <w:lvl w:ilvl="5" w:tentative="0">
      <w:start w:val="1"/>
      <w:numFmt w:val="decimal"/>
      <w:lvlText w:val="%1.%2.%3.%4.%5.%6"/>
      <w:lvlJc w:val="left"/>
      <w:pPr>
        <w:tabs>
          <w:tab w:val="left" w:pos="5307"/>
        </w:tabs>
        <w:ind w:left="4281" w:hanging="1134"/>
      </w:pPr>
      <w:rPr>
        <w:rFonts w:hint="eastAsia"/>
      </w:rPr>
    </w:lvl>
    <w:lvl w:ilvl="6" w:tentative="0">
      <w:start w:val="1"/>
      <w:numFmt w:val="decimal"/>
      <w:lvlText w:val="%1.%2.%3.%4.%5.%6.%7"/>
      <w:lvlJc w:val="left"/>
      <w:pPr>
        <w:tabs>
          <w:tab w:val="left" w:pos="6092"/>
        </w:tabs>
        <w:ind w:left="4848" w:hanging="1276"/>
      </w:pPr>
      <w:rPr>
        <w:rFonts w:hint="eastAsia"/>
      </w:rPr>
    </w:lvl>
    <w:lvl w:ilvl="7" w:tentative="0">
      <w:start w:val="1"/>
      <w:numFmt w:val="decimal"/>
      <w:lvlText w:val="%1.%2.%3.%4.%5.%6.%7.%8"/>
      <w:lvlJc w:val="left"/>
      <w:pPr>
        <w:tabs>
          <w:tab w:val="left" w:pos="6877"/>
        </w:tabs>
        <w:ind w:left="5415" w:hanging="1418"/>
      </w:pPr>
      <w:rPr>
        <w:rFonts w:hint="eastAsia"/>
      </w:rPr>
    </w:lvl>
    <w:lvl w:ilvl="8" w:tentative="0">
      <w:start w:val="1"/>
      <w:numFmt w:val="decimal"/>
      <w:lvlText w:val="%1.%2.%3.%4.%5.%6.%7.%8.%9"/>
      <w:lvlJc w:val="left"/>
      <w:pPr>
        <w:tabs>
          <w:tab w:val="left" w:pos="7663"/>
        </w:tabs>
        <w:ind w:left="6123" w:hanging="1700"/>
      </w:pPr>
      <w:rPr>
        <w:rFonts w:hint="eastAsia"/>
      </w:rPr>
    </w:lvl>
  </w:abstractNum>
  <w:abstractNum w:abstractNumId="57">
    <w:nsid w:val="2B7676BD"/>
    <w:multiLevelType w:val="multilevel"/>
    <w:tmpl w:val="2B7676BD"/>
    <w:lvl w:ilvl="0" w:tentative="0">
      <w:start w:val="1"/>
      <w:numFmt w:val="decimal"/>
      <w:pStyle w:val="3376"/>
      <w:lvlText w:val="图%1："/>
      <w:lvlJc w:val="left"/>
      <w:pPr>
        <w:ind w:left="900" w:hanging="420"/>
      </w:pPr>
      <w:rPr>
        <w:rFonts w:hint="eastAsia"/>
        <w:position w:val="0"/>
      </w:rPr>
    </w:lvl>
    <w:lvl w:ilvl="1" w:tentative="0">
      <w:start w:val="5"/>
      <w:numFmt w:val="decimal"/>
      <w:lvlText w:val="%2）"/>
      <w:lvlJc w:val="left"/>
      <w:pPr>
        <w:ind w:left="1260" w:hanging="360"/>
      </w:pPr>
      <w:rPr>
        <w:rFonts w:hint="default"/>
      </w:rPr>
    </w:lvl>
    <w:lvl w:ilvl="2" w:tentative="0">
      <w:start w:val="1"/>
      <w:numFmt w:val="decimal"/>
      <w:lvlText w:val="（%3）"/>
      <w:lvlJc w:val="left"/>
      <w:pPr>
        <w:ind w:left="2040" w:hanging="72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2BD41A91"/>
    <w:multiLevelType w:val="multilevel"/>
    <w:tmpl w:val="2BD41A91"/>
    <w:lvl w:ilvl="0" w:tentative="0">
      <w:start w:val="1"/>
      <w:numFmt w:val="decimal"/>
      <w:pStyle w:val="514"/>
      <w:lvlText w:val="(%1)"/>
      <w:lvlJc w:val="left"/>
      <w:pPr>
        <w:tabs>
          <w:tab w:val="left" w:pos="0"/>
        </w:tabs>
        <w:ind w:left="0" w:firstLine="48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2C46366A"/>
    <w:multiLevelType w:val="multilevel"/>
    <w:tmpl w:val="2C46366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0">
    <w:nsid w:val="2C5917C3"/>
    <w:multiLevelType w:val="multilevel"/>
    <w:tmpl w:val="2C5917C3"/>
    <w:lvl w:ilvl="0" w:tentative="0">
      <w:start w:val="1"/>
      <w:numFmt w:val="none"/>
      <w:pStyle w:val="485"/>
      <w:suff w:val="nothing"/>
      <w:lvlText w:val="%1——"/>
      <w:lvlJc w:val="left"/>
      <w:pPr>
        <w:ind w:left="833" w:hanging="408"/>
      </w:pPr>
      <w:rPr>
        <w:rFonts w:hint="eastAsia"/>
      </w:rPr>
    </w:lvl>
    <w:lvl w:ilvl="1" w:tentative="0">
      <w:start w:val="1"/>
      <w:numFmt w:val="bullet"/>
      <w:pStyle w:val="420"/>
      <w:lvlText w:val=""/>
      <w:lvlJc w:val="left"/>
      <w:pPr>
        <w:tabs>
          <w:tab w:val="left" w:pos="760"/>
        </w:tabs>
        <w:ind w:left="1264" w:hanging="413"/>
      </w:pPr>
      <w:rPr>
        <w:rFonts w:hint="default" w:ascii="Symbol" w:hAnsi="Symbol"/>
        <w:color w:val="auto"/>
      </w:rPr>
    </w:lvl>
    <w:lvl w:ilvl="2" w:tentative="0">
      <w:start w:val="1"/>
      <w:numFmt w:val="bullet"/>
      <w:pStyle w:val="418"/>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61">
    <w:nsid w:val="2EC90971"/>
    <w:multiLevelType w:val="multilevel"/>
    <w:tmpl w:val="2EC90971"/>
    <w:lvl w:ilvl="0" w:tentative="0">
      <w:start w:val="1"/>
      <w:numFmt w:val="chineseCountingThousand"/>
      <w:pStyle w:val="617"/>
      <w:suff w:val="nothing"/>
      <w:lvlText w:val="%1、"/>
      <w:lvlJc w:val="left"/>
      <w:pPr>
        <w:ind w:left="3828" w:firstLine="0"/>
      </w:pPr>
      <w:rPr>
        <w:rFonts w:hint="eastAsia" w:ascii="宋体" w:hAnsi="宋体" w:eastAsia="宋体"/>
        <w:b/>
        <w:i w:val="0"/>
        <w:caps w:val="0"/>
        <w:strike w:val="0"/>
        <w:dstrike w:val="0"/>
        <w:snapToGrid w:val="0"/>
        <w:vanish w:val="0"/>
        <w:color w:val="000000"/>
        <w:spacing w:val="0"/>
        <w:w w:val="100"/>
        <w:kern w:val="0"/>
        <w:position w:val="0"/>
        <w:sz w:val="32"/>
        <w:vertAlign w:val="baseline"/>
        <w14:shadow w14:blurRad="0" w14:dist="0" w14:dir="0" w14:sx="0" w14:sy="0" w14:kx="0" w14:ky="0" w14:algn="none">
          <w14:srgbClr w14:val="000000"/>
        </w14:shadow>
      </w:rPr>
    </w:lvl>
    <w:lvl w:ilvl="1" w:tentative="0">
      <w:start w:val="1"/>
      <w:numFmt w:val="decimal"/>
      <w:isLgl/>
      <w:suff w:val="space"/>
      <w:lvlText w:val="%1.%2"/>
      <w:lvlJc w:val="left"/>
      <w:pPr>
        <w:ind w:left="0" w:firstLine="0"/>
      </w:pPr>
      <w:rPr>
        <w:rFonts w:hint="eastAsia"/>
        <w:b/>
        <w:i w:val="0"/>
      </w:rPr>
    </w:lvl>
    <w:lvl w:ilvl="2" w:tentative="0">
      <w:start w:val="1"/>
      <w:numFmt w:val="decimal"/>
      <w:isLgl/>
      <w:suff w:val="space"/>
      <w:lvlText w:val="%1.%2.%3"/>
      <w:lvlJc w:val="left"/>
      <w:pPr>
        <w:ind w:left="0" w:firstLine="0"/>
      </w:pPr>
      <w:rPr>
        <w:rFonts w:hint="eastAsia"/>
        <w:b/>
        <w:i w:val="0"/>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62">
    <w:nsid w:val="30160748"/>
    <w:multiLevelType w:val="multilevel"/>
    <w:tmpl w:val="30160748"/>
    <w:lvl w:ilvl="0" w:tentative="0">
      <w:start w:val="1"/>
      <w:numFmt w:val="decimal"/>
      <w:pStyle w:val="1863"/>
      <w:lvlText w:val="%1)"/>
      <w:lvlJc w:val="left"/>
      <w:pPr>
        <w:ind w:left="640" w:hanging="440"/>
      </w:pPr>
    </w:lvl>
    <w:lvl w:ilvl="1" w:tentative="0">
      <w:start w:val="1"/>
      <w:numFmt w:val="lowerLetter"/>
      <w:lvlText w:val="%2)"/>
      <w:lvlJc w:val="left"/>
      <w:pPr>
        <w:ind w:left="1080" w:hanging="440"/>
      </w:pPr>
    </w:lvl>
    <w:lvl w:ilvl="2" w:tentative="0">
      <w:start w:val="1"/>
      <w:numFmt w:val="lowerRoman"/>
      <w:lvlText w:val="%3."/>
      <w:lvlJc w:val="right"/>
      <w:pPr>
        <w:ind w:left="1520" w:hanging="440"/>
      </w:pPr>
    </w:lvl>
    <w:lvl w:ilvl="3" w:tentative="0">
      <w:start w:val="1"/>
      <w:numFmt w:val="decimal"/>
      <w:lvlText w:val="%4."/>
      <w:lvlJc w:val="left"/>
      <w:pPr>
        <w:ind w:left="1960" w:hanging="440"/>
      </w:pPr>
    </w:lvl>
    <w:lvl w:ilvl="4" w:tentative="0">
      <w:start w:val="1"/>
      <w:numFmt w:val="lowerLetter"/>
      <w:lvlText w:val="%5)"/>
      <w:lvlJc w:val="left"/>
      <w:pPr>
        <w:ind w:left="2400" w:hanging="440"/>
      </w:pPr>
    </w:lvl>
    <w:lvl w:ilvl="5" w:tentative="0">
      <w:start w:val="1"/>
      <w:numFmt w:val="lowerRoman"/>
      <w:lvlText w:val="%6."/>
      <w:lvlJc w:val="right"/>
      <w:pPr>
        <w:ind w:left="2840" w:hanging="440"/>
      </w:pPr>
    </w:lvl>
    <w:lvl w:ilvl="6" w:tentative="0">
      <w:start w:val="1"/>
      <w:numFmt w:val="decimal"/>
      <w:lvlText w:val="%7."/>
      <w:lvlJc w:val="left"/>
      <w:pPr>
        <w:ind w:left="3280" w:hanging="440"/>
      </w:pPr>
    </w:lvl>
    <w:lvl w:ilvl="7" w:tentative="0">
      <w:start w:val="1"/>
      <w:numFmt w:val="lowerLetter"/>
      <w:lvlText w:val="%8)"/>
      <w:lvlJc w:val="left"/>
      <w:pPr>
        <w:ind w:left="3720" w:hanging="440"/>
      </w:pPr>
    </w:lvl>
    <w:lvl w:ilvl="8" w:tentative="0">
      <w:start w:val="1"/>
      <w:numFmt w:val="lowerRoman"/>
      <w:lvlText w:val="%9."/>
      <w:lvlJc w:val="right"/>
      <w:pPr>
        <w:ind w:left="4160" w:hanging="440"/>
      </w:pPr>
    </w:lvl>
  </w:abstractNum>
  <w:abstractNum w:abstractNumId="63">
    <w:nsid w:val="3146156C"/>
    <w:multiLevelType w:val="multilevel"/>
    <w:tmpl w:val="3146156C"/>
    <w:lvl w:ilvl="0" w:tentative="0">
      <w:start w:val="0"/>
      <w:numFmt w:val="decimal"/>
      <w:pStyle w:val="2952"/>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4">
    <w:nsid w:val="325779EA"/>
    <w:multiLevelType w:val="multilevel"/>
    <w:tmpl w:val="325779EA"/>
    <w:lvl w:ilvl="0" w:tentative="0">
      <w:start w:val="1"/>
      <w:numFmt w:val="decimal"/>
      <w:pStyle w:val="227"/>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3321265A"/>
    <w:multiLevelType w:val="multilevel"/>
    <w:tmpl w:val="3321265A"/>
    <w:lvl w:ilvl="0" w:tentative="0">
      <w:start w:val="1"/>
      <w:numFmt w:val="decimal"/>
      <w:pStyle w:val="2032"/>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6">
    <w:nsid w:val="34BD715B"/>
    <w:multiLevelType w:val="multilevel"/>
    <w:tmpl w:val="34BD715B"/>
    <w:lvl w:ilvl="0" w:tentative="0">
      <w:start w:val="1"/>
      <w:numFmt w:val="decimal"/>
      <w:lvlText w:val="(%1)"/>
      <w:lvlJc w:val="left"/>
      <w:pPr>
        <w:ind w:left="845" w:hanging="420"/>
      </w:pPr>
      <w:rPr>
        <w:rFonts w:hint="eastAsia"/>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pStyle w:val="618"/>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7">
    <w:nsid w:val="34C23125"/>
    <w:multiLevelType w:val="multilevel"/>
    <w:tmpl w:val="34C23125"/>
    <w:lvl w:ilvl="0" w:tentative="0">
      <w:start w:val="1"/>
      <w:numFmt w:val="decimal"/>
      <w:isLgl/>
      <w:lvlText w:val="%1."/>
      <w:lvlJc w:val="left"/>
      <w:pPr>
        <w:tabs>
          <w:tab w:val="left" w:pos="828"/>
        </w:tabs>
        <w:ind w:left="828" w:hanging="828"/>
      </w:pPr>
      <w:rPr>
        <w:rFonts w:hint="eastAsia"/>
      </w:rPr>
    </w:lvl>
    <w:lvl w:ilvl="1" w:tentative="0">
      <w:start w:val="1"/>
      <w:numFmt w:val="decimal"/>
      <w:lvlText w:val="%1.%2."/>
      <w:lvlJc w:val="left"/>
      <w:pPr>
        <w:tabs>
          <w:tab w:val="left" w:pos="851"/>
        </w:tabs>
        <w:ind w:left="851" w:hanging="851"/>
      </w:pPr>
      <w:rPr>
        <w:rFonts w:hint="eastAsia" w:eastAsia="宋体"/>
        <w:sz w:val="30"/>
      </w:rPr>
    </w:lvl>
    <w:lvl w:ilvl="2" w:tentative="0">
      <w:start w:val="1"/>
      <w:numFmt w:val="decimal"/>
      <w:isLgl/>
      <w:lvlText w:val="5.1.%3"/>
      <w:lvlJc w:val="left"/>
      <w:pPr>
        <w:tabs>
          <w:tab w:val="left" w:pos="851"/>
        </w:tabs>
        <w:ind w:left="851" w:hanging="851"/>
      </w:pPr>
      <w:rPr>
        <w:rFonts w:hint="eastAsia"/>
      </w:rPr>
    </w:lvl>
    <w:lvl w:ilvl="3" w:tentative="0">
      <w:start w:val="1"/>
      <w:numFmt w:val="decimal"/>
      <w:pStyle w:val="2515"/>
      <w:lvlText w:val="%1.%2.%3.%4."/>
      <w:lvlJc w:val="left"/>
      <w:pPr>
        <w:tabs>
          <w:tab w:val="left" w:pos="1254"/>
        </w:tabs>
        <w:ind w:left="1254" w:hanging="851"/>
      </w:pPr>
      <w:rPr>
        <w:rFonts w:hint="eastAsia"/>
      </w:rPr>
    </w:lvl>
    <w:lvl w:ilvl="4" w:tentative="0">
      <w:start w:val="1"/>
      <w:numFmt w:val="decimal"/>
      <w:lvlText w:val="%1.%2.%3.%4.%5."/>
      <w:lvlJc w:val="left"/>
      <w:pPr>
        <w:tabs>
          <w:tab w:val="left" w:pos="1395"/>
        </w:tabs>
        <w:ind w:left="1395" w:hanging="992"/>
      </w:pPr>
      <w:rPr>
        <w:rFonts w:hint="eastAsia"/>
      </w:rPr>
    </w:lvl>
    <w:lvl w:ilvl="5" w:tentative="0">
      <w:start w:val="1"/>
      <w:numFmt w:val="decimal"/>
      <w:lvlText w:val="%1.%2.%3.%4.%5.%6."/>
      <w:lvlJc w:val="left"/>
      <w:pPr>
        <w:tabs>
          <w:tab w:val="left" w:pos="1537"/>
        </w:tabs>
        <w:ind w:left="1537" w:hanging="1134"/>
      </w:pPr>
      <w:rPr>
        <w:rFonts w:hint="eastAsia"/>
      </w:rPr>
    </w:lvl>
    <w:lvl w:ilvl="6" w:tentative="0">
      <w:start w:val="1"/>
      <w:numFmt w:val="decimal"/>
      <w:lvlText w:val="%1.%2.%3.%4.%5.%6.%7."/>
      <w:lvlJc w:val="left"/>
      <w:pPr>
        <w:tabs>
          <w:tab w:val="left" w:pos="1679"/>
        </w:tabs>
        <w:ind w:left="1679" w:hanging="1276"/>
      </w:pPr>
      <w:rPr>
        <w:rFonts w:hint="eastAsia"/>
      </w:rPr>
    </w:lvl>
    <w:lvl w:ilvl="7" w:tentative="0">
      <w:start w:val="1"/>
      <w:numFmt w:val="decimal"/>
      <w:lvlText w:val="%1.%2.%3.%4.%5.%6.%7.%8."/>
      <w:lvlJc w:val="left"/>
      <w:pPr>
        <w:tabs>
          <w:tab w:val="left" w:pos="1821"/>
        </w:tabs>
        <w:ind w:left="1821" w:hanging="1418"/>
      </w:pPr>
      <w:rPr>
        <w:rFonts w:hint="eastAsia"/>
      </w:rPr>
    </w:lvl>
    <w:lvl w:ilvl="8" w:tentative="0">
      <w:start w:val="1"/>
      <w:numFmt w:val="decimal"/>
      <w:lvlText w:val="%1.%2.%3.%4.%5.%6.%7.%8.%9."/>
      <w:lvlJc w:val="left"/>
      <w:pPr>
        <w:tabs>
          <w:tab w:val="left" w:pos="1962"/>
        </w:tabs>
        <w:ind w:left="1962" w:hanging="1559"/>
      </w:pPr>
      <w:rPr>
        <w:rFonts w:hint="eastAsia"/>
      </w:rPr>
    </w:lvl>
  </w:abstractNum>
  <w:abstractNum w:abstractNumId="68">
    <w:nsid w:val="38625360"/>
    <w:multiLevelType w:val="multilevel"/>
    <w:tmpl w:val="38625360"/>
    <w:lvl w:ilvl="0" w:tentative="0">
      <w:start w:val="1"/>
      <w:numFmt w:val="decimal"/>
      <w:pStyle w:val="1414"/>
      <w:lvlText w:val="(%1)"/>
      <w:lvlJc w:val="left"/>
      <w:pPr>
        <w:tabs>
          <w:tab w:val="left" w:pos="902"/>
        </w:tabs>
        <w:ind w:left="902" w:hanging="70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9">
    <w:nsid w:val="386E25C8"/>
    <w:multiLevelType w:val="multilevel"/>
    <w:tmpl w:val="386E25C8"/>
    <w:lvl w:ilvl="0" w:tentative="0">
      <w:start w:val="1"/>
      <w:numFmt w:val="bullet"/>
      <w:pStyle w:val="225"/>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0">
    <w:nsid w:val="39942984"/>
    <w:multiLevelType w:val="multilevel"/>
    <w:tmpl w:val="39942984"/>
    <w:lvl w:ilvl="0" w:tentative="0">
      <w:start w:val="1"/>
      <w:numFmt w:val="decimal"/>
      <w:pStyle w:val="150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3B0D17B4"/>
    <w:multiLevelType w:val="multilevel"/>
    <w:tmpl w:val="3B0D17B4"/>
    <w:lvl w:ilvl="0" w:tentative="0">
      <w:start w:val="1"/>
      <w:numFmt w:val="lowerLetter"/>
      <w:pStyle w:val="2031"/>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2">
    <w:nsid w:val="3B9E660A"/>
    <w:multiLevelType w:val="multilevel"/>
    <w:tmpl w:val="3B9E660A"/>
    <w:lvl w:ilvl="0" w:tentative="0">
      <w:start w:val="1"/>
      <w:numFmt w:val="bullet"/>
      <w:lvlText w:val=""/>
      <w:lvlJc w:val="left"/>
      <w:pPr>
        <w:ind w:left="900" w:hanging="420"/>
      </w:pPr>
      <w:rPr>
        <w:rFonts w:hint="default" w:ascii="Wingdings" w:hAnsi="Wingdings"/>
      </w:rPr>
    </w:lvl>
    <w:lvl w:ilvl="1" w:tentative="0">
      <w:start w:val="1"/>
      <w:numFmt w:val="bullet"/>
      <w:pStyle w:val="2742"/>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3">
    <w:nsid w:val="3C6950D9"/>
    <w:multiLevelType w:val="multilevel"/>
    <w:tmpl w:val="3C6950D9"/>
    <w:lvl w:ilvl="0" w:tentative="0">
      <w:start w:val="1"/>
      <w:numFmt w:val="bullet"/>
      <w:pStyle w:val="274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4">
    <w:nsid w:val="3C997F6B"/>
    <w:multiLevelType w:val="multilevel"/>
    <w:tmpl w:val="3C997F6B"/>
    <w:lvl w:ilvl="0" w:tentative="0">
      <w:start w:val="1"/>
      <w:numFmt w:val="bullet"/>
      <w:pStyle w:val="2763"/>
      <w:lvlText w:val=""/>
      <w:lvlJc w:val="left"/>
      <w:pPr>
        <w:tabs>
          <w:tab w:val="left" w:pos="1134"/>
        </w:tabs>
        <w:ind w:left="567" w:firstLine="0"/>
      </w:pPr>
      <w:rPr>
        <w:rFonts w:hint="default" w:ascii="Wingdings" w:hAnsi="Wingdings"/>
        <w:b w:val="0"/>
        <w:i w:val="0"/>
        <w:color w:val="80008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5">
    <w:nsid w:val="3D332106"/>
    <w:multiLevelType w:val="multilevel"/>
    <w:tmpl w:val="3D332106"/>
    <w:lvl w:ilvl="0" w:tentative="0">
      <w:start w:val="1"/>
      <w:numFmt w:val="bullet"/>
      <w:pStyle w:val="546"/>
      <w:lvlText w:val=""/>
      <w:lvlJc w:val="left"/>
      <w:pPr>
        <w:ind w:left="0" w:firstLine="0"/>
      </w:pPr>
      <w:rPr>
        <w:rFonts w:hint="default" w:ascii="Wingdings" w:hAnsi="Wingdings"/>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76">
    <w:nsid w:val="3F927B8E"/>
    <w:multiLevelType w:val="multilevel"/>
    <w:tmpl w:val="3F927B8E"/>
    <w:lvl w:ilvl="0" w:tentative="0">
      <w:start w:val="1"/>
      <w:numFmt w:val="bullet"/>
      <w:lvlText w:val=""/>
      <w:lvlJc w:val="left"/>
      <w:pPr>
        <w:ind w:left="900" w:hanging="420"/>
      </w:pPr>
      <w:rPr>
        <w:rFonts w:hint="default" w:ascii="Wingdings" w:hAnsi="Wingdings"/>
      </w:rPr>
    </w:lvl>
    <w:lvl w:ilvl="1" w:tentative="0">
      <w:start w:val="1"/>
      <w:numFmt w:val="bullet"/>
      <w:pStyle w:val="2744"/>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7">
    <w:nsid w:val="429F1C96"/>
    <w:multiLevelType w:val="multilevel"/>
    <w:tmpl w:val="429F1C96"/>
    <w:lvl w:ilvl="0" w:tentative="0">
      <w:start w:val="1"/>
      <w:numFmt w:val="decimal"/>
      <w:pStyle w:val="259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8">
    <w:nsid w:val="44C50F90"/>
    <w:multiLevelType w:val="multilevel"/>
    <w:tmpl w:val="44C50F90"/>
    <w:lvl w:ilvl="0" w:tentative="0">
      <w:start w:val="1"/>
      <w:numFmt w:val="decimal"/>
      <w:pStyle w:val="415"/>
      <w:lvlText w:val="%1、"/>
      <w:lvlJc w:val="left"/>
      <w:pPr>
        <w:tabs>
          <w:tab w:val="left" w:pos="840"/>
        </w:tabs>
        <w:ind w:left="839" w:hanging="419"/>
      </w:pPr>
      <w:rPr>
        <w:rFonts w:hint="eastAsia"/>
        <w:b w:val="0"/>
        <w:i w:val="0"/>
        <w:sz w:val="21"/>
        <w:szCs w:val="21"/>
      </w:rPr>
    </w:lvl>
    <w:lvl w:ilvl="1" w:tentative="0">
      <w:start w:val="1"/>
      <w:numFmt w:val="decimal"/>
      <w:pStyle w:val="473"/>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9">
    <w:nsid w:val="45341726"/>
    <w:multiLevelType w:val="multilevel"/>
    <w:tmpl w:val="45341726"/>
    <w:lvl w:ilvl="0" w:tentative="0">
      <w:start w:val="1"/>
      <w:numFmt w:val="chineseCountingThousand"/>
      <w:suff w:val="space"/>
      <w:lvlText w:val="第%1章"/>
      <w:lvlJc w:val="center"/>
      <w:pPr>
        <w:ind w:left="1044" w:firstLine="576"/>
      </w:pPr>
      <w:rPr>
        <w:rFonts w:hint="eastAsia" w:eastAsia="黑体"/>
        <w:b/>
        <w:i w:val="0"/>
        <w:sz w:val="44"/>
        <w:szCs w:val="44"/>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1980" w:firstLine="0"/>
      </w:pPr>
      <w:rPr>
        <w:rFonts w:hint="eastAsia"/>
      </w:rPr>
    </w:lvl>
    <w:lvl w:ilvl="3" w:tentative="0">
      <w:start w:val="1"/>
      <w:numFmt w:val="decimal"/>
      <w:pStyle w:val="2586"/>
      <w:isLgl/>
      <w:suff w:val="space"/>
      <w:lvlText w:val="%1.%2.%3.%4"/>
      <w:lvlJc w:val="left"/>
      <w:pPr>
        <w:ind w:left="0" w:firstLine="0"/>
      </w:pPr>
      <w:rPr>
        <w:rFonts w:hint="eastAsia"/>
      </w:rPr>
    </w:lvl>
    <w:lvl w:ilvl="4" w:tentative="0">
      <w:start w:val="1"/>
      <w:numFmt w:val="decimal"/>
      <w:lvlText w:val="%1.%2.%3.%4.%5"/>
      <w:lvlJc w:val="left"/>
      <w:pPr>
        <w:tabs>
          <w:tab w:val="left" w:pos="2263"/>
        </w:tabs>
        <w:ind w:left="2263" w:hanging="850"/>
      </w:pPr>
      <w:rPr>
        <w:rFonts w:hint="eastAsia"/>
      </w:rPr>
    </w:lvl>
    <w:lvl w:ilvl="5" w:tentative="0">
      <w:start w:val="1"/>
      <w:numFmt w:val="decimal"/>
      <w:lvlText w:val="%1.%2.%3.%4.%5.%6"/>
      <w:lvlJc w:val="left"/>
      <w:pPr>
        <w:tabs>
          <w:tab w:val="left" w:pos="2972"/>
        </w:tabs>
        <w:ind w:left="2972" w:hanging="1134"/>
      </w:pPr>
      <w:rPr>
        <w:rFonts w:hint="eastAsia"/>
      </w:rPr>
    </w:lvl>
    <w:lvl w:ilvl="6" w:tentative="0">
      <w:start w:val="1"/>
      <w:numFmt w:val="decimal"/>
      <w:lvlText w:val="%1.%2.%3.%4.%5.%6.%7"/>
      <w:lvlJc w:val="left"/>
      <w:pPr>
        <w:tabs>
          <w:tab w:val="left" w:pos="3539"/>
        </w:tabs>
        <w:ind w:left="3539" w:hanging="1276"/>
      </w:pPr>
      <w:rPr>
        <w:rFonts w:hint="eastAsia"/>
      </w:rPr>
    </w:lvl>
    <w:lvl w:ilvl="7" w:tentative="0">
      <w:start w:val="1"/>
      <w:numFmt w:val="decimal"/>
      <w:lvlText w:val="%1.%2.%3.%4.%5.%6.%7.%8"/>
      <w:lvlJc w:val="left"/>
      <w:pPr>
        <w:tabs>
          <w:tab w:val="left" w:pos="4106"/>
        </w:tabs>
        <w:ind w:left="4106" w:hanging="1418"/>
      </w:pPr>
      <w:rPr>
        <w:rFonts w:hint="eastAsia"/>
      </w:rPr>
    </w:lvl>
    <w:lvl w:ilvl="8" w:tentative="0">
      <w:start w:val="1"/>
      <w:numFmt w:val="decimal"/>
      <w:lvlText w:val="%1.%2.%3.%4.%5.%6.%7.%8.%9"/>
      <w:lvlJc w:val="left"/>
      <w:pPr>
        <w:tabs>
          <w:tab w:val="left" w:pos="4814"/>
        </w:tabs>
        <w:ind w:left="4814" w:hanging="1700"/>
      </w:pPr>
      <w:rPr>
        <w:rFonts w:hint="eastAsia"/>
      </w:rPr>
    </w:lvl>
  </w:abstractNum>
  <w:abstractNum w:abstractNumId="80">
    <w:nsid w:val="457027CC"/>
    <w:multiLevelType w:val="multilevel"/>
    <w:tmpl w:val="457027CC"/>
    <w:lvl w:ilvl="0" w:tentative="0">
      <w:start w:val="8"/>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6"/>
      <w:numFmt w:val="decimal"/>
      <w:lvlText w:val="%1.%2.%3"/>
      <w:lvlJc w:val="left"/>
      <w:pPr>
        <w:ind w:left="1418" w:hanging="567"/>
      </w:pPr>
      <w:rPr>
        <w:rFonts w:hint="eastAsia"/>
      </w:rPr>
    </w:lvl>
    <w:lvl w:ilvl="3" w:tentative="0">
      <w:start w:val="1"/>
      <w:numFmt w:val="decimal"/>
      <w:pStyle w:val="328"/>
      <w:lvlText w:val="%1.%2.%3.%4"/>
      <w:lvlJc w:val="left"/>
      <w:pPr>
        <w:ind w:left="1984" w:hanging="708"/>
      </w:pPr>
      <w:rPr>
        <w:rFonts w:hint="eastAsia"/>
        <w:b/>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1">
    <w:nsid w:val="46C07B0E"/>
    <w:multiLevelType w:val="multilevel"/>
    <w:tmpl w:val="46C07B0E"/>
    <w:lvl w:ilvl="0" w:tentative="0">
      <w:start w:val="1"/>
      <w:numFmt w:val="decimal"/>
      <w:pStyle w:val="359"/>
      <w:suff w:val="space"/>
      <w:lvlText w:val="%1、"/>
      <w:lvlJc w:val="left"/>
      <w:pPr>
        <w:ind w:left="0" w:firstLine="0"/>
      </w:pPr>
      <w:rPr>
        <w:rFonts w:hint="eastAsia" w:ascii="黑体" w:hAnsi="黑体" w:eastAsia="黑体"/>
        <w:b/>
        <w:i w:val="0"/>
        <w:sz w:val="36"/>
      </w:rPr>
    </w:lvl>
    <w:lvl w:ilvl="1" w:tentative="0">
      <w:start w:val="1"/>
      <w:numFmt w:val="decimal"/>
      <w:pStyle w:val="360"/>
      <w:suff w:val="space"/>
      <w:lvlText w:val="%1.%2"/>
      <w:lvlJc w:val="left"/>
      <w:pPr>
        <w:ind w:left="0" w:firstLine="0"/>
      </w:pPr>
      <w:rPr>
        <w:rFonts w:hint="eastAsia" w:ascii="黑体" w:hAnsi="黑体" w:eastAsia="黑体"/>
        <w:b/>
        <w:i w:val="0"/>
        <w:sz w:val="32"/>
      </w:rPr>
    </w:lvl>
    <w:lvl w:ilvl="2" w:tentative="0">
      <w:start w:val="1"/>
      <w:numFmt w:val="decimal"/>
      <w:pStyle w:val="361"/>
      <w:suff w:val="space"/>
      <w:lvlText w:val="%1.%2.%3"/>
      <w:lvlJc w:val="left"/>
      <w:pPr>
        <w:ind w:left="0" w:firstLine="0"/>
      </w:pPr>
      <w:rPr>
        <w:rFonts w:hint="eastAsia" w:ascii="黑体" w:hAnsi="黑体" w:eastAsia="黑体"/>
        <w:b/>
        <w:i w:val="0"/>
        <w:sz w:val="30"/>
      </w:rPr>
    </w:lvl>
    <w:lvl w:ilvl="3" w:tentative="0">
      <w:start w:val="1"/>
      <w:numFmt w:val="decimal"/>
      <w:pStyle w:val="362"/>
      <w:suff w:val="space"/>
      <w:lvlText w:val="%1.%2.%3.%4"/>
      <w:lvlJc w:val="left"/>
      <w:pPr>
        <w:ind w:left="0" w:firstLine="0"/>
      </w:pPr>
      <w:rPr>
        <w:rFonts w:hint="eastAsia" w:ascii="黑体" w:hAnsi="黑体" w:eastAsia="黑体"/>
        <w:b/>
        <w:i w:val="0"/>
        <w:sz w:val="28"/>
      </w:rPr>
    </w:lvl>
    <w:lvl w:ilvl="4" w:tentative="0">
      <w:start w:val="1"/>
      <w:numFmt w:val="decimal"/>
      <w:pStyle w:val="363"/>
      <w:suff w:val="space"/>
      <w:lvlText w:val="%1.%2.%3.%4.%5"/>
      <w:lvlJc w:val="left"/>
      <w:pPr>
        <w:ind w:left="0" w:firstLine="0"/>
      </w:pPr>
      <w:rPr>
        <w:rFonts w:hint="eastAsia" w:ascii="黑体" w:hAnsi="黑体" w:eastAsia="黑体"/>
        <w:b/>
        <w:i w:val="0"/>
        <w:sz w:val="24"/>
      </w:rPr>
    </w:lvl>
    <w:lvl w:ilvl="5" w:tentative="0">
      <w:start w:val="1"/>
      <w:numFmt w:val="decimal"/>
      <w:pStyle w:val="364"/>
      <w:suff w:val="space"/>
      <w:lvlText w:val="%1.%2.%3.%4.%5.%6"/>
      <w:lvlJc w:val="left"/>
      <w:pPr>
        <w:ind w:left="0" w:firstLine="0"/>
      </w:pPr>
      <w:rPr>
        <w:rFonts w:hint="eastAsia" w:ascii="黑体" w:hAnsi="黑体" w:eastAsia="黑体"/>
        <w:sz w:val="24"/>
      </w:rPr>
    </w:lvl>
    <w:lvl w:ilvl="6" w:tentative="0">
      <w:start w:val="1"/>
      <w:numFmt w:val="decimal"/>
      <w:pStyle w:val="365"/>
      <w:suff w:val="space"/>
      <w:lvlText w:val="%1.%2.%3.%4.%5.%6.%7"/>
      <w:lvlJc w:val="left"/>
      <w:pPr>
        <w:ind w:left="0" w:firstLine="0"/>
      </w:pPr>
      <w:rPr>
        <w:rFonts w:hint="eastAsia" w:ascii="宋体" w:hAnsi="宋体" w:eastAsia="宋体"/>
        <w:b/>
        <w:i w:val="0"/>
        <w:sz w:val="24"/>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2">
    <w:nsid w:val="482B61F3"/>
    <w:multiLevelType w:val="multilevel"/>
    <w:tmpl w:val="482B61F3"/>
    <w:lvl w:ilvl="0" w:tentative="0">
      <w:start w:val="1"/>
      <w:numFmt w:val="decimal"/>
      <w:pStyle w:val="2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4911B0DC"/>
    <w:multiLevelType w:val="multilevel"/>
    <w:tmpl w:val="4911B0DC"/>
    <w:lvl w:ilvl="0" w:tentative="0">
      <w:start w:val="1"/>
      <w:numFmt w:val="chineseCountingThousand"/>
      <w:pStyle w:val="3362"/>
      <w:lvlText w:val="第%1章"/>
      <w:lvlJc w:val="left"/>
      <w:pPr>
        <w:ind w:left="0" w:firstLine="0"/>
      </w:pPr>
      <w:rPr>
        <w:rFonts w:hint="eastAsia" w:ascii="Times New Roman" w:hAnsi="Times New Roman" w:eastAsia="微软雅黑"/>
        <w:b w:val="0"/>
        <w:i w:val="0"/>
        <w:sz w:val="44"/>
      </w:rPr>
    </w:lvl>
    <w:lvl w:ilvl="1" w:tentative="0">
      <w:start w:val="1"/>
      <w:numFmt w:val="decimal"/>
      <w:pStyle w:val="3350"/>
      <w:isLgl/>
      <w:lvlText w:val="%1.%2"/>
      <w:lvlJc w:val="left"/>
      <w:pPr>
        <w:ind w:left="0" w:firstLine="0"/>
      </w:pPr>
      <w:rPr>
        <w:rFonts w:hint="eastAsia" w:ascii="Times New Roman" w:hAnsi="Times New Roman" w:eastAsia="宋体"/>
        <w:b/>
        <w:i w:val="0"/>
        <w:sz w:val="32"/>
      </w:rPr>
    </w:lvl>
    <w:lvl w:ilvl="2" w:tentative="0">
      <w:start w:val="1"/>
      <w:numFmt w:val="decimal"/>
      <w:pStyle w:val="3364"/>
      <w:isLgl/>
      <w:lvlText w:val="%1.%2.%3"/>
      <w:lvlJc w:val="left"/>
      <w:pPr>
        <w:ind w:left="0" w:firstLine="0"/>
      </w:pPr>
      <w:rPr>
        <w:rFonts w:hint="eastAsia" w:ascii="Times New Roman" w:hAnsi="Times New Roman" w:eastAsia="宋体"/>
        <w:b/>
        <w:i w:val="0"/>
        <w:sz w:val="28"/>
      </w:rPr>
    </w:lvl>
    <w:lvl w:ilvl="3" w:tentative="0">
      <w:start w:val="1"/>
      <w:numFmt w:val="decimal"/>
      <w:pStyle w:val="3349"/>
      <w:isLgl/>
      <w:lvlText w:val="%1.%2.%3.%4"/>
      <w:lvlJc w:val="left"/>
      <w:pPr>
        <w:ind w:left="0" w:firstLine="0"/>
      </w:pPr>
      <w:rPr>
        <w:rFonts w:hint="eastAsia" w:ascii="Times New Roman" w:hAnsi="Times New Roman" w:eastAsia="宋体"/>
        <w:b/>
        <w:i w:val="0"/>
        <w:sz w:val="24"/>
      </w:rPr>
    </w:lvl>
    <w:lvl w:ilvl="4" w:tentative="0">
      <w:start w:val="1"/>
      <w:numFmt w:val="decimal"/>
      <w:pStyle w:val="3348"/>
      <w:isLgl/>
      <w:lvlText w:val="%1.%2.%3.%4.%5"/>
      <w:lvlJc w:val="left"/>
      <w:pPr>
        <w:ind w:left="993" w:hanging="993"/>
      </w:pPr>
      <w:rPr>
        <w:rFonts w:hint="eastAsia" w:ascii="Times New Roman" w:hAnsi="Times New Roman" w:eastAsia="宋体"/>
        <w:b/>
        <w:i w:val="0"/>
        <w:sz w:val="24"/>
      </w:rPr>
    </w:lvl>
    <w:lvl w:ilvl="5" w:tentative="0">
      <w:start w:val="1"/>
      <w:numFmt w:val="decimal"/>
      <w:isLgl/>
      <w:lvlText w:val="%1.%2.%3.%4.%5.%6"/>
      <w:lvlJc w:val="left"/>
      <w:pPr>
        <w:ind w:left="0" w:firstLine="0"/>
      </w:pPr>
      <w:rPr>
        <w:rFonts w:hint="eastAsia" w:ascii="Times New Roman" w:hAnsi="Times New Roman" w:eastAsia="宋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4">
    <w:nsid w:val="4A1370A1"/>
    <w:multiLevelType w:val="multilevel"/>
    <w:tmpl w:val="4A1370A1"/>
    <w:lvl w:ilvl="0" w:tentative="0">
      <w:start w:val="1"/>
      <w:numFmt w:val="lowerLetter"/>
      <w:pStyle w:val="3425"/>
      <w:lvlText w:val="%1."/>
      <w:lvlJc w:val="left"/>
      <w:pPr>
        <w:tabs>
          <w:tab w:val="left" w:pos="961"/>
        </w:tabs>
        <w:ind w:left="536" w:firstLine="0"/>
      </w:pPr>
      <w:rPr>
        <w:rFonts w:hint="default" w:ascii="Times New Roman" w:hAnsi="Times New Roman" w:eastAsia="宋体" w:cs="Times New Roman"/>
        <w:b w:val="0"/>
        <w:bCs w:val="0"/>
        <w:i w:val="0"/>
        <w:iCs w:val="0"/>
        <w:caps w:val="0"/>
        <w:strike w:val="0"/>
        <w:dstrike w:val="0"/>
        <w:vanish w:val="0"/>
        <w:color w:val="000000"/>
        <w:spacing w:val="0"/>
        <w:position w:val="0"/>
        <w:u w:val="none"/>
        <w:vertAlign w:val="baseline"/>
      </w:rPr>
    </w:lvl>
    <w:lvl w:ilvl="1" w:tentative="0">
      <w:start w:val="1"/>
      <w:numFmt w:val="decimal"/>
      <w:pStyle w:val="3424"/>
      <w:lvlText w:val="%2)"/>
      <w:lvlJc w:val="left"/>
      <w:pPr>
        <w:tabs>
          <w:tab w:val="left" w:pos="1415"/>
        </w:tabs>
        <w:ind w:left="848" w:firstLine="0"/>
      </w:pPr>
      <w:rPr>
        <w:rFonts w:hint="default" w:ascii="Times New Roman" w:hAnsi="Times New Roman" w:eastAsia="宋体"/>
      </w:rPr>
    </w:lvl>
    <w:lvl w:ilvl="2" w:tentative="0">
      <w:start w:val="1"/>
      <w:numFmt w:val="lowerRoman"/>
      <w:lvlText w:val="%3."/>
      <w:lvlJc w:val="right"/>
      <w:pPr>
        <w:tabs>
          <w:tab w:val="left" w:pos="979"/>
        </w:tabs>
        <w:ind w:left="922" w:firstLine="0"/>
      </w:pPr>
      <w:rPr>
        <w:rFonts w:hint="eastAsia"/>
      </w:rPr>
    </w:lvl>
    <w:lvl w:ilvl="3" w:tentative="0">
      <w:start w:val="1"/>
      <w:numFmt w:val="decimal"/>
      <w:lvlText w:val="%4."/>
      <w:lvlJc w:val="left"/>
      <w:pPr>
        <w:tabs>
          <w:tab w:val="left" w:pos="1172"/>
        </w:tabs>
        <w:ind w:left="1115" w:firstLine="0"/>
      </w:pPr>
      <w:rPr>
        <w:rFonts w:hint="eastAsia"/>
      </w:rPr>
    </w:lvl>
    <w:lvl w:ilvl="4" w:tentative="0">
      <w:start w:val="1"/>
      <w:numFmt w:val="lowerLetter"/>
      <w:lvlText w:val="%5)"/>
      <w:lvlJc w:val="left"/>
      <w:pPr>
        <w:tabs>
          <w:tab w:val="left" w:pos="1365"/>
        </w:tabs>
        <w:ind w:left="1308" w:firstLine="0"/>
      </w:pPr>
      <w:rPr>
        <w:rFonts w:hint="eastAsia"/>
      </w:rPr>
    </w:lvl>
    <w:lvl w:ilvl="5" w:tentative="0">
      <w:start w:val="1"/>
      <w:numFmt w:val="lowerRoman"/>
      <w:lvlText w:val="%6."/>
      <w:lvlJc w:val="right"/>
      <w:pPr>
        <w:tabs>
          <w:tab w:val="left" w:pos="1558"/>
        </w:tabs>
        <w:ind w:left="1501" w:firstLine="0"/>
      </w:pPr>
      <w:rPr>
        <w:rFonts w:hint="eastAsia"/>
      </w:rPr>
    </w:lvl>
    <w:lvl w:ilvl="6" w:tentative="0">
      <w:start w:val="1"/>
      <w:numFmt w:val="decimal"/>
      <w:lvlText w:val="%7."/>
      <w:lvlJc w:val="left"/>
      <w:pPr>
        <w:tabs>
          <w:tab w:val="left" w:pos="1751"/>
        </w:tabs>
        <w:ind w:left="1694" w:firstLine="0"/>
      </w:pPr>
      <w:rPr>
        <w:rFonts w:hint="eastAsia"/>
      </w:rPr>
    </w:lvl>
    <w:lvl w:ilvl="7" w:tentative="0">
      <w:start w:val="1"/>
      <w:numFmt w:val="lowerLetter"/>
      <w:lvlText w:val="%8)"/>
      <w:lvlJc w:val="left"/>
      <w:pPr>
        <w:tabs>
          <w:tab w:val="left" w:pos="1944"/>
        </w:tabs>
        <w:ind w:left="1887" w:firstLine="0"/>
      </w:pPr>
      <w:rPr>
        <w:rFonts w:hint="eastAsia"/>
      </w:rPr>
    </w:lvl>
    <w:lvl w:ilvl="8" w:tentative="0">
      <w:start w:val="1"/>
      <w:numFmt w:val="lowerRoman"/>
      <w:lvlText w:val="%9."/>
      <w:lvlJc w:val="right"/>
      <w:pPr>
        <w:tabs>
          <w:tab w:val="left" w:pos="2137"/>
        </w:tabs>
        <w:ind w:left="2080" w:firstLine="0"/>
      </w:pPr>
      <w:rPr>
        <w:rFonts w:hint="eastAsia"/>
      </w:rPr>
    </w:lvl>
  </w:abstractNum>
  <w:abstractNum w:abstractNumId="85">
    <w:nsid w:val="4B733A5F"/>
    <w:multiLevelType w:val="multilevel"/>
    <w:tmpl w:val="4B733A5F"/>
    <w:lvl w:ilvl="0" w:tentative="0">
      <w:start w:val="1"/>
      <w:numFmt w:val="decimal"/>
      <w:pStyle w:val="458"/>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86">
    <w:nsid w:val="4C7144E7"/>
    <w:multiLevelType w:val="multilevel"/>
    <w:tmpl w:val="4C7144E7"/>
    <w:lvl w:ilvl="0" w:tentative="0">
      <w:start w:val="1"/>
      <w:numFmt w:val="bullet"/>
      <w:pStyle w:val="2723"/>
      <w:lvlText w:val=""/>
      <w:lvlPicBulletId w:val="0"/>
      <w:lvlJc w:val="left"/>
      <w:pPr>
        <w:tabs>
          <w:tab w:val="left" w:pos="840"/>
        </w:tabs>
        <w:ind w:left="840" w:hanging="420"/>
      </w:pPr>
      <w:rPr>
        <w:rFonts w:hint="default" w:ascii="Symbol" w:hAnsi="Symbol"/>
        <w:color w:val="auto"/>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7">
    <w:nsid w:val="4D3B1E77"/>
    <w:multiLevelType w:val="multilevel"/>
    <w:tmpl w:val="4D3B1E77"/>
    <w:lvl w:ilvl="0" w:tentative="0">
      <w:start w:val="1"/>
      <w:numFmt w:val="bullet"/>
      <w:pStyle w:val="275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8">
    <w:nsid w:val="4F496BD0"/>
    <w:multiLevelType w:val="multilevel"/>
    <w:tmpl w:val="4F496BD0"/>
    <w:lvl w:ilvl="0" w:tentative="0">
      <w:start w:val="1"/>
      <w:numFmt w:val="decimal"/>
      <w:pStyle w:val="3310"/>
      <w:lvlText w:val="%1"/>
      <w:lvlJc w:val="center"/>
      <w:pPr>
        <w:tabs>
          <w:tab w:val="left" w:pos="284"/>
        </w:tabs>
        <w:ind w:left="227" w:hanging="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4F7864A0"/>
    <w:multiLevelType w:val="multilevel"/>
    <w:tmpl w:val="4F7864A0"/>
    <w:lvl w:ilvl="0" w:tentative="0">
      <w:start w:val="1"/>
      <w:numFmt w:val="decimal"/>
      <w:pStyle w:val="3378"/>
      <w:lvlText w:val="表%1："/>
      <w:lvlJc w:val="left"/>
      <w:pPr>
        <w:ind w:left="420" w:hanging="420"/>
      </w:pPr>
      <w:rPr>
        <w:rFonts w:hint="eastAsia"/>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516C5AA4"/>
    <w:multiLevelType w:val="multilevel"/>
    <w:tmpl w:val="516C5AA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1">
    <w:nsid w:val="52170D45"/>
    <w:multiLevelType w:val="multilevel"/>
    <w:tmpl w:val="52170D45"/>
    <w:lvl w:ilvl="0" w:tentative="0">
      <w:start w:val="1"/>
      <w:numFmt w:val="decimal"/>
      <w:pStyle w:val="3373"/>
      <w:lvlText w:val="%1)"/>
      <w:lvlJc w:val="left"/>
      <w:pPr>
        <w:ind w:left="902" w:hanging="4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2">
    <w:nsid w:val="523B64E0"/>
    <w:multiLevelType w:val="multilevel"/>
    <w:tmpl w:val="523B64E0"/>
    <w:lvl w:ilvl="0" w:tentative="0">
      <w:start w:val="256"/>
      <w:numFmt w:val="decimal"/>
      <w:lvlText w:val=""/>
      <w:lvlJc w:val="center"/>
    </w:lvl>
    <w:lvl w:ilvl="1" w:tentative="0">
      <w:start w:val="0"/>
      <w:numFmt w:val="decimal"/>
      <w:pStyle w:val="3078"/>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3">
    <w:nsid w:val="53292498"/>
    <w:multiLevelType w:val="multilevel"/>
    <w:tmpl w:val="53292498"/>
    <w:lvl w:ilvl="0" w:tentative="0">
      <w:start w:val="1"/>
      <w:numFmt w:val="bullet"/>
      <w:pStyle w:val="2762"/>
      <w:lvlText w:val=""/>
      <w:lvlJc w:val="left"/>
      <w:pPr>
        <w:tabs>
          <w:tab w:val="left" w:pos="1134"/>
        </w:tabs>
        <w:ind w:left="567" w:firstLine="0"/>
      </w:pPr>
      <w:rPr>
        <w:rFonts w:hint="default" w:ascii="Wingdings" w:hAnsi="Wingdings"/>
        <w:b w:val="0"/>
        <w:i w:val="0"/>
        <w:color w:val="00800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4">
    <w:nsid w:val="54DA68B8"/>
    <w:multiLevelType w:val="multilevel"/>
    <w:tmpl w:val="54DA68B8"/>
    <w:lvl w:ilvl="0" w:tentative="0">
      <w:start w:val="1"/>
      <w:numFmt w:val="chineseCountingThousand"/>
      <w:pStyle w:val="1859"/>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5">
    <w:nsid w:val="55526E93"/>
    <w:multiLevelType w:val="multilevel"/>
    <w:tmpl w:val="55526E93"/>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96">
    <w:nsid w:val="557C2AF5"/>
    <w:multiLevelType w:val="multilevel"/>
    <w:tmpl w:val="557C2AF5"/>
    <w:lvl w:ilvl="0" w:tentative="0">
      <w:start w:val="1"/>
      <w:numFmt w:val="decimal"/>
      <w:pStyle w:val="463"/>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7">
    <w:nsid w:val="588D663A"/>
    <w:multiLevelType w:val="multilevel"/>
    <w:tmpl w:val="588D663A"/>
    <w:lvl w:ilvl="0" w:tentative="0">
      <w:start w:val="1"/>
      <w:numFmt w:val="decimal"/>
      <w:suff w:val="space"/>
      <w:lvlText w:val="%1"/>
      <w:lvlJc w:val="left"/>
      <w:pPr>
        <w:ind w:left="0" w:firstLine="0"/>
      </w:pPr>
    </w:lvl>
    <w:lvl w:ilvl="1" w:tentative="0">
      <w:start w:val="1"/>
      <w:numFmt w:val="decimal"/>
      <w:pStyle w:val="1446"/>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pStyle w:val="1342"/>
      <w:suff w:val="space"/>
      <w:lvlText w:val="%1.%2.%3.%4.%5.%6"/>
      <w:lvlJc w:val="left"/>
      <w:pPr>
        <w:ind w:left="0" w:firstLine="0"/>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98">
    <w:nsid w:val="5A0A7E90"/>
    <w:multiLevelType w:val="multilevel"/>
    <w:tmpl w:val="5A0A7E90"/>
    <w:lvl w:ilvl="0" w:tentative="0">
      <w:start w:val="1"/>
      <w:numFmt w:val="decimal"/>
      <w:lvlText w:val="%1"/>
      <w:lvlJc w:val="left"/>
      <w:pPr>
        <w:tabs>
          <w:tab w:val="left" w:pos="432"/>
        </w:tabs>
        <w:ind w:left="432" w:hanging="432"/>
      </w:pPr>
      <w:rPr>
        <w:rFonts w:hint="default" w:ascii="Arial" w:hAnsi="Arial" w:eastAsia="黑体"/>
        <w:b/>
        <w:i w:val="0"/>
        <w:sz w:val="24"/>
        <w:szCs w:val="24"/>
      </w:rPr>
    </w:lvl>
    <w:lvl w:ilvl="1" w:tentative="0">
      <w:start w:val="1"/>
      <w:numFmt w:val="decimal"/>
      <w:lvlText w:val="%1.%2"/>
      <w:lvlJc w:val="left"/>
      <w:pPr>
        <w:tabs>
          <w:tab w:val="left" w:pos="576"/>
        </w:tabs>
        <w:ind w:left="576" w:hanging="576"/>
      </w:pPr>
      <w:rPr>
        <w:rFonts w:hint="default" w:ascii="Arial" w:hAnsi="Arial" w:eastAsia="黑体"/>
        <w:b/>
        <w:i w:val="0"/>
        <w:sz w:val="28"/>
        <w:szCs w:val="28"/>
      </w:rPr>
    </w:lvl>
    <w:lvl w:ilvl="2" w:tentative="0">
      <w:start w:val="1"/>
      <w:numFmt w:val="decimal"/>
      <w:lvlText w:val="%1.%2.%3"/>
      <w:lvlJc w:val="left"/>
      <w:pPr>
        <w:tabs>
          <w:tab w:val="left" w:pos="720"/>
        </w:tabs>
        <w:ind w:left="720" w:hanging="720"/>
      </w:pPr>
      <w:rPr>
        <w:rFonts w:hint="default" w:ascii="Arial" w:hAnsi="Arial" w:eastAsia="黑体"/>
        <w:b/>
        <w:i w:val="0"/>
        <w:sz w:val="28"/>
        <w:szCs w:val="28"/>
      </w:rPr>
    </w:lvl>
    <w:lvl w:ilvl="3" w:tentative="0">
      <w:start w:val="1"/>
      <w:numFmt w:val="decimal"/>
      <w:lvlText w:val="%1.%2.%3.%4"/>
      <w:lvlJc w:val="left"/>
      <w:pPr>
        <w:tabs>
          <w:tab w:val="left" w:pos="864"/>
        </w:tabs>
        <w:ind w:left="864" w:hanging="864"/>
      </w:pPr>
      <w:rPr>
        <w:rFonts w:hint="default" w:ascii="Arial" w:hAnsi="Arial" w:eastAsia="黑体"/>
        <w:b/>
        <w:i w:val="0"/>
        <w:sz w:val="24"/>
        <w:szCs w:val="24"/>
      </w:rPr>
    </w:lvl>
    <w:lvl w:ilvl="4" w:tentative="0">
      <w:start w:val="1"/>
      <w:numFmt w:val="decimal"/>
      <w:pStyle w:val="2718"/>
      <w:lvlText w:val="%1.%2.%3.%4.%5"/>
      <w:lvlJc w:val="left"/>
      <w:pPr>
        <w:tabs>
          <w:tab w:val="left" w:pos="1008"/>
        </w:tabs>
        <w:ind w:left="1008" w:hanging="1008"/>
      </w:pPr>
      <w:rPr>
        <w:rFonts w:hint="eastAsia" w:eastAsia="宋体"/>
        <w:b/>
        <w:i w:val="0"/>
        <w:sz w:val="24"/>
        <w:szCs w:val="24"/>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9">
    <w:nsid w:val="5B8E163D"/>
    <w:multiLevelType w:val="multilevel"/>
    <w:tmpl w:val="5B8E163D"/>
    <w:lvl w:ilvl="0" w:tentative="0">
      <w:start w:val="1"/>
      <w:numFmt w:val="bullet"/>
      <w:pStyle w:val="1521"/>
      <w:lvlText w:val=""/>
      <w:lvlJc w:val="left"/>
      <w:pPr>
        <w:tabs>
          <w:tab w:val="left" w:pos="857"/>
        </w:tabs>
        <w:ind w:left="857" w:hanging="420"/>
      </w:pPr>
      <w:rPr>
        <w:rFonts w:hint="default" w:ascii="Wingdings" w:hAnsi="Wingdings"/>
      </w:rPr>
    </w:lvl>
    <w:lvl w:ilvl="1" w:tentative="0">
      <w:start w:val="1"/>
      <w:numFmt w:val="bullet"/>
      <w:lvlText w:val=""/>
      <w:lvlJc w:val="left"/>
      <w:pPr>
        <w:tabs>
          <w:tab w:val="left" w:pos="1277"/>
        </w:tabs>
        <w:ind w:left="1277" w:hanging="420"/>
      </w:pPr>
      <w:rPr>
        <w:rFonts w:hint="default" w:ascii="Wingdings" w:hAnsi="Wingdings"/>
      </w:rPr>
    </w:lvl>
    <w:lvl w:ilvl="2" w:tentative="0">
      <w:start w:val="1"/>
      <w:numFmt w:val="bullet"/>
      <w:lvlText w:val=""/>
      <w:lvlJc w:val="left"/>
      <w:pPr>
        <w:tabs>
          <w:tab w:val="left" w:pos="1697"/>
        </w:tabs>
        <w:ind w:left="1697" w:hanging="420"/>
      </w:pPr>
      <w:rPr>
        <w:rFonts w:hint="default" w:ascii="Wingdings" w:hAnsi="Wingdings"/>
      </w:rPr>
    </w:lvl>
    <w:lvl w:ilvl="3" w:tentative="0">
      <w:start w:val="1"/>
      <w:numFmt w:val="bullet"/>
      <w:lvlText w:val=""/>
      <w:lvlJc w:val="left"/>
      <w:pPr>
        <w:tabs>
          <w:tab w:val="left" w:pos="2117"/>
        </w:tabs>
        <w:ind w:left="2117" w:hanging="420"/>
      </w:pPr>
      <w:rPr>
        <w:rFonts w:hint="default" w:ascii="Wingdings" w:hAnsi="Wingdings"/>
      </w:rPr>
    </w:lvl>
    <w:lvl w:ilvl="4" w:tentative="0">
      <w:start w:val="1"/>
      <w:numFmt w:val="bullet"/>
      <w:lvlText w:val=""/>
      <w:lvlJc w:val="left"/>
      <w:pPr>
        <w:tabs>
          <w:tab w:val="left" w:pos="2537"/>
        </w:tabs>
        <w:ind w:left="2537" w:hanging="420"/>
      </w:pPr>
      <w:rPr>
        <w:rFonts w:hint="default" w:ascii="Wingdings" w:hAnsi="Wingdings"/>
      </w:rPr>
    </w:lvl>
    <w:lvl w:ilvl="5" w:tentative="0">
      <w:start w:val="1"/>
      <w:numFmt w:val="bullet"/>
      <w:lvlText w:val=""/>
      <w:lvlJc w:val="left"/>
      <w:pPr>
        <w:tabs>
          <w:tab w:val="left" w:pos="2957"/>
        </w:tabs>
        <w:ind w:left="2957" w:hanging="420"/>
      </w:pPr>
      <w:rPr>
        <w:rFonts w:hint="default" w:ascii="Wingdings" w:hAnsi="Wingdings"/>
      </w:rPr>
    </w:lvl>
    <w:lvl w:ilvl="6" w:tentative="0">
      <w:start w:val="1"/>
      <w:numFmt w:val="bullet"/>
      <w:lvlText w:val=""/>
      <w:lvlJc w:val="left"/>
      <w:pPr>
        <w:tabs>
          <w:tab w:val="left" w:pos="3377"/>
        </w:tabs>
        <w:ind w:left="3377" w:hanging="420"/>
      </w:pPr>
      <w:rPr>
        <w:rFonts w:hint="default" w:ascii="Wingdings" w:hAnsi="Wingdings"/>
      </w:rPr>
    </w:lvl>
    <w:lvl w:ilvl="7" w:tentative="0">
      <w:start w:val="1"/>
      <w:numFmt w:val="bullet"/>
      <w:lvlText w:val=""/>
      <w:lvlJc w:val="left"/>
      <w:pPr>
        <w:tabs>
          <w:tab w:val="left" w:pos="3797"/>
        </w:tabs>
        <w:ind w:left="3797" w:hanging="420"/>
      </w:pPr>
      <w:rPr>
        <w:rFonts w:hint="default" w:ascii="Wingdings" w:hAnsi="Wingdings"/>
      </w:rPr>
    </w:lvl>
    <w:lvl w:ilvl="8" w:tentative="0">
      <w:start w:val="1"/>
      <w:numFmt w:val="bullet"/>
      <w:lvlText w:val=""/>
      <w:lvlJc w:val="left"/>
      <w:pPr>
        <w:tabs>
          <w:tab w:val="left" w:pos="4217"/>
        </w:tabs>
        <w:ind w:left="4217" w:hanging="420"/>
      </w:pPr>
      <w:rPr>
        <w:rFonts w:hint="default" w:ascii="Wingdings" w:hAnsi="Wingdings"/>
      </w:rPr>
    </w:lvl>
  </w:abstractNum>
  <w:abstractNum w:abstractNumId="100">
    <w:nsid w:val="5FD11A3C"/>
    <w:multiLevelType w:val="multilevel"/>
    <w:tmpl w:val="5FD11A3C"/>
    <w:lvl w:ilvl="0" w:tentative="0">
      <w:start w:val="1"/>
      <w:numFmt w:val="bullet"/>
      <w:pStyle w:val="2753"/>
      <w:lvlText w:val=""/>
      <w:lvlJc w:val="left"/>
      <w:pPr>
        <w:tabs>
          <w:tab w:val="left" w:pos="1134"/>
        </w:tabs>
        <w:ind w:left="567" w:firstLine="0"/>
      </w:pPr>
      <w:rPr>
        <w:rFonts w:hint="default" w:ascii="Wingdings" w:hAnsi="Wingdings"/>
        <w:b w:val="0"/>
        <w:i w:val="0"/>
        <w:color w:val="FF660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1">
    <w:nsid w:val="605200A4"/>
    <w:multiLevelType w:val="multilevel"/>
    <w:tmpl w:val="605200A4"/>
    <w:lvl w:ilvl="0" w:tentative="0">
      <w:start w:val="1"/>
      <w:numFmt w:val="bullet"/>
      <w:pStyle w:val="1222"/>
      <w:lvlText w:val=""/>
      <w:lvlJc w:val="left"/>
      <w:pPr>
        <w:ind w:left="1260" w:hanging="420"/>
      </w:pPr>
      <w:rPr>
        <w:rFonts w:hint="default" w:ascii="Wingdings" w:hAnsi="Wingdings"/>
        <w:sz w:val="16"/>
        <w:szCs w:val="16"/>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02">
    <w:nsid w:val="609A3336"/>
    <w:multiLevelType w:val="multilevel"/>
    <w:tmpl w:val="609A3336"/>
    <w:lvl w:ilvl="0" w:tentative="0">
      <w:start w:val="1"/>
      <w:numFmt w:val="decimal"/>
      <w:pStyle w:val="513"/>
      <w:lvlText w:val="%1."/>
      <w:lvlJc w:val="left"/>
      <w:pPr>
        <w:tabs>
          <w:tab w:val="left" w:pos="0"/>
        </w:tabs>
        <w:ind w:left="0" w:firstLine="0"/>
      </w:pPr>
      <w:rPr>
        <w:rFonts w:hint="default" w:ascii="Times New Roman" w:hAnsi="Times New Roman" w:eastAsia="宋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3">
    <w:nsid w:val="60B55DC2"/>
    <w:multiLevelType w:val="multilevel"/>
    <w:tmpl w:val="60B55DC2"/>
    <w:lvl w:ilvl="0" w:tentative="0">
      <w:start w:val="1"/>
      <w:numFmt w:val="upperLetter"/>
      <w:pStyle w:val="469"/>
      <w:lvlText w:val="%1"/>
      <w:lvlJc w:val="left"/>
      <w:pPr>
        <w:tabs>
          <w:tab w:val="left" w:pos="2836"/>
        </w:tabs>
        <w:ind w:left="2836" w:hanging="425"/>
      </w:pPr>
      <w:rPr>
        <w:rFonts w:hint="eastAsia"/>
      </w:rPr>
    </w:lvl>
    <w:lvl w:ilvl="1" w:tentative="0">
      <w:start w:val="1"/>
      <w:numFmt w:val="decimal"/>
      <w:pStyle w:val="445"/>
      <w:suff w:val="nothing"/>
      <w:lvlText w:val="表%1.%2　"/>
      <w:lvlJc w:val="left"/>
      <w:pPr>
        <w:ind w:left="4395" w:hanging="567"/>
      </w:pPr>
      <w:rPr>
        <w:rFonts w:hint="eastAsia" w:ascii="黑体" w:eastAsia="黑体"/>
        <w:lang w:val="en-US"/>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04">
    <w:nsid w:val="60E27DAB"/>
    <w:multiLevelType w:val="singleLevel"/>
    <w:tmpl w:val="60E27DAB"/>
    <w:lvl w:ilvl="0" w:tentative="0">
      <w:start w:val="1"/>
      <w:numFmt w:val="lowerLetter"/>
      <w:suff w:val="space"/>
      <w:lvlText w:val="%1）"/>
      <w:lvlJc w:val="left"/>
      <w:pPr>
        <w:tabs>
          <w:tab w:val="left" w:pos="0"/>
        </w:tabs>
        <w:ind w:left="0" w:firstLine="40"/>
      </w:pPr>
      <w:rPr>
        <w:rFonts w:hint="default" w:ascii="宋体" w:hAnsi="宋体" w:eastAsia="宋体" w:cs="苹方-简"/>
      </w:rPr>
    </w:lvl>
  </w:abstractNum>
  <w:abstractNum w:abstractNumId="105">
    <w:nsid w:val="612353B0"/>
    <w:multiLevelType w:val="multilevel"/>
    <w:tmpl w:val="612353B0"/>
    <w:lvl w:ilvl="0" w:tentative="0">
      <w:start w:val="1"/>
      <w:numFmt w:val="upperLetter"/>
      <w:pStyle w:val="2030"/>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6">
    <w:nsid w:val="612B7E33"/>
    <w:multiLevelType w:val="singleLevel"/>
    <w:tmpl w:val="612B7E33"/>
    <w:lvl w:ilvl="0" w:tentative="0">
      <w:start w:val="1"/>
      <w:numFmt w:val="lowerLetter"/>
      <w:suff w:val="space"/>
      <w:lvlText w:val="%1）"/>
      <w:lvlJc w:val="left"/>
      <w:pPr>
        <w:tabs>
          <w:tab w:val="left" w:pos="0"/>
        </w:tabs>
        <w:ind w:left="0" w:firstLine="40"/>
      </w:pPr>
      <w:rPr>
        <w:rFonts w:hint="default" w:ascii="宋体" w:hAnsi="宋体" w:eastAsia="宋体" w:cs="苹方-简"/>
      </w:rPr>
    </w:lvl>
  </w:abstractNum>
  <w:abstractNum w:abstractNumId="107">
    <w:nsid w:val="612B94C8"/>
    <w:multiLevelType w:val="singleLevel"/>
    <w:tmpl w:val="612B94C8"/>
    <w:lvl w:ilvl="0" w:tentative="0">
      <w:start w:val="1"/>
      <w:numFmt w:val="decimal"/>
      <w:suff w:val="space"/>
      <w:lvlText w:val="表%1 "/>
      <w:lvlJc w:val="left"/>
      <w:pPr>
        <w:tabs>
          <w:tab w:val="left" w:pos="0"/>
        </w:tabs>
        <w:ind w:left="425" w:hanging="425"/>
      </w:pPr>
      <w:rPr>
        <w:rFonts w:hint="default" w:ascii="黑体" w:hAnsi="黑体" w:eastAsia="黑体" w:cs="黑体"/>
        <w:sz w:val="21"/>
      </w:rPr>
    </w:lvl>
  </w:abstractNum>
  <w:abstractNum w:abstractNumId="108">
    <w:nsid w:val="632F4803"/>
    <w:multiLevelType w:val="multilevel"/>
    <w:tmpl w:val="632F4803"/>
    <w:lvl w:ilvl="0" w:tentative="0">
      <w:start w:val="1"/>
      <w:numFmt w:val="upperLetter"/>
      <w:pStyle w:val="1851"/>
      <w:lvlText w:val="%1."/>
      <w:lvlJc w:val="left"/>
      <w:pPr>
        <w:ind w:left="640" w:hanging="440"/>
      </w:p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109">
    <w:nsid w:val="646260FA"/>
    <w:multiLevelType w:val="multilevel"/>
    <w:tmpl w:val="646260FA"/>
    <w:lvl w:ilvl="0" w:tentative="0">
      <w:start w:val="1"/>
      <w:numFmt w:val="decimal"/>
      <w:pStyle w:val="444"/>
      <w:suff w:val="nothing"/>
      <w:lvlText w:val="表%1　"/>
      <w:lvlJc w:val="left"/>
      <w:pPr>
        <w:ind w:left="9073" w:firstLine="0"/>
      </w:pPr>
      <w:rPr>
        <w:rFonts w:hint="eastAsia" w:ascii="黑体" w:hAnsi="Times New Roman" w:eastAsia="黑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0">
    <w:nsid w:val="657D3FBC"/>
    <w:multiLevelType w:val="multilevel"/>
    <w:tmpl w:val="657D3FBC"/>
    <w:lvl w:ilvl="0" w:tentative="0">
      <w:start w:val="1"/>
      <w:numFmt w:val="upperLetter"/>
      <w:pStyle w:val="460"/>
      <w:suff w:val="nothing"/>
      <w:lvlText w:val="附　录　%1"/>
      <w:lvlJc w:val="left"/>
      <w:pPr>
        <w:ind w:left="3261" w:firstLine="0"/>
      </w:pPr>
      <w:rPr>
        <w:rFonts w:hint="eastAsia" w:ascii="黑体" w:hAnsi="Times New Roman" w:eastAsia="黑体"/>
        <w:b w:val="0"/>
        <w:i w:val="0"/>
        <w:spacing w:val="0"/>
        <w:w w:val="100"/>
        <w:sz w:val="21"/>
        <w:lang w:val="en-US"/>
      </w:rPr>
    </w:lvl>
    <w:lvl w:ilvl="1" w:tentative="0">
      <w:start w:val="1"/>
      <w:numFmt w:val="decimal"/>
      <w:pStyle w:val="441"/>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410"/>
      <w:suff w:val="nothing"/>
      <w:lvlText w:val="%1.%2.%3.%4　"/>
      <w:lvlJc w:val="left"/>
      <w:pPr>
        <w:ind w:left="0" w:firstLine="0"/>
      </w:pPr>
      <w:rPr>
        <w:rFonts w:hint="eastAsia" w:ascii="黑体" w:hAnsi="Times New Roman" w:eastAsia="黑体"/>
        <w:b w:val="0"/>
        <w:i w:val="0"/>
        <w:sz w:val="21"/>
      </w:rPr>
    </w:lvl>
    <w:lvl w:ilvl="4" w:tentative="0">
      <w:start w:val="1"/>
      <w:numFmt w:val="decimal"/>
      <w:pStyle w:val="409"/>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1">
    <w:nsid w:val="658D1B19"/>
    <w:multiLevelType w:val="multilevel"/>
    <w:tmpl w:val="658D1B19"/>
    <w:lvl w:ilvl="0" w:tentative="0">
      <w:start w:val="1"/>
      <w:numFmt w:val="decimal"/>
      <w:pStyle w:val="1245"/>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2">
    <w:nsid w:val="665054F6"/>
    <w:multiLevelType w:val="multilevel"/>
    <w:tmpl w:val="665054F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3">
    <w:nsid w:val="692A4384"/>
    <w:multiLevelType w:val="multilevel"/>
    <w:tmpl w:val="692A4384"/>
    <w:lvl w:ilvl="0" w:tentative="0">
      <w:start w:val="1"/>
      <w:numFmt w:val="bullet"/>
      <w:pStyle w:val="2764"/>
      <w:lvlText w:val=""/>
      <w:lvlJc w:val="left"/>
      <w:pPr>
        <w:tabs>
          <w:tab w:val="left" w:pos="1134"/>
        </w:tabs>
        <w:ind w:left="567" w:firstLine="0"/>
      </w:pPr>
      <w:rPr>
        <w:rFonts w:hint="default" w:ascii="Wingdings" w:hAnsi="Wingdings"/>
        <w:b w:val="0"/>
        <w:i w:val="0"/>
        <w:color w:val="80800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4">
    <w:nsid w:val="697D32F5"/>
    <w:multiLevelType w:val="multilevel"/>
    <w:tmpl w:val="697D32F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5">
    <w:nsid w:val="6D6C07CD"/>
    <w:multiLevelType w:val="multilevel"/>
    <w:tmpl w:val="6D6C07CD"/>
    <w:lvl w:ilvl="0" w:tentative="0">
      <w:start w:val="1"/>
      <w:numFmt w:val="lowerLetter"/>
      <w:pStyle w:val="448"/>
      <w:lvlText w:val="%1)"/>
      <w:lvlJc w:val="left"/>
      <w:pPr>
        <w:tabs>
          <w:tab w:val="left" w:pos="839"/>
        </w:tabs>
        <w:ind w:left="839" w:hanging="419"/>
      </w:pPr>
      <w:rPr>
        <w:rFonts w:hint="eastAsia" w:ascii="宋体" w:eastAsia="宋体"/>
        <w:b w:val="0"/>
        <w:i w:val="0"/>
        <w:sz w:val="21"/>
      </w:rPr>
    </w:lvl>
    <w:lvl w:ilvl="1" w:tentative="0">
      <w:start w:val="1"/>
      <w:numFmt w:val="decimal"/>
      <w:pStyle w:val="459"/>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16">
    <w:nsid w:val="6DBF04F4"/>
    <w:multiLevelType w:val="multilevel"/>
    <w:tmpl w:val="6DBF04F4"/>
    <w:lvl w:ilvl="0" w:tentative="0">
      <w:start w:val="1"/>
      <w:numFmt w:val="none"/>
      <w:pStyle w:val="431"/>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17">
    <w:nsid w:val="6E6F60E7"/>
    <w:multiLevelType w:val="multilevel"/>
    <w:tmpl w:val="6E6F60E7"/>
    <w:lvl w:ilvl="0" w:tentative="0">
      <w:start w:val="1"/>
      <w:numFmt w:val="decimal"/>
      <w:lvlText w:val="第%1章"/>
      <w:lvlJc w:val="left"/>
      <w:pPr>
        <w:ind w:left="432" w:hanging="432"/>
      </w:pPr>
      <w:rPr>
        <w:rFonts w:hint="eastAsia"/>
        <w:b/>
        <w:sz w:val="52"/>
        <w:szCs w:val="52"/>
        <w:lang w:val="en-US"/>
      </w:rPr>
    </w:lvl>
    <w:lvl w:ilvl="1" w:tentative="0">
      <w:start w:val="1"/>
      <w:numFmt w:val="decimal"/>
      <w:pStyle w:val="231"/>
      <w:lvlText w:val="%1.%2"/>
      <w:lvlJc w:val="left"/>
      <w:pPr>
        <w:ind w:left="576" w:hanging="576"/>
      </w:pPr>
      <w:rPr>
        <w:rFonts w:hint="eastAsia"/>
      </w:rPr>
    </w:lvl>
    <w:lvl w:ilvl="2" w:tentative="0">
      <w:start w:val="1"/>
      <w:numFmt w:val="decimal"/>
      <w:pStyle w:val="230"/>
      <w:lvlText w:val="%1.%2.%3"/>
      <w:lvlJc w:val="left"/>
      <w:pPr>
        <w:ind w:left="0" w:firstLine="0"/>
      </w:pPr>
      <w:rPr>
        <w:rFonts w:hint="eastAsia"/>
        <w:b/>
        <w:sz w:val="24"/>
        <w:szCs w:val="24"/>
        <w:lang w:val="en-US"/>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284" w:hanging="284"/>
      </w:pPr>
      <w:rPr>
        <w:rFonts w:hint="eastAsia" w:ascii="宋体" w:hAnsi="宋体" w:eastAsia="宋体"/>
      </w:rPr>
    </w:lvl>
    <w:lvl w:ilvl="6" w:tentative="0">
      <w:start w:val="1"/>
      <w:numFmt w:val="decimal"/>
      <w:pStyle w:val="235"/>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18">
    <w:nsid w:val="6F060C2D"/>
    <w:multiLevelType w:val="multilevel"/>
    <w:tmpl w:val="6F060C2D"/>
    <w:lvl w:ilvl="0" w:tentative="0">
      <w:start w:val="1"/>
      <w:numFmt w:val="bullet"/>
      <w:pStyle w:val="1453"/>
      <w:lvlText w:val=""/>
      <w:lvlJc w:val="left"/>
      <w:pPr>
        <w:tabs>
          <w:tab w:val="left" w:pos="700"/>
        </w:tabs>
        <w:ind w:left="630" w:hanging="29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19">
    <w:nsid w:val="73DA4DBF"/>
    <w:multiLevelType w:val="multilevel"/>
    <w:tmpl w:val="73DA4DB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0">
    <w:nsid w:val="74886680"/>
    <w:multiLevelType w:val="multilevel"/>
    <w:tmpl w:val="74886680"/>
    <w:lvl w:ilvl="0" w:tentative="0">
      <w:start w:val="1"/>
      <w:numFmt w:val="decimal"/>
      <w:pStyle w:val="1406"/>
      <w:lvlText w:val="%1."/>
      <w:lvlJc w:val="left"/>
      <w:pPr>
        <w:tabs>
          <w:tab w:val="left" w:pos="266"/>
        </w:tabs>
        <w:ind w:left="-28" w:firstLine="312"/>
      </w:pPr>
      <w:rPr>
        <w:rFonts w:hint="default" w:ascii="Arial" w:hAnsi="Arial" w:cs="Arial"/>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1">
    <w:nsid w:val="75162CD7"/>
    <w:multiLevelType w:val="multilevel"/>
    <w:tmpl w:val="75162CD7"/>
    <w:lvl w:ilvl="0" w:tentative="0">
      <w:start w:val="1"/>
      <w:numFmt w:val="decimal"/>
      <w:pStyle w:val="1860"/>
      <w:lvlText w:val="%1."/>
      <w:lvlJc w:val="left"/>
      <w:pPr>
        <w:ind w:left="638" w:hanging="440"/>
      </w:pPr>
      <w:rPr>
        <w:rFonts w:hint="eastAsia"/>
      </w:rPr>
    </w:lvl>
    <w:lvl w:ilvl="1" w:tentative="0">
      <w:start w:val="1"/>
      <w:numFmt w:val="lowerLetter"/>
      <w:lvlText w:val="%2)"/>
      <w:lvlJc w:val="left"/>
      <w:pPr>
        <w:ind w:left="1078" w:hanging="440"/>
      </w:pPr>
    </w:lvl>
    <w:lvl w:ilvl="2" w:tentative="0">
      <w:start w:val="1"/>
      <w:numFmt w:val="lowerRoman"/>
      <w:lvlText w:val="%3."/>
      <w:lvlJc w:val="right"/>
      <w:pPr>
        <w:ind w:left="1518" w:hanging="440"/>
      </w:pPr>
    </w:lvl>
    <w:lvl w:ilvl="3" w:tentative="0">
      <w:start w:val="1"/>
      <w:numFmt w:val="decimal"/>
      <w:lvlText w:val="%4."/>
      <w:lvlJc w:val="left"/>
      <w:pPr>
        <w:ind w:left="1958" w:hanging="440"/>
      </w:pPr>
    </w:lvl>
    <w:lvl w:ilvl="4" w:tentative="0">
      <w:start w:val="1"/>
      <w:numFmt w:val="lowerLetter"/>
      <w:lvlText w:val="%5)"/>
      <w:lvlJc w:val="left"/>
      <w:pPr>
        <w:ind w:left="2398" w:hanging="440"/>
      </w:pPr>
    </w:lvl>
    <w:lvl w:ilvl="5" w:tentative="0">
      <w:start w:val="1"/>
      <w:numFmt w:val="lowerRoman"/>
      <w:lvlText w:val="%6."/>
      <w:lvlJc w:val="right"/>
      <w:pPr>
        <w:ind w:left="2838" w:hanging="440"/>
      </w:pPr>
    </w:lvl>
    <w:lvl w:ilvl="6" w:tentative="0">
      <w:start w:val="1"/>
      <w:numFmt w:val="decimal"/>
      <w:lvlText w:val="%7."/>
      <w:lvlJc w:val="left"/>
      <w:pPr>
        <w:ind w:left="3278" w:hanging="440"/>
      </w:pPr>
    </w:lvl>
    <w:lvl w:ilvl="7" w:tentative="0">
      <w:start w:val="1"/>
      <w:numFmt w:val="lowerLetter"/>
      <w:lvlText w:val="%8)"/>
      <w:lvlJc w:val="left"/>
      <w:pPr>
        <w:ind w:left="3718" w:hanging="440"/>
      </w:pPr>
    </w:lvl>
    <w:lvl w:ilvl="8" w:tentative="0">
      <w:start w:val="1"/>
      <w:numFmt w:val="lowerRoman"/>
      <w:lvlText w:val="%9."/>
      <w:lvlJc w:val="right"/>
      <w:pPr>
        <w:ind w:left="4158" w:hanging="440"/>
      </w:pPr>
    </w:lvl>
  </w:abstractNum>
  <w:abstractNum w:abstractNumId="122">
    <w:nsid w:val="77264BFC"/>
    <w:multiLevelType w:val="multilevel"/>
    <w:tmpl w:val="77264BFC"/>
    <w:lvl w:ilvl="0" w:tentative="0">
      <w:start w:val="1"/>
      <w:numFmt w:val="chineseCountingThousand"/>
      <w:pStyle w:val="1476"/>
      <w:suff w:val="space"/>
      <w:lvlText w:val="第%1章"/>
      <w:lvlJc w:val="left"/>
      <w:pPr>
        <w:ind w:left="0" w:firstLine="0"/>
      </w:pPr>
      <w:rPr>
        <w:b/>
        <w:bCs w:val="0"/>
        <w:i w:val="0"/>
        <w:iCs w:val="0"/>
        <w:caps w:val="0"/>
        <w:smallCaps w:val="0"/>
        <w:strike w:val="0"/>
        <w:dstrike w:val="0"/>
        <w:vanish w:val="0"/>
        <w:color w:val="000000"/>
        <w:spacing w:val="0"/>
        <w:position w:val="0"/>
        <w:u w:val="none"/>
        <w:vertAlign w:val="baseline"/>
        <w:lang w:val="en-US"/>
      </w:rPr>
    </w:lvl>
    <w:lvl w:ilvl="1" w:tentative="0">
      <w:start w:val="1"/>
      <w:numFmt w:val="decimal"/>
      <w:isLgl/>
      <w:suff w:val="space"/>
      <w:lvlText w:val="%1.%2"/>
      <w:lvlJc w:val="left"/>
      <w:pPr>
        <w:ind w:left="0" w:firstLine="0"/>
      </w:pPr>
      <w:rPr>
        <w:rFonts w:hint="eastAsia"/>
        <w:color w:val="auto"/>
      </w:rPr>
    </w:lvl>
    <w:lvl w:ilvl="2" w:tentative="0">
      <w:start w:val="1"/>
      <w:numFmt w:val="decimal"/>
      <w:isLgl/>
      <w:suff w:val="space"/>
      <w:lvlText w:val="%1.%2.%3"/>
      <w:lvlJc w:val="left"/>
      <w:pPr>
        <w:ind w:left="425" w:hanging="425"/>
      </w:pPr>
      <w:rPr>
        <w:rFonts w:hint="eastAsia"/>
      </w:rPr>
    </w:lvl>
    <w:lvl w:ilvl="3" w:tentative="0">
      <w:start w:val="1"/>
      <w:numFmt w:val="decimal"/>
      <w:isLgl/>
      <w:suff w:val="space"/>
      <w:lvlText w:val="%1.%2.%3.%4"/>
      <w:lvlJc w:val="left"/>
      <w:pPr>
        <w:ind w:left="960" w:firstLine="0"/>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23">
    <w:nsid w:val="772A5F2A"/>
    <w:multiLevelType w:val="multilevel"/>
    <w:tmpl w:val="772A5F2A"/>
    <w:lvl w:ilvl="0" w:tentative="0">
      <w:start w:val="1"/>
      <w:numFmt w:val="decimal"/>
      <w:pStyle w:val="2939"/>
      <w:suff w:val="nothing"/>
      <w:lvlText w:val="%1）"/>
      <w:lvlJc w:val="left"/>
      <w:pPr>
        <w:ind w:left="839" w:firstLine="0"/>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suff w:val="space"/>
      <w:lvlText w:val="%2)"/>
      <w:lvlJc w:val="left"/>
      <w:pPr>
        <w:ind w:left="1225" w:firstLine="0"/>
      </w:pPr>
      <w:rPr>
        <w:rFonts w:hint="eastAsia"/>
      </w:rPr>
    </w:lvl>
    <w:lvl w:ilvl="2" w:tentative="0">
      <w:start w:val="1"/>
      <w:numFmt w:val="lowerRoman"/>
      <w:lvlText w:val="%3."/>
      <w:lvlJc w:val="right"/>
      <w:pPr>
        <w:tabs>
          <w:tab w:val="left" w:pos="806"/>
        </w:tabs>
        <w:ind w:left="1611" w:firstLine="0"/>
      </w:pPr>
      <w:rPr>
        <w:rFonts w:hint="eastAsia"/>
      </w:rPr>
    </w:lvl>
    <w:lvl w:ilvl="3" w:tentative="0">
      <w:start w:val="1"/>
      <w:numFmt w:val="decimal"/>
      <w:lvlText w:val="%4."/>
      <w:lvlJc w:val="left"/>
      <w:pPr>
        <w:tabs>
          <w:tab w:val="left" w:pos="999"/>
        </w:tabs>
        <w:ind w:left="1997" w:firstLine="0"/>
      </w:pPr>
      <w:rPr>
        <w:rFonts w:hint="eastAsia"/>
      </w:rPr>
    </w:lvl>
    <w:lvl w:ilvl="4" w:tentative="0">
      <w:start w:val="1"/>
      <w:numFmt w:val="lowerLetter"/>
      <w:lvlText w:val="%5)"/>
      <w:lvlJc w:val="left"/>
      <w:pPr>
        <w:tabs>
          <w:tab w:val="left" w:pos="1192"/>
        </w:tabs>
        <w:ind w:left="2383" w:firstLine="0"/>
      </w:pPr>
      <w:rPr>
        <w:rFonts w:hint="eastAsia"/>
      </w:rPr>
    </w:lvl>
    <w:lvl w:ilvl="5" w:tentative="0">
      <w:start w:val="1"/>
      <w:numFmt w:val="lowerRoman"/>
      <w:lvlText w:val="%6."/>
      <w:lvlJc w:val="right"/>
      <w:pPr>
        <w:tabs>
          <w:tab w:val="left" w:pos="1385"/>
        </w:tabs>
        <w:ind w:left="2769" w:firstLine="0"/>
      </w:pPr>
      <w:rPr>
        <w:rFonts w:hint="eastAsia"/>
      </w:rPr>
    </w:lvl>
    <w:lvl w:ilvl="6" w:tentative="0">
      <w:start w:val="1"/>
      <w:numFmt w:val="decimal"/>
      <w:lvlText w:val="%7."/>
      <w:lvlJc w:val="left"/>
      <w:pPr>
        <w:tabs>
          <w:tab w:val="left" w:pos="1578"/>
        </w:tabs>
        <w:ind w:left="3155" w:firstLine="0"/>
      </w:pPr>
      <w:rPr>
        <w:rFonts w:hint="eastAsia"/>
      </w:rPr>
    </w:lvl>
    <w:lvl w:ilvl="7" w:tentative="0">
      <w:start w:val="1"/>
      <w:numFmt w:val="lowerLetter"/>
      <w:lvlText w:val="%8)"/>
      <w:lvlJc w:val="left"/>
      <w:pPr>
        <w:tabs>
          <w:tab w:val="left" w:pos="1771"/>
        </w:tabs>
        <w:ind w:left="3541" w:firstLine="0"/>
      </w:pPr>
      <w:rPr>
        <w:rFonts w:hint="eastAsia"/>
      </w:rPr>
    </w:lvl>
    <w:lvl w:ilvl="8" w:tentative="0">
      <w:start w:val="1"/>
      <w:numFmt w:val="lowerRoman"/>
      <w:lvlText w:val="%9."/>
      <w:lvlJc w:val="right"/>
      <w:pPr>
        <w:tabs>
          <w:tab w:val="left" w:pos="1964"/>
        </w:tabs>
        <w:ind w:left="3927" w:firstLine="0"/>
      </w:pPr>
      <w:rPr>
        <w:rFonts w:hint="eastAsia"/>
      </w:rPr>
    </w:lvl>
  </w:abstractNum>
  <w:abstractNum w:abstractNumId="124">
    <w:nsid w:val="78133AE8"/>
    <w:multiLevelType w:val="multilevel"/>
    <w:tmpl w:val="78133AE8"/>
    <w:lvl w:ilvl="0" w:tentative="0">
      <w:start w:val="1"/>
      <w:numFmt w:val="decimal"/>
      <w:pStyle w:val="3422"/>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5">
    <w:nsid w:val="78BC1210"/>
    <w:multiLevelType w:val="multilevel"/>
    <w:tmpl w:val="78BC1210"/>
    <w:lvl w:ilvl="0" w:tentative="0">
      <w:start w:val="1"/>
      <w:numFmt w:val="decimal"/>
      <w:lvlText w:val="%1."/>
      <w:lvlJc w:val="left"/>
      <w:pPr>
        <w:tabs>
          <w:tab w:val="left" w:pos="720"/>
        </w:tabs>
        <w:ind w:left="360" w:hanging="360"/>
      </w:pPr>
    </w:lvl>
    <w:lvl w:ilvl="1" w:tentative="0">
      <w:start w:val="1"/>
      <w:numFmt w:val="decimal"/>
      <w:pStyle w:val="2514"/>
      <w:lvlText w:val="%1.%2."/>
      <w:lvlJc w:val="left"/>
      <w:pPr>
        <w:tabs>
          <w:tab w:val="left" w:pos="1800"/>
        </w:tabs>
        <w:ind w:left="792" w:hanging="432"/>
      </w:pPr>
    </w:lvl>
    <w:lvl w:ilvl="2" w:tentative="0">
      <w:start w:val="1"/>
      <w:numFmt w:val="decimal"/>
      <w:lvlText w:val="%1.%2.%3."/>
      <w:lvlJc w:val="left"/>
      <w:pPr>
        <w:tabs>
          <w:tab w:val="left" w:pos="2520"/>
        </w:tabs>
        <w:ind w:left="1224" w:hanging="504"/>
      </w:pPr>
    </w:lvl>
    <w:lvl w:ilvl="3" w:tentative="0">
      <w:start w:val="1"/>
      <w:numFmt w:val="decimal"/>
      <w:lvlText w:val="%1.%2.%3.%4."/>
      <w:lvlJc w:val="left"/>
      <w:pPr>
        <w:tabs>
          <w:tab w:val="left" w:pos="3600"/>
        </w:tabs>
        <w:ind w:left="1728" w:hanging="648"/>
      </w:pPr>
    </w:lvl>
    <w:lvl w:ilvl="4" w:tentative="0">
      <w:start w:val="1"/>
      <w:numFmt w:val="decimal"/>
      <w:lvlText w:val="%1.%2.%3.%4.%5."/>
      <w:lvlJc w:val="left"/>
      <w:pPr>
        <w:tabs>
          <w:tab w:val="left" w:pos="4320"/>
        </w:tabs>
        <w:ind w:left="2232" w:hanging="792"/>
      </w:pPr>
    </w:lvl>
    <w:lvl w:ilvl="5" w:tentative="0">
      <w:start w:val="1"/>
      <w:numFmt w:val="decimal"/>
      <w:lvlText w:val="%1.%2.%3.%4.%5.%6."/>
      <w:lvlJc w:val="left"/>
      <w:pPr>
        <w:tabs>
          <w:tab w:val="left" w:pos="5400"/>
        </w:tabs>
        <w:ind w:left="2736" w:hanging="936"/>
      </w:pPr>
    </w:lvl>
    <w:lvl w:ilvl="6" w:tentative="0">
      <w:start w:val="1"/>
      <w:numFmt w:val="decimal"/>
      <w:lvlText w:val="%1.%2.%3.%4.%5.%6.%7."/>
      <w:lvlJc w:val="left"/>
      <w:pPr>
        <w:tabs>
          <w:tab w:val="left" w:pos="6480"/>
        </w:tabs>
        <w:ind w:left="3240" w:hanging="1080"/>
      </w:pPr>
    </w:lvl>
    <w:lvl w:ilvl="7" w:tentative="0">
      <w:start w:val="1"/>
      <w:numFmt w:val="decimal"/>
      <w:lvlText w:val="%1.%2.%3.%4.%5.%6.%7.%8."/>
      <w:lvlJc w:val="left"/>
      <w:pPr>
        <w:tabs>
          <w:tab w:val="left" w:pos="7200"/>
        </w:tabs>
        <w:ind w:left="3744" w:hanging="1224"/>
      </w:pPr>
    </w:lvl>
    <w:lvl w:ilvl="8" w:tentative="0">
      <w:start w:val="1"/>
      <w:numFmt w:val="decimal"/>
      <w:lvlText w:val="%1.%2.%3.%4.%5.%6.%7.%8.%9."/>
      <w:lvlJc w:val="left"/>
      <w:pPr>
        <w:tabs>
          <w:tab w:val="left" w:pos="8280"/>
        </w:tabs>
        <w:ind w:left="4320" w:hanging="1440"/>
      </w:pPr>
    </w:lvl>
  </w:abstractNum>
  <w:abstractNum w:abstractNumId="126">
    <w:nsid w:val="7A026210"/>
    <w:multiLevelType w:val="multilevel"/>
    <w:tmpl w:val="7A026210"/>
    <w:lvl w:ilvl="0" w:tentative="0">
      <w:start w:val="1"/>
      <w:numFmt w:val="decimal"/>
      <w:pStyle w:val="1457"/>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127">
    <w:nsid w:val="7C900465"/>
    <w:multiLevelType w:val="multilevel"/>
    <w:tmpl w:val="7C900465"/>
    <w:lvl w:ilvl="0" w:tentative="0">
      <w:start w:val="1"/>
      <w:numFmt w:val="decimal"/>
      <w:pStyle w:val="2766"/>
      <w:lvlText w:val="%1、"/>
      <w:lvlJc w:val="left"/>
      <w:pPr>
        <w:tabs>
          <w:tab w:val="left" w:pos="851"/>
        </w:tabs>
        <w:ind w:left="709" w:firstLine="0"/>
      </w:pPr>
      <w:rPr>
        <w:rFonts w:hint="default" w:ascii="Times New Roman" w:hAnsi="Times New Roman" w:eastAsia="宋体"/>
        <w:b w:val="0"/>
        <w:i w:val="0"/>
        <w:color w:val="auto"/>
        <w:spacing w:val="0"/>
        <w:w w:val="100"/>
        <w:position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8">
    <w:nsid w:val="7CA807D3"/>
    <w:multiLevelType w:val="multilevel"/>
    <w:tmpl w:val="7CA807D3"/>
    <w:lvl w:ilvl="0" w:tentative="0">
      <w:start w:val="1"/>
      <w:numFmt w:val="decimal"/>
      <w:pStyle w:val="3392"/>
      <w:isLgl/>
      <w:lvlText w:val="%1"/>
      <w:lvlJc w:val="left"/>
      <w:pPr>
        <w:ind w:left="432" w:hanging="432"/>
      </w:pPr>
      <w:rPr>
        <w:rFonts w:hint="default" w:ascii="Times New Roman" w:hAnsi="Times New Roman" w:eastAsia="黑体"/>
        <w:b/>
        <w:sz w:val="36"/>
      </w:rPr>
    </w:lvl>
    <w:lvl w:ilvl="1" w:tentative="0">
      <w:start w:val="1"/>
      <w:numFmt w:val="decimal"/>
      <w:pStyle w:val="3393"/>
      <w:isLgl/>
      <w:lvlText w:val="%1.%2"/>
      <w:lvlJc w:val="left"/>
      <w:pPr>
        <w:ind w:left="425" w:hanging="425"/>
      </w:pPr>
      <w:rPr>
        <w:rFonts w:hint="default" w:ascii="Times New Roman" w:hAnsi="Times New Roman" w:eastAsia="黑体"/>
        <w:b/>
        <w:bCs w:val="0"/>
        <w:i w:val="0"/>
        <w:iCs w:val="0"/>
        <w:caps w:val="0"/>
        <w:smallCaps w:val="0"/>
        <w:strike w:val="0"/>
        <w:dstrike w:val="0"/>
        <w:outline w:val="0"/>
        <w:shadow w:val="0"/>
        <w:emboss w:val="0"/>
        <w:imprint w:val="0"/>
        <w:vanish w:val="0"/>
        <w:spacing w:val="0"/>
        <w:position w:val="0"/>
        <w:sz w:val="32"/>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3394"/>
      <w:lvlText w:val="%1.%2.%3"/>
      <w:lvlJc w:val="left"/>
      <w:pPr>
        <w:ind w:left="425" w:hanging="425"/>
      </w:pPr>
      <w:rPr>
        <w:rFonts w:hint="default" w:ascii="Times New Roman" w:hAnsi="Times New Roman" w:eastAsia="宋体"/>
        <w:b/>
        <w:i w:val="0"/>
        <w:sz w:val="30"/>
      </w:rPr>
    </w:lvl>
    <w:lvl w:ilvl="3" w:tentative="0">
      <w:start w:val="1"/>
      <w:numFmt w:val="decimal"/>
      <w:pStyle w:val="3395"/>
      <w:lvlText w:val="%1.%2.%3.%4"/>
      <w:lvlJc w:val="left"/>
      <w:pPr>
        <w:ind w:left="425" w:hanging="425"/>
      </w:pPr>
      <w:rPr>
        <w:rFonts w:hint="default" w:ascii="Times New Roman" w:hAnsi="Times New Roman" w:eastAsia="黑体"/>
        <w:b/>
        <w:bCs w:val="0"/>
        <w:i w:val="0"/>
        <w:iCs w:val="0"/>
        <w:caps w:val="0"/>
        <w:smallCaps w:val="0"/>
        <w:strike w:val="0"/>
        <w:dstrike w:val="0"/>
        <w:outline w:val="0"/>
        <w:shadow w:val="0"/>
        <w:emboss w:val="0"/>
        <w:imprint w:val="0"/>
        <w:vanish w:val="0"/>
        <w:spacing w:val="0"/>
        <w:position w:val="0"/>
        <w:sz w:val="28"/>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3396"/>
      <w:lvlText w:val="%1.%2.%3.%4.%5"/>
      <w:lvlJc w:val="left"/>
      <w:pPr>
        <w:ind w:left="425" w:hanging="425"/>
      </w:pPr>
      <w:rPr>
        <w:rFonts w:hint="default" w:ascii="Times New Roman" w:hAnsi="Times New Roman" w:eastAsia="宋体"/>
        <w:b/>
        <w:bCs w:val="0"/>
        <w:i w:val="0"/>
        <w:iCs w:val="0"/>
        <w:caps w:val="0"/>
        <w:smallCaps w:val="0"/>
        <w:strike w:val="0"/>
        <w:dstrike w:val="0"/>
        <w:outline w:val="0"/>
        <w:shadow w:val="0"/>
        <w:emboss w:val="0"/>
        <w:imprint w:val="0"/>
        <w:vanish w:val="0"/>
        <w:spacing w:val="0"/>
        <w:position w:val="0"/>
        <w:sz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Restart w:val="1"/>
      <w:pStyle w:val="3399"/>
      <w:lvlText w:val="表%1.%8"/>
      <w:lvlJc w:val="left"/>
      <w:pPr>
        <w:ind w:left="0" w:firstLine="0"/>
      </w:pPr>
      <w:rPr>
        <w:rFonts w:hint="default" w:ascii="Times New Roman" w:hAnsi="Times New Roman" w:eastAsia="黑体"/>
        <w:b w:val="0"/>
        <w:i w:val="0"/>
        <w:sz w:val="24"/>
      </w:rPr>
    </w:lvl>
    <w:lvl w:ilvl="8" w:tentative="0">
      <w:start w:val="1"/>
      <w:numFmt w:val="decimal"/>
      <w:lvlRestart w:val="1"/>
      <w:pStyle w:val="3397"/>
      <w:lvlText w:val="图%1.%9"/>
      <w:lvlJc w:val="left"/>
      <w:pPr>
        <w:ind w:left="0" w:firstLine="0"/>
      </w:pPr>
      <w:rPr>
        <w:rFonts w:hint="default" w:ascii="Times New Roman" w:hAnsi="Times New Roman" w:eastAsia="黑体"/>
        <w:sz w:val="24"/>
        <w:lang w:val="en-US"/>
      </w:rPr>
    </w:lvl>
  </w:abstractNum>
  <w:num w:numId="1">
    <w:abstractNumId w:val="44"/>
  </w:num>
  <w:num w:numId="2">
    <w:abstractNumId w:val="5"/>
  </w:num>
  <w:num w:numId="3">
    <w:abstractNumId w:val="7"/>
  </w:num>
  <w:num w:numId="4">
    <w:abstractNumId w:val="82"/>
  </w:num>
  <w:num w:numId="5">
    <w:abstractNumId w:val="10"/>
  </w:num>
  <w:num w:numId="6">
    <w:abstractNumId w:val="8"/>
  </w:num>
  <w:num w:numId="7">
    <w:abstractNumId w:val="4"/>
  </w:num>
  <w:num w:numId="8">
    <w:abstractNumId w:val="9"/>
  </w:num>
  <w:num w:numId="9">
    <w:abstractNumId w:val="6"/>
  </w:num>
  <w:num w:numId="10">
    <w:abstractNumId w:val="3"/>
  </w:num>
  <w:num w:numId="11">
    <w:abstractNumId w:val="2"/>
  </w:num>
  <w:num w:numId="12">
    <w:abstractNumId w:val="69"/>
  </w:num>
  <w:num w:numId="13">
    <w:abstractNumId w:val="64"/>
  </w:num>
  <w:num w:numId="14">
    <w:abstractNumId w:val="117"/>
  </w:num>
  <w:num w:numId="15">
    <w:abstractNumId w:val="12"/>
  </w:num>
  <w:num w:numId="16">
    <w:abstractNumId w:val="22"/>
  </w:num>
  <w:num w:numId="17">
    <w:abstractNumId w:val="80"/>
  </w:num>
  <w:num w:numId="18">
    <w:abstractNumId w:val="16"/>
  </w:num>
  <w:num w:numId="19">
    <w:abstractNumId w:val="81"/>
  </w:num>
  <w:num w:numId="20">
    <w:abstractNumId w:val="43"/>
  </w:num>
  <w:num w:numId="21">
    <w:abstractNumId w:val="48"/>
  </w:num>
  <w:num w:numId="22">
    <w:abstractNumId w:val="23"/>
  </w:num>
  <w:num w:numId="23">
    <w:abstractNumId w:val="24"/>
  </w:num>
  <w:num w:numId="24">
    <w:abstractNumId w:val="110"/>
  </w:num>
  <w:num w:numId="25">
    <w:abstractNumId w:val="78"/>
  </w:num>
  <w:num w:numId="26">
    <w:abstractNumId w:val="60"/>
  </w:num>
  <w:num w:numId="27">
    <w:abstractNumId w:val="56"/>
  </w:num>
  <w:num w:numId="28">
    <w:abstractNumId w:val="116"/>
  </w:num>
  <w:num w:numId="29">
    <w:abstractNumId w:val="20"/>
  </w:num>
  <w:num w:numId="30">
    <w:abstractNumId w:val="109"/>
  </w:num>
  <w:num w:numId="31">
    <w:abstractNumId w:val="103"/>
  </w:num>
  <w:num w:numId="32">
    <w:abstractNumId w:val="115"/>
  </w:num>
  <w:num w:numId="33">
    <w:abstractNumId w:val="85"/>
  </w:num>
  <w:num w:numId="34">
    <w:abstractNumId w:val="96"/>
  </w:num>
  <w:num w:numId="35">
    <w:abstractNumId w:val="27"/>
  </w:num>
  <w:num w:numId="36">
    <w:abstractNumId w:val="102"/>
  </w:num>
  <w:num w:numId="37">
    <w:abstractNumId w:val="58"/>
  </w:num>
  <w:num w:numId="38">
    <w:abstractNumId w:val="75"/>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0">
    <w:abstractNumId w:val="61"/>
  </w:num>
  <w:num w:numId="41">
    <w:abstractNumId w:val="66"/>
  </w:num>
  <w:num w:numId="42">
    <w:abstractNumId w:val="45"/>
  </w:num>
  <w:num w:numId="43">
    <w:abstractNumId w:val="39"/>
  </w:num>
  <w:num w:numId="44">
    <w:abstractNumId w:val="101"/>
  </w:num>
  <w:num w:numId="45">
    <w:abstractNumId w:val="111"/>
  </w:num>
  <w:num w:numId="4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0"/>
  </w:num>
  <w:num w:numId="48">
    <w:abstractNumId w:val="68"/>
  </w:num>
  <w:num w:numId="49">
    <w:abstractNumId w:val="35"/>
  </w:num>
  <w:num w:numId="50">
    <w:abstractNumId w:val="118"/>
  </w:num>
  <w:num w:numId="51">
    <w:abstractNumId w:val="126"/>
  </w:num>
  <w:num w:numId="52">
    <w:abstractNumId w:val="122"/>
  </w:num>
  <w:num w:numId="53">
    <w:abstractNumId w:val="42"/>
  </w:num>
  <w:num w:numId="54">
    <w:abstractNumId w:val="70"/>
  </w:num>
  <w:num w:numId="55">
    <w:abstractNumId w:val="99"/>
  </w:num>
  <w:num w:numId="56">
    <w:abstractNumId w:val="14"/>
  </w:num>
  <w:num w:numId="57">
    <w:abstractNumId w:val="29"/>
  </w:num>
  <w:num w:numId="58">
    <w:abstractNumId w:val="41"/>
  </w:num>
  <w:num w:numId="59">
    <w:abstractNumId w:val="108"/>
  </w:num>
  <w:num w:numId="60">
    <w:abstractNumId w:val="94"/>
  </w:num>
  <w:num w:numId="61">
    <w:abstractNumId w:val="121"/>
  </w:num>
  <w:num w:numId="62">
    <w:abstractNumId w:val="62"/>
  </w:num>
  <w:num w:numId="63">
    <w:abstractNumId w:val="21"/>
  </w:num>
  <w:num w:numId="64">
    <w:abstractNumId w:val="18"/>
  </w:num>
  <w:num w:numId="65">
    <w:abstractNumId w:val="105"/>
  </w:num>
  <w:num w:numId="66">
    <w:abstractNumId w:val="71"/>
  </w:num>
  <w:num w:numId="67">
    <w:abstractNumId w:val="65"/>
  </w:num>
  <w:num w:numId="68">
    <w:abstractNumId w:val="55"/>
  </w:num>
  <w:num w:numId="69">
    <w:abstractNumId w:val="125"/>
  </w:num>
  <w:num w:numId="70">
    <w:abstractNumId w:val="67"/>
  </w:num>
  <w:num w:numId="71">
    <w:abstractNumId w:val="26"/>
  </w:num>
  <w:num w:numId="72">
    <w:abstractNumId w:val="79"/>
  </w:num>
  <w:num w:numId="73">
    <w:abstractNumId w:val="37"/>
  </w:num>
  <w:num w:numId="74">
    <w:abstractNumId w:val="77"/>
  </w:num>
  <w:num w:numId="75">
    <w:abstractNumId w:val="1"/>
  </w:num>
  <w:num w:numId="76">
    <w:abstractNumId w:val="98"/>
  </w:num>
  <w:num w:numId="77">
    <w:abstractNumId w:val="32"/>
  </w:num>
  <w:num w:numId="78">
    <w:abstractNumId w:val="86"/>
  </w:num>
  <w:num w:numId="79">
    <w:abstractNumId w:val="51"/>
  </w:num>
  <w:num w:numId="80">
    <w:abstractNumId w:val="72"/>
  </w:num>
  <w:num w:numId="81">
    <w:abstractNumId w:val="76"/>
  </w:num>
  <w:num w:numId="82">
    <w:abstractNumId w:val="25"/>
  </w:num>
  <w:num w:numId="83">
    <w:abstractNumId w:val="73"/>
  </w:num>
  <w:num w:numId="84">
    <w:abstractNumId w:val="52"/>
  </w:num>
  <w:num w:numId="85">
    <w:abstractNumId w:val="17"/>
  </w:num>
  <w:num w:numId="86">
    <w:abstractNumId w:val="50"/>
  </w:num>
  <w:num w:numId="87">
    <w:abstractNumId w:val="30"/>
  </w:num>
  <w:num w:numId="88">
    <w:abstractNumId w:val="87"/>
  </w:num>
  <w:num w:numId="89">
    <w:abstractNumId w:val="100"/>
  </w:num>
  <w:num w:numId="90">
    <w:abstractNumId w:val="46"/>
  </w:num>
  <w:num w:numId="91">
    <w:abstractNumId w:val="93"/>
  </w:num>
  <w:num w:numId="92">
    <w:abstractNumId w:val="74"/>
  </w:num>
  <w:num w:numId="93">
    <w:abstractNumId w:val="113"/>
  </w:num>
  <w:num w:numId="94">
    <w:abstractNumId w:val="127"/>
  </w:num>
  <w:num w:numId="95">
    <w:abstractNumId w:val="33"/>
  </w:num>
  <w:num w:numId="96">
    <w:abstractNumId w:val="53"/>
  </w:num>
  <w:num w:numId="97">
    <w:abstractNumId w:val="28"/>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3"/>
  </w:num>
  <w:num w:numId="101">
    <w:abstractNumId w:val="63"/>
  </w:num>
  <w:num w:numId="102">
    <w:abstractNumId w:val="49"/>
  </w:num>
  <w:num w:numId="103">
    <w:abstractNumId w:val="19"/>
  </w:num>
  <w:num w:numId="104">
    <w:abstractNumId w:val="40"/>
  </w:num>
  <w:num w:numId="105">
    <w:abstractNumId w:val="15"/>
  </w:num>
  <w:num w:numId="106">
    <w:abstractNumId w:val="92"/>
  </w:num>
  <w:num w:numId="107">
    <w:abstractNumId w:val="88"/>
  </w:num>
  <w:num w:numId="108">
    <w:abstractNumId w:val="54"/>
  </w:num>
  <w:num w:numId="109">
    <w:abstractNumId w:val="83"/>
  </w:num>
  <w:num w:numId="110">
    <w:abstractNumId w:val="34"/>
  </w:num>
  <w:num w:numId="111">
    <w:abstractNumId w:val="0"/>
  </w:num>
  <w:num w:numId="112">
    <w:abstractNumId w:val="91"/>
  </w:num>
  <w:num w:numId="113">
    <w:abstractNumId w:val="57"/>
  </w:num>
  <w:num w:numId="114">
    <w:abstractNumId w:val="89"/>
  </w:num>
  <w:num w:numId="115">
    <w:abstractNumId w:val="128"/>
  </w:num>
  <w:num w:numId="116">
    <w:abstractNumId w:val="36"/>
  </w:num>
  <w:num w:numId="117">
    <w:abstractNumId w:val="13"/>
  </w:num>
  <w:num w:numId="118">
    <w:abstractNumId w:val="124"/>
  </w:num>
  <w:num w:numId="119">
    <w:abstractNumId w:val="84"/>
  </w:num>
  <w:num w:numId="120">
    <w:abstractNumId w:val="95"/>
  </w:num>
  <w:num w:numId="121">
    <w:abstractNumId w:val="114"/>
  </w:num>
  <w:num w:numId="122">
    <w:abstractNumId w:val="119"/>
  </w:num>
  <w:num w:numId="123">
    <w:abstractNumId w:val="31"/>
  </w:num>
  <w:num w:numId="124">
    <w:abstractNumId w:val="59"/>
  </w:num>
  <w:num w:numId="125">
    <w:abstractNumId w:val="112"/>
  </w:num>
  <w:num w:numId="126">
    <w:abstractNumId w:val="90"/>
  </w:num>
  <w:num w:numId="127">
    <w:abstractNumId w:val="106"/>
  </w:num>
  <w:num w:numId="128">
    <w:abstractNumId w:val="104"/>
  </w:num>
  <w:num w:numId="129">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53D"/>
    <w:rsid w:val="00000A11"/>
    <w:rsid w:val="0000139A"/>
    <w:rsid w:val="00001458"/>
    <w:rsid w:val="00001946"/>
    <w:rsid w:val="00001C42"/>
    <w:rsid w:val="000020C8"/>
    <w:rsid w:val="000024F3"/>
    <w:rsid w:val="00002535"/>
    <w:rsid w:val="00002ED1"/>
    <w:rsid w:val="00003652"/>
    <w:rsid w:val="000043BC"/>
    <w:rsid w:val="00005CA6"/>
    <w:rsid w:val="00006F49"/>
    <w:rsid w:val="000075CE"/>
    <w:rsid w:val="00010794"/>
    <w:rsid w:val="0001140B"/>
    <w:rsid w:val="00013D5A"/>
    <w:rsid w:val="00014CC2"/>
    <w:rsid w:val="000160E3"/>
    <w:rsid w:val="0001640F"/>
    <w:rsid w:val="00016420"/>
    <w:rsid w:val="0001642F"/>
    <w:rsid w:val="00016ECE"/>
    <w:rsid w:val="000208B5"/>
    <w:rsid w:val="00020C72"/>
    <w:rsid w:val="00020E02"/>
    <w:rsid w:val="0002162B"/>
    <w:rsid w:val="00021DC9"/>
    <w:rsid w:val="00022661"/>
    <w:rsid w:val="000229E0"/>
    <w:rsid w:val="00022CF8"/>
    <w:rsid w:val="00023A21"/>
    <w:rsid w:val="0002488E"/>
    <w:rsid w:val="00024FE0"/>
    <w:rsid w:val="00026A5C"/>
    <w:rsid w:val="00027D3E"/>
    <w:rsid w:val="00030B3E"/>
    <w:rsid w:val="0003214D"/>
    <w:rsid w:val="000323C2"/>
    <w:rsid w:val="00032B82"/>
    <w:rsid w:val="000354B4"/>
    <w:rsid w:val="0003596D"/>
    <w:rsid w:val="00035CC9"/>
    <w:rsid w:val="000361BC"/>
    <w:rsid w:val="0003693E"/>
    <w:rsid w:val="00037677"/>
    <w:rsid w:val="00037969"/>
    <w:rsid w:val="00040FD5"/>
    <w:rsid w:val="000415F7"/>
    <w:rsid w:val="00041DF2"/>
    <w:rsid w:val="0004203C"/>
    <w:rsid w:val="00042439"/>
    <w:rsid w:val="00043A0C"/>
    <w:rsid w:val="00043E8B"/>
    <w:rsid w:val="00043EFA"/>
    <w:rsid w:val="0004439E"/>
    <w:rsid w:val="00045A04"/>
    <w:rsid w:val="00046628"/>
    <w:rsid w:val="00046E2A"/>
    <w:rsid w:val="00046E74"/>
    <w:rsid w:val="0004704C"/>
    <w:rsid w:val="000508EF"/>
    <w:rsid w:val="00050EBA"/>
    <w:rsid w:val="00050F9D"/>
    <w:rsid w:val="000517DD"/>
    <w:rsid w:val="00051863"/>
    <w:rsid w:val="00052E63"/>
    <w:rsid w:val="00053369"/>
    <w:rsid w:val="00053E5E"/>
    <w:rsid w:val="0005428C"/>
    <w:rsid w:val="00054845"/>
    <w:rsid w:val="00055A17"/>
    <w:rsid w:val="0005628E"/>
    <w:rsid w:val="0005697A"/>
    <w:rsid w:val="00061FE9"/>
    <w:rsid w:val="0006258D"/>
    <w:rsid w:val="00062682"/>
    <w:rsid w:val="00062905"/>
    <w:rsid w:val="00063D67"/>
    <w:rsid w:val="00064156"/>
    <w:rsid w:val="00065A59"/>
    <w:rsid w:val="00065C67"/>
    <w:rsid w:val="00066D3C"/>
    <w:rsid w:val="000675C3"/>
    <w:rsid w:val="000678E6"/>
    <w:rsid w:val="000708D1"/>
    <w:rsid w:val="00070909"/>
    <w:rsid w:val="00071DC6"/>
    <w:rsid w:val="00072B23"/>
    <w:rsid w:val="0007398A"/>
    <w:rsid w:val="000749A8"/>
    <w:rsid w:val="00075564"/>
    <w:rsid w:val="00076718"/>
    <w:rsid w:val="000768A9"/>
    <w:rsid w:val="000805C3"/>
    <w:rsid w:val="000827B3"/>
    <w:rsid w:val="00082AA3"/>
    <w:rsid w:val="00083316"/>
    <w:rsid w:val="00083FA5"/>
    <w:rsid w:val="00085C40"/>
    <w:rsid w:val="00087E3D"/>
    <w:rsid w:val="00091C29"/>
    <w:rsid w:val="00092CAA"/>
    <w:rsid w:val="000942D0"/>
    <w:rsid w:val="00094C6B"/>
    <w:rsid w:val="00094FF6"/>
    <w:rsid w:val="0009561B"/>
    <w:rsid w:val="0009629E"/>
    <w:rsid w:val="000A15E6"/>
    <w:rsid w:val="000A32C0"/>
    <w:rsid w:val="000A3DBD"/>
    <w:rsid w:val="000A4246"/>
    <w:rsid w:val="000A4444"/>
    <w:rsid w:val="000A4880"/>
    <w:rsid w:val="000A51B4"/>
    <w:rsid w:val="000A55B0"/>
    <w:rsid w:val="000A58BA"/>
    <w:rsid w:val="000A6C9C"/>
    <w:rsid w:val="000A7915"/>
    <w:rsid w:val="000B0B83"/>
    <w:rsid w:val="000B15CC"/>
    <w:rsid w:val="000B24CF"/>
    <w:rsid w:val="000B2DFE"/>
    <w:rsid w:val="000B33D1"/>
    <w:rsid w:val="000B3678"/>
    <w:rsid w:val="000B5748"/>
    <w:rsid w:val="000B6EB3"/>
    <w:rsid w:val="000B7057"/>
    <w:rsid w:val="000B7408"/>
    <w:rsid w:val="000B7CF6"/>
    <w:rsid w:val="000B7EC1"/>
    <w:rsid w:val="000C0325"/>
    <w:rsid w:val="000C05B0"/>
    <w:rsid w:val="000C0D85"/>
    <w:rsid w:val="000C10E3"/>
    <w:rsid w:val="000C19D2"/>
    <w:rsid w:val="000C1E1B"/>
    <w:rsid w:val="000C3DE9"/>
    <w:rsid w:val="000C5661"/>
    <w:rsid w:val="000C590E"/>
    <w:rsid w:val="000C5A34"/>
    <w:rsid w:val="000C6813"/>
    <w:rsid w:val="000C6B08"/>
    <w:rsid w:val="000C70F1"/>
    <w:rsid w:val="000C7BDB"/>
    <w:rsid w:val="000C7FED"/>
    <w:rsid w:val="000D0605"/>
    <w:rsid w:val="000D101D"/>
    <w:rsid w:val="000D191F"/>
    <w:rsid w:val="000D1A4E"/>
    <w:rsid w:val="000D1F8D"/>
    <w:rsid w:val="000D22AB"/>
    <w:rsid w:val="000D2DF7"/>
    <w:rsid w:val="000D351C"/>
    <w:rsid w:val="000D593D"/>
    <w:rsid w:val="000D5AA0"/>
    <w:rsid w:val="000D649F"/>
    <w:rsid w:val="000D6510"/>
    <w:rsid w:val="000D72D8"/>
    <w:rsid w:val="000D733E"/>
    <w:rsid w:val="000D7A9E"/>
    <w:rsid w:val="000D7BBB"/>
    <w:rsid w:val="000D7DB4"/>
    <w:rsid w:val="000E0100"/>
    <w:rsid w:val="000E084A"/>
    <w:rsid w:val="000E0FC9"/>
    <w:rsid w:val="000E1802"/>
    <w:rsid w:val="000E385A"/>
    <w:rsid w:val="000E3FEC"/>
    <w:rsid w:val="000E42F2"/>
    <w:rsid w:val="000E4548"/>
    <w:rsid w:val="000E4C6F"/>
    <w:rsid w:val="000E4FDA"/>
    <w:rsid w:val="000E5BCC"/>
    <w:rsid w:val="000E5D45"/>
    <w:rsid w:val="000E6DCB"/>
    <w:rsid w:val="000F1648"/>
    <w:rsid w:val="000F1DBE"/>
    <w:rsid w:val="000F270B"/>
    <w:rsid w:val="000F40B8"/>
    <w:rsid w:val="000F40C7"/>
    <w:rsid w:val="000F4245"/>
    <w:rsid w:val="000F4416"/>
    <w:rsid w:val="000F4FA7"/>
    <w:rsid w:val="000F5110"/>
    <w:rsid w:val="000F5185"/>
    <w:rsid w:val="000F5BA8"/>
    <w:rsid w:val="000F5C1F"/>
    <w:rsid w:val="000F6117"/>
    <w:rsid w:val="000F6809"/>
    <w:rsid w:val="000F6FD7"/>
    <w:rsid w:val="000F7A50"/>
    <w:rsid w:val="001002E3"/>
    <w:rsid w:val="00100B2B"/>
    <w:rsid w:val="001019D6"/>
    <w:rsid w:val="00102162"/>
    <w:rsid w:val="00103793"/>
    <w:rsid w:val="001038E5"/>
    <w:rsid w:val="0010476D"/>
    <w:rsid w:val="00104B22"/>
    <w:rsid w:val="00104FED"/>
    <w:rsid w:val="001051E5"/>
    <w:rsid w:val="0010651B"/>
    <w:rsid w:val="00106550"/>
    <w:rsid w:val="00106B67"/>
    <w:rsid w:val="00106C01"/>
    <w:rsid w:val="00107342"/>
    <w:rsid w:val="001077F8"/>
    <w:rsid w:val="00107CD0"/>
    <w:rsid w:val="0011173D"/>
    <w:rsid w:val="001122E2"/>
    <w:rsid w:val="0011269B"/>
    <w:rsid w:val="001130A6"/>
    <w:rsid w:val="001132C6"/>
    <w:rsid w:val="00113ED6"/>
    <w:rsid w:val="001153C5"/>
    <w:rsid w:val="001155CD"/>
    <w:rsid w:val="00115FA2"/>
    <w:rsid w:val="001172CB"/>
    <w:rsid w:val="001200B7"/>
    <w:rsid w:val="001200ED"/>
    <w:rsid w:val="00120AF9"/>
    <w:rsid w:val="00120FE9"/>
    <w:rsid w:val="00121582"/>
    <w:rsid w:val="00121E23"/>
    <w:rsid w:val="001239A8"/>
    <w:rsid w:val="00124BAC"/>
    <w:rsid w:val="00125325"/>
    <w:rsid w:val="0012552A"/>
    <w:rsid w:val="001255DB"/>
    <w:rsid w:val="0012560F"/>
    <w:rsid w:val="00126311"/>
    <w:rsid w:val="00126ED9"/>
    <w:rsid w:val="001276BF"/>
    <w:rsid w:val="00127BCD"/>
    <w:rsid w:val="00131AE2"/>
    <w:rsid w:val="00131D7B"/>
    <w:rsid w:val="0013226D"/>
    <w:rsid w:val="00132496"/>
    <w:rsid w:val="00132753"/>
    <w:rsid w:val="00133C35"/>
    <w:rsid w:val="00133E9D"/>
    <w:rsid w:val="0013519F"/>
    <w:rsid w:val="001353C7"/>
    <w:rsid w:val="00136276"/>
    <w:rsid w:val="00137C4B"/>
    <w:rsid w:val="00137E1C"/>
    <w:rsid w:val="00140412"/>
    <w:rsid w:val="00140FB1"/>
    <w:rsid w:val="001418FA"/>
    <w:rsid w:val="00141CC4"/>
    <w:rsid w:val="00142215"/>
    <w:rsid w:val="001430B7"/>
    <w:rsid w:val="001438D2"/>
    <w:rsid w:val="001463D2"/>
    <w:rsid w:val="00146B9D"/>
    <w:rsid w:val="00146F55"/>
    <w:rsid w:val="0015054C"/>
    <w:rsid w:val="001511D7"/>
    <w:rsid w:val="001531E6"/>
    <w:rsid w:val="001533DB"/>
    <w:rsid w:val="00153913"/>
    <w:rsid w:val="00153EC0"/>
    <w:rsid w:val="0015406A"/>
    <w:rsid w:val="00154EA6"/>
    <w:rsid w:val="001558C4"/>
    <w:rsid w:val="00156A4B"/>
    <w:rsid w:val="00161C19"/>
    <w:rsid w:val="001623EE"/>
    <w:rsid w:val="001633E5"/>
    <w:rsid w:val="001635EB"/>
    <w:rsid w:val="00163751"/>
    <w:rsid w:val="00164B62"/>
    <w:rsid w:val="00165CD5"/>
    <w:rsid w:val="0016659F"/>
    <w:rsid w:val="001669C1"/>
    <w:rsid w:val="00166DC0"/>
    <w:rsid w:val="001676CB"/>
    <w:rsid w:val="00167862"/>
    <w:rsid w:val="00167FB2"/>
    <w:rsid w:val="0017044D"/>
    <w:rsid w:val="00171AA0"/>
    <w:rsid w:val="00172512"/>
    <w:rsid w:val="001727D9"/>
    <w:rsid w:val="001738EA"/>
    <w:rsid w:val="00174A49"/>
    <w:rsid w:val="00175CF6"/>
    <w:rsid w:val="00176212"/>
    <w:rsid w:val="001776FD"/>
    <w:rsid w:val="001779A3"/>
    <w:rsid w:val="00177A58"/>
    <w:rsid w:val="00177E42"/>
    <w:rsid w:val="00177EFC"/>
    <w:rsid w:val="00180550"/>
    <w:rsid w:val="00180636"/>
    <w:rsid w:val="00180B15"/>
    <w:rsid w:val="00180C9F"/>
    <w:rsid w:val="00180E8B"/>
    <w:rsid w:val="001812CF"/>
    <w:rsid w:val="0018164F"/>
    <w:rsid w:val="00181CB0"/>
    <w:rsid w:val="00182272"/>
    <w:rsid w:val="00182E6F"/>
    <w:rsid w:val="00183829"/>
    <w:rsid w:val="00183D06"/>
    <w:rsid w:val="00184422"/>
    <w:rsid w:val="00184A7F"/>
    <w:rsid w:val="00184BCC"/>
    <w:rsid w:val="00185DEB"/>
    <w:rsid w:val="00185FC0"/>
    <w:rsid w:val="00186541"/>
    <w:rsid w:val="00187239"/>
    <w:rsid w:val="00187B60"/>
    <w:rsid w:val="00187F24"/>
    <w:rsid w:val="0019046E"/>
    <w:rsid w:val="001905A2"/>
    <w:rsid w:val="00190A7A"/>
    <w:rsid w:val="00190E85"/>
    <w:rsid w:val="00192161"/>
    <w:rsid w:val="0019248D"/>
    <w:rsid w:val="001933E2"/>
    <w:rsid w:val="00195502"/>
    <w:rsid w:val="00195576"/>
    <w:rsid w:val="00195D53"/>
    <w:rsid w:val="00196403"/>
    <w:rsid w:val="001970D2"/>
    <w:rsid w:val="001A072D"/>
    <w:rsid w:val="001A1155"/>
    <w:rsid w:val="001A14B0"/>
    <w:rsid w:val="001A1B3C"/>
    <w:rsid w:val="001A2A49"/>
    <w:rsid w:val="001A2A7D"/>
    <w:rsid w:val="001A5056"/>
    <w:rsid w:val="001A561E"/>
    <w:rsid w:val="001A694E"/>
    <w:rsid w:val="001A6EA7"/>
    <w:rsid w:val="001A7802"/>
    <w:rsid w:val="001A792E"/>
    <w:rsid w:val="001B0510"/>
    <w:rsid w:val="001B1001"/>
    <w:rsid w:val="001B1258"/>
    <w:rsid w:val="001B1504"/>
    <w:rsid w:val="001B2E76"/>
    <w:rsid w:val="001B36CB"/>
    <w:rsid w:val="001B37FA"/>
    <w:rsid w:val="001B3F6C"/>
    <w:rsid w:val="001B3FB4"/>
    <w:rsid w:val="001B51C8"/>
    <w:rsid w:val="001B54BA"/>
    <w:rsid w:val="001B5FA9"/>
    <w:rsid w:val="001B640A"/>
    <w:rsid w:val="001B7247"/>
    <w:rsid w:val="001B7417"/>
    <w:rsid w:val="001B7574"/>
    <w:rsid w:val="001B757B"/>
    <w:rsid w:val="001B76DB"/>
    <w:rsid w:val="001C02CB"/>
    <w:rsid w:val="001C0858"/>
    <w:rsid w:val="001C0AAA"/>
    <w:rsid w:val="001C0E81"/>
    <w:rsid w:val="001C109E"/>
    <w:rsid w:val="001C2876"/>
    <w:rsid w:val="001C2931"/>
    <w:rsid w:val="001C29F2"/>
    <w:rsid w:val="001C2A98"/>
    <w:rsid w:val="001C346A"/>
    <w:rsid w:val="001C4560"/>
    <w:rsid w:val="001C57BA"/>
    <w:rsid w:val="001C66F9"/>
    <w:rsid w:val="001D03C0"/>
    <w:rsid w:val="001D0684"/>
    <w:rsid w:val="001D0AC2"/>
    <w:rsid w:val="001D1309"/>
    <w:rsid w:val="001D19C0"/>
    <w:rsid w:val="001D1D05"/>
    <w:rsid w:val="001D247F"/>
    <w:rsid w:val="001D32A1"/>
    <w:rsid w:val="001D33FD"/>
    <w:rsid w:val="001D3D1C"/>
    <w:rsid w:val="001D3FC9"/>
    <w:rsid w:val="001D4880"/>
    <w:rsid w:val="001D5C3D"/>
    <w:rsid w:val="001D6A53"/>
    <w:rsid w:val="001D737F"/>
    <w:rsid w:val="001E0EFD"/>
    <w:rsid w:val="001E0FF7"/>
    <w:rsid w:val="001E4207"/>
    <w:rsid w:val="001E53D8"/>
    <w:rsid w:val="001E6F87"/>
    <w:rsid w:val="001F09FA"/>
    <w:rsid w:val="001F1A83"/>
    <w:rsid w:val="001F1CAB"/>
    <w:rsid w:val="001F20B0"/>
    <w:rsid w:val="001F2390"/>
    <w:rsid w:val="001F2E72"/>
    <w:rsid w:val="001F3284"/>
    <w:rsid w:val="001F38B1"/>
    <w:rsid w:val="001F3CFC"/>
    <w:rsid w:val="001F41FB"/>
    <w:rsid w:val="001F5029"/>
    <w:rsid w:val="001F5067"/>
    <w:rsid w:val="001F5958"/>
    <w:rsid w:val="001F6C76"/>
    <w:rsid w:val="001F77FF"/>
    <w:rsid w:val="001F784D"/>
    <w:rsid w:val="001F7BCE"/>
    <w:rsid w:val="001F7CBC"/>
    <w:rsid w:val="00201577"/>
    <w:rsid w:val="00201C52"/>
    <w:rsid w:val="0020215E"/>
    <w:rsid w:val="00202224"/>
    <w:rsid w:val="0020320E"/>
    <w:rsid w:val="0020330F"/>
    <w:rsid w:val="002037C6"/>
    <w:rsid w:val="00203D42"/>
    <w:rsid w:val="00205984"/>
    <w:rsid w:val="00206909"/>
    <w:rsid w:val="00206DFD"/>
    <w:rsid w:val="002072DA"/>
    <w:rsid w:val="00207E66"/>
    <w:rsid w:val="0021149B"/>
    <w:rsid w:val="00212453"/>
    <w:rsid w:val="00212819"/>
    <w:rsid w:val="00212D01"/>
    <w:rsid w:val="00213E85"/>
    <w:rsid w:val="00214208"/>
    <w:rsid w:val="002147B6"/>
    <w:rsid w:val="00214EAB"/>
    <w:rsid w:val="0021506F"/>
    <w:rsid w:val="002156E3"/>
    <w:rsid w:val="0021647C"/>
    <w:rsid w:val="002169B7"/>
    <w:rsid w:val="00216F6C"/>
    <w:rsid w:val="00217A1D"/>
    <w:rsid w:val="00217C80"/>
    <w:rsid w:val="00217FE6"/>
    <w:rsid w:val="002201BA"/>
    <w:rsid w:val="0022158C"/>
    <w:rsid w:val="002225C4"/>
    <w:rsid w:val="00222AE8"/>
    <w:rsid w:val="00222C8A"/>
    <w:rsid w:val="00222C90"/>
    <w:rsid w:val="002242E9"/>
    <w:rsid w:val="002258FB"/>
    <w:rsid w:val="00225948"/>
    <w:rsid w:val="0022624C"/>
    <w:rsid w:val="00227B2E"/>
    <w:rsid w:val="00227CF1"/>
    <w:rsid w:val="002311EE"/>
    <w:rsid w:val="002314C8"/>
    <w:rsid w:val="00231A24"/>
    <w:rsid w:val="00233D90"/>
    <w:rsid w:val="00234A88"/>
    <w:rsid w:val="00234B83"/>
    <w:rsid w:val="00235B90"/>
    <w:rsid w:val="002364CA"/>
    <w:rsid w:val="00236C81"/>
    <w:rsid w:val="0023783F"/>
    <w:rsid w:val="00241FA2"/>
    <w:rsid w:val="002423B8"/>
    <w:rsid w:val="00242657"/>
    <w:rsid w:val="00243106"/>
    <w:rsid w:val="002465D2"/>
    <w:rsid w:val="00247343"/>
    <w:rsid w:val="002473EA"/>
    <w:rsid w:val="0024750D"/>
    <w:rsid w:val="00250405"/>
    <w:rsid w:val="00250B9A"/>
    <w:rsid w:val="00250F0F"/>
    <w:rsid w:val="0025148E"/>
    <w:rsid w:val="002514CE"/>
    <w:rsid w:val="002514D4"/>
    <w:rsid w:val="0025277D"/>
    <w:rsid w:val="00253296"/>
    <w:rsid w:val="002542D2"/>
    <w:rsid w:val="00254721"/>
    <w:rsid w:val="00255AEC"/>
    <w:rsid w:val="00255BDC"/>
    <w:rsid w:val="00256770"/>
    <w:rsid w:val="002568B1"/>
    <w:rsid w:val="002568C1"/>
    <w:rsid w:val="00256A67"/>
    <w:rsid w:val="00257210"/>
    <w:rsid w:val="00257809"/>
    <w:rsid w:val="00257F14"/>
    <w:rsid w:val="002602E1"/>
    <w:rsid w:val="00260660"/>
    <w:rsid w:val="002625EA"/>
    <w:rsid w:val="00262696"/>
    <w:rsid w:val="00262918"/>
    <w:rsid w:val="00263A2D"/>
    <w:rsid w:val="00263D61"/>
    <w:rsid w:val="00264913"/>
    <w:rsid w:val="002659CB"/>
    <w:rsid w:val="00266607"/>
    <w:rsid w:val="002666D9"/>
    <w:rsid w:val="0026691A"/>
    <w:rsid w:val="00266DAD"/>
    <w:rsid w:val="00266DF6"/>
    <w:rsid w:val="0026716F"/>
    <w:rsid w:val="002678ED"/>
    <w:rsid w:val="00267907"/>
    <w:rsid w:val="00270012"/>
    <w:rsid w:val="00270392"/>
    <w:rsid w:val="00270EA1"/>
    <w:rsid w:val="0027133D"/>
    <w:rsid w:val="002722E0"/>
    <w:rsid w:val="00272431"/>
    <w:rsid w:val="002733EF"/>
    <w:rsid w:val="002733F0"/>
    <w:rsid w:val="002750A4"/>
    <w:rsid w:val="00275502"/>
    <w:rsid w:val="002756DC"/>
    <w:rsid w:val="00275D5E"/>
    <w:rsid w:val="00275EC7"/>
    <w:rsid w:val="00275EDE"/>
    <w:rsid w:val="00276642"/>
    <w:rsid w:val="00276B38"/>
    <w:rsid w:val="002778D5"/>
    <w:rsid w:val="00277B14"/>
    <w:rsid w:val="00277DA8"/>
    <w:rsid w:val="00280768"/>
    <w:rsid w:val="002808EF"/>
    <w:rsid w:val="00281EEF"/>
    <w:rsid w:val="00282DB2"/>
    <w:rsid w:val="002839EA"/>
    <w:rsid w:val="00285352"/>
    <w:rsid w:val="002859D3"/>
    <w:rsid w:val="00285DDA"/>
    <w:rsid w:val="002865A7"/>
    <w:rsid w:val="00286F91"/>
    <w:rsid w:val="002871FB"/>
    <w:rsid w:val="00287DD4"/>
    <w:rsid w:val="002911F8"/>
    <w:rsid w:val="00291E2D"/>
    <w:rsid w:val="00291F1F"/>
    <w:rsid w:val="00292062"/>
    <w:rsid w:val="00292100"/>
    <w:rsid w:val="00293491"/>
    <w:rsid w:val="002938B1"/>
    <w:rsid w:val="00293FB9"/>
    <w:rsid w:val="00294985"/>
    <w:rsid w:val="00294C97"/>
    <w:rsid w:val="00294D0D"/>
    <w:rsid w:val="002952EB"/>
    <w:rsid w:val="0029549C"/>
    <w:rsid w:val="002954CD"/>
    <w:rsid w:val="00295815"/>
    <w:rsid w:val="00295E7F"/>
    <w:rsid w:val="00296841"/>
    <w:rsid w:val="002A043E"/>
    <w:rsid w:val="002A1A22"/>
    <w:rsid w:val="002A1E00"/>
    <w:rsid w:val="002A22D8"/>
    <w:rsid w:val="002A2A29"/>
    <w:rsid w:val="002A3683"/>
    <w:rsid w:val="002A3999"/>
    <w:rsid w:val="002A4978"/>
    <w:rsid w:val="002A50BE"/>
    <w:rsid w:val="002A52F4"/>
    <w:rsid w:val="002A53FC"/>
    <w:rsid w:val="002A5C58"/>
    <w:rsid w:val="002A5D9D"/>
    <w:rsid w:val="002A69B3"/>
    <w:rsid w:val="002A7232"/>
    <w:rsid w:val="002A768F"/>
    <w:rsid w:val="002A783E"/>
    <w:rsid w:val="002B01E3"/>
    <w:rsid w:val="002B04F6"/>
    <w:rsid w:val="002B0873"/>
    <w:rsid w:val="002B1C04"/>
    <w:rsid w:val="002B1E6A"/>
    <w:rsid w:val="002B2313"/>
    <w:rsid w:val="002B237B"/>
    <w:rsid w:val="002B25EA"/>
    <w:rsid w:val="002B31BB"/>
    <w:rsid w:val="002B4C8A"/>
    <w:rsid w:val="002B4DD8"/>
    <w:rsid w:val="002B5462"/>
    <w:rsid w:val="002B56C6"/>
    <w:rsid w:val="002B6D7F"/>
    <w:rsid w:val="002B76E8"/>
    <w:rsid w:val="002B7C30"/>
    <w:rsid w:val="002C0703"/>
    <w:rsid w:val="002C10E0"/>
    <w:rsid w:val="002C112A"/>
    <w:rsid w:val="002C132F"/>
    <w:rsid w:val="002C2474"/>
    <w:rsid w:val="002C297A"/>
    <w:rsid w:val="002C2CF6"/>
    <w:rsid w:val="002C2E6A"/>
    <w:rsid w:val="002C4291"/>
    <w:rsid w:val="002C459F"/>
    <w:rsid w:val="002C4A1F"/>
    <w:rsid w:val="002C5845"/>
    <w:rsid w:val="002C5A47"/>
    <w:rsid w:val="002C62D9"/>
    <w:rsid w:val="002C66DD"/>
    <w:rsid w:val="002C6B5F"/>
    <w:rsid w:val="002D04CB"/>
    <w:rsid w:val="002D25F7"/>
    <w:rsid w:val="002D2952"/>
    <w:rsid w:val="002D2A3D"/>
    <w:rsid w:val="002D49EF"/>
    <w:rsid w:val="002D4ACF"/>
    <w:rsid w:val="002D4CCB"/>
    <w:rsid w:val="002D5231"/>
    <w:rsid w:val="002D5242"/>
    <w:rsid w:val="002D56AD"/>
    <w:rsid w:val="002D622E"/>
    <w:rsid w:val="002D6248"/>
    <w:rsid w:val="002D70D8"/>
    <w:rsid w:val="002E0EE3"/>
    <w:rsid w:val="002E18F4"/>
    <w:rsid w:val="002E23CD"/>
    <w:rsid w:val="002E3EE3"/>
    <w:rsid w:val="002E4B7C"/>
    <w:rsid w:val="002E6AA0"/>
    <w:rsid w:val="002E6C1A"/>
    <w:rsid w:val="002F0132"/>
    <w:rsid w:val="002F3102"/>
    <w:rsid w:val="002F4C5A"/>
    <w:rsid w:val="002F5380"/>
    <w:rsid w:val="002F53FC"/>
    <w:rsid w:val="002F5E1D"/>
    <w:rsid w:val="002F5F1D"/>
    <w:rsid w:val="002F6512"/>
    <w:rsid w:val="0030001B"/>
    <w:rsid w:val="0030007B"/>
    <w:rsid w:val="00300243"/>
    <w:rsid w:val="00300D0A"/>
    <w:rsid w:val="00300D5E"/>
    <w:rsid w:val="003017C6"/>
    <w:rsid w:val="00301F4B"/>
    <w:rsid w:val="00302199"/>
    <w:rsid w:val="003035A6"/>
    <w:rsid w:val="00303A77"/>
    <w:rsid w:val="00303CE2"/>
    <w:rsid w:val="00303E9B"/>
    <w:rsid w:val="003049A9"/>
    <w:rsid w:val="003056DF"/>
    <w:rsid w:val="003059C4"/>
    <w:rsid w:val="00306366"/>
    <w:rsid w:val="00307085"/>
    <w:rsid w:val="00307B48"/>
    <w:rsid w:val="00307D36"/>
    <w:rsid w:val="003110A5"/>
    <w:rsid w:val="0031216A"/>
    <w:rsid w:val="00312263"/>
    <w:rsid w:val="00312380"/>
    <w:rsid w:val="003136A0"/>
    <w:rsid w:val="0031455F"/>
    <w:rsid w:val="00315CE0"/>
    <w:rsid w:val="003163C8"/>
    <w:rsid w:val="0031692E"/>
    <w:rsid w:val="00317705"/>
    <w:rsid w:val="00320975"/>
    <w:rsid w:val="00321483"/>
    <w:rsid w:val="003215ED"/>
    <w:rsid w:val="00322209"/>
    <w:rsid w:val="00322963"/>
    <w:rsid w:val="00322D2D"/>
    <w:rsid w:val="00323C16"/>
    <w:rsid w:val="003243C6"/>
    <w:rsid w:val="00324810"/>
    <w:rsid w:val="0032516A"/>
    <w:rsid w:val="003252AB"/>
    <w:rsid w:val="00325913"/>
    <w:rsid w:val="00325C2D"/>
    <w:rsid w:val="00325E0C"/>
    <w:rsid w:val="0032626D"/>
    <w:rsid w:val="003265B3"/>
    <w:rsid w:val="00326D1A"/>
    <w:rsid w:val="00326E81"/>
    <w:rsid w:val="0032764D"/>
    <w:rsid w:val="00327761"/>
    <w:rsid w:val="00327A42"/>
    <w:rsid w:val="00327F98"/>
    <w:rsid w:val="003303C7"/>
    <w:rsid w:val="0033052E"/>
    <w:rsid w:val="00330937"/>
    <w:rsid w:val="00330C50"/>
    <w:rsid w:val="00331E6A"/>
    <w:rsid w:val="003328BC"/>
    <w:rsid w:val="00332C84"/>
    <w:rsid w:val="00333D0B"/>
    <w:rsid w:val="00334412"/>
    <w:rsid w:val="00334670"/>
    <w:rsid w:val="00334A0C"/>
    <w:rsid w:val="00336C13"/>
    <w:rsid w:val="00340420"/>
    <w:rsid w:val="0034185B"/>
    <w:rsid w:val="0034242A"/>
    <w:rsid w:val="00342DEE"/>
    <w:rsid w:val="00343BA3"/>
    <w:rsid w:val="003449F8"/>
    <w:rsid w:val="00344A27"/>
    <w:rsid w:val="00346A92"/>
    <w:rsid w:val="00350162"/>
    <w:rsid w:val="0035069E"/>
    <w:rsid w:val="00351A63"/>
    <w:rsid w:val="00353299"/>
    <w:rsid w:val="0035347C"/>
    <w:rsid w:val="003540C9"/>
    <w:rsid w:val="003546E0"/>
    <w:rsid w:val="00354D0F"/>
    <w:rsid w:val="00355B1A"/>
    <w:rsid w:val="00356BBC"/>
    <w:rsid w:val="00356DD0"/>
    <w:rsid w:val="0035787B"/>
    <w:rsid w:val="00357AE0"/>
    <w:rsid w:val="00357C4A"/>
    <w:rsid w:val="00357ECD"/>
    <w:rsid w:val="00361821"/>
    <w:rsid w:val="00361B34"/>
    <w:rsid w:val="00361B51"/>
    <w:rsid w:val="00362780"/>
    <w:rsid w:val="00362AA6"/>
    <w:rsid w:val="00362EE7"/>
    <w:rsid w:val="0036412D"/>
    <w:rsid w:val="00364A08"/>
    <w:rsid w:val="00364BAE"/>
    <w:rsid w:val="00366681"/>
    <w:rsid w:val="00366896"/>
    <w:rsid w:val="00366CF9"/>
    <w:rsid w:val="003672FE"/>
    <w:rsid w:val="00367D65"/>
    <w:rsid w:val="00367E30"/>
    <w:rsid w:val="0037188D"/>
    <w:rsid w:val="00372629"/>
    <w:rsid w:val="003728D6"/>
    <w:rsid w:val="00374069"/>
    <w:rsid w:val="003744D2"/>
    <w:rsid w:val="003744E5"/>
    <w:rsid w:val="0037543C"/>
    <w:rsid w:val="00375F7B"/>
    <w:rsid w:val="0037716B"/>
    <w:rsid w:val="00377882"/>
    <w:rsid w:val="00377CDD"/>
    <w:rsid w:val="003807CF"/>
    <w:rsid w:val="00381B83"/>
    <w:rsid w:val="00381B86"/>
    <w:rsid w:val="00381C27"/>
    <w:rsid w:val="00382175"/>
    <w:rsid w:val="0038257A"/>
    <w:rsid w:val="00383D49"/>
    <w:rsid w:val="00384A9F"/>
    <w:rsid w:val="003853D2"/>
    <w:rsid w:val="00385868"/>
    <w:rsid w:val="003861AA"/>
    <w:rsid w:val="0038636B"/>
    <w:rsid w:val="00386913"/>
    <w:rsid w:val="003869ED"/>
    <w:rsid w:val="00387AD2"/>
    <w:rsid w:val="00387C48"/>
    <w:rsid w:val="00390E33"/>
    <w:rsid w:val="00390E8C"/>
    <w:rsid w:val="0039137A"/>
    <w:rsid w:val="00391660"/>
    <w:rsid w:val="00391C23"/>
    <w:rsid w:val="0039200D"/>
    <w:rsid w:val="003920CB"/>
    <w:rsid w:val="0039291E"/>
    <w:rsid w:val="00395166"/>
    <w:rsid w:val="0039528A"/>
    <w:rsid w:val="00395343"/>
    <w:rsid w:val="00395546"/>
    <w:rsid w:val="003958CE"/>
    <w:rsid w:val="00395A8C"/>
    <w:rsid w:val="00395AEB"/>
    <w:rsid w:val="00395C69"/>
    <w:rsid w:val="00396856"/>
    <w:rsid w:val="003973E6"/>
    <w:rsid w:val="00397AB2"/>
    <w:rsid w:val="003A015F"/>
    <w:rsid w:val="003A05BC"/>
    <w:rsid w:val="003A0A2A"/>
    <w:rsid w:val="003A0A42"/>
    <w:rsid w:val="003A0DB6"/>
    <w:rsid w:val="003A16B7"/>
    <w:rsid w:val="003A19BC"/>
    <w:rsid w:val="003A1D38"/>
    <w:rsid w:val="003A1E6A"/>
    <w:rsid w:val="003A2115"/>
    <w:rsid w:val="003A2166"/>
    <w:rsid w:val="003A253E"/>
    <w:rsid w:val="003A2ECC"/>
    <w:rsid w:val="003A36FC"/>
    <w:rsid w:val="003A3717"/>
    <w:rsid w:val="003A380D"/>
    <w:rsid w:val="003A43A5"/>
    <w:rsid w:val="003A4C80"/>
    <w:rsid w:val="003A5DEB"/>
    <w:rsid w:val="003A5F35"/>
    <w:rsid w:val="003A6663"/>
    <w:rsid w:val="003A77BD"/>
    <w:rsid w:val="003B0362"/>
    <w:rsid w:val="003B045C"/>
    <w:rsid w:val="003B07CC"/>
    <w:rsid w:val="003B171A"/>
    <w:rsid w:val="003B1965"/>
    <w:rsid w:val="003B25B1"/>
    <w:rsid w:val="003B3309"/>
    <w:rsid w:val="003B387A"/>
    <w:rsid w:val="003B4085"/>
    <w:rsid w:val="003B5637"/>
    <w:rsid w:val="003B5639"/>
    <w:rsid w:val="003B5ACF"/>
    <w:rsid w:val="003B67CA"/>
    <w:rsid w:val="003B6B06"/>
    <w:rsid w:val="003B773E"/>
    <w:rsid w:val="003C02F4"/>
    <w:rsid w:val="003C15C2"/>
    <w:rsid w:val="003C1808"/>
    <w:rsid w:val="003C3F4A"/>
    <w:rsid w:val="003C4604"/>
    <w:rsid w:val="003C5EEC"/>
    <w:rsid w:val="003C67EE"/>
    <w:rsid w:val="003C724A"/>
    <w:rsid w:val="003C73ED"/>
    <w:rsid w:val="003C756F"/>
    <w:rsid w:val="003C76B9"/>
    <w:rsid w:val="003C78C4"/>
    <w:rsid w:val="003C7B60"/>
    <w:rsid w:val="003D06E4"/>
    <w:rsid w:val="003D0D8B"/>
    <w:rsid w:val="003D10C3"/>
    <w:rsid w:val="003D1109"/>
    <w:rsid w:val="003D1285"/>
    <w:rsid w:val="003D2225"/>
    <w:rsid w:val="003D2742"/>
    <w:rsid w:val="003D36DE"/>
    <w:rsid w:val="003D3A46"/>
    <w:rsid w:val="003D44C2"/>
    <w:rsid w:val="003D4BFB"/>
    <w:rsid w:val="003D612B"/>
    <w:rsid w:val="003D63DE"/>
    <w:rsid w:val="003D766C"/>
    <w:rsid w:val="003D7D94"/>
    <w:rsid w:val="003E00D3"/>
    <w:rsid w:val="003E1332"/>
    <w:rsid w:val="003E184D"/>
    <w:rsid w:val="003E29E6"/>
    <w:rsid w:val="003E2A9F"/>
    <w:rsid w:val="003E35F1"/>
    <w:rsid w:val="003E3E28"/>
    <w:rsid w:val="003E4188"/>
    <w:rsid w:val="003E4652"/>
    <w:rsid w:val="003E4747"/>
    <w:rsid w:val="003E4D61"/>
    <w:rsid w:val="003E5657"/>
    <w:rsid w:val="003E6054"/>
    <w:rsid w:val="003E74C4"/>
    <w:rsid w:val="003F054A"/>
    <w:rsid w:val="003F0695"/>
    <w:rsid w:val="003F0D4D"/>
    <w:rsid w:val="003F13B7"/>
    <w:rsid w:val="003F17E9"/>
    <w:rsid w:val="003F1A94"/>
    <w:rsid w:val="003F1E45"/>
    <w:rsid w:val="003F36FF"/>
    <w:rsid w:val="003F3B1F"/>
    <w:rsid w:val="003F3F99"/>
    <w:rsid w:val="003F4615"/>
    <w:rsid w:val="003F511F"/>
    <w:rsid w:val="003F6939"/>
    <w:rsid w:val="003F6A2F"/>
    <w:rsid w:val="003F6AD6"/>
    <w:rsid w:val="003F752A"/>
    <w:rsid w:val="00402F8E"/>
    <w:rsid w:val="0040368A"/>
    <w:rsid w:val="0040372D"/>
    <w:rsid w:val="00403D9A"/>
    <w:rsid w:val="004045D3"/>
    <w:rsid w:val="00404AA2"/>
    <w:rsid w:val="00407B89"/>
    <w:rsid w:val="00407D51"/>
    <w:rsid w:val="00410C8B"/>
    <w:rsid w:val="00411F13"/>
    <w:rsid w:val="00411FBC"/>
    <w:rsid w:val="004121FD"/>
    <w:rsid w:val="004133F3"/>
    <w:rsid w:val="004135B7"/>
    <w:rsid w:val="00413645"/>
    <w:rsid w:val="00413A63"/>
    <w:rsid w:val="00415192"/>
    <w:rsid w:val="00415E55"/>
    <w:rsid w:val="00416397"/>
    <w:rsid w:val="00416690"/>
    <w:rsid w:val="004169C1"/>
    <w:rsid w:val="00416C9C"/>
    <w:rsid w:val="00417477"/>
    <w:rsid w:val="00417A47"/>
    <w:rsid w:val="004206E3"/>
    <w:rsid w:val="00420A01"/>
    <w:rsid w:val="00421651"/>
    <w:rsid w:val="00421946"/>
    <w:rsid w:val="004227A0"/>
    <w:rsid w:val="00424367"/>
    <w:rsid w:val="00424390"/>
    <w:rsid w:val="00424517"/>
    <w:rsid w:val="0042583F"/>
    <w:rsid w:val="00425CB1"/>
    <w:rsid w:val="00426192"/>
    <w:rsid w:val="00426377"/>
    <w:rsid w:val="00426CAF"/>
    <w:rsid w:val="00427669"/>
    <w:rsid w:val="004303FE"/>
    <w:rsid w:val="0043067E"/>
    <w:rsid w:val="004314F9"/>
    <w:rsid w:val="00431893"/>
    <w:rsid w:val="00431B78"/>
    <w:rsid w:val="0043268A"/>
    <w:rsid w:val="00433038"/>
    <w:rsid w:val="00433311"/>
    <w:rsid w:val="00433AD5"/>
    <w:rsid w:val="00433E71"/>
    <w:rsid w:val="00434610"/>
    <w:rsid w:val="004347DB"/>
    <w:rsid w:val="00435DDF"/>
    <w:rsid w:val="004362D3"/>
    <w:rsid w:val="00436EF2"/>
    <w:rsid w:val="00437089"/>
    <w:rsid w:val="00437834"/>
    <w:rsid w:val="004379FE"/>
    <w:rsid w:val="00437EAC"/>
    <w:rsid w:val="00440AB4"/>
    <w:rsid w:val="0044106C"/>
    <w:rsid w:val="004412A9"/>
    <w:rsid w:val="0044214E"/>
    <w:rsid w:val="004447F7"/>
    <w:rsid w:val="00446190"/>
    <w:rsid w:val="00446B98"/>
    <w:rsid w:val="0044714E"/>
    <w:rsid w:val="00447610"/>
    <w:rsid w:val="00447971"/>
    <w:rsid w:val="004503BC"/>
    <w:rsid w:val="00450C88"/>
    <w:rsid w:val="00451064"/>
    <w:rsid w:val="004514F0"/>
    <w:rsid w:val="00452C6D"/>
    <w:rsid w:val="00453E30"/>
    <w:rsid w:val="004548C6"/>
    <w:rsid w:val="004550AD"/>
    <w:rsid w:val="004568BF"/>
    <w:rsid w:val="00460B64"/>
    <w:rsid w:val="00460E3F"/>
    <w:rsid w:val="004613E3"/>
    <w:rsid w:val="00461D35"/>
    <w:rsid w:val="00462329"/>
    <w:rsid w:val="004634E1"/>
    <w:rsid w:val="004639D8"/>
    <w:rsid w:val="00463BB5"/>
    <w:rsid w:val="00463FCA"/>
    <w:rsid w:val="00465030"/>
    <w:rsid w:val="004657D2"/>
    <w:rsid w:val="004658BC"/>
    <w:rsid w:val="00466228"/>
    <w:rsid w:val="004671A6"/>
    <w:rsid w:val="00467A6A"/>
    <w:rsid w:val="00467F16"/>
    <w:rsid w:val="00467F9F"/>
    <w:rsid w:val="0047059A"/>
    <w:rsid w:val="00470D35"/>
    <w:rsid w:val="00470EBE"/>
    <w:rsid w:val="00472C2B"/>
    <w:rsid w:val="004731EE"/>
    <w:rsid w:val="00473332"/>
    <w:rsid w:val="0047363C"/>
    <w:rsid w:val="00474988"/>
    <w:rsid w:val="00475990"/>
    <w:rsid w:val="004760F7"/>
    <w:rsid w:val="0047662F"/>
    <w:rsid w:val="00476BAF"/>
    <w:rsid w:val="0047706E"/>
    <w:rsid w:val="00480BE6"/>
    <w:rsid w:val="0048155C"/>
    <w:rsid w:val="00482C06"/>
    <w:rsid w:val="00482E6D"/>
    <w:rsid w:val="00483D01"/>
    <w:rsid w:val="00483D42"/>
    <w:rsid w:val="00483F45"/>
    <w:rsid w:val="00483FAF"/>
    <w:rsid w:val="00484A85"/>
    <w:rsid w:val="00484F4B"/>
    <w:rsid w:val="0048618D"/>
    <w:rsid w:val="0048754D"/>
    <w:rsid w:val="004902C0"/>
    <w:rsid w:val="00490638"/>
    <w:rsid w:val="004906E7"/>
    <w:rsid w:val="004909EF"/>
    <w:rsid w:val="00490A0D"/>
    <w:rsid w:val="00490C76"/>
    <w:rsid w:val="004916EF"/>
    <w:rsid w:val="00491734"/>
    <w:rsid w:val="00491C7B"/>
    <w:rsid w:val="00495227"/>
    <w:rsid w:val="004958BF"/>
    <w:rsid w:val="00496867"/>
    <w:rsid w:val="00496FBC"/>
    <w:rsid w:val="004972D1"/>
    <w:rsid w:val="004A053F"/>
    <w:rsid w:val="004A0596"/>
    <w:rsid w:val="004A10D5"/>
    <w:rsid w:val="004A1C39"/>
    <w:rsid w:val="004A1E90"/>
    <w:rsid w:val="004A20AA"/>
    <w:rsid w:val="004A2655"/>
    <w:rsid w:val="004A2D41"/>
    <w:rsid w:val="004A340A"/>
    <w:rsid w:val="004A35BA"/>
    <w:rsid w:val="004A4281"/>
    <w:rsid w:val="004A4368"/>
    <w:rsid w:val="004A4464"/>
    <w:rsid w:val="004A4962"/>
    <w:rsid w:val="004A5796"/>
    <w:rsid w:val="004A57BB"/>
    <w:rsid w:val="004A588D"/>
    <w:rsid w:val="004A5E86"/>
    <w:rsid w:val="004A6041"/>
    <w:rsid w:val="004A6F5B"/>
    <w:rsid w:val="004B0340"/>
    <w:rsid w:val="004B0A81"/>
    <w:rsid w:val="004B1466"/>
    <w:rsid w:val="004B2E52"/>
    <w:rsid w:val="004B30BC"/>
    <w:rsid w:val="004B3B00"/>
    <w:rsid w:val="004B3B94"/>
    <w:rsid w:val="004B3D6A"/>
    <w:rsid w:val="004B4B09"/>
    <w:rsid w:val="004B5426"/>
    <w:rsid w:val="004B54E0"/>
    <w:rsid w:val="004B7A08"/>
    <w:rsid w:val="004B7BCB"/>
    <w:rsid w:val="004B7BE0"/>
    <w:rsid w:val="004B7D32"/>
    <w:rsid w:val="004B7FBE"/>
    <w:rsid w:val="004C0C34"/>
    <w:rsid w:val="004C0F6D"/>
    <w:rsid w:val="004C1174"/>
    <w:rsid w:val="004C1180"/>
    <w:rsid w:val="004C1361"/>
    <w:rsid w:val="004C16B6"/>
    <w:rsid w:val="004C178D"/>
    <w:rsid w:val="004C18FE"/>
    <w:rsid w:val="004C1E50"/>
    <w:rsid w:val="004C27D5"/>
    <w:rsid w:val="004C2855"/>
    <w:rsid w:val="004C2BB7"/>
    <w:rsid w:val="004C2EA1"/>
    <w:rsid w:val="004C34D7"/>
    <w:rsid w:val="004C3A0D"/>
    <w:rsid w:val="004C3A84"/>
    <w:rsid w:val="004C3BB4"/>
    <w:rsid w:val="004C420C"/>
    <w:rsid w:val="004C43A5"/>
    <w:rsid w:val="004C4676"/>
    <w:rsid w:val="004C6409"/>
    <w:rsid w:val="004C64F4"/>
    <w:rsid w:val="004C69D7"/>
    <w:rsid w:val="004C6A6E"/>
    <w:rsid w:val="004C7606"/>
    <w:rsid w:val="004D03C5"/>
    <w:rsid w:val="004D1AE5"/>
    <w:rsid w:val="004D224E"/>
    <w:rsid w:val="004D360A"/>
    <w:rsid w:val="004D3F1B"/>
    <w:rsid w:val="004D4143"/>
    <w:rsid w:val="004D429F"/>
    <w:rsid w:val="004D4791"/>
    <w:rsid w:val="004D6366"/>
    <w:rsid w:val="004D701C"/>
    <w:rsid w:val="004E00FD"/>
    <w:rsid w:val="004E0343"/>
    <w:rsid w:val="004E0DE7"/>
    <w:rsid w:val="004E3048"/>
    <w:rsid w:val="004E39BE"/>
    <w:rsid w:val="004E5624"/>
    <w:rsid w:val="004E5DE7"/>
    <w:rsid w:val="004E6D1F"/>
    <w:rsid w:val="004E6D43"/>
    <w:rsid w:val="004E6FFD"/>
    <w:rsid w:val="004E7103"/>
    <w:rsid w:val="004E7250"/>
    <w:rsid w:val="004E76BD"/>
    <w:rsid w:val="004E79A6"/>
    <w:rsid w:val="004F0DE9"/>
    <w:rsid w:val="004F1004"/>
    <w:rsid w:val="004F40A8"/>
    <w:rsid w:val="004F4BA7"/>
    <w:rsid w:val="004F5267"/>
    <w:rsid w:val="004F5B78"/>
    <w:rsid w:val="004F6A8B"/>
    <w:rsid w:val="004F6ACA"/>
    <w:rsid w:val="004F750B"/>
    <w:rsid w:val="00500F13"/>
    <w:rsid w:val="005023A9"/>
    <w:rsid w:val="0050422E"/>
    <w:rsid w:val="00504343"/>
    <w:rsid w:val="00505C13"/>
    <w:rsid w:val="0050691E"/>
    <w:rsid w:val="005071D0"/>
    <w:rsid w:val="005078D6"/>
    <w:rsid w:val="00507FF8"/>
    <w:rsid w:val="0051067B"/>
    <w:rsid w:val="00510A35"/>
    <w:rsid w:val="00511A19"/>
    <w:rsid w:val="00512058"/>
    <w:rsid w:val="00513F15"/>
    <w:rsid w:val="00514B95"/>
    <w:rsid w:val="00514D74"/>
    <w:rsid w:val="00515C9B"/>
    <w:rsid w:val="00517116"/>
    <w:rsid w:val="00517346"/>
    <w:rsid w:val="00517A1F"/>
    <w:rsid w:val="00520773"/>
    <w:rsid w:val="00520F6A"/>
    <w:rsid w:val="00522849"/>
    <w:rsid w:val="00522EF0"/>
    <w:rsid w:val="00525C6A"/>
    <w:rsid w:val="00525DC6"/>
    <w:rsid w:val="00530F90"/>
    <w:rsid w:val="00531A72"/>
    <w:rsid w:val="005325D5"/>
    <w:rsid w:val="005328F4"/>
    <w:rsid w:val="00532E26"/>
    <w:rsid w:val="00532FA9"/>
    <w:rsid w:val="005338CF"/>
    <w:rsid w:val="00533B63"/>
    <w:rsid w:val="00534EC2"/>
    <w:rsid w:val="00535FD3"/>
    <w:rsid w:val="00536605"/>
    <w:rsid w:val="00536ADE"/>
    <w:rsid w:val="00537571"/>
    <w:rsid w:val="00542F3D"/>
    <w:rsid w:val="00543A83"/>
    <w:rsid w:val="00543F7F"/>
    <w:rsid w:val="00544533"/>
    <w:rsid w:val="00545668"/>
    <w:rsid w:val="00546690"/>
    <w:rsid w:val="005468C4"/>
    <w:rsid w:val="005470D6"/>
    <w:rsid w:val="00551291"/>
    <w:rsid w:val="0055153A"/>
    <w:rsid w:val="00552C0A"/>
    <w:rsid w:val="005535AD"/>
    <w:rsid w:val="00553F5B"/>
    <w:rsid w:val="0055541E"/>
    <w:rsid w:val="00555C50"/>
    <w:rsid w:val="00556B63"/>
    <w:rsid w:val="005610BA"/>
    <w:rsid w:val="00561946"/>
    <w:rsid w:val="00562709"/>
    <w:rsid w:val="00563413"/>
    <w:rsid w:val="0056369D"/>
    <w:rsid w:val="00563E08"/>
    <w:rsid w:val="005641CF"/>
    <w:rsid w:val="00564E8C"/>
    <w:rsid w:val="00564FAF"/>
    <w:rsid w:val="005671E1"/>
    <w:rsid w:val="0057086F"/>
    <w:rsid w:val="0057099C"/>
    <w:rsid w:val="005712DF"/>
    <w:rsid w:val="00571700"/>
    <w:rsid w:val="00571B7C"/>
    <w:rsid w:val="00572BE8"/>
    <w:rsid w:val="00572C41"/>
    <w:rsid w:val="005739B0"/>
    <w:rsid w:val="00574B85"/>
    <w:rsid w:val="005751FF"/>
    <w:rsid w:val="005757D0"/>
    <w:rsid w:val="00575924"/>
    <w:rsid w:val="00575C63"/>
    <w:rsid w:val="0057786C"/>
    <w:rsid w:val="005778D4"/>
    <w:rsid w:val="00580644"/>
    <w:rsid w:val="005807FF"/>
    <w:rsid w:val="00580F40"/>
    <w:rsid w:val="00582D91"/>
    <w:rsid w:val="00584558"/>
    <w:rsid w:val="00584699"/>
    <w:rsid w:val="00585F28"/>
    <w:rsid w:val="005872E4"/>
    <w:rsid w:val="00587649"/>
    <w:rsid w:val="00587734"/>
    <w:rsid w:val="00587886"/>
    <w:rsid w:val="0058798E"/>
    <w:rsid w:val="00587CD0"/>
    <w:rsid w:val="005900F4"/>
    <w:rsid w:val="00590C11"/>
    <w:rsid w:val="0059148F"/>
    <w:rsid w:val="00593A08"/>
    <w:rsid w:val="00595259"/>
    <w:rsid w:val="005960B7"/>
    <w:rsid w:val="0059639E"/>
    <w:rsid w:val="005968A3"/>
    <w:rsid w:val="005A06FF"/>
    <w:rsid w:val="005A071D"/>
    <w:rsid w:val="005A08DB"/>
    <w:rsid w:val="005A29EF"/>
    <w:rsid w:val="005A2BCF"/>
    <w:rsid w:val="005A5A76"/>
    <w:rsid w:val="005A5F59"/>
    <w:rsid w:val="005A652C"/>
    <w:rsid w:val="005A6929"/>
    <w:rsid w:val="005B1401"/>
    <w:rsid w:val="005B23EC"/>
    <w:rsid w:val="005B30A7"/>
    <w:rsid w:val="005B424B"/>
    <w:rsid w:val="005B4756"/>
    <w:rsid w:val="005B506C"/>
    <w:rsid w:val="005B5D96"/>
    <w:rsid w:val="005B658F"/>
    <w:rsid w:val="005C0012"/>
    <w:rsid w:val="005C0734"/>
    <w:rsid w:val="005C26CC"/>
    <w:rsid w:val="005C2BB5"/>
    <w:rsid w:val="005C3915"/>
    <w:rsid w:val="005C4599"/>
    <w:rsid w:val="005C4EDF"/>
    <w:rsid w:val="005C6E4F"/>
    <w:rsid w:val="005C6F8C"/>
    <w:rsid w:val="005D14DF"/>
    <w:rsid w:val="005D1BBF"/>
    <w:rsid w:val="005D2C35"/>
    <w:rsid w:val="005D3B12"/>
    <w:rsid w:val="005D47E2"/>
    <w:rsid w:val="005D4D8C"/>
    <w:rsid w:val="005D5CC8"/>
    <w:rsid w:val="005D71BA"/>
    <w:rsid w:val="005D7727"/>
    <w:rsid w:val="005D77EB"/>
    <w:rsid w:val="005E05B1"/>
    <w:rsid w:val="005E1B32"/>
    <w:rsid w:val="005E1F58"/>
    <w:rsid w:val="005E2C58"/>
    <w:rsid w:val="005E2CCC"/>
    <w:rsid w:val="005E2E2F"/>
    <w:rsid w:val="005E43B2"/>
    <w:rsid w:val="005E5595"/>
    <w:rsid w:val="005E5C5A"/>
    <w:rsid w:val="005E5CD7"/>
    <w:rsid w:val="005E633E"/>
    <w:rsid w:val="005E695A"/>
    <w:rsid w:val="005E6B39"/>
    <w:rsid w:val="005E71BE"/>
    <w:rsid w:val="005E7594"/>
    <w:rsid w:val="005E7D91"/>
    <w:rsid w:val="005F09D6"/>
    <w:rsid w:val="005F10C2"/>
    <w:rsid w:val="005F20A8"/>
    <w:rsid w:val="005F2494"/>
    <w:rsid w:val="005F31D3"/>
    <w:rsid w:val="005F3552"/>
    <w:rsid w:val="005F3B10"/>
    <w:rsid w:val="005F4450"/>
    <w:rsid w:val="005F47D9"/>
    <w:rsid w:val="005F5746"/>
    <w:rsid w:val="005F5A1B"/>
    <w:rsid w:val="005F5F1F"/>
    <w:rsid w:val="005F6011"/>
    <w:rsid w:val="005F62FD"/>
    <w:rsid w:val="005F6B9D"/>
    <w:rsid w:val="00600013"/>
    <w:rsid w:val="0060006D"/>
    <w:rsid w:val="00600B8B"/>
    <w:rsid w:val="00600C00"/>
    <w:rsid w:val="006021B1"/>
    <w:rsid w:val="00602289"/>
    <w:rsid w:val="00602762"/>
    <w:rsid w:val="00602B38"/>
    <w:rsid w:val="00603F74"/>
    <w:rsid w:val="006044E2"/>
    <w:rsid w:val="00604A0E"/>
    <w:rsid w:val="00604EEC"/>
    <w:rsid w:val="006060FD"/>
    <w:rsid w:val="0060717B"/>
    <w:rsid w:val="0060785A"/>
    <w:rsid w:val="00607FEF"/>
    <w:rsid w:val="006114B9"/>
    <w:rsid w:val="00611F04"/>
    <w:rsid w:val="00612579"/>
    <w:rsid w:val="006132C0"/>
    <w:rsid w:val="00613756"/>
    <w:rsid w:val="00614267"/>
    <w:rsid w:val="00614B54"/>
    <w:rsid w:val="0061616C"/>
    <w:rsid w:val="00616735"/>
    <w:rsid w:val="006203DC"/>
    <w:rsid w:val="006206BD"/>
    <w:rsid w:val="0062102A"/>
    <w:rsid w:val="006214FB"/>
    <w:rsid w:val="00621504"/>
    <w:rsid w:val="00621DC5"/>
    <w:rsid w:val="00621F41"/>
    <w:rsid w:val="00622053"/>
    <w:rsid w:val="006222C4"/>
    <w:rsid w:val="006253C8"/>
    <w:rsid w:val="006265D3"/>
    <w:rsid w:val="00626B5B"/>
    <w:rsid w:val="00626FF4"/>
    <w:rsid w:val="0063069A"/>
    <w:rsid w:val="00630C71"/>
    <w:rsid w:val="006322A7"/>
    <w:rsid w:val="0063276E"/>
    <w:rsid w:val="00632CFF"/>
    <w:rsid w:val="00634CE1"/>
    <w:rsid w:val="006358AB"/>
    <w:rsid w:val="00635E08"/>
    <w:rsid w:val="0063649C"/>
    <w:rsid w:val="0063651E"/>
    <w:rsid w:val="006369B1"/>
    <w:rsid w:val="00636DB9"/>
    <w:rsid w:val="00637AEA"/>
    <w:rsid w:val="006402F5"/>
    <w:rsid w:val="00640D62"/>
    <w:rsid w:val="00641122"/>
    <w:rsid w:val="0064245D"/>
    <w:rsid w:val="00642BDD"/>
    <w:rsid w:val="0064374F"/>
    <w:rsid w:val="00643778"/>
    <w:rsid w:val="006443B7"/>
    <w:rsid w:val="006447D6"/>
    <w:rsid w:val="006450EF"/>
    <w:rsid w:val="006452C6"/>
    <w:rsid w:val="0064555C"/>
    <w:rsid w:val="00645F83"/>
    <w:rsid w:val="00646168"/>
    <w:rsid w:val="00647FE3"/>
    <w:rsid w:val="00650BD6"/>
    <w:rsid w:val="006522EF"/>
    <w:rsid w:val="00653320"/>
    <w:rsid w:val="00653774"/>
    <w:rsid w:val="00653BE4"/>
    <w:rsid w:val="00653E97"/>
    <w:rsid w:val="006546C3"/>
    <w:rsid w:val="00655B77"/>
    <w:rsid w:val="00655B89"/>
    <w:rsid w:val="00655D23"/>
    <w:rsid w:val="00655FC8"/>
    <w:rsid w:val="00657D35"/>
    <w:rsid w:val="0066001B"/>
    <w:rsid w:val="0066065B"/>
    <w:rsid w:val="00660A83"/>
    <w:rsid w:val="00661233"/>
    <w:rsid w:val="00662098"/>
    <w:rsid w:val="006622A1"/>
    <w:rsid w:val="00663D0C"/>
    <w:rsid w:val="00664AD5"/>
    <w:rsid w:val="00665802"/>
    <w:rsid w:val="00665937"/>
    <w:rsid w:val="0066616A"/>
    <w:rsid w:val="00666A6C"/>
    <w:rsid w:val="00666E3F"/>
    <w:rsid w:val="00667385"/>
    <w:rsid w:val="00667B5C"/>
    <w:rsid w:val="006706E1"/>
    <w:rsid w:val="00670F18"/>
    <w:rsid w:val="0067326F"/>
    <w:rsid w:val="0067454F"/>
    <w:rsid w:val="00674FBD"/>
    <w:rsid w:val="00677400"/>
    <w:rsid w:val="0068213D"/>
    <w:rsid w:val="00682DDA"/>
    <w:rsid w:val="0068319B"/>
    <w:rsid w:val="0068375A"/>
    <w:rsid w:val="00683EF1"/>
    <w:rsid w:val="0068460D"/>
    <w:rsid w:val="00684C72"/>
    <w:rsid w:val="00685496"/>
    <w:rsid w:val="00687DFA"/>
    <w:rsid w:val="00690E79"/>
    <w:rsid w:val="006922D9"/>
    <w:rsid w:val="00692395"/>
    <w:rsid w:val="006928E1"/>
    <w:rsid w:val="00693049"/>
    <w:rsid w:val="0069518A"/>
    <w:rsid w:val="0069534E"/>
    <w:rsid w:val="00696FD6"/>
    <w:rsid w:val="00697094"/>
    <w:rsid w:val="006A012B"/>
    <w:rsid w:val="006A0836"/>
    <w:rsid w:val="006A0F5E"/>
    <w:rsid w:val="006A11BE"/>
    <w:rsid w:val="006A13CE"/>
    <w:rsid w:val="006A1B08"/>
    <w:rsid w:val="006A2C77"/>
    <w:rsid w:val="006A2FB8"/>
    <w:rsid w:val="006A3398"/>
    <w:rsid w:val="006A41F0"/>
    <w:rsid w:val="006A4A56"/>
    <w:rsid w:val="006A4DCB"/>
    <w:rsid w:val="006A55BE"/>
    <w:rsid w:val="006B180D"/>
    <w:rsid w:val="006B1A4F"/>
    <w:rsid w:val="006B25AD"/>
    <w:rsid w:val="006B2BA3"/>
    <w:rsid w:val="006B373D"/>
    <w:rsid w:val="006B43E4"/>
    <w:rsid w:val="006B4BE6"/>
    <w:rsid w:val="006B55B8"/>
    <w:rsid w:val="006B57A2"/>
    <w:rsid w:val="006B5922"/>
    <w:rsid w:val="006B6E25"/>
    <w:rsid w:val="006B736D"/>
    <w:rsid w:val="006B7B59"/>
    <w:rsid w:val="006C0734"/>
    <w:rsid w:val="006C0769"/>
    <w:rsid w:val="006C0D12"/>
    <w:rsid w:val="006C0FA0"/>
    <w:rsid w:val="006C3A61"/>
    <w:rsid w:val="006C3F35"/>
    <w:rsid w:val="006C4F1E"/>
    <w:rsid w:val="006C5B51"/>
    <w:rsid w:val="006C62F4"/>
    <w:rsid w:val="006C6718"/>
    <w:rsid w:val="006C67FF"/>
    <w:rsid w:val="006C72F8"/>
    <w:rsid w:val="006D0685"/>
    <w:rsid w:val="006D0CF9"/>
    <w:rsid w:val="006D1066"/>
    <w:rsid w:val="006D1524"/>
    <w:rsid w:val="006D196D"/>
    <w:rsid w:val="006D1A7B"/>
    <w:rsid w:val="006D1AB1"/>
    <w:rsid w:val="006D2B7A"/>
    <w:rsid w:val="006D7508"/>
    <w:rsid w:val="006E019B"/>
    <w:rsid w:val="006E1872"/>
    <w:rsid w:val="006E2322"/>
    <w:rsid w:val="006E2AB6"/>
    <w:rsid w:val="006E2D6F"/>
    <w:rsid w:val="006E33AD"/>
    <w:rsid w:val="006E4FCD"/>
    <w:rsid w:val="006F00C5"/>
    <w:rsid w:val="006F0267"/>
    <w:rsid w:val="006F18D6"/>
    <w:rsid w:val="006F2BFD"/>
    <w:rsid w:val="006F2C7D"/>
    <w:rsid w:val="006F2E97"/>
    <w:rsid w:val="006F3C02"/>
    <w:rsid w:val="006F4345"/>
    <w:rsid w:val="006F635B"/>
    <w:rsid w:val="006F66E7"/>
    <w:rsid w:val="006F7DE8"/>
    <w:rsid w:val="0070007D"/>
    <w:rsid w:val="00700237"/>
    <w:rsid w:val="00700836"/>
    <w:rsid w:val="00703A65"/>
    <w:rsid w:val="00703AF6"/>
    <w:rsid w:val="00704CFF"/>
    <w:rsid w:val="0070599C"/>
    <w:rsid w:val="00706392"/>
    <w:rsid w:val="00706A53"/>
    <w:rsid w:val="00707ECD"/>
    <w:rsid w:val="0071027D"/>
    <w:rsid w:val="00710744"/>
    <w:rsid w:val="00711252"/>
    <w:rsid w:val="007113C6"/>
    <w:rsid w:val="00712B46"/>
    <w:rsid w:val="00716ABD"/>
    <w:rsid w:val="00716FD1"/>
    <w:rsid w:val="007176E6"/>
    <w:rsid w:val="00717CBB"/>
    <w:rsid w:val="00717FE0"/>
    <w:rsid w:val="007206CA"/>
    <w:rsid w:val="00720A52"/>
    <w:rsid w:val="00720D1D"/>
    <w:rsid w:val="007221E8"/>
    <w:rsid w:val="0072231F"/>
    <w:rsid w:val="007229C1"/>
    <w:rsid w:val="007237FC"/>
    <w:rsid w:val="007247A4"/>
    <w:rsid w:val="00724A71"/>
    <w:rsid w:val="00724E58"/>
    <w:rsid w:val="007251E0"/>
    <w:rsid w:val="00726CD9"/>
    <w:rsid w:val="007271B3"/>
    <w:rsid w:val="0073121B"/>
    <w:rsid w:val="00731351"/>
    <w:rsid w:val="00732E2E"/>
    <w:rsid w:val="007334AD"/>
    <w:rsid w:val="00733F79"/>
    <w:rsid w:val="007355D2"/>
    <w:rsid w:val="00735AEB"/>
    <w:rsid w:val="00736529"/>
    <w:rsid w:val="007367DD"/>
    <w:rsid w:val="00736959"/>
    <w:rsid w:val="007401F2"/>
    <w:rsid w:val="007411E7"/>
    <w:rsid w:val="00741B79"/>
    <w:rsid w:val="00744109"/>
    <w:rsid w:val="007456CB"/>
    <w:rsid w:val="00745827"/>
    <w:rsid w:val="00745854"/>
    <w:rsid w:val="00745920"/>
    <w:rsid w:val="00745C52"/>
    <w:rsid w:val="00746386"/>
    <w:rsid w:val="0074698D"/>
    <w:rsid w:val="00747783"/>
    <w:rsid w:val="00747B7A"/>
    <w:rsid w:val="00747BB4"/>
    <w:rsid w:val="00750235"/>
    <w:rsid w:val="00750443"/>
    <w:rsid w:val="007504E2"/>
    <w:rsid w:val="00751ADC"/>
    <w:rsid w:val="00751C27"/>
    <w:rsid w:val="00751D22"/>
    <w:rsid w:val="007521C4"/>
    <w:rsid w:val="0075282C"/>
    <w:rsid w:val="00753606"/>
    <w:rsid w:val="00753894"/>
    <w:rsid w:val="007543AC"/>
    <w:rsid w:val="007543FC"/>
    <w:rsid w:val="007547EB"/>
    <w:rsid w:val="00755003"/>
    <w:rsid w:val="00755009"/>
    <w:rsid w:val="00755B4F"/>
    <w:rsid w:val="00755BFA"/>
    <w:rsid w:val="00756178"/>
    <w:rsid w:val="00756F48"/>
    <w:rsid w:val="007571F9"/>
    <w:rsid w:val="007573B0"/>
    <w:rsid w:val="00757D3B"/>
    <w:rsid w:val="007607D2"/>
    <w:rsid w:val="0076164F"/>
    <w:rsid w:val="00761C89"/>
    <w:rsid w:val="00761FA8"/>
    <w:rsid w:val="00762370"/>
    <w:rsid w:val="00762C84"/>
    <w:rsid w:val="007637A4"/>
    <w:rsid w:val="00763CAB"/>
    <w:rsid w:val="00763DB9"/>
    <w:rsid w:val="0076597A"/>
    <w:rsid w:val="00765E53"/>
    <w:rsid w:val="00766885"/>
    <w:rsid w:val="00766B8E"/>
    <w:rsid w:val="00766C2C"/>
    <w:rsid w:val="0076701A"/>
    <w:rsid w:val="00770600"/>
    <w:rsid w:val="00770F60"/>
    <w:rsid w:val="00772F19"/>
    <w:rsid w:val="007737E2"/>
    <w:rsid w:val="007738C2"/>
    <w:rsid w:val="0077433F"/>
    <w:rsid w:val="0077537A"/>
    <w:rsid w:val="00775615"/>
    <w:rsid w:val="00775B20"/>
    <w:rsid w:val="00776399"/>
    <w:rsid w:val="007775EC"/>
    <w:rsid w:val="0078005F"/>
    <w:rsid w:val="007803C2"/>
    <w:rsid w:val="00780966"/>
    <w:rsid w:val="007827A4"/>
    <w:rsid w:val="00782914"/>
    <w:rsid w:val="0078295A"/>
    <w:rsid w:val="0078355D"/>
    <w:rsid w:val="007836E4"/>
    <w:rsid w:val="0078394A"/>
    <w:rsid w:val="00785C24"/>
    <w:rsid w:val="00785C60"/>
    <w:rsid w:val="00785C7E"/>
    <w:rsid w:val="00785DBF"/>
    <w:rsid w:val="00787730"/>
    <w:rsid w:val="00787B2A"/>
    <w:rsid w:val="00787C23"/>
    <w:rsid w:val="00787F5E"/>
    <w:rsid w:val="007907E9"/>
    <w:rsid w:val="007916F2"/>
    <w:rsid w:val="007919D3"/>
    <w:rsid w:val="007920D5"/>
    <w:rsid w:val="007921C1"/>
    <w:rsid w:val="0079266A"/>
    <w:rsid w:val="00792792"/>
    <w:rsid w:val="00792D86"/>
    <w:rsid w:val="00792F77"/>
    <w:rsid w:val="00792FFC"/>
    <w:rsid w:val="00794410"/>
    <w:rsid w:val="00794911"/>
    <w:rsid w:val="00794ECD"/>
    <w:rsid w:val="00795E9E"/>
    <w:rsid w:val="00797B37"/>
    <w:rsid w:val="00797DE2"/>
    <w:rsid w:val="007A0056"/>
    <w:rsid w:val="007A03B8"/>
    <w:rsid w:val="007A03F1"/>
    <w:rsid w:val="007A07C4"/>
    <w:rsid w:val="007A0F4F"/>
    <w:rsid w:val="007A129B"/>
    <w:rsid w:val="007A1868"/>
    <w:rsid w:val="007A1B44"/>
    <w:rsid w:val="007A2720"/>
    <w:rsid w:val="007A2FB4"/>
    <w:rsid w:val="007A2FE6"/>
    <w:rsid w:val="007A324F"/>
    <w:rsid w:val="007A3CE2"/>
    <w:rsid w:val="007A41E9"/>
    <w:rsid w:val="007A4E76"/>
    <w:rsid w:val="007A5461"/>
    <w:rsid w:val="007A585C"/>
    <w:rsid w:val="007A5C0C"/>
    <w:rsid w:val="007A5F3B"/>
    <w:rsid w:val="007A63FD"/>
    <w:rsid w:val="007A6480"/>
    <w:rsid w:val="007A68C3"/>
    <w:rsid w:val="007A7417"/>
    <w:rsid w:val="007A747F"/>
    <w:rsid w:val="007A76E1"/>
    <w:rsid w:val="007A7F43"/>
    <w:rsid w:val="007B0CDC"/>
    <w:rsid w:val="007B1B64"/>
    <w:rsid w:val="007B45B4"/>
    <w:rsid w:val="007B4CF5"/>
    <w:rsid w:val="007B4F97"/>
    <w:rsid w:val="007B5856"/>
    <w:rsid w:val="007B649F"/>
    <w:rsid w:val="007B675E"/>
    <w:rsid w:val="007B71B6"/>
    <w:rsid w:val="007B7751"/>
    <w:rsid w:val="007C0CBE"/>
    <w:rsid w:val="007C2001"/>
    <w:rsid w:val="007C2673"/>
    <w:rsid w:val="007C2D1E"/>
    <w:rsid w:val="007C39F0"/>
    <w:rsid w:val="007C4185"/>
    <w:rsid w:val="007C5C05"/>
    <w:rsid w:val="007C5FF5"/>
    <w:rsid w:val="007C683C"/>
    <w:rsid w:val="007C6F48"/>
    <w:rsid w:val="007C7904"/>
    <w:rsid w:val="007D00E4"/>
    <w:rsid w:val="007D16A4"/>
    <w:rsid w:val="007D2D14"/>
    <w:rsid w:val="007D36A1"/>
    <w:rsid w:val="007D3ABC"/>
    <w:rsid w:val="007D3EB2"/>
    <w:rsid w:val="007D45A8"/>
    <w:rsid w:val="007D5548"/>
    <w:rsid w:val="007D5BD2"/>
    <w:rsid w:val="007D5DF2"/>
    <w:rsid w:val="007D6CDB"/>
    <w:rsid w:val="007D79F4"/>
    <w:rsid w:val="007E0046"/>
    <w:rsid w:val="007E0A4B"/>
    <w:rsid w:val="007E1D41"/>
    <w:rsid w:val="007E1D7E"/>
    <w:rsid w:val="007E29C2"/>
    <w:rsid w:val="007E3702"/>
    <w:rsid w:val="007E3876"/>
    <w:rsid w:val="007E4FD0"/>
    <w:rsid w:val="007E5061"/>
    <w:rsid w:val="007E5448"/>
    <w:rsid w:val="007E6F21"/>
    <w:rsid w:val="007E74EE"/>
    <w:rsid w:val="007E7B4B"/>
    <w:rsid w:val="007F08AB"/>
    <w:rsid w:val="007F0C67"/>
    <w:rsid w:val="007F2A31"/>
    <w:rsid w:val="007F33E8"/>
    <w:rsid w:val="007F3AAC"/>
    <w:rsid w:val="007F406A"/>
    <w:rsid w:val="007F460F"/>
    <w:rsid w:val="007F594E"/>
    <w:rsid w:val="007F6581"/>
    <w:rsid w:val="007F6997"/>
    <w:rsid w:val="007F6A21"/>
    <w:rsid w:val="007F7070"/>
    <w:rsid w:val="007F788C"/>
    <w:rsid w:val="008003B5"/>
    <w:rsid w:val="00801A14"/>
    <w:rsid w:val="00802270"/>
    <w:rsid w:val="00802F54"/>
    <w:rsid w:val="00802F59"/>
    <w:rsid w:val="00802F7C"/>
    <w:rsid w:val="008045F7"/>
    <w:rsid w:val="008048D4"/>
    <w:rsid w:val="00804A72"/>
    <w:rsid w:val="0080593D"/>
    <w:rsid w:val="00807125"/>
    <w:rsid w:val="008076EE"/>
    <w:rsid w:val="0080796B"/>
    <w:rsid w:val="008110AF"/>
    <w:rsid w:val="0081148C"/>
    <w:rsid w:val="0081165B"/>
    <w:rsid w:val="00811BEF"/>
    <w:rsid w:val="00811DD3"/>
    <w:rsid w:val="008120BA"/>
    <w:rsid w:val="0081298B"/>
    <w:rsid w:val="008133C1"/>
    <w:rsid w:val="00813A4D"/>
    <w:rsid w:val="00813D2A"/>
    <w:rsid w:val="0081401E"/>
    <w:rsid w:val="00814F8C"/>
    <w:rsid w:val="0081515C"/>
    <w:rsid w:val="0081539C"/>
    <w:rsid w:val="008153D8"/>
    <w:rsid w:val="00815635"/>
    <w:rsid w:val="00815DB0"/>
    <w:rsid w:val="00816300"/>
    <w:rsid w:val="00816ACB"/>
    <w:rsid w:val="00816EA3"/>
    <w:rsid w:val="00817660"/>
    <w:rsid w:val="008213FE"/>
    <w:rsid w:val="00821DF9"/>
    <w:rsid w:val="00822201"/>
    <w:rsid w:val="00822441"/>
    <w:rsid w:val="00823A2C"/>
    <w:rsid w:val="00823CFD"/>
    <w:rsid w:val="008249F9"/>
    <w:rsid w:val="00824B42"/>
    <w:rsid w:val="008255B0"/>
    <w:rsid w:val="00825855"/>
    <w:rsid w:val="00826BCB"/>
    <w:rsid w:val="00826FBD"/>
    <w:rsid w:val="00827253"/>
    <w:rsid w:val="00830861"/>
    <w:rsid w:val="008308A1"/>
    <w:rsid w:val="0083147F"/>
    <w:rsid w:val="00832557"/>
    <w:rsid w:val="00832C2E"/>
    <w:rsid w:val="008342B5"/>
    <w:rsid w:val="00834CC3"/>
    <w:rsid w:val="008353D5"/>
    <w:rsid w:val="008364CB"/>
    <w:rsid w:val="00836BDD"/>
    <w:rsid w:val="00836DB3"/>
    <w:rsid w:val="008374D6"/>
    <w:rsid w:val="00840868"/>
    <w:rsid w:val="00840F81"/>
    <w:rsid w:val="00841111"/>
    <w:rsid w:val="00841B55"/>
    <w:rsid w:val="00842EFE"/>
    <w:rsid w:val="008434E0"/>
    <w:rsid w:val="008453D5"/>
    <w:rsid w:val="00845523"/>
    <w:rsid w:val="00845A80"/>
    <w:rsid w:val="00846AF6"/>
    <w:rsid w:val="008516D1"/>
    <w:rsid w:val="00851B77"/>
    <w:rsid w:val="00851B9E"/>
    <w:rsid w:val="008523DD"/>
    <w:rsid w:val="0085278E"/>
    <w:rsid w:val="00853004"/>
    <w:rsid w:val="00853828"/>
    <w:rsid w:val="008539E4"/>
    <w:rsid w:val="00854256"/>
    <w:rsid w:val="0085494A"/>
    <w:rsid w:val="00855DB2"/>
    <w:rsid w:val="00855E0B"/>
    <w:rsid w:val="00856102"/>
    <w:rsid w:val="008569CD"/>
    <w:rsid w:val="00856A3A"/>
    <w:rsid w:val="00856D5B"/>
    <w:rsid w:val="00857444"/>
    <w:rsid w:val="008576ED"/>
    <w:rsid w:val="008579E6"/>
    <w:rsid w:val="00860A66"/>
    <w:rsid w:val="00860C48"/>
    <w:rsid w:val="00860F4B"/>
    <w:rsid w:val="00861CB4"/>
    <w:rsid w:val="00861F25"/>
    <w:rsid w:val="00862CF3"/>
    <w:rsid w:val="00863B41"/>
    <w:rsid w:val="008642B3"/>
    <w:rsid w:val="00864951"/>
    <w:rsid w:val="00866778"/>
    <w:rsid w:val="00866EE0"/>
    <w:rsid w:val="008671DC"/>
    <w:rsid w:val="00867353"/>
    <w:rsid w:val="00867FFB"/>
    <w:rsid w:val="00870723"/>
    <w:rsid w:val="00870AE4"/>
    <w:rsid w:val="0087207A"/>
    <w:rsid w:val="00872E99"/>
    <w:rsid w:val="00873928"/>
    <w:rsid w:val="00873A68"/>
    <w:rsid w:val="00873F66"/>
    <w:rsid w:val="00874281"/>
    <w:rsid w:val="00874D3C"/>
    <w:rsid w:val="0087591F"/>
    <w:rsid w:val="008766A7"/>
    <w:rsid w:val="0088094B"/>
    <w:rsid w:val="00882558"/>
    <w:rsid w:val="00882DC6"/>
    <w:rsid w:val="008837D9"/>
    <w:rsid w:val="00883DA9"/>
    <w:rsid w:val="0088412F"/>
    <w:rsid w:val="008849FE"/>
    <w:rsid w:val="00884AA4"/>
    <w:rsid w:val="008851C7"/>
    <w:rsid w:val="00885E33"/>
    <w:rsid w:val="00885E84"/>
    <w:rsid w:val="00885F85"/>
    <w:rsid w:val="0088652E"/>
    <w:rsid w:val="00887E7C"/>
    <w:rsid w:val="00890237"/>
    <w:rsid w:val="008926C4"/>
    <w:rsid w:val="00892E39"/>
    <w:rsid w:val="00893B7E"/>
    <w:rsid w:val="00894041"/>
    <w:rsid w:val="00894EA0"/>
    <w:rsid w:val="00896137"/>
    <w:rsid w:val="008970C1"/>
    <w:rsid w:val="0089762B"/>
    <w:rsid w:val="008A0903"/>
    <w:rsid w:val="008A0EE8"/>
    <w:rsid w:val="008A38F2"/>
    <w:rsid w:val="008A4515"/>
    <w:rsid w:val="008A5AE4"/>
    <w:rsid w:val="008A5CE1"/>
    <w:rsid w:val="008A7578"/>
    <w:rsid w:val="008A7A8F"/>
    <w:rsid w:val="008B0B18"/>
    <w:rsid w:val="008B0B34"/>
    <w:rsid w:val="008B0C21"/>
    <w:rsid w:val="008B1B0D"/>
    <w:rsid w:val="008B32F6"/>
    <w:rsid w:val="008B34EE"/>
    <w:rsid w:val="008B3F08"/>
    <w:rsid w:val="008B4A39"/>
    <w:rsid w:val="008B5007"/>
    <w:rsid w:val="008B59FE"/>
    <w:rsid w:val="008B5F5C"/>
    <w:rsid w:val="008B7827"/>
    <w:rsid w:val="008C0416"/>
    <w:rsid w:val="008C0E5F"/>
    <w:rsid w:val="008C0E97"/>
    <w:rsid w:val="008C34FC"/>
    <w:rsid w:val="008C3912"/>
    <w:rsid w:val="008C4AF0"/>
    <w:rsid w:val="008C4CCA"/>
    <w:rsid w:val="008C539F"/>
    <w:rsid w:val="008C6566"/>
    <w:rsid w:val="008C69F8"/>
    <w:rsid w:val="008C6B51"/>
    <w:rsid w:val="008C6C6A"/>
    <w:rsid w:val="008C6E39"/>
    <w:rsid w:val="008D0723"/>
    <w:rsid w:val="008D08E0"/>
    <w:rsid w:val="008D0DF2"/>
    <w:rsid w:val="008D0F57"/>
    <w:rsid w:val="008D2C5C"/>
    <w:rsid w:val="008D367D"/>
    <w:rsid w:val="008D5736"/>
    <w:rsid w:val="008D5A1F"/>
    <w:rsid w:val="008D5E11"/>
    <w:rsid w:val="008D5FBF"/>
    <w:rsid w:val="008D6108"/>
    <w:rsid w:val="008D65A8"/>
    <w:rsid w:val="008D6A56"/>
    <w:rsid w:val="008D7A21"/>
    <w:rsid w:val="008E02E0"/>
    <w:rsid w:val="008E03F8"/>
    <w:rsid w:val="008E0446"/>
    <w:rsid w:val="008E0966"/>
    <w:rsid w:val="008E1DCC"/>
    <w:rsid w:val="008E2D84"/>
    <w:rsid w:val="008E2F3A"/>
    <w:rsid w:val="008E4334"/>
    <w:rsid w:val="008E465D"/>
    <w:rsid w:val="008E58E9"/>
    <w:rsid w:val="008E5E60"/>
    <w:rsid w:val="008E6296"/>
    <w:rsid w:val="008E68D8"/>
    <w:rsid w:val="008E6D82"/>
    <w:rsid w:val="008E6DCD"/>
    <w:rsid w:val="008E7B34"/>
    <w:rsid w:val="008F0484"/>
    <w:rsid w:val="008F072D"/>
    <w:rsid w:val="008F18DB"/>
    <w:rsid w:val="008F1974"/>
    <w:rsid w:val="008F1990"/>
    <w:rsid w:val="008F19CA"/>
    <w:rsid w:val="008F283B"/>
    <w:rsid w:val="008F2BCC"/>
    <w:rsid w:val="008F4E59"/>
    <w:rsid w:val="008F5788"/>
    <w:rsid w:val="008F58B1"/>
    <w:rsid w:val="008F5ADF"/>
    <w:rsid w:val="008F63FE"/>
    <w:rsid w:val="008F6AA9"/>
    <w:rsid w:val="008F754A"/>
    <w:rsid w:val="008F780F"/>
    <w:rsid w:val="00900337"/>
    <w:rsid w:val="00900EF6"/>
    <w:rsid w:val="009011B1"/>
    <w:rsid w:val="00901F1F"/>
    <w:rsid w:val="0090208E"/>
    <w:rsid w:val="009042E8"/>
    <w:rsid w:val="00904979"/>
    <w:rsid w:val="00905783"/>
    <w:rsid w:val="00905A4A"/>
    <w:rsid w:val="00906666"/>
    <w:rsid w:val="00910DA0"/>
    <w:rsid w:val="0091121E"/>
    <w:rsid w:val="00911428"/>
    <w:rsid w:val="00911E7C"/>
    <w:rsid w:val="00911F26"/>
    <w:rsid w:val="0091271F"/>
    <w:rsid w:val="00914219"/>
    <w:rsid w:val="0091424C"/>
    <w:rsid w:val="0091469D"/>
    <w:rsid w:val="009151EC"/>
    <w:rsid w:val="009166DE"/>
    <w:rsid w:val="009169E5"/>
    <w:rsid w:val="00916BBA"/>
    <w:rsid w:val="00916F58"/>
    <w:rsid w:val="00917051"/>
    <w:rsid w:val="009173EB"/>
    <w:rsid w:val="00917623"/>
    <w:rsid w:val="00917ED3"/>
    <w:rsid w:val="0092046A"/>
    <w:rsid w:val="00921143"/>
    <w:rsid w:val="00921904"/>
    <w:rsid w:val="00922658"/>
    <w:rsid w:val="009227E2"/>
    <w:rsid w:val="0092286A"/>
    <w:rsid w:val="009235DF"/>
    <w:rsid w:val="00923755"/>
    <w:rsid w:val="00923DB5"/>
    <w:rsid w:val="00924FCA"/>
    <w:rsid w:val="009270EE"/>
    <w:rsid w:val="009278B2"/>
    <w:rsid w:val="00927983"/>
    <w:rsid w:val="00927ECB"/>
    <w:rsid w:val="00927F02"/>
    <w:rsid w:val="00927F13"/>
    <w:rsid w:val="00927F45"/>
    <w:rsid w:val="00927FA5"/>
    <w:rsid w:val="00930359"/>
    <w:rsid w:val="0093061B"/>
    <w:rsid w:val="00932410"/>
    <w:rsid w:val="00932462"/>
    <w:rsid w:val="00932813"/>
    <w:rsid w:val="0093288E"/>
    <w:rsid w:val="00932F7C"/>
    <w:rsid w:val="00933ADA"/>
    <w:rsid w:val="00934981"/>
    <w:rsid w:val="009350D5"/>
    <w:rsid w:val="00936F30"/>
    <w:rsid w:val="00937D3A"/>
    <w:rsid w:val="00937E47"/>
    <w:rsid w:val="0094000B"/>
    <w:rsid w:val="009400EB"/>
    <w:rsid w:val="00940652"/>
    <w:rsid w:val="009424E2"/>
    <w:rsid w:val="00942542"/>
    <w:rsid w:val="00942C56"/>
    <w:rsid w:val="009431E3"/>
    <w:rsid w:val="00943420"/>
    <w:rsid w:val="00944D03"/>
    <w:rsid w:val="00944D47"/>
    <w:rsid w:val="00945638"/>
    <w:rsid w:val="009458DD"/>
    <w:rsid w:val="00945D4D"/>
    <w:rsid w:val="00945E84"/>
    <w:rsid w:val="00946516"/>
    <w:rsid w:val="009465F0"/>
    <w:rsid w:val="009467D7"/>
    <w:rsid w:val="00947333"/>
    <w:rsid w:val="00947AF3"/>
    <w:rsid w:val="0095070F"/>
    <w:rsid w:val="00950782"/>
    <w:rsid w:val="00950A6C"/>
    <w:rsid w:val="00950EC3"/>
    <w:rsid w:val="009511BC"/>
    <w:rsid w:val="009513DF"/>
    <w:rsid w:val="00951452"/>
    <w:rsid w:val="00951654"/>
    <w:rsid w:val="00952731"/>
    <w:rsid w:val="009527E1"/>
    <w:rsid w:val="00952AAA"/>
    <w:rsid w:val="00952C7E"/>
    <w:rsid w:val="00952F22"/>
    <w:rsid w:val="00953725"/>
    <w:rsid w:val="00954AF7"/>
    <w:rsid w:val="00954C78"/>
    <w:rsid w:val="009553B8"/>
    <w:rsid w:val="009557B2"/>
    <w:rsid w:val="009600EA"/>
    <w:rsid w:val="0096047E"/>
    <w:rsid w:val="00960551"/>
    <w:rsid w:val="009607BD"/>
    <w:rsid w:val="00960E56"/>
    <w:rsid w:val="0096412A"/>
    <w:rsid w:val="00964149"/>
    <w:rsid w:val="00964F9F"/>
    <w:rsid w:val="00966495"/>
    <w:rsid w:val="00967011"/>
    <w:rsid w:val="0096719A"/>
    <w:rsid w:val="00967CBA"/>
    <w:rsid w:val="00971C55"/>
    <w:rsid w:val="00971F58"/>
    <w:rsid w:val="0097295D"/>
    <w:rsid w:val="00972BF0"/>
    <w:rsid w:val="00972F9B"/>
    <w:rsid w:val="009731D2"/>
    <w:rsid w:val="009744A4"/>
    <w:rsid w:val="00976036"/>
    <w:rsid w:val="009766D0"/>
    <w:rsid w:val="00977220"/>
    <w:rsid w:val="00977AD9"/>
    <w:rsid w:val="00977E52"/>
    <w:rsid w:val="00980E60"/>
    <w:rsid w:val="00981406"/>
    <w:rsid w:val="00981992"/>
    <w:rsid w:val="00982093"/>
    <w:rsid w:val="0098234D"/>
    <w:rsid w:val="00982462"/>
    <w:rsid w:val="009826EB"/>
    <w:rsid w:val="009830FC"/>
    <w:rsid w:val="009831D2"/>
    <w:rsid w:val="00983D6D"/>
    <w:rsid w:val="009848A0"/>
    <w:rsid w:val="00984C1A"/>
    <w:rsid w:val="00984C31"/>
    <w:rsid w:val="0098608E"/>
    <w:rsid w:val="009861EA"/>
    <w:rsid w:val="00987949"/>
    <w:rsid w:val="00990044"/>
    <w:rsid w:val="0099096D"/>
    <w:rsid w:val="009914FE"/>
    <w:rsid w:val="00991C01"/>
    <w:rsid w:val="00992F11"/>
    <w:rsid w:val="0099315B"/>
    <w:rsid w:val="00993AA6"/>
    <w:rsid w:val="0099455E"/>
    <w:rsid w:val="00994D26"/>
    <w:rsid w:val="00994F77"/>
    <w:rsid w:val="00995144"/>
    <w:rsid w:val="00995310"/>
    <w:rsid w:val="00995454"/>
    <w:rsid w:val="0099548B"/>
    <w:rsid w:val="00996006"/>
    <w:rsid w:val="00996B40"/>
    <w:rsid w:val="00997A5E"/>
    <w:rsid w:val="009A12AA"/>
    <w:rsid w:val="009A25A1"/>
    <w:rsid w:val="009A3E67"/>
    <w:rsid w:val="009A40AC"/>
    <w:rsid w:val="009A42C9"/>
    <w:rsid w:val="009A4834"/>
    <w:rsid w:val="009A54C1"/>
    <w:rsid w:val="009A5F3A"/>
    <w:rsid w:val="009A69AA"/>
    <w:rsid w:val="009A6A2E"/>
    <w:rsid w:val="009A6E06"/>
    <w:rsid w:val="009B06A9"/>
    <w:rsid w:val="009B08C4"/>
    <w:rsid w:val="009B0DF2"/>
    <w:rsid w:val="009B0FFE"/>
    <w:rsid w:val="009B194E"/>
    <w:rsid w:val="009B1FB2"/>
    <w:rsid w:val="009B218F"/>
    <w:rsid w:val="009B3E85"/>
    <w:rsid w:val="009B45FD"/>
    <w:rsid w:val="009B51FA"/>
    <w:rsid w:val="009B553D"/>
    <w:rsid w:val="009B5A04"/>
    <w:rsid w:val="009B6B79"/>
    <w:rsid w:val="009B6D72"/>
    <w:rsid w:val="009B7A46"/>
    <w:rsid w:val="009C0166"/>
    <w:rsid w:val="009C06FE"/>
    <w:rsid w:val="009C08E9"/>
    <w:rsid w:val="009C0A51"/>
    <w:rsid w:val="009C163D"/>
    <w:rsid w:val="009C21E4"/>
    <w:rsid w:val="009C26FF"/>
    <w:rsid w:val="009C53F8"/>
    <w:rsid w:val="009C5A82"/>
    <w:rsid w:val="009C6723"/>
    <w:rsid w:val="009C6AC2"/>
    <w:rsid w:val="009C7383"/>
    <w:rsid w:val="009C78C5"/>
    <w:rsid w:val="009D00C2"/>
    <w:rsid w:val="009D166B"/>
    <w:rsid w:val="009D29FF"/>
    <w:rsid w:val="009D3777"/>
    <w:rsid w:val="009D3CCF"/>
    <w:rsid w:val="009D49A7"/>
    <w:rsid w:val="009D4BAE"/>
    <w:rsid w:val="009D5447"/>
    <w:rsid w:val="009D5CD0"/>
    <w:rsid w:val="009D68F7"/>
    <w:rsid w:val="009D6E6D"/>
    <w:rsid w:val="009D709D"/>
    <w:rsid w:val="009D7B31"/>
    <w:rsid w:val="009E08BC"/>
    <w:rsid w:val="009E169B"/>
    <w:rsid w:val="009E1FE5"/>
    <w:rsid w:val="009E20F8"/>
    <w:rsid w:val="009E26AF"/>
    <w:rsid w:val="009E2D30"/>
    <w:rsid w:val="009E32F6"/>
    <w:rsid w:val="009E33E8"/>
    <w:rsid w:val="009E3BE7"/>
    <w:rsid w:val="009E430D"/>
    <w:rsid w:val="009E4905"/>
    <w:rsid w:val="009E4FD9"/>
    <w:rsid w:val="009E571D"/>
    <w:rsid w:val="009E65E9"/>
    <w:rsid w:val="009E7794"/>
    <w:rsid w:val="009E7E5A"/>
    <w:rsid w:val="009F0DE8"/>
    <w:rsid w:val="009F1534"/>
    <w:rsid w:val="009F1EF9"/>
    <w:rsid w:val="009F2819"/>
    <w:rsid w:val="009F2D38"/>
    <w:rsid w:val="009F3445"/>
    <w:rsid w:val="009F34B0"/>
    <w:rsid w:val="009F38EC"/>
    <w:rsid w:val="009F4F09"/>
    <w:rsid w:val="009F540B"/>
    <w:rsid w:val="009F5668"/>
    <w:rsid w:val="009F58F7"/>
    <w:rsid w:val="009F594F"/>
    <w:rsid w:val="009F5A1E"/>
    <w:rsid w:val="00A00258"/>
    <w:rsid w:val="00A0039D"/>
    <w:rsid w:val="00A015F7"/>
    <w:rsid w:val="00A02655"/>
    <w:rsid w:val="00A028E6"/>
    <w:rsid w:val="00A031C2"/>
    <w:rsid w:val="00A0339D"/>
    <w:rsid w:val="00A04425"/>
    <w:rsid w:val="00A04D81"/>
    <w:rsid w:val="00A05D45"/>
    <w:rsid w:val="00A0706B"/>
    <w:rsid w:val="00A07219"/>
    <w:rsid w:val="00A1011A"/>
    <w:rsid w:val="00A11206"/>
    <w:rsid w:val="00A132C4"/>
    <w:rsid w:val="00A136A6"/>
    <w:rsid w:val="00A13A3B"/>
    <w:rsid w:val="00A13EF2"/>
    <w:rsid w:val="00A13FA2"/>
    <w:rsid w:val="00A14941"/>
    <w:rsid w:val="00A156CB"/>
    <w:rsid w:val="00A163F9"/>
    <w:rsid w:val="00A16708"/>
    <w:rsid w:val="00A16857"/>
    <w:rsid w:val="00A16D4D"/>
    <w:rsid w:val="00A17ABD"/>
    <w:rsid w:val="00A2028F"/>
    <w:rsid w:val="00A20AA6"/>
    <w:rsid w:val="00A20B31"/>
    <w:rsid w:val="00A21E48"/>
    <w:rsid w:val="00A23625"/>
    <w:rsid w:val="00A2577D"/>
    <w:rsid w:val="00A25C9B"/>
    <w:rsid w:val="00A269AC"/>
    <w:rsid w:val="00A26A25"/>
    <w:rsid w:val="00A26D39"/>
    <w:rsid w:val="00A30C9C"/>
    <w:rsid w:val="00A30D63"/>
    <w:rsid w:val="00A312C5"/>
    <w:rsid w:val="00A31FC9"/>
    <w:rsid w:val="00A3251A"/>
    <w:rsid w:val="00A32A30"/>
    <w:rsid w:val="00A333F9"/>
    <w:rsid w:val="00A33D4C"/>
    <w:rsid w:val="00A35996"/>
    <w:rsid w:val="00A4019D"/>
    <w:rsid w:val="00A401F1"/>
    <w:rsid w:val="00A403AC"/>
    <w:rsid w:val="00A40FE2"/>
    <w:rsid w:val="00A41253"/>
    <w:rsid w:val="00A4137B"/>
    <w:rsid w:val="00A41511"/>
    <w:rsid w:val="00A417F6"/>
    <w:rsid w:val="00A41AFB"/>
    <w:rsid w:val="00A41D92"/>
    <w:rsid w:val="00A42A8C"/>
    <w:rsid w:val="00A43356"/>
    <w:rsid w:val="00A43A93"/>
    <w:rsid w:val="00A43D64"/>
    <w:rsid w:val="00A43E55"/>
    <w:rsid w:val="00A44119"/>
    <w:rsid w:val="00A446FF"/>
    <w:rsid w:val="00A5031A"/>
    <w:rsid w:val="00A52EB2"/>
    <w:rsid w:val="00A53151"/>
    <w:rsid w:val="00A541CC"/>
    <w:rsid w:val="00A56589"/>
    <w:rsid w:val="00A57002"/>
    <w:rsid w:val="00A57940"/>
    <w:rsid w:val="00A57F51"/>
    <w:rsid w:val="00A615DC"/>
    <w:rsid w:val="00A617B0"/>
    <w:rsid w:val="00A62861"/>
    <w:rsid w:val="00A6330E"/>
    <w:rsid w:val="00A63D87"/>
    <w:rsid w:val="00A65EDD"/>
    <w:rsid w:val="00A66722"/>
    <w:rsid w:val="00A6693D"/>
    <w:rsid w:val="00A66A7E"/>
    <w:rsid w:val="00A718F1"/>
    <w:rsid w:val="00A72D36"/>
    <w:rsid w:val="00A73DBE"/>
    <w:rsid w:val="00A74C38"/>
    <w:rsid w:val="00A753ED"/>
    <w:rsid w:val="00A75E0D"/>
    <w:rsid w:val="00A75E9F"/>
    <w:rsid w:val="00A7615C"/>
    <w:rsid w:val="00A7679C"/>
    <w:rsid w:val="00A80145"/>
    <w:rsid w:val="00A8044A"/>
    <w:rsid w:val="00A808D9"/>
    <w:rsid w:val="00A80DCA"/>
    <w:rsid w:val="00A81337"/>
    <w:rsid w:val="00A82183"/>
    <w:rsid w:val="00A82809"/>
    <w:rsid w:val="00A8288C"/>
    <w:rsid w:val="00A84098"/>
    <w:rsid w:val="00A84BDC"/>
    <w:rsid w:val="00A853C0"/>
    <w:rsid w:val="00A85999"/>
    <w:rsid w:val="00A86150"/>
    <w:rsid w:val="00A86A83"/>
    <w:rsid w:val="00A86C15"/>
    <w:rsid w:val="00A86DCC"/>
    <w:rsid w:val="00A87B42"/>
    <w:rsid w:val="00A906D8"/>
    <w:rsid w:val="00A908AB"/>
    <w:rsid w:val="00A90A0A"/>
    <w:rsid w:val="00A91FA4"/>
    <w:rsid w:val="00A92605"/>
    <w:rsid w:val="00A94C2E"/>
    <w:rsid w:val="00A95429"/>
    <w:rsid w:val="00A95457"/>
    <w:rsid w:val="00A95546"/>
    <w:rsid w:val="00A95603"/>
    <w:rsid w:val="00A959C9"/>
    <w:rsid w:val="00A96486"/>
    <w:rsid w:val="00A96D3B"/>
    <w:rsid w:val="00A96DC4"/>
    <w:rsid w:val="00A97F70"/>
    <w:rsid w:val="00AA0309"/>
    <w:rsid w:val="00AA0894"/>
    <w:rsid w:val="00AA2D24"/>
    <w:rsid w:val="00AA3443"/>
    <w:rsid w:val="00AA443E"/>
    <w:rsid w:val="00AA4D83"/>
    <w:rsid w:val="00AA5E15"/>
    <w:rsid w:val="00AA5F02"/>
    <w:rsid w:val="00AA6379"/>
    <w:rsid w:val="00AA6E68"/>
    <w:rsid w:val="00AA726E"/>
    <w:rsid w:val="00AA752E"/>
    <w:rsid w:val="00AB04CA"/>
    <w:rsid w:val="00AB177D"/>
    <w:rsid w:val="00AB2A56"/>
    <w:rsid w:val="00AB3AE3"/>
    <w:rsid w:val="00AB3BC2"/>
    <w:rsid w:val="00AB3D87"/>
    <w:rsid w:val="00AB5129"/>
    <w:rsid w:val="00AB60C9"/>
    <w:rsid w:val="00AB6FDF"/>
    <w:rsid w:val="00AB73BE"/>
    <w:rsid w:val="00AB7574"/>
    <w:rsid w:val="00AB7D8E"/>
    <w:rsid w:val="00AC0B4A"/>
    <w:rsid w:val="00AC1C2C"/>
    <w:rsid w:val="00AC1C91"/>
    <w:rsid w:val="00AC2145"/>
    <w:rsid w:val="00AC308B"/>
    <w:rsid w:val="00AC33FF"/>
    <w:rsid w:val="00AC4807"/>
    <w:rsid w:val="00AC4E77"/>
    <w:rsid w:val="00AC58BA"/>
    <w:rsid w:val="00AC5E19"/>
    <w:rsid w:val="00AC665C"/>
    <w:rsid w:val="00AC67A8"/>
    <w:rsid w:val="00AC6BE7"/>
    <w:rsid w:val="00AC70D8"/>
    <w:rsid w:val="00AC7669"/>
    <w:rsid w:val="00AC76D0"/>
    <w:rsid w:val="00AC77D1"/>
    <w:rsid w:val="00AC7A8E"/>
    <w:rsid w:val="00AD0C3F"/>
    <w:rsid w:val="00AD1E11"/>
    <w:rsid w:val="00AD20FE"/>
    <w:rsid w:val="00AD28A7"/>
    <w:rsid w:val="00AD3CDE"/>
    <w:rsid w:val="00AD406E"/>
    <w:rsid w:val="00AD5F9F"/>
    <w:rsid w:val="00AE0E3B"/>
    <w:rsid w:val="00AE1156"/>
    <w:rsid w:val="00AE175B"/>
    <w:rsid w:val="00AE1BD6"/>
    <w:rsid w:val="00AE3909"/>
    <w:rsid w:val="00AE4562"/>
    <w:rsid w:val="00AE52A4"/>
    <w:rsid w:val="00AE5892"/>
    <w:rsid w:val="00AE62C6"/>
    <w:rsid w:val="00AE6652"/>
    <w:rsid w:val="00AF166A"/>
    <w:rsid w:val="00AF1DF3"/>
    <w:rsid w:val="00AF2F6E"/>
    <w:rsid w:val="00AF4B95"/>
    <w:rsid w:val="00AF50CD"/>
    <w:rsid w:val="00AF54AA"/>
    <w:rsid w:val="00AF58C9"/>
    <w:rsid w:val="00AF6454"/>
    <w:rsid w:val="00AF66DA"/>
    <w:rsid w:val="00AF6984"/>
    <w:rsid w:val="00AF6E07"/>
    <w:rsid w:val="00AF6EBC"/>
    <w:rsid w:val="00AF7364"/>
    <w:rsid w:val="00AF759B"/>
    <w:rsid w:val="00B00B3C"/>
    <w:rsid w:val="00B00C47"/>
    <w:rsid w:val="00B01551"/>
    <w:rsid w:val="00B02101"/>
    <w:rsid w:val="00B02ED3"/>
    <w:rsid w:val="00B03442"/>
    <w:rsid w:val="00B0382E"/>
    <w:rsid w:val="00B04925"/>
    <w:rsid w:val="00B053BB"/>
    <w:rsid w:val="00B1021F"/>
    <w:rsid w:val="00B11BC3"/>
    <w:rsid w:val="00B11D6F"/>
    <w:rsid w:val="00B12347"/>
    <w:rsid w:val="00B124C9"/>
    <w:rsid w:val="00B13ACA"/>
    <w:rsid w:val="00B14528"/>
    <w:rsid w:val="00B14812"/>
    <w:rsid w:val="00B14A42"/>
    <w:rsid w:val="00B152C5"/>
    <w:rsid w:val="00B154BA"/>
    <w:rsid w:val="00B156AA"/>
    <w:rsid w:val="00B15C89"/>
    <w:rsid w:val="00B1620B"/>
    <w:rsid w:val="00B169A3"/>
    <w:rsid w:val="00B20D86"/>
    <w:rsid w:val="00B212A2"/>
    <w:rsid w:val="00B217A5"/>
    <w:rsid w:val="00B227F5"/>
    <w:rsid w:val="00B22B4F"/>
    <w:rsid w:val="00B23173"/>
    <w:rsid w:val="00B231BB"/>
    <w:rsid w:val="00B23BF5"/>
    <w:rsid w:val="00B2453D"/>
    <w:rsid w:val="00B24C07"/>
    <w:rsid w:val="00B24C28"/>
    <w:rsid w:val="00B24E89"/>
    <w:rsid w:val="00B2504F"/>
    <w:rsid w:val="00B2509F"/>
    <w:rsid w:val="00B25600"/>
    <w:rsid w:val="00B2585A"/>
    <w:rsid w:val="00B25AE9"/>
    <w:rsid w:val="00B25B11"/>
    <w:rsid w:val="00B25BB9"/>
    <w:rsid w:val="00B25F30"/>
    <w:rsid w:val="00B26278"/>
    <w:rsid w:val="00B26B71"/>
    <w:rsid w:val="00B27D91"/>
    <w:rsid w:val="00B31370"/>
    <w:rsid w:val="00B31B2E"/>
    <w:rsid w:val="00B3343F"/>
    <w:rsid w:val="00B334D1"/>
    <w:rsid w:val="00B337AF"/>
    <w:rsid w:val="00B33E13"/>
    <w:rsid w:val="00B340C5"/>
    <w:rsid w:val="00B35D5C"/>
    <w:rsid w:val="00B35F5F"/>
    <w:rsid w:val="00B408C8"/>
    <w:rsid w:val="00B40AAE"/>
    <w:rsid w:val="00B411EB"/>
    <w:rsid w:val="00B41484"/>
    <w:rsid w:val="00B42C58"/>
    <w:rsid w:val="00B43E1B"/>
    <w:rsid w:val="00B43ED3"/>
    <w:rsid w:val="00B44802"/>
    <w:rsid w:val="00B462BC"/>
    <w:rsid w:val="00B46C66"/>
    <w:rsid w:val="00B46E32"/>
    <w:rsid w:val="00B471E8"/>
    <w:rsid w:val="00B47856"/>
    <w:rsid w:val="00B5149A"/>
    <w:rsid w:val="00B53878"/>
    <w:rsid w:val="00B53A46"/>
    <w:rsid w:val="00B53E28"/>
    <w:rsid w:val="00B54392"/>
    <w:rsid w:val="00B549A0"/>
    <w:rsid w:val="00B5508A"/>
    <w:rsid w:val="00B552C8"/>
    <w:rsid w:val="00B5582B"/>
    <w:rsid w:val="00B55D81"/>
    <w:rsid w:val="00B569CA"/>
    <w:rsid w:val="00B56EDF"/>
    <w:rsid w:val="00B57110"/>
    <w:rsid w:val="00B573F4"/>
    <w:rsid w:val="00B57ABE"/>
    <w:rsid w:val="00B57B5D"/>
    <w:rsid w:val="00B57E2A"/>
    <w:rsid w:val="00B6032E"/>
    <w:rsid w:val="00B60423"/>
    <w:rsid w:val="00B62CD8"/>
    <w:rsid w:val="00B6359D"/>
    <w:rsid w:val="00B639B4"/>
    <w:rsid w:val="00B63E24"/>
    <w:rsid w:val="00B64114"/>
    <w:rsid w:val="00B64B78"/>
    <w:rsid w:val="00B65311"/>
    <w:rsid w:val="00B65A24"/>
    <w:rsid w:val="00B66E5D"/>
    <w:rsid w:val="00B67412"/>
    <w:rsid w:val="00B73BE5"/>
    <w:rsid w:val="00B73F47"/>
    <w:rsid w:val="00B74251"/>
    <w:rsid w:val="00B74EB1"/>
    <w:rsid w:val="00B75822"/>
    <w:rsid w:val="00B760F6"/>
    <w:rsid w:val="00B775B0"/>
    <w:rsid w:val="00B80774"/>
    <w:rsid w:val="00B808B3"/>
    <w:rsid w:val="00B82297"/>
    <w:rsid w:val="00B82E2C"/>
    <w:rsid w:val="00B82E9F"/>
    <w:rsid w:val="00B832DD"/>
    <w:rsid w:val="00B8360E"/>
    <w:rsid w:val="00B846B5"/>
    <w:rsid w:val="00B84879"/>
    <w:rsid w:val="00B84ADB"/>
    <w:rsid w:val="00B8528D"/>
    <w:rsid w:val="00B8679E"/>
    <w:rsid w:val="00B86D2A"/>
    <w:rsid w:val="00B87082"/>
    <w:rsid w:val="00B87F31"/>
    <w:rsid w:val="00B90AE8"/>
    <w:rsid w:val="00B91556"/>
    <w:rsid w:val="00B91E9E"/>
    <w:rsid w:val="00B92526"/>
    <w:rsid w:val="00B92652"/>
    <w:rsid w:val="00B92895"/>
    <w:rsid w:val="00B929DE"/>
    <w:rsid w:val="00B92D26"/>
    <w:rsid w:val="00B9368E"/>
    <w:rsid w:val="00B94F6A"/>
    <w:rsid w:val="00B94F7B"/>
    <w:rsid w:val="00B957D2"/>
    <w:rsid w:val="00B96147"/>
    <w:rsid w:val="00B96E51"/>
    <w:rsid w:val="00BA0E93"/>
    <w:rsid w:val="00BA2537"/>
    <w:rsid w:val="00BA2C1D"/>
    <w:rsid w:val="00BA2D14"/>
    <w:rsid w:val="00BA3776"/>
    <w:rsid w:val="00BA4CB1"/>
    <w:rsid w:val="00BA5022"/>
    <w:rsid w:val="00BA53F4"/>
    <w:rsid w:val="00BA58A0"/>
    <w:rsid w:val="00BA5967"/>
    <w:rsid w:val="00BB1284"/>
    <w:rsid w:val="00BB1851"/>
    <w:rsid w:val="00BB1AF0"/>
    <w:rsid w:val="00BB2813"/>
    <w:rsid w:val="00BB32E1"/>
    <w:rsid w:val="00BB3450"/>
    <w:rsid w:val="00BB47CE"/>
    <w:rsid w:val="00BB542D"/>
    <w:rsid w:val="00BB5F39"/>
    <w:rsid w:val="00BB6A0F"/>
    <w:rsid w:val="00BB7760"/>
    <w:rsid w:val="00BC0552"/>
    <w:rsid w:val="00BC07AD"/>
    <w:rsid w:val="00BC1558"/>
    <w:rsid w:val="00BC1EA5"/>
    <w:rsid w:val="00BC26A8"/>
    <w:rsid w:val="00BC37BC"/>
    <w:rsid w:val="00BC4915"/>
    <w:rsid w:val="00BC68A6"/>
    <w:rsid w:val="00BC6D4D"/>
    <w:rsid w:val="00BC73B2"/>
    <w:rsid w:val="00BC7A0E"/>
    <w:rsid w:val="00BD06C9"/>
    <w:rsid w:val="00BD0C2C"/>
    <w:rsid w:val="00BD274E"/>
    <w:rsid w:val="00BD30E7"/>
    <w:rsid w:val="00BD3478"/>
    <w:rsid w:val="00BD369A"/>
    <w:rsid w:val="00BD3865"/>
    <w:rsid w:val="00BD3B67"/>
    <w:rsid w:val="00BD3CEE"/>
    <w:rsid w:val="00BD4313"/>
    <w:rsid w:val="00BD45DA"/>
    <w:rsid w:val="00BD4CC3"/>
    <w:rsid w:val="00BD57FC"/>
    <w:rsid w:val="00BD5B17"/>
    <w:rsid w:val="00BD636E"/>
    <w:rsid w:val="00BD6935"/>
    <w:rsid w:val="00BD6A4C"/>
    <w:rsid w:val="00BD6CFC"/>
    <w:rsid w:val="00BD73CF"/>
    <w:rsid w:val="00BE0263"/>
    <w:rsid w:val="00BE184E"/>
    <w:rsid w:val="00BE1F51"/>
    <w:rsid w:val="00BE317B"/>
    <w:rsid w:val="00BE382B"/>
    <w:rsid w:val="00BE4912"/>
    <w:rsid w:val="00BE51E7"/>
    <w:rsid w:val="00BE522E"/>
    <w:rsid w:val="00BE6A01"/>
    <w:rsid w:val="00BE6A93"/>
    <w:rsid w:val="00BE707D"/>
    <w:rsid w:val="00BF0CD7"/>
    <w:rsid w:val="00BF10D4"/>
    <w:rsid w:val="00BF13E0"/>
    <w:rsid w:val="00BF18F7"/>
    <w:rsid w:val="00BF1E72"/>
    <w:rsid w:val="00BF217C"/>
    <w:rsid w:val="00BF27E6"/>
    <w:rsid w:val="00BF4633"/>
    <w:rsid w:val="00BF4AB2"/>
    <w:rsid w:val="00BF6E82"/>
    <w:rsid w:val="00BF7D6A"/>
    <w:rsid w:val="00C004BA"/>
    <w:rsid w:val="00C01975"/>
    <w:rsid w:val="00C02BE3"/>
    <w:rsid w:val="00C02CD6"/>
    <w:rsid w:val="00C030A1"/>
    <w:rsid w:val="00C04305"/>
    <w:rsid w:val="00C044CE"/>
    <w:rsid w:val="00C045C8"/>
    <w:rsid w:val="00C0466A"/>
    <w:rsid w:val="00C04D83"/>
    <w:rsid w:val="00C066BA"/>
    <w:rsid w:val="00C06E63"/>
    <w:rsid w:val="00C07021"/>
    <w:rsid w:val="00C0713C"/>
    <w:rsid w:val="00C11194"/>
    <w:rsid w:val="00C1188E"/>
    <w:rsid w:val="00C12455"/>
    <w:rsid w:val="00C13495"/>
    <w:rsid w:val="00C134E5"/>
    <w:rsid w:val="00C143E8"/>
    <w:rsid w:val="00C14AD8"/>
    <w:rsid w:val="00C14D90"/>
    <w:rsid w:val="00C16540"/>
    <w:rsid w:val="00C206C8"/>
    <w:rsid w:val="00C22817"/>
    <w:rsid w:val="00C22B91"/>
    <w:rsid w:val="00C22BE8"/>
    <w:rsid w:val="00C239D2"/>
    <w:rsid w:val="00C23C70"/>
    <w:rsid w:val="00C23C9B"/>
    <w:rsid w:val="00C24282"/>
    <w:rsid w:val="00C250DF"/>
    <w:rsid w:val="00C25669"/>
    <w:rsid w:val="00C25818"/>
    <w:rsid w:val="00C25E63"/>
    <w:rsid w:val="00C26605"/>
    <w:rsid w:val="00C27A3D"/>
    <w:rsid w:val="00C27FA4"/>
    <w:rsid w:val="00C31D9E"/>
    <w:rsid w:val="00C329FD"/>
    <w:rsid w:val="00C32A22"/>
    <w:rsid w:val="00C33588"/>
    <w:rsid w:val="00C33740"/>
    <w:rsid w:val="00C3591F"/>
    <w:rsid w:val="00C35E9E"/>
    <w:rsid w:val="00C3667F"/>
    <w:rsid w:val="00C36D10"/>
    <w:rsid w:val="00C36D8A"/>
    <w:rsid w:val="00C4081F"/>
    <w:rsid w:val="00C409EB"/>
    <w:rsid w:val="00C40B97"/>
    <w:rsid w:val="00C412B1"/>
    <w:rsid w:val="00C41321"/>
    <w:rsid w:val="00C41703"/>
    <w:rsid w:val="00C423CB"/>
    <w:rsid w:val="00C42D01"/>
    <w:rsid w:val="00C43E57"/>
    <w:rsid w:val="00C451A2"/>
    <w:rsid w:val="00C455C8"/>
    <w:rsid w:val="00C46D21"/>
    <w:rsid w:val="00C4710A"/>
    <w:rsid w:val="00C51434"/>
    <w:rsid w:val="00C536EB"/>
    <w:rsid w:val="00C53CDF"/>
    <w:rsid w:val="00C53F4D"/>
    <w:rsid w:val="00C54FA9"/>
    <w:rsid w:val="00C55D7A"/>
    <w:rsid w:val="00C575AF"/>
    <w:rsid w:val="00C5765B"/>
    <w:rsid w:val="00C57FFE"/>
    <w:rsid w:val="00C6275A"/>
    <w:rsid w:val="00C64392"/>
    <w:rsid w:val="00C647F5"/>
    <w:rsid w:val="00C6509F"/>
    <w:rsid w:val="00C65C3E"/>
    <w:rsid w:val="00C672DE"/>
    <w:rsid w:val="00C71CD6"/>
    <w:rsid w:val="00C71D2D"/>
    <w:rsid w:val="00C7345E"/>
    <w:rsid w:val="00C73800"/>
    <w:rsid w:val="00C74B71"/>
    <w:rsid w:val="00C7538C"/>
    <w:rsid w:val="00C75926"/>
    <w:rsid w:val="00C813B4"/>
    <w:rsid w:val="00C818AC"/>
    <w:rsid w:val="00C83D1F"/>
    <w:rsid w:val="00C83D9F"/>
    <w:rsid w:val="00C8520E"/>
    <w:rsid w:val="00C858C7"/>
    <w:rsid w:val="00C8629D"/>
    <w:rsid w:val="00C863DC"/>
    <w:rsid w:val="00C86A93"/>
    <w:rsid w:val="00C86E1D"/>
    <w:rsid w:val="00C87C20"/>
    <w:rsid w:val="00C90CA0"/>
    <w:rsid w:val="00C90CA5"/>
    <w:rsid w:val="00C91B65"/>
    <w:rsid w:val="00C928A6"/>
    <w:rsid w:val="00C92D61"/>
    <w:rsid w:val="00C9309F"/>
    <w:rsid w:val="00C94460"/>
    <w:rsid w:val="00C944CB"/>
    <w:rsid w:val="00C95B4E"/>
    <w:rsid w:val="00C969A2"/>
    <w:rsid w:val="00C97989"/>
    <w:rsid w:val="00CA274B"/>
    <w:rsid w:val="00CA28D1"/>
    <w:rsid w:val="00CA292E"/>
    <w:rsid w:val="00CA34A4"/>
    <w:rsid w:val="00CA34AF"/>
    <w:rsid w:val="00CA42BC"/>
    <w:rsid w:val="00CA439B"/>
    <w:rsid w:val="00CA47E2"/>
    <w:rsid w:val="00CA5443"/>
    <w:rsid w:val="00CA640D"/>
    <w:rsid w:val="00CA7385"/>
    <w:rsid w:val="00CB0569"/>
    <w:rsid w:val="00CB090A"/>
    <w:rsid w:val="00CB0DC7"/>
    <w:rsid w:val="00CB141C"/>
    <w:rsid w:val="00CB2E82"/>
    <w:rsid w:val="00CB32D7"/>
    <w:rsid w:val="00CB3CB0"/>
    <w:rsid w:val="00CB5B8C"/>
    <w:rsid w:val="00CB5DD5"/>
    <w:rsid w:val="00CB5E03"/>
    <w:rsid w:val="00CC0068"/>
    <w:rsid w:val="00CC15E5"/>
    <w:rsid w:val="00CC1A0C"/>
    <w:rsid w:val="00CC2A24"/>
    <w:rsid w:val="00CC2D36"/>
    <w:rsid w:val="00CC3259"/>
    <w:rsid w:val="00CC3D3D"/>
    <w:rsid w:val="00CC49D0"/>
    <w:rsid w:val="00CC684C"/>
    <w:rsid w:val="00CC7CD7"/>
    <w:rsid w:val="00CC7D64"/>
    <w:rsid w:val="00CD05E3"/>
    <w:rsid w:val="00CD110E"/>
    <w:rsid w:val="00CD1A99"/>
    <w:rsid w:val="00CD2841"/>
    <w:rsid w:val="00CD32B1"/>
    <w:rsid w:val="00CD380F"/>
    <w:rsid w:val="00CD3C1F"/>
    <w:rsid w:val="00CD4199"/>
    <w:rsid w:val="00CD444F"/>
    <w:rsid w:val="00CD472A"/>
    <w:rsid w:val="00CD5103"/>
    <w:rsid w:val="00CD5563"/>
    <w:rsid w:val="00CD5652"/>
    <w:rsid w:val="00CD5ABC"/>
    <w:rsid w:val="00CD66A1"/>
    <w:rsid w:val="00CD700B"/>
    <w:rsid w:val="00CD73DB"/>
    <w:rsid w:val="00CE096C"/>
    <w:rsid w:val="00CE0C40"/>
    <w:rsid w:val="00CE0EB4"/>
    <w:rsid w:val="00CE126D"/>
    <w:rsid w:val="00CE1484"/>
    <w:rsid w:val="00CE28A6"/>
    <w:rsid w:val="00CE2BF5"/>
    <w:rsid w:val="00CE365A"/>
    <w:rsid w:val="00CE3999"/>
    <w:rsid w:val="00CE40BC"/>
    <w:rsid w:val="00CE5A8B"/>
    <w:rsid w:val="00CE5B3A"/>
    <w:rsid w:val="00CE5D15"/>
    <w:rsid w:val="00CE7189"/>
    <w:rsid w:val="00CE7948"/>
    <w:rsid w:val="00CE7F2A"/>
    <w:rsid w:val="00CF000B"/>
    <w:rsid w:val="00CF01CB"/>
    <w:rsid w:val="00CF11C9"/>
    <w:rsid w:val="00CF1355"/>
    <w:rsid w:val="00CF1D33"/>
    <w:rsid w:val="00CF2609"/>
    <w:rsid w:val="00CF4558"/>
    <w:rsid w:val="00CF45A1"/>
    <w:rsid w:val="00CF45FC"/>
    <w:rsid w:val="00CF4C90"/>
    <w:rsid w:val="00CF5477"/>
    <w:rsid w:val="00CF6282"/>
    <w:rsid w:val="00CF676E"/>
    <w:rsid w:val="00CF6F0D"/>
    <w:rsid w:val="00D00C6D"/>
    <w:rsid w:val="00D01055"/>
    <w:rsid w:val="00D01821"/>
    <w:rsid w:val="00D019AF"/>
    <w:rsid w:val="00D01A16"/>
    <w:rsid w:val="00D020F7"/>
    <w:rsid w:val="00D02187"/>
    <w:rsid w:val="00D02896"/>
    <w:rsid w:val="00D02E59"/>
    <w:rsid w:val="00D031BA"/>
    <w:rsid w:val="00D047F1"/>
    <w:rsid w:val="00D0485A"/>
    <w:rsid w:val="00D04927"/>
    <w:rsid w:val="00D05C37"/>
    <w:rsid w:val="00D06DC9"/>
    <w:rsid w:val="00D07005"/>
    <w:rsid w:val="00D071B1"/>
    <w:rsid w:val="00D07C5D"/>
    <w:rsid w:val="00D10850"/>
    <w:rsid w:val="00D1108A"/>
    <w:rsid w:val="00D1137F"/>
    <w:rsid w:val="00D11798"/>
    <w:rsid w:val="00D11801"/>
    <w:rsid w:val="00D11AEB"/>
    <w:rsid w:val="00D11DBF"/>
    <w:rsid w:val="00D124B2"/>
    <w:rsid w:val="00D12856"/>
    <w:rsid w:val="00D13071"/>
    <w:rsid w:val="00D15D30"/>
    <w:rsid w:val="00D17C02"/>
    <w:rsid w:val="00D20DCA"/>
    <w:rsid w:val="00D210A5"/>
    <w:rsid w:val="00D21956"/>
    <w:rsid w:val="00D22449"/>
    <w:rsid w:val="00D2340A"/>
    <w:rsid w:val="00D23FD4"/>
    <w:rsid w:val="00D2414E"/>
    <w:rsid w:val="00D2495E"/>
    <w:rsid w:val="00D266F3"/>
    <w:rsid w:val="00D27830"/>
    <w:rsid w:val="00D3006F"/>
    <w:rsid w:val="00D30B92"/>
    <w:rsid w:val="00D3186B"/>
    <w:rsid w:val="00D31FC0"/>
    <w:rsid w:val="00D332D1"/>
    <w:rsid w:val="00D33592"/>
    <w:rsid w:val="00D336CC"/>
    <w:rsid w:val="00D34760"/>
    <w:rsid w:val="00D35119"/>
    <w:rsid w:val="00D36B7D"/>
    <w:rsid w:val="00D36C7B"/>
    <w:rsid w:val="00D3712A"/>
    <w:rsid w:val="00D37F48"/>
    <w:rsid w:val="00D410C1"/>
    <w:rsid w:val="00D41300"/>
    <w:rsid w:val="00D43682"/>
    <w:rsid w:val="00D4368F"/>
    <w:rsid w:val="00D44039"/>
    <w:rsid w:val="00D445DD"/>
    <w:rsid w:val="00D45D8E"/>
    <w:rsid w:val="00D46355"/>
    <w:rsid w:val="00D4652A"/>
    <w:rsid w:val="00D476DF"/>
    <w:rsid w:val="00D47C15"/>
    <w:rsid w:val="00D5147E"/>
    <w:rsid w:val="00D515AF"/>
    <w:rsid w:val="00D51CC2"/>
    <w:rsid w:val="00D51DC4"/>
    <w:rsid w:val="00D526DB"/>
    <w:rsid w:val="00D5291B"/>
    <w:rsid w:val="00D53250"/>
    <w:rsid w:val="00D547FA"/>
    <w:rsid w:val="00D54C27"/>
    <w:rsid w:val="00D55D51"/>
    <w:rsid w:val="00D5634D"/>
    <w:rsid w:val="00D56373"/>
    <w:rsid w:val="00D5675F"/>
    <w:rsid w:val="00D569BF"/>
    <w:rsid w:val="00D57045"/>
    <w:rsid w:val="00D5738D"/>
    <w:rsid w:val="00D57C9F"/>
    <w:rsid w:val="00D6034B"/>
    <w:rsid w:val="00D60634"/>
    <w:rsid w:val="00D60ADB"/>
    <w:rsid w:val="00D61B6C"/>
    <w:rsid w:val="00D62C54"/>
    <w:rsid w:val="00D6359C"/>
    <w:rsid w:val="00D63A53"/>
    <w:rsid w:val="00D6455B"/>
    <w:rsid w:val="00D645D6"/>
    <w:rsid w:val="00D645F8"/>
    <w:rsid w:val="00D657EF"/>
    <w:rsid w:val="00D66284"/>
    <w:rsid w:val="00D66300"/>
    <w:rsid w:val="00D66AF1"/>
    <w:rsid w:val="00D67A4C"/>
    <w:rsid w:val="00D712DC"/>
    <w:rsid w:val="00D71397"/>
    <w:rsid w:val="00D72B72"/>
    <w:rsid w:val="00D7337F"/>
    <w:rsid w:val="00D75E72"/>
    <w:rsid w:val="00D75EC8"/>
    <w:rsid w:val="00D761B1"/>
    <w:rsid w:val="00D763B1"/>
    <w:rsid w:val="00D771AD"/>
    <w:rsid w:val="00D77399"/>
    <w:rsid w:val="00D7790C"/>
    <w:rsid w:val="00D805FE"/>
    <w:rsid w:val="00D80729"/>
    <w:rsid w:val="00D809A5"/>
    <w:rsid w:val="00D80DC5"/>
    <w:rsid w:val="00D8145E"/>
    <w:rsid w:val="00D824AB"/>
    <w:rsid w:val="00D82E34"/>
    <w:rsid w:val="00D83DD7"/>
    <w:rsid w:val="00D85198"/>
    <w:rsid w:val="00D8550E"/>
    <w:rsid w:val="00D85DB9"/>
    <w:rsid w:val="00D90282"/>
    <w:rsid w:val="00D90548"/>
    <w:rsid w:val="00D91B81"/>
    <w:rsid w:val="00D94154"/>
    <w:rsid w:val="00D94186"/>
    <w:rsid w:val="00D948B8"/>
    <w:rsid w:val="00D94B52"/>
    <w:rsid w:val="00D94BCA"/>
    <w:rsid w:val="00D95766"/>
    <w:rsid w:val="00D967E9"/>
    <w:rsid w:val="00D968FE"/>
    <w:rsid w:val="00D9721C"/>
    <w:rsid w:val="00D9749A"/>
    <w:rsid w:val="00D976CD"/>
    <w:rsid w:val="00D97E1D"/>
    <w:rsid w:val="00D97F5C"/>
    <w:rsid w:val="00DA0246"/>
    <w:rsid w:val="00DA04BF"/>
    <w:rsid w:val="00DA0F71"/>
    <w:rsid w:val="00DA1455"/>
    <w:rsid w:val="00DA1D81"/>
    <w:rsid w:val="00DA1DC0"/>
    <w:rsid w:val="00DA3060"/>
    <w:rsid w:val="00DA3994"/>
    <w:rsid w:val="00DA3C02"/>
    <w:rsid w:val="00DA4A55"/>
    <w:rsid w:val="00DA57CC"/>
    <w:rsid w:val="00DA5850"/>
    <w:rsid w:val="00DA5F4C"/>
    <w:rsid w:val="00DA62D9"/>
    <w:rsid w:val="00DA689F"/>
    <w:rsid w:val="00DA6E63"/>
    <w:rsid w:val="00DA715C"/>
    <w:rsid w:val="00DA7171"/>
    <w:rsid w:val="00DB0862"/>
    <w:rsid w:val="00DB0D9E"/>
    <w:rsid w:val="00DB13D4"/>
    <w:rsid w:val="00DB1634"/>
    <w:rsid w:val="00DB16C9"/>
    <w:rsid w:val="00DB1BC9"/>
    <w:rsid w:val="00DB2199"/>
    <w:rsid w:val="00DB230B"/>
    <w:rsid w:val="00DB2C4D"/>
    <w:rsid w:val="00DB43DB"/>
    <w:rsid w:val="00DB4644"/>
    <w:rsid w:val="00DB46F1"/>
    <w:rsid w:val="00DB4740"/>
    <w:rsid w:val="00DB4947"/>
    <w:rsid w:val="00DB50A8"/>
    <w:rsid w:val="00DB54C5"/>
    <w:rsid w:val="00DB5B3F"/>
    <w:rsid w:val="00DB5DF3"/>
    <w:rsid w:val="00DB63BC"/>
    <w:rsid w:val="00DB7458"/>
    <w:rsid w:val="00DC0A4D"/>
    <w:rsid w:val="00DC0D47"/>
    <w:rsid w:val="00DC12EC"/>
    <w:rsid w:val="00DC13C3"/>
    <w:rsid w:val="00DC3657"/>
    <w:rsid w:val="00DC372E"/>
    <w:rsid w:val="00DC3D76"/>
    <w:rsid w:val="00DC49A2"/>
    <w:rsid w:val="00DC4C97"/>
    <w:rsid w:val="00DC5B3F"/>
    <w:rsid w:val="00DC5F71"/>
    <w:rsid w:val="00DC696A"/>
    <w:rsid w:val="00DC6990"/>
    <w:rsid w:val="00DC7452"/>
    <w:rsid w:val="00DD0E53"/>
    <w:rsid w:val="00DD1010"/>
    <w:rsid w:val="00DD109B"/>
    <w:rsid w:val="00DD10B9"/>
    <w:rsid w:val="00DD1C4A"/>
    <w:rsid w:val="00DD2429"/>
    <w:rsid w:val="00DD2B8E"/>
    <w:rsid w:val="00DD2F2E"/>
    <w:rsid w:val="00DD3441"/>
    <w:rsid w:val="00DD36F1"/>
    <w:rsid w:val="00DD3C5D"/>
    <w:rsid w:val="00DD47D9"/>
    <w:rsid w:val="00DD4F92"/>
    <w:rsid w:val="00DD6466"/>
    <w:rsid w:val="00DD64E3"/>
    <w:rsid w:val="00DE0845"/>
    <w:rsid w:val="00DE0BA8"/>
    <w:rsid w:val="00DE1CC2"/>
    <w:rsid w:val="00DE3685"/>
    <w:rsid w:val="00DE4425"/>
    <w:rsid w:val="00DE4556"/>
    <w:rsid w:val="00DE4E4D"/>
    <w:rsid w:val="00DE4EF4"/>
    <w:rsid w:val="00DE4FEE"/>
    <w:rsid w:val="00DE732D"/>
    <w:rsid w:val="00DE766A"/>
    <w:rsid w:val="00DE7E12"/>
    <w:rsid w:val="00DE7E9B"/>
    <w:rsid w:val="00DF10E5"/>
    <w:rsid w:val="00DF1CF8"/>
    <w:rsid w:val="00DF2088"/>
    <w:rsid w:val="00DF2CDB"/>
    <w:rsid w:val="00DF2FA7"/>
    <w:rsid w:val="00DF3AA4"/>
    <w:rsid w:val="00DF3FE9"/>
    <w:rsid w:val="00DF4CEA"/>
    <w:rsid w:val="00DF4DF0"/>
    <w:rsid w:val="00DF61BC"/>
    <w:rsid w:val="00DF6230"/>
    <w:rsid w:val="00DF6909"/>
    <w:rsid w:val="00DF7031"/>
    <w:rsid w:val="00DF74EE"/>
    <w:rsid w:val="00DF798C"/>
    <w:rsid w:val="00E00511"/>
    <w:rsid w:val="00E00E76"/>
    <w:rsid w:val="00E01083"/>
    <w:rsid w:val="00E017EF"/>
    <w:rsid w:val="00E01AEF"/>
    <w:rsid w:val="00E027EC"/>
    <w:rsid w:val="00E0390C"/>
    <w:rsid w:val="00E03B5C"/>
    <w:rsid w:val="00E03D82"/>
    <w:rsid w:val="00E040FB"/>
    <w:rsid w:val="00E04133"/>
    <w:rsid w:val="00E04B30"/>
    <w:rsid w:val="00E05A34"/>
    <w:rsid w:val="00E0666E"/>
    <w:rsid w:val="00E06B51"/>
    <w:rsid w:val="00E10665"/>
    <w:rsid w:val="00E10FCE"/>
    <w:rsid w:val="00E11081"/>
    <w:rsid w:val="00E11CE2"/>
    <w:rsid w:val="00E124FC"/>
    <w:rsid w:val="00E12B46"/>
    <w:rsid w:val="00E137AF"/>
    <w:rsid w:val="00E13948"/>
    <w:rsid w:val="00E14780"/>
    <w:rsid w:val="00E15812"/>
    <w:rsid w:val="00E15B15"/>
    <w:rsid w:val="00E15BD3"/>
    <w:rsid w:val="00E16FBE"/>
    <w:rsid w:val="00E17802"/>
    <w:rsid w:val="00E17B9A"/>
    <w:rsid w:val="00E20E51"/>
    <w:rsid w:val="00E21D0A"/>
    <w:rsid w:val="00E21F50"/>
    <w:rsid w:val="00E22067"/>
    <w:rsid w:val="00E224D8"/>
    <w:rsid w:val="00E22AAF"/>
    <w:rsid w:val="00E23F5C"/>
    <w:rsid w:val="00E244F6"/>
    <w:rsid w:val="00E24BEB"/>
    <w:rsid w:val="00E25757"/>
    <w:rsid w:val="00E258AE"/>
    <w:rsid w:val="00E25C3F"/>
    <w:rsid w:val="00E26DDB"/>
    <w:rsid w:val="00E2748F"/>
    <w:rsid w:val="00E3100E"/>
    <w:rsid w:val="00E3292D"/>
    <w:rsid w:val="00E32B4A"/>
    <w:rsid w:val="00E33327"/>
    <w:rsid w:val="00E33F80"/>
    <w:rsid w:val="00E35149"/>
    <w:rsid w:val="00E40CBE"/>
    <w:rsid w:val="00E426A9"/>
    <w:rsid w:val="00E42A5D"/>
    <w:rsid w:val="00E43A86"/>
    <w:rsid w:val="00E43CAB"/>
    <w:rsid w:val="00E45EBC"/>
    <w:rsid w:val="00E4696B"/>
    <w:rsid w:val="00E46F8F"/>
    <w:rsid w:val="00E477B1"/>
    <w:rsid w:val="00E47D8A"/>
    <w:rsid w:val="00E5062D"/>
    <w:rsid w:val="00E50B41"/>
    <w:rsid w:val="00E51240"/>
    <w:rsid w:val="00E51A16"/>
    <w:rsid w:val="00E51F92"/>
    <w:rsid w:val="00E52258"/>
    <w:rsid w:val="00E522C2"/>
    <w:rsid w:val="00E524D7"/>
    <w:rsid w:val="00E533ED"/>
    <w:rsid w:val="00E53420"/>
    <w:rsid w:val="00E5382B"/>
    <w:rsid w:val="00E5458E"/>
    <w:rsid w:val="00E549F2"/>
    <w:rsid w:val="00E568CE"/>
    <w:rsid w:val="00E56A52"/>
    <w:rsid w:val="00E57B0A"/>
    <w:rsid w:val="00E57ED6"/>
    <w:rsid w:val="00E6032E"/>
    <w:rsid w:val="00E60A8F"/>
    <w:rsid w:val="00E60FD5"/>
    <w:rsid w:val="00E61239"/>
    <w:rsid w:val="00E6238A"/>
    <w:rsid w:val="00E63675"/>
    <w:rsid w:val="00E6494B"/>
    <w:rsid w:val="00E65090"/>
    <w:rsid w:val="00E66AFE"/>
    <w:rsid w:val="00E67363"/>
    <w:rsid w:val="00E70D2E"/>
    <w:rsid w:val="00E723F4"/>
    <w:rsid w:val="00E73464"/>
    <w:rsid w:val="00E73638"/>
    <w:rsid w:val="00E740D9"/>
    <w:rsid w:val="00E74C37"/>
    <w:rsid w:val="00E763F5"/>
    <w:rsid w:val="00E76475"/>
    <w:rsid w:val="00E768A4"/>
    <w:rsid w:val="00E7722C"/>
    <w:rsid w:val="00E77937"/>
    <w:rsid w:val="00E77C8C"/>
    <w:rsid w:val="00E77CA1"/>
    <w:rsid w:val="00E80B5A"/>
    <w:rsid w:val="00E80CB1"/>
    <w:rsid w:val="00E80DD4"/>
    <w:rsid w:val="00E8114C"/>
    <w:rsid w:val="00E8215A"/>
    <w:rsid w:val="00E837E8"/>
    <w:rsid w:val="00E83D9A"/>
    <w:rsid w:val="00E84582"/>
    <w:rsid w:val="00E846DB"/>
    <w:rsid w:val="00E852AE"/>
    <w:rsid w:val="00E85E10"/>
    <w:rsid w:val="00E85FC1"/>
    <w:rsid w:val="00E86199"/>
    <w:rsid w:val="00E86D29"/>
    <w:rsid w:val="00E86EAD"/>
    <w:rsid w:val="00E878D4"/>
    <w:rsid w:val="00E87C11"/>
    <w:rsid w:val="00E90210"/>
    <w:rsid w:val="00E90496"/>
    <w:rsid w:val="00E90625"/>
    <w:rsid w:val="00E907F3"/>
    <w:rsid w:val="00E931DA"/>
    <w:rsid w:val="00E94D29"/>
    <w:rsid w:val="00E94E63"/>
    <w:rsid w:val="00E952B0"/>
    <w:rsid w:val="00E960D1"/>
    <w:rsid w:val="00E971C7"/>
    <w:rsid w:val="00E972BE"/>
    <w:rsid w:val="00E97799"/>
    <w:rsid w:val="00E97994"/>
    <w:rsid w:val="00EA012A"/>
    <w:rsid w:val="00EA06DA"/>
    <w:rsid w:val="00EA0A41"/>
    <w:rsid w:val="00EA0B64"/>
    <w:rsid w:val="00EA0F94"/>
    <w:rsid w:val="00EA116D"/>
    <w:rsid w:val="00EA119D"/>
    <w:rsid w:val="00EA16E9"/>
    <w:rsid w:val="00EA17D4"/>
    <w:rsid w:val="00EA1E51"/>
    <w:rsid w:val="00EA2147"/>
    <w:rsid w:val="00EA23AE"/>
    <w:rsid w:val="00EA491A"/>
    <w:rsid w:val="00EA4FF6"/>
    <w:rsid w:val="00EA63EF"/>
    <w:rsid w:val="00EA65B1"/>
    <w:rsid w:val="00EA6A3F"/>
    <w:rsid w:val="00EA6FC9"/>
    <w:rsid w:val="00EB011B"/>
    <w:rsid w:val="00EB0D37"/>
    <w:rsid w:val="00EB0EB7"/>
    <w:rsid w:val="00EB0F5C"/>
    <w:rsid w:val="00EB1507"/>
    <w:rsid w:val="00EB2833"/>
    <w:rsid w:val="00EB2ECF"/>
    <w:rsid w:val="00EB493A"/>
    <w:rsid w:val="00EB65C9"/>
    <w:rsid w:val="00EB7012"/>
    <w:rsid w:val="00EC03B9"/>
    <w:rsid w:val="00EC0ADA"/>
    <w:rsid w:val="00EC0EB3"/>
    <w:rsid w:val="00EC1A0B"/>
    <w:rsid w:val="00EC1ABD"/>
    <w:rsid w:val="00EC2779"/>
    <w:rsid w:val="00EC2FEA"/>
    <w:rsid w:val="00EC3336"/>
    <w:rsid w:val="00EC3C42"/>
    <w:rsid w:val="00EC3E27"/>
    <w:rsid w:val="00EC42EA"/>
    <w:rsid w:val="00EC4B1F"/>
    <w:rsid w:val="00EC4C31"/>
    <w:rsid w:val="00EC4D9F"/>
    <w:rsid w:val="00EC52EB"/>
    <w:rsid w:val="00EC5380"/>
    <w:rsid w:val="00EC5739"/>
    <w:rsid w:val="00EC5C43"/>
    <w:rsid w:val="00EC649D"/>
    <w:rsid w:val="00EC7774"/>
    <w:rsid w:val="00ED08F8"/>
    <w:rsid w:val="00ED1A4B"/>
    <w:rsid w:val="00ED29B7"/>
    <w:rsid w:val="00ED3553"/>
    <w:rsid w:val="00ED4633"/>
    <w:rsid w:val="00ED4D5A"/>
    <w:rsid w:val="00ED4D82"/>
    <w:rsid w:val="00ED59E2"/>
    <w:rsid w:val="00ED5B51"/>
    <w:rsid w:val="00ED5E03"/>
    <w:rsid w:val="00ED76CB"/>
    <w:rsid w:val="00EE05E6"/>
    <w:rsid w:val="00EE0D91"/>
    <w:rsid w:val="00EE0F8E"/>
    <w:rsid w:val="00EE12AD"/>
    <w:rsid w:val="00EE1D88"/>
    <w:rsid w:val="00EE21FC"/>
    <w:rsid w:val="00EE2ABD"/>
    <w:rsid w:val="00EE2D41"/>
    <w:rsid w:val="00EE4D2E"/>
    <w:rsid w:val="00EE51DE"/>
    <w:rsid w:val="00EE544E"/>
    <w:rsid w:val="00EE5C65"/>
    <w:rsid w:val="00EE5FD3"/>
    <w:rsid w:val="00EE63D4"/>
    <w:rsid w:val="00EE6B62"/>
    <w:rsid w:val="00EE6D93"/>
    <w:rsid w:val="00EE7280"/>
    <w:rsid w:val="00EE7BDF"/>
    <w:rsid w:val="00EE7D41"/>
    <w:rsid w:val="00EF0CDB"/>
    <w:rsid w:val="00EF24A6"/>
    <w:rsid w:val="00EF30C1"/>
    <w:rsid w:val="00EF3CCB"/>
    <w:rsid w:val="00EF43AA"/>
    <w:rsid w:val="00EF4400"/>
    <w:rsid w:val="00EF4C55"/>
    <w:rsid w:val="00EF581A"/>
    <w:rsid w:val="00EF5FC3"/>
    <w:rsid w:val="00F00146"/>
    <w:rsid w:val="00F00493"/>
    <w:rsid w:val="00F0082C"/>
    <w:rsid w:val="00F00934"/>
    <w:rsid w:val="00F0194A"/>
    <w:rsid w:val="00F029C5"/>
    <w:rsid w:val="00F03632"/>
    <w:rsid w:val="00F036F7"/>
    <w:rsid w:val="00F03CC6"/>
    <w:rsid w:val="00F04476"/>
    <w:rsid w:val="00F05349"/>
    <w:rsid w:val="00F06490"/>
    <w:rsid w:val="00F0657E"/>
    <w:rsid w:val="00F06ABA"/>
    <w:rsid w:val="00F07431"/>
    <w:rsid w:val="00F10416"/>
    <w:rsid w:val="00F1059A"/>
    <w:rsid w:val="00F10DA7"/>
    <w:rsid w:val="00F10EB9"/>
    <w:rsid w:val="00F11641"/>
    <w:rsid w:val="00F1233F"/>
    <w:rsid w:val="00F1247A"/>
    <w:rsid w:val="00F12B9C"/>
    <w:rsid w:val="00F12E4B"/>
    <w:rsid w:val="00F150CD"/>
    <w:rsid w:val="00F156F8"/>
    <w:rsid w:val="00F15C4D"/>
    <w:rsid w:val="00F1643F"/>
    <w:rsid w:val="00F16AB2"/>
    <w:rsid w:val="00F16F8A"/>
    <w:rsid w:val="00F20A6D"/>
    <w:rsid w:val="00F21477"/>
    <w:rsid w:val="00F2285B"/>
    <w:rsid w:val="00F23489"/>
    <w:rsid w:val="00F24E60"/>
    <w:rsid w:val="00F25BB0"/>
    <w:rsid w:val="00F269E9"/>
    <w:rsid w:val="00F278F6"/>
    <w:rsid w:val="00F27BFC"/>
    <w:rsid w:val="00F30706"/>
    <w:rsid w:val="00F307ED"/>
    <w:rsid w:val="00F30EC3"/>
    <w:rsid w:val="00F31194"/>
    <w:rsid w:val="00F31915"/>
    <w:rsid w:val="00F31E1A"/>
    <w:rsid w:val="00F31F35"/>
    <w:rsid w:val="00F32870"/>
    <w:rsid w:val="00F32C6A"/>
    <w:rsid w:val="00F33F1A"/>
    <w:rsid w:val="00F3423F"/>
    <w:rsid w:val="00F3569F"/>
    <w:rsid w:val="00F3582D"/>
    <w:rsid w:val="00F3592F"/>
    <w:rsid w:val="00F3722F"/>
    <w:rsid w:val="00F37722"/>
    <w:rsid w:val="00F37882"/>
    <w:rsid w:val="00F378F8"/>
    <w:rsid w:val="00F41DFA"/>
    <w:rsid w:val="00F421C3"/>
    <w:rsid w:val="00F4226C"/>
    <w:rsid w:val="00F42396"/>
    <w:rsid w:val="00F42476"/>
    <w:rsid w:val="00F427FF"/>
    <w:rsid w:val="00F42F64"/>
    <w:rsid w:val="00F43208"/>
    <w:rsid w:val="00F4328E"/>
    <w:rsid w:val="00F4492F"/>
    <w:rsid w:val="00F44B83"/>
    <w:rsid w:val="00F4517F"/>
    <w:rsid w:val="00F45E16"/>
    <w:rsid w:val="00F466AA"/>
    <w:rsid w:val="00F46A69"/>
    <w:rsid w:val="00F46F79"/>
    <w:rsid w:val="00F47248"/>
    <w:rsid w:val="00F478C0"/>
    <w:rsid w:val="00F478FF"/>
    <w:rsid w:val="00F50C44"/>
    <w:rsid w:val="00F50FDD"/>
    <w:rsid w:val="00F52171"/>
    <w:rsid w:val="00F52285"/>
    <w:rsid w:val="00F52618"/>
    <w:rsid w:val="00F5265C"/>
    <w:rsid w:val="00F53F05"/>
    <w:rsid w:val="00F557E3"/>
    <w:rsid w:val="00F55CB3"/>
    <w:rsid w:val="00F56598"/>
    <w:rsid w:val="00F56EB3"/>
    <w:rsid w:val="00F57F26"/>
    <w:rsid w:val="00F601D1"/>
    <w:rsid w:val="00F604EC"/>
    <w:rsid w:val="00F60E93"/>
    <w:rsid w:val="00F6103B"/>
    <w:rsid w:val="00F611E6"/>
    <w:rsid w:val="00F6142C"/>
    <w:rsid w:val="00F63441"/>
    <w:rsid w:val="00F63AE1"/>
    <w:rsid w:val="00F63B8C"/>
    <w:rsid w:val="00F63C54"/>
    <w:rsid w:val="00F647E5"/>
    <w:rsid w:val="00F6521D"/>
    <w:rsid w:val="00F65515"/>
    <w:rsid w:val="00F66603"/>
    <w:rsid w:val="00F6733E"/>
    <w:rsid w:val="00F675E7"/>
    <w:rsid w:val="00F67F52"/>
    <w:rsid w:val="00F703BC"/>
    <w:rsid w:val="00F70D27"/>
    <w:rsid w:val="00F715F8"/>
    <w:rsid w:val="00F71E17"/>
    <w:rsid w:val="00F7201E"/>
    <w:rsid w:val="00F72B09"/>
    <w:rsid w:val="00F72BC9"/>
    <w:rsid w:val="00F72EB5"/>
    <w:rsid w:val="00F734F5"/>
    <w:rsid w:val="00F73527"/>
    <w:rsid w:val="00F751A2"/>
    <w:rsid w:val="00F76287"/>
    <w:rsid w:val="00F76B1F"/>
    <w:rsid w:val="00F76B3C"/>
    <w:rsid w:val="00F76B79"/>
    <w:rsid w:val="00F76F86"/>
    <w:rsid w:val="00F7796B"/>
    <w:rsid w:val="00F81DBF"/>
    <w:rsid w:val="00F81FAE"/>
    <w:rsid w:val="00F821F9"/>
    <w:rsid w:val="00F83EB8"/>
    <w:rsid w:val="00F857FB"/>
    <w:rsid w:val="00F85E4F"/>
    <w:rsid w:val="00F86AAD"/>
    <w:rsid w:val="00F8731F"/>
    <w:rsid w:val="00F877D2"/>
    <w:rsid w:val="00F87F3C"/>
    <w:rsid w:val="00F90231"/>
    <w:rsid w:val="00F90602"/>
    <w:rsid w:val="00F90EDF"/>
    <w:rsid w:val="00F90EEA"/>
    <w:rsid w:val="00F91445"/>
    <w:rsid w:val="00F91AED"/>
    <w:rsid w:val="00F91B4A"/>
    <w:rsid w:val="00F91EA5"/>
    <w:rsid w:val="00F925CB"/>
    <w:rsid w:val="00F92A04"/>
    <w:rsid w:val="00F93043"/>
    <w:rsid w:val="00F93CD6"/>
    <w:rsid w:val="00F93F57"/>
    <w:rsid w:val="00F9431A"/>
    <w:rsid w:val="00F94B0F"/>
    <w:rsid w:val="00F95281"/>
    <w:rsid w:val="00F9577A"/>
    <w:rsid w:val="00F95960"/>
    <w:rsid w:val="00F95A54"/>
    <w:rsid w:val="00F96040"/>
    <w:rsid w:val="00F96908"/>
    <w:rsid w:val="00F96EDF"/>
    <w:rsid w:val="00FA01F8"/>
    <w:rsid w:val="00FA133C"/>
    <w:rsid w:val="00FA19C9"/>
    <w:rsid w:val="00FA2543"/>
    <w:rsid w:val="00FA2982"/>
    <w:rsid w:val="00FA2B30"/>
    <w:rsid w:val="00FA333B"/>
    <w:rsid w:val="00FA3632"/>
    <w:rsid w:val="00FA4327"/>
    <w:rsid w:val="00FA59AD"/>
    <w:rsid w:val="00FA74B9"/>
    <w:rsid w:val="00FB2FD1"/>
    <w:rsid w:val="00FB43DE"/>
    <w:rsid w:val="00FB486B"/>
    <w:rsid w:val="00FB6C69"/>
    <w:rsid w:val="00FB702A"/>
    <w:rsid w:val="00FB7ED9"/>
    <w:rsid w:val="00FC060E"/>
    <w:rsid w:val="00FC1035"/>
    <w:rsid w:val="00FC1219"/>
    <w:rsid w:val="00FC2146"/>
    <w:rsid w:val="00FC286A"/>
    <w:rsid w:val="00FC2DC9"/>
    <w:rsid w:val="00FC33C4"/>
    <w:rsid w:val="00FC3AB9"/>
    <w:rsid w:val="00FC3ED1"/>
    <w:rsid w:val="00FC4113"/>
    <w:rsid w:val="00FC426B"/>
    <w:rsid w:val="00FC4921"/>
    <w:rsid w:val="00FC4C83"/>
    <w:rsid w:val="00FC6105"/>
    <w:rsid w:val="00FC7696"/>
    <w:rsid w:val="00FD08CC"/>
    <w:rsid w:val="00FD0A20"/>
    <w:rsid w:val="00FD11BB"/>
    <w:rsid w:val="00FD157C"/>
    <w:rsid w:val="00FD185B"/>
    <w:rsid w:val="00FD1E2C"/>
    <w:rsid w:val="00FD4136"/>
    <w:rsid w:val="00FD4C3F"/>
    <w:rsid w:val="00FD56FB"/>
    <w:rsid w:val="00FD5A91"/>
    <w:rsid w:val="00FD5A9D"/>
    <w:rsid w:val="00FD5F1C"/>
    <w:rsid w:val="00FD60B2"/>
    <w:rsid w:val="00FE11AD"/>
    <w:rsid w:val="00FE20F0"/>
    <w:rsid w:val="00FE467B"/>
    <w:rsid w:val="00FE617D"/>
    <w:rsid w:val="00FE6BF9"/>
    <w:rsid w:val="00FE7F5A"/>
    <w:rsid w:val="00FF11C4"/>
    <w:rsid w:val="00FF1E4C"/>
    <w:rsid w:val="00FF29EE"/>
    <w:rsid w:val="00FF3334"/>
    <w:rsid w:val="00FF3FF9"/>
    <w:rsid w:val="00FF4D69"/>
    <w:rsid w:val="00FF6015"/>
    <w:rsid w:val="00FF60A3"/>
    <w:rsid w:val="00FF60C4"/>
    <w:rsid w:val="00FF62B0"/>
    <w:rsid w:val="00FF7484"/>
    <w:rsid w:val="00FF752E"/>
    <w:rsid w:val="00FF75B0"/>
    <w:rsid w:val="00FF7ACC"/>
    <w:rsid w:val="00FF7FED"/>
    <w:rsid w:val="023A44BD"/>
    <w:rsid w:val="02A604E3"/>
    <w:rsid w:val="03595F71"/>
    <w:rsid w:val="0393040F"/>
    <w:rsid w:val="05393890"/>
    <w:rsid w:val="06643677"/>
    <w:rsid w:val="06C64E5E"/>
    <w:rsid w:val="07730FFF"/>
    <w:rsid w:val="0818061F"/>
    <w:rsid w:val="0A5A448A"/>
    <w:rsid w:val="0AC15CC2"/>
    <w:rsid w:val="0B683E20"/>
    <w:rsid w:val="0CA2742F"/>
    <w:rsid w:val="0EEF17E5"/>
    <w:rsid w:val="103247CA"/>
    <w:rsid w:val="11FC011F"/>
    <w:rsid w:val="14F01AE5"/>
    <w:rsid w:val="16F5303A"/>
    <w:rsid w:val="17330B06"/>
    <w:rsid w:val="1833604A"/>
    <w:rsid w:val="18FA506F"/>
    <w:rsid w:val="191E4E1F"/>
    <w:rsid w:val="197B5DCD"/>
    <w:rsid w:val="1A9B5FFB"/>
    <w:rsid w:val="1B346771"/>
    <w:rsid w:val="1BF105C9"/>
    <w:rsid w:val="1C3E447D"/>
    <w:rsid w:val="1C694603"/>
    <w:rsid w:val="1CFFDB81"/>
    <w:rsid w:val="1D7F630B"/>
    <w:rsid w:val="1FA13B72"/>
    <w:rsid w:val="20BC6433"/>
    <w:rsid w:val="229C3D92"/>
    <w:rsid w:val="25375739"/>
    <w:rsid w:val="2C1F6FF0"/>
    <w:rsid w:val="2D046E08"/>
    <w:rsid w:val="2DB61B53"/>
    <w:rsid w:val="2E6D7451"/>
    <w:rsid w:val="2F12133E"/>
    <w:rsid w:val="300D7376"/>
    <w:rsid w:val="31B76BB4"/>
    <w:rsid w:val="3515563F"/>
    <w:rsid w:val="3598708E"/>
    <w:rsid w:val="3648683C"/>
    <w:rsid w:val="38E23DE0"/>
    <w:rsid w:val="39AE31FE"/>
    <w:rsid w:val="39DC7D6B"/>
    <w:rsid w:val="3A3906F1"/>
    <w:rsid w:val="3B2F3225"/>
    <w:rsid w:val="3B455160"/>
    <w:rsid w:val="3C420D85"/>
    <w:rsid w:val="3C6E1FA5"/>
    <w:rsid w:val="3E014244"/>
    <w:rsid w:val="3E9D304F"/>
    <w:rsid w:val="3ECF7B8B"/>
    <w:rsid w:val="3EDE0226"/>
    <w:rsid w:val="425037C6"/>
    <w:rsid w:val="43BD0C0D"/>
    <w:rsid w:val="451347B8"/>
    <w:rsid w:val="45F10738"/>
    <w:rsid w:val="468E6891"/>
    <w:rsid w:val="47546D12"/>
    <w:rsid w:val="47E744AA"/>
    <w:rsid w:val="4A0D7F67"/>
    <w:rsid w:val="4B7F2C4C"/>
    <w:rsid w:val="4CAB594E"/>
    <w:rsid w:val="4D0B2F4D"/>
    <w:rsid w:val="4D23745C"/>
    <w:rsid w:val="4D445EFB"/>
    <w:rsid w:val="4D7D4A64"/>
    <w:rsid w:val="4F1D3BE3"/>
    <w:rsid w:val="4F314178"/>
    <w:rsid w:val="4F844C2B"/>
    <w:rsid w:val="4F8C67F2"/>
    <w:rsid w:val="4F922232"/>
    <w:rsid w:val="52E3416D"/>
    <w:rsid w:val="53FD0AC2"/>
    <w:rsid w:val="552360D6"/>
    <w:rsid w:val="573841E5"/>
    <w:rsid w:val="574865E8"/>
    <w:rsid w:val="5792523A"/>
    <w:rsid w:val="58C70034"/>
    <w:rsid w:val="5975743C"/>
    <w:rsid w:val="5A366BCB"/>
    <w:rsid w:val="5C0A6562"/>
    <w:rsid w:val="5C745B27"/>
    <w:rsid w:val="5D85190F"/>
    <w:rsid w:val="5E590574"/>
    <w:rsid w:val="5F19557A"/>
    <w:rsid w:val="5FF53A47"/>
    <w:rsid w:val="604D7663"/>
    <w:rsid w:val="608F1D21"/>
    <w:rsid w:val="60C41282"/>
    <w:rsid w:val="60D76976"/>
    <w:rsid w:val="62C54F90"/>
    <w:rsid w:val="63167531"/>
    <w:rsid w:val="63515211"/>
    <w:rsid w:val="64001144"/>
    <w:rsid w:val="659D3FA3"/>
    <w:rsid w:val="66B55BA8"/>
    <w:rsid w:val="674C2000"/>
    <w:rsid w:val="677D1351"/>
    <w:rsid w:val="685A617B"/>
    <w:rsid w:val="6992268F"/>
    <w:rsid w:val="6A78793A"/>
    <w:rsid w:val="6B490C34"/>
    <w:rsid w:val="6E5A6ED5"/>
    <w:rsid w:val="6EFD56C0"/>
    <w:rsid w:val="715E0A8A"/>
    <w:rsid w:val="71E11D52"/>
    <w:rsid w:val="73042D56"/>
    <w:rsid w:val="7455461F"/>
    <w:rsid w:val="7458681A"/>
    <w:rsid w:val="745C5273"/>
    <w:rsid w:val="75986535"/>
    <w:rsid w:val="76933E46"/>
    <w:rsid w:val="76AD0DC2"/>
    <w:rsid w:val="7A4D1FE3"/>
    <w:rsid w:val="7B5FFE7B"/>
    <w:rsid w:val="7BFFA14F"/>
    <w:rsid w:val="7E5C18C4"/>
    <w:rsid w:val="7E857F9E"/>
    <w:rsid w:val="7EAA78C2"/>
    <w:rsid w:val="FFFDA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semiHidden="0" w:name="caption"/>
    <w:lsdException w:qFormat="1"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0" w:semiHidden="0" w:name="HTML Preformatted"/>
    <w:lsdException w:qFormat="1" w:uiPriority="0" w:semiHidden="0" w:name="HTML Sample"/>
    <w:lsdException w:qFormat="1" w:unhideWhenUsed="0" w:uiPriority="0" w:semiHidden="0" w:name="HTML Typewriter"/>
    <w:lsdException w:qFormat="1" w:uiPriority="0" w:semiHidden="0" w:name="HTML Variable"/>
    <w:lsdException w:qFormat="1" w:uiPriority="99" w:name="Normal Table"/>
    <w:lsdException w:qFormat="1"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54"/>
    <w:qFormat/>
    <w:uiPriority w:val="9"/>
    <w:pPr>
      <w:keepNext/>
      <w:keepLines/>
      <w:numPr>
        <w:ilvl w:val="0"/>
        <w:numId w:val="1"/>
      </w:numPr>
      <w:spacing w:before="340" w:after="330" w:line="578" w:lineRule="auto"/>
      <w:jc w:val="center"/>
      <w:outlineLvl w:val="0"/>
    </w:pPr>
    <w:rPr>
      <w:rFonts w:ascii="宋体" w:hAnsi="宋体" w:eastAsia="宋体"/>
      <w:b/>
      <w:bCs/>
      <w:kern w:val="44"/>
      <w:sz w:val="32"/>
      <w:szCs w:val="32"/>
    </w:rPr>
  </w:style>
  <w:style w:type="paragraph" w:styleId="5">
    <w:name w:val="heading 2"/>
    <w:basedOn w:val="1"/>
    <w:next w:val="6"/>
    <w:link w:val="156"/>
    <w:unhideWhenUsed/>
    <w:qFormat/>
    <w:uiPriority w:val="9"/>
    <w:pPr>
      <w:keepNext/>
      <w:keepLines/>
      <w:numPr>
        <w:ilvl w:val="1"/>
        <w:numId w:val="1"/>
      </w:numPr>
      <w:spacing w:before="260" w:after="260" w:line="415" w:lineRule="auto"/>
      <w:outlineLvl w:val="1"/>
    </w:pPr>
    <w:rPr>
      <w:rFonts w:ascii="宋体" w:hAnsi="宋体" w:eastAsia="宋体" w:cstheme="majorBidi"/>
      <w:b/>
      <w:bCs/>
      <w:sz w:val="28"/>
      <w:szCs w:val="28"/>
    </w:rPr>
  </w:style>
  <w:style w:type="paragraph" w:styleId="7">
    <w:name w:val="heading 3"/>
    <w:basedOn w:val="1"/>
    <w:next w:val="1"/>
    <w:link w:val="157"/>
    <w:unhideWhenUsed/>
    <w:qFormat/>
    <w:uiPriority w:val="9"/>
    <w:pPr>
      <w:numPr>
        <w:ilvl w:val="2"/>
        <w:numId w:val="1"/>
      </w:numPr>
      <w:spacing w:line="420" w:lineRule="auto"/>
      <w:ind w:left="720" w:hanging="720"/>
      <w:outlineLvl w:val="2"/>
    </w:pPr>
    <w:rPr>
      <w:rFonts w:ascii="宋体" w:hAnsi="宋体" w:eastAsia="宋体" w:cs="宋体"/>
      <w:b/>
      <w:bCs/>
      <w:sz w:val="24"/>
      <w:szCs w:val="24"/>
    </w:rPr>
  </w:style>
  <w:style w:type="paragraph" w:styleId="8">
    <w:name w:val="heading 4"/>
    <w:basedOn w:val="1"/>
    <w:next w:val="9"/>
    <w:link w:val="158"/>
    <w:unhideWhenUsed/>
    <w:qFormat/>
    <w:uiPriority w:val="9"/>
    <w:pPr>
      <w:keepNext/>
      <w:keepLines/>
      <w:numPr>
        <w:ilvl w:val="3"/>
        <w:numId w:val="1"/>
      </w:numPr>
      <w:spacing w:before="260" w:after="260" w:line="360" w:lineRule="auto"/>
      <w:outlineLvl w:val="3"/>
    </w:pPr>
    <w:rPr>
      <w:rFonts w:ascii="宋体" w:hAnsi="宋体" w:eastAsia="宋体" w:cstheme="majorBidi"/>
      <w:b/>
      <w:bCs/>
      <w:sz w:val="24"/>
      <w:szCs w:val="24"/>
    </w:rPr>
  </w:style>
  <w:style w:type="paragraph" w:styleId="14">
    <w:name w:val="heading 5"/>
    <w:basedOn w:val="1"/>
    <w:next w:val="13"/>
    <w:link w:val="159"/>
    <w:unhideWhenUsed/>
    <w:qFormat/>
    <w:uiPriority w:val="9"/>
    <w:pPr>
      <w:keepNext/>
      <w:keepLines/>
      <w:numPr>
        <w:ilvl w:val="4"/>
        <w:numId w:val="1"/>
      </w:numPr>
      <w:spacing w:before="260" w:after="260" w:line="360" w:lineRule="auto"/>
      <w:outlineLvl w:val="4"/>
    </w:pPr>
    <w:rPr>
      <w:rFonts w:ascii="宋体" w:hAnsi="宋体" w:eastAsia="宋体"/>
      <w:b/>
      <w:bCs/>
      <w:sz w:val="24"/>
      <w:szCs w:val="24"/>
    </w:rPr>
  </w:style>
  <w:style w:type="paragraph" w:styleId="15">
    <w:name w:val="heading 6"/>
    <w:basedOn w:val="1"/>
    <w:next w:val="6"/>
    <w:link w:val="160"/>
    <w:unhideWhenUsed/>
    <w:qFormat/>
    <w:uiPriority w:val="9"/>
    <w:pPr>
      <w:keepNext/>
      <w:keepLines/>
      <w:numPr>
        <w:ilvl w:val="5"/>
        <w:numId w:val="1"/>
      </w:numPr>
      <w:spacing w:before="280" w:after="290" w:line="377" w:lineRule="auto"/>
      <w:ind w:left="1151" w:hanging="1151"/>
      <w:outlineLvl w:val="5"/>
    </w:pPr>
    <w:rPr>
      <w:rFonts w:eastAsia="宋体" w:asciiTheme="majorHAnsi" w:hAnsiTheme="majorHAnsi" w:cstheme="majorBidi"/>
      <w:b/>
      <w:bCs/>
      <w:sz w:val="24"/>
      <w:szCs w:val="24"/>
    </w:rPr>
  </w:style>
  <w:style w:type="paragraph" w:styleId="16">
    <w:name w:val="heading 7"/>
    <w:basedOn w:val="1"/>
    <w:next w:val="1"/>
    <w:link w:val="161"/>
    <w:unhideWhenUsed/>
    <w:qFormat/>
    <w:uiPriority w:val="9"/>
    <w:pPr>
      <w:keepNext/>
      <w:keepLines/>
      <w:numPr>
        <w:ilvl w:val="6"/>
        <w:numId w:val="1"/>
      </w:numPr>
      <w:spacing w:before="240" w:after="64" w:line="320" w:lineRule="auto"/>
      <w:outlineLvl w:val="6"/>
    </w:pPr>
    <w:rPr>
      <w:rFonts w:ascii="Calibri" w:hAnsi="Calibri" w:eastAsia="宋体" w:cs="Times New Roman"/>
      <w:b/>
      <w:bCs/>
      <w:sz w:val="24"/>
      <w:szCs w:val="24"/>
    </w:rPr>
  </w:style>
  <w:style w:type="paragraph" w:styleId="17">
    <w:name w:val="heading 8"/>
    <w:basedOn w:val="1"/>
    <w:next w:val="1"/>
    <w:link w:val="162"/>
    <w:unhideWhenUsed/>
    <w:qFormat/>
    <w:uiPriority w:val="9"/>
    <w:pPr>
      <w:keepNext/>
      <w:keepLines/>
      <w:numPr>
        <w:ilvl w:val="7"/>
        <w:numId w:val="1"/>
      </w:numPr>
      <w:spacing w:before="240" w:after="64" w:line="320" w:lineRule="auto"/>
      <w:outlineLvl w:val="7"/>
    </w:pPr>
    <w:rPr>
      <w:rFonts w:ascii="Cambria" w:hAnsi="Cambria" w:eastAsia="宋体" w:cs="Times New Roman"/>
      <w:sz w:val="24"/>
      <w:szCs w:val="24"/>
    </w:rPr>
  </w:style>
  <w:style w:type="paragraph" w:styleId="18">
    <w:name w:val="heading 9"/>
    <w:basedOn w:val="1"/>
    <w:next w:val="1"/>
    <w:link w:val="163"/>
    <w:unhideWhenUsed/>
    <w:qFormat/>
    <w:uiPriority w:val="9"/>
    <w:pPr>
      <w:keepNext/>
      <w:keepLines/>
      <w:numPr>
        <w:ilvl w:val="8"/>
        <w:numId w:val="1"/>
      </w:numPr>
      <w:spacing w:before="240" w:after="64" w:line="320" w:lineRule="auto"/>
      <w:outlineLvl w:val="8"/>
    </w:pPr>
    <w:rPr>
      <w:rFonts w:ascii="Calibri Light" w:hAnsi="Calibri Light" w:eastAsia="宋体" w:cs="Times New Roman"/>
      <w:sz w:val="24"/>
      <w:szCs w:val="21"/>
    </w:rPr>
  </w:style>
  <w:style w:type="character" w:default="1" w:styleId="136">
    <w:name w:val="Default Paragraph Font"/>
    <w:semiHidden/>
    <w:unhideWhenUsed/>
    <w:qFormat/>
    <w:uiPriority w:val="1"/>
  </w:style>
  <w:style w:type="table" w:default="1" w:styleId="9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缩进）"/>
    <w:basedOn w:val="1"/>
    <w:next w:val="1"/>
    <w:link w:val="366"/>
    <w:qFormat/>
    <w:uiPriority w:val="99"/>
    <w:pPr>
      <w:spacing w:line="360" w:lineRule="auto"/>
      <w:ind w:firstLine="200" w:firstLineChars="200"/>
    </w:pPr>
    <w:rPr>
      <w:rFonts w:ascii="宋体" w:hAnsi="宋体" w:eastAsia="宋体" w:cs="宋体"/>
      <w:sz w:val="24"/>
      <w:szCs w:val="24"/>
    </w:rPr>
  </w:style>
  <w:style w:type="paragraph" w:styleId="3">
    <w:name w:val="macro"/>
    <w:link w:val="29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customStyle="1" w:styleId="6">
    <w:name w:val="宋体正文"/>
    <w:basedOn w:val="1"/>
    <w:link w:val="155"/>
    <w:qFormat/>
    <w:uiPriority w:val="0"/>
    <w:pPr>
      <w:spacing w:before="120" w:after="120" w:line="360" w:lineRule="auto"/>
      <w:ind w:firstLine="420"/>
    </w:pPr>
    <w:rPr>
      <w:rFonts w:ascii="Calibri" w:hAnsi="Calibri" w:eastAsia="宋体" w:cs="Times New Roman"/>
      <w:sz w:val="24"/>
      <w:szCs w:val="24"/>
    </w:rPr>
  </w:style>
  <w:style w:type="paragraph" w:styleId="9">
    <w:name w:val="Body Text First Indent"/>
    <w:basedOn w:val="10"/>
    <w:next w:val="12"/>
    <w:link w:val="306"/>
    <w:qFormat/>
    <w:uiPriority w:val="0"/>
    <w:pPr>
      <w:spacing w:line="360" w:lineRule="auto"/>
      <w:ind w:firstLine="420" w:firstLineChars="100"/>
    </w:pPr>
    <w:rPr>
      <w:rFonts w:ascii="宋体" w:hAnsi="宋体" w:eastAsia="宋体" w:cs="Times New Roman"/>
      <w:szCs w:val="24"/>
      <w:lang w:val="en-US" w:eastAsia="zh-CN" w:bidi="ar-SA"/>
    </w:rPr>
  </w:style>
  <w:style w:type="paragraph" w:styleId="10">
    <w:name w:val="Body Text"/>
    <w:basedOn w:val="1"/>
    <w:next w:val="11"/>
    <w:link w:val="278"/>
    <w:unhideWhenUsed/>
    <w:qFormat/>
    <w:uiPriority w:val="99"/>
    <w:pPr>
      <w:spacing w:after="120"/>
    </w:pPr>
  </w:style>
  <w:style w:type="paragraph" w:styleId="11">
    <w:name w:val="toc 5"/>
    <w:basedOn w:val="1"/>
    <w:next w:val="1"/>
    <w:unhideWhenUsed/>
    <w:qFormat/>
    <w:uiPriority w:val="39"/>
    <w:pPr>
      <w:ind w:left="1680" w:leftChars="800"/>
    </w:pPr>
    <w:rPr>
      <w:rFonts w:ascii="Calibri" w:hAnsi="Calibri" w:eastAsia="宋体" w:cs="Times New Roman"/>
    </w:rPr>
  </w:style>
  <w:style w:type="paragraph" w:styleId="12">
    <w:name w:val="Body Text First Indent 2"/>
    <w:basedOn w:val="13"/>
    <w:link w:val="307"/>
    <w:unhideWhenUsed/>
    <w:qFormat/>
    <w:uiPriority w:val="0"/>
    <w:pPr>
      <w:ind w:firstLine="420"/>
    </w:pPr>
  </w:style>
  <w:style w:type="paragraph" w:styleId="13">
    <w:name w:val="Body Text Indent"/>
    <w:basedOn w:val="1"/>
    <w:link w:val="296"/>
    <w:unhideWhenUsed/>
    <w:qFormat/>
    <w:uiPriority w:val="0"/>
    <w:pPr>
      <w:spacing w:after="120" w:line="360" w:lineRule="auto"/>
      <w:ind w:left="420" w:leftChars="200" w:firstLine="200" w:firstLineChars="200"/>
    </w:pPr>
    <w:rPr>
      <w:rFonts w:eastAsia="仿宋"/>
      <w:sz w:val="24"/>
    </w:rPr>
  </w:style>
  <w:style w:type="paragraph" w:styleId="19">
    <w:name w:val="List 3"/>
    <w:basedOn w:val="1"/>
    <w:qFormat/>
    <w:uiPriority w:val="0"/>
    <w:pPr>
      <w:spacing w:line="360" w:lineRule="auto"/>
      <w:ind w:left="100" w:leftChars="400" w:hanging="200" w:hangingChars="200"/>
    </w:pPr>
    <w:rPr>
      <w:rFonts w:ascii="Calibri" w:hAnsi="Calibri" w:eastAsia="宋体" w:cs="Times New Roman"/>
    </w:rPr>
  </w:style>
  <w:style w:type="paragraph" w:styleId="20">
    <w:name w:val="toc 7"/>
    <w:basedOn w:val="1"/>
    <w:next w:val="1"/>
    <w:unhideWhenUsed/>
    <w:qFormat/>
    <w:uiPriority w:val="39"/>
    <w:pPr>
      <w:ind w:left="2520" w:leftChars="1200"/>
    </w:pPr>
    <w:rPr>
      <w:rFonts w:ascii="Calibri" w:hAnsi="Calibri" w:eastAsia="宋体" w:cs="Times New Roman"/>
    </w:rPr>
  </w:style>
  <w:style w:type="paragraph" w:styleId="21">
    <w:name w:val="List Number 2"/>
    <w:basedOn w:val="1"/>
    <w:qFormat/>
    <w:uiPriority w:val="0"/>
    <w:pPr>
      <w:numPr>
        <w:ilvl w:val="0"/>
        <w:numId w:val="2"/>
      </w:numPr>
      <w:spacing w:line="360" w:lineRule="auto"/>
    </w:pPr>
    <w:rPr>
      <w:rFonts w:ascii="Calibri" w:hAnsi="Calibri" w:eastAsia="宋体" w:cs="Times New Roman"/>
    </w:rPr>
  </w:style>
  <w:style w:type="paragraph" w:styleId="22">
    <w:name w:val="table of authorities"/>
    <w:basedOn w:val="1"/>
    <w:next w:val="1"/>
    <w:unhideWhenUsed/>
    <w:qFormat/>
    <w:uiPriority w:val="0"/>
    <w:pPr>
      <w:spacing w:line="360" w:lineRule="auto"/>
      <w:ind w:left="420" w:leftChars="200"/>
      <w:jc w:val="left"/>
    </w:pPr>
    <w:rPr>
      <w:rFonts w:ascii="Calibri" w:hAnsi="Calibri" w:eastAsia="宋体" w:cs="Times New Roman"/>
      <w:sz w:val="24"/>
    </w:rPr>
  </w:style>
  <w:style w:type="paragraph" w:styleId="23">
    <w:name w:val="Note Heading"/>
    <w:basedOn w:val="1"/>
    <w:next w:val="1"/>
    <w:link w:val="291"/>
    <w:qFormat/>
    <w:uiPriority w:val="0"/>
    <w:pPr>
      <w:spacing w:line="360" w:lineRule="auto"/>
      <w:jc w:val="center"/>
    </w:pPr>
    <w:rPr>
      <w:rFonts w:ascii="Calibri" w:hAnsi="Calibri" w:eastAsia="宋体" w:cs="Times New Roman"/>
    </w:rPr>
  </w:style>
  <w:style w:type="paragraph" w:styleId="24">
    <w:name w:val="List Bullet 4"/>
    <w:basedOn w:val="1"/>
    <w:qFormat/>
    <w:uiPriority w:val="0"/>
    <w:pPr>
      <w:numPr>
        <w:ilvl w:val="0"/>
        <w:numId w:val="3"/>
      </w:numPr>
      <w:tabs>
        <w:tab w:val="clear" w:pos="1620"/>
      </w:tabs>
      <w:spacing w:line="360" w:lineRule="auto"/>
      <w:ind w:left="0" w:leftChars="0" w:firstLine="0" w:firstLineChars="0"/>
    </w:pPr>
    <w:rPr>
      <w:rFonts w:ascii="Calibri" w:hAnsi="Calibri" w:eastAsia="宋体" w:cs="Times New Roman"/>
    </w:rPr>
  </w:style>
  <w:style w:type="paragraph" w:styleId="25">
    <w:name w:val="index 8"/>
    <w:basedOn w:val="1"/>
    <w:next w:val="1"/>
    <w:qFormat/>
    <w:uiPriority w:val="0"/>
    <w:pPr>
      <w:ind w:left="1680" w:hanging="210"/>
      <w:jc w:val="left"/>
    </w:pPr>
    <w:rPr>
      <w:rFonts w:ascii="Calibri" w:hAnsi="Calibri" w:eastAsia="宋体" w:cs="Times New Roman"/>
      <w:sz w:val="20"/>
      <w:szCs w:val="20"/>
    </w:rPr>
  </w:style>
  <w:style w:type="paragraph" w:styleId="26">
    <w:name w:val="E-mail Signature"/>
    <w:basedOn w:val="1"/>
    <w:link w:val="292"/>
    <w:qFormat/>
    <w:uiPriority w:val="0"/>
    <w:pPr>
      <w:spacing w:line="360" w:lineRule="auto"/>
    </w:pPr>
    <w:rPr>
      <w:rFonts w:ascii="Calibri" w:hAnsi="Calibri" w:eastAsia="宋体" w:cs="Times New Roman"/>
    </w:rPr>
  </w:style>
  <w:style w:type="paragraph" w:styleId="27">
    <w:name w:val="List Number"/>
    <w:basedOn w:val="1"/>
    <w:qFormat/>
    <w:uiPriority w:val="0"/>
    <w:pPr>
      <w:widowControl/>
      <w:numPr>
        <w:ilvl w:val="0"/>
        <w:numId w:val="4"/>
      </w:numPr>
      <w:tabs>
        <w:tab w:val="left" w:pos="454"/>
        <w:tab w:val="left" w:pos="720"/>
      </w:tabs>
      <w:spacing w:after="50" w:afterLines="50" w:line="360" w:lineRule="auto"/>
      <w:ind w:left="0" w:firstLine="0"/>
      <w:jc w:val="left"/>
    </w:pPr>
    <w:rPr>
      <w:rFonts w:ascii="Times New Roman" w:hAnsi="Times New Roman" w:eastAsia="宋体" w:cs="Times New Roman"/>
      <w:kern w:val="0"/>
      <w:sz w:val="24"/>
      <w:szCs w:val="20"/>
    </w:rPr>
  </w:style>
  <w:style w:type="paragraph" w:styleId="28">
    <w:name w:val="Normal Indent"/>
    <w:basedOn w:val="1"/>
    <w:link w:val="164"/>
    <w:qFormat/>
    <w:uiPriority w:val="99"/>
    <w:pPr>
      <w:spacing w:line="360" w:lineRule="auto"/>
      <w:ind w:firstLine="420"/>
    </w:pPr>
    <w:rPr>
      <w:rFonts w:ascii="Times New Roman" w:hAnsi="Times New Roman" w:eastAsia="宋体" w:cs="Times New Roman"/>
      <w:sz w:val="24"/>
      <w:szCs w:val="20"/>
    </w:rPr>
  </w:style>
  <w:style w:type="paragraph" w:styleId="29">
    <w:name w:val="caption"/>
    <w:basedOn w:val="1"/>
    <w:next w:val="1"/>
    <w:link w:val="165"/>
    <w:unhideWhenUsed/>
    <w:qFormat/>
    <w:uiPriority w:val="35"/>
    <w:pPr>
      <w:spacing w:before="60" w:line="360" w:lineRule="auto"/>
      <w:jc w:val="center"/>
    </w:pPr>
    <w:rPr>
      <w:rFonts w:ascii="Calibri Light" w:hAnsi="Calibri Light" w:eastAsia="黑体" w:cs="Times New Roman"/>
      <w:sz w:val="20"/>
      <w:szCs w:val="20"/>
    </w:rPr>
  </w:style>
  <w:style w:type="paragraph" w:styleId="30">
    <w:name w:val="index 5"/>
    <w:basedOn w:val="1"/>
    <w:next w:val="1"/>
    <w:qFormat/>
    <w:uiPriority w:val="0"/>
    <w:pPr>
      <w:ind w:left="1050" w:hanging="210"/>
      <w:jc w:val="left"/>
    </w:pPr>
    <w:rPr>
      <w:rFonts w:ascii="Calibri" w:hAnsi="Calibri" w:eastAsia="宋体" w:cs="Times New Roman"/>
      <w:sz w:val="20"/>
      <w:szCs w:val="20"/>
    </w:rPr>
  </w:style>
  <w:style w:type="paragraph" w:styleId="31">
    <w:name w:val="List Bullet"/>
    <w:basedOn w:val="1"/>
    <w:qFormat/>
    <w:uiPriority w:val="0"/>
    <w:pPr>
      <w:numPr>
        <w:ilvl w:val="0"/>
        <w:numId w:val="5"/>
      </w:numPr>
      <w:tabs>
        <w:tab w:val="clear" w:pos="360"/>
      </w:tabs>
      <w:spacing w:line="360" w:lineRule="auto"/>
      <w:ind w:left="0" w:firstLine="0" w:firstLineChars="0"/>
    </w:pPr>
    <w:rPr>
      <w:rFonts w:ascii="Calibri" w:hAnsi="Calibri" w:eastAsia="宋体" w:cs="Times New Roman"/>
    </w:rPr>
  </w:style>
  <w:style w:type="paragraph" w:styleId="32">
    <w:name w:val="envelope address"/>
    <w:basedOn w:val="1"/>
    <w:qFormat/>
    <w:uiPriority w:val="0"/>
    <w:pPr>
      <w:framePr w:w="7920" w:h="1980" w:hRule="exact" w:hSpace="180" w:wrap="auto" w:vAnchor="margin" w:hAnchor="page" w:xAlign="center" w:yAlign="bottom"/>
      <w:snapToGrid w:val="0"/>
      <w:spacing w:line="360" w:lineRule="auto"/>
      <w:ind w:left="100" w:leftChars="1400"/>
    </w:pPr>
    <w:rPr>
      <w:rFonts w:ascii="Arial" w:hAnsi="Arial" w:eastAsia="宋体" w:cs="Arial"/>
      <w:sz w:val="24"/>
      <w:szCs w:val="24"/>
    </w:rPr>
  </w:style>
  <w:style w:type="paragraph" w:styleId="33">
    <w:name w:val="Document Map"/>
    <w:basedOn w:val="1"/>
    <w:link w:val="166"/>
    <w:unhideWhenUsed/>
    <w:qFormat/>
    <w:uiPriority w:val="0"/>
    <w:rPr>
      <w:rFonts w:ascii="宋体" w:hAnsi="Times New Roman" w:eastAsia="宋体"/>
      <w:sz w:val="18"/>
      <w:szCs w:val="18"/>
    </w:rPr>
  </w:style>
  <w:style w:type="paragraph" w:styleId="34">
    <w:name w:val="toa heading"/>
    <w:basedOn w:val="1"/>
    <w:next w:val="1"/>
    <w:qFormat/>
    <w:uiPriority w:val="0"/>
    <w:pPr>
      <w:spacing w:beforeLines="40" w:afterLines="40" w:line="300" w:lineRule="auto"/>
      <w:ind w:firstLine="420"/>
    </w:pPr>
    <w:rPr>
      <w:rFonts w:ascii="Arial" w:hAnsi="Arial" w:eastAsia="仿宋" w:cs="Arial"/>
      <w:sz w:val="24"/>
      <w:szCs w:val="24"/>
    </w:rPr>
  </w:style>
  <w:style w:type="paragraph" w:styleId="35">
    <w:name w:val="annotation text"/>
    <w:basedOn w:val="1"/>
    <w:link w:val="167"/>
    <w:unhideWhenUsed/>
    <w:qFormat/>
    <w:uiPriority w:val="0"/>
    <w:pPr>
      <w:jc w:val="left"/>
    </w:pPr>
    <w:rPr>
      <w:rFonts w:ascii="Calibri" w:hAnsi="Calibri" w:eastAsia="宋体"/>
    </w:rPr>
  </w:style>
  <w:style w:type="paragraph" w:styleId="36">
    <w:name w:val="index 6"/>
    <w:basedOn w:val="1"/>
    <w:next w:val="1"/>
    <w:qFormat/>
    <w:uiPriority w:val="0"/>
    <w:pPr>
      <w:ind w:left="1260" w:hanging="210"/>
      <w:jc w:val="left"/>
    </w:pPr>
    <w:rPr>
      <w:rFonts w:ascii="Calibri" w:hAnsi="Calibri" w:eastAsia="宋体" w:cs="Times New Roman"/>
      <w:sz w:val="20"/>
      <w:szCs w:val="20"/>
    </w:rPr>
  </w:style>
  <w:style w:type="paragraph" w:styleId="37">
    <w:name w:val="Salutation"/>
    <w:basedOn w:val="1"/>
    <w:next w:val="1"/>
    <w:link w:val="293"/>
    <w:qFormat/>
    <w:uiPriority w:val="0"/>
    <w:pPr>
      <w:spacing w:line="360" w:lineRule="auto"/>
    </w:pPr>
    <w:rPr>
      <w:rFonts w:ascii="Calibri" w:hAnsi="Calibri" w:eastAsia="宋体" w:cs="Times New Roman"/>
    </w:rPr>
  </w:style>
  <w:style w:type="paragraph" w:styleId="38">
    <w:name w:val="Body Text 3"/>
    <w:basedOn w:val="1"/>
    <w:link w:val="294"/>
    <w:qFormat/>
    <w:uiPriority w:val="0"/>
    <w:pPr>
      <w:spacing w:after="120" w:line="360" w:lineRule="auto"/>
    </w:pPr>
    <w:rPr>
      <w:rFonts w:ascii="Calibri" w:hAnsi="Calibri" w:eastAsia="宋体" w:cs="Times New Roman"/>
      <w:sz w:val="16"/>
      <w:szCs w:val="16"/>
    </w:rPr>
  </w:style>
  <w:style w:type="paragraph" w:styleId="39">
    <w:name w:val="Closing"/>
    <w:basedOn w:val="1"/>
    <w:link w:val="295"/>
    <w:qFormat/>
    <w:uiPriority w:val="0"/>
    <w:pPr>
      <w:spacing w:line="360" w:lineRule="auto"/>
      <w:ind w:left="100" w:leftChars="2100"/>
    </w:pPr>
    <w:rPr>
      <w:rFonts w:ascii="Calibri" w:hAnsi="Calibri" w:eastAsia="宋体" w:cs="Times New Roman"/>
    </w:rPr>
  </w:style>
  <w:style w:type="paragraph" w:styleId="40">
    <w:name w:val="List Bullet 3"/>
    <w:basedOn w:val="1"/>
    <w:qFormat/>
    <w:uiPriority w:val="0"/>
    <w:pPr>
      <w:numPr>
        <w:ilvl w:val="0"/>
        <w:numId w:val="6"/>
      </w:numPr>
      <w:tabs>
        <w:tab w:val="clear" w:pos="1200"/>
      </w:tabs>
      <w:spacing w:line="360" w:lineRule="auto"/>
      <w:ind w:left="0" w:leftChars="0" w:firstLine="0" w:firstLineChars="0"/>
    </w:pPr>
    <w:rPr>
      <w:rFonts w:ascii="Calibri" w:hAnsi="Calibri" w:eastAsia="宋体" w:cs="Times New Roman"/>
    </w:rPr>
  </w:style>
  <w:style w:type="paragraph" w:styleId="41">
    <w:name w:val="List Number 3"/>
    <w:basedOn w:val="1"/>
    <w:qFormat/>
    <w:uiPriority w:val="0"/>
    <w:pPr>
      <w:numPr>
        <w:ilvl w:val="0"/>
        <w:numId w:val="7"/>
      </w:numPr>
      <w:tabs>
        <w:tab w:val="clear" w:pos="1200"/>
      </w:tabs>
      <w:spacing w:line="360" w:lineRule="auto"/>
      <w:ind w:left="0" w:leftChars="0" w:firstLine="0" w:firstLineChars="0"/>
    </w:pPr>
    <w:rPr>
      <w:rFonts w:ascii="Calibri" w:hAnsi="Calibri" w:eastAsia="宋体" w:cs="Times New Roman"/>
    </w:rPr>
  </w:style>
  <w:style w:type="paragraph" w:styleId="42">
    <w:name w:val="List 2"/>
    <w:basedOn w:val="1"/>
    <w:link w:val="756"/>
    <w:qFormat/>
    <w:uiPriority w:val="0"/>
    <w:pPr>
      <w:spacing w:line="360" w:lineRule="auto"/>
      <w:ind w:left="100" w:leftChars="200" w:hanging="200" w:hangingChars="200"/>
    </w:pPr>
    <w:rPr>
      <w:rFonts w:ascii="Calibri" w:hAnsi="Calibri" w:eastAsia="宋体" w:cs="Times New Roman"/>
    </w:rPr>
  </w:style>
  <w:style w:type="paragraph" w:styleId="43">
    <w:name w:val="List Continue"/>
    <w:basedOn w:val="1"/>
    <w:qFormat/>
    <w:uiPriority w:val="0"/>
    <w:pPr>
      <w:spacing w:after="120" w:line="360" w:lineRule="auto"/>
      <w:ind w:left="420" w:leftChars="200"/>
    </w:pPr>
    <w:rPr>
      <w:rFonts w:ascii="Calibri" w:hAnsi="Calibri" w:eastAsia="宋体" w:cs="Times New Roman"/>
    </w:rPr>
  </w:style>
  <w:style w:type="paragraph" w:styleId="44">
    <w:name w:val="Block Text"/>
    <w:basedOn w:val="1"/>
    <w:link w:val="659"/>
    <w:qFormat/>
    <w:uiPriority w:val="0"/>
    <w:pPr>
      <w:adjustRightInd w:val="0"/>
      <w:spacing w:line="312" w:lineRule="atLeast"/>
      <w:ind w:left="-72" w:right="-72"/>
      <w:textAlignment w:val="baseline"/>
    </w:pPr>
    <w:rPr>
      <w:rFonts w:ascii="宋体" w:hAnsi="Times New Roman" w:eastAsia="宋体" w:cs="Times New Roman"/>
      <w:kern w:val="0"/>
      <w:szCs w:val="20"/>
    </w:rPr>
  </w:style>
  <w:style w:type="paragraph" w:styleId="45">
    <w:name w:val="List Bullet 2"/>
    <w:basedOn w:val="1"/>
    <w:qFormat/>
    <w:uiPriority w:val="0"/>
    <w:pPr>
      <w:numPr>
        <w:ilvl w:val="0"/>
        <w:numId w:val="8"/>
      </w:numPr>
      <w:tabs>
        <w:tab w:val="clear" w:pos="780"/>
      </w:tabs>
      <w:spacing w:line="360" w:lineRule="auto"/>
      <w:ind w:left="0" w:leftChars="0" w:firstLine="0" w:firstLineChars="0"/>
    </w:pPr>
    <w:rPr>
      <w:rFonts w:ascii="Calibri" w:hAnsi="Calibri" w:eastAsia="宋体" w:cs="Times New Roman"/>
    </w:rPr>
  </w:style>
  <w:style w:type="paragraph" w:styleId="46">
    <w:name w:val="HTML Address"/>
    <w:basedOn w:val="1"/>
    <w:link w:val="297"/>
    <w:qFormat/>
    <w:uiPriority w:val="0"/>
    <w:pPr>
      <w:spacing w:line="360" w:lineRule="auto"/>
    </w:pPr>
    <w:rPr>
      <w:rFonts w:ascii="Calibri" w:hAnsi="Calibri"/>
      <w:i/>
      <w:iCs/>
    </w:rPr>
  </w:style>
  <w:style w:type="paragraph" w:styleId="47">
    <w:name w:val="index 4"/>
    <w:basedOn w:val="1"/>
    <w:next w:val="1"/>
    <w:qFormat/>
    <w:uiPriority w:val="0"/>
    <w:pPr>
      <w:ind w:left="840" w:hanging="210"/>
      <w:jc w:val="left"/>
    </w:pPr>
    <w:rPr>
      <w:rFonts w:ascii="Calibri" w:hAnsi="Calibri" w:eastAsia="宋体" w:cs="Times New Roman"/>
      <w:sz w:val="20"/>
      <w:szCs w:val="20"/>
    </w:rPr>
  </w:style>
  <w:style w:type="paragraph" w:styleId="48">
    <w:name w:val="toc 3"/>
    <w:basedOn w:val="1"/>
    <w:next w:val="1"/>
    <w:unhideWhenUsed/>
    <w:qFormat/>
    <w:uiPriority w:val="39"/>
    <w:pPr>
      <w:ind w:left="840" w:leftChars="400"/>
    </w:pPr>
    <w:rPr>
      <w:rFonts w:ascii="Calibri" w:hAnsi="Calibri" w:eastAsia="宋体" w:cs="Times New Roman"/>
    </w:rPr>
  </w:style>
  <w:style w:type="paragraph" w:styleId="49">
    <w:name w:val="Plain Text"/>
    <w:basedOn w:val="1"/>
    <w:link w:val="168"/>
    <w:unhideWhenUsed/>
    <w:qFormat/>
    <w:uiPriority w:val="0"/>
    <w:pPr>
      <w:widowControl/>
      <w:spacing w:before="100" w:beforeAutospacing="1" w:after="100" w:afterAutospacing="1"/>
      <w:jc w:val="left"/>
    </w:pPr>
    <w:rPr>
      <w:rFonts w:ascii="宋体" w:hAnsi="宋体" w:eastAsia="宋体" w:cs="宋体"/>
      <w:sz w:val="24"/>
      <w:szCs w:val="24"/>
    </w:rPr>
  </w:style>
  <w:style w:type="paragraph" w:styleId="50">
    <w:name w:val="List Bullet 5"/>
    <w:basedOn w:val="1"/>
    <w:qFormat/>
    <w:uiPriority w:val="0"/>
    <w:pPr>
      <w:numPr>
        <w:ilvl w:val="0"/>
        <w:numId w:val="9"/>
      </w:numPr>
      <w:tabs>
        <w:tab w:val="clear" w:pos="2040"/>
      </w:tabs>
      <w:spacing w:line="360" w:lineRule="auto"/>
      <w:ind w:left="0" w:leftChars="0" w:firstLine="0" w:firstLineChars="0"/>
    </w:pPr>
    <w:rPr>
      <w:rFonts w:ascii="Calibri" w:hAnsi="Calibri" w:eastAsia="宋体" w:cs="Times New Roman"/>
    </w:rPr>
  </w:style>
  <w:style w:type="paragraph" w:styleId="51">
    <w:name w:val="List Number 4"/>
    <w:basedOn w:val="1"/>
    <w:qFormat/>
    <w:uiPriority w:val="0"/>
    <w:pPr>
      <w:numPr>
        <w:ilvl w:val="0"/>
        <w:numId w:val="10"/>
      </w:numPr>
      <w:tabs>
        <w:tab w:val="clear" w:pos="1620"/>
      </w:tabs>
      <w:spacing w:line="360" w:lineRule="auto"/>
      <w:ind w:left="0" w:leftChars="0" w:firstLine="0" w:firstLineChars="0"/>
    </w:pPr>
    <w:rPr>
      <w:rFonts w:ascii="Calibri" w:hAnsi="Calibri" w:eastAsia="宋体" w:cs="Times New Roman"/>
    </w:rPr>
  </w:style>
  <w:style w:type="paragraph" w:styleId="52">
    <w:name w:val="toc 8"/>
    <w:basedOn w:val="1"/>
    <w:next w:val="1"/>
    <w:unhideWhenUsed/>
    <w:qFormat/>
    <w:uiPriority w:val="39"/>
    <w:pPr>
      <w:ind w:left="2940" w:leftChars="1400"/>
    </w:pPr>
    <w:rPr>
      <w:rFonts w:ascii="Calibri" w:hAnsi="Calibri" w:eastAsia="宋体" w:cs="Times New Roman"/>
    </w:rPr>
  </w:style>
  <w:style w:type="paragraph" w:styleId="53">
    <w:name w:val="index 3"/>
    <w:basedOn w:val="1"/>
    <w:next w:val="1"/>
    <w:qFormat/>
    <w:uiPriority w:val="0"/>
    <w:pPr>
      <w:ind w:left="630" w:hanging="210"/>
      <w:jc w:val="left"/>
    </w:pPr>
    <w:rPr>
      <w:rFonts w:ascii="Calibri" w:hAnsi="Calibri" w:eastAsia="宋体" w:cs="Times New Roman"/>
      <w:sz w:val="20"/>
      <w:szCs w:val="20"/>
    </w:rPr>
  </w:style>
  <w:style w:type="paragraph" w:styleId="54">
    <w:name w:val="Date"/>
    <w:basedOn w:val="1"/>
    <w:next w:val="1"/>
    <w:link w:val="298"/>
    <w:unhideWhenUsed/>
    <w:qFormat/>
    <w:uiPriority w:val="0"/>
    <w:pPr>
      <w:spacing w:line="360" w:lineRule="auto"/>
      <w:ind w:left="100" w:leftChars="2500"/>
    </w:pPr>
    <w:rPr>
      <w:rFonts w:ascii="Calibri" w:hAnsi="Calibri" w:eastAsia="宋体" w:cs="Times New Roman"/>
    </w:rPr>
  </w:style>
  <w:style w:type="paragraph" w:styleId="55">
    <w:name w:val="Body Text Indent 2"/>
    <w:basedOn w:val="1"/>
    <w:link w:val="254"/>
    <w:unhideWhenUsed/>
    <w:qFormat/>
    <w:uiPriority w:val="0"/>
    <w:pPr>
      <w:spacing w:after="120" w:line="480" w:lineRule="auto"/>
      <w:ind w:left="420" w:leftChars="200"/>
    </w:pPr>
  </w:style>
  <w:style w:type="paragraph" w:styleId="56">
    <w:name w:val="endnote text"/>
    <w:basedOn w:val="1"/>
    <w:link w:val="299"/>
    <w:qFormat/>
    <w:uiPriority w:val="0"/>
    <w:pPr>
      <w:snapToGrid w:val="0"/>
      <w:jc w:val="left"/>
    </w:pPr>
    <w:rPr>
      <w:rFonts w:ascii="Times New Roman" w:hAnsi="Times New Roman" w:eastAsia="宋体" w:cs="Times New Roman"/>
      <w:szCs w:val="24"/>
    </w:rPr>
  </w:style>
  <w:style w:type="paragraph" w:styleId="57">
    <w:name w:val="List Continue 5"/>
    <w:basedOn w:val="1"/>
    <w:qFormat/>
    <w:uiPriority w:val="0"/>
    <w:pPr>
      <w:spacing w:after="120" w:line="360" w:lineRule="auto"/>
      <w:ind w:left="2100" w:leftChars="1000"/>
    </w:pPr>
    <w:rPr>
      <w:rFonts w:ascii="Calibri" w:hAnsi="Calibri" w:eastAsia="宋体" w:cs="Times New Roman"/>
    </w:rPr>
  </w:style>
  <w:style w:type="paragraph" w:styleId="58">
    <w:name w:val="Balloon Text"/>
    <w:basedOn w:val="1"/>
    <w:link w:val="169"/>
    <w:unhideWhenUsed/>
    <w:qFormat/>
    <w:uiPriority w:val="0"/>
    <w:rPr>
      <w:rFonts w:ascii="Calibri" w:hAnsi="Calibri" w:eastAsia="宋体" w:cs="Times New Roman"/>
      <w:sz w:val="18"/>
      <w:szCs w:val="18"/>
    </w:rPr>
  </w:style>
  <w:style w:type="paragraph" w:styleId="59">
    <w:name w:val="footer"/>
    <w:basedOn w:val="1"/>
    <w:link w:val="170"/>
    <w:unhideWhenUsed/>
    <w:qFormat/>
    <w:uiPriority w:val="99"/>
    <w:pPr>
      <w:tabs>
        <w:tab w:val="center" w:pos="4153"/>
        <w:tab w:val="right" w:pos="8306"/>
      </w:tabs>
      <w:snapToGrid w:val="0"/>
      <w:jc w:val="left"/>
    </w:pPr>
    <w:rPr>
      <w:sz w:val="18"/>
      <w:szCs w:val="18"/>
    </w:rPr>
  </w:style>
  <w:style w:type="paragraph" w:styleId="60">
    <w:name w:val="envelope return"/>
    <w:basedOn w:val="1"/>
    <w:qFormat/>
    <w:uiPriority w:val="0"/>
    <w:pPr>
      <w:snapToGrid w:val="0"/>
      <w:spacing w:line="360" w:lineRule="auto"/>
    </w:pPr>
    <w:rPr>
      <w:rFonts w:ascii="Arial" w:hAnsi="Arial" w:eastAsia="宋体" w:cs="Arial"/>
    </w:rPr>
  </w:style>
  <w:style w:type="paragraph" w:styleId="61">
    <w:name w:val="header"/>
    <w:basedOn w:val="1"/>
    <w:link w:val="171"/>
    <w:unhideWhenUsed/>
    <w:qFormat/>
    <w:uiPriority w:val="99"/>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00"/>
    <w:qFormat/>
    <w:uiPriority w:val="0"/>
    <w:pPr>
      <w:spacing w:line="360" w:lineRule="auto"/>
      <w:ind w:left="100" w:leftChars="2100"/>
    </w:pPr>
    <w:rPr>
      <w:rFonts w:ascii="Calibri" w:hAnsi="Calibri" w:eastAsia="宋体" w:cs="Times New Roman"/>
    </w:rPr>
  </w:style>
  <w:style w:type="paragraph" w:styleId="63">
    <w:name w:val="toc 1"/>
    <w:basedOn w:val="1"/>
    <w:next w:val="1"/>
    <w:link w:val="3325"/>
    <w:unhideWhenUsed/>
    <w:qFormat/>
    <w:uiPriority w:val="39"/>
    <w:rPr>
      <w:rFonts w:ascii="Calibri" w:hAnsi="Calibri" w:eastAsia="宋体" w:cs="Times New Roman"/>
    </w:rPr>
  </w:style>
  <w:style w:type="paragraph" w:styleId="64">
    <w:name w:val="List Continue 4"/>
    <w:basedOn w:val="1"/>
    <w:qFormat/>
    <w:uiPriority w:val="0"/>
    <w:pPr>
      <w:spacing w:after="120" w:line="360" w:lineRule="auto"/>
      <w:ind w:left="1680" w:leftChars="800"/>
    </w:pPr>
    <w:rPr>
      <w:rFonts w:ascii="Calibri" w:hAnsi="Calibri" w:eastAsia="宋体" w:cs="Times New Roman"/>
    </w:rPr>
  </w:style>
  <w:style w:type="paragraph" w:styleId="65">
    <w:name w:val="toc 4"/>
    <w:basedOn w:val="1"/>
    <w:next w:val="1"/>
    <w:unhideWhenUsed/>
    <w:qFormat/>
    <w:uiPriority w:val="39"/>
    <w:pPr>
      <w:ind w:left="1260" w:leftChars="600"/>
    </w:pPr>
    <w:rPr>
      <w:rFonts w:ascii="Calibri" w:hAnsi="Calibri" w:eastAsia="宋体" w:cs="Times New Roman"/>
    </w:rPr>
  </w:style>
  <w:style w:type="paragraph" w:styleId="66">
    <w:name w:val="index heading"/>
    <w:basedOn w:val="1"/>
    <w:next w:val="67"/>
    <w:qFormat/>
    <w:uiPriority w:val="0"/>
    <w:pPr>
      <w:spacing w:before="120" w:after="120"/>
      <w:jc w:val="center"/>
    </w:pPr>
    <w:rPr>
      <w:rFonts w:ascii="Calibri" w:hAnsi="Calibri" w:eastAsia="宋体" w:cs="Times New Roman"/>
      <w:b/>
      <w:bCs/>
      <w:iCs/>
      <w:szCs w:val="20"/>
    </w:rPr>
  </w:style>
  <w:style w:type="paragraph" w:styleId="67">
    <w:name w:val="index 1"/>
    <w:basedOn w:val="1"/>
    <w:next w:val="1"/>
    <w:unhideWhenUsed/>
    <w:qFormat/>
    <w:uiPriority w:val="0"/>
  </w:style>
  <w:style w:type="paragraph" w:styleId="68">
    <w:name w:val="Subtitle"/>
    <w:basedOn w:val="1"/>
    <w:link w:val="301"/>
    <w:qFormat/>
    <w:uiPriority w:val="11"/>
    <w:pPr>
      <w:spacing w:before="240" w:after="60" w:line="312" w:lineRule="auto"/>
      <w:jc w:val="center"/>
      <w:outlineLvl w:val="1"/>
    </w:pPr>
    <w:rPr>
      <w:rFonts w:ascii="Arial" w:hAnsi="Arial" w:eastAsia="宋体" w:cs="Arial"/>
      <w:b/>
      <w:bCs/>
      <w:kern w:val="28"/>
      <w:sz w:val="32"/>
      <w:szCs w:val="32"/>
    </w:rPr>
  </w:style>
  <w:style w:type="paragraph" w:styleId="69">
    <w:name w:val="List Number 5"/>
    <w:basedOn w:val="1"/>
    <w:qFormat/>
    <w:uiPriority w:val="0"/>
    <w:pPr>
      <w:numPr>
        <w:ilvl w:val="0"/>
        <w:numId w:val="11"/>
      </w:numPr>
      <w:tabs>
        <w:tab w:val="clear" w:pos="2040"/>
      </w:tabs>
      <w:spacing w:line="360" w:lineRule="auto"/>
      <w:ind w:left="0" w:leftChars="0" w:firstLine="0" w:firstLineChars="0"/>
    </w:pPr>
    <w:rPr>
      <w:rFonts w:ascii="Calibri" w:hAnsi="Calibri" w:eastAsia="宋体" w:cs="Times New Roman"/>
    </w:rPr>
  </w:style>
  <w:style w:type="paragraph" w:styleId="70">
    <w:name w:val="List"/>
    <w:basedOn w:val="1"/>
    <w:qFormat/>
    <w:uiPriority w:val="0"/>
    <w:pPr>
      <w:spacing w:line="360" w:lineRule="auto"/>
      <w:ind w:left="200" w:hanging="200" w:hangingChars="200"/>
    </w:pPr>
    <w:rPr>
      <w:rFonts w:ascii="Calibri" w:hAnsi="Calibri" w:eastAsia="宋体" w:cs="Times New Roman"/>
    </w:rPr>
  </w:style>
  <w:style w:type="paragraph" w:styleId="71">
    <w:name w:val="footnote text"/>
    <w:basedOn w:val="1"/>
    <w:link w:val="302"/>
    <w:qFormat/>
    <w:uiPriority w:val="0"/>
    <w:pPr>
      <w:snapToGrid w:val="0"/>
      <w:spacing w:line="360" w:lineRule="auto"/>
      <w:jc w:val="left"/>
    </w:pPr>
    <w:rPr>
      <w:rFonts w:ascii="Times New Roman" w:hAnsi="Times New Roman" w:eastAsia="宋体" w:cs="Times New Roman"/>
      <w:sz w:val="18"/>
      <w:szCs w:val="18"/>
    </w:rPr>
  </w:style>
  <w:style w:type="paragraph" w:styleId="72">
    <w:name w:val="toc 6"/>
    <w:basedOn w:val="1"/>
    <w:next w:val="1"/>
    <w:unhideWhenUsed/>
    <w:qFormat/>
    <w:uiPriority w:val="39"/>
    <w:pPr>
      <w:ind w:left="2100" w:leftChars="1000"/>
    </w:pPr>
    <w:rPr>
      <w:rFonts w:ascii="Calibri" w:hAnsi="Calibri" w:eastAsia="宋体" w:cs="Times New Roman"/>
    </w:rPr>
  </w:style>
  <w:style w:type="paragraph" w:styleId="73">
    <w:name w:val="List 5"/>
    <w:basedOn w:val="1"/>
    <w:qFormat/>
    <w:uiPriority w:val="0"/>
    <w:pPr>
      <w:spacing w:line="360" w:lineRule="auto"/>
      <w:ind w:left="100" w:leftChars="800" w:hanging="200" w:hangingChars="200"/>
    </w:pPr>
    <w:rPr>
      <w:rFonts w:ascii="Calibri" w:hAnsi="Calibri" w:eastAsia="宋体" w:cs="Times New Roman"/>
    </w:rPr>
  </w:style>
  <w:style w:type="paragraph" w:styleId="74">
    <w:name w:val="Body Text Indent 3"/>
    <w:basedOn w:val="1"/>
    <w:link w:val="303"/>
    <w:qFormat/>
    <w:uiPriority w:val="0"/>
    <w:pPr>
      <w:spacing w:after="120" w:line="360" w:lineRule="auto"/>
      <w:ind w:left="420" w:leftChars="200"/>
    </w:pPr>
    <w:rPr>
      <w:rFonts w:ascii="Calibri" w:hAnsi="Calibri" w:eastAsia="宋体" w:cs="Times New Roman"/>
      <w:sz w:val="16"/>
      <w:szCs w:val="16"/>
    </w:rPr>
  </w:style>
  <w:style w:type="paragraph" w:styleId="75">
    <w:name w:val="index 7"/>
    <w:basedOn w:val="1"/>
    <w:next w:val="1"/>
    <w:qFormat/>
    <w:uiPriority w:val="0"/>
    <w:pPr>
      <w:ind w:left="1470" w:hanging="210"/>
      <w:jc w:val="left"/>
    </w:pPr>
    <w:rPr>
      <w:rFonts w:ascii="Calibri" w:hAnsi="Calibri" w:eastAsia="宋体" w:cs="Times New Roman"/>
      <w:sz w:val="20"/>
      <w:szCs w:val="20"/>
    </w:rPr>
  </w:style>
  <w:style w:type="paragraph" w:styleId="76">
    <w:name w:val="index 9"/>
    <w:basedOn w:val="1"/>
    <w:next w:val="1"/>
    <w:qFormat/>
    <w:uiPriority w:val="0"/>
    <w:pPr>
      <w:ind w:left="1890" w:hanging="210"/>
      <w:jc w:val="left"/>
    </w:pPr>
    <w:rPr>
      <w:rFonts w:ascii="Calibri" w:hAnsi="Calibri" w:eastAsia="宋体" w:cs="Times New Roman"/>
      <w:sz w:val="20"/>
      <w:szCs w:val="20"/>
    </w:rPr>
  </w:style>
  <w:style w:type="paragraph" w:styleId="77">
    <w:name w:val="table of figures"/>
    <w:basedOn w:val="1"/>
    <w:next w:val="1"/>
    <w:unhideWhenUsed/>
    <w:qFormat/>
    <w:uiPriority w:val="0"/>
    <w:pPr>
      <w:spacing w:line="360" w:lineRule="auto"/>
      <w:ind w:left="200" w:leftChars="200" w:hanging="200" w:hangingChars="200"/>
    </w:pPr>
    <w:rPr>
      <w:rFonts w:ascii="Times New Roman" w:hAnsi="Times New Roman" w:eastAsia="宋体" w:cs="Times New Roman"/>
    </w:rPr>
  </w:style>
  <w:style w:type="paragraph" w:styleId="78">
    <w:name w:val="toc 2"/>
    <w:basedOn w:val="1"/>
    <w:next w:val="1"/>
    <w:unhideWhenUsed/>
    <w:qFormat/>
    <w:uiPriority w:val="39"/>
    <w:pPr>
      <w:ind w:left="420" w:leftChars="200"/>
    </w:pPr>
    <w:rPr>
      <w:rFonts w:ascii="Calibri" w:hAnsi="Calibri" w:eastAsia="宋体" w:cs="Times New Roman"/>
    </w:rPr>
  </w:style>
  <w:style w:type="paragraph" w:styleId="79">
    <w:name w:val="toc 9"/>
    <w:basedOn w:val="1"/>
    <w:next w:val="1"/>
    <w:unhideWhenUsed/>
    <w:qFormat/>
    <w:uiPriority w:val="39"/>
    <w:pPr>
      <w:ind w:left="3360" w:leftChars="1600"/>
    </w:pPr>
    <w:rPr>
      <w:rFonts w:ascii="Calibri" w:hAnsi="Calibri" w:eastAsia="宋体" w:cs="Times New Roman"/>
    </w:rPr>
  </w:style>
  <w:style w:type="paragraph" w:styleId="80">
    <w:name w:val="Body Text 2"/>
    <w:basedOn w:val="1"/>
    <w:link w:val="304"/>
    <w:qFormat/>
    <w:uiPriority w:val="99"/>
    <w:pPr>
      <w:spacing w:after="120" w:line="480" w:lineRule="auto"/>
    </w:pPr>
    <w:rPr>
      <w:rFonts w:ascii="Calibri" w:hAnsi="Calibri" w:eastAsia="宋体" w:cs="Times New Roman"/>
    </w:rPr>
  </w:style>
  <w:style w:type="paragraph" w:styleId="81">
    <w:name w:val="List 4"/>
    <w:basedOn w:val="1"/>
    <w:qFormat/>
    <w:uiPriority w:val="0"/>
    <w:pPr>
      <w:spacing w:line="360" w:lineRule="auto"/>
      <w:ind w:left="100" w:leftChars="600" w:hanging="200" w:hangingChars="200"/>
    </w:pPr>
    <w:rPr>
      <w:rFonts w:ascii="Calibri" w:hAnsi="Calibri" w:eastAsia="宋体" w:cs="Times New Roman"/>
    </w:rPr>
  </w:style>
  <w:style w:type="paragraph" w:styleId="82">
    <w:name w:val="List Continue 2"/>
    <w:basedOn w:val="1"/>
    <w:qFormat/>
    <w:uiPriority w:val="0"/>
    <w:pPr>
      <w:spacing w:after="120" w:line="360" w:lineRule="auto"/>
      <w:ind w:left="840" w:leftChars="400"/>
    </w:pPr>
    <w:rPr>
      <w:rFonts w:ascii="Calibri" w:hAnsi="Calibri" w:eastAsia="宋体" w:cs="Times New Roman"/>
    </w:rPr>
  </w:style>
  <w:style w:type="paragraph" w:styleId="83">
    <w:name w:val="Message Header"/>
    <w:basedOn w:val="1"/>
    <w:link w:val="305"/>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宋体" w:cs="Arial"/>
      <w:sz w:val="24"/>
      <w:szCs w:val="24"/>
    </w:rPr>
  </w:style>
  <w:style w:type="paragraph" w:styleId="84">
    <w:name w:val="HTML Preformatted"/>
    <w:basedOn w:val="1"/>
    <w:link w:val="172"/>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sz w:val="24"/>
      <w:szCs w:val="24"/>
    </w:rPr>
  </w:style>
  <w:style w:type="paragraph" w:styleId="85">
    <w:name w:val="Normal (Web)"/>
    <w:basedOn w:val="1"/>
    <w:link w:val="287"/>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86">
    <w:name w:val="List Continue 3"/>
    <w:basedOn w:val="1"/>
    <w:qFormat/>
    <w:uiPriority w:val="0"/>
    <w:pPr>
      <w:spacing w:after="120" w:line="360" w:lineRule="auto"/>
      <w:ind w:left="1260" w:leftChars="600"/>
    </w:pPr>
    <w:rPr>
      <w:rFonts w:ascii="Calibri" w:hAnsi="Calibri" w:eastAsia="宋体" w:cs="Times New Roman"/>
    </w:rPr>
  </w:style>
  <w:style w:type="paragraph" w:styleId="87">
    <w:name w:val="index 2"/>
    <w:basedOn w:val="1"/>
    <w:next w:val="1"/>
    <w:qFormat/>
    <w:uiPriority w:val="0"/>
    <w:pPr>
      <w:ind w:left="420" w:hanging="210"/>
      <w:jc w:val="left"/>
    </w:pPr>
    <w:rPr>
      <w:rFonts w:ascii="Calibri" w:hAnsi="Calibri" w:eastAsia="宋体" w:cs="Times New Roman"/>
      <w:sz w:val="20"/>
      <w:szCs w:val="20"/>
    </w:rPr>
  </w:style>
  <w:style w:type="paragraph" w:styleId="88">
    <w:name w:val="Title"/>
    <w:basedOn w:val="1"/>
    <w:next w:val="1"/>
    <w:link w:val="173"/>
    <w:qFormat/>
    <w:uiPriority w:val="0"/>
    <w:pPr>
      <w:spacing w:before="240" w:after="60"/>
      <w:jc w:val="center"/>
      <w:outlineLvl w:val="0"/>
    </w:pPr>
    <w:rPr>
      <w:rFonts w:ascii="等线 Light" w:hAnsi="等线 Light" w:eastAsia="宋体" w:cs="Times New Roman"/>
      <w:b/>
      <w:bCs/>
      <w:sz w:val="32"/>
      <w:szCs w:val="32"/>
    </w:rPr>
  </w:style>
  <w:style w:type="paragraph" w:styleId="89">
    <w:name w:val="annotation subject"/>
    <w:basedOn w:val="35"/>
    <w:next w:val="35"/>
    <w:link w:val="174"/>
    <w:unhideWhenUsed/>
    <w:qFormat/>
    <w:uiPriority w:val="0"/>
    <w:rPr>
      <w:b/>
      <w:bCs/>
    </w:rPr>
  </w:style>
  <w:style w:type="table" w:styleId="91">
    <w:name w:val="Table Grid"/>
    <w:basedOn w:val="90"/>
    <w:qFormat/>
    <w:uiPriority w:val="0"/>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qFormat/>
    <w:uiPriority w:val="0"/>
    <w:pPr>
      <w:widowControl w:val="0"/>
      <w:spacing w:line="360" w:lineRule="auto"/>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Colorful 1"/>
    <w:basedOn w:val="90"/>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4">
    <w:name w:val="Table Colorful 2"/>
    <w:basedOn w:val="90"/>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5">
    <w:name w:val="Table Colorful 3"/>
    <w:basedOn w:val="90"/>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6">
    <w:name w:val="Table Elegant"/>
    <w:basedOn w:val="90"/>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7">
    <w:name w:val="Table Classic 1"/>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90"/>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90"/>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Simple 1"/>
    <w:basedOn w:val="90"/>
    <w:qFormat/>
    <w:uiPriority w:val="0"/>
    <w:pPr>
      <w:widowControl w:val="0"/>
      <w:spacing w:line="360" w:lineRule="auto"/>
      <w:jc w:val="both"/>
    </w:pPr>
    <w:rPr>
      <w:rFonts w:ascii="Calibri" w:hAnsi="Calibri"/>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2">
    <w:name w:val="Table Simple 2"/>
    <w:basedOn w:val="90"/>
    <w:qFormat/>
    <w:uiPriority w:val="0"/>
    <w:pPr>
      <w:widowControl w:val="0"/>
      <w:spacing w:line="360" w:lineRule="auto"/>
      <w:jc w:val="both"/>
    </w:pPr>
    <w:rPr>
      <w:rFonts w:ascii="Calibri" w:hAnsi="Calibri"/>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3">
    <w:name w:val="Table Simple 3"/>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4">
    <w:name w:val="Table Subtle 1"/>
    <w:basedOn w:val="90"/>
    <w:qFormat/>
    <w:uiPriority w:val="0"/>
    <w:pPr>
      <w:widowControl w:val="0"/>
      <w:spacing w:line="360" w:lineRule="auto"/>
      <w:jc w:val="both"/>
    </w:pPr>
    <w:rPr>
      <w:rFonts w:ascii="Calibri" w:hAnsi="Calibri"/>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Subtle 2"/>
    <w:basedOn w:val="90"/>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3D effects 1"/>
    <w:basedOn w:val="90"/>
    <w:qFormat/>
    <w:uiPriority w:val="0"/>
    <w:pPr>
      <w:widowControl w:val="0"/>
      <w:spacing w:line="360" w:lineRule="auto"/>
      <w:jc w:val="both"/>
    </w:pPr>
    <w:rPr>
      <w:rFonts w:ascii="Calibri" w:hAnsi="Calibri"/>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7">
    <w:name w:val="Table 3D effects 2"/>
    <w:basedOn w:val="90"/>
    <w:qFormat/>
    <w:uiPriority w:val="0"/>
    <w:pPr>
      <w:widowControl w:val="0"/>
      <w:spacing w:line="360" w:lineRule="auto"/>
      <w:jc w:val="both"/>
    </w:pPr>
    <w:rPr>
      <w:rFonts w:ascii="Calibri" w:hAnsi="Calibri"/>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3D effects 3"/>
    <w:basedOn w:val="90"/>
    <w:qFormat/>
    <w:uiPriority w:val="0"/>
    <w:pPr>
      <w:widowControl w:val="0"/>
      <w:spacing w:line="360" w:lineRule="auto"/>
      <w:jc w:val="both"/>
    </w:pPr>
    <w:rPr>
      <w:rFonts w:ascii="Calibri" w:hAnsi="Calibri"/>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9">
    <w:name w:val="Table List 1"/>
    <w:basedOn w:val="90"/>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2"/>
    <w:basedOn w:val="90"/>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1">
    <w:name w:val="Table List 3"/>
    <w:basedOn w:val="90"/>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2">
    <w:name w:val="Table List 4"/>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3">
    <w:name w:val="Table List 5"/>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4">
    <w:name w:val="Table List 6"/>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5">
    <w:name w:val="Table List 7"/>
    <w:basedOn w:val="90"/>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6">
    <w:name w:val="Table List 8"/>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7">
    <w:name w:val="Table Contemporary"/>
    <w:basedOn w:val="90"/>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8">
    <w:name w:val="Table Columns 1"/>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2"/>
    <w:basedOn w:val="90"/>
    <w:qFormat/>
    <w:uiPriority w:val="0"/>
    <w:pPr>
      <w:widowControl w:val="0"/>
      <w:spacing w:line="360" w:lineRule="auto"/>
      <w:jc w:val="both"/>
    </w:pPr>
    <w:rPr>
      <w:rFonts w:ascii="Calibri" w:hAnsi="Calibri"/>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0">
    <w:name w:val="Table Columns 3"/>
    <w:basedOn w:val="90"/>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1">
    <w:name w:val="Table Columns 4"/>
    <w:basedOn w:val="90"/>
    <w:qFormat/>
    <w:uiPriority w:val="0"/>
    <w:pPr>
      <w:widowControl w:val="0"/>
      <w:spacing w:line="360" w:lineRule="auto"/>
      <w:jc w:val="both"/>
    </w:pPr>
    <w:rPr>
      <w:rFonts w:ascii="Calibri" w:hAnsi="Calibri"/>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2"/>
    <w:basedOn w:val="90"/>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5">
    <w:name w:val="Table Grid 3"/>
    <w:basedOn w:val="90"/>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4"/>
    <w:basedOn w:val="90"/>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7">
    <w:name w:val="Table Grid 5"/>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6"/>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7"/>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0">
    <w:name w:val="Table Grid 8"/>
    <w:basedOn w:val="90"/>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1">
    <w:name w:val="Table Web 1"/>
    <w:basedOn w:val="90"/>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2"/>
    <w:basedOn w:val="90"/>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Web 3"/>
    <w:basedOn w:val="90"/>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4">
    <w:name w:val="Table Professional"/>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5">
    <w:name w:val="Light Shading"/>
    <w:basedOn w:val="90"/>
    <w:qFormat/>
    <w:uiPriority w:val="60"/>
    <w:rPr>
      <w:rFonts w:ascii="Calibri" w:hAnsi="Calibri"/>
      <w:color w:val="000000"/>
      <w:sz w:val="22"/>
      <w:lang w:eastAsia="en-US"/>
    </w:rPr>
    <w:tblPr>
      <w:tblBorders>
        <w:top w:val="single" w:color="000000" w:sz="8" w:space="0"/>
        <w:bottom w:val="single" w:color="000000" w:sz="8" w:space="0"/>
      </w:tblBorders>
    </w:tblPr>
    <w:tcPr>
      <w:tcBorders>
        <w:top w:val="single" w:color="000000" w:sz="8" w:space="0"/>
        <w:left w:val="nil"/>
        <w:bottom w:val="single" w:color="000000" w:sz="8" w:space="0"/>
        <w:right w:val="nil"/>
      </w:tcBorders>
    </w:tcPr>
    <w:tblStylePr w:type="firstRow">
      <w:pPr>
        <w:spacing w:before="0" w:beforeAutospacing="0" w:after="0" w:afterAutospacing="0" w:line="240" w:lineRule="auto"/>
      </w:pPr>
      <w:rPr>
        <w:b/>
        <w:bCs/>
      </w:rPr>
      <w:tblPr/>
      <w:tcPr>
        <w:tcBorders>
          <w:top w:val="single" w:color="000000" w:sz="8" w:space="0"/>
          <w:left w:val="nil"/>
          <w:bottom w:val="single" w:color="000000" w:sz="8" w:space="0"/>
          <w:right w:val="nil"/>
        </w:tcBorders>
      </w:tcPr>
    </w:tblStylePr>
    <w:tblStylePr w:type="lastRow">
      <w:pPr>
        <w:spacing w:before="0" w:beforeAutospacing="0" w:after="0" w:afterAutospacing="0" w:line="240" w:lineRule="auto"/>
      </w:pPr>
      <w:rPr>
        <w:b/>
        <w:bCs/>
      </w:rPr>
      <w:tblPr/>
      <w:tcPr>
        <w:tcBorders>
          <w:top w:val="single" w:color="000000" w:sz="8" w:space="0"/>
          <w:left w:val="nil"/>
          <w:bottom w:val="single" w:color="000000" w:sz="8" w:space="0"/>
          <w:right w:val="nil"/>
        </w:tcBorders>
      </w:tcPr>
    </w:tblStylePr>
    <w:tblStylePr w:type="firstCol">
      <w:rPr>
        <w:b/>
        <w:bCs/>
      </w:rPr>
    </w:tblStylePr>
    <w:tblStylePr w:type="lastCol">
      <w:rPr>
        <w:b/>
        <w:bCs/>
      </w:rPr>
    </w:tblStylePr>
    <w:tblStylePr w:type="band1Vert">
      <w:tblPr/>
      <w:tcPr>
        <w:tcBorders>
          <w:left w:val="nil"/>
          <w:right w:val="nil"/>
        </w:tcBorders>
        <w:shd w:val="clear" w:color="auto" w:fill="C0C0C0"/>
      </w:tcPr>
    </w:tblStylePr>
    <w:tblStylePr w:type="band1Horz">
      <w:tblPr/>
      <w:tcPr>
        <w:tcBorders>
          <w:left w:val="nil"/>
          <w:right w:val="nil"/>
        </w:tcBorders>
        <w:shd w:val="clear" w:color="auto" w:fill="C0C0C0"/>
      </w:tcPr>
    </w:tblStylePr>
  </w:style>
  <w:style w:type="character" w:styleId="137">
    <w:name w:val="Strong"/>
    <w:basedOn w:val="136"/>
    <w:qFormat/>
    <w:uiPriority w:val="0"/>
    <w:rPr>
      <w:b/>
      <w:bCs/>
    </w:rPr>
  </w:style>
  <w:style w:type="character" w:styleId="138">
    <w:name w:val="endnote reference"/>
    <w:qFormat/>
    <w:uiPriority w:val="0"/>
    <w:rPr>
      <w:vertAlign w:val="superscript"/>
    </w:rPr>
  </w:style>
  <w:style w:type="character" w:styleId="139">
    <w:name w:val="page number"/>
    <w:qFormat/>
    <w:uiPriority w:val="0"/>
    <w:rPr>
      <w:rFonts w:ascii="Times New Roman" w:hAnsi="Times New Roman" w:eastAsia="宋体"/>
      <w:sz w:val="18"/>
    </w:rPr>
  </w:style>
  <w:style w:type="character" w:styleId="140">
    <w:name w:val="FollowedHyperlink"/>
    <w:basedOn w:val="136"/>
    <w:unhideWhenUsed/>
    <w:qFormat/>
    <w:uiPriority w:val="99"/>
    <w:rPr>
      <w:color w:val="800080"/>
      <w:u w:val="single"/>
    </w:rPr>
  </w:style>
  <w:style w:type="character" w:styleId="141">
    <w:name w:val="Emphasis"/>
    <w:qFormat/>
    <w:uiPriority w:val="20"/>
    <w:rPr>
      <w:i/>
      <w:iCs/>
    </w:rPr>
  </w:style>
  <w:style w:type="character" w:styleId="142">
    <w:name w:val="line number"/>
    <w:basedOn w:val="136"/>
    <w:qFormat/>
    <w:uiPriority w:val="0"/>
  </w:style>
  <w:style w:type="character" w:styleId="143">
    <w:name w:val="HTML Definition"/>
    <w:unhideWhenUsed/>
    <w:qFormat/>
    <w:uiPriority w:val="0"/>
  </w:style>
  <w:style w:type="character" w:styleId="144">
    <w:name w:val="HTML Typewriter"/>
    <w:qFormat/>
    <w:uiPriority w:val="0"/>
    <w:rPr>
      <w:rFonts w:ascii="Courier New" w:hAnsi="Courier New" w:cs="Courier New"/>
      <w:sz w:val="20"/>
      <w:szCs w:val="20"/>
    </w:rPr>
  </w:style>
  <w:style w:type="character" w:styleId="145">
    <w:name w:val="HTML Acronym"/>
    <w:basedOn w:val="136"/>
    <w:qFormat/>
    <w:uiPriority w:val="0"/>
  </w:style>
  <w:style w:type="character" w:styleId="146">
    <w:name w:val="HTML Variable"/>
    <w:unhideWhenUsed/>
    <w:qFormat/>
    <w:uiPriority w:val="0"/>
  </w:style>
  <w:style w:type="character" w:styleId="147">
    <w:name w:val="Hyperlink"/>
    <w:unhideWhenUsed/>
    <w:qFormat/>
    <w:uiPriority w:val="99"/>
    <w:rPr>
      <w:color w:val="0563C1"/>
      <w:u w:val="single"/>
    </w:rPr>
  </w:style>
  <w:style w:type="character" w:styleId="148">
    <w:name w:val="HTML Code"/>
    <w:unhideWhenUsed/>
    <w:qFormat/>
    <w:uiPriority w:val="0"/>
    <w:rPr>
      <w:rFonts w:hint="default" w:ascii="monospace" w:hAnsi="monospace" w:eastAsia="monospace" w:cs="monospace"/>
      <w:sz w:val="21"/>
      <w:szCs w:val="21"/>
    </w:rPr>
  </w:style>
  <w:style w:type="character" w:styleId="149">
    <w:name w:val="annotation reference"/>
    <w:unhideWhenUsed/>
    <w:qFormat/>
    <w:uiPriority w:val="0"/>
    <w:rPr>
      <w:sz w:val="21"/>
      <w:szCs w:val="21"/>
    </w:rPr>
  </w:style>
  <w:style w:type="character" w:styleId="150">
    <w:name w:val="HTML Cite"/>
    <w:unhideWhenUsed/>
    <w:qFormat/>
    <w:uiPriority w:val="0"/>
  </w:style>
  <w:style w:type="character" w:styleId="151">
    <w:name w:val="footnote reference"/>
    <w:qFormat/>
    <w:uiPriority w:val="0"/>
  </w:style>
  <w:style w:type="character" w:styleId="152">
    <w:name w:val="HTML Keyboard"/>
    <w:unhideWhenUsed/>
    <w:qFormat/>
    <w:uiPriority w:val="0"/>
    <w:rPr>
      <w:rFonts w:ascii="monospace" w:hAnsi="monospace" w:eastAsia="monospace" w:cs="monospace"/>
      <w:sz w:val="21"/>
      <w:szCs w:val="21"/>
    </w:rPr>
  </w:style>
  <w:style w:type="character" w:styleId="153">
    <w:name w:val="HTML Sample"/>
    <w:unhideWhenUsed/>
    <w:qFormat/>
    <w:uiPriority w:val="0"/>
    <w:rPr>
      <w:rFonts w:hint="default" w:ascii="monospace" w:hAnsi="monospace" w:eastAsia="monospace" w:cs="monospace"/>
      <w:sz w:val="21"/>
      <w:szCs w:val="21"/>
    </w:rPr>
  </w:style>
  <w:style w:type="character" w:customStyle="1" w:styleId="154">
    <w:name w:val="标题 1 字符"/>
    <w:basedOn w:val="136"/>
    <w:link w:val="4"/>
    <w:qFormat/>
    <w:uiPriority w:val="9"/>
    <w:rPr>
      <w:rFonts w:ascii="宋体" w:hAnsi="宋体" w:cstheme="minorBidi"/>
      <w:b/>
      <w:bCs/>
      <w:kern w:val="44"/>
      <w:sz w:val="32"/>
      <w:szCs w:val="32"/>
    </w:rPr>
  </w:style>
  <w:style w:type="character" w:customStyle="1" w:styleId="155">
    <w:name w:val="宋体正文 字符"/>
    <w:basedOn w:val="136"/>
    <w:link w:val="6"/>
    <w:qFormat/>
    <w:uiPriority w:val="0"/>
    <w:rPr>
      <w:rFonts w:ascii="Calibri" w:hAnsi="Calibri" w:eastAsia="宋体" w:cs="Times New Roman"/>
      <w:sz w:val="24"/>
      <w:szCs w:val="24"/>
    </w:rPr>
  </w:style>
  <w:style w:type="character" w:customStyle="1" w:styleId="156">
    <w:name w:val="标题 2 字符"/>
    <w:basedOn w:val="136"/>
    <w:link w:val="5"/>
    <w:qFormat/>
    <w:uiPriority w:val="9"/>
    <w:rPr>
      <w:rFonts w:ascii="宋体" w:hAnsi="宋体" w:cstheme="majorBidi"/>
      <w:b/>
      <w:bCs/>
      <w:kern w:val="2"/>
      <w:sz w:val="28"/>
      <w:szCs w:val="28"/>
    </w:rPr>
  </w:style>
  <w:style w:type="character" w:customStyle="1" w:styleId="157">
    <w:name w:val="标题 3 字符"/>
    <w:link w:val="7"/>
    <w:qFormat/>
    <w:uiPriority w:val="9"/>
    <w:rPr>
      <w:rFonts w:ascii="宋体" w:hAnsi="宋体" w:eastAsia="宋体" w:cs="宋体"/>
      <w:b/>
      <w:bCs/>
      <w:kern w:val="2"/>
      <w:sz w:val="24"/>
      <w:szCs w:val="24"/>
      <w:lang w:val="en-US" w:eastAsia="zh-CN" w:bidi="ar-SA"/>
    </w:rPr>
  </w:style>
  <w:style w:type="character" w:customStyle="1" w:styleId="158">
    <w:name w:val="标题 4 字符"/>
    <w:basedOn w:val="136"/>
    <w:link w:val="8"/>
    <w:qFormat/>
    <w:uiPriority w:val="9"/>
    <w:rPr>
      <w:rFonts w:ascii="宋体" w:hAnsi="宋体" w:cstheme="majorBidi"/>
      <w:b/>
      <w:bCs/>
      <w:kern w:val="2"/>
      <w:sz w:val="24"/>
      <w:szCs w:val="24"/>
    </w:rPr>
  </w:style>
  <w:style w:type="character" w:customStyle="1" w:styleId="159">
    <w:name w:val="标题 5 字符"/>
    <w:basedOn w:val="136"/>
    <w:link w:val="14"/>
    <w:qFormat/>
    <w:uiPriority w:val="9"/>
    <w:rPr>
      <w:rFonts w:ascii="宋体" w:hAnsi="宋体" w:cstheme="minorBidi"/>
      <w:b/>
      <w:bCs/>
      <w:kern w:val="2"/>
      <w:sz w:val="24"/>
      <w:szCs w:val="24"/>
    </w:rPr>
  </w:style>
  <w:style w:type="character" w:customStyle="1" w:styleId="160">
    <w:name w:val="标题 6 字符"/>
    <w:link w:val="15"/>
    <w:qFormat/>
    <w:uiPriority w:val="9"/>
    <w:rPr>
      <w:rFonts w:eastAsia="宋体" w:asciiTheme="majorHAnsi" w:hAnsiTheme="majorHAnsi" w:cstheme="majorBidi"/>
      <w:b/>
      <w:bCs/>
      <w:kern w:val="2"/>
      <w:sz w:val="24"/>
      <w:szCs w:val="24"/>
      <w:lang w:val="en-US" w:eastAsia="zh-CN" w:bidi="ar-SA"/>
    </w:rPr>
  </w:style>
  <w:style w:type="character" w:customStyle="1" w:styleId="161">
    <w:name w:val="标题 7 字符"/>
    <w:basedOn w:val="136"/>
    <w:link w:val="16"/>
    <w:qFormat/>
    <w:uiPriority w:val="9"/>
    <w:rPr>
      <w:rFonts w:ascii="Calibri" w:hAnsi="Calibri"/>
      <w:b/>
      <w:bCs/>
      <w:kern w:val="2"/>
      <w:sz w:val="24"/>
      <w:szCs w:val="24"/>
    </w:rPr>
  </w:style>
  <w:style w:type="character" w:customStyle="1" w:styleId="162">
    <w:name w:val="标题 8 字符"/>
    <w:basedOn w:val="136"/>
    <w:link w:val="17"/>
    <w:qFormat/>
    <w:uiPriority w:val="9"/>
    <w:rPr>
      <w:rFonts w:ascii="Cambria" w:hAnsi="Cambria"/>
      <w:kern w:val="2"/>
      <w:sz w:val="24"/>
      <w:szCs w:val="24"/>
    </w:rPr>
  </w:style>
  <w:style w:type="character" w:customStyle="1" w:styleId="163">
    <w:name w:val="标题 9 字符"/>
    <w:basedOn w:val="136"/>
    <w:link w:val="18"/>
    <w:qFormat/>
    <w:uiPriority w:val="9"/>
    <w:rPr>
      <w:rFonts w:ascii="Calibri Light" w:hAnsi="Calibri Light"/>
      <w:kern w:val="2"/>
      <w:sz w:val="24"/>
      <w:szCs w:val="21"/>
    </w:rPr>
  </w:style>
  <w:style w:type="character" w:customStyle="1" w:styleId="164">
    <w:name w:val="正文缩进 字符"/>
    <w:link w:val="28"/>
    <w:qFormat/>
    <w:uiPriority w:val="0"/>
    <w:rPr>
      <w:rFonts w:ascii="Times New Roman" w:hAnsi="Times New Roman" w:eastAsia="宋体" w:cs="Times New Roman"/>
      <w:sz w:val="24"/>
      <w:szCs w:val="20"/>
    </w:rPr>
  </w:style>
  <w:style w:type="character" w:customStyle="1" w:styleId="165">
    <w:name w:val="题注 字符"/>
    <w:link w:val="29"/>
    <w:qFormat/>
    <w:uiPriority w:val="35"/>
    <w:rPr>
      <w:rFonts w:ascii="Calibri Light" w:hAnsi="Calibri Light" w:eastAsia="黑体" w:cs="Times New Roman"/>
      <w:sz w:val="20"/>
      <w:szCs w:val="20"/>
    </w:rPr>
  </w:style>
  <w:style w:type="character" w:customStyle="1" w:styleId="166">
    <w:name w:val="文档结构图 字符"/>
    <w:link w:val="33"/>
    <w:qFormat/>
    <w:uiPriority w:val="0"/>
    <w:rPr>
      <w:rFonts w:ascii="宋体" w:hAnsi="Times New Roman" w:eastAsia="宋体"/>
      <w:sz w:val="18"/>
      <w:szCs w:val="18"/>
    </w:rPr>
  </w:style>
  <w:style w:type="character" w:customStyle="1" w:styleId="167">
    <w:name w:val="批注文字 字符"/>
    <w:link w:val="35"/>
    <w:qFormat/>
    <w:uiPriority w:val="0"/>
    <w:rPr>
      <w:rFonts w:ascii="Calibri" w:hAnsi="Calibri" w:eastAsia="宋体"/>
    </w:rPr>
  </w:style>
  <w:style w:type="character" w:customStyle="1" w:styleId="168">
    <w:name w:val="纯文本 字符"/>
    <w:link w:val="49"/>
    <w:qFormat/>
    <w:uiPriority w:val="0"/>
    <w:rPr>
      <w:rFonts w:ascii="宋体" w:hAnsi="宋体" w:eastAsia="宋体" w:cs="宋体"/>
      <w:sz w:val="24"/>
      <w:szCs w:val="24"/>
    </w:rPr>
  </w:style>
  <w:style w:type="character" w:customStyle="1" w:styleId="169">
    <w:name w:val="批注框文本 字符"/>
    <w:basedOn w:val="136"/>
    <w:link w:val="58"/>
    <w:qFormat/>
    <w:uiPriority w:val="0"/>
    <w:rPr>
      <w:rFonts w:ascii="Calibri" w:hAnsi="Calibri" w:eastAsia="宋体" w:cs="Times New Roman"/>
      <w:sz w:val="18"/>
      <w:szCs w:val="18"/>
    </w:rPr>
  </w:style>
  <w:style w:type="character" w:customStyle="1" w:styleId="170">
    <w:name w:val="页脚 字符"/>
    <w:basedOn w:val="136"/>
    <w:link w:val="59"/>
    <w:qFormat/>
    <w:uiPriority w:val="99"/>
    <w:rPr>
      <w:sz w:val="18"/>
      <w:szCs w:val="18"/>
    </w:rPr>
  </w:style>
  <w:style w:type="character" w:customStyle="1" w:styleId="171">
    <w:name w:val="页眉 字符"/>
    <w:basedOn w:val="136"/>
    <w:link w:val="61"/>
    <w:qFormat/>
    <w:uiPriority w:val="99"/>
    <w:rPr>
      <w:sz w:val="18"/>
      <w:szCs w:val="18"/>
    </w:rPr>
  </w:style>
  <w:style w:type="character" w:customStyle="1" w:styleId="172">
    <w:name w:val="HTML 预设格式 字符"/>
    <w:link w:val="84"/>
    <w:qFormat/>
    <w:uiPriority w:val="0"/>
    <w:rPr>
      <w:rFonts w:ascii="宋体" w:hAnsi="宋体" w:eastAsia="宋体" w:cs="宋体"/>
      <w:sz w:val="24"/>
      <w:szCs w:val="24"/>
    </w:rPr>
  </w:style>
  <w:style w:type="character" w:customStyle="1" w:styleId="173">
    <w:name w:val="标题 字符"/>
    <w:basedOn w:val="136"/>
    <w:link w:val="88"/>
    <w:qFormat/>
    <w:uiPriority w:val="0"/>
    <w:rPr>
      <w:rFonts w:ascii="等线 Light" w:hAnsi="等线 Light" w:eastAsia="宋体" w:cs="Times New Roman"/>
      <w:b/>
      <w:bCs/>
      <w:sz w:val="32"/>
      <w:szCs w:val="32"/>
    </w:rPr>
  </w:style>
  <w:style w:type="character" w:customStyle="1" w:styleId="174">
    <w:name w:val="批注主题 字符"/>
    <w:link w:val="89"/>
    <w:qFormat/>
    <w:uiPriority w:val="0"/>
    <w:rPr>
      <w:rFonts w:ascii="Calibri" w:hAnsi="Calibri" w:eastAsia="宋体"/>
      <w:b/>
      <w:bCs/>
    </w:rPr>
  </w:style>
  <w:style w:type="paragraph" w:styleId="175">
    <w:name w:val="List Paragraph"/>
    <w:basedOn w:val="1"/>
    <w:link w:val="176"/>
    <w:qFormat/>
    <w:uiPriority w:val="0"/>
    <w:pPr>
      <w:ind w:firstLine="420" w:firstLineChars="200"/>
    </w:pPr>
  </w:style>
  <w:style w:type="character" w:customStyle="1" w:styleId="176">
    <w:name w:val="列表段落 字符"/>
    <w:link w:val="175"/>
    <w:qFormat/>
    <w:uiPriority w:val="0"/>
  </w:style>
  <w:style w:type="paragraph" w:customStyle="1" w:styleId="177">
    <w:name w:val="图"/>
    <w:basedOn w:val="1"/>
    <w:link w:val="178"/>
    <w:qFormat/>
    <w:uiPriority w:val="0"/>
    <w:pPr>
      <w:spacing w:line="360" w:lineRule="auto"/>
      <w:jc w:val="center"/>
    </w:pPr>
    <w:rPr>
      <w:rFonts w:ascii="宋体" w:hAnsi="宋体" w:eastAsia="宋体" w:cs="Times New Roman"/>
      <w:b/>
      <w:sz w:val="20"/>
    </w:rPr>
  </w:style>
  <w:style w:type="character" w:customStyle="1" w:styleId="178">
    <w:name w:val="图 Char"/>
    <w:link w:val="177"/>
    <w:qFormat/>
    <w:uiPriority w:val="0"/>
    <w:rPr>
      <w:rFonts w:ascii="宋体" w:hAnsi="宋体" w:eastAsia="宋体" w:cs="Times New Roman"/>
      <w:b/>
      <w:sz w:val="20"/>
    </w:rPr>
  </w:style>
  <w:style w:type="paragraph" w:customStyle="1" w:styleId="179">
    <w:name w:val="图名"/>
    <w:basedOn w:val="1"/>
    <w:link w:val="180"/>
    <w:qFormat/>
    <w:uiPriority w:val="0"/>
    <w:pPr>
      <w:spacing w:line="360" w:lineRule="auto"/>
      <w:jc w:val="center"/>
    </w:pPr>
    <w:rPr>
      <w:rFonts w:ascii="宋体" w:hAnsi="宋体" w:eastAsia="宋体" w:cs="Times New Roman"/>
      <w:b/>
      <w:sz w:val="20"/>
      <w:szCs w:val="21"/>
    </w:rPr>
  </w:style>
  <w:style w:type="character" w:customStyle="1" w:styleId="180">
    <w:name w:val="图名 字符"/>
    <w:basedOn w:val="136"/>
    <w:link w:val="179"/>
    <w:qFormat/>
    <w:uiPriority w:val="0"/>
    <w:rPr>
      <w:rFonts w:ascii="宋体" w:hAnsi="宋体" w:eastAsia="宋体" w:cs="Times New Roman"/>
      <w:b/>
      <w:sz w:val="20"/>
      <w:szCs w:val="21"/>
    </w:rPr>
  </w:style>
  <w:style w:type="paragraph" w:customStyle="1" w:styleId="181">
    <w:name w:val="TOC 标题1"/>
    <w:basedOn w:val="4"/>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F5496"/>
      <w:kern w:val="0"/>
    </w:rPr>
  </w:style>
  <w:style w:type="paragraph" w:customStyle="1" w:styleId="182">
    <w:name w:val="列表段落1"/>
    <w:basedOn w:val="1"/>
    <w:qFormat/>
    <w:uiPriority w:val="34"/>
    <w:pPr>
      <w:ind w:firstLine="420" w:firstLineChars="200"/>
    </w:pPr>
    <w:rPr>
      <w:rFonts w:ascii="Calibri" w:hAnsi="Calibri" w:eastAsia="宋体" w:cs="Times New Roman"/>
    </w:rPr>
  </w:style>
  <w:style w:type="paragraph" w:customStyle="1" w:styleId="183">
    <w:name w:val="正文2"/>
    <w:basedOn w:val="1"/>
    <w:link w:val="184"/>
    <w:qFormat/>
    <w:uiPriority w:val="0"/>
    <w:pPr>
      <w:adjustRightInd w:val="0"/>
      <w:spacing w:line="360" w:lineRule="auto"/>
      <w:jc w:val="left"/>
    </w:pPr>
    <w:rPr>
      <w:rFonts w:ascii="仿宋" w:hAnsi="仿宋" w:eastAsia="仿宋" w:cs="Times New Roman"/>
      <w:kern w:val="0"/>
      <w:sz w:val="24"/>
      <w:szCs w:val="24"/>
    </w:rPr>
  </w:style>
  <w:style w:type="character" w:customStyle="1" w:styleId="184">
    <w:name w:val="正文2 Char"/>
    <w:link w:val="183"/>
    <w:qFormat/>
    <w:uiPriority w:val="0"/>
    <w:rPr>
      <w:rFonts w:ascii="仿宋" w:hAnsi="仿宋" w:eastAsia="仿宋" w:cs="Times New Roman"/>
      <w:kern w:val="0"/>
      <w:sz w:val="24"/>
      <w:szCs w:val="24"/>
    </w:rPr>
  </w:style>
  <w:style w:type="paragraph" w:customStyle="1" w:styleId="185">
    <w:name w:val="图例"/>
    <w:basedOn w:val="1"/>
    <w:link w:val="186"/>
    <w:qFormat/>
    <w:uiPriority w:val="0"/>
    <w:pPr>
      <w:spacing w:line="360" w:lineRule="auto"/>
      <w:jc w:val="center"/>
    </w:pPr>
    <w:rPr>
      <w:rFonts w:ascii="宋体" w:hAnsi="宋体" w:eastAsia="宋体" w:cs="Times New Roman"/>
      <w:b/>
      <w:szCs w:val="21"/>
    </w:rPr>
  </w:style>
  <w:style w:type="character" w:customStyle="1" w:styleId="186">
    <w:name w:val="图例 Char"/>
    <w:link w:val="185"/>
    <w:qFormat/>
    <w:uiPriority w:val="0"/>
    <w:rPr>
      <w:rFonts w:ascii="宋体" w:hAnsi="宋体" w:eastAsia="宋体" w:cs="Times New Roman"/>
      <w:b/>
      <w:kern w:val="2"/>
      <w:sz w:val="21"/>
      <w:szCs w:val="21"/>
    </w:rPr>
  </w:style>
  <w:style w:type="paragraph" w:customStyle="1" w:styleId="187">
    <w:name w:val="正文（首行缩进2字符）"/>
    <w:basedOn w:val="1"/>
    <w:qFormat/>
    <w:uiPriority w:val="0"/>
    <w:pPr>
      <w:spacing w:line="360" w:lineRule="auto"/>
      <w:ind w:firstLine="480" w:firstLineChars="200"/>
    </w:pPr>
    <w:rPr>
      <w:rFonts w:ascii="Calibri" w:hAnsi="Calibri" w:eastAsia="宋体" w:cs="黑体"/>
      <w:sz w:val="24"/>
    </w:rPr>
  </w:style>
  <w:style w:type="paragraph" w:customStyle="1" w:styleId="188">
    <w:name w:val="*正文"/>
    <w:basedOn w:val="1"/>
    <w:link w:val="189"/>
    <w:qFormat/>
    <w:uiPriority w:val="0"/>
    <w:pPr>
      <w:spacing w:line="360" w:lineRule="auto"/>
      <w:ind w:firstLine="480" w:firstLineChars="200"/>
    </w:pPr>
    <w:rPr>
      <w:rFonts w:ascii="Calibri" w:hAnsi="Calibri" w:eastAsia="宋体" w:cs="Times New Roman"/>
      <w:sz w:val="24"/>
      <w:szCs w:val="24"/>
    </w:rPr>
  </w:style>
  <w:style w:type="character" w:customStyle="1" w:styleId="189">
    <w:name w:val="*正文 Char"/>
    <w:link w:val="188"/>
    <w:qFormat/>
    <w:locked/>
    <w:uiPriority w:val="0"/>
    <w:rPr>
      <w:rFonts w:ascii="Calibri" w:hAnsi="Calibri" w:eastAsia="宋体" w:cs="Times New Roman"/>
      <w:kern w:val="2"/>
      <w:sz w:val="24"/>
      <w:szCs w:val="24"/>
    </w:rPr>
  </w:style>
  <w:style w:type="paragraph" w:customStyle="1" w:styleId="190">
    <w:name w:val="列出段落1"/>
    <w:basedOn w:val="1"/>
    <w:link w:val="191"/>
    <w:qFormat/>
    <w:uiPriority w:val="0"/>
    <w:pPr>
      <w:ind w:firstLine="420" w:firstLineChars="200"/>
    </w:pPr>
    <w:rPr>
      <w:rFonts w:ascii="Calibri" w:hAnsi="Calibri" w:eastAsia="宋体" w:cs="Times New Roman"/>
    </w:rPr>
  </w:style>
  <w:style w:type="character" w:customStyle="1" w:styleId="191">
    <w:name w:val="列出段落 字符"/>
    <w:link w:val="190"/>
    <w:qFormat/>
    <w:uiPriority w:val="34"/>
    <w:rPr>
      <w:rFonts w:ascii="Calibri" w:hAnsi="Calibri" w:eastAsia="宋体" w:cs="Times New Roman"/>
    </w:rPr>
  </w:style>
  <w:style w:type="paragraph" w:customStyle="1" w:styleId="192">
    <w:name w:val="列出段落2"/>
    <w:basedOn w:val="1"/>
    <w:link w:val="3330"/>
    <w:qFormat/>
    <w:uiPriority w:val="0"/>
    <w:pPr>
      <w:ind w:firstLine="420" w:firstLineChars="200"/>
    </w:pPr>
    <w:rPr>
      <w:rFonts w:ascii="Calibri" w:hAnsi="Calibri" w:eastAsia="宋体" w:cs="黑体"/>
    </w:rPr>
  </w:style>
  <w:style w:type="paragraph" w:customStyle="1" w:styleId="193">
    <w:name w:val="列出段落21"/>
    <w:basedOn w:val="1"/>
    <w:qFormat/>
    <w:uiPriority w:val="0"/>
    <w:pPr>
      <w:ind w:firstLine="420" w:firstLineChars="200"/>
    </w:pPr>
    <w:rPr>
      <w:rFonts w:ascii="Calibri" w:hAnsi="Calibri" w:eastAsia="宋体" w:cs="Times New Roman"/>
    </w:rPr>
  </w:style>
  <w:style w:type="paragraph" w:customStyle="1" w:styleId="194">
    <w:name w:val="无间隔1"/>
    <w:link w:val="195"/>
    <w:qFormat/>
    <w:uiPriority w:val="0"/>
    <w:rPr>
      <w:rFonts w:ascii="Calibri" w:hAnsi="Calibri" w:eastAsia="宋体" w:cs="黑体"/>
      <w:sz w:val="22"/>
      <w:szCs w:val="22"/>
      <w:lang w:val="en-US" w:eastAsia="zh-CN" w:bidi="ar-SA"/>
    </w:rPr>
  </w:style>
  <w:style w:type="character" w:customStyle="1" w:styleId="195">
    <w:name w:val="无间隔 Char"/>
    <w:link w:val="194"/>
    <w:qFormat/>
    <w:uiPriority w:val="1"/>
    <w:rPr>
      <w:rFonts w:ascii="Calibri" w:hAnsi="Calibri" w:eastAsia="宋体" w:cs="黑体"/>
      <w:kern w:val="0"/>
      <w:sz w:val="22"/>
    </w:rPr>
  </w:style>
  <w:style w:type="paragraph" w:customStyle="1" w:styleId="196">
    <w:name w:val="列出段落3"/>
    <w:basedOn w:val="1"/>
    <w:link w:val="831"/>
    <w:qFormat/>
    <w:uiPriority w:val="0"/>
    <w:pPr>
      <w:ind w:firstLine="420" w:firstLineChars="200"/>
    </w:pPr>
    <w:rPr>
      <w:rFonts w:ascii="Calibri" w:hAnsi="Calibri" w:eastAsia="宋体" w:cs="Times New Roman"/>
    </w:rPr>
  </w:style>
  <w:style w:type="paragraph" w:customStyle="1" w:styleId="197">
    <w:name w:val="列出段落4"/>
    <w:basedOn w:val="1"/>
    <w:qFormat/>
    <w:uiPriority w:val="0"/>
    <w:pPr>
      <w:ind w:firstLine="420" w:firstLineChars="200"/>
    </w:pPr>
    <w:rPr>
      <w:rFonts w:ascii="Calibri" w:hAnsi="Calibri" w:eastAsia="宋体" w:cs="Times New Roman"/>
    </w:rPr>
  </w:style>
  <w:style w:type="paragraph" w:customStyle="1" w:styleId="198">
    <w:name w:val="列出段落5"/>
    <w:basedOn w:val="1"/>
    <w:qFormat/>
    <w:uiPriority w:val="34"/>
    <w:pPr>
      <w:ind w:firstLine="420" w:firstLineChars="200"/>
    </w:pPr>
    <w:rPr>
      <w:rFonts w:ascii="Calibri" w:hAnsi="Calibri" w:eastAsia="宋体" w:cs="Times New Roman"/>
    </w:rPr>
  </w:style>
  <w:style w:type="paragraph" w:customStyle="1" w:styleId="199">
    <w:name w:val="Pic标题"/>
    <w:next w:val="1"/>
    <w:qFormat/>
    <w:uiPriority w:val="0"/>
    <w:pPr>
      <w:jc w:val="center"/>
    </w:pPr>
    <w:rPr>
      <w:rFonts w:ascii="仿宋" w:hAnsi="仿宋" w:eastAsia="仿宋" w:cs="Times New Roman"/>
      <w:b/>
      <w:sz w:val="22"/>
      <w:lang w:val="en-US" w:eastAsia="zh-CN" w:bidi="ar-SA"/>
    </w:rPr>
  </w:style>
  <w:style w:type="paragraph" w:customStyle="1" w:styleId="200">
    <w:name w:val="列出段落6"/>
    <w:basedOn w:val="1"/>
    <w:qFormat/>
    <w:uiPriority w:val="0"/>
    <w:pPr>
      <w:ind w:firstLine="420" w:firstLineChars="200"/>
    </w:pPr>
    <w:rPr>
      <w:rFonts w:ascii="Calibri" w:hAnsi="Calibri" w:eastAsia="宋体" w:cs="Times New Roman"/>
    </w:rPr>
  </w:style>
  <w:style w:type="character" w:customStyle="1" w:styleId="201">
    <w:name w:val="批注文字 字符1"/>
    <w:basedOn w:val="136"/>
    <w:qFormat/>
    <w:uiPriority w:val="99"/>
  </w:style>
  <w:style w:type="character" w:customStyle="1" w:styleId="202">
    <w:name w:val="批注主题 字符1"/>
    <w:basedOn w:val="201"/>
    <w:qFormat/>
    <w:uiPriority w:val="99"/>
    <w:rPr>
      <w:b/>
      <w:bCs/>
    </w:rPr>
  </w:style>
  <w:style w:type="character" w:customStyle="1" w:styleId="203">
    <w:name w:val="文档结构图 字符1"/>
    <w:basedOn w:val="136"/>
    <w:qFormat/>
    <w:uiPriority w:val="99"/>
    <w:rPr>
      <w:rFonts w:ascii="Microsoft YaHei UI" w:eastAsia="Microsoft YaHei UI"/>
      <w:sz w:val="18"/>
      <w:szCs w:val="18"/>
    </w:rPr>
  </w:style>
  <w:style w:type="character" w:customStyle="1" w:styleId="204">
    <w:name w:val="apple-converted-space"/>
    <w:qFormat/>
    <w:uiPriority w:val="0"/>
  </w:style>
  <w:style w:type="paragraph" w:customStyle="1" w:styleId="205">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6">
    <w:name w:val="HTML 预设格式 字符1"/>
    <w:basedOn w:val="136"/>
    <w:semiHidden/>
    <w:qFormat/>
    <w:uiPriority w:val="99"/>
    <w:rPr>
      <w:rFonts w:ascii="Courier New" w:hAnsi="Courier New" w:cs="Courier New"/>
      <w:sz w:val="20"/>
      <w:szCs w:val="20"/>
    </w:rPr>
  </w:style>
  <w:style w:type="character" w:customStyle="1" w:styleId="207">
    <w:name w:val="keyword"/>
    <w:qFormat/>
    <w:uiPriority w:val="0"/>
  </w:style>
  <w:style w:type="character" w:customStyle="1" w:styleId="208">
    <w:name w:val="纯文本 字符1"/>
    <w:basedOn w:val="136"/>
    <w:qFormat/>
    <w:uiPriority w:val="0"/>
    <w:rPr>
      <w:rFonts w:hAnsi="Courier New" w:cs="Courier New" w:asciiTheme="minorEastAsia"/>
    </w:rPr>
  </w:style>
  <w:style w:type="paragraph" w:customStyle="1" w:styleId="209">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
    <w:name w:val="列出段落11"/>
    <w:basedOn w:val="1"/>
    <w:qFormat/>
    <w:uiPriority w:val="0"/>
    <w:pPr>
      <w:ind w:firstLine="420" w:firstLineChars="200"/>
    </w:pPr>
    <w:rPr>
      <w:rFonts w:ascii="Calibri" w:hAnsi="Calibri" w:eastAsia="宋体" w:cs="Times New Roman"/>
    </w:rPr>
  </w:style>
  <w:style w:type="paragraph" w:customStyle="1" w:styleId="211">
    <w:name w:val="列出段落8"/>
    <w:basedOn w:val="1"/>
    <w:qFormat/>
    <w:uiPriority w:val="0"/>
    <w:pPr>
      <w:ind w:firstLine="420" w:firstLineChars="200"/>
    </w:pPr>
    <w:rPr>
      <w:rFonts w:ascii="Calibri" w:hAnsi="Calibri" w:eastAsia="宋体" w:cs="Times New Roman"/>
    </w:rPr>
  </w:style>
  <w:style w:type="character" w:customStyle="1" w:styleId="212">
    <w:name w:val="未处理的提及1"/>
    <w:unhideWhenUsed/>
    <w:qFormat/>
    <w:uiPriority w:val="99"/>
    <w:rPr>
      <w:color w:val="605E5C"/>
      <w:shd w:val="clear" w:color="auto" w:fill="E1DFDD"/>
    </w:rPr>
  </w:style>
  <w:style w:type="paragraph" w:customStyle="1" w:styleId="213">
    <w:name w:val="TOC 标题2"/>
    <w:basedOn w:val="4"/>
    <w:next w:val="1"/>
    <w:unhideWhenUsed/>
    <w:qFormat/>
    <w:uiPriority w:val="39"/>
    <w:pPr>
      <w:widowControl/>
      <w:numPr>
        <w:numId w:val="0"/>
      </w:numPr>
      <w:spacing w:before="240" w:after="0" w:line="259" w:lineRule="auto"/>
      <w:jc w:val="left"/>
      <w:outlineLvl w:val="9"/>
    </w:pPr>
    <w:rPr>
      <w:rFonts w:ascii="等线 Light" w:hAnsi="等线 Light" w:eastAsia="等线 Light" w:cs="Times New Roman"/>
      <w:b w:val="0"/>
      <w:bCs w:val="0"/>
      <w:color w:val="2F5496"/>
      <w:kern w:val="0"/>
    </w:rPr>
  </w:style>
  <w:style w:type="character" w:customStyle="1" w:styleId="214">
    <w:name w:val="bjh-h3"/>
    <w:qFormat/>
    <w:uiPriority w:val="0"/>
  </w:style>
  <w:style w:type="character" w:customStyle="1" w:styleId="215">
    <w:name w:val="bjh-p"/>
    <w:qFormat/>
    <w:uiPriority w:val="0"/>
  </w:style>
  <w:style w:type="character" w:customStyle="1" w:styleId="216">
    <w:name w:val="bjh-strong"/>
    <w:qFormat/>
    <w:uiPriority w:val="0"/>
  </w:style>
  <w:style w:type="character" w:customStyle="1" w:styleId="217">
    <w:name w:val="图片样式 字符"/>
    <w:link w:val="218"/>
    <w:qFormat/>
    <w:uiPriority w:val="0"/>
    <w:rPr>
      <w:sz w:val="24"/>
    </w:rPr>
  </w:style>
  <w:style w:type="paragraph" w:customStyle="1" w:styleId="218">
    <w:name w:val="图片样式"/>
    <w:basedOn w:val="1"/>
    <w:link w:val="217"/>
    <w:qFormat/>
    <w:uiPriority w:val="0"/>
    <w:pPr>
      <w:spacing w:line="360" w:lineRule="auto"/>
      <w:jc w:val="center"/>
    </w:pPr>
    <w:rPr>
      <w:sz w:val="24"/>
    </w:rPr>
  </w:style>
  <w:style w:type="character" w:customStyle="1" w:styleId="219">
    <w:name w:val="台头 字符"/>
    <w:link w:val="220"/>
    <w:qFormat/>
    <w:uiPriority w:val="0"/>
    <w:rPr>
      <w:rFonts w:ascii="宋体" w:hAnsi="宋体"/>
      <w:sz w:val="24"/>
      <w:szCs w:val="21"/>
    </w:rPr>
  </w:style>
  <w:style w:type="paragraph" w:customStyle="1" w:styleId="220">
    <w:name w:val="台头"/>
    <w:basedOn w:val="29"/>
    <w:link w:val="219"/>
    <w:qFormat/>
    <w:uiPriority w:val="0"/>
    <w:pPr>
      <w:spacing w:before="0" w:line="240" w:lineRule="auto"/>
      <w:ind w:firstLine="200" w:firstLineChars="200"/>
      <w:jc w:val="left"/>
    </w:pPr>
    <w:rPr>
      <w:rFonts w:ascii="宋体" w:hAnsi="宋体" w:eastAsiaTheme="minorEastAsia" w:cstheme="minorBidi"/>
      <w:sz w:val="24"/>
      <w:szCs w:val="21"/>
    </w:rPr>
  </w:style>
  <w:style w:type="paragraph" w:styleId="221">
    <w:name w:val="No Spacing"/>
    <w:link w:val="222"/>
    <w:qFormat/>
    <w:uiPriority w:val="0"/>
    <w:pPr>
      <w:widowControl w:val="0"/>
      <w:jc w:val="both"/>
    </w:pPr>
    <w:rPr>
      <w:rFonts w:eastAsia="仿宋" w:asciiTheme="minorHAnsi" w:hAnsiTheme="minorHAnsi" w:cstheme="minorBidi"/>
      <w:kern w:val="2"/>
      <w:sz w:val="24"/>
      <w:szCs w:val="22"/>
      <w:lang w:val="en-US" w:eastAsia="zh-CN" w:bidi="ar-SA"/>
    </w:rPr>
  </w:style>
  <w:style w:type="character" w:customStyle="1" w:styleId="222">
    <w:name w:val="无间隔 字符"/>
    <w:basedOn w:val="136"/>
    <w:link w:val="221"/>
    <w:qFormat/>
    <w:uiPriority w:val="9"/>
    <w:rPr>
      <w:rFonts w:eastAsia="仿宋"/>
      <w:kern w:val="2"/>
      <w:sz w:val="24"/>
      <w:szCs w:val="22"/>
    </w:rPr>
  </w:style>
  <w:style w:type="paragraph" w:customStyle="1" w:styleId="223">
    <w:name w:val="图片名"/>
    <w:basedOn w:val="1"/>
    <w:link w:val="224"/>
    <w:qFormat/>
    <w:uiPriority w:val="0"/>
    <w:pPr>
      <w:spacing w:line="360" w:lineRule="auto"/>
      <w:ind w:firstLine="420" w:firstLineChars="200"/>
      <w:jc w:val="center"/>
    </w:pPr>
    <w:rPr>
      <w:rFonts w:eastAsia="宋体"/>
      <w:b/>
      <w:sz w:val="24"/>
    </w:rPr>
  </w:style>
  <w:style w:type="character" w:customStyle="1" w:styleId="224">
    <w:name w:val="图片名 字符"/>
    <w:basedOn w:val="136"/>
    <w:link w:val="223"/>
    <w:qFormat/>
    <w:uiPriority w:val="0"/>
    <w:rPr>
      <w:rFonts w:eastAsia="宋体"/>
      <w:b/>
      <w:sz w:val="24"/>
    </w:rPr>
  </w:style>
  <w:style w:type="paragraph" w:customStyle="1" w:styleId="225">
    <w:name w:val="附文点"/>
    <w:basedOn w:val="6"/>
    <w:link w:val="226"/>
    <w:qFormat/>
    <w:uiPriority w:val="0"/>
    <w:pPr>
      <w:numPr>
        <w:ilvl w:val="0"/>
        <w:numId w:val="12"/>
      </w:numPr>
    </w:pPr>
  </w:style>
  <w:style w:type="character" w:customStyle="1" w:styleId="226">
    <w:name w:val="附文点 字符"/>
    <w:basedOn w:val="155"/>
    <w:link w:val="225"/>
    <w:qFormat/>
    <w:uiPriority w:val="0"/>
    <w:rPr>
      <w:rFonts w:ascii="Calibri" w:hAnsi="Calibri" w:eastAsia="宋体" w:cs="Times New Roman"/>
      <w:kern w:val="2"/>
      <w:sz w:val="24"/>
      <w:szCs w:val="24"/>
    </w:rPr>
  </w:style>
  <w:style w:type="paragraph" w:customStyle="1" w:styleId="227">
    <w:name w:val="附文1）"/>
    <w:basedOn w:val="175"/>
    <w:link w:val="228"/>
    <w:qFormat/>
    <w:uiPriority w:val="0"/>
    <w:pPr>
      <w:widowControl/>
      <w:numPr>
        <w:ilvl w:val="0"/>
        <w:numId w:val="13"/>
      </w:numPr>
      <w:adjustRightInd w:val="0"/>
      <w:snapToGrid w:val="0"/>
      <w:spacing w:before="156" w:after="156" w:line="360" w:lineRule="auto"/>
      <w:ind w:firstLine="0" w:firstLineChars="0"/>
      <w:jc w:val="left"/>
    </w:pPr>
    <w:rPr>
      <w:rFonts w:ascii="宋体" w:hAnsi="宋体" w:eastAsia="宋体"/>
      <w:sz w:val="24"/>
      <w:szCs w:val="21"/>
    </w:rPr>
  </w:style>
  <w:style w:type="character" w:customStyle="1" w:styleId="228">
    <w:name w:val="附文1） 字符"/>
    <w:basedOn w:val="176"/>
    <w:link w:val="227"/>
    <w:qFormat/>
    <w:uiPriority w:val="0"/>
    <w:rPr>
      <w:rFonts w:ascii="宋体" w:hAnsi="宋体" w:cstheme="minorBidi"/>
      <w:kern w:val="2"/>
      <w:sz w:val="24"/>
      <w:szCs w:val="21"/>
    </w:rPr>
  </w:style>
  <w:style w:type="paragraph" w:customStyle="1" w:styleId="229">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0">
    <w:name w:val="标题 1_1"/>
    <w:basedOn w:val="229"/>
    <w:next w:val="229"/>
    <w:qFormat/>
    <w:uiPriority w:val="0"/>
    <w:pPr>
      <w:keepNext/>
      <w:keepLines/>
      <w:numPr>
        <w:ilvl w:val="2"/>
        <w:numId w:val="14"/>
      </w:numPr>
      <w:spacing w:before="340" w:after="330" w:line="576" w:lineRule="auto"/>
      <w:outlineLvl w:val="0"/>
    </w:pPr>
    <w:rPr>
      <w:b/>
      <w:bCs/>
      <w:kern w:val="44"/>
      <w:sz w:val="44"/>
      <w:szCs w:val="44"/>
      <w:lang w:val="zh-CN"/>
    </w:rPr>
  </w:style>
  <w:style w:type="paragraph" w:customStyle="1" w:styleId="231">
    <w:name w:val="标题 2_1"/>
    <w:basedOn w:val="229"/>
    <w:next w:val="1"/>
    <w:qFormat/>
    <w:uiPriority w:val="0"/>
    <w:pPr>
      <w:keepNext/>
      <w:keepLines/>
      <w:numPr>
        <w:ilvl w:val="1"/>
        <w:numId w:val="14"/>
      </w:numPr>
      <w:adjustRightInd w:val="0"/>
      <w:snapToGrid w:val="0"/>
      <w:spacing w:line="360" w:lineRule="auto"/>
      <w:jc w:val="center"/>
      <w:outlineLvl w:val="1"/>
    </w:pPr>
    <w:rPr>
      <w:rFonts w:ascii="宋体" w:hAnsi="Arial"/>
      <w:kern w:val="0"/>
      <w:sz w:val="32"/>
      <w:szCs w:val="20"/>
      <w:lang w:val="zh-CN"/>
    </w:rPr>
  </w:style>
  <w:style w:type="paragraph" w:customStyle="1" w:styleId="232">
    <w:name w:val="标题 3_1"/>
    <w:basedOn w:val="229"/>
    <w:next w:val="1"/>
    <w:link w:val="233"/>
    <w:qFormat/>
    <w:uiPriority w:val="0"/>
    <w:pPr>
      <w:tabs>
        <w:tab w:val="left" w:pos="851"/>
      </w:tabs>
      <w:autoSpaceDE w:val="0"/>
      <w:autoSpaceDN w:val="0"/>
      <w:adjustRightInd w:val="0"/>
      <w:snapToGrid w:val="0"/>
      <w:spacing w:line="360" w:lineRule="auto"/>
      <w:outlineLvl w:val="2"/>
    </w:pPr>
    <w:rPr>
      <w:rFonts w:ascii="宋体"/>
      <w:kern w:val="0"/>
      <w:sz w:val="20"/>
      <w:szCs w:val="20"/>
      <w:lang w:val="zh-CN"/>
    </w:rPr>
  </w:style>
  <w:style w:type="character" w:customStyle="1" w:styleId="233">
    <w:name w:val="标题 3 Char2"/>
    <w:link w:val="232"/>
    <w:qFormat/>
    <w:uiPriority w:val="9"/>
    <w:rPr>
      <w:rFonts w:ascii="宋体" w:hAnsi="Calibri" w:eastAsia="宋体" w:cs="Times New Roman"/>
      <w:lang w:val="zh-CN"/>
    </w:rPr>
  </w:style>
  <w:style w:type="paragraph" w:customStyle="1" w:styleId="234">
    <w:name w:val="标题 4_0"/>
    <w:basedOn w:val="229"/>
    <w:next w:val="1"/>
    <w:qFormat/>
    <w:uiPriority w:val="0"/>
    <w:pPr>
      <w:autoSpaceDE w:val="0"/>
      <w:autoSpaceDN w:val="0"/>
      <w:adjustRightInd w:val="0"/>
      <w:snapToGrid w:val="0"/>
      <w:spacing w:line="360" w:lineRule="auto"/>
      <w:outlineLvl w:val="3"/>
    </w:pPr>
    <w:rPr>
      <w:rFonts w:ascii="宋体" w:hAnsi="Arial"/>
      <w:color w:val="000000"/>
      <w:kern w:val="0"/>
      <w:sz w:val="20"/>
      <w:szCs w:val="20"/>
      <w:lang w:val="zh-CN"/>
    </w:rPr>
  </w:style>
  <w:style w:type="paragraph" w:customStyle="1" w:styleId="235">
    <w:name w:val="标题 5_0"/>
    <w:basedOn w:val="229"/>
    <w:next w:val="1"/>
    <w:qFormat/>
    <w:uiPriority w:val="0"/>
    <w:pPr>
      <w:keepNext/>
      <w:numPr>
        <w:ilvl w:val="6"/>
        <w:numId w:val="14"/>
      </w:numPr>
      <w:autoSpaceDE w:val="0"/>
      <w:autoSpaceDN w:val="0"/>
      <w:adjustRightInd w:val="0"/>
      <w:snapToGrid w:val="0"/>
      <w:spacing w:before="280" w:after="290" w:line="374" w:lineRule="auto"/>
      <w:outlineLvl w:val="4"/>
    </w:pPr>
    <w:rPr>
      <w:rFonts w:ascii="宋体"/>
      <w:b/>
      <w:color w:val="000000"/>
      <w:kern w:val="0"/>
      <w:sz w:val="28"/>
      <w:szCs w:val="20"/>
      <w:lang w:val="zh-CN"/>
    </w:rPr>
  </w:style>
  <w:style w:type="paragraph" w:customStyle="1" w:styleId="236">
    <w:name w:val="标题 6_0"/>
    <w:basedOn w:val="229"/>
    <w:next w:val="1"/>
    <w:qFormat/>
    <w:uiPriority w:val="0"/>
    <w:pPr>
      <w:keepNext/>
      <w:autoSpaceDE w:val="0"/>
      <w:autoSpaceDN w:val="0"/>
      <w:adjustRightInd w:val="0"/>
      <w:snapToGrid w:val="0"/>
      <w:spacing w:before="240" w:after="64" w:line="319" w:lineRule="auto"/>
      <w:ind w:left="284" w:hanging="284"/>
      <w:outlineLvl w:val="5"/>
    </w:pPr>
    <w:rPr>
      <w:rFonts w:ascii="Arial" w:hAnsi="Arial"/>
      <w:b/>
      <w:color w:val="000000"/>
      <w:kern w:val="0"/>
      <w:sz w:val="24"/>
      <w:szCs w:val="20"/>
      <w:lang w:val="zh-CN"/>
    </w:rPr>
  </w:style>
  <w:style w:type="paragraph" w:customStyle="1" w:styleId="237">
    <w:name w:val="标题 7_0"/>
    <w:basedOn w:val="229"/>
    <w:next w:val="1"/>
    <w:qFormat/>
    <w:uiPriority w:val="0"/>
    <w:pPr>
      <w:keepNext/>
      <w:autoSpaceDE w:val="0"/>
      <w:autoSpaceDN w:val="0"/>
      <w:adjustRightInd w:val="0"/>
      <w:snapToGrid w:val="0"/>
      <w:spacing w:before="240" w:after="64" w:line="319" w:lineRule="auto"/>
      <w:ind w:left="1296" w:hanging="1296"/>
      <w:outlineLvl w:val="6"/>
    </w:pPr>
    <w:rPr>
      <w:rFonts w:ascii="宋体"/>
      <w:b/>
      <w:color w:val="000000"/>
      <w:kern w:val="0"/>
      <w:sz w:val="24"/>
      <w:szCs w:val="20"/>
      <w:lang w:val="zh-CN"/>
    </w:rPr>
  </w:style>
  <w:style w:type="paragraph" w:customStyle="1" w:styleId="238">
    <w:name w:val="标题 8_0"/>
    <w:basedOn w:val="229"/>
    <w:next w:val="1"/>
    <w:qFormat/>
    <w:uiPriority w:val="0"/>
    <w:pPr>
      <w:keepNext/>
      <w:autoSpaceDE w:val="0"/>
      <w:autoSpaceDN w:val="0"/>
      <w:adjustRightInd w:val="0"/>
      <w:snapToGrid w:val="0"/>
      <w:spacing w:before="240" w:after="64" w:line="319" w:lineRule="auto"/>
      <w:ind w:left="1440" w:hanging="1440"/>
      <w:outlineLvl w:val="7"/>
    </w:pPr>
    <w:rPr>
      <w:rFonts w:ascii="Arial" w:hAnsi="Arial" w:eastAsia="黑体"/>
      <w:color w:val="000000"/>
      <w:kern w:val="0"/>
      <w:sz w:val="24"/>
      <w:szCs w:val="20"/>
      <w:lang w:val="zh-CN"/>
    </w:rPr>
  </w:style>
  <w:style w:type="paragraph" w:customStyle="1" w:styleId="239">
    <w:name w:val="标题 9_0"/>
    <w:basedOn w:val="229"/>
    <w:next w:val="1"/>
    <w:qFormat/>
    <w:uiPriority w:val="0"/>
    <w:pPr>
      <w:keepNext/>
      <w:autoSpaceDE w:val="0"/>
      <w:autoSpaceDN w:val="0"/>
      <w:adjustRightInd w:val="0"/>
      <w:snapToGrid w:val="0"/>
      <w:spacing w:before="240" w:after="64" w:line="319" w:lineRule="auto"/>
      <w:ind w:left="1584" w:hanging="1584"/>
      <w:outlineLvl w:val="8"/>
    </w:pPr>
    <w:rPr>
      <w:rFonts w:ascii="Arial" w:hAnsi="Arial" w:eastAsia="黑体"/>
      <w:color w:val="000000"/>
      <w:kern w:val="0"/>
      <w:sz w:val="20"/>
      <w:szCs w:val="20"/>
      <w:lang w:val="zh-CN"/>
    </w:rPr>
  </w:style>
  <w:style w:type="table" w:customStyle="1" w:styleId="240">
    <w:name w:val="网格型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1">
    <w:name w:val="本文項目"/>
    <w:basedOn w:val="1"/>
    <w:qFormat/>
    <w:uiPriority w:val="0"/>
    <w:pPr>
      <w:numPr>
        <w:ilvl w:val="0"/>
        <w:numId w:val="15"/>
      </w:numPr>
      <w:autoSpaceDE w:val="0"/>
      <w:autoSpaceDN w:val="0"/>
      <w:adjustRightInd w:val="0"/>
      <w:spacing w:line="360" w:lineRule="auto"/>
      <w:textAlignment w:val="baseline"/>
    </w:pPr>
    <w:rPr>
      <w:rFonts w:ascii="Times New Roman" w:hAnsi="Times New Roman" w:eastAsia="宋体" w:cs="Times New Roman"/>
      <w:b/>
      <w:kern w:val="0"/>
      <w:sz w:val="24"/>
      <w:szCs w:val="24"/>
    </w:rPr>
  </w:style>
  <w:style w:type="character" w:customStyle="1" w:styleId="242">
    <w:name w:val="正 文 Char"/>
    <w:link w:val="243"/>
    <w:qFormat/>
    <w:uiPriority w:val="0"/>
    <w:rPr>
      <w:sz w:val="24"/>
      <w:szCs w:val="24"/>
    </w:rPr>
  </w:style>
  <w:style w:type="paragraph" w:customStyle="1" w:styleId="243">
    <w:name w:val="正 文"/>
    <w:basedOn w:val="1"/>
    <w:link w:val="242"/>
    <w:qFormat/>
    <w:uiPriority w:val="0"/>
    <w:pPr>
      <w:widowControl/>
      <w:tabs>
        <w:tab w:val="left" w:pos="0"/>
      </w:tabs>
      <w:spacing w:line="360" w:lineRule="auto"/>
      <w:ind w:firstLine="480" w:firstLineChars="200"/>
      <w:jc w:val="left"/>
    </w:pPr>
    <w:rPr>
      <w:kern w:val="0"/>
      <w:sz w:val="24"/>
      <w:szCs w:val="24"/>
    </w:rPr>
  </w:style>
  <w:style w:type="paragraph" w:customStyle="1" w:styleId="244">
    <w:name w:val="正文1"/>
    <w:basedOn w:val="1"/>
    <w:link w:val="245"/>
    <w:qFormat/>
    <w:uiPriority w:val="0"/>
    <w:pPr>
      <w:widowControl/>
      <w:spacing w:line="360" w:lineRule="auto"/>
      <w:ind w:firstLine="480" w:firstLineChars="200"/>
      <w:jc w:val="left"/>
    </w:pPr>
    <w:rPr>
      <w:rFonts w:ascii="仿宋" w:hAnsi="仿宋" w:eastAsia="仿宋" w:cs="Times New Roman"/>
      <w:sz w:val="24"/>
      <w:szCs w:val="24"/>
    </w:rPr>
  </w:style>
  <w:style w:type="character" w:customStyle="1" w:styleId="245">
    <w:name w:val="正文1 Char"/>
    <w:link w:val="244"/>
    <w:qFormat/>
    <w:uiPriority w:val="0"/>
    <w:rPr>
      <w:rFonts w:ascii="仿宋" w:hAnsi="仿宋" w:eastAsia="仿宋" w:cs="Times New Roman"/>
      <w:kern w:val="2"/>
      <w:sz w:val="24"/>
      <w:szCs w:val="24"/>
    </w:rPr>
  </w:style>
  <w:style w:type="paragraph" w:customStyle="1" w:styleId="246">
    <w:name w:val="正文 首行缩进:2字符"/>
    <w:basedOn w:val="1"/>
    <w:qFormat/>
    <w:uiPriority w:val="0"/>
    <w:pPr>
      <w:spacing w:line="360" w:lineRule="auto"/>
      <w:ind w:firstLine="480" w:firstLineChars="200"/>
    </w:pPr>
    <w:rPr>
      <w:rFonts w:ascii="宋体" w:hAnsi="宋体" w:eastAsia="宋体" w:cs="宋体"/>
      <w:sz w:val="24"/>
      <w:szCs w:val="20"/>
    </w:rPr>
  </w:style>
  <w:style w:type="paragraph" w:customStyle="1" w:styleId="247">
    <w:name w:val="列出段落9"/>
    <w:basedOn w:val="1"/>
    <w:qFormat/>
    <w:uiPriority w:val="0"/>
    <w:pPr>
      <w:ind w:firstLine="420" w:firstLineChars="200"/>
    </w:pPr>
    <w:rPr>
      <w:rFonts w:ascii="Calibri" w:hAnsi="Calibri" w:eastAsia="宋体" w:cs="Times New Roman"/>
    </w:rPr>
  </w:style>
  <w:style w:type="paragraph" w:customStyle="1" w:styleId="248">
    <w:name w:val="初设正文"/>
    <w:basedOn w:val="1"/>
    <w:qFormat/>
    <w:uiPriority w:val="0"/>
    <w:pPr>
      <w:wordWrap w:val="0"/>
      <w:spacing w:beforeLines="50" w:line="360" w:lineRule="auto"/>
      <w:ind w:firstLine="200" w:firstLineChars="200"/>
    </w:pPr>
    <w:rPr>
      <w:rFonts w:ascii="Calibri" w:hAnsi="Calibri" w:eastAsia="仿宋" w:cs="宋体"/>
      <w:color w:val="000000"/>
      <w:sz w:val="28"/>
      <w:szCs w:val="21"/>
      <w:lang w:val="zh-CN"/>
    </w:rPr>
  </w:style>
  <w:style w:type="paragraph" w:customStyle="1" w:styleId="249">
    <w:name w:val="!正文"/>
    <w:basedOn w:val="1"/>
    <w:link w:val="284"/>
    <w:qFormat/>
    <w:uiPriority w:val="0"/>
    <w:pPr>
      <w:spacing w:line="360" w:lineRule="auto"/>
      <w:ind w:firstLine="560" w:firstLineChars="200"/>
    </w:pPr>
    <w:rPr>
      <w:rFonts w:ascii="Calibri" w:hAnsi="Calibri" w:eastAsia="仿宋" w:cs="宋体"/>
      <w:color w:val="000000"/>
      <w:sz w:val="28"/>
    </w:rPr>
  </w:style>
  <w:style w:type="character" w:customStyle="1" w:styleId="250">
    <w:name w:val="列出段落 Char"/>
    <w:link w:val="251"/>
    <w:qFormat/>
    <w:uiPriority w:val="34"/>
    <w:rPr>
      <w:rFonts w:ascii="Calibri" w:hAnsi="Calibri" w:eastAsia="宋体" w:cs="Times New Roman"/>
      <w:sz w:val="24"/>
    </w:rPr>
  </w:style>
  <w:style w:type="paragraph" w:customStyle="1" w:styleId="251">
    <w:name w:val="编号"/>
    <w:basedOn w:val="1"/>
    <w:link w:val="250"/>
    <w:qFormat/>
    <w:uiPriority w:val="34"/>
    <w:pPr>
      <w:tabs>
        <w:tab w:val="left" w:pos="397"/>
      </w:tabs>
      <w:ind w:left="900" w:hanging="420"/>
    </w:pPr>
    <w:rPr>
      <w:rFonts w:ascii="Calibri" w:hAnsi="Calibri" w:eastAsia="宋体" w:cs="Times New Roman"/>
      <w:kern w:val="0"/>
      <w:sz w:val="24"/>
      <w:szCs w:val="20"/>
    </w:rPr>
  </w:style>
  <w:style w:type="character" w:customStyle="1" w:styleId="252">
    <w:name w:val="正文李杰 Char"/>
    <w:link w:val="253"/>
    <w:qFormat/>
    <w:uiPriority w:val="0"/>
    <w:rPr>
      <w:rFonts w:ascii="宋体" w:hAnsi="宋体"/>
      <w:szCs w:val="21"/>
    </w:rPr>
  </w:style>
  <w:style w:type="paragraph" w:customStyle="1" w:styleId="253">
    <w:name w:val="正文李杰"/>
    <w:basedOn w:val="55"/>
    <w:link w:val="252"/>
    <w:qFormat/>
    <w:uiPriority w:val="0"/>
    <w:pPr>
      <w:widowControl/>
      <w:spacing w:after="0" w:line="360" w:lineRule="auto"/>
      <w:ind w:left="0" w:leftChars="0" w:firstLine="420" w:firstLineChars="200"/>
    </w:pPr>
    <w:rPr>
      <w:rFonts w:ascii="宋体" w:hAnsi="宋体"/>
      <w:kern w:val="0"/>
      <w:sz w:val="20"/>
      <w:szCs w:val="21"/>
    </w:rPr>
  </w:style>
  <w:style w:type="character" w:customStyle="1" w:styleId="254">
    <w:name w:val="正文文本缩进 2 字符"/>
    <w:basedOn w:val="136"/>
    <w:link w:val="55"/>
    <w:qFormat/>
    <w:uiPriority w:val="0"/>
    <w:rPr>
      <w:kern w:val="2"/>
      <w:sz w:val="21"/>
      <w:szCs w:val="22"/>
    </w:rPr>
  </w:style>
  <w:style w:type="paragraph" w:customStyle="1" w:styleId="255">
    <w:name w:val="_正文"/>
    <w:basedOn w:val="1"/>
    <w:link w:val="256"/>
    <w:qFormat/>
    <w:uiPriority w:val="0"/>
    <w:pPr>
      <w:spacing w:line="360" w:lineRule="auto"/>
      <w:ind w:firstLine="480" w:firstLineChars="200"/>
    </w:pPr>
    <w:rPr>
      <w:rFonts w:ascii="宋体" w:hAnsi="宋体" w:eastAsia="宋体" w:cs="Times New Roman"/>
      <w:sz w:val="24"/>
      <w:szCs w:val="24"/>
    </w:rPr>
  </w:style>
  <w:style w:type="character" w:customStyle="1" w:styleId="256">
    <w:name w:val="_正文 Char"/>
    <w:link w:val="255"/>
    <w:qFormat/>
    <w:locked/>
    <w:uiPriority w:val="0"/>
    <w:rPr>
      <w:rFonts w:ascii="宋体" w:hAnsi="宋体" w:eastAsia="宋体" w:cs="Times New Roman"/>
      <w:kern w:val="2"/>
      <w:sz w:val="24"/>
      <w:szCs w:val="24"/>
    </w:rPr>
  </w:style>
  <w:style w:type="character" w:customStyle="1" w:styleId="257">
    <w:name w:val="样式3正文 Char"/>
    <w:link w:val="258"/>
    <w:qFormat/>
    <w:uiPriority w:val="0"/>
    <w:rPr>
      <w:rFonts w:ascii="宋体" w:hAnsi="宋体"/>
      <w:kern w:val="2"/>
      <w:sz w:val="21"/>
      <w:szCs w:val="21"/>
    </w:rPr>
  </w:style>
  <w:style w:type="paragraph" w:customStyle="1" w:styleId="258">
    <w:name w:val="样式3正文"/>
    <w:basedOn w:val="1"/>
    <w:link w:val="257"/>
    <w:qFormat/>
    <w:uiPriority w:val="0"/>
    <w:pPr>
      <w:spacing w:line="360" w:lineRule="auto"/>
      <w:ind w:firstLine="200" w:firstLineChars="200"/>
    </w:pPr>
    <w:rPr>
      <w:rFonts w:ascii="宋体" w:hAnsi="宋体"/>
      <w:szCs w:val="21"/>
    </w:rPr>
  </w:style>
  <w:style w:type="paragraph" w:customStyle="1" w:styleId="259">
    <w:name w:val="样式 仿宋_GB2312 (符号) 宋体 三号 首行缩进:  2 字符 行距: 1.5 倍行距"/>
    <w:basedOn w:val="1"/>
    <w:qFormat/>
    <w:uiPriority w:val="0"/>
    <w:pPr>
      <w:spacing w:line="360" w:lineRule="auto"/>
      <w:ind w:firstLine="640" w:firstLineChars="200"/>
    </w:pPr>
    <w:rPr>
      <w:rFonts w:ascii="仿宋_GB2312" w:hAnsi="宋体" w:eastAsia="仿宋_GB2312" w:cs="宋体"/>
      <w:sz w:val="32"/>
      <w:szCs w:val="20"/>
    </w:rPr>
  </w:style>
  <w:style w:type="paragraph" w:customStyle="1" w:styleId="260">
    <w:name w:val="a"/>
    <w:basedOn w:val="1"/>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261">
    <w:name w:val="!BECC正文 Char"/>
    <w:link w:val="262"/>
    <w:qFormat/>
    <w:locked/>
    <w:uiPriority w:val="0"/>
    <w:rPr>
      <w:rFonts w:eastAsia="宋体"/>
      <w:sz w:val="24"/>
    </w:rPr>
  </w:style>
  <w:style w:type="paragraph" w:customStyle="1" w:styleId="262">
    <w:name w:val="!BECC正文"/>
    <w:basedOn w:val="1"/>
    <w:link w:val="261"/>
    <w:qFormat/>
    <w:uiPriority w:val="0"/>
    <w:pPr>
      <w:tabs>
        <w:tab w:val="left" w:pos="0"/>
      </w:tabs>
      <w:spacing w:beforeLines="50" w:afterLines="50" w:line="360" w:lineRule="auto"/>
      <w:ind w:firstLine="200" w:firstLineChars="200"/>
    </w:pPr>
    <w:rPr>
      <w:rFonts w:eastAsia="宋体"/>
      <w:kern w:val="0"/>
      <w:sz w:val="24"/>
      <w:szCs w:val="20"/>
    </w:rPr>
  </w:style>
  <w:style w:type="character" w:customStyle="1" w:styleId="263">
    <w:name w:val="未处理的提及2"/>
    <w:basedOn w:val="136"/>
    <w:unhideWhenUsed/>
    <w:qFormat/>
    <w:uiPriority w:val="99"/>
    <w:rPr>
      <w:color w:val="605E5C"/>
      <w:shd w:val="clear" w:color="auto" w:fill="E1DFDD"/>
    </w:rPr>
  </w:style>
  <w:style w:type="paragraph" w:customStyle="1" w:styleId="264">
    <w:name w:val="FIG1"/>
    <w:qFormat/>
    <w:uiPriority w:val="0"/>
    <w:pPr>
      <w:spacing w:after="50" w:afterLines="50"/>
      <w:jc w:val="center"/>
    </w:pPr>
    <w:rPr>
      <w:rFonts w:ascii="Times New Roman" w:hAnsi="Times New Roman" w:eastAsia="宋体" w:cs="Times New Roman"/>
      <w:b/>
      <w:sz w:val="21"/>
      <w:lang w:val="en-US" w:eastAsia="en-US" w:bidi="ar-SA"/>
    </w:rPr>
  </w:style>
  <w:style w:type="paragraph" w:customStyle="1" w:styleId="265">
    <w:name w:val="标题6"/>
    <w:basedOn w:val="15"/>
    <w:next w:val="183"/>
    <w:qFormat/>
    <w:uiPriority w:val="0"/>
    <w:pPr>
      <w:numPr>
        <w:ilvl w:val="0"/>
        <w:numId w:val="0"/>
      </w:numPr>
      <w:spacing w:before="120" w:after="120" w:line="360" w:lineRule="auto"/>
    </w:pPr>
    <w:rPr>
      <w:rFonts w:ascii="华文楷体" w:hAnsi="华文楷体" w:eastAsia="华文楷体"/>
      <w:b w:val="0"/>
      <w:sz w:val="21"/>
      <w:lang w:val="zh-CN"/>
    </w:rPr>
  </w:style>
  <w:style w:type="paragraph" w:customStyle="1" w:styleId="266">
    <w:name w:val="00-1"/>
    <w:basedOn w:val="1"/>
    <w:next w:val="1"/>
    <w:qFormat/>
    <w:uiPriority w:val="0"/>
    <w:pPr>
      <w:numPr>
        <w:ilvl w:val="0"/>
        <w:numId w:val="16"/>
      </w:numPr>
      <w:spacing w:line="360" w:lineRule="auto"/>
      <w:outlineLvl w:val="0"/>
    </w:pPr>
    <w:rPr>
      <w:rFonts w:ascii="Calibri" w:hAnsi="Calibri" w:eastAsia="黑体" w:cs="Times New Roman"/>
      <w:b/>
      <w:sz w:val="36"/>
      <w:szCs w:val="36"/>
    </w:rPr>
  </w:style>
  <w:style w:type="paragraph" w:customStyle="1" w:styleId="267">
    <w:name w:val="00-2"/>
    <w:basedOn w:val="1"/>
    <w:next w:val="1"/>
    <w:qFormat/>
    <w:uiPriority w:val="0"/>
    <w:pPr>
      <w:numPr>
        <w:ilvl w:val="1"/>
        <w:numId w:val="16"/>
      </w:numPr>
      <w:spacing w:line="360" w:lineRule="auto"/>
      <w:outlineLvl w:val="1"/>
    </w:pPr>
    <w:rPr>
      <w:rFonts w:ascii="Calibri" w:hAnsi="Calibri" w:eastAsia="黑体" w:cs="Times New Roman"/>
      <w:b/>
      <w:sz w:val="32"/>
      <w:szCs w:val="32"/>
    </w:rPr>
  </w:style>
  <w:style w:type="paragraph" w:customStyle="1" w:styleId="268">
    <w:name w:val="00-3"/>
    <w:basedOn w:val="1"/>
    <w:next w:val="1"/>
    <w:qFormat/>
    <w:uiPriority w:val="0"/>
    <w:pPr>
      <w:numPr>
        <w:ilvl w:val="2"/>
        <w:numId w:val="16"/>
      </w:numPr>
      <w:spacing w:line="360" w:lineRule="auto"/>
      <w:outlineLvl w:val="2"/>
    </w:pPr>
    <w:rPr>
      <w:rFonts w:ascii="Calibri" w:hAnsi="Calibri" w:eastAsia="黑体" w:cs="Times New Roman"/>
      <w:b/>
      <w:sz w:val="30"/>
      <w:szCs w:val="30"/>
    </w:rPr>
  </w:style>
  <w:style w:type="paragraph" w:customStyle="1" w:styleId="269">
    <w:name w:val="00-4"/>
    <w:basedOn w:val="1"/>
    <w:next w:val="1"/>
    <w:qFormat/>
    <w:uiPriority w:val="0"/>
    <w:pPr>
      <w:numPr>
        <w:ilvl w:val="3"/>
        <w:numId w:val="16"/>
      </w:numPr>
      <w:spacing w:line="360" w:lineRule="auto"/>
      <w:outlineLvl w:val="3"/>
    </w:pPr>
    <w:rPr>
      <w:rFonts w:ascii="Calibri" w:hAnsi="Calibri" w:eastAsia="黑体" w:cs="Times New Roman"/>
      <w:b/>
      <w:sz w:val="28"/>
      <w:szCs w:val="28"/>
    </w:rPr>
  </w:style>
  <w:style w:type="paragraph" w:customStyle="1" w:styleId="270">
    <w:name w:val="00-5"/>
    <w:basedOn w:val="1"/>
    <w:next w:val="1"/>
    <w:qFormat/>
    <w:uiPriority w:val="0"/>
    <w:pPr>
      <w:numPr>
        <w:ilvl w:val="4"/>
        <w:numId w:val="16"/>
      </w:numPr>
      <w:spacing w:line="360" w:lineRule="auto"/>
      <w:outlineLvl w:val="4"/>
    </w:pPr>
    <w:rPr>
      <w:rFonts w:ascii="Calibri" w:hAnsi="Calibri" w:eastAsia="黑体" w:cs="Times New Roman"/>
      <w:b/>
      <w:sz w:val="26"/>
      <w:szCs w:val="26"/>
    </w:rPr>
  </w:style>
  <w:style w:type="paragraph" w:customStyle="1" w:styleId="271">
    <w:name w:val="00-6"/>
    <w:basedOn w:val="1"/>
    <w:next w:val="1"/>
    <w:qFormat/>
    <w:uiPriority w:val="0"/>
    <w:pPr>
      <w:numPr>
        <w:ilvl w:val="5"/>
        <w:numId w:val="16"/>
      </w:numPr>
      <w:spacing w:line="360" w:lineRule="auto"/>
      <w:outlineLvl w:val="5"/>
    </w:pPr>
    <w:rPr>
      <w:rFonts w:ascii="Calibri" w:hAnsi="Calibri" w:eastAsia="黑体" w:cs="Times New Roman"/>
      <w:b/>
      <w:sz w:val="24"/>
      <w:szCs w:val="24"/>
    </w:rPr>
  </w:style>
  <w:style w:type="paragraph" w:customStyle="1" w:styleId="272">
    <w:name w:val="00-7"/>
    <w:basedOn w:val="1"/>
    <w:next w:val="1"/>
    <w:qFormat/>
    <w:uiPriority w:val="0"/>
    <w:pPr>
      <w:numPr>
        <w:ilvl w:val="6"/>
        <w:numId w:val="16"/>
      </w:numPr>
      <w:spacing w:line="360" w:lineRule="auto"/>
      <w:outlineLvl w:val="6"/>
    </w:pPr>
    <w:rPr>
      <w:rFonts w:ascii="Cambria" w:hAnsi="Cambria" w:eastAsia="宋体" w:cs="宋体"/>
      <w:b/>
      <w:sz w:val="24"/>
      <w:szCs w:val="24"/>
    </w:rPr>
  </w:style>
  <w:style w:type="character" w:customStyle="1" w:styleId="273">
    <w:name w:val="my正文 Char"/>
    <w:link w:val="274"/>
    <w:qFormat/>
    <w:uiPriority w:val="0"/>
    <w:rPr>
      <w:rFonts w:ascii="Times New Roman" w:hAnsi="Times New Roman"/>
      <w:sz w:val="24"/>
      <w:szCs w:val="24"/>
    </w:rPr>
  </w:style>
  <w:style w:type="paragraph" w:customStyle="1" w:styleId="274">
    <w:name w:val="my正文"/>
    <w:basedOn w:val="1"/>
    <w:link w:val="273"/>
    <w:qFormat/>
    <w:uiPriority w:val="0"/>
    <w:pPr>
      <w:widowControl/>
      <w:spacing w:line="360" w:lineRule="auto"/>
      <w:ind w:firstLine="480" w:firstLineChars="200"/>
      <w:jc w:val="left"/>
    </w:pPr>
    <w:rPr>
      <w:rFonts w:ascii="Times New Roman" w:hAnsi="Times New Roman"/>
      <w:kern w:val="0"/>
      <w:sz w:val="24"/>
      <w:szCs w:val="24"/>
    </w:rPr>
  </w:style>
  <w:style w:type="paragraph" w:customStyle="1" w:styleId="275">
    <w:name w:val="四号正文"/>
    <w:basedOn w:val="1"/>
    <w:qFormat/>
    <w:uiPriority w:val="0"/>
    <w:pPr>
      <w:spacing w:line="360" w:lineRule="auto"/>
      <w:ind w:firstLine="560" w:firstLineChars="200"/>
    </w:pPr>
    <w:rPr>
      <w:rFonts w:ascii="Times New Roman" w:hAnsi="Times New Roman" w:eastAsia="宋体" w:cs="Times New Roman"/>
      <w:sz w:val="24"/>
      <w:szCs w:val="28"/>
    </w:rPr>
  </w:style>
  <w:style w:type="paragraph" w:customStyle="1" w:styleId="276">
    <w:name w:val="正文（绿盟科技）"/>
    <w:link w:val="277"/>
    <w:qFormat/>
    <w:uiPriority w:val="0"/>
    <w:pPr>
      <w:spacing w:line="300" w:lineRule="auto"/>
    </w:pPr>
    <w:rPr>
      <w:rFonts w:ascii="Arial" w:hAnsi="Arial" w:eastAsia="宋体" w:cs="Times New Roman"/>
      <w:sz w:val="24"/>
      <w:szCs w:val="21"/>
      <w:lang w:val="en-US" w:eastAsia="zh-CN" w:bidi="ar-SA"/>
    </w:rPr>
  </w:style>
  <w:style w:type="character" w:customStyle="1" w:styleId="277">
    <w:name w:val="正文（绿盟科技） Char"/>
    <w:link w:val="276"/>
    <w:qFormat/>
    <w:locked/>
    <w:uiPriority w:val="0"/>
    <w:rPr>
      <w:rFonts w:ascii="Arial" w:hAnsi="Arial" w:eastAsia="宋体" w:cs="Times New Roman"/>
      <w:sz w:val="24"/>
      <w:szCs w:val="21"/>
    </w:rPr>
  </w:style>
  <w:style w:type="character" w:customStyle="1" w:styleId="278">
    <w:name w:val="正文文本 字符"/>
    <w:basedOn w:val="136"/>
    <w:link w:val="10"/>
    <w:qFormat/>
    <w:uiPriority w:val="99"/>
    <w:rPr>
      <w:kern w:val="2"/>
      <w:sz w:val="21"/>
      <w:szCs w:val="22"/>
    </w:rPr>
  </w:style>
  <w:style w:type="paragraph" w:customStyle="1" w:styleId="279">
    <w:name w:val="表格标注（绿盟科技）"/>
    <w:basedOn w:val="1"/>
    <w:next w:val="1"/>
    <w:qFormat/>
    <w:uiPriority w:val="0"/>
    <w:pPr>
      <w:widowControl/>
      <w:spacing w:after="156"/>
      <w:jc w:val="center"/>
    </w:pPr>
    <w:rPr>
      <w:rFonts w:ascii="Arial" w:hAnsi="Arial" w:eastAsia="宋体" w:cs="Arial"/>
      <w:kern w:val="0"/>
      <w:szCs w:val="21"/>
    </w:rPr>
  </w:style>
  <w:style w:type="paragraph" w:customStyle="1" w:styleId="280">
    <w:name w:val="标题七"/>
    <w:basedOn w:val="175"/>
    <w:link w:val="1575"/>
    <w:qFormat/>
    <w:uiPriority w:val="6"/>
    <w:pPr>
      <w:spacing w:line="360" w:lineRule="auto"/>
      <w:ind w:firstLine="0" w:firstLineChars="0"/>
      <w:outlineLvl w:val="6"/>
    </w:pPr>
    <w:rPr>
      <w:rFonts w:ascii="宋体" w:hAnsi="宋体" w:eastAsia="宋体" w:cs="Times New Roman"/>
      <w:b/>
      <w:bCs/>
      <w:sz w:val="28"/>
      <w:szCs w:val="28"/>
    </w:rPr>
  </w:style>
  <w:style w:type="paragraph" w:customStyle="1" w:styleId="281">
    <w:name w:val="01正文"/>
    <w:basedOn w:val="1"/>
    <w:link w:val="1920"/>
    <w:qFormat/>
    <w:uiPriority w:val="0"/>
    <w:pPr>
      <w:spacing w:line="360" w:lineRule="auto"/>
      <w:ind w:firstLine="200" w:firstLineChars="200"/>
    </w:pPr>
    <w:rPr>
      <w:rFonts w:ascii="宋体" w:hAnsi="宋体" w:eastAsia="宋体" w:cs="Times New Roman"/>
      <w:sz w:val="28"/>
      <w:szCs w:val="21"/>
    </w:rPr>
  </w:style>
  <w:style w:type="paragraph" w:customStyle="1" w:styleId="282">
    <w:name w:val="正文部分"/>
    <w:basedOn w:val="1"/>
    <w:link w:val="283"/>
    <w:qFormat/>
    <w:uiPriority w:val="0"/>
    <w:pPr>
      <w:spacing w:line="360" w:lineRule="auto"/>
      <w:ind w:firstLine="480" w:firstLineChars="200"/>
    </w:pPr>
    <w:rPr>
      <w:rFonts w:ascii="宋体" w:hAnsi="宋体" w:eastAsia="宋体" w:cs="Times New Roman"/>
      <w:sz w:val="24"/>
      <w:szCs w:val="24"/>
    </w:rPr>
  </w:style>
  <w:style w:type="character" w:customStyle="1" w:styleId="283">
    <w:name w:val="正文部分 字符"/>
    <w:basedOn w:val="136"/>
    <w:link w:val="282"/>
    <w:qFormat/>
    <w:uiPriority w:val="0"/>
    <w:rPr>
      <w:rFonts w:ascii="宋体" w:hAnsi="宋体" w:eastAsia="宋体" w:cs="Times New Roman"/>
      <w:kern w:val="2"/>
      <w:sz w:val="24"/>
      <w:szCs w:val="24"/>
    </w:rPr>
  </w:style>
  <w:style w:type="character" w:customStyle="1" w:styleId="284">
    <w:name w:val="!正文 Char"/>
    <w:link w:val="249"/>
    <w:qFormat/>
    <w:uiPriority w:val="0"/>
    <w:rPr>
      <w:rFonts w:ascii="Calibri" w:hAnsi="Calibri" w:eastAsia="仿宋" w:cs="宋体"/>
      <w:color w:val="000000"/>
      <w:kern w:val="2"/>
      <w:sz w:val="28"/>
      <w:szCs w:val="22"/>
    </w:rPr>
  </w:style>
  <w:style w:type="character" w:customStyle="1" w:styleId="285">
    <w:name w:val="正文舒城 Char"/>
    <w:link w:val="286"/>
    <w:qFormat/>
    <w:uiPriority w:val="0"/>
    <w:rPr>
      <w:rFonts w:ascii="宋体" w:hAnsi="宋体"/>
      <w:sz w:val="28"/>
      <w:szCs w:val="28"/>
    </w:rPr>
  </w:style>
  <w:style w:type="paragraph" w:customStyle="1" w:styleId="286">
    <w:name w:val="正文舒城"/>
    <w:basedOn w:val="1"/>
    <w:link w:val="285"/>
    <w:qFormat/>
    <w:uiPriority w:val="0"/>
    <w:pPr>
      <w:ind w:firstLine="566" w:firstLineChars="202"/>
    </w:pPr>
    <w:rPr>
      <w:rFonts w:ascii="宋体" w:hAnsi="宋体"/>
      <w:kern w:val="0"/>
      <w:sz w:val="28"/>
      <w:szCs w:val="28"/>
    </w:rPr>
  </w:style>
  <w:style w:type="character" w:customStyle="1" w:styleId="287">
    <w:name w:val="普通(网站) 字符"/>
    <w:link w:val="85"/>
    <w:qFormat/>
    <w:locked/>
    <w:uiPriority w:val="99"/>
    <w:rPr>
      <w:rFonts w:ascii="宋体" w:hAnsi="宋体" w:eastAsia="宋体" w:cs="Times New Roman"/>
      <w:color w:val="000000"/>
      <w:sz w:val="24"/>
      <w:szCs w:val="24"/>
    </w:rPr>
  </w:style>
  <w:style w:type="character" w:customStyle="1" w:styleId="288">
    <w:name w:val="正文 Char"/>
    <w:qFormat/>
    <w:uiPriority w:val="99"/>
    <w:rPr>
      <w:rFonts w:cs="Calibri"/>
      <w:kern w:val="2"/>
      <w:sz w:val="21"/>
      <w:szCs w:val="21"/>
    </w:rPr>
  </w:style>
  <w:style w:type="paragraph" w:customStyle="1" w:styleId="289">
    <w:name w:val="图标文字"/>
    <w:basedOn w:val="1"/>
    <w:qFormat/>
    <w:uiPriority w:val="0"/>
    <w:pPr>
      <w:jc w:val="center"/>
    </w:pPr>
    <w:rPr>
      <w:rFonts w:ascii="Times New Roman" w:hAnsi="Times New Roman" w:eastAsia="宋体" w:cs="Times New Roman"/>
      <w:sz w:val="24"/>
      <w:szCs w:val="24"/>
    </w:rPr>
  </w:style>
  <w:style w:type="character" w:customStyle="1" w:styleId="290">
    <w:name w:val="宏文本 字符"/>
    <w:basedOn w:val="136"/>
    <w:link w:val="3"/>
    <w:qFormat/>
    <w:uiPriority w:val="0"/>
    <w:rPr>
      <w:rFonts w:ascii="Courier New" w:hAnsi="Courier New" w:eastAsia="宋体" w:cs="Times New Roman"/>
      <w:kern w:val="2"/>
      <w:sz w:val="24"/>
    </w:rPr>
  </w:style>
  <w:style w:type="character" w:customStyle="1" w:styleId="291">
    <w:name w:val="注释标题 字符"/>
    <w:basedOn w:val="136"/>
    <w:link w:val="23"/>
    <w:qFormat/>
    <w:uiPriority w:val="0"/>
    <w:rPr>
      <w:rFonts w:ascii="Calibri" w:hAnsi="Calibri" w:eastAsia="宋体" w:cs="Times New Roman"/>
      <w:kern w:val="2"/>
      <w:sz w:val="21"/>
      <w:szCs w:val="22"/>
    </w:rPr>
  </w:style>
  <w:style w:type="character" w:customStyle="1" w:styleId="292">
    <w:name w:val="电子邮件签名 字符"/>
    <w:basedOn w:val="136"/>
    <w:link w:val="26"/>
    <w:qFormat/>
    <w:uiPriority w:val="0"/>
    <w:rPr>
      <w:rFonts w:ascii="Calibri" w:hAnsi="Calibri" w:eastAsia="宋体" w:cs="Times New Roman"/>
      <w:kern w:val="2"/>
      <w:sz w:val="21"/>
      <w:szCs w:val="22"/>
    </w:rPr>
  </w:style>
  <w:style w:type="character" w:customStyle="1" w:styleId="293">
    <w:name w:val="称呼 字符"/>
    <w:basedOn w:val="136"/>
    <w:link w:val="37"/>
    <w:qFormat/>
    <w:uiPriority w:val="0"/>
    <w:rPr>
      <w:rFonts w:ascii="Calibri" w:hAnsi="Calibri" w:eastAsia="宋体" w:cs="Times New Roman"/>
      <w:kern w:val="2"/>
      <w:sz w:val="21"/>
      <w:szCs w:val="22"/>
    </w:rPr>
  </w:style>
  <w:style w:type="character" w:customStyle="1" w:styleId="294">
    <w:name w:val="正文文本 3 字符"/>
    <w:basedOn w:val="136"/>
    <w:link w:val="38"/>
    <w:qFormat/>
    <w:uiPriority w:val="0"/>
    <w:rPr>
      <w:rFonts w:ascii="Calibri" w:hAnsi="Calibri" w:eastAsia="宋体" w:cs="Times New Roman"/>
      <w:kern w:val="2"/>
      <w:sz w:val="16"/>
      <w:szCs w:val="16"/>
    </w:rPr>
  </w:style>
  <w:style w:type="character" w:customStyle="1" w:styleId="295">
    <w:name w:val="结束语 字符"/>
    <w:basedOn w:val="136"/>
    <w:link w:val="39"/>
    <w:qFormat/>
    <w:uiPriority w:val="0"/>
    <w:rPr>
      <w:rFonts w:ascii="Calibri" w:hAnsi="Calibri" w:eastAsia="宋体" w:cs="Times New Roman"/>
      <w:kern w:val="2"/>
      <w:sz w:val="21"/>
      <w:szCs w:val="22"/>
    </w:rPr>
  </w:style>
  <w:style w:type="character" w:customStyle="1" w:styleId="296">
    <w:name w:val="正文文本缩进 字符"/>
    <w:basedOn w:val="136"/>
    <w:link w:val="13"/>
    <w:qFormat/>
    <w:uiPriority w:val="0"/>
    <w:rPr>
      <w:rFonts w:eastAsia="仿宋"/>
      <w:kern w:val="2"/>
      <w:sz w:val="24"/>
      <w:szCs w:val="22"/>
    </w:rPr>
  </w:style>
  <w:style w:type="character" w:customStyle="1" w:styleId="297">
    <w:name w:val="HTML 地址 字符"/>
    <w:basedOn w:val="136"/>
    <w:link w:val="46"/>
    <w:qFormat/>
    <w:uiPriority w:val="0"/>
    <w:rPr>
      <w:rFonts w:ascii="Calibri" w:hAnsi="Calibri"/>
      <w:i/>
      <w:iCs/>
      <w:kern w:val="2"/>
      <w:sz w:val="21"/>
      <w:szCs w:val="22"/>
    </w:rPr>
  </w:style>
  <w:style w:type="character" w:customStyle="1" w:styleId="298">
    <w:name w:val="日期 字符"/>
    <w:basedOn w:val="136"/>
    <w:link w:val="54"/>
    <w:qFormat/>
    <w:uiPriority w:val="0"/>
    <w:rPr>
      <w:rFonts w:ascii="Calibri" w:hAnsi="Calibri" w:eastAsia="宋体" w:cs="Times New Roman"/>
      <w:kern w:val="2"/>
      <w:sz w:val="21"/>
      <w:szCs w:val="22"/>
    </w:rPr>
  </w:style>
  <w:style w:type="character" w:customStyle="1" w:styleId="299">
    <w:name w:val="尾注文本 字符"/>
    <w:basedOn w:val="136"/>
    <w:link w:val="56"/>
    <w:qFormat/>
    <w:uiPriority w:val="0"/>
    <w:rPr>
      <w:rFonts w:ascii="Times New Roman" w:hAnsi="Times New Roman" w:eastAsia="宋体" w:cs="Times New Roman"/>
      <w:kern w:val="2"/>
      <w:sz w:val="21"/>
      <w:szCs w:val="24"/>
    </w:rPr>
  </w:style>
  <w:style w:type="character" w:customStyle="1" w:styleId="300">
    <w:name w:val="签名 字符"/>
    <w:basedOn w:val="136"/>
    <w:link w:val="62"/>
    <w:qFormat/>
    <w:uiPriority w:val="0"/>
    <w:rPr>
      <w:rFonts w:ascii="Calibri" w:hAnsi="Calibri" w:eastAsia="宋体" w:cs="Times New Roman"/>
      <w:kern w:val="2"/>
      <w:sz w:val="21"/>
      <w:szCs w:val="22"/>
    </w:rPr>
  </w:style>
  <w:style w:type="character" w:customStyle="1" w:styleId="301">
    <w:name w:val="副标题 字符"/>
    <w:basedOn w:val="136"/>
    <w:link w:val="68"/>
    <w:qFormat/>
    <w:uiPriority w:val="11"/>
    <w:rPr>
      <w:rFonts w:ascii="Arial" w:hAnsi="Arial" w:eastAsia="宋体" w:cs="Arial"/>
      <w:b/>
      <w:bCs/>
      <w:kern w:val="28"/>
      <w:sz w:val="32"/>
      <w:szCs w:val="32"/>
    </w:rPr>
  </w:style>
  <w:style w:type="character" w:customStyle="1" w:styleId="302">
    <w:name w:val="脚注文本 字符"/>
    <w:basedOn w:val="136"/>
    <w:link w:val="71"/>
    <w:qFormat/>
    <w:uiPriority w:val="0"/>
    <w:rPr>
      <w:rFonts w:ascii="Times New Roman" w:hAnsi="Times New Roman" w:eastAsia="宋体" w:cs="Times New Roman"/>
      <w:kern w:val="2"/>
      <w:sz w:val="18"/>
      <w:szCs w:val="18"/>
    </w:rPr>
  </w:style>
  <w:style w:type="character" w:customStyle="1" w:styleId="303">
    <w:name w:val="正文文本缩进 3 字符"/>
    <w:basedOn w:val="136"/>
    <w:link w:val="74"/>
    <w:qFormat/>
    <w:uiPriority w:val="0"/>
    <w:rPr>
      <w:rFonts w:ascii="Calibri" w:hAnsi="Calibri" w:eastAsia="宋体" w:cs="Times New Roman"/>
      <w:kern w:val="2"/>
      <w:sz w:val="16"/>
      <w:szCs w:val="16"/>
    </w:rPr>
  </w:style>
  <w:style w:type="character" w:customStyle="1" w:styleId="304">
    <w:name w:val="正文文本 2 字符"/>
    <w:basedOn w:val="136"/>
    <w:link w:val="80"/>
    <w:qFormat/>
    <w:uiPriority w:val="99"/>
    <w:rPr>
      <w:rFonts w:ascii="Calibri" w:hAnsi="Calibri" w:eastAsia="宋体" w:cs="Times New Roman"/>
      <w:kern w:val="2"/>
      <w:sz w:val="21"/>
      <w:szCs w:val="22"/>
    </w:rPr>
  </w:style>
  <w:style w:type="character" w:customStyle="1" w:styleId="305">
    <w:name w:val="信息标题 字符"/>
    <w:basedOn w:val="136"/>
    <w:link w:val="83"/>
    <w:qFormat/>
    <w:uiPriority w:val="0"/>
    <w:rPr>
      <w:rFonts w:ascii="Arial" w:hAnsi="Arial" w:eastAsia="宋体" w:cs="Arial"/>
      <w:kern w:val="2"/>
      <w:sz w:val="24"/>
      <w:szCs w:val="24"/>
      <w:shd w:val="pct20" w:color="auto" w:fill="auto"/>
    </w:rPr>
  </w:style>
  <w:style w:type="character" w:customStyle="1" w:styleId="306">
    <w:name w:val="正文文本首行缩进 字符"/>
    <w:basedOn w:val="278"/>
    <w:link w:val="9"/>
    <w:qFormat/>
    <w:uiPriority w:val="0"/>
    <w:rPr>
      <w:rFonts w:ascii="宋体" w:hAnsi="宋体" w:eastAsia="宋体" w:cs="Times New Roman"/>
      <w:kern w:val="2"/>
      <w:sz w:val="21"/>
      <w:szCs w:val="24"/>
    </w:rPr>
  </w:style>
  <w:style w:type="character" w:customStyle="1" w:styleId="307">
    <w:name w:val="正文文本首行缩进 2 字符"/>
    <w:basedOn w:val="296"/>
    <w:link w:val="12"/>
    <w:qFormat/>
    <w:uiPriority w:val="0"/>
    <w:rPr>
      <w:rFonts w:eastAsia="仿宋"/>
      <w:kern w:val="2"/>
      <w:sz w:val="24"/>
      <w:szCs w:val="22"/>
    </w:rPr>
  </w:style>
  <w:style w:type="paragraph" w:customStyle="1" w:styleId="308">
    <w:name w:val="cucd-3"/>
    <w:next w:val="1"/>
    <w:link w:val="309"/>
    <w:qFormat/>
    <w:uiPriority w:val="0"/>
    <w:pPr>
      <w:tabs>
        <w:tab w:val="left" w:pos="709"/>
      </w:tabs>
      <w:spacing w:line="360" w:lineRule="auto"/>
      <w:outlineLvl w:val="2"/>
    </w:pPr>
    <w:rPr>
      <w:rFonts w:ascii="Arial" w:hAnsi="Arial" w:eastAsia="宋体" w:cs="Times New Roman"/>
      <w:b/>
      <w:kern w:val="2"/>
      <w:sz w:val="28"/>
      <w:szCs w:val="28"/>
      <w:lang w:val="en-US" w:eastAsia="zh-CN" w:bidi="ar-SA"/>
    </w:rPr>
  </w:style>
  <w:style w:type="character" w:customStyle="1" w:styleId="309">
    <w:name w:val="cucd-3 Char"/>
    <w:link w:val="308"/>
    <w:qFormat/>
    <w:uiPriority w:val="0"/>
    <w:rPr>
      <w:rFonts w:ascii="Arial" w:hAnsi="Arial" w:eastAsia="宋体" w:cs="Times New Roman"/>
      <w:b/>
      <w:kern w:val="2"/>
      <w:sz w:val="28"/>
      <w:szCs w:val="28"/>
    </w:rPr>
  </w:style>
  <w:style w:type="paragraph" w:customStyle="1" w:styleId="310">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1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1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1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1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31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24"/>
      <w:szCs w:val="24"/>
    </w:rPr>
  </w:style>
  <w:style w:type="paragraph" w:customStyle="1" w:styleId="3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24"/>
      <w:szCs w:val="24"/>
    </w:rPr>
  </w:style>
  <w:style w:type="paragraph" w:customStyle="1" w:styleId="3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1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1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2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1">
    <w:name w:val="xl75"/>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2">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25">
    <w:name w:val="正文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326">
    <w:name w:val="正文样式"/>
    <w:basedOn w:val="1"/>
    <w:next w:val="1"/>
    <w:link w:val="327"/>
    <w:qFormat/>
    <w:uiPriority w:val="0"/>
    <w:pPr>
      <w:spacing w:line="360" w:lineRule="auto"/>
      <w:ind w:firstLine="480" w:firstLineChars="200"/>
    </w:pPr>
    <w:rPr>
      <w:rFonts w:ascii="Times New Roman" w:hAnsi="Times New Roman" w:eastAsia="宋体" w:cs="Times New Roman"/>
      <w:sz w:val="24"/>
      <w:szCs w:val="24"/>
    </w:rPr>
  </w:style>
  <w:style w:type="character" w:customStyle="1" w:styleId="327">
    <w:name w:val="正文样式 Char"/>
    <w:link w:val="326"/>
    <w:qFormat/>
    <w:uiPriority w:val="0"/>
    <w:rPr>
      <w:rFonts w:ascii="Times New Roman" w:hAnsi="Times New Roman" w:eastAsia="宋体" w:cs="Times New Roman"/>
      <w:kern w:val="2"/>
      <w:sz w:val="24"/>
      <w:szCs w:val="24"/>
    </w:rPr>
  </w:style>
  <w:style w:type="paragraph" w:customStyle="1" w:styleId="328">
    <w:name w:val="样式15"/>
    <w:basedOn w:val="1"/>
    <w:qFormat/>
    <w:uiPriority w:val="0"/>
    <w:pPr>
      <w:numPr>
        <w:ilvl w:val="3"/>
        <w:numId w:val="17"/>
      </w:numPr>
      <w:spacing w:line="360" w:lineRule="auto"/>
      <w:ind w:left="0" w:right="706" w:rightChars="336" w:firstLine="0"/>
    </w:pPr>
    <w:rPr>
      <w:rFonts w:ascii="宋体" w:hAnsi="宋体" w:eastAsia="宋体" w:cs="Times New Roman"/>
      <w:b/>
      <w:sz w:val="24"/>
      <w:szCs w:val="24"/>
      <w:lang w:val="zh-CN"/>
    </w:rPr>
  </w:style>
  <w:style w:type="paragraph" w:customStyle="1" w:styleId="329">
    <w:name w:val="图注"/>
    <w:basedOn w:val="1"/>
    <w:link w:val="330"/>
    <w:qFormat/>
    <w:uiPriority w:val="0"/>
    <w:pPr>
      <w:spacing w:line="360" w:lineRule="auto"/>
      <w:jc w:val="center"/>
    </w:pPr>
    <w:rPr>
      <w:rFonts w:asciiTheme="minorEastAsia" w:hAnsiTheme="minorEastAsia"/>
      <w:b/>
      <w:sz w:val="22"/>
    </w:rPr>
  </w:style>
  <w:style w:type="character" w:customStyle="1" w:styleId="330">
    <w:name w:val="图注 字符"/>
    <w:basedOn w:val="136"/>
    <w:link w:val="329"/>
    <w:qFormat/>
    <w:uiPriority w:val="0"/>
    <w:rPr>
      <w:rFonts w:asciiTheme="minorEastAsia" w:hAnsiTheme="minorEastAsia"/>
      <w:b/>
      <w:kern w:val="2"/>
      <w:sz w:val="22"/>
      <w:szCs w:val="22"/>
    </w:rPr>
  </w:style>
  <w:style w:type="paragraph" w:customStyle="1" w:styleId="331">
    <w:name w:val="解决方案正文"/>
    <w:basedOn w:val="1"/>
    <w:link w:val="332"/>
    <w:qFormat/>
    <w:uiPriority w:val="0"/>
    <w:pPr>
      <w:spacing w:line="360" w:lineRule="auto"/>
      <w:ind w:firstLine="482"/>
    </w:pPr>
    <w:rPr>
      <w:rFonts w:ascii="宋体" w:hAnsi="宋体" w:eastAsia="宋体" w:cs="Times New Roman"/>
      <w:sz w:val="24"/>
      <w:szCs w:val="24"/>
    </w:rPr>
  </w:style>
  <w:style w:type="character" w:customStyle="1" w:styleId="332">
    <w:name w:val="解决方案正文 字符"/>
    <w:basedOn w:val="136"/>
    <w:link w:val="331"/>
    <w:qFormat/>
    <w:uiPriority w:val="0"/>
    <w:rPr>
      <w:rFonts w:ascii="宋体" w:hAnsi="宋体" w:eastAsia="宋体" w:cs="Times New Roman"/>
      <w:kern w:val="2"/>
      <w:sz w:val="24"/>
      <w:szCs w:val="24"/>
    </w:rPr>
  </w:style>
  <w:style w:type="character" w:customStyle="1" w:styleId="333">
    <w:name w:val="方案正文 Char"/>
    <w:link w:val="334"/>
    <w:qFormat/>
    <w:locked/>
    <w:uiPriority w:val="0"/>
    <w:rPr>
      <w:rFonts w:ascii="宋体" w:hAnsi="宋体" w:eastAsia="宋体" w:cs="Times New Roman"/>
      <w:color w:val="000000"/>
      <w:sz w:val="24"/>
      <w:szCs w:val="24"/>
    </w:rPr>
  </w:style>
  <w:style w:type="paragraph" w:customStyle="1" w:styleId="334">
    <w:name w:val="方案正文"/>
    <w:basedOn w:val="1"/>
    <w:link w:val="333"/>
    <w:qFormat/>
    <w:uiPriority w:val="0"/>
    <w:pPr>
      <w:widowControl/>
      <w:adjustRightInd w:val="0"/>
      <w:snapToGrid w:val="0"/>
      <w:spacing w:line="360" w:lineRule="auto"/>
      <w:ind w:firstLine="480" w:firstLineChars="200"/>
    </w:pPr>
    <w:rPr>
      <w:rFonts w:ascii="宋体" w:hAnsi="宋体" w:eastAsia="宋体" w:cs="Times New Roman"/>
      <w:color w:val="000000"/>
      <w:kern w:val="0"/>
      <w:sz w:val="24"/>
      <w:szCs w:val="24"/>
    </w:rPr>
  </w:style>
  <w:style w:type="paragraph" w:customStyle="1" w:styleId="335">
    <w:name w:val="1.1.1.1"/>
    <w:basedOn w:val="1"/>
    <w:next w:val="1"/>
    <w:link w:val="342"/>
    <w:qFormat/>
    <w:uiPriority w:val="0"/>
    <w:pPr>
      <w:keepNext/>
      <w:keepLines/>
      <w:numPr>
        <w:ilvl w:val="3"/>
        <w:numId w:val="18"/>
      </w:numPr>
      <w:tabs>
        <w:tab w:val="left" w:pos="0"/>
      </w:tabs>
      <w:spacing w:before="50" w:beforeLines="50" w:after="50" w:afterLines="50" w:line="360" w:lineRule="auto"/>
      <w:jc w:val="left"/>
      <w:outlineLvl w:val="3"/>
    </w:pPr>
    <w:rPr>
      <w:rFonts w:ascii="Cambria" w:hAnsi="Cambria" w:eastAsia="仿宋_GB2312" w:cs="Times New Roman"/>
      <w:b/>
      <w:bCs/>
      <w:sz w:val="28"/>
      <w:szCs w:val="28"/>
    </w:rPr>
  </w:style>
  <w:style w:type="paragraph" w:customStyle="1" w:styleId="336">
    <w:name w:val="1.1.1"/>
    <w:basedOn w:val="1"/>
    <w:next w:val="335"/>
    <w:link w:val="343"/>
    <w:qFormat/>
    <w:uiPriority w:val="0"/>
    <w:pPr>
      <w:keepNext/>
      <w:keepLines/>
      <w:numPr>
        <w:ilvl w:val="2"/>
        <w:numId w:val="18"/>
      </w:numPr>
      <w:tabs>
        <w:tab w:val="left" w:pos="567"/>
      </w:tabs>
      <w:spacing w:before="50" w:beforeLines="50" w:after="50" w:afterLines="50" w:line="360" w:lineRule="auto"/>
      <w:ind w:left="0" w:firstLine="0"/>
      <w:jc w:val="left"/>
      <w:outlineLvl w:val="2"/>
    </w:pPr>
    <w:rPr>
      <w:rFonts w:ascii="宋体" w:hAnsi="宋体" w:eastAsia="宋体" w:cs="Times New Roman"/>
      <w:b/>
      <w:bCs/>
      <w:kern w:val="0"/>
      <w:sz w:val="28"/>
      <w:szCs w:val="32"/>
    </w:rPr>
  </w:style>
  <w:style w:type="paragraph" w:customStyle="1" w:styleId="337">
    <w:name w:val="1.1"/>
    <w:basedOn w:val="1"/>
    <w:next w:val="336"/>
    <w:link w:val="338"/>
    <w:qFormat/>
    <w:uiPriority w:val="99"/>
    <w:pPr>
      <w:keepNext/>
      <w:keepLines/>
      <w:numPr>
        <w:ilvl w:val="1"/>
        <w:numId w:val="18"/>
      </w:numPr>
      <w:tabs>
        <w:tab w:val="left" w:pos="-420"/>
      </w:tabs>
      <w:spacing w:line="360" w:lineRule="auto"/>
      <w:ind w:left="0" w:firstLine="0"/>
      <w:jc w:val="left"/>
      <w:outlineLvl w:val="1"/>
    </w:pPr>
    <w:rPr>
      <w:rFonts w:ascii="Cambria" w:hAnsi="Times New Roman" w:eastAsia="仿宋_GB2312" w:cs="Times New Roman"/>
      <w:b/>
      <w:bCs/>
      <w:sz w:val="30"/>
      <w:szCs w:val="30"/>
    </w:rPr>
  </w:style>
  <w:style w:type="character" w:customStyle="1" w:styleId="338">
    <w:name w:val="1.1 字符"/>
    <w:basedOn w:val="136"/>
    <w:link w:val="337"/>
    <w:qFormat/>
    <w:uiPriority w:val="99"/>
    <w:rPr>
      <w:rFonts w:ascii="Cambria" w:eastAsia="仿宋_GB2312"/>
      <w:b/>
      <w:bCs/>
      <w:kern w:val="2"/>
      <w:sz w:val="30"/>
      <w:szCs w:val="30"/>
    </w:rPr>
  </w:style>
  <w:style w:type="paragraph" w:customStyle="1" w:styleId="339">
    <w:name w:val="第一章"/>
    <w:basedOn w:val="1"/>
    <w:next w:val="337"/>
    <w:qFormat/>
    <w:uiPriority w:val="0"/>
    <w:pPr>
      <w:keepNext/>
      <w:keepLines/>
      <w:numPr>
        <w:ilvl w:val="0"/>
        <w:numId w:val="18"/>
      </w:numPr>
      <w:spacing w:before="50" w:beforeLines="50" w:after="50" w:afterLines="50" w:line="360" w:lineRule="auto"/>
      <w:ind w:left="0" w:firstLine="0"/>
      <w:outlineLvl w:val="0"/>
    </w:pPr>
    <w:rPr>
      <w:rFonts w:ascii="黑体" w:hAnsi="黑体" w:eastAsia="黑体" w:cs="Times New Roman"/>
      <w:bCs/>
      <w:kern w:val="44"/>
      <w:sz w:val="32"/>
      <w:szCs w:val="32"/>
    </w:rPr>
  </w:style>
  <w:style w:type="paragraph" w:customStyle="1" w:styleId="340">
    <w:name w:val="1.1.1.1.1"/>
    <w:basedOn w:val="14"/>
    <w:next w:val="1"/>
    <w:link w:val="344"/>
    <w:qFormat/>
    <w:uiPriority w:val="0"/>
    <w:pPr>
      <w:numPr>
        <w:numId w:val="18"/>
      </w:numPr>
      <w:spacing w:before="50" w:beforeLines="50" w:after="50" w:afterLines="50"/>
    </w:pPr>
    <w:rPr>
      <w:rFonts w:cs="Times New Roman"/>
      <w:sz w:val="28"/>
      <w:szCs w:val="28"/>
    </w:rPr>
  </w:style>
  <w:style w:type="paragraph" w:customStyle="1" w:styleId="341">
    <w:name w:val="正文 New New New New New New New New New"/>
    <w:basedOn w:val="1"/>
    <w:qFormat/>
    <w:uiPriority w:val="0"/>
    <w:pPr>
      <w:widowControl/>
      <w:adjustRightInd w:val="0"/>
      <w:snapToGrid w:val="0"/>
      <w:spacing w:before="100" w:beforeAutospacing="1" w:after="200"/>
      <w:jc w:val="left"/>
    </w:pPr>
    <w:rPr>
      <w:rFonts w:ascii="Tahoma" w:hAnsi="Tahoma" w:eastAsia="微软雅黑" w:cs="黑体"/>
      <w:kern w:val="0"/>
      <w:sz w:val="22"/>
    </w:rPr>
  </w:style>
  <w:style w:type="character" w:customStyle="1" w:styleId="342">
    <w:name w:val="1.1.1.1 字符"/>
    <w:basedOn w:val="136"/>
    <w:link w:val="335"/>
    <w:qFormat/>
    <w:uiPriority w:val="0"/>
    <w:rPr>
      <w:rFonts w:ascii="Cambria" w:hAnsi="Cambria" w:eastAsia="仿宋_GB2312"/>
      <w:b/>
      <w:bCs/>
      <w:kern w:val="2"/>
      <w:sz w:val="28"/>
      <w:szCs w:val="28"/>
    </w:rPr>
  </w:style>
  <w:style w:type="character" w:customStyle="1" w:styleId="343">
    <w:name w:val="1.1.1 字符"/>
    <w:basedOn w:val="136"/>
    <w:link w:val="336"/>
    <w:qFormat/>
    <w:uiPriority w:val="0"/>
    <w:rPr>
      <w:rFonts w:ascii="宋体" w:hAnsi="宋体"/>
      <w:b/>
      <w:bCs/>
      <w:sz w:val="28"/>
      <w:szCs w:val="32"/>
    </w:rPr>
  </w:style>
  <w:style w:type="character" w:customStyle="1" w:styleId="344">
    <w:name w:val="1.1.1.1.1 字符"/>
    <w:basedOn w:val="136"/>
    <w:link w:val="340"/>
    <w:qFormat/>
    <w:uiPriority w:val="0"/>
    <w:rPr>
      <w:rFonts w:ascii="宋体" w:hAnsi="宋体"/>
      <w:b/>
      <w:bCs/>
      <w:kern w:val="2"/>
      <w:sz w:val="28"/>
      <w:szCs w:val="28"/>
    </w:rPr>
  </w:style>
  <w:style w:type="paragraph" w:customStyle="1" w:styleId="345">
    <w:name w:val="样式  + 首行缩进:  2 字符"/>
    <w:basedOn w:val="1"/>
    <w:link w:val="346"/>
    <w:qFormat/>
    <w:uiPriority w:val="0"/>
    <w:pPr>
      <w:adjustRightInd w:val="0"/>
      <w:snapToGrid w:val="0"/>
      <w:spacing w:line="360" w:lineRule="auto"/>
      <w:ind w:firstLine="480" w:firstLineChars="200"/>
    </w:pPr>
    <w:rPr>
      <w:rFonts w:ascii="宋体" w:hAnsi="宋体" w:eastAsia="宋体" w:cs="宋体"/>
      <w:spacing w:val="11"/>
      <w:kern w:val="0"/>
      <w:sz w:val="24"/>
      <w:szCs w:val="20"/>
    </w:rPr>
  </w:style>
  <w:style w:type="character" w:customStyle="1" w:styleId="346">
    <w:name w:val="样式  + 首行缩进:  2 字符 Char"/>
    <w:link w:val="345"/>
    <w:qFormat/>
    <w:uiPriority w:val="0"/>
    <w:rPr>
      <w:rFonts w:ascii="宋体" w:hAnsi="宋体" w:eastAsia="宋体" w:cs="宋体"/>
      <w:spacing w:val="11"/>
      <w:sz w:val="24"/>
    </w:rPr>
  </w:style>
  <w:style w:type="character" w:customStyle="1" w:styleId="347">
    <w:name w:val="未处理的提及21"/>
    <w:basedOn w:val="136"/>
    <w:unhideWhenUsed/>
    <w:qFormat/>
    <w:uiPriority w:val="99"/>
    <w:rPr>
      <w:color w:val="605E5C"/>
      <w:shd w:val="clear" w:color="auto" w:fill="E1DFDD"/>
    </w:rPr>
  </w:style>
  <w:style w:type="character" w:customStyle="1" w:styleId="348">
    <w:name w:val="(一)"/>
    <w:qFormat/>
    <w:uiPriority w:val="0"/>
  </w:style>
  <w:style w:type="character" w:customStyle="1" w:styleId="349">
    <w:name w:val="编号 字符"/>
    <w:basedOn w:val="136"/>
    <w:qFormat/>
    <w:uiPriority w:val="0"/>
    <w:rPr>
      <w:rFonts w:ascii="宋体" w:hAnsi="宋体" w:eastAsia="宋体" w:cs="Times New Roman"/>
      <w:kern w:val="2"/>
      <w:sz w:val="24"/>
      <w:szCs w:val="24"/>
    </w:rPr>
  </w:style>
  <w:style w:type="paragraph" w:customStyle="1" w:styleId="350">
    <w:name w:val="Char Char"/>
    <w:basedOn w:val="1"/>
    <w:qFormat/>
    <w:uiPriority w:val="0"/>
    <w:rPr>
      <w:rFonts w:ascii="Times New Roman" w:hAnsi="Times New Roman" w:eastAsia="宋体" w:cs="Times New Roman"/>
      <w:szCs w:val="24"/>
    </w:rPr>
  </w:style>
  <w:style w:type="paragraph" w:customStyle="1" w:styleId="351">
    <w:name w:val="E-8"/>
    <w:basedOn w:val="1"/>
    <w:qFormat/>
    <w:uiPriority w:val="0"/>
    <w:pPr>
      <w:spacing w:after="100" w:afterAutospacing="1" w:line="360" w:lineRule="auto"/>
      <w:ind w:left="150" w:leftChars="150"/>
      <w:jc w:val="left"/>
      <w:outlineLvl w:val="7"/>
    </w:pPr>
    <w:rPr>
      <w:rFonts w:ascii="宋体" w:hAnsi="宋体" w:eastAsia="宋体" w:cs="宋体"/>
      <w:bCs/>
      <w:color w:val="000000"/>
      <w:kern w:val="0"/>
      <w:sz w:val="24"/>
      <w:szCs w:val="24"/>
    </w:rPr>
  </w:style>
  <w:style w:type="paragraph" w:customStyle="1" w:styleId="352">
    <w:name w:val="无间隔12"/>
    <w:qFormat/>
    <w:uiPriority w:val="1"/>
    <w:rPr>
      <w:rFonts w:ascii="Calibri" w:hAnsi="Calibri" w:eastAsia="宋体" w:cs="Times New Roman"/>
      <w:sz w:val="22"/>
      <w:szCs w:val="22"/>
      <w:lang w:val="en-US" w:eastAsia="zh-CN" w:bidi="ar-SA"/>
    </w:rPr>
  </w:style>
  <w:style w:type="paragraph" w:customStyle="1" w:styleId="353">
    <w:name w:val="11111样式2"/>
    <w:basedOn w:val="1"/>
    <w:link w:val="354"/>
    <w:qFormat/>
    <w:uiPriority w:val="0"/>
    <w:rPr>
      <w:rFonts w:asciiTheme="majorEastAsia" w:hAnsiTheme="majorEastAsia" w:eastAsiaTheme="majorEastAsia"/>
      <w:sz w:val="24"/>
      <w:szCs w:val="21"/>
    </w:rPr>
  </w:style>
  <w:style w:type="character" w:customStyle="1" w:styleId="354">
    <w:name w:val="11111样式2 字符"/>
    <w:basedOn w:val="136"/>
    <w:link w:val="353"/>
    <w:qFormat/>
    <w:uiPriority w:val="0"/>
    <w:rPr>
      <w:rFonts w:asciiTheme="majorEastAsia" w:hAnsiTheme="majorEastAsia" w:eastAsiaTheme="majorEastAsia"/>
      <w:kern w:val="2"/>
      <w:sz w:val="24"/>
      <w:szCs w:val="21"/>
    </w:rPr>
  </w:style>
  <w:style w:type="character" w:customStyle="1" w:styleId="355">
    <w:name w:val="未处理的提及3"/>
    <w:basedOn w:val="136"/>
    <w:unhideWhenUsed/>
    <w:qFormat/>
    <w:uiPriority w:val="99"/>
    <w:rPr>
      <w:color w:val="605E5C"/>
      <w:shd w:val="clear" w:color="auto" w:fill="E1DFDD"/>
    </w:rPr>
  </w:style>
  <w:style w:type="character" w:customStyle="1" w:styleId="356">
    <w:name w:val="未处理的提及4"/>
    <w:basedOn w:val="136"/>
    <w:unhideWhenUsed/>
    <w:qFormat/>
    <w:uiPriority w:val="99"/>
    <w:rPr>
      <w:color w:val="605E5C"/>
      <w:shd w:val="clear" w:color="auto" w:fill="E1DFDD"/>
    </w:rPr>
  </w:style>
  <w:style w:type="character" w:customStyle="1" w:styleId="357">
    <w:name w:val="未处理的提及5"/>
    <w:basedOn w:val="136"/>
    <w:unhideWhenUsed/>
    <w:qFormat/>
    <w:uiPriority w:val="99"/>
    <w:rPr>
      <w:color w:val="605E5C"/>
      <w:shd w:val="clear" w:color="auto" w:fill="E1DFDD"/>
    </w:rPr>
  </w:style>
  <w:style w:type="paragraph" w:customStyle="1" w:styleId="358">
    <w:name w:val="标题7"/>
    <w:basedOn w:val="175"/>
    <w:qFormat/>
    <w:uiPriority w:val="0"/>
    <w:pPr>
      <w:ind w:firstLine="0" w:firstLineChars="0"/>
    </w:pPr>
  </w:style>
  <w:style w:type="paragraph" w:customStyle="1" w:styleId="359">
    <w:name w:val="0.1"/>
    <w:basedOn w:val="1"/>
    <w:next w:val="1"/>
    <w:qFormat/>
    <w:uiPriority w:val="0"/>
    <w:pPr>
      <w:numPr>
        <w:ilvl w:val="0"/>
        <w:numId w:val="19"/>
      </w:numPr>
      <w:spacing w:line="360" w:lineRule="auto"/>
      <w:outlineLvl w:val="0"/>
    </w:pPr>
    <w:rPr>
      <w:rFonts w:ascii="黑体" w:hAnsi="黑体" w:eastAsia="黑体" w:cs="黑体"/>
      <w:b/>
      <w:sz w:val="36"/>
      <w:szCs w:val="36"/>
    </w:rPr>
  </w:style>
  <w:style w:type="paragraph" w:customStyle="1" w:styleId="360">
    <w:name w:val="0.2"/>
    <w:basedOn w:val="359"/>
    <w:next w:val="1"/>
    <w:qFormat/>
    <w:uiPriority w:val="0"/>
    <w:pPr>
      <w:numPr>
        <w:ilvl w:val="1"/>
      </w:numPr>
      <w:outlineLvl w:val="1"/>
    </w:pPr>
    <w:rPr>
      <w:sz w:val="32"/>
      <w:szCs w:val="32"/>
    </w:rPr>
  </w:style>
  <w:style w:type="paragraph" w:customStyle="1" w:styleId="361">
    <w:name w:val="0.3"/>
    <w:basedOn w:val="360"/>
    <w:next w:val="1"/>
    <w:qFormat/>
    <w:uiPriority w:val="0"/>
    <w:pPr>
      <w:numPr>
        <w:ilvl w:val="2"/>
      </w:numPr>
      <w:outlineLvl w:val="2"/>
    </w:pPr>
    <w:rPr>
      <w:sz w:val="30"/>
      <w:szCs w:val="30"/>
    </w:rPr>
  </w:style>
  <w:style w:type="paragraph" w:customStyle="1" w:styleId="362">
    <w:name w:val="0.4"/>
    <w:basedOn w:val="361"/>
    <w:next w:val="1"/>
    <w:qFormat/>
    <w:uiPriority w:val="0"/>
    <w:pPr>
      <w:numPr>
        <w:ilvl w:val="3"/>
      </w:numPr>
      <w:outlineLvl w:val="3"/>
    </w:pPr>
    <w:rPr>
      <w:sz w:val="28"/>
      <w:szCs w:val="28"/>
    </w:rPr>
  </w:style>
  <w:style w:type="paragraph" w:customStyle="1" w:styleId="363">
    <w:name w:val="0.5"/>
    <w:basedOn w:val="362"/>
    <w:next w:val="1"/>
    <w:qFormat/>
    <w:uiPriority w:val="0"/>
    <w:pPr>
      <w:numPr>
        <w:ilvl w:val="4"/>
      </w:numPr>
      <w:outlineLvl w:val="4"/>
    </w:pPr>
    <w:rPr>
      <w:sz w:val="24"/>
      <w:szCs w:val="24"/>
    </w:rPr>
  </w:style>
  <w:style w:type="paragraph" w:customStyle="1" w:styleId="364">
    <w:name w:val="0.6"/>
    <w:basedOn w:val="363"/>
    <w:qFormat/>
    <w:uiPriority w:val="0"/>
    <w:pPr>
      <w:numPr>
        <w:ilvl w:val="5"/>
      </w:numPr>
      <w:outlineLvl w:val="5"/>
    </w:pPr>
    <w:rPr>
      <w:b w:val="0"/>
    </w:rPr>
  </w:style>
  <w:style w:type="paragraph" w:customStyle="1" w:styleId="365">
    <w:name w:val="0.7"/>
    <w:basedOn w:val="364"/>
    <w:next w:val="1"/>
    <w:qFormat/>
    <w:uiPriority w:val="0"/>
    <w:pPr>
      <w:numPr>
        <w:ilvl w:val="6"/>
      </w:numPr>
      <w:outlineLvl w:val="6"/>
    </w:pPr>
    <w:rPr>
      <w:rFonts w:ascii="宋体" w:hAnsi="宋体" w:eastAsia="宋体" w:cs="宋体"/>
      <w:b/>
    </w:rPr>
  </w:style>
  <w:style w:type="character" w:customStyle="1" w:styleId="366">
    <w:name w:val="正文（缩进） Char"/>
    <w:link w:val="2"/>
    <w:qFormat/>
    <w:uiPriority w:val="99"/>
    <w:rPr>
      <w:rFonts w:ascii="宋体" w:hAnsi="宋体" w:eastAsia="宋体" w:cs="宋体"/>
      <w:kern w:val="2"/>
      <w:sz w:val="24"/>
      <w:szCs w:val="24"/>
    </w:rPr>
  </w:style>
  <w:style w:type="character" w:customStyle="1" w:styleId="367">
    <w:name w:val="王玲格式 Char"/>
    <w:link w:val="368"/>
    <w:qFormat/>
    <w:uiPriority w:val="0"/>
    <w:rPr>
      <w:rFonts w:ascii="Tahoma" w:hAnsi="Tahoma" w:eastAsia="宋体" w:cs="Times New Roman"/>
      <w:sz w:val="24"/>
    </w:rPr>
  </w:style>
  <w:style w:type="paragraph" w:customStyle="1" w:styleId="368">
    <w:name w:val="王玲格式"/>
    <w:basedOn w:val="1"/>
    <w:link w:val="367"/>
    <w:qFormat/>
    <w:uiPriority w:val="0"/>
    <w:pPr>
      <w:spacing w:line="360" w:lineRule="auto"/>
      <w:ind w:firstLine="200" w:firstLineChars="200"/>
    </w:pPr>
    <w:rPr>
      <w:rFonts w:ascii="Tahoma" w:hAnsi="Tahoma" w:eastAsia="宋体" w:cs="Times New Roman"/>
      <w:kern w:val="0"/>
      <w:sz w:val="24"/>
      <w:szCs w:val="20"/>
    </w:rPr>
  </w:style>
  <w:style w:type="paragraph" w:customStyle="1" w:styleId="369">
    <w:name w:val="段"/>
    <w:link w:val="39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70">
    <w:name w:val="图片 Char"/>
    <w:basedOn w:val="136"/>
    <w:link w:val="371"/>
    <w:qFormat/>
    <w:locked/>
    <w:uiPriority w:val="0"/>
    <w:rPr>
      <w:rFonts w:asciiTheme="minorEastAsia" w:hAnsiTheme="minorEastAsia"/>
      <w:sz w:val="24"/>
      <w:szCs w:val="24"/>
    </w:rPr>
  </w:style>
  <w:style w:type="paragraph" w:customStyle="1" w:styleId="371">
    <w:name w:val="图片"/>
    <w:basedOn w:val="1"/>
    <w:link w:val="370"/>
    <w:qFormat/>
    <w:uiPriority w:val="0"/>
    <w:pPr>
      <w:spacing w:line="360" w:lineRule="auto"/>
      <w:jc w:val="center"/>
    </w:pPr>
    <w:rPr>
      <w:rFonts w:asciiTheme="minorEastAsia" w:hAnsiTheme="minorEastAsia"/>
      <w:kern w:val="0"/>
      <w:sz w:val="24"/>
      <w:szCs w:val="24"/>
    </w:rPr>
  </w:style>
  <w:style w:type="character" w:customStyle="1" w:styleId="372">
    <w:name w:val="正文样式 Char Char"/>
    <w:qFormat/>
    <w:uiPriority w:val="0"/>
    <w:rPr>
      <w:rFonts w:ascii="Times New Roman" w:hAnsi="Times New Roman" w:eastAsia="宋体" w:cs="Times New Roman"/>
      <w:sz w:val="24"/>
      <w:szCs w:val="24"/>
    </w:rPr>
  </w:style>
  <w:style w:type="paragraph" w:customStyle="1" w:styleId="373">
    <w:name w:val="paragraph"/>
    <w:basedOn w:val="1"/>
    <w:qFormat/>
    <w:uiPriority w:val="0"/>
    <w:pPr>
      <w:widowControl/>
      <w:spacing w:beforeLines="50" w:beforeAutospacing="1" w:afterLines="50" w:afterAutospacing="1"/>
      <w:jc w:val="left"/>
    </w:pPr>
    <w:rPr>
      <w:rFonts w:ascii="宋体" w:hAnsi="宋体" w:eastAsia="宋体" w:cs="宋体"/>
      <w:kern w:val="0"/>
      <w:sz w:val="24"/>
      <w:szCs w:val="24"/>
    </w:rPr>
  </w:style>
  <w:style w:type="paragraph" w:customStyle="1" w:styleId="374">
    <w:name w:val="样式18"/>
    <w:basedOn w:val="1"/>
    <w:qFormat/>
    <w:uiPriority w:val="0"/>
    <w:pPr>
      <w:spacing w:line="360" w:lineRule="auto"/>
      <w:ind w:firstLine="480" w:firstLineChars="200"/>
    </w:pPr>
    <w:rPr>
      <w:rFonts w:ascii="宋体" w:hAnsi="宋体" w:eastAsia="宋体" w:cs="Times New Roman"/>
      <w:color w:val="000000"/>
      <w:sz w:val="24"/>
      <w:szCs w:val="24"/>
    </w:rPr>
  </w:style>
  <w:style w:type="character" w:customStyle="1" w:styleId="375">
    <w:name w:val="!正文 Char Char"/>
    <w:qFormat/>
    <w:locked/>
    <w:uiPriority w:val="0"/>
    <w:rPr>
      <w:rFonts w:ascii="宋体" w:hAnsi="宋体" w:eastAsia="宋体" w:cs="宋体"/>
      <w:color w:val="000000"/>
      <w:sz w:val="24"/>
    </w:rPr>
  </w:style>
  <w:style w:type="paragraph" w:customStyle="1" w:styleId="376">
    <w:name w:val="cz表内"/>
    <w:basedOn w:val="1"/>
    <w:qFormat/>
    <w:uiPriority w:val="0"/>
    <w:pPr>
      <w:adjustRightInd w:val="0"/>
      <w:snapToGrid w:val="0"/>
      <w:spacing w:line="360" w:lineRule="exact"/>
      <w:ind w:right="240"/>
      <w:jc w:val="left"/>
    </w:pPr>
    <w:rPr>
      <w:rFonts w:ascii="Times New Roman" w:hAnsi="Times New Roman" w:eastAsia="仿宋" w:cs="Times New Roman"/>
      <w:sz w:val="24"/>
      <w:szCs w:val="20"/>
    </w:rPr>
  </w:style>
  <w:style w:type="paragraph" w:customStyle="1" w:styleId="377">
    <w:name w:val="表1"/>
    <w:qFormat/>
    <w:uiPriority w:val="0"/>
    <w:pPr>
      <w:jc w:val="center"/>
    </w:pPr>
    <w:rPr>
      <w:rFonts w:ascii="Times New Roman" w:hAnsi="Times New Roman" w:eastAsia="方正仿宋_GBK" w:cs="Times New Roman"/>
      <w:bCs/>
      <w:kern w:val="2"/>
      <w:sz w:val="21"/>
      <w:szCs w:val="21"/>
      <w:lang w:val="en-US" w:eastAsia="zh-CN" w:bidi="ar-SA"/>
    </w:rPr>
  </w:style>
  <w:style w:type="paragraph" w:customStyle="1" w:styleId="378">
    <w:name w:val="标题4"/>
    <w:basedOn w:val="8"/>
    <w:link w:val="2427"/>
    <w:qFormat/>
    <w:uiPriority w:val="0"/>
    <w:pPr>
      <w:numPr>
        <w:ilvl w:val="0"/>
        <w:numId w:val="0"/>
      </w:numPr>
      <w:tabs>
        <w:tab w:val="left" w:pos="1224"/>
      </w:tabs>
      <w:spacing w:before="120" w:after="120" w:line="377" w:lineRule="auto"/>
      <w:ind w:left="1080" w:hanging="1080"/>
    </w:pPr>
    <w:rPr>
      <w:rFonts w:ascii="Arial" w:hAnsi="Arial" w:eastAsia="黑体" w:cs="Times New Roman"/>
      <w:sz w:val="28"/>
      <w:szCs w:val="28"/>
    </w:rPr>
  </w:style>
  <w:style w:type="paragraph" w:customStyle="1" w:styleId="379">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38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character" w:customStyle="1" w:styleId="382">
    <w:name w:val="text_bhl1b"/>
    <w:basedOn w:val="136"/>
    <w:qFormat/>
    <w:uiPriority w:val="0"/>
  </w:style>
  <w:style w:type="character" w:customStyle="1" w:styleId="383">
    <w:name w:val="列表段落 字符1"/>
    <w:qFormat/>
    <w:uiPriority w:val="0"/>
    <w:rPr>
      <w:rFonts w:eastAsia="宋体"/>
      <w:sz w:val="24"/>
    </w:rPr>
  </w:style>
  <w:style w:type="character" w:customStyle="1" w:styleId="384">
    <w:name w:val="正文段落内容 Char"/>
    <w:link w:val="385"/>
    <w:qFormat/>
    <w:uiPriority w:val="0"/>
    <w:rPr>
      <w:rFonts w:ascii="宋体" w:hAnsi="宋体" w:eastAsia="宋体" w:cs="Times New Roman"/>
      <w:sz w:val="24"/>
      <w:szCs w:val="24"/>
      <w:lang w:val="zh-CN" w:bidi="en-US"/>
    </w:rPr>
  </w:style>
  <w:style w:type="paragraph" w:customStyle="1" w:styleId="385">
    <w:name w:val="正文段落内容"/>
    <w:basedOn w:val="1"/>
    <w:link w:val="384"/>
    <w:qFormat/>
    <w:uiPriority w:val="0"/>
    <w:pPr>
      <w:adjustRightInd w:val="0"/>
      <w:snapToGrid w:val="0"/>
      <w:spacing w:before="60" w:after="60" w:line="360" w:lineRule="auto"/>
      <w:ind w:firstLine="480" w:firstLineChars="200"/>
    </w:pPr>
    <w:rPr>
      <w:rFonts w:ascii="宋体" w:hAnsi="宋体" w:eastAsia="宋体" w:cs="Times New Roman"/>
      <w:kern w:val="0"/>
      <w:sz w:val="24"/>
      <w:szCs w:val="24"/>
      <w:lang w:val="zh-CN" w:bidi="en-US"/>
    </w:rPr>
  </w:style>
  <w:style w:type="character" w:customStyle="1" w:styleId="386">
    <w:name w:val="A一级标题"/>
    <w:basedOn w:val="136"/>
    <w:qFormat/>
    <w:uiPriority w:val="0"/>
    <w:rPr>
      <w:sz w:val="44"/>
    </w:rPr>
  </w:style>
  <w:style w:type="character" w:customStyle="1" w:styleId="387">
    <w:name w:val="未处理的提及6"/>
    <w:basedOn w:val="136"/>
    <w:unhideWhenUsed/>
    <w:qFormat/>
    <w:uiPriority w:val="99"/>
    <w:rPr>
      <w:color w:val="605E5C"/>
      <w:shd w:val="clear" w:color="auto" w:fill="E1DFDD"/>
    </w:rPr>
  </w:style>
  <w:style w:type="character" w:customStyle="1" w:styleId="388">
    <w:name w:val="*正文 字符1"/>
    <w:qFormat/>
    <w:locked/>
    <w:uiPriority w:val="0"/>
    <w:rPr>
      <w:rFonts w:ascii="仿宋" w:hAnsi="仿宋" w:eastAsia="宋体" w:cs="仿宋"/>
      <w:color w:val="000000"/>
      <w:sz w:val="24"/>
      <w:szCs w:val="32"/>
    </w:rPr>
  </w:style>
  <w:style w:type="paragraph" w:customStyle="1" w:styleId="389">
    <w:name w:val="表格的文字样式"/>
    <w:basedOn w:val="1"/>
    <w:qFormat/>
    <w:uiPriority w:val="99"/>
    <w:pPr>
      <w:spacing w:line="276" w:lineRule="auto"/>
    </w:pPr>
    <w:rPr>
      <w:rFonts w:ascii="宋体" w:hAnsi="宋体" w:eastAsia="宋体" w:cs="宋体"/>
      <w:szCs w:val="21"/>
    </w:rPr>
  </w:style>
  <w:style w:type="character" w:customStyle="1" w:styleId="390">
    <w:name w:val="段 Char"/>
    <w:link w:val="369"/>
    <w:qFormat/>
    <w:uiPriority w:val="0"/>
    <w:rPr>
      <w:rFonts w:ascii="宋体" w:hAnsi="Times New Roman" w:eastAsia="宋体" w:cs="Times New Roman"/>
      <w:sz w:val="21"/>
    </w:rPr>
  </w:style>
  <w:style w:type="paragraph" w:customStyle="1" w:styleId="391">
    <w:name w:val="修订1"/>
    <w:hidden/>
    <w:qFormat/>
    <w:uiPriority w:val="99"/>
    <w:rPr>
      <w:rFonts w:ascii="楷体" w:hAnsi="楷体" w:eastAsia="宋体" w:cs="Times New Roman"/>
      <w:kern w:val="2"/>
      <w:sz w:val="24"/>
      <w:lang w:val="en-US" w:eastAsia="zh-CN" w:bidi="ar-SA"/>
    </w:rPr>
  </w:style>
  <w:style w:type="paragraph" w:customStyle="1" w:styleId="392">
    <w:name w:val="样式1"/>
    <w:basedOn w:val="7"/>
    <w:qFormat/>
    <w:uiPriority w:val="0"/>
    <w:pPr>
      <w:spacing w:line="360" w:lineRule="auto"/>
      <w:jc w:val="left"/>
    </w:pPr>
    <w:rPr>
      <w:rFonts w:ascii="Calibri" w:hAnsi="Calibri" w:eastAsia="华文中宋" w:cs="Times New Roman"/>
      <w:kern w:val="0"/>
      <w:sz w:val="30"/>
      <w:szCs w:val="32"/>
    </w:rPr>
  </w:style>
  <w:style w:type="paragraph" w:customStyle="1" w:styleId="393">
    <w:name w:val="注×：（正文）"/>
    <w:qFormat/>
    <w:uiPriority w:val="0"/>
    <w:pPr>
      <w:numPr>
        <w:ilvl w:val="0"/>
        <w:numId w:val="20"/>
      </w:numPr>
      <w:ind w:left="0" w:firstLine="0"/>
      <w:jc w:val="both"/>
    </w:pPr>
    <w:rPr>
      <w:rFonts w:ascii="宋体" w:hAnsi="Times New Roman" w:eastAsia="宋体" w:cs="Times New Roman"/>
      <w:sz w:val="18"/>
      <w:szCs w:val="18"/>
      <w:lang w:val="en-US" w:eastAsia="zh-CN" w:bidi="ar-SA"/>
    </w:rPr>
  </w:style>
  <w:style w:type="paragraph" w:customStyle="1" w:styleId="394">
    <w:name w:val="参考文献"/>
    <w:basedOn w:val="1"/>
    <w:next w:val="369"/>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395">
    <w:name w:val="四级无"/>
    <w:basedOn w:val="396"/>
    <w:qFormat/>
    <w:uiPriority w:val="0"/>
    <w:pPr>
      <w:numPr>
        <w:ilvl w:val="0"/>
        <w:numId w:val="0"/>
      </w:numPr>
      <w:tabs>
        <w:tab w:val="left" w:pos="360"/>
      </w:tabs>
      <w:spacing w:before="0" w:beforeLines="0" w:after="0" w:afterLines="0"/>
    </w:pPr>
    <w:rPr>
      <w:rFonts w:ascii="宋体" w:eastAsia="宋体"/>
    </w:rPr>
  </w:style>
  <w:style w:type="paragraph" w:customStyle="1" w:styleId="396">
    <w:name w:val="四级条标题"/>
    <w:basedOn w:val="397"/>
    <w:next w:val="369"/>
    <w:link w:val="1967"/>
    <w:qFormat/>
    <w:uiPriority w:val="0"/>
    <w:pPr>
      <w:numPr>
        <w:ilvl w:val="4"/>
      </w:numPr>
      <w:tabs>
        <w:tab w:val="left" w:pos="360"/>
      </w:tabs>
      <w:outlineLvl w:val="5"/>
    </w:pPr>
  </w:style>
  <w:style w:type="paragraph" w:customStyle="1" w:styleId="397">
    <w:name w:val="三级条标题"/>
    <w:basedOn w:val="398"/>
    <w:next w:val="369"/>
    <w:link w:val="1966"/>
    <w:qFormat/>
    <w:uiPriority w:val="0"/>
    <w:pPr>
      <w:numPr>
        <w:ilvl w:val="3"/>
      </w:numPr>
      <w:tabs>
        <w:tab w:val="left" w:pos="360"/>
      </w:tabs>
      <w:ind w:left="0"/>
      <w:outlineLvl w:val="4"/>
    </w:pPr>
  </w:style>
  <w:style w:type="paragraph" w:customStyle="1" w:styleId="398">
    <w:name w:val="二级条标题"/>
    <w:basedOn w:val="399"/>
    <w:next w:val="369"/>
    <w:link w:val="491"/>
    <w:qFormat/>
    <w:uiPriority w:val="0"/>
    <w:pPr>
      <w:numPr>
        <w:ilvl w:val="2"/>
      </w:numPr>
      <w:spacing w:before="50" w:after="50"/>
      <w:ind w:left="0"/>
      <w:outlineLvl w:val="3"/>
    </w:pPr>
  </w:style>
  <w:style w:type="paragraph" w:customStyle="1" w:styleId="399">
    <w:name w:val="一级条标题"/>
    <w:basedOn w:val="400"/>
    <w:next w:val="369"/>
    <w:link w:val="1964"/>
    <w:qFormat/>
    <w:uiPriority w:val="0"/>
    <w:pPr>
      <w:numPr>
        <w:ilvl w:val="1"/>
      </w:numPr>
      <w:spacing w:before="156" w:beforeLines="50" w:after="156" w:afterLines="50"/>
      <w:outlineLvl w:val="2"/>
    </w:pPr>
    <w:rPr>
      <w:szCs w:val="21"/>
    </w:rPr>
  </w:style>
  <w:style w:type="paragraph" w:customStyle="1" w:styleId="400">
    <w:name w:val="章标题"/>
    <w:next w:val="369"/>
    <w:qFormat/>
    <w:uiPriority w:val="0"/>
    <w:pPr>
      <w:numPr>
        <w:ilvl w:val="0"/>
        <w:numId w:val="2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01">
    <w:name w:val="首示例"/>
    <w:next w:val="369"/>
    <w:link w:val="492"/>
    <w:qFormat/>
    <w:uiPriority w:val="0"/>
    <w:pPr>
      <w:numPr>
        <w:ilvl w:val="0"/>
        <w:numId w:val="22"/>
      </w:numPr>
      <w:tabs>
        <w:tab w:val="left" w:pos="360"/>
      </w:tabs>
      <w:ind w:firstLine="0"/>
    </w:pPr>
    <w:rPr>
      <w:rFonts w:ascii="宋体" w:hAnsi="宋体" w:eastAsia="宋体" w:cs="Times New Roman"/>
      <w:kern w:val="2"/>
      <w:sz w:val="18"/>
      <w:szCs w:val="18"/>
      <w:lang w:val="en-US" w:eastAsia="zh-CN" w:bidi="ar-SA"/>
    </w:rPr>
  </w:style>
  <w:style w:type="paragraph" w:customStyle="1" w:styleId="402">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403">
    <w:name w:val="示例"/>
    <w:next w:val="404"/>
    <w:qFormat/>
    <w:uiPriority w:val="0"/>
    <w:pPr>
      <w:widowControl w:val="0"/>
      <w:numPr>
        <w:ilvl w:val="0"/>
        <w:numId w:val="23"/>
      </w:numPr>
      <w:ind w:firstLine="0"/>
      <w:jc w:val="both"/>
    </w:pPr>
    <w:rPr>
      <w:rFonts w:ascii="宋体" w:hAnsi="Times New Roman" w:eastAsia="宋体" w:cs="Times New Roman"/>
      <w:sz w:val="18"/>
      <w:szCs w:val="18"/>
      <w:lang w:val="en-US" w:eastAsia="zh-CN" w:bidi="ar-SA"/>
    </w:rPr>
  </w:style>
  <w:style w:type="paragraph" w:customStyle="1" w:styleId="404">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405">
    <w:name w:val="三级无"/>
    <w:basedOn w:val="397"/>
    <w:qFormat/>
    <w:uiPriority w:val="0"/>
    <w:pPr>
      <w:spacing w:before="0" w:beforeLines="0" w:after="0" w:afterLines="0"/>
    </w:pPr>
    <w:rPr>
      <w:rFonts w:ascii="宋体" w:eastAsia="宋体"/>
    </w:rPr>
  </w:style>
  <w:style w:type="paragraph" w:customStyle="1" w:styleId="406">
    <w:name w:val="三级无标题条"/>
    <w:basedOn w:val="1"/>
    <w:qFormat/>
    <w:uiPriority w:val="0"/>
    <w:rPr>
      <w:rFonts w:ascii="Times New Roman" w:hAnsi="Times New Roman" w:eastAsia="宋体" w:cs="Times New Roman"/>
      <w:szCs w:val="24"/>
    </w:rPr>
  </w:style>
  <w:style w:type="paragraph" w:customStyle="1" w:styleId="407">
    <w:name w:val="附录四级无"/>
    <w:basedOn w:val="408"/>
    <w:qFormat/>
    <w:uiPriority w:val="0"/>
    <w:pPr>
      <w:tabs>
        <w:tab w:val="left" w:pos="360"/>
      </w:tabs>
      <w:spacing w:before="0" w:beforeLines="0" w:after="0" w:afterLines="0"/>
    </w:pPr>
    <w:rPr>
      <w:rFonts w:ascii="宋体" w:eastAsia="宋体"/>
      <w:szCs w:val="21"/>
    </w:rPr>
  </w:style>
  <w:style w:type="paragraph" w:customStyle="1" w:styleId="408">
    <w:name w:val="附录四级条标题"/>
    <w:basedOn w:val="409"/>
    <w:next w:val="369"/>
    <w:qFormat/>
    <w:uiPriority w:val="0"/>
    <w:pPr>
      <w:numPr>
        <w:ilvl w:val="0"/>
        <w:numId w:val="0"/>
      </w:numPr>
      <w:tabs>
        <w:tab w:val="left" w:pos="360"/>
      </w:tabs>
      <w:outlineLvl w:val="5"/>
    </w:pPr>
  </w:style>
  <w:style w:type="paragraph" w:customStyle="1" w:styleId="409">
    <w:name w:val="附录三级条标题"/>
    <w:basedOn w:val="410"/>
    <w:next w:val="369"/>
    <w:qFormat/>
    <w:uiPriority w:val="0"/>
    <w:pPr>
      <w:numPr>
        <w:ilvl w:val="4"/>
      </w:numPr>
      <w:tabs>
        <w:tab w:val="left" w:pos="360"/>
      </w:tabs>
      <w:outlineLvl w:val="4"/>
    </w:pPr>
  </w:style>
  <w:style w:type="paragraph" w:customStyle="1" w:styleId="410">
    <w:name w:val="附录二级条标题"/>
    <w:basedOn w:val="1"/>
    <w:next w:val="369"/>
    <w:qFormat/>
    <w:uiPriority w:val="0"/>
    <w:pPr>
      <w:widowControl/>
      <w:numPr>
        <w:ilvl w:val="3"/>
        <w:numId w:val="24"/>
      </w:numPr>
      <w:tabs>
        <w:tab w:val="left" w:pos="360"/>
      </w:tabs>
      <w:wordWrap w:val="0"/>
      <w:overflowPunct w:val="0"/>
      <w:autoSpaceDE w:val="0"/>
      <w:autoSpaceDN w:val="0"/>
      <w:spacing w:before="50" w:beforeLines="50" w:after="50" w:afterLines="50"/>
      <w:textAlignment w:val="baseline"/>
      <w:outlineLvl w:val="3"/>
    </w:pPr>
    <w:rPr>
      <w:rFonts w:ascii="黑体" w:hAnsi="Times New Roman" w:eastAsia="黑体" w:cs="Times New Roman"/>
      <w:kern w:val="21"/>
      <w:szCs w:val="20"/>
    </w:rPr>
  </w:style>
  <w:style w:type="paragraph" w:customStyle="1" w:styleId="411">
    <w:name w:val="附录三级无"/>
    <w:basedOn w:val="409"/>
    <w:qFormat/>
    <w:uiPriority w:val="0"/>
    <w:pPr>
      <w:tabs>
        <w:tab w:val="clear" w:pos="360"/>
      </w:tabs>
      <w:spacing w:before="0" w:beforeLines="0" w:after="0" w:afterLines="0"/>
    </w:pPr>
    <w:rPr>
      <w:rFonts w:ascii="宋体" w:eastAsia="宋体"/>
      <w:szCs w:val="21"/>
    </w:rPr>
  </w:style>
  <w:style w:type="paragraph" w:customStyle="1" w:styleId="412">
    <w:name w:val="一级无"/>
    <w:basedOn w:val="399"/>
    <w:qFormat/>
    <w:uiPriority w:val="0"/>
    <w:pPr>
      <w:spacing w:before="0" w:beforeLines="0" w:after="0" w:afterLines="0"/>
    </w:pPr>
    <w:rPr>
      <w:rFonts w:ascii="宋体" w:eastAsia="宋体"/>
    </w:rPr>
  </w:style>
  <w:style w:type="paragraph" w:customStyle="1" w:styleId="413">
    <w:name w:val="附录五级无"/>
    <w:basedOn w:val="414"/>
    <w:qFormat/>
    <w:uiPriority w:val="0"/>
    <w:pPr>
      <w:tabs>
        <w:tab w:val="left" w:pos="360"/>
      </w:tabs>
      <w:spacing w:before="0" w:beforeLines="0" w:after="0" w:afterLines="0"/>
    </w:pPr>
    <w:rPr>
      <w:rFonts w:ascii="宋体" w:eastAsia="宋体"/>
      <w:szCs w:val="21"/>
    </w:rPr>
  </w:style>
  <w:style w:type="paragraph" w:customStyle="1" w:styleId="414">
    <w:name w:val="附录五级条标题"/>
    <w:basedOn w:val="408"/>
    <w:next w:val="369"/>
    <w:qFormat/>
    <w:uiPriority w:val="0"/>
    <w:pPr>
      <w:numPr>
        <w:ilvl w:val="6"/>
      </w:numPr>
      <w:outlineLvl w:val="6"/>
    </w:pPr>
  </w:style>
  <w:style w:type="paragraph" w:customStyle="1" w:styleId="415">
    <w:name w:val="字母编号列项（一级）"/>
    <w:qFormat/>
    <w:uiPriority w:val="0"/>
    <w:pPr>
      <w:numPr>
        <w:ilvl w:val="0"/>
        <w:numId w:val="25"/>
      </w:numPr>
      <w:tabs>
        <w:tab w:val="clear" w:pos="840"/>
      </w:tabs>
      <w:ind w:left="0" w:firstLine="0"/>
      <w:jc w:val="both"/>
    </w:pPr>
    <w:rPr>
      <w:rFonts w:ascii="宋体" w:hAnsi="Times New Roman" w:eastAsia="宋体" w:cs="Times New Roman"/>
      <w:sz w:val="21"/>
      <w:lang w:val="en-US" w:eastAsia="zh-CN" w:bidi="ar-SA"/>
    </w:rPr>
  </w:style>
  <w:style w:type="paragraph" w:customStyle="1" w:styleId="416">
    <w:name w:val="其他发布部门"/>
    <w:basedOn w:val="417"/>
    <w:qFormat/>
    <w:uiPriority w:val="0"/>
    <w:pPr>
      <w:framePr w:wrap="around" w:y="15310"/>
      <w:spacing w:line="0" w:lineRule="atLeast"/>
    </w:pPr>
    <w:rPr>
      <w:rFonts w:ascii="黑体" w:eastAsia="黑体"/>
      <w:b w:val="0"/>
    </w:rPr>
  </w:style>
  <w:style w:type="paragraph" w:customStyle="1" w:styleId="417">
    <w:name w:val="发布部门"/>
    <w:next w:val="369"/>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18">
    <w:name w:val="列项◆（三级）"/>
    <w:basedOn w:val="1"/>
    <w:qFormat/>
    <w:uiPriority w:val="0"/>
    <w:pPr>
      <w:numPr>
        <w:ilvl w:val="2"/>
        <w:numId w:val="26"/>
      </w:numPr>
      <w:tabs>
        <w:tab w:val="clear" w:pos="1678"/>
      </w:tabs>
      <w:ind w:left="0" w:firstLine="0"/>
    </w:pPr>
    <w:rPr>
      <w:rFonts w:ascii="宋体" w:hAnsi="Times New Roman" w:eastAsia="宋体" w:cs="Times New Roman"/>
      <w:szCs w:val="21"/>
    </w:rPr>
  </w:style>
  <w:style w:type="paragraph" w:customStyle="1" w:styleId="419">
    <w:name w:val="前言、引言标题"/>
    <w:next w:val="1"/>
    <w:link w:val="488"/>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20">
    <w:name w:val="列项●（二级）"/>
    <w:qFormat/>
    <w:uiPriority w:val="0"/>
    <w:pPr>
      <w:numPr>
        <w:ilvl w:val="1"/>
        <w:numId w:val="26"/>
      </w:numPr>
      <w:tabs>
        <w:tab w:val="left" w:pos="840"/>
        <w:tab w:val="clear" w:pos="760"/>
      </w:tabs>
      <w:ind w:left="0" w:firstLine="0"/>
      <w:jc w:val="both"/>
    </w:pPr>
    <w:rPr>
      <w:rFonts w:ascii="宋体" w:hAnsi="Times New Roman" w:eastAsia="宋体" w:cs="Times New Roman"/>
      <w:sz w:val="21"/>
      <w:lang w:val="en-US" w:eastAsia="zh-CN" w:bidi="ar-SA"/>
    </w:rPr>
  </w:style>
  <w:style w:type="paragraph" w:customStyle="1" w:styleId="421">
    <w:name w:val="附录公式"/>
    <w:basedOn w:val="369"/>
    <w:next w:val="369"/>
    <w:link w:val="494"/>
    <w:qFormat/>
    <w:uiPriority w:val="0"/>
    <w:pPr>
      <w:tabs>
        <w:tab w:val="center" w:pos="4201"/>
        <w:tab w:val="right" w:leader="dot" w:pos="9298"/>
      </w:tabs>
      <w:ind w:firstLine="420"/>
    </w:pPr>
  </w:style>
  <w:style w:type="paragraph" w:customStyle="1" w:styleId="422">
    <w:name w:val="附录图标题"/>
    <w:basedOn w:val="1"/>
    <w:next w:val="369"/>
    <w:qFormat/>
    <w:uiPriority w:val="0"/>
    <w:pPr>
      <w:tabs>
        <w:tab w:val="left" w:pos="363"/>
      </w:tabs>
      <w:spacing w:before="50" w:beforeLines="50" w:after="50" w:afterLines="50"/>
      <w:ind w:left="2013"/>
      <w:jc w:val="center"/>
    </w:pPr>
    <w:rPr>
      <w:rFonts w:ascii="黑体" w:hAnsi="Times New Roman" w:eastAsia="黑体" w:cs="Times New Roman"/>
      <w:szCs w:val="21"/>
    </w:rPr>
  </w:style>
  <w:style w:type="paragraph" w:customStyle="1" w:styleId="423">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424">
    <w:name w:val="封面标准文稿类别"/>
    <w:basedOn w:val="425"/>
    <w:qFormat/>
    <w:uiPriority w:val="0"/>
    <w:pPr>
      <w:framePr w:wrap="around"/>
      <w:spacing w:after="160" w:line="240" w:lineRule="auto"/>
    </w:pPr>
    <w:rPr>
      <w:sz w:val="24"/>
    </w:rPr>
  </w:style>
  <w:style w:type="paragraph" w:customStyle="1" w:styleId="425">
    <w:name w:val="封面一致性程度标识"/>
    <w:basedOn w:val="426"/>
    <w:qFormat/>
    <w:uiPriority w:val="0"/>
    <w:pPr>
      <w:framePr w:wrap="around"/>
      <w:spacing w:before="440"/>
    </w:pPr>
    <w:rPr>
      <w:rFonts w:ascii="宋体" w:eastAsia="宋体"/>
    </w:rPr>
  </w:style>
  <w:style w:type="paragraph" w:customStyle="1" w:styleId="426">
    <w:name w:val="封面标准英文名称"/>
    <w:basedOn w:val="427"/>
    <w:qFormat/>
    <w:uiPriority w:val="0"/>
    <w:pPr>
      <w:framePr w:wrap="around"/>
      <w:spacing w:before="370" w:line="400" w:lineRule="exact"/>
    </w:pPr>
    <w:rPr>
      <w:rFonts w:ascii="Times New Roman"/>
      <w:sz w:val="28"/>
      <w:szCs w:val="28"/>
    </w:rPr>
  </w:style>
  <w:style w:type="paragraph" w:customStyle="1" w:styleId="427">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28">
    <w:name w:val="封面标准文稿类别2"/>
    <w:basedOn w:val="424"/>
    <w:qFormat/>
    <w:uiPriority w:val="0"/>
    <w:pPr>
      <w:framePr w:wrap="around" w:y="4469"/>
    </w:pPr>
  </w:style>
  <w:style w:type="paragraph" w:customStyle="1" w:styleId="429">
    <w:name w:val="正文公式编号制表符"/>
    <w:basedOn w:val="369"/>
    <w:next w:val="369"/>
    <w:qFormat/>
    <w:uiPriority w:val="0"/>
    <w:pPr>
      <w:tabs>
        <w:tab w:val="center" w:pos="4201"/>
        <w:tab w:val="right" w:leader="dot" w:pos="9298"/>
      </w:tabs>
      <w:ind w:firstLine="0" w:firstLineChars="0"/>
    </w:pPr>
  </w:style>
  <w:style w:type="paragraph" w:customStyle="1" w:styleId="430">
    <w:name w:val="附录图标号"/>
    <w:basedOn w:val="1"/>
    <w:qFormat/>
    <w:uiPriority w:val="0"/>
    <w:pPr>
      <w:keepNext/>
      <w:pageBreakBefore/>
      <w:widowControl/>
      <w:numPr>
        <w:ilvl w:val="0"/>
        <w:numId w:val="27"/>
      </w:numPr>
      <w:spacing w:line="14" w:lineRule="exact"/>
      <w:ind w:left="0" w:firstLine="0"/>
      <w:jc w:val="center"/>
      <w:outlineLvl w:val="0"/>
    </w:pPr>
    <w:rPr>
      <w:rFonts w:ascii="Times New Roman" w:hAnsi="Times New Roman" w:eastAsia="宋体" w:cs="Times New Roman"/>
      <w:color w:val="FFFFFF"/>
      <w:szCs w:val="24"/>
    </w:rPr>
  </w:style>
  <w:style w:type="paragraph" w:customStyle="1" w:styleId="431">
    <w:name w:val="注："/>
    <w:next w:val="369"/>
    <w:qFormat/>
    <w:uiPriority w:val="0"/>
    <w:pPr>
      <w:widowControl w:val="0"/>
      <w:numPr>
        <w:ilvl w:val="0"/>
        <w:numId w:val="28"/>
      </w:numPr>
      <w:autoSpaceDE w:val="0"/>
      <w:autoSpaceDN w:val="0"/>
      <w:ind w:left="0" w:firstLine="0"/>
      <w:jc w:val="both"/>
    </w:pPr>
    <w:rPr>
      <w:rFonts w:ascii="宋体" w:hAnsi="Times New Roman" w:eastAsia="宋体" w:cs="Times New Roman"/>
      <w:sz w:val="18"/>
      <w:szCs w:val="18"/>
      <w:lang w:val="en-US" w:eastAsia="zh-CN" w:bidi="ar-SA"/>
    </w:rPr>
  </w:style>
  <w:style w:type="paragraph" w:customStyle="1" w:styleId="432">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433">
    <w:name w:val="附录标题"/>
    <w:basedOn w:val="369"/>
    <w:next w:val="369"/>
    <w:qFormat/>
    <w:uiPriority w:val="0"/>
    <w:pPr>
      <w:tabs>
        <w:tab w:val="center" w:pos="4201"/>
        <w:tab w:val="right" w:leader="dot" w:pos="9298"/>
      </w:tabs>
      <w:ind w:firstLine="0" w:firstLineChars="0"/>
      <w:jc w:val="center"/>
    </w:pPr>
    <w:rPr>
      <w:rFonts w:ascii="黑体" w:eastAsia="黑体"/>
    </w:rPr>
  </w:style>
  <w:style w:type="paragraph" w:customStyle="1" w:styleId="434">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35">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436">
    <w:name w:val="附录二级无"/>
    <w:basedOn w:val="410"/>
    <w:qFormat/>
    <w:uiPriority w:val="0"/>
    <w:pPr>
      <w:tabs>
        <w:tab w:val="clear" w:pos="360"/>
      </w:tabs>
      <w:spacing w:before="0" w:beforeLines="0" w:after="0" w:afterLines="0"/>
    </w:pPr>
    <w:rPr>
      <w:rFonts w:ascii="宋体" w:eastAsia="宋体"/>
      <w:szCs w:val="21"/>
    </w:rPr>
  </w:style>
  <w:style w:type="paragraph" w:customStyle="1" w:styleId="43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438">
    <w:name w:val="目次、标准名称标题"/>
    <w:basedOn w:val="1"/>
    <w:next w:val="369"/>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439">
    <w:name w:val="附录一级无"/>
    <w:basedOn w:val="440"/>
    <w:qFormat/>
    <w:uiPriority w:val="0"/>
    <w:pPr>
      <w:tabs>
        <w:tab w:val="left" w:pos="360"/>
      </w:tabs>
      <w:spacing w:before="0" w:beforeLines="0" w:after="0" w:afterLines="0"/>
    </w:pPr>
    <w:rPr>
      <w:rFonts w:ascii="宋体" w:eastAsia="宋体"/>
      <w:szCs w:val="21"/>
    </w:rPr>
  </w:style>
  <w:style w:type="paragraph" w:customStyle="1" w:styleId="440">
    <w:name w:val="附录一级条标题"/>
    <w:basedOn w:val="441"/>
    <w:next w:val="369"/>
    <w:qFormat/>
    <w:uiPriority w:val="0"/>
    <w:pPr>
      <w:numPr>
        <w:ilvl w:val="0"/>
        <w:numId w:val="0"/>
      </w:numPr>
      <w:tabs>
        <w:tab w:val="left" w:pos="360"/>
      </w:tabs>
      <w:autoSpaceDN w:val="0"/>
      <w:spacing w:before="50" w:beforeLines="50" w:after="50" w:afterLines="50"/>
      <w:outlineLvl w:val="2"/>
    </w:pPr>
  </w:style>
  <w:style w:type="paragraph" w:customStyle="1" w:styleId="441">
    <w:name w:val="附录章标题"/>
    <w:next w:val="369"/>
    <w:qFormat/>
    <w:uiPriority w:val="0"/>
    <w:pPr>
      <w:numPr>
        <w:ilvl w:val="1"/>
        <w:numId w:val="24"/>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442">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43">
    <w:name w:val="注×："/>
    <w:qFormat/>
    <w:uiPriority w:val="0"/>
    <w:pPr>
      <w:widowControl w:val="0"/>
      <w:numPr>
        <w:ilvl w:val="0"/>
        <w:numId w:val="29"/>
      </w:numPr>
      <w:autoSpaceDE w:val="0"/>
      <w:autoSpaceDN w:val="0"/>
      <w:ind w:left="0" w:firstLine="0"/>
      <w:jc w:val="both"/>
    </w:pPr>
    <w:rPr>
      <w:rFonts w:ascii="宋体" w:hAnsi="Times New Roman" w:eastAsia="宋体" w:cs="Times New Roman"/>
      <w:sz w:val="18"/>
      <w:szCs w:val="18"/>
      <w:lang w:val="en-US" w:eastAsia="zh-CN" w:bidi="ar-SA"/>
    </w:rPr>
  </w:style>
  <w:style w:type="paragraph" w:customStyle="1" w:styleId="444">
    <w:name w:val="正文表标题"/>
    <w:next w:val="369"/>
    <w:qFormat/>
    <w:uiPriority w:val="0"/>
    <w:pPr>
      <w:numPr>
        <w:ilvl w:val="0"/>
        <w:numId w:val="30"/>
      </w:numPr>
      <w:tabs>
        <w:tab w:val="left" w:pos="360"/>
      </w:tabs>
      <w:spacing w:before="156" w:beforeLines="50" w:after="156" w:afterLines="50"/>
      <w:ind w:left="0"/>
      <w:jc w:val="center"/>
    </w:pPr>
    <w:rPr>
      <w:rFonts w:ascii="黑体" w:hAnsi="Times New Roman" w:eastAsia="黑体" w:cs="Times New Roman"/>
      <w:sz w:val="21"/>
      <w:lang w:val="en-US" w:eastAsia="zh-CN" w:bidi="ar-SA"/>
    </w:rPr>
  </w:style>
  <w:style w:type="paragraph" w:customStyle="1" w:styleId="445">
    <w:name w:val="附录表标题"/>
    <w:basedOn w:val="1"/>
    <w:next w:val="369"/>
    <w:qFormat/>
    <w:uiPriority w:val="0"/>
    <w:pPr>
      <w:numPr>
        <w:ilvl w:val="1"/>
        <w:numId w:val="31"/>
      </w:numPr>
      <w:tabs>
        <w:tab w:val="left" w:pos="180"/>
      </w:tabs>
      <w:spacing w:before="50" w:beforeLines="50" w:after="50" w:afterLines="50"/>
      <w:ind w:left="0" w:firstLine="0"/>
      <w:jc w:val="center"/>
    </w:pPr>
    <w:rPr>
      <w:rFonts w:ascii="黑体" w:hAnsi="Times New Roman" w:eastAsia="黑体" w:cs="Times New Roman"/>
      <w:szCs w:val="21"/>
    </w:rPr>
  </w:style>
  <w:style w:type="paragraph" w:customStyle="1" w:styleId="446">
    <w:name w:val="二级无"/>
    <w:basedOn w:val="398"/>
    <w:qFormat/>
    <w:uiPriority w:val="0"/>
    <w:pPr>
      <w:spacing w:before="0" w:beforeLines="0" w:after="0" w:afterLines="0"/>
    </w:pPr>
    <w:rPr>
      <w:rFonts w:ascii="宋体" w:eastAsia="宋体"/>
    </w:rPr>
  </w:style>
  <w:style w:type="paragraph" w:customStyle="1" w:styleId="44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448">
    <w:name w:val="附录字母编号列项（一级）"/>
    <w:qFormat/>
    <w:uiPriority w:val="0"/>
    <w:pPr>
      <w:numPr>
        <w:ilvl w:val="0"/>
        <w:numId w:val="32"/>
      </w:numPr>
      <w:tabs>
        <w:tab w:val="clear" w:pos="839"/>
      </w:tabs>
      <w:ind w:left="0" w:firstLine="0"/>
    </w:pPr>
    <w:rPr>
      <w:rFonts w:ascii="宋体" w:hAnsi="Times New Roman" w:eastAsia="宋体" w:cs="Times New Roman"/>
      <w:sz w:val="21"/>
      <w:lang w:val="en-US" w:eastAsia="zh-CN" w:bidi="ar-SA"/>
    </w:rPr>
  </w:style>
  <w:style w:type="paragraph" w:customStyle="1" w:styleId="449">
    <w:name w:val="示例后文字"/>
    <w:basedOn w:val="369"/>
    <w:next w:val="369"/>
    <w:qFormat/>
    <w:uiPriority w:val="0"/>
    <w:pPr>
      <w:tabs>
        <w:tab w:val="center" w:pos="4201"/>
        <w:tab w:val="right" w:leader="dot" w:pos="9298"/>
      </w:tabs>
      <w:ind w:firstLine="360"/>
    </w:pPr>
    <w:rPr>
      <w:sz w:val="18"/>
    </w:rPr>
  </w:style>
  <w:style w:type="paragraph" w:customStyle="1" w:styleId="450">
    <w:name w:val="封面标准文稿编辑信息2"/>
    <w:basedOn w:val="451"/>
    <w:qFormat/>
    <w:uiPriority w:val="0"/>
    <w:pPr>
      <w:framePr w:wrap="around" w:y="4469"/>
    </w:pPr>
  </w:style>
  <w:style w:type="paragraph" w:customStyle="1" w:styleId="451">
    <w:name w:val="封面标准文稿编辑信息"/>
    <w:basedOn w:val="424"/>
    <w:qFormat/>
    <w:uiPriority w:val="0"/>
    <w:pPr>
      <w:framePr w:wrap="around"/>
      <w:spacing w:before="180" w:line="180" w:lineRule="exact"/>
    </w:pPr>
    <w:rPr>
      <w:sz w:val="21"/>
    </w:rPr>
  </w:style>
  <w:style w:type="paragraph" w:customStyle="1" w:styleId="452">
    <w:name w:val="标准书眉一"/>
    <w:qFormat/>
    <w:uiPriority w:val="0"/>
    <w:pPr>
      <w:jc w:val="both"/>
    </w:pPr>
    <w:rPr>
      <w:rFonts w:ascii="Times New Roman" w:hAnsi="Times New Roman" w:eastAsia="宋体" w:cs="Times New Roman"/>
      <w:lang w:val="en-US" w:eastAsia="zh-CN" w:bidi="ar-SA"/>
    </w:rPr>
  </w:style>
  <w:style w:type="paragraph" w:customStyle="1" w:styleId="45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5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455">
    <w:name w:val="参考文献、索引标题"/>
    <w:basedOn w:val="1"/>
    <w:next w:val="369"/>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456">
    <w:name w:val="五级无"/>
    <w:basedOn w:val="457"/>
    <w:qFormat/>
    <w:uiPriority w:val="0"/>
    <w:pPr>
      <w:tabs>
        <w:tab w:val="left" w:pos="360"/>
      </w:tabs>
      <w:spacing w:before="0" w:beforeLines="0" w:after="0" w:afterLines="0"/>
    </w:pPr>
    <w:rPr>
      <w:rFonts w:ascii="宋体" w:eastAsia="宋体"/>
    </w:rPr>
  </w:style>
  <w:style w:type="paragraph" w:customStyle="1" w:styleId="457">
    <w:name w:val="五级条标题"/>
    <w:basedOn w:val="396"/>
    <w:next w:val="369"/>
    <w:qFormat/>
    <w:uiPriority w:val="0"/>
    <w:pPr>
      <w:numPr>
        <w:ilvl w:val="0"/>
        <w:numId w:val="0"/>
      </w:numPr>
      <w:ind w:left="3000" w:hanging="420"/>
      <w:outlineLvl w:val="6"/>
    </w:pPr>
  </w:style>
  <w:style w:type="paragraph" w:customStyle="1" w:styleId="458">
    <w:name w:val="示例×："/>
    <w:basedOn w:val="400"/>
    <w:qFormat/>
    <w:uiPriority w:val="0"/>
    <w:pPr>
      <w:numPr>
        <w:numId w:val="33"/>
      </w:numPr>
      <w:spacing w:before="0" w:beforeLines="0" w:after="0" w:afterLines="0"/>
      <w:ind w:firstLine="0"/>
      <w:outlineLvl w:val="9"/>
    </w:pPr>
    <w:rPr>
      <w:rFonts w:ascii="宋体" w:eastAsia="宋体"/>
      <w:sz w:val="18"/>
      <w:szCs w:val="18"/>
    </w:rPr>
  </w:style>
  <w:style w:type="paragraph" w:customStyle="1" w:styleId="459">
    <w:name w:val="附录数字编号列项（二级）"/>
    <w:qFormat/>
    <w:uiPriority w:val="0"/>
    <w:pPr>
      <w:numPr>
        <w:ilvl w:val="1"/>
        <w:numId w:val="32"/>
      </w:numPr>
      <w:tabs>
        <w:tab w:val="clear" w:pos="840"/>
      </w:tabs>
      <w:ind w:left="0" w:firstLine="0"/>
    </w:pPr>
    <w:rPr>
      <w:rFonts w:ascii="宋体" w:hAnsi="Times New Roman" w:eastAsia="宋体" w:cs="Times New Roman"/>
      <w:sz w:val="21"/>
      <w:lang w:val="en-US" w:eastAsia="zh-CN" w:bidi="ar-SA"/>
    </w:rPr>
  </w:style>
  <w:style w:type="paragraph" w:customStyle="1" w:styleId="460">
    <w:name w:val="附录标识"/>
    <w:basedOn w:val="1"/>
    <w:next w:val="369"/>
    <w:link w:val="487"/>
    <w:qFormat/>
    <w:uiPriority w:val="0"/>
    <w:pPr>
      <w:keepNext/>
      <w:widowControl/>
      <w:numPr>
        <w:ilvl w:val="0"/>
        <w:numId w:val="24"/>
      </w:numPr>
      <w:shd w:val="clear" w:color="FFFFFF" w:fill="FFFFFF"/>
      <w:tabs>
        <w:tab w:val="left" w:pos="360"/>
        <w:tab w:val="left" w:pos="6405"/>
      </w:tabs>
      <w:spacing w:before="640" w:after="280"/>
      <w:ind w:left="0"/>
      <w:jc w:val="center"/>
      <w:outlineLvl w:val="0"/>
    </w:pPr>
    <w:rPr>
      <w:rFonts w:ascii="黑体" w:hAnsi="Times New Roman" w:eastAsia="黑体" w:cs="Times New Roman"/>
      <w:kern w:val="0"/>
      <w:szCs w:val="20"/>
    </w:rPr>
  </w:style>
  <w:style w:type="paragraph" w:customStyle="1" w:styleId="461">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462">
    <w:name w:val="图标脚注说明"/>
    <w:basedOn w:val="369"/>
    <w:qFormat/>
    <w:uiPriority w:val="0"/>
    <w:pPr>
      <w:tabs>
        <w:tab w:val="center" w:pos="4201"/>
        <w:tab w:val="right" w:leader="dot" w:pos="9298"/>
      </w:tabs>
      <w:ind w:left="840" w:hanging="420" w:firstLineChars="0"/>
    </w:pPr>
    <w:rPr>
      <w:sz w:val="18"/>
      <w:szCs w:val="18"/>
    </w:rPr>
  </w:style>
  <w:style w:type="paragraph" w:customStyle="1" w:styleId="463">
    <w:name w:val="正文图标题"/>
    <w:next w:val="369"/>
    <w:qFormat/>
    <w:uiPriority w:val="0"/>
    <w:pPr>
      <w:numPr>
        <w:ilvl w:val="0"/>
        <w:numId w:val="34"/>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464">
    <w:name w:val="终结线"/>
    <w:basedOn w:val="1"/>
    <w:qFormat/>
    <w:uiPriority w:val="0"/>
    <w:pPr>
      <w:framePr w:hSpace="181" w:vSpace="181" w:wrap="around" w:vAnchor="text" w:hAnchor="margin" w:xAlign="center" w:y="285"/>
    </w:pPr>
    <w:rPr>
      <w:rFonts w:ascii="Times New Roman" w:hAnsi="Times New Roman" w:eastAsia="宋体" w:cs="Times New Roman"/>
      <w:szCs w:val="24"/>
    </w:rPr>
  </w:style>
  <w:style w:type="paragraph" w:customStyle="1" w:styleId="465">
    <w:name w:val="实施日期"/>
    <w:basedOn w:val="461"/>
    <w:qFormat/>
    <w:uiPriority w:val="0"/>
    <w:pPr>
      <w:framePr w:wrap="around" w:vAnchor="page" w:hAnchor="text"/>
      <w:jc w:val="right"/>
    </w:pPr>
  </w:style>
  <w:style w:type="paragraph" w:customStyle="1" w:styleId="466">
    <w:name w:val="其他实施日期"/>
    <w:basedOn w:val="465"/>
    <w:qFormat/>
    <w:uiPriority w:val="0"/>
    <w:pPr>
      <w:framePr w:wrap="around"/>
    </w:pPr>
  </w:style>
  <w:style w:type="paragraph" w:customStyle="1" w:styleId="467">
    <w:name w:val="字母编号列项"/>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468">
    <w:name w:val="封面正文"/>
    <w:qFormat/>
    <w:uiPriority w:val="0"/>
    <w:pPr>
      <w:jc w:val="both"/>
    </w:pPr>
    <w:rPr>
      <w:rFonts w:ascii="Times New Roman" w:hAnsi="Times New Roman" w:eastAsia="宋体" w:cs="Times New Roman"/>
      <w:lang w:val="en-US" w:eastAsia="zh-CN" w:bidi="ar-SA"/>
    </w:rPr>
  </w:style>
  <w:style w:type="paragraph" w:customStyle="1" w:styleId="469">
    <w:name w:val="附录表标号"/>
    <w:basedOn w:val="1"/>
    <w:next w:val="369"/>
    <w:qFormat/>
    <w:uiPriority w:val="0"/>
    <w:pPr>
      <w:numPr>
        <w:ilvl w:val="0"/>
        <w:numId w:val="31"/>
      </w:numPr>
      <w:tabs>
        <w:tab w:val="clear" w:pos="2836"/>
      </w:tabs>
      <w:spacing w:line="14" w:lineRule="exact"/>
      <w:ind w:left="0" w:firstLine="0"/>
      <w:jc w:val="center"/>
      <w:outlineLvl w:val="0"/>
    </w:pPr>
    <w:rPr>
      <w:rFonts w:ascii="Times New Roman" w:hAnsi="Times New Roman" w:eastAsia="宋体" w:cs="Times New Roman"/>
      <w:color w:val="FFFFFF"/>
      <w:szCs w:val="24"/>
    </w:rPr>
  </w:style>
  <w:style w:type="paragraph" w:customStyle="1" w:styleId="470">
    <w:name w:val="附录公式编号制表符"/>
    <w:basedOn w:val="1"/>
    <w:next w:val="369"/>
    <w:qFormat/>
    <w:uiPriority w:val="0"/>
    <w:pPr>
      <w:widowControl/>
      <w:tabs>
        <w:tab w:val="center" w:pos="4201"/>
        <w:tab w:val="right" w:leader="dot" w:pos="9298"/>
      </w:tabs>
      <w:autoSpaceDE w:val="0"/>
      <w:autoSpaceDN w:val="0"/>
    </w:pPr>
    <w:rPr>
      <w:rFonts w:ascii="宋体" w:hAnsi="Times New Roman" w:eastAsia="宋体" w:cs="Times New Roman"/>
      <w:kern w:val="0"/>
      <w:szCs w:val="20"/>
    </w:rPr>
  </w:style>
  <w:style w:type="paragraph" w:customStyle="1" w:styleId="471">
    <w:name w:val="图表脚注说明"/>
    <w:basedOn w:val="1"/>
    <w:qFormat/>
    <w:uiPriority w:val="0"/>
    <w:pPr>
      <w:numPr>
        <w:ilvl w:val="0"/>
        <w:numId w:val="35"/>
      </w:numPr>
      <w:ind w:left="0" w:firstLine="0"/>
    </w:pPr>
    <w:rPr>
      <w:rFonts w:ascii="宋体" w:hAnsi="Times New Roman" w:eastAsia="宋体" w:cs="Times New Roman"/>
      <w:sz w:val="18"/>
      <w:szCs w:val="18"/>
    </w:rPr>
  </w:style>
  <w:style w:type="paragraph" w:customStyle="1" w:styleId="472">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473">
    <w:name w:val="数字编号列项（二级）"/>
    <w:qFormat/>
    <w:uiPriority w:val="0"/>
    <w:pPr>
      <w:numPr>
        <w:ilvl w:val="1"/>
        <w:numId w:val="25"/>
      </w:numPr>
      <w:tabs>
        <w:tab w:val="clear" w:pos="1260"/>
      </w:tabs>
      <w:ind w:left="0" w:firstLine="0"/>
      <w:jc w:val="both"/>
    </w:pPr>
    <w:rPr>
      <w:rFonts w:ascii="宋体" w:hAnsi="Times New Roman" w:eastAsia="宋体" w:cs="Times New Roman"/>
      <w:sz w:val="21"/>
      <w:lang w:val="en-US" w:eastAsia="zh-CN" w:bidi="ar-SA"/>
    </w:rPr>
  </w:style>
  <w:style w:type="paragraph" w:customStyle="1" w:styleId="474">
    <w:name w:val="图的脚注"/>
    <w:next w:val="369"/>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475">
    <w:name w:val="其他标准标志"/>
    <w:basedOn w:val="476"/>
    <w:qFormat/>
    <w:uiPriority w:val="0"/>
    <w:pPr>
      <w:framePr w:w="6101" w:wrap="around" w:vAnchor="page" w:hAnchor="page" w:x="4673" w:y="942"/>
    </w:pPr>
    <w:rPr>
      <w:w w:val="130"/>
    </w:rPr>
  </w:style>
  <w:style w:type="paragraph" w:customStyle="1" w:styleId="476">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477">
    <w:name w:val="封面标准英文名称2"/>
    <w:basedOn w:val="426"/>
    <w:qFormat/>
    <w:uiPriority w:val="0"/>
    <w:pPr>
      <w:framePr w:wrap="around" w:y="4469"/>
    </w:pPr>
  </w:style>
  <w:style w:type="paragraph" w:customStyle="1" w:styleId="478">
    <w:name w:val="封面一致性程度标识2"/>
    <w:basedOn w:val="425"/>
    <w:qFormat/>
    <w:uiPriority w:val="0"/>
    <w:pPr>
      <w:framePr w:wrap="around" w:y="4469"/>
    </w:pPr>
  </w:style>
  <w:style w:type="paragraph" w:customStyle="1" w:styleId="479">
    <w:name w:val="其他发布日期"/>
    <w:basedOn w:val="461"/>
    <w:qFormat/>
    <w:uiPriority w:val="0"/>
    <w:pPr>
      <w:framePr w:wrap="around" w:vAnchor="page" w:hAnchor="text" w:x="1419"/>
    </w:pPr>
  </w:style>
  <w:style w:type="paragraph" w:customStyle="1" w:styleId="480">
    <w:name w:val="标准书眉_偶数页"/>
    <w:basedOn w:val="442"/>
    <w:next w:val="1"/>
    <w:qFormat/>
    <w:uiPriority w:val="0"/>
    <w:pPr>
      <w:jc w:val="left"/>
    </w:pPr>
  </w:style>
  <w:style w:type="paragraph" w:customStyle="1" w:styleId="481">
    <w:name w:val="列项说明"/>
    <w:basedOn w:val="1"/>
    <w:qFormat/>
    <w:uiPriority w:val="0"/>
    <w:pPr>
      <w:adjustRightInd w:val="0"/>
      <w:spacing w:line="320" w:lineRule="exact"/>
      <w:ind w:left="400" w:leftChars="200" w:hanging="200" w:hangingChars="200"/>
      <w:jc w:val="left"/>
      <w:textAlignment w:val="baseline"/>
    </w:pPr>
    <w:rPr>
      <w:rFonts w:ascii="宋体" w:hAnsi="Times New Roman" w:eastAsia="宋体" w:cs="Times New Roman"/>
      <w:kern w:val="0"/>
      <w:szCs w:val="20"/>
    </w:rPr>
  </w:style>
  <w:style w:type="paragraph" w:customStyle="1" w:styleId="482">
    <w:name w:val="列表段落111"/>
    <w:basedOn w:val="1"/>
    <w:qFormat/>
    <w:uiPriority w:val="0"/>
    <w:pPr>
      <w:ind w:firstLine="420"/>
    </w:pPr>
    <w:rPr>
      <w:rFonts w:ascii="Times New Roman" w:hAnsi="Times New Roman" w:eastAsia="宋体" w:cs="Times New Roman"/>
      <w:szCs w:val="24"/>
    </w:rPr>
  </w:style>
  <w:style w:type="paragraph" w:customStyle="1" w:styleId="483">
    <w:name w:val="注：（正文）"/>
    <w:basedOn w:val="431"/>
    <w:next w:val="369"/>
    <w:qFormat/>
    <w:uiPriority w:val="0"/>
  </w:style>
  <w:style w:type="paragraph" w:customStyle="1" w:styleId="484">
    <w:name w:val="封面标准名称2"/>
    <w:basedOn w:val="427"/>
    <w:qFormat/>
    <w:uiPriority w:val="0"/>
    <w:pPr>
      <w:framePr w:wrap="around" w:y="4469"/>
      <w:spacing w:before="630" w:beforeLines="630"/>
    </w:pPr>
  </w:style>
  <w:style w:type="paragraph" w:customStyle="1" w:styleId="485">
    <w:name w:val="列项——（一级）"/>
    <w:qFormat/>
    <w:uiPriority w:val="0"/>
    <w:pPr>
      <w:widowControl w:val="0"/>
      <w:numPr>
        <w:ilvl w:val="0"/>
        <w:numId w:val="26"/>
      </w:numPr>
      <w:ind w:left="0" w:firstLine="0"/>
      <w:jc w:val="both"/>
    </w:pPr>
    <w:rPr>
      <w:rFonts w:ascii="宋体" w:hAnsi="Times New Roman" w:eastAsia="宋体" w:cs="Times New Roman"/>
      <w:sz w:val="21"/>
      <w:lang w:val="en-US" w:eastAsia="zh-CN" w:bidi="ar-SA"/>
    </w:rPr>
  </w:style>
  <w:style w:type="paragraph" w:customStyle="1" w:styleId="486">
    <w:name w:val="条文脚注"/>
    <w:basedOn w:val="71"/>
    <w:qFormat/>
    <w:uiPriority w:val="0"/>
    <w:pPr>
      <w:tabs>
        <w:tab w:val="left" w:pos="0"/>
      </w:tabs>
      <w:spacing w:line="240" w:lineRule="auto"/>
      <w:jc w:val="both"/>
    </w:pPr>
    <w:rPr>
      <w:rFonts w:ascii="宋体"/>
    </w:rPr>
  </w:style>
  <w:style w:type="character" w:customStyle="1" w:styleId="487">
    <w:name w:val="附录标识 Char1"/>
    <w:link w:val="460"/>
    <w:qFormat/>
    <w:uiPriority w:val="0"/>
    <w:rPr>
      <w:rFonts w:ascii="黑体" w:eastAsia="黑体"/>
      <w:sz w:val="21"/>
      <w:shd w:val="clear" w:color="FFFFFF" w:fill="FFFFFF"/>
    </w:rPr>
  </w:style>
  <w:style w:type="character" w:customStyle="1" w:styleId="488">
    <w:name w:val="前言、引言标题 Char"/>
    <w:link w:val="419"/>
    <w:qFormat/>
    <w:uiPriority w:val="0"/>
    <w:rPr>
      <w:rFonts w:ascii="黑体" w:hAnsi="Times New Roman" w:eastAsia="黑体" w:cs="Times New Roman"/>
      <w:sz w:val="32"/>
      <w:shd w:val="clear" w:color="FFFFFF" w:fill="FFFFFF"/>
    </w:rPr>
  </w:style>
  <w:style w:type="character" w:customStyle="1" w:styleId="489">
    <w:name w:val="发布"/>
    <w:qFormat/>
    <w:uiPriority w:val="0"/>
    <w:rPr>
      <w:rFonts w:ascii="黑体" w:eastAsia="黑体"/>
      <w:spacing w:val="85"/>
      <w:w w:val="100"/>
      <w:position w:val="3"/>
      <w:sz w:val="28"/>
      <w:szCs w:val="28"/>
    </w:rPr>
  </w:style>
  <w:style w:type="character" w:customStyle="1" w:styleId="490">
    <w:name w:val="字母编号列项（一级） Char"/>
    <w:qFormat/>
    <w:uiPriority w:val="0"/>
    <w:rPr>
      <w:rFonts w:ascii="宋体" w:eastAsia="宋体"/>
      <w:sz w:val="21"/>
      <w:lang w:val="en-US" w:eastAsia="zh-CN" w:bidi="ar-SA"/>
    </w:rPr>
  </w:style>
  <w:style w:type="character" w:customStyle="1" w:styleId="491">
    <w:name w:val="二级条标题 Char"/>
    <w:link w:val="398"/>
    <w:qFormat/>
    <w:uiPriority w:val="0"/>
    <w:rPr>
      <w:rFonts w:ascii="黑体" w:eastAsia="黑体"/>
      <w:sz w:val="21"/>
      <w:szCs w:val="21"/>
    </w:rPr>
  </w:style>
  <w:style w:type="character" w:customStyle="1" w:styleId="492">
    <w:name w:val="首示例 Char"/>
    <w:link w:val="401"/>
    <w:qFormat/>
    <w:uiPriority w:val="0"/>
    <w:rPr>
      <w:rFonts w:ascii="宋体" w:hAnsi="宋体"/>
      <w:kern w:val="2"/>
      <w:sz w:val="18"/>
      <w:szCs w:val="18"/>
    </w:rPr>
  </w:style>
  <w:style w:type="character" w:customStyle="1" w:styleId="493">
    <w:name w:val="段 Char Char"/>
    <w:qFormat/>
    <w:uiPriority w:val="0"/>
    <w:rPr>
      <w:rFonts w:ascii="宋体"/>
      <w:sz w:val="21"/>
      <w:lang w:val="en-US" w:eastAsia="zh-CN" w:bidi="ar-SA"/>
    </w:rPr>
  </w:style>
  <w:style w:type="character" w:customStyle="1" w:styleId="494">
    <w:name w:val="附录公式 Char"/>
    <w:link w:val="421"/>
    <w:qFormat/>
    <w:uiPriority w:val="0"/>
    <w:rPr>
      <w:rFonts w:ascii="宋体" w:hAnsi="Times New Roman" w:eastAsia="宋体" w:cs="Times New Roman"/>
      <w:sz w:val="21"/>
    </w:rPr>
  </w:style>
  <w:style w:type="character" w:customStyle="1" w:styleId="495">
    <w:name w:val="段 Char1"/>
    <w:qFormat/>
    <w:uiPriority w:val="0"/>
    <w:rPr>
      <w:rFonts w:ascii="宋体" w:eastAsia="宋体"/>
      <w:sz w:val="21"/>
      <w:lang w:val="en-US" w:eastAsia="zh-CN" w:bidi="ar-SA"/>
    </w:rPr>
  </w:style>
  <w:style w:type="paragraph" w:customStyle="1" w:styleId="496">
    <w:name w:val="列表段落11"/>
    <w:basedOn w:val="1"/>
    <w:qFormat/>
    <w:uiPriority w:val="0"/>
    <w:pPr>
      <w:ind w:firstLine="420"/>
    </w:pPr>
    <w:rPr>
      <w:rFonts w:ascii="Times New Roman" w:hAnsi="Times New Roman" w:eastAsia="宋体" w:cs="Times New Roman"/>
      <w:szCs w:val="24"/>
    </w:rPr>
  </w:style>
  <w:style w:type="paragraph" w:customStyle="1" w:styleId="497">
    <w:name w:val="修订111"/>
    <w:hidden/>
    <w:qFormat/>
    <w:uiPriority w:val="99"/>
    <w:rPr>
      <w:rFonts w:ascii="Times New Roman" w:hAnsi="Times New Roman" w:eastAsia="宋体" w:cs="Times New Roman"/>
      <w:kern w:val="2"/>
      <w:sz w:val="21"/>
      <w:szCs w:val="24"/>
      <w:lang w:val="en-US" w:eastAsia="zh-CN" w:bidi="ar-SA"/>
    </w:rPr>
  </w:style>
  <w:style w:type="paragraph" w:customStyle="1" w:styleId="498">
    <w:name w:val="修订2"/>
    <w:hidden/>
    <w:qFormat/>
    <w:uiPriority w:val="0"/>
    <w:rPr>
      <w:rFonts w:ascii="Times New Roman" w:hAnsi="Times New Roman" w:eastAsia="宋体" w:cs="Times New Roman"/>
      <w:kern w:val="2"/>
      <w:sz w:val="21"/>
      <w:szCs w:val="24"/>
      <w:lang w:val="en-US" w:eastAsia="zh-CN" w:bidi="ar-SA"/>
    </w:rPr>
  </w:style>
  <w:style w:type="paragraph" w:customStyle="1" w:styleId="499">
    <w:name w:val="修订3"/>
    <w:hidden/>
    <w:qFormat/>
    <w:uiPriority w:val="99"/>
    <w:rPr>
      <w:rFonts w:ascii="Times New Roman" w:hAnsi="Times New Roman" w:eastAsia="宋体" w:cs="Times New Roman"/>
      <w:kern w:val="2"/>
      <w:sz w:val="21"/>
      <w:szCs w:val="24"/>
      <w:lang w:val="en-US" w:eastAsia="zh-CN" w:bidi="ar-SA"/>
    </w:rPr>
  </w:style>
  <w:style w:type="character" w:customStyle="1" w:styleId="500">
    <w:name w:val="页脚 字符1"/>
    <w:qFormat/>
    <w:uiPriority w:val="99"/>
    <w:rPr>
      <w:kern w:val="2"/>
      <w:sz w:val="18"/>
      <w:szCs w:val="18"/>
    </w:rPr>
  </w:style>
  <w:style w:type="character" w:customStyle="1" w:styleId="501">
    <w:name w:val="页眉 字符1"/>
    <w:qFormat/>
    <w:uiPriority w:val="99"/>
    <w:rPr>
      <w:kern w:val="2"/>
      <w:sz w:val="18"/>
      <w:szCs w:val="18"/>
    </w:rPr>
  </w:style>
  <w:style w:type="paragraph" w:customStyle="1" w:styleId="502">
    <w:name w:val="彩色列表 - 着色 11"/>
    <w:basedOn w:val="1"/>
    <w:link w:val="2699"/>
    <w:qFormat/>
    <w:uiPriority w:val="34"/>
    <w:pPr>
      <w:spacing w:line="360" w:lineRule="auto"/>
      <w:ind w:firstLine="420" w:firstLineChars="200"/>
    </w:pPr>
    <w:rPr>
      <w:rFonts w:ascii="Calibri" w:hAnsi="Calibri" w:eastAsia="宋体" w:cs="Times New Roman"/>
    </w:rPr>
  </w:style>
  <w:style w:type="paragraph" w:customStyle="1" w:styleId="503">
    <w:name w:val="普通正文"/>
    <w:basedOn w:val="1"/>
    <w:link w:val="1819"/>
    <w:qFormat/>
    <w:uiPriority w:val="0"/>
    <w:pPr>
      <w:widowControl/>
      <w:adjustRightInd w:val="0"/>
      <w:spacing w:before="120" w:after="120" w:line="360" w:lineRule="auto"/>
      <w:jc w:val="center"/>
      <w:textAlignment w:val="baseline"/>
    </w:pPr>
    <w:rPr>
      <w:rFonts w:ascii="Arial" w:hAnsi="Arial" w:eastAsia="宋体" w:cs="宋体"/>
      <w:kern w:val="0"/>
      <w:sz w:val="24"/>
      <w:szCs w:val="24"/>
    </w:rPr>
  </w:style>
  <w:style w:type="paragraph" w:customStyle="1" w:styleId="504">
    <w:name w:val="正文 居中"/>
    <w:basedOn w:val="1"/>
    <w:qFormat/>
    <w:uiPriority w:val="0"/>
    <w:pPr>
      <w:spacing w:line="360" w:lineRule="auto"/>
      <w:jc w:val="center"/>
    </w:pPr>
    <w:rPr>
      <w:rFonts w:ascii="Times New Roman" w:hAnsi="Times New Roman" w:eastAsia="宋体" w:cs="宋体"/>
      <w:sz w:val="24"/>
      <w:szCs w:val="20"/>
    </w:rPr>
  </w:style>
  <w:style w:type="table" w:customStyle="1" w:styleId="505">
    <w:name w:val="浅色底纹1"/>
    <w:basedOn w:val="90"/>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506">
    <w:name w:val="大标题"/>
    <w:basedOn w:val="1"/>
    <w:next w:val="326"/>
    <w:qFormat/>
    <w:uiPriority w:val="0"/>
    <w:pPr>
      <w:spacing w:before="156" w:beforeLines="50" w:after="156" w:afterLines="50" w:line="360" w:lineRule="auto"/>
      <w:ind w:firstLine="420"/>
      <w:jc w:val="center"/>
      <w:outlineLvl w:val="0"/>
    </w:pPr>
    <w:rPr>
      <w:rFonts w:ascii="宋体" w:hAnsi="宋体" w:eastAsia="宋体" w:cs="Times New Roman"/>
      <w:b/>
      <w:sz w:val="44"/>
      <w:szCs w:val="28"/>
    </w:rPr>
  </w:style>
  <w:style w:type="paragraph" w:customStyle="1" w:styleId="507">
    <w:name w:val="表头文字样式"/>
    <w:basedOn w:val="326"/>
    <w:link w:val="586"/>
    <w:qFormat/>
    <w:uiPriority w:val="0"/>
    <w:pPr>
      <w:ind w:firstLine="0" w:firstLineChars="0"/>
      <w:jc w:val="center"/>
    </w:pPr>
    <w:rPr>
      <w:b/>
      <w:sz w:val="21"/>
    </w:rPr>
  </w:style>
  <w:style w:type="paragraph" w:customStyle="1" w:styleId="508">
    <w:name w:val="前言一级标题样式"/>
    <w:basedOn w:val="1"/>
    <w:next w:val="326"/>
    <w:qFormat/>
    <w:uiPriority w:val="1"/>
    <w:pPr>
      <w:spacing w:line="360" w:lineRule="auto"/>
      <w:ind w:firstLine="643" w:firstLineChars="200"/>
      <w:outlineLvl w:val="0"/>
    </w:pPr>
    <w:rPr>
      <w:rFonts w:ascii="宋体" w:hAnsi="宋体" w:eastAsia="宋体" w:cs="Times New Roman"/>
      <w:b/>
      <w:sz w:val="32"/>
      <w:szCs w:val="24"/>
    </w:rPr>
  </w:style>
  <w:style w:type="paragraph" w:customStyle="1" w:styleId="509">
    <w:name w:val="表格题注样式"/>
    <w:basedOn w:val="1"/>
    <w:next w:val="1"/>
    <w:link w:val="2494"/>
    <w:qFormat/>
    <w:uiPriority w:val="0"/>
    <w:pPr>
      <w:spacing w:line="360" w:lineRule="auto"/>
      <w:jc w:val="center"/>
    </w:pPr>
    <w:rPr>
      <w:rFonts w:ascii="黑体" w:hAnsi="Times New Roman" w:eastAsia="黑体" w:cs="Times New Roman"/>
      <w:szCs w:val="21"/>
    </w:rPr>
  </w:style>
  <w:style w:type="paragraph" w:customStyle="1" w:styleId="510">
    <w:name w:val="图文字"/>
    <w:basedOn w:val="1"/>
    <w:next w:val="326"/>
    <w:qFormat/>
    <w:uiPriority w:val="10"/>
    <w:pPr>
      <w:spacing w:line="360" w:lineRule="auto"/>
      <w:jc w:val="center"/>
    </w:pPr>
    <w:rPr>
      <w:rFonts w:ascii="Times New Roman" w:hAnsi="Times New Roman" w:eastAsia="宋体" w:cs="宋体"/>
      <w:sz w:val="18"/>
      <w:szCs w:val="18"/>
    </w:rPr>
  </w:style>
  <w:style w:type="paragraph" w:customStyle="1" w:styleId="511">
    <w:name w:val="表格文字样式"/>
    <w:basedOn w:val="1"/>
    <w:qFormat/>
    <w:uiPriority w:val="0"/>
    <w:pPr>
      <w:spacing w:line="360" w:lineRule="auto"/>
    </w:pPr>
    <w:rPr>
      <w:rFonts w:ascii="Times New Roman" w:hAnsi="Times New Roman" w:eastAsia="宋体" w:cs="Times New Roman"/>
      <w:szCs w:val="21"/>
    </w:rPr>
  </w:style>
  <w:style w:type="paragraph" w:customStyle="1" w:styleId="512">
    <w:name w:val="斜体样式"/>
    <w:basedOn w:val="326"/>
    <w:link w:val="515"/>
    <w:qFormat/>
    <w:uiPriority w:val="0"/>
    <w:pPr>
      <w:ind w:firstLine="200"/>
    </w:pPr>
    <w:rPr>
      <w:i/>
      <w:color w:val="0000FF"/>
      <w:sz w:val="21"/>
    </w:rPr>
  </w:style>
  <w:style w:type="paragraph" w:customStyle="1" w:styleId="513">
    <w:name w:val="表格编号样式1"/>
    <w:basedOn w:val="511"/>
    <w:qFormat/>
    <w:uiPriority w:val="99"/>
    <w:pPr>
      <w:numPr>
        <w:ilvl w:val="0"/>
        <w:numId w:val="36"/>
      </w:numPr>
      <w:tabs>
        <w:tab w:val="clear" w:pos="0"/>
      </w:tabs>
    </w:pPr>
  </w:style>
  <w:style w:type="paragraph" w:customStyle="1" w:styleId="514">
    <w:name w:val="表格编号样式2"/>
    <w:basedOn w:val="511"/>
    <w:qFormat/>
    <w:uiPriority w:val="99"/>
    <w:pPr>
      <w:numPr>
        <w:ilvl w:val="0"/>
        <w:numId w:val="37"/>
      </w:numPr>
      <w:tabs>
        <w:tab w:val="clear" w:pos="0"/>
      </w:tabs>
      <w:ind w:firstLine="0"/>
    </w:pPr>
  </w:style>
  <w:style w:type="character" w:customStyle="1" w:styleId="515">
    <w:name w:val="斜体样式 Char"/>
    <w:link w:val="512"/>
    <w:qFormat/>
    <w:uiPriority w:val="0"/>
    <w:rPr>
      <w:rFonts w:ascii="Times New Roman" w:hAnsi="Times New Roman" w:eastAsia="宋体" w:cs="Times New Roman"/>
      <w:i/>
      <w:color w:val="0000FF"/>
      <w:kern w:val="2"/>
      <w:sz w:val="21"/>
      <w:szCs w:val="24"/>
    </w:rPr>
  </w:style>
  <w:style w:type="paragraph" w:customStyle="1" w:styleId="516">
    <w:name w:val="首行缩进:  0.85 厘米"/>
    <w:basedOn w:val="1"/>
    <w:link w:val="517"/>
    <w:qFormat/>
    <w:uiPriority w:val="0"/>
    <w:pPr>
      <w:widowControl/>
      <w:spacing w:after="100" w:line="360" w:lineRule="auto"/>
      <w:ind w:firstLine="482"/>
      <w:jc w:val="left"/>
    </w:pPr>
    <w:rPr>
      <w:rFonts w:ascii="Calibri" w:hAnsi="Calibri" w:eastAsia="宋体" w:cs="宋体"/>
      <w:kern w:val="0"/>
      <w:sz w:val="24"/>
      <w:szCs w:val="20"/>
      <w:lang w:eastAsia="en-US" w:bidi="en-US"/>
    </w:rPr>
  </w:style>
  <w:style w:type="character" w:customStyle="1" w:styleId="517">
    <w:name w:val="首行缩进:  0.85 厘米 Char"/>
    <w:link w:val="516"/>
    <w:qFormat/>
    <w:locked/>
    <w:uiPriority w:val="0"/>
    <w:rPr>
      <w:rFonts w:ascii="Calibri" w:hAnsi="Calibri" w:eastAsia="宋体" w:cs="宋体"/>
      <w:sz w:val="24"/>
      <w:lang w:eastAsia="en-US" w:bidi="en-US"/>
    </w:rPr>
  </w:style>
  <w:style w:type="paragraph" w:customStyle="1" w:styleId="518">
    <w:name w:val="论文正文"/>
    <w:basedOn w:val="1"/>
    <w:link w:val="519"/>
    <w:qFormat/>
    <w:uiPriority w:val="0"/>
    <w:pPr>
      <w:widowControl/>
      <w:spacing w:line="400" w:lineRule="exact"/>
      <w:ind w:firstLine="200" w:firstLineChars="200"/>
    </w:pPr>
    <w:rPr>
      <w:rFonts w:ascii="Calibri" w:hAnsi="Calibri" w:eastAsia="宋体" w:cs="Times New Roman"/>
      <w:kern w:val="0"/>
      <w:sz w:val="24"/>
      <w:szCs w:val="24"/>
      <w:lang w:bidi="en-US"/>
    </w:rPr>
  </w:style>
  <w:style w:type="character" w:customStyle="1" w:styleId="519">
    <w:name w:val="论文正文 Char"/>
    <w:link w:val="518"/>
    <w:qFormat/>
    <w:uiPriority w:val="0"/>
    <w:rPr>
      <w:rFonts w:ascii="Calibri" w:hAnsi="Calibri" w:eastAsia="宋体" w:cs="Times New Roman"/>
      <w:sz w:val="24"/>
      <w:szCs w:val="24"/>
      <w:lang w:bidi="en-US"/>
    </w:rPr>
  </w:style>
  <w:style w:type="paragraph" w:customStyle="1" w:styleId="520">
    <w:name w:val="表格5号字"/>
    <w:basedOn w:val="1"/>
    <w:qFormat/>
    <w:uiPriority w:val="0"/>
    <w:pPr>
      <w:framePr w:hSpace="180" w:wrap="around" w:vAnchor="text" w:hAnchor="margin" w:y="625"/>
      <w:spacing w:line="400" w:lineRule="exact"/>
    </w:pPr>
    <w:rPr>
      <w:rFonts w:ascii="宋体" w:hAnsi="宋体" w:eastAsia="宋体" w:cs="Times New Roman"/>
      <w:szCs w:val="21"/>
    </w:rPr>
  </w:style>
  <w:style w:type="paragraph" w:customStyle="1" w:styleId="521">
    <w:name w:val="正文首行缩进6"/>
    <w:basedOn w:val="1"/>
    <w:qFormat/>
    <w:uiPriority w:val="0"/>
    <w:pPr>
      <w:spacing w:line="360" w:lineRule="auto"/>
      <w:ind w:left="960" w:leftChars="400" w:firstLine="480" w:firstLineChars="200"/>
    </w:pPr>
    <w:rPr>
      <w:rFonts w:ascii="宋体" w:hAnsi="Times New Roman" w:eastAsia="宋体" w:cs="Times New Roman"/>
      <w:sz w:val="24"/>
      <w:szCs w:val="20"/>
    </w:rPr>
  </w:style>
  <w:style w:type="paragraph" w:customStyle="1" w:styleId="522">
    <w:name w:val="大纲正文"/>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523">
    <w:name w:val="图片居中"/>
    <w:basedOn w:val="1"/>
    <w:qFormat/>
    <w:uiPriority w:val="0"/>
    <w:pPr>
      <w:spacing w:line="360" w:lineRule="auto"/>
      <w:jc w:val="center"/>
    </w:pPr>
    <w:rPr>
      <w:rFonts w:ascii="宋体" w:hAnsi="宋体" w:eastAsia="宋体" w:cs="宋体"/>
      <w:sz w:val="24"/>
      <w:szCs w:val="20"/>
    </w:rPr>
  </w:style>
  <w:style w:type="paragraph" w:customStyle="1" w:styleId="524">
    <w:name w:val="哈哈正文"/>
    <w:basedOn w:val="1"/>
    <w:link w:val="525"/>
    <w:qFormat/>
    <w:uiPriority w:val="0"/>
    <w:pPr>
      <w:spacing w:line="360" w:lineRule="auto"/>
      <w:ind w:firstLine="200" w:firstLineChars="200"/>
    </w:pPr>
    <w:rPr>
      <w:rFonts w:ascii="宋体" w:hAnsi="宋体" w:eastAsia="宋体" w:cs="宋体"/>
      <w:sz w:val="24"/>
      <w:szCs w:val="20"/>
    </w:rPr>
  </w:style>
  <w:style w:type="character" w:customStyle="1" w:styleId="525">
    <w:name w:val="哈哈正文 Char"/>
    <w:link w:val="524"/>
    <w:qFormat/>
    <w:uiPriority w:val="0"/>
    <w:rPr>
      <w:rFonts w:ascii="宋体" w:hAnsi="宋体" w:eastAsia="宋体" w:cs="宋体"/>
      <w:kern w:val="2"/>
      <w:sz w:val="24"/>
    </w:rPr>
  </w:style>
  <w:style w:type="paragraph" w:customStyle="1" w:styleId="526">
    <w:name w:val="符号 1"/>
    <w:basedOn w:val="13"/>
    <w:qFormat/>
    <w:uiPriority w:val="0"/>
    <w:pPr>
      <w:tabs>
        <w:tab w:val="left" w:pos="900"/>
      </w:tabs>
      <w:spacing w:after="0"/>
      <w:ind w:left="900" w:leftChars="0" w:hanging="420" w:firstLineChars="0"/>
    </w:pPr>
    <w:rPr>
      <w:rFonts w:ascii="Times New Roman" w:hAnsi="Times New Roman" w:eastAsia="宋体" w:cs="Times New Roman"/>
      <w:kern w:val="28"/>
      <w:szCs w:val="24"/>
    </w:rPr>
  </w:style>
  <w:style w:type="character" w:customStyle="1" w:styleId="527">
    <w:name w:val="标题 6 Char"/>
    <w:qFormat/>
    <w:uiPriority w:val="9"/>
    <w:rPr>
      <w:rFonts w:eastAsia="宋体"/>
      <w:b/>
      <w:bCs/>
      <w:sz w:val="24"/>
      <w:szCs w:val="24"/>
      <w:lang w:val="en-US" w:eastAsia="zh-CN" w:bidi="ar-SA"/>
    </w:rPr>
  </w:style>
  <w:style w:type="paragraph" w:customStyle="1" w:styleId="528">
    <w:name w:val="表格标题(居中)"/>
    <w:basedOn w:val="1"/>
    <w:link w:val="529"/>
    <w:qFormat/>
    <w:uiPriority w:val="0"/>
    <w:pPr>
      <w:snapToGrid w:val="0"/>
      <w:spacing w:line="300" w:lineRule="auto"/>
      <w:jc w:val="center"/>
    </w:pPr>
    <w:rPr>
      <w:rFonts w:ascii="Times New Roman" w:hAnsi="Times New Roman" w:eastAsia="黑体" w:cs="Times New Roman"/>
      <w:sz w:val="24"/>
      <w:szCs w:val="20"/>
    </w:rPr>
  </w:style>
  <w:style w:type="character" w:customStyle="1" w:styleId="529">
    <w:name w:val="表格标题(居中) Char"/>
    <w:link w:val="528"/>
    <w:qFormat/>
    <w:uiPriority w:val="0"/>
    <w:rPr>
      <w:rFonts w:ascii="Times New Roman" w:hAnsi="Times New Roman" w:eastAsia="黑体" w:cs="Times New Roman"/>
      <w:kern w:val="2"/>
      <w:sz w:val="24"/>
    </w:rPr>
  </w:style>
  <w:style w:type="character" w:customStyle="1" w:styleId="530">
    <w:name w:val="三级标题 Char"/>
    <w:qFormat/>
    <w:uiPriority w:val="0"/>
    <w:rPr>
      <w:rFonts w:ascii="Cambria" w:hAnsi="Cambria" w:eastAsia="宋体"/>
      <w:kern w:val="2"/>
      <w:sz w:val="21"/>
      <w:szCs w:val="21"/>
      <w:lang w:val="en-US" w:eastAsia="zh-CN" w:bidi="ar-SA"/>
    </w:rPr>
  </w:style>
  <w:style w:type="paragraph" w:customStyle="1" w:styleId="531">
    <w:name w:val="样式 仿宋_GB2312 首行缩进:  2 字符"/>
    <w:basedOn w:val="1"/>
    <w:qFormat/>
    <w:uiPriority w:val="0"/>
    <w:pPr>
      <w:spacing w:line="600" w:lineRule="exact"/>
      <w:ind w:left="180" w:firstLine="538" w:firstLineChars="192"/>
    </w:pPr>
    <w:rPr>
      <w:rFonts w:ascii="仿宋_GB2312" w:hAnsi="宋体" w:eastAsia="仿宋_GB2312" w:cs="宋体"/>
      <w:kern w:val="0"/>
      <w:sz w:val="28"/>
      <w:szCs w:val="28"/>
    </w:rPr>
  </w:style>
  <w:style w:type="paragraph" w:customStyle="1" w:styleId="532">
    <w:name w:val="样式 标题 3 + 首行缩进:  4 字符"/>
    <w:basedOn w:val="7"/>
    <w:qFormat/>
    <w:uiPriority w:val="0"/>
    <w:pPr>
      <w:widowControl/>
      <w:spacing w:after="156" w:afterLines="50" w:line="300" w:lineRule="auto"/>
    </w:pPr>
    <w:rPr>
      <w:rFonts w:ascii="Times New Roman" w:eastAsia="仿宋_GB2312" w:cs="宋体"/>
      <w:kern w:val="0"/>
      <w:sz w:val="28"/>
      <w:szCs w:val="20"/>
    </w:rPr>
  </w:style>
  <w:style w:type="paragraph" w:customStyle="1" w:styleId="533">
    <w:name w:val="样式 标题 3Heading 3 - oldh3sect1.2.3BOD 0H3第二层条3 bulletb2..."/>
    <w:basedOn w:val="7"/>
    <w:qFormat/>
    <w:uiPriority w:val="0"/>
    <w:pPr>
      <w:widowControl/>
      <w:tabs>
        <w:tab w:val="left" w:pos="180"/>
      </w:tabs>
      <w:spacing w:before="156" w:after="156" w:line="360" w:lineRule="auto"/>
      <w:ind w:left="180"/>
      <w:jc w:val="left"/>
    </w:pPr>
    <w:rPr>
      <w:rFonts w:ascii="仿宋_GB2312" w:hAnsi="Times New Roman" w:eastAsia="仿宋_GB2312" w:cs="宋体"/>
      <w:color w:val="000000"/>
      <w:sz w:val="30"/>
      <w:szCs w:val="20"/>
    </w:rPr>
  </w:style>
  <w:style w:type="paragraph" w:customStyle="1" w:styleId="534">
    <w:name w:val="样式 宋体 小四 行距: 1.5 倍行距1"/>
    <w:basedOn w:val="1"/>
    <w:qFormat/>
    <w:uiPriority w:val="99"/>
    <w:pPr>
      <w:spacing w:line="360" w:lineRule="auto"/>
    </w:pPr>
    <w:rPr>
      <w:rFonts w:ascii="宋体" w:hAnsi="宋体" w:eastAsia="宋体" w:cs="Times New Roman"/>
      <w:sz w:val="24"/>
      <w:szCs w:val="20"/>
    </w:rPr>
  </w:style>
  <w:style w:type="paragraph" w:customStyle="1" w:styleId="535">
    <w:name w:val="样式 样式 宋体 小四 行距: 1.5 倍行距 + 首行缩进:  2 字符"/>
    <w:basedOn w:val="1"/>
    <w:next w:val="1"/>
    <w:qFormat/>
    <w:uiPriority w:val="99"/>
    <w:pPr>
      <w:spacing w:line="360" w:lineRule="auto"/>
      <w:ind w:firstLine="200" w:firstLineChars="200"/>
    </w:pPr>
    <w:rPr>
      <w:rFonts w:ascii="Times New Roman" w:hAnsi="Times New Roman" w:eastAsia="宋体" w:cs="Times New Roman"/>
      <w:sz w:val="24"/>
      <w:szCs w:val="24"/>
    </w:rPr>
  </w:style>
  <w:style w:type="paragraph" w:customStyle="1" w:styleId="536">
    <w:name w:val="样式 样式 标题 2H2h2sect 1.2Heading 2 HiddenHeading 2 CCBSheading 2......"/>
    <w:basedOn w:val="1"/>
    <w:qFormat/>
    <w:uiPriority w:val="0"/>
    <w:pPr>
      <w:keepNext/>
      <w:keepLines/>
      <w:adjustRightInd w:val="0"/>
      <w:snapToGrid w:val="0"/>
      <w:spacing w:before="360" w:after="120" w:line="360" w:lineRule="auto"/>
      <w:ind w:left="992" w:hanging="567"/>
      <w:outlineLvl w:val="1"/>
    </w:pPr>
    <w:rPr>
      <w:rFonts w:ascii="仿宋_GB2312" w:hAnsi="宋体" w:eastAsia="华文中宋" w:cs="宋体"/>
      <w:b/>
      <w:bCs/>
      <w:kern w:val="0"/>
      <w:sz w:val="32"/>
      <w:szCs w:val="20"/>
    </w:rPr>
  </w:style>
  <w:style w:type="paragraph" w:customStyle="1" w:styleId="537">
    <w:name w:val="样式 样式 标题 1 + 行距: 1.5 倍行距 + 居中"/>
    <w:basedOn w:val="1"/>
    <w:qFormat/>
    <w:uiPriority w:val="0"/>
    <w:pPr>
      <w:keepNext/>
      <w:keepLines/>
      <w:pageBreakBefore/>
      <w:spacing w:before="360" w:after="600" w:line="360" w:lineRule="auto"/>
      <w:ind w:left="425" w:hanging="425"/>
      <w:jc w:val="center"/>
      <w:outlineLvl w:val="0"/>
    </w:pPr>
    <w:rPr>
      <w:rFonts w:ascii="宋体" w:hAnsi="宋体" w:eastAsia="宋体" w:cs="宋体"/>
      <w:b/>
      <w:bCs/>
      <w:kern w:val="44"/>
      <w:sz w:val="44"/>
      <w:szCs w:val="20"/>
    </w:rPr>
  </w:style>
  <w:style w:type="paragraph" w:customStyle="1" w:styleId="538">
    <w:name w:val="样式 标题 1H1标书1h1Level 1 Topic Heading1st levelSection Headl..."/>
    <w:basedOn w:val="4"/>
    <w:qFormat/>
    <w:uiPriority w:val="99"/>
    <w:pPr>
      <w:numPr>
        <w:numId w:val="0"/>
      </w:numPr>
      <w:ind w:left="902" w:hanging="420"/>
    </w:pPr>
    <w:rPr>
      <w:rFonts w:ascii="Times New Roman" w:hAnsi="Times New Roman" w:cs="宋体"/>
      <w:szCs w:val="20"/>
    </w:rPr>
  </w:style>
  <w:style w:type="paragraph" w:customStyle="1" w:styleId="539">
    <w:name w:val="样式4 Char"/>
    <w:basedOn w:val="1"/>
    <w:qFormat/>
    <w:uiPriority w:val="0"/>
    <w:pPr>
      <w:widowControl/>
      <w:spacing w:line="360" w:lineRule="auto"/>
      <w:ind w:firstLine="480" w:firstLineChars="200"/>
      <w:jc w:val="left"/>
    </w:pPr>
    <w:rPr>
      <w:rFonts w:ascii="Times New Roman" w:hAnsi="Times New Roman" w:eastAsia="宋体" w:cs="宋体"/>
      <w:color w:val="000000"/>
      <w:kern w:val="0"/>
      <w:sz w:val="24"/>
      <w:szCs w:val="24"/>
    </w:rPr>
  </w:style>
  <w:style w:type="paragraph" w:customStyle="1" w:styleId="540">
    <w:name w:val="样式 (西文) Arial (中文) 仿宋_GB2312 四号 段前: 0.4 行 段后: 0.4 行 行距: 1.5..."/>
    <w:basedOn w:val="1"/>
    <w:qFormat/>
    <w:uiPriority w:val="0"/>
    <w:pPr>
      <w:spacing w:before="124" w:beforeLines="40" w:after="124" w:afterLines="40" w:line="360" w:lineRule="auto"/>
      <w:ind w:firstLine="560" w:firstLineChars="200"/>
    </w:pPr>
    <w:rPr>
      <w:rFonts w:ascii="Arial" w:hAnsi="Arial" w:eastAsia="宋体" w:cs="宋体"/>
      <w:sz w:val="24"/>
      <w:szCs w:val="24"/>
    </w:rPr>
  </w:style>
  <w:style w:type="paragraph" w:customStyle="1" w:styleId="541">
    <w:name w:val="标题 11"/>
    <w:basedOn w:val="1"/>
    <w:qFormat/>
    <w:uiPriority w:val="1"/>
    <w:pPr>
      <w:ind w:left="425" w:hanging="425"/>
    </w:pPr>
    <w:rPr>
      <w:rFonts w:ascii="Times New Roman" w:hAnsi="Times New Roman" w:eastAsia="宋体" w:cs="Times New Roman"/>
      <w:szCs w:val="20"/>
    </w:rPr>
  </w:style>
  <w:style w:type="character" w:customStyle="1" w:styleId="542">
    <w:name w:val="样式 (西文) 宋体"/>
    <w:qFormat/>
    <w:uiPriority w:val="0"/>
    <w:rPr>
      <w:rFonts w:ascii="宋体" w:hAnsi="宋体" w:eastAsia="宋体"/>
      <w:sz w:val="24"/>
    </w:rPr>
  </w:style>
  <w:style w:type="paragraph" w:customStyle="1" w:styleId="543">
    <w:name w:val="样式 (西文) Arial (中文) 仿宋_GB2312 四号 加粗 段前: 0.4 行 段后: 0.4 行 行距:..."/>
    <w:basedOn w:val="1"/>
    <w:qFormat/>
    <w:uiPriority w:val="0"/>
    <w:pPr>
      <w:spacing w:before="124" w:beforeLines="40" w:after="124" w:afterLines="40" w:line="360" w:lineRule="auto"/>
      <w:ind w:firstLine="562" w:firstLineChars="200"/>
    </w:pPr>
    <w:rPr>
      <w:rFonts w:ascii="Arial" w:hAnsi="Arial" w:eastAsia="宋体" w:cs="宋体"/>
      <w:b/>
      <w:bCs/>
      <w:sz w:val="24"/>
      <w:szCs w:val="24"/>
    </w:rPr>
  </w:style>
  <w:style w:type="paragraph" w:customStyle="1" w:styleId="544">
    <w:name w:val="文字"/>
    <w:basedOn w:val="1"/>
    <w:link w:val="545"/>
    <w:qFormat/>
    <w:uiPriority w:val="0"/>
    <w:pPr>
      <w:tabs>
        <w:tab w:val="left" w:pos="8520"/>
      </w:tabs>
      <w:spacing w:line="312" w:lineRule="auto"/>
      <w:ind w:right="-210" w:firstLine="556"/>
    </w:pPr>
    <w:rPr>
      <w:rFonts w:ascii="楷体_GB2312" w:hAnsi="Times New Roman" w:eastAsia="楷体_GB2312" w:cs="Times New Roman"/>
      <w:sz w:val="28"/>
      <w:szCs w:val="20"/>
    </w:rPr>
  </w:style>
  <w:style w:type="character" w:customStyle="1" w:styleId="545">
    <w:name w:val="文字 Char"/>
    <w:link w:val="544"/>
    <w:qFormat/>
    <w:locked/>
    <w:uiPriority w:val="0"/>
    <w:rPr>
      <w:rFonts w:ascii="楷体_GB2312" w:hAnsi="Times New Roman" w:eastAsia="楷体_GB2312" w:cs="Times New Roman"/>
      <w:kern w:val="2"/>
      <w:sz w:val="28"/>
    </w:rPr>
  </w:style>
  <w:style w:type="paragraph" w:customStyle="1" w:styleId="546">
    <w:name w:val="标准段落"/>
    <w:basedOn w:val="1"/>
    <w:link w:val="547"/>
    <w:qFormat/>
    <w:uiPriority w:val="0"/>
    <w:pPr>
      <w:widowControl/>
      <w:numPr>
        <w:ilvl w:val="0"/>
        <w:numId w:val="38"/>
      </w:numPr>
      <w:topLinePunct/>
      <w:autoSpaceDE w:val="0"/>
      <w:autoSpaceDN w:val="0"/>
      <w:spacing w:before="100" w:beforeAutospacing="1" w:after="100" w:afterAutospacing="1" w:line="360" w:lineRule="auto"/>
      <w:jc w:val="left"/>
    </w:pPr>
    <w:rPr>
      <w:rFonts w:ascii="Calibri" w:hAnsi="Calibri" w:eastAsia="宋体" w:cs="Times New Roman"/>
      <w:sz w:val="24"/>
      <w:szCs w:val="24"/>
      <w:lang w:val="zh-CN" w:bidi="th-TH"/>
    </w:rPr>
  </w:style>
  <w:style w:type="character" w:customStyle="1" w:styleId="547">
    <w:name w:val="标准段落 Char"/>
    <w:link w:val="546"/>
    <w:qFormat/>
    <w:uiPriority w:val="0"/>
    <w:rPr>
      <w:rFonts w:ascii="Calibri" w:hAnsi="Calibri"/>
      <w:kern w:val="2"/>
      <w:sz w:val="24"/>
      <w:szCs w:val="24"/>
      <w:lang w:val="zh-CN" w:bidi="th-TH"/>
    </w:rPr>
  </w:style>
  <w:style w:type="paragraph" w:customStyle="1" w:styleId="548">
    <w:name w:val="黑2"/>
    <w:basedOn w:val="1"/>
    <w:qFormat/>
    <w:uiPriority w:val="0"/>
    <w:pPr>
      <w:spacing w:line="480" w:lineRule="exact"/>
      <w:ind w:firstLine="482" w:firstLineChars="200"/>
    </w:pPr>
    <w:rPr>
      <w:rFonts w:ascii="宋体" w:hAnsi="宋体" w:eastAsia="宋体" w:cs="Times New Roman"/>
      <w:b/>
      <w:sz w:val="24"/>
      <w:szCs w:val="20"/>
    </w:rPr>
  </w:style>
  <w:style w:type="character" w:customStyle="1" w:styleId="549">
    <w:name w:val="正文(缩进) Char"/>
    <w:link w:val="550"/>
    <w:qFormat/>
    <w:locked/>
    <w:uiPriority w:val="0"/>
    <w:rPr>
      <w:sz w:val="24"/>
      <w:szCs w:val="24"/>
    </w:rPr>
  </w:style>
  <w:style w:type="paragraph" w:customStyle="1" w:styleId="550">
    <w:name w:val="正文(缩进)"/>
    <w:basedOn w:val="1"/>
    <w:link w:val="549"/>
    <w:qFormat/>
    <w:uiPriority w:val="0"/>
    <w:pPr>
      <w:spacing w:before="120" w:line="400" w:lineRule="exact"/>
      <w:ind w:firstLine="200" w:firstLineChars="200"/>
    </w:pPr>
    <w:rPr>
      <w:kern w:val="0"/>
      <w:sz w:val="24"/>
      <w:szCs w:val="24"/>
    </w:rPr>
  </w:style>
  <w:style w:type="character" w:customStyle="1" w:styleId="551">
    <w:name w:val="样式 宋体 行距: 1.5 倍行距 Char"/>
    <w:link w:val="552"/>
    <w:qFormat/>
    <w:uiPriority w:val="0"/>
    <w:rPr>
      <w:rFonts w:ascii="宋体" w:hAnsi="宋体" w:eastAsia="宋体"/>
    </w:rPr>
  </w:style>
  <w:style w:type="paragraph" w:customStyle="1" w:styleId="552">
    <w:name w:val="样式 宋体 行距: 1.5 倍行距"/>
    <w:basedOn w:val="1"/>
    <w:link w:val="551"/>
    <w:qFormat/>
    <w:uiPriority w:val="0"/>
    <w:pPr>
      <w:spacing w:line="360" w:lineRule="auto"/>
      <w:ind w:firstLine="420" w:firstLineChars="200"/>
    </w:pPr>
    <w:rPr>
      <w:rFonts w:ascii="宋体" w:hAnsi="宋体" w:eastAsia="宋体"/>
      <w:kern w:val="0"/>
      <w:sz w:val="20"/>
      <w:szCs w:val="20"/>
    </w:rPr>
  </w:style>
  <w:style w:type="paragraph" w:customStyle="1" w:styleId="553">
    <w:name w:val="正文样式1"/>
    <w:basedOn w:val="1"/>
    <w:link w:val="585"/>
    <w:qFormat/>
    <w:uiPriority w:val="7"/>
    <w:pPr>
      <w:widowControl/>
      <w:spacing w:line="360" w:lineRule="auto"/>
      <w:ind w:firstLine="425"/>
      <w:jc w:val="left"/>
    </w:pPr>
    <w:rPr>
      <w:rFonts w:ascii="微软雅黑" w:hAnsi="微软雅黑" w:eastAsia="微软雅黑" w:cs="Times New Roman"/>
      <w:color w:val="000000"/>
      <w:sz w:val="24"/>
      <w:szCs w:val="21"/>
    </w:rPr>
  </w:style>
  <w:style w:type="paragraph" w:customStyle="1" w:styleId="554">
    <w:name w:val="默认段落字体 Para Char"/>
    <w:basedOn w:val="1"/>
    <w:qFormat/>
    <w:uiPriority w:val="0"/>
    <w:pPr>
      <w:snapToGrid w:val="0"/>
      <w:spacing w:line="360" w:lineRule="auto"/>
      <w:ind w:firstLine="200" w:firstLineChars="200"/>
    </w:pPr>
    <w:rPr>
      <w:rFonts w:ascii="Times New Roman" w:hAnsi="Times New Roman" w:eastAsia="宋体" w:cs="Times New Roman"/>
      <w:szCs w:val="24"/>
    </w:rPr>
  </w:style>
  <w:style w:type="character" w:customStyle="1" w:styleId="555">
    <w:name w:val="三级标题 Char1"/>
    <w:qFormat/>
    <w:uiPriority w:val="0"/>
    <w:rPr>
      <w:rFonts w:ascii="Cambria" w:hAnsi="Cambria" w:eastAsia="宋体" w:cs="Times New Roman"/>
      <w:szCs w:val="21"/>
    </w:rPr>
  </w:style>
  <w:style w:type="paragraph" w:customStyle="1" w:styleId="556">
    <w:name w:val="正文--表格内正文"/>
    <w:basedOn w:val="1"/>
    <w:qFormat/>
    <w:uiPriority w:val="0"/>
    <w:pPr>
      <w:spacing w:beforeLines="50" w:afterLines="50" w:line="360" w:lineRule="auto"/>
      <w:jc w:val="center"/>
    </w:pPr>
    <w:rPr>
      <w:rFonts w:ascii="宋体" w:hAnsi="宋体" w:eastAsia="宋体" w:cs="Times New Roman"/>
      <w:szCs w:val="21"/>
    </w:rPr>
  </w:style>
  <w:style w:type="character" w:customStyle="1" w:styleId="557">
    <w:name w:val="普通文字 Char1"/>
    <w:qFormat/>
    <w:uiPriority w:val="0"/>
    <w:rPr>
      <w:rFonts w:ascii="宋体" w:hAnsi="Courier New" w:eastAsia="宋体"/>
      <w:kern w:val="2"/>
      <w:sz w:val="21"/>
      <w:lang w:val="en-US" w:eastAsia="zh-CN" w:bidi="ar-SA"/>
    </w:rPr>
  </w:style>
  <w:style w:type="paragraph" w:customStyle="1" w:styleId="558">
    <w:name w:val="样式 标题 6BOD 4H6第五层条h6Third SubheadingL6BOD 4 + 宋体PIM 6●..."/>
    <w:basedOn w:val="15"/>
    <w:qFormat/>
    <w:uiPriority w:val="0"/>
    <w:pPr>
      <w:spacing w:before="156" w:beforeLines="50" w:after="156" w:afterLines="50" w:line="240" w:lineRule="auto"/>
    </w:pPr>
    <w:rPr>
      <w:rFonts w:ascii="Times New Roman" w:hAnsi="Times New Roman" w:cs="Times New Roman"/>
      <w:kern w:val="28"/>
      <w:sz w:val="24"/>
    </w:rPr>
  </w:style>
  <w:style w:type="paragraph" w:customStyle="1" w:styleId="559">
    <w:name w:val="样式 标题 6BOD 4H6第五层条h6Third SubheadingL6BOD 4 + 宋体PIM 6●...1"/>
    <w:basedOn w:val="15"/>
    <w:qFormat/>
    <w:uiPriority w:val="0"/>
    <w:pPr>
      <w:spacing w:before="156" w:beforeLines="50" w:after="156" w:afterLines="50" w:line="240" w:lineRule="auto"/>
    </w:pPr>
    <w:rPr>
      <w:rFonts w:ascii="Times New Roman" w:hAnsi="Times New Roman" w:cs="Times New Roman"/>
      <w:kern w:val="28"/>
      <w:sz w:val="24"/>
    </w:rPr>
  </w:style>
  <w:style w:type="paragraph" w:customStyle="1" w:styleId="560">
    <w:name w:val="图内文字"/>
    <w:basedOn w:val="10"/>
    <w:qFormat/>
    <w:uiPriority w:val="0"/>
    <w:pPr>
      <w:adjustRightInd w:val="0"/>
      <w:snapToGrid w:val="0"/>
      <w:spacing w:after="0"/>
      <w:jc w:val="center"/>
    </w:pPr>
    <w:rPr>
      <w:rFonts w:ascii="Times New Roman" w:hAnsi="Times New Roman" w:eastAsia="宋体" w:cs="Times New Roman"/>
      <w:szCs w:val="20"/>
    </w:rPr>
  </w:style>
  <w:style w:type="paragraph" w:customStyle="1" w:styleId="561">
    <w:name w:val="正文文本 21"/>
    <w:basedOn w:val="1"/>
    <w:qFormat/>
    <w:uiPriority w:val="0"/>
    <w:pPr>
      <w:adjustRightInd w:val="0"/>
      <w:ind w:left="900"/>
      <w:jc w:val="left"/>
      <w:textAlignment w:val="baseline"/>
    </w:pPr>
    <w:rPr>
      <w:rFonts w:ascii="Times New Roman" w:hAnsi="Times New Roman" w:eastAsia="宋体" w:cs="Times New Roman"/>
      <w:sz w:val="24"/>
      <w:szCs w:val="20"/>
    </w:rPr>
  </w:style>
  <w:style w:type="paragraph" w:customStyle="1" w:styleId="562">
    <w:name w:val="标题 5 + 黑体"/>
    <w:basedOn w:val="8"/>
    <w:qFormat/>
    <w:uiPriority w:val="0"/>
    <w:pPr>
      <w:numPr>
        <w:ilvl w:val="0"/>
        <w:numId w:val="0"/>
      </w:numPr>
      <w:spacing w:before="0" w:after="0"/>
    </w:pPr>
    <w:rPr>
      <w:rFonts w:ascii="黑体" w:hAnsi="黑体" w:eastAsia="黑体" w:cs="Times New Roman"/>
      <w:b w:val="0"/>
      <w:bCs w:val="0"/>
      <w:sz w:val="28"/>
      <w:szCs w:val="28"/>
    </w:rPr>
  </w:style>
  <w:style w:type="paragraph" w:customStyle="1" w:styleId="563">
    <w:name w:val="表头文字"/>
    <w:basedOn w:val="1"/>
    <w:link w:val="3084"/>
    <w:qFormat/>
    <w:uiPriority w:val="0"/>
    <w:pPr>
      <w:adjustRightInd w:val="0"/>
      <w:snapToGrid w:val="0"/>
      <w:spacing w:line="312" w:lineRule="auto"/>
      <w:jc w:val="center"/>
    </w:pPr>
    <w:rPr>
      <w:rFonts w:ascii="Times New Roman" w:hAnsi="Times New Roman" w:eastAsia="宋体" w:cs="Times New Roman"/>
      <w:sz w:val="18"/>
      <w:szCs w:val="20"/>
    </w:rPr>
  </w:style>
  <w:style w:type="paragraph" w:customStyle="1" w:styleId="564">
    <w:name w:val="表内文字"/>
    <w:basedOn w:val="1"/>
    <w:qFormat/>
    <w:uiPriority w:val="0"/>
    <w:pPr>
      <w:adjustRightInd w:val="0"/>
      <w:snapToGrid w:val="0"/>
      <w:spacing w:line="312" w:lineRule="auto"/>
      <w:jc w:val="center"/>
    </w:pPr>
    <w:rPr>
      <w:rFonts w:ascii="Times New Roman" w:hAnsi="Times New Roman" w:eastAsia="宋体" w:cs="Times New Roman"/>
      <w:color w:val="000000"/>
      <w:szCs w:val="20"/>
    </w:rPr>
  </w:style>
  <w:style w:type="paragraph" w:customStyle="1" w:styleId="565">
    <w:name w:val="表格标题"/>
    <w:basedOn w:val="1"/>
    <w:next w:val="1"/>
    <w:link w:val="2003"/>
    <w:qFormat/>
    <w:uiPriority w:val="0"/>
    <w:pPr>
      <w:tabs>
        <w:tab w:val="left" w:pos="720"/>
      </w:tabs>
      <w:jc w:val="center"/>
    </w:pPr>
    <w:rPr>
      <w:rFonts w:ascii="Times New Roman" w:hAnsi="Times New Roman" w:eastAsia="黑体" w:cs="Times New Roman"/>
      <w:sz w:val="24"/>
      <w:szCs w:val="20"/>
    </w:rPr>
  </w:style>
  <w:style w:type="paragraph" w:customStyle="1" w:styleId="566">
    <w:name w:val="表格居中"/>
    <w:basedOn w:val="1"/>
    <w:next w:val="1"/>
    <w:qFormat/>
    <w:uiPriority w:val="0"/>
    <w:pPr>
      <w:spacing w:line="320" w:lineRule="exact"/>
      <w:jc w:val="center"/>
    </w:pPr>
    <w:rPr>
      <w:rFonts w:ascii="Times New Roman" w:hAnsi="Times New Roman" w:eastAsia="宋体" w:cs="Times New Roman"/>
      <w:szCs w:val="20"/>
    </w:rPr>
  </w:style>
  <w:style w:type="paragraph" w:customStyle="1" w:styleId="567">
    <w:name w:val="标题1"/>
    <w:basedOn w:val="1"/>
    <w:next w:val="28"/>
    <w:link w:val="625"/>
    <w:qFormat/>
    <w:uiPriority w:val="0"/>
    <w:pPr>
      <w:widowControl/>
      <w:tabs>
        <w:tab w:val="left" w:pos="567"/>
      </w:tabs>
      <w:overflowPunct w:val="0"/>
      <w:autoSpaceDE w:val="0"/>
      <w:autoSpaceDN w:val="0"/>
      <w:adjustRightInd w:val="0"/>
      <w:spacing w:line="480" w:lineRule="atLeast"/>
      <w:jc w:val="left"/>
      <w:textAlignment w:val="baseline"/>
    </w:pPr>
    <w:rPr>
      <w:rFonts w:ascii="Times New Roman" w:hAnsi="Times New Roman" w:eastAsia="黑体" w:cs="Times New Roman"/>
      <w:b/>
      <w:kern w:val="0"/>
      <w:sz w:val="28"/>
      <w:szCs w:val="20"/>
    </w:rPr>
  </w:style>
  <w:style w:type="paragraph" w:customStyle="1" w:styleId="568">
    <w:name w:val="标题3"/>
    <w:basedOn w:val="1"/>
    <w:next w:val="569"/>
    <w:link w:val="626"/>
    <w:qFormat/>
    <w:uiPriority w:val="0"/>
    <w:pPr>
      <w:widowControl/>
      <w:tabs>
        <w:tab w:val="left" w:pos="1985"/>
      </w:tabs>
      <w:overflowPunct w:val="0"/>
      <w:autoSpaceDE w:val="0"/>
      <w:autoSpaceDN w:val="0"/>
      <w:adjustRightInd w:val="0"/>
      <w:spacing w:line="480" w:lineRule="atLeast"/>
      <w:ind w:left="1134"/>
      <w:jc w:val="left"/>
      <w:textAlignment w:val="baseline"/>
    </w:pPr>
    <w:rPr>
      <w:rFonts w:ascii="Times New Roman" w:hAnsi="Times New Roman" w:eastAsia="黑体" w:cs="Times New Roman"/>
      <w:b/>
      <w:kern w:val="0"/>
      <w:sz w:val="24"/>
      <w:szCs w:val="20"/>
    </w:rPr>
  </w:style>
  <w:style w:type="paragraph" w:customStyle="1" w:styleId="569">
    <w:name w:val="正文3"/>
    <w:basedOn w:val="1"/>
    <w:qFormat/>
    <w:uiPriority w:val="0"/>
    <w:pPr>
      <w:widowControl/>
      <w:overflowPunct w:val="0"/>
      <w:autoSpaceDE w:val="0"/>
      <w:autoSpaceDN w:val="0"/>
      <w:adjustRightInd w:val="0"/>
      <w:spacing w:line="480" w:lineRule="atLeast"/>
      <w:ind w:left="2268"/>
      <w:jc w:val="left"/>
      <w:textAlignment w:val="baseline"/>
    </w:pPr>
    <w:rPr>
      <w:rFonts w:ascii="Times New Roman" w:hAnsi="Times New Roman" w:eastAsia="宋体" w:cs="Times New Roman"/>
      <w:kern w:val="0"/>
      <w:sz w:val="24"/>
      <w:szCs w:val="20"/>
    </w:rPr>
  </w:style>
  <w:style w:type="paragraph" w:customStyle="1" w:styleId="570">
    <w:name w:val="晏?"/>
    <w:basedOn w:val="1"/>
    <w:next w:val="569"/>
    <w:qFormat/>
    <w:uiPriority w:val="0"/>
    <w:pPr>
      <w:tabs>
        <w:tab w:val="left" w:pos="2268"/>
      </w:tabs>
      <w:autoSpaceDE w:val="0"/>
      <w:autoSpaceDN w:val="0"/>
      <w:adjustRightInd w:val="0"/>
      <w:spacing w:line="480" w:lineRule="atLeast"/>
      <w:ind w:left="1418"/>
      <w:jc w:val="left"/>
      <w:textAlignment w:val="baseline"/>
    </w:pPr>
    <w:rPr>
      <w:rFonts w:ascii="Times New Roman" w:hAnsi="Times New Roman" w:eastAsia="宋体" w:cs="Times New Roman"/>
      <w:b/>
      <w:kern w:val="0"/>
      <w:sz w:val="24"/>
      <w:szCs w:val="20"/>
    </w:rPr>
  </w:style>
  <w:style w:type="paragraph" w:customStyle="1" w:styleId="571">
    <w:name w:val="正文4"/>
    <w:basedOn w:val="28"/>
    <w:qFormat/>
    <w:uiPriority w:val="0"/>
    <w:pPr>
      <w:ind w:firstLine="0" w:firstLineChars="200"/>
    </w:pPr>
    <w:rPr>
      <w:rFonts w:eastAsia="仿宋_GB2312"/>
      <w:sz w:val="32"/>
    </w:rPr>
  </w:style>
  <w:style w:type="paragraph" w:customStyle="1" w:styleId="572">
    <w:name w:val="正文5"/>
    <w:basedOn w:val="14"/>
    <w:qFormat/>
    <w:uiPriority w:val="0"/>
    <w:pPr>
      <w:keepNext w:val="0"/>
      <w:keepLines w:val="0"/>
      <w:widowControl/>
      <w:numPr>
        <w:ilvl w:val="0"/>
        <w:numId w:val="0"/>
      </w:numPr>
      <w:overflowPunct w:val="0"/>
      <w:autoSpaceDE w:val="0"/>
      <w:autoSpaceDN w:val="0"/>
      <w:adjustRightInd w:val="0"/>
      <w:spacing w:before="0" w:after="0" w:line="480" w:lineRule="atLeast"/>
      <w:ind w:left="3969"/>
      <w:jc w:val="left"/>
      <w:textAlignment w:val="baseline"/>
      <w:outlineLvl w:val="9"/>
    </w:pPr>
    <w:rPr>
      <w:rFonts w:ascii="Times New Roman" w:hAnsi="Times New Roman" w:cs="Times New Roman"/>
      <w:b w:val="0"/>
      <w:bCs w:val="0"/>
      <w:kern w:val="0"/>
      <w:szCs w:val="20"/>
    </w:rPr>
  </w:style>
  <w:style w:type="paragraph" w:customStyle="1" w:styleId="573">
    <w:name w:val="样式4 Char Char Char"/>
    <w:basedOn w:val="1"/>
    <w:qFormat/>
    <w:uiPriority w:val="0"/>
    <w:pPr>
      <w:widowControl/>
      <w:spacing w:line="360" w:lineRule="auto"/>
      <w:ind w:firstLine="480" w:firstLineChars="200"/>
      <w:jc w:val="left"/>
    </w:pPr>
    <w:rPr>
      <w:rFonts w:ascii="Times New Roman" w:hAnsi="Times New Roman" w:eastAsia="宋体" w:cs="Times New Roman"/>
      <w:color w:val="000000"/>
      <w:kern w:val="0"/>
      <w:sz w:val="24"/>
      <w:szCs w:val="24"/>
    </w:rPr>
  </w:style>
  <w:style w:type="paragraph" w:customStyle="1" w:styleId="574">
    <w:name w:val="图下文字"/>
    <w:basedOn w:val="1"/>
    <w:qFormat/>
    <w:uiPriority w:val="0"/>
    <w:pPr>
      <w:adjustRightInd w:val="0"/>
      <w:snapToGrid w:val="0"/>
      <w:spacing w:line="312" w:lineRule="auto"/>
      <w:jc w:val="center"/>
    </w:pPr>
    <w:rPr>
      <w:rFonts w:ascii="Times New Roman" w:hAnsi="Times New Roman" w:eastAsia="宋体" w:cs="Times New Roman"/>
      <w:sz w:val="18"/>
      <w:szCs w:val="20"/>
    </w:rPr>
  </w:style>
  <w:style w:type="paragraph" w:customStyle="1" w:styleId="575">
    <w:name w:val="封面_项目建设单位"/>
    <w:basedOn w:val="49"/>
    <w:qFormat/>
    <w:uiPriority w:val="0"/>
    <w:pPr>
      <w:widowControl w:val="0"/>
      <w:autoSpaceDE w:val="0"/>
      <w:autoSpaceDN w:val="0"/>
      <w:adjustRightInd w:val="0"/>
      <w:spacing w:before="0" w:beforeAutospacing="0" w:after="0" w:afterAutospacing="0" w:line="240" w:lineRule="atLeast"/>
      <w:ind w:firstLine="425"/>
      <w:jc w:val="distribute"/>
    </w:pPr>
    <w:rPr>
      <w:rFonts w:ascii="Arial" w:hAnsi="Arial" w:eastAsia="黑体" w:cs="Times New Roman"/>
      <w:color w:val="000000"/>
      <w:sz w:val="32"/>
      <w:szCs w:val="20"/>
    </w:rPr>
  </w:style>
  <w:style w:type="character" w:customStyle="1" w:styleId="576">
    <w:name w:val="标题 3 Char1"/>
    <w:qFormat/>
    <w:uiPriority w:val="0"/>
    <w:rPr>
      <w:rFonts w:eastAsia="宋体"/>
      <w:b/>
      <w:bCs/>
      <w:kern w:val="2"/>
      <w:sz w:val="32"/>
      <w:szCs w:val="32"/>
      <w:lang w:val="en-US" w:eastAsia="zh-CN" w:bidi="ar-SA"/>
    </w:rPr>
  </w:style>
  <w:style w:type="paragraph" w:customStyle="1" w:styleId="577">
    <w:name w:val="正文 首行缩进:  2 字符 Char"/>
    <w:basedOn w:val="1"/>
    <w:link w:val="578"/>
    <w:qFormat/>
    <w:uiPriority w:val="0"/>
    <w:pPr>
      <w:spacing w:line="360" w:lineRule="auto"/>
      <w:ind w:firstLine="480"/>
    </w:pPr>
    <w:rPr>
      <w:rFonts w:ascii="Times New Roman" w:hAnsi="Times New Roman" w:eastAsia="宋体" w:cs="宋体"/>
      <w:sz w:val="24"/>
      <w:szCs w:val="20"/>
    </w:rPr>
  </w:style>
  <w:style w:type="character" w:customStyle="1" w:styleId="578">
    <w:name w:val="正文 首行缩进:  2 字符 Char Char"/>
    <w:link w:val="577"/>
    <w:qFormat/>
    <w:uiPriority w:val="0"/>
    <w:rPr>
      <w:rFonts w:ascii="Times New Roman" w:hAnsi="Times New Roman" w:eastAsia="宋体" w:cs="宋体"/>
      <w:kern w:val="2"/>
      <w:sz w:val="24"/>
    </w:rPr>
  </w:style>
  <w:style w:type="paragraph" w:customStyle="1" w:styleId="579">
    <w:name w:val="样式 Arial 左侧:  0.43 厘米 段前: 1.4 磅 段后: 2.8 磅"/>
    <w:basedOn w:val="1"/>
    <w:qFormat/>
    <w:uiPriority w:val="0"/>
    <w:pPr>
      <w:spacing w:before="28" w:after="56" w:line="360" w:lineRule="auto"/>
      <w:ind w:left="244" w:firstLine="540" w:firstLineChars="225"/>
    </w:pPr>
    <w:rPr>
      <w:rFonts w:ascii="Arial" w:hAnsi="Arial" w:eastAsia="宋体" w:cs="宋体"/>
      <w:sz w:val="24"/>
      <w:szCs w:val="24"/>
    </w:rPr>
  </w:style>
  <w:style w:type="paragraph" w:customStyle="1" w:styleId="580">
    <w:name w:val="正文文本 22"/>
    <w:basedOn w:val="1"/>
    <w:qFormat/>
    <w:uiPriority w:val="0"/>
    <w:pPr>
      <w:adjustRightInd w:val="0"/>
      <w:ind w:left="900"/>
      <w:jc w:val="left"/>
      <w:textAlignment w:val="baseline"/>
    </w:pPr>
    <w:rPr>
      <w:rFonts w:ascii="Times New Roman" w:hAnsi="Times New Roman" w:eastAsia="宋体" w:cs="Times New Roman"/>
      <w:sz w:val="24"/>
      <w:szCs w:val="20"/>
    </w:rPr>
  </w:style>
  <w:style w:type="paragraph" w:customStyle="1" w:styleId="581">
    <w:name w:val="表格注"/>
    <w:basedOn w:val="582"/>
    <w:next w:val="582"/>
    <w:qFormat/>
    <w:uiPriority w:val="0"/>
    <w:pPr>
      <w:ind w:left="666" w:hanging="622"/>
    </w:pPr>
    <w:rPr>
      <w:rFonts w:ascii="宋体" w:hAnsi="宋体"/>
      <w:kern w:val="0"/>
    </w:rPr>
  </w:style>
  <w:style w:type="paragraph" w:customStyle="1" w:styleId="582">
    <w:name w:val="表格"/>
    <w:basedOn w:val="1"/>
    <w:link w:val="2018"/>
    <w:qFormat/>
    <w:uiPriority w:val="0"/>
    <w:pPr>
      <w:spacing w:line="320" w:lineRule="exact"/>
      <w:jc w:val="left"/>
    </w:pPr>
    <w:rPr>
      <w:rFonts w:ascii="Times New Roman" w:hAnsi="Times New Roman" w:eastAsia="宋体" w:cs="Times New Roman"/>
      <w:szCs w:val="20"/>
    </w:rPr>
  </w:style>
  <w:style w:type="paragraph" w:customStyle="1" w:styleId="583">
    <w:name w:val="样式 myPic + 左  -0.85 字符"/>
    <w:basedOn w:val="1"/>
    <w:link w:val="584"/>
    <w:qFormat/>
    <w:uiPriority w:val="0"/>
    <w:pPr>
      <w:ind w:left="-178" w:leftChars="-85" w:right="-178" w:rightChars="-85"/>
      <w:jc w:val="center"/>
    </w:pPr>
    <w:rPr>
      <w:rFonts w:ascii="Times New Roman" w:hAnsi="Times New Roman" w:eastAsia="宋体" w:cs="Times New Roman"/>
      <w:bCs/>
      <w:szCs w:val="32"/>
      <w:lang w:val="zh-CN"/>
    </w:rPr>
  </w:style>
  <w:style w:type="character" w:customStyle="1" w:styleId="584">
    <w:name w:val="样式 myPic + 左  -0.85 字符 Char"/>
    <w:link w:val="583"/>
    <w:qFormat/>
    <w:uiPriority w:val="0"/>
    <w:rPr>
      <w:rFonts w:ascii="Times New Roman" w:hAnsi="Times New Roman" w:eastAsia="宋体" w:cs="Times New Roman"/>
      <w:bCs/>
      <w:kern w:val="2"/>
      <w:sz w:val="21"/>
      <w:szCs w:val="32"/>
      <w:lang w:val="zh-CN"/>
    </w:rPr>
  </w:style>
  <w:style w:type="character" w:customStyle="1" w:styleId="585">
    <w:name w:val="正文样式1 Char"/>
    <w:link w:val="553"/>
    <w:qFormat/>
    <w:uiPriority w:val="0"/>
    <w:rPr>
      <w:rFonts w:ascii="微软雅黑" w:hAnsi="微软雅黑" w:eastAsia="微软雅黑" w:cs="Times New Roman"/>
      <w:color w:val="000000"/>
      <w:kern w:val="2"/>
      <w:sz w:val="24"/>
      <w:szCs w:val="21"/>
    </w:rPr>
  </w:style>
  <w:style w:type="character" w:customStyle="1" w:styleId="586">
    <w:name w:val="表头文字样式 Char"/>
    <w:link w:val="507"/>
    <w:qFormat/>
    <w:locked/>
    <w:uiPriority w:val="0"/>
    <w:rPr>
      <w:rFonts w:ascii="Times New Roman" w:hAnsi="Times New Roman" w:eastAsia="宋体" w:cs="Times New Roman"/>
      <w:b/>
      <w:kern w:val="2"/>
      <w:sz w:val="21"/>
      <w:szCs w:val="24"/>
    </w:rPr>
  </w:style>
  <w:style w:type="paragraph" w:customStyle="1" w:styleId="587">
    <w:name w:val="图表文字说明"/>
    <w:basedOn w:val="1"/>
    <w:qFormat/>
    <w:uiPriority w:val="0"/>
    <w:pPr>
      <w:spacing w:line="360" w:lineRule="auto"/>
      <w:jc w:val="center"/>
    </w:pPr>
    <w:rPr>
      <w:rFonts w:ascii="仿宋_GB2312" w:hAnsi="Times New Roman" w:eastAsia="仿宋_GB2312" w:cs="Times New Roman"/>
      <w:szCs w:val="24"/>
    </w:rPr>
  </w:style>
  <w:style w:type="paragraph" w:customStyle="1" w:styleId="588">
    <w:name w:val="小四 加粗 居中"/>
    <w:basedOn w:val="1"/>
    <w:qFormat/>
    <w:uiPriority w:val="0"/>
    <w:pPr>
      <w:spacing w:line="0" w:lineRule="atLeast"/>
      <w:jc w:val="center"/>
    </w:pPr>
    <w:rPr>
      <w:rFonts w:ascii="Times New Roman" w:hAnsi="Times New Roman" w:eastAsia="仿宋_GB2312" w:cs="宋体"/>
      <w:b/>
      <w:bCs/>
      <w:sz w:val="24"/>
      <w:szCs w:val="20"/>
    </w:rPr>
  </w:style>
  <w:style w:type="paragraph" w:customStyle="1" w:styleId="589">
    <w:name w:val="样式 正文"/>
    <w:basedOn w:val="1"/>
    <w:qFormat/>
    <w:uiPriority w:val="0"/>
    <w:pPr>
      <w:ind w:left="420" w:hanging="420"/>
      <w:jc w:val="center"/>
    </w:pPr>
    <w:rPr>
      <w:rFonts w:ascii="Times New Roman" w:hAnsi="Times New Roman" w:eastAsia="仿宋_GB2312" w:cs="Times New Roman"/>
      <w:sz w:val="28"/>
      <w:szCs w:val="24"/>
    </w:rPr>
  </w:style>
  <w:style w:type="paragraph" w:customStyle="1" w:styleId="590">
    <w:name w:val="表格文字样式1111"/>
    <w:basedOn w:val="1"/>
    <w:qFormat/>
    <w:uiPriority w:val="99"/>
    <w:pPr>
      <w:adjustRightInd w:val="0"/>
      <w:snapToGrid w:val="0"/>
      <w:spacing w:line="360" w:lineRule="auto"/>
    </w:pPr>
    <w:rPr>
      <w:rFonts w:ascii="Calibri" w:hAnsi="Calibri" w:eastAsia="宋体" w:cs="宋体"/>
      <w:bCs/>
      <w:sz w:val="24"/>
      <w:szCs w:val="24"/>
    </w:rPr>
  </w:style>
  <w:style w:type="paragraph" w:customStyle="1" w:styleId="591">
    <w:name w:val="自定义 标题1"/>
    <w:qFormat/>
    <w:uiPriority w:val="0"/>
    <w:pPr>
      <w:tabs>
        <w:tab w:val="left" w:pos="425"/>
      </w:tabs>
      <w:spacing w:line="360" w:lineRule="auto"/>
      <w:ind w:left="425" w:hanging="425"/>
    </w:pPr>
    <w:rPr>
      <w:rFonts w:ascii="宋体" w:hAnsi="宋体" w:eastAsia="宋体" w:cs="Times New Roman"/>
      <w:b/>
      <w:sz w:val="21"/>
      <w:szCs w:val="21"/>
      <w:lang w:val="en-US" w:eastAsia="zh-CN" w:bidi="ar-SA"/>
    </w:rPr>
  </w:style>
  <w:style w:type="character" w:customStyle="1" w:styleId="592">
    <w:name w:val="标题 2 Char1"/>
    <w:basedOn w:val="136"/>
    <w:qFormat/>
    <w:locked/>
    <w:uiPriority w:val="0"/>
    <w:rPr>
      <w:rFonts w:ascii="Cambria" w:hAnsi="Cambria" w:cs="宋体"/>
      <w:b/>
      <w:bCs/>
      <w:kern w:val="2"/>
      <w:sz w:val="32"/>
      <w:szCs w:val="32"/>
    </w:rPr>
  </w:style>
  <w:style w:type="character" w:customStyle="1" w:styleId="593">
    <w:name w:val="页脚 Char1"/>
    <w:basedOn w:val="136"/>
    <w:qFormat/>
    <w:uiPriority w:val="0"/>
    <w:rPr>
      <w:kern w:val="2"/>
      <w:sz w:val="18"/>
      <w:szCs w:val="18"/>
    </w:rPr>
  </w:style>
  <w:style w:type="character" w:customStyle="1" w:styleId="594">
    <w:name w:val="批注框文本 Char1"/>
    <w:basedOn w:val="136"/>
    <w:qFormat/>
    <w:uiPriority w:val="99"/>
    <w:rPr>
      <w:kern w:val="2"/>
      <w:sz w:val="18"/>
      <w:szCs w:val="18"/>
    </w:rPr>
  </w:style>
  <w:style w:type="character" w:customStyle="1" w:styleId="595">
    <w:name w:val="批注文字 Char1"/>
    <w:basedOn w:val="136"/>
    <w:qFormat/>
    <w:uiPriority w:val="99"/>
    <w:rPr>
      <w:kern w:val="2"/>
      <w:sz w:val="21"/>
      <w:szCs w:val="22"/>
    </w:rPr>
  </w:style>
  <w:style w:type="character" w:customStyle="1" w:styleId="596">
    <w:name w:val="批注主题 Char1"/>
    <w:basedOn w:val="595"/>
    <w:qFormat/>
    <w:uiPriority w:val="99"/>
    <w:rPr>
      <w:b/>
      <w:bCs/>
      <w:kern w:val="2"/>
      <w:sz w:val="21"/>
      <w:szCs w:val="22"/>
    </w:rPr>
  </w:style>
  <w:style w:type="character" w:customStyle="1" w:styleId="597">
    <w:name w:val="文档结构图 Char1"/>
    <w:basedOn w:val="136"/>
    <w:qFormat/>
    <w:uiPriority w:val="99"/>
    <w:rPr>
      <w:rFonts w:hint="eastAsia" w:ascii="Microsoft YaHei UI" w:hAnsi="Microsoft YaHei UI" w:eastAsia="Microsoft YaHei UI"/>
      <w:kern w:val="2"/>
      <w:sz w:val="18"/>
      <w:szCs w:val="18"/>
    </w:rPr>
  </w:style>
  <w:style w:type="character" w:customStyle="1" w:styleId="598">
    <w:name w:val="页眉 Char1"/>
    <w:basedOn w:val="136"/>
    <w:qFormat/>
    <w:uiPriority w:val="0"/>
    <w:rPr>
      <w:kern w:val="2"/>
      <w:sz w:val="18"/>
      <w:szCs w:val="18"/>
    </w:rPr>
  </w:style>
  <w:style w:type="paragraph" w:customStyle="1" w:styleId="599">
    <w:name w:val="z-窗体顶端1"/>
    <w:basedOn w:val="1"/>
    <w:next w:val="1"/>
    <w:link w:val="600"/>
    <w:semiHidden/>
    <w:unhideWhenUsed/>
    <w:qFormat/>
    <w:uiPriority w:val="99"/>
    <w:pPr>
      <w:pBdr>
        <w:bottom w:val="single" w:color="auto" w:sz="6" w:space="1"/>
      </w:pBdr>
      <w:jc w:val="center"/>
    </w:pPr>
    <w:rPr>
      <w:rFonts w:ascii="Arial" w:hAnsi="Arial" w:eastAsia="宋体" w:cs="Arial"/>
      <w:vanish/>
      <w:sz w:val="16"/>
      <w:szCs w:val="16"/>
    </w:rPr>
  </w:style>
  <w:style w:type="character" w:customStyle="1" w:styleId="600">
    <w:name w:val="z-窗体顶端 字符"/>
    <w:basedOn w:val="136"/>
    <w:link w:val="599"/>
    <w:semiHidden/>
    <w:qFormat/>
    <w:uiPriority w:val="99"/>
    <w:rPr>
      <w:rFonts w:ascii="Arial" w:hAnsi="Arial" w:eastAsia="宋体" w:cs="Arial"/>
      <w:vanish/>
      <w:kern w:val="2"/>
      <w:sz w:val="16"/>
      <w:szCs w:val="16"/>
    </w:rPr>
  </w:style>
  <w:style w:type="paragraph" w:customStyle="1" w:styleId="601">
    <w:name w:val="z-窗体底端1"/>
    <w:basedOn w:val="1"/>
    <w:next w:val="1"/>
    <w:link w:val="602"/>
    <w:unhideWhenUsed/>
    <w:qFormat/>
    <w:uiPriority w:val="0"/>
    <w:pPr>
      <w:pBdr>
        <w:top w:val="single" w:color="auto" w:sz="6" w:space="1"/>
      </w:pBdr>
      <w:jc w:val="center"/>
    </w:pPr>
    <w:rPr>
      <w:rFonts w:ascii="Arial" w:hAnsi="Arial" w:eastAsia="宋体" w:cs="Arial"/>
      <w:vanish/>
      <w:sz w:val="16"/>
      <w:szCs w:val="16"/>
    </w:rPr>
  </w:style>
  <w:style w:type="character" w:customStyle="1" w:styleId="602">
    <w:name w:val="z-窗体底端 字符"/>
    <w:basedOn w:val="136"/>
    <w:link w:val="601"/>
    <w:semiHidden/>
    <w:qFormat/>
    <w:uiPriority w:val="99"/>
    <w:rPr>
      <w:rFonts w:ascii="Arial" w:hAnsi="Arial" w:eastAsia="宋体" w:cs="Arial"/>
      <w:vanish/>
      <w:kern w:val="2"/>
      <w:sz w:val="16"/>
      <w:szCs w:val="16"/>
    </w:rPr>
  </w:style>
  <w:style w:type="character" w:customStyle="1" w:styleId="603">
    <w:name w:val="标题 8 Char1"/>
    <w:basedOn w:val="136"/>
    <w:qFormat/>
    <w:uiPriority w:val="0"/>
    <w:rPr>
      <w:rFonts w:asciiTheme="majorHAnsi" w:hAnsiTheme="majorHAnsi" w:eastAsiaTheme="majorEastAsia" w:cstheme="majorBidi"/>
      <w:kern w:val="2"/>
      <w:sz w:val="24"/>
      <w:szCs w:val="24"/>
    </w:rPr>
  </w:style>
  <w:style w:type="paragraph" w:customStyle="1" w:styleId="604">
    <w:name w:val="正文 首行缩进:  2 字符"/>
    <w:basedOn w:val="1"/>
    <w:link w:val="1270"/>
    <w:qFormat/>
    <w:uiPriority w:val="0"/>
    <w:pPr>
      <w:spacing w:line="360" w:lineRule="auto"/>
      <w:ind w:firstLine="480"/>
    </w:pPr>
    <w:rPr>
      <w:rFonts w:ascii="Times New Roman" w:hAnsi="Times New Roman" w:eastAsia="宋体" w:cs="宋体"/>
      <w:sz w:val="24"/>
      <w:szCs w:val="20"/>
    </w:rPr>
  </w:style>
  <w:style w:type="paragraph" w:customStyle="1" w:styleId="605">
    <w:name w:val="样式1 Char"/>
    <w:basedOn w:val="1"/>
    <w:qFormat/>
    <w:uiPriority w:val="0"/>
    <w:pPr>
      <w:suppressLineNumbers/>
      <w:suppressAutoHyphens/>
      <w:spacing w:after="120"/>
      <w:ind w:left="105"/>
    </w:pPr>
    <w:rPr>
      <w:rFonts w:ascii="Times New Roman" w:hAnsi="Times New Roman" w:eastAsia="宋体" w:cs="Times New Roman"/>
      <w:kern w:val="21"/>
      <w:szCs w:val="21"/>
    </w:rPr>
  </w:style>
  <w:style w:type="character" w:customStyle="1" w:styleId="606">
    <w:name w:val="文档正文 Char"/>
    <w:link w:val="607"/>
    <w:qFormat/>
    <w:locked/>
    <w:uiPriority w:val="0"/>
    <w:rPr>
      <w:rFonts w:ascii="Times New Roman" w:hAnsi="Times New Roman"/>
      <w:sz w:val="24"/>
    </w:rPr>
  </w:style>
  <w:style w:type="paragraph" w:customStyle="1" w:styleId="607">
    <w:name w:val="文档正文"/>
    <w:basedOn w:val="1"/>
    <w:link w:val="606"/>
    <w:qFormat/>
    <w:uiPriority w:val="0"/>
    <w:pPr>
      <w:adjustRightInd w:val="0"/>
      <w:spacing w:before="60" w:after="60" w:line="360" w:lineRule="atLeast"/>
      <w:ind w:firstLine="482"/>
    </w:pPr>
    <w:rPr>
      <w:rFonts w:ascii="Times New Roman" w:hAnsi="Times New Roman"/>
      <w:kern w:val="0"/>
      <w:sz w:val="24"/>
      <w:szCs w:val="20"/>
    </w:rPr>
  </w:style>
  <w:style w:type="paragraph" w:customStyle="1" w:styleId="608">
    <w:name w:val="1级标题"/>
    <w:basedOn w:val="1"/>
    <w:next w:val="1"/>
    <w:link w:val="1915"/>
    <w:qFormat/>
    <w:uiPriority w:val="99"/>
    <w:pPr>
      <w:adjustRightInd w:val="0"/>
      <w:snapToGrid w:val="0"/>
      <w:spacing w:line="360" w:lineRule="auto"/>
      <w:jc w:val="left"/>
      <w:outlineLvl w:val="0"/>
    </w:pPr>
    <w:rPr>
      <w:rFonts w:ascii="宋体" w:hAnsi="Times New Roman" w:eastAsia="仿宋" w:cs="Times New Roman"/>
      <w:b/>
      <w:bCs/>
      <w:kern w:val="0"/>
      <w:sz w:val="32"/>
      <w:szCs w:val="32"/>
      <w:lang w:val="zh-CN"/>
    </w:rPr>
  </w:style>
  <w:style w:type="paragraph" w:customStyle="1" w:styleId="609">
    <w:name w:val="2级标题"/>
    <w:basedOn w:val="1"/>
    <w:next w:val="1"/>
    <w:qFormat/>
    <w:uiPriority w:val="0"/>
    <w:pPr>
      <w:adjustRightInd w:val="0"/>
      <w:snapToGrid w:val="0"/>
      <w:spacing w:line="360" w:lineRule="auto"/>
      <w:jc w:val="left"/>
      <w:outlineLvl w:val="1"/>
    </w:pPr>
    <w:rPr>
      <w:rFonts w:ascii="宋体" w:hAnsi="Times New Roman" w:eastAsia="仿宋" w:cs="Times New Roman"/>
      <w:b/>
      <w:bCs/>
      <w:sz w:val="30"/>
      <w:szCs w:val="24"/>
    </w:rPr>
  </w:style>
  <w:style w:type="paragraph" w:customStyle="1" w:styleId="610">
    <w:name w:val="5级标题"/>
    <w:next w:val="1"/>
    <w:qFormat/>
    <w:uiPriority w:val="99"/>
    <w:pPr>
      <w:numPr>
        <w:ilvl w:val="4"/>
        <w:numId w:val="39"/>
      </w:numPr>
      <w:adjustRightInd w:val="0"/>
      <w:snapToGrid w:val="0"/>
      <w:spacing w:line="360" w:lineRule="auto"/>
      <w:ind w:left="0"/>
      <w:outlineLvl w:val="4"/>
    </w:pPr>
    <w:rPr>
      <w:rFonts w:ascii="Times New Roman" w:hAnsi="Times New Roman" w:eastAsia="宋体" w:cs="Times New Roman"/>
      <w:kern w:val="2"/>
      <w:sz w:val="24"/>
      <w:szCs w:val="24"/>
      <w:lang w:val="en-US" w:eastAsia="zh-CN" w:bidi="ar-SA"/>
    </w:rPr>
  </w:style>
  <w:style w:type="paragraph" w:customStyle="1" w:styleId="611">
    <w:name w:val="3级标题"/>
    <w:link w:val="2954"/>
    <w:qFormat/>
    <w:uiPriority w:val="0"/>
    <w:pPr>
      <w:numPr>
        <w:ilvl w:val="2"/>
        <w:numId w:val="39"/>
      </w:numPr>
      <w:spacing w:line="360" w:lineRule="auto"/>
      <w:ind w:left="0"/>
      <w:outlineLvl w:val="2"/>
    </w:pPr>
    <w:rPr>
      <w:rFonts w:ascii="宋体" w:hAnsi="Times New Roman" w:eastAsia="仿宋" w:cs="Times New Roman"/>
      <w:b/>
      <w:sz w:val="28"/>
      <w:lang w:val="en-US" w:eastAsia="zh-CN" w:bidi="ar-SA"/>
    </w:rPr>
  </w:style>
  <w:style w:type="paragraph" w:customStyle="1" w:styleId="612">
    <w:name w:val="4级标题"/>
    <w:basedOn w:val="611"/>
    <w:next w:val="1"/>
    <w:qFormat/>
    <w:uiPriority w:val="99"/>
    <w:pPr>
      <w:numPr>
        <w:ilvl w:val="3"/>
      </w:numPr>
      <w:outlineLvl w:val="3"/>
    </w:pPr>
    <w:rPr>
      <w:rFonts w:eastAsia="宋体"/>
      <w:bCs/>
      <w:kern w:val="2"/>
      <w:sz w:val="24"/>
      <w:szCs w:val="28"/>
      <w:lang w:val="zh-CN"/>
    </w:rPr>
  </w:style>
  <w:style w:type="paragraph" w:customStyle="1" w:styleId="613">
    <w:name w:val="7级标题"/>
    <w:basedOn w:val="1"/>
    <w:next w:val="1"/>
    <w:qFormat/>
    <w:uiPriority w:val="99"/>
    <w:pPr>
      <w:numPr>
        <w:ilvl w:val="6"/>
        <w:numId w:val="39"/>
      </w:numPr>
      <w:tabs>
        <w:tab w:val="clear" w:pos="340"/>
      </w:tabs>
      <w:adjustRightInd w:val="0"/>
      <w:snapToGrid w:val="0"/>
      <w:spacing w:after="60" w:line="316" w:lineRule="auto"/>
      <w:ind w:firstLine="0"/>
    </w:pPr>
    <w:rPr>
      <w:rFonts w:ascii="Times" w:hAnsi="Times" w:eastAsia="仿宋" w:cs="Times New Roman"/>
      <w:kern w:val="0"/>
      <w:sz w:val="24"/>
    </w:rPr>
  </w:style>
  <w:style w:type="paragraph" w:customStyle="1" w:styleId="614">
    <w:name w:val="8级标题"/>
    <w:basedOn w:val="613"/>
    <w:qFormat/>
    <w:uiPriority w:val="0"/>
    <w:pPr>
      <w:numPr>
        <w:ilvl w:val="7"/>
      </w:numPr>
      <w:ind w:left="0"/>
    </w:pPr>
  </w:style>
  <w:style w:type="paragraph" w:customStyle="1" w:styleId="615">
    <w:name w:val="9级标题"/>
    <w:basedOn w:val="614"/>
    <w:qFormat/>
    <w:uiPriority w:val="0"/>
    <w:pPr>
      <w:numPr>
        <w:ilvl w:val="8"/>
      </w:numPr>
      <w:spacing w:after="0" w:line="360" w:lineRule="auto"/>
      <w:ind w:firstLine="0"/>
    </w:pPr>
  </w:style>
  <w:style w:type="paragraph" w:customStyle="1" w:styleId="616">
    <w:name w:val="正文6"/>
    <w:qFormat/>
    <w:uiPriority w:val="0"/>
    <w:pPr>
      <w:jc w:val="both"/>
    </w:pPr>
    <w:rPr>
      <w:rFonts w:ascii="等线" w:hAnsi="等线" w:eastAsia="宋体" w:cs="宋体"/>
      <w:kern w:val="2"/>
      <w:sz w:val="21"/>
      <w:szCs w:val="21"/>
      <w:lang w:val="en-US" w:eastAsia="zh-CN" w:bidi="ar-SA"/>
    </w:rPr>
  </w:style>
  <w:style w:type="paragraph" w:customStyle="1" w:styleId="617">
    <w:name w:val="一级标题"/>
    <w:basedOn w:val="1"/>
    <w:next w:val="1"/>
    <w:link w:val="1857"/>
    <w:unhideWhenUsed/>
    <w:qFormat/>
    <w:uiPriority w:val="0"/>
    <w:pPr>
      <w:numPr>
        <w:ilvl w:val="0"/>
        <w:numId w:val="40"/>
      </w:numPr>
      <w:spacing w:before="100" w:beforeLines="100" w:line="360" w:lineRule="auto"/>
      <w:ind w:left="0"/>
      <w:jc w:val="center"/>
      <w:outlineLvl w:val="0"/>
    </w:pPr>
    <w:rPr>
      <w:rFonts w:ascii="Times New Roman" w:hAnsi="Times New Roman" w:eastAsia="宋体" w:cs="Times New Roman"/>
      <w:b/>
      <w:kern w:val="32"/>
      <w:sz w:val="32"/>
      <w:szCs w:val="30"/>
    </w:rPr>
  </w:style>
  <w:style w:type="paragraph" w:customStyle="1" w:styleId="618">
    <w:name w:val="样式6"/>
    <w:basedOn w:val="15"/>
    <w:link w:val="619"/>
    <w:qFormat/>
    <w:uiPriority w:val="0"/>
    <w:pPr>
      <w:numPr>
        <w:ilvl w:val="4"/>
        <w:numId w:val="41"/>
      </w:numPr>
      <w:spacing w:before="156" w:beforeLines="50" w:after="156" w:afterLines="50" w:line="240" w:lineRule="auto"/>
      <w:ind w:left="0" w:firstLine="0"/>
    </w:pPr>
    <w:rPr>
      <w:rFonts w:ascii="Times New Roman" w:hAnsi="Times New Roman" w:cs="Times New Roman"/>
      <w:bCs w:val="0"/>
      <w:sz w:val="24"/>
    </w:rPr>
  </w:style>
  <w:style w:type="character" w:customStyle="1" w:styleId="619">
    <w:name w:val="样式6 字符"/>
    <w:basedOn w:val="136"/>
    <w:link w:val="618"/>
    <w:qFormat/>
    <w:uiPriority w:val="0"/>
    <w:rPr>
      <w:b/>
      <w:kern w:val="2"/>
      <w:sz w:val="24"/>
      <w:szCs w:val="24"/>
    </w:rPr>
  </w:style>
  <w:style w:type="paragraph" w:customStyle="1" w:styleId="620">
    <w:name w:val="GW-标题5"/>
    <w:basedOn w:val="1"/>
    <w:next w:val="1"/>
    <w:qFormat/>
    <w:uiPriority w:val="0"/>
    <w:pPr>
      <w:keepNext/>
      <w:keepLines/>
      <w:numPr>
        <w:ilvl w:val="4"/>
        <w:numId w:val="42"/>
      </w:numPr>
      <w:tabs>
        <w:tab w:val="left" w:pos="432"/>
        <w:tab w:val="left" w:pos="567"/>
      </w:tabs>
      <w:spacing w:before="50" w:beforeLines="50" w:after="50" w:afterLines="50" w:line="360" w:lineRule="auto"/>
      <w:ind w:left="0"/>
      <w:jc w:val="left"/>
      <w:outlineLvl w:val="4"/>
    </w:pPr>
    <w:rPr>
      <w:rFonts w:ascii="仿宋_GB2312" w:hAnsi="仿宋_GB2312" w:eastAsia="黑体" w:cs="Times New Roman"/>
      <w:b/>
      <w:kern w:val="44"/>
      <w:sz w:val="28"/>
      <w:szCs w:val="20"/>
      <w:lang w:val="zh-CN"/>
    </w:rPr>
  </w:style>
  <w:style w:type="paragraph" w:customStyle="1" w:styleId="621">
    <w:name w:val="我的正文1"/>
    <w:basedOn w:val="1"/>
    <w:link w:val="622"/>
    <w:qFormat/>
    <w:uiPriority w:val="0"/>
    <w:pPr>
      <w:adjustRightInd w:val="0"/>
      <w:spacing w:line="360" w:lineRule="auto"/>
      <w:ind w:firstLine="200" w:firstLineChars="200"/>
    </w:pPr>
    <w:rPr>
      <w:rFonts w:ascii="Times New Roman" w:hAnsi="Times New Roman" w:eastAsia="宋体" w:cs="Times New Roman"/>
      <w:sz w:val="28"/>
      <w:szCs w:val="24"/>
    </w:rPr>
  </w:style>
  <w:style w:type="character" w:customStyle="1" w:styleId="622">
    <w:name w:val="我的正文1 字符"/>
    <w:link w:val="621"/>
    <w:qFormat/>
    <w:uiPriority w:val="0"/>
    <w:rPr>
      <w:rFonts w:ascii="Times New Roman" w:hAnsi="Times New Roman" w:eastAsia="宋体" w:cs="Times New Roman"/>
      <w:kern w:val="2"/>
      <w:sz w:val="28"/>
      <w:szCs w:val="24"/>
    </w:rPr>
  </w:style>
  <w:style w:type="paragraph" w:customStyle="1" w:styleId="623">
    <w:name w:val="样式一"/>
    <w:basedOn w:val="1"/>
    <w:link w:val="624"/>
    <w:qFormat/>
    <w:uiPriority w:val="0"/>
    <w:pPr>
      <w:widowControl/>
      <w:spacing w:line="360" w:lineRule="auto"/>
      <w:ind w:firstLine="482"/>
    </w:pPr>
    <w:rPr>
      <w:rFonts w:ascii="Calibri" w:hAnsi="Calibri" w:eastAsia="宋体" w:cs="Times New Roman"/>
      <w:sz w:val="24"/>
      <w:lang w:val="zh-CN"/>
    </w:rPr>
  </w:style>
  <w:style w:type="character" w:customStyle="1" w:styleId="624">
    <w:name w:val="样式一 字符"/>
    <w:link w:val="623"/>
    <w:qFormat/>
    <w:uiPriority w:val="0"/>
    <w:rPr>
      <w:rFonts w:ascii="Calibri" w:hAnsi="Calibri" w:eastAsia="宋体" w:cs="Times New Roman"/>
      <w:kern w:val="2"/>
      <w:sz w:val="24"/>
      <w:szCs w:val="22"/>
      <w:lang w:val="zh-CN"/>
    </w:rPr>
  </w:style>
  <w:style w:type="character" w:customStyle="1" w:styleId="625">
    <w:name w:val="标题1 字符"/>
    <w:link w:val="567"/>
    <w:qFormat/>
    <w:uiPriority w:val="0"/>
    <w:rPr>
      <w:rFonts w:ascii="Times New Roman" w:hAnsi="Times New Roman" w:eastAsia="黑体" w:cs="Times New Roman"/>
      <w:b/>
      <w:sz w:val="28"/>
    </w:rPr>
  </w:style>
  <w:style w:type="character" w:customStyle="1" w:styleId="626">
    <w:name w:val="标题3 字符"/>
    <w:link w:val="568"/>
    <w:qFormat/>
    <w:uiPriority w:val="99"/>
    <w:rPr>
      <w:rFonts w:ascii="Times New Roman" w:hAnsi="Times New Roman" w:eastAsia="黑体" w:cs="Times New Roman"/>
      <w:b/>
      <w:sz w:val="24"/>
    </w:rPr>
  </w:style>
  <w:style w:type="character" w:customStyle="1" w:styleId="627">
    <w:name w:val="标题5 字符"/>
    <w:qFormat/>
    <w:uiPriority w:val="0"/>
    <w:rPr>
      <w:rFonts w:eastAsia="楷体"/>
      <w:b/>
      <w:bCs/>
      <w:kern w:val="2"/>
      <w:sz w:val="24"/>
      <w:szCs w:val="28"/>
      <w:lang w:val="zh-CN" w:eastAsia="zh-CN"/>
    </w:rPr>
  </w:style>
  <w:style w:type="character" w:customStyle="1" w:styleId="628">
    <w:name w:val="文档结构图 Char"/>
    <w:qFormat/>
    <w:uiPriority w:val="99"/>
    <w:rPr>
      <w:rFonts w:ascii="宋体"/>
      <w:kern w:val="2"/>
      <w:sz w:val="18"/>
      <w:szCs w:val="18"/>
    </w:rPr>
  </w:style>
  <w:style w:type="character" w:customStyle="1" w:styleId="629">
    <w:name w:val="GW-正文 Char"/>
    <w:basedOn w:val="136"/>
    <w:qFormat/>
    <w:uiPriority w:val="0"/>
    <w:rPr>
      <w:rFonts w:hint="default" w:ascii="Calibri" w:hAnsi="Calibri" w:eastAsia="仿宋_GB2312" w:cs="Calibri"/>
      <w:sz w:val="24"/>
      <w:szCs w:val="24"/>
    </w:rPr>
  </w:style>
  <w:style w:type="character" w:customStyle="1" w:styleId="630">
    <w:name w:val="内容文本 Char"/>
    <w:basedOn w:val="136"/>
    <w:qFormat/>
    <w:uiPriority w:val="0"/>
    <w:rPr>
      <w:rFonts w:hint="eastAsia" w:ascii="宋体" w:hAnsi="宋体" w:eastAsia="宋体" w:cs="宋体"/>
      <w:sz w:val="24"/>
      <w:szCs w:val="24"/>
      <w:lang w:eastAsia="en-US" w:bidi="en-US"/>
    </w:rPr>
  </w:style>
  <w:style w:type="character" w:customStyle="1" w:styleId="631">
    <w:name w:val="样式 四号 行距: 1.5 倍行距 首行缩进:  2 字符 Char"/>
    <w:basedOn w:val="136"/>
    <w:qFormat/>
    <w:uiPriority w:val="0"/>
    <w:rPr>
      <w:rFonts w:hint="eastAsia" w:ascii="宋体" w:hAnsi="宋体" w:eastAsia="宋体" w:cs="宋体"/>
      <w:sz w:val="24"/>
      <w:szCs w:val="24"/>
    </w:rPr>
  </w:style>
  <w:style w:type="character" w:customStyle="1" w:styleId="632">
    <w:name w:val="正文_Jake Char"/>
    <w:basedOn w:val="136"/>
    <w:qFormat/>
    <w:uiPriority w:val="0"/>
    <w:rPr>
      <w:rFonts w:hint="default" w:ascii="Calibri" w:hAnsi="Calibri" w:cs="Calibri"/>
    </w:rPr>
  </w:style>
  <w:style w:type="character" w:customStyle="1" w:styleId="633">
    <w:name w:val="黑体重点 Char"/>
    <w:basedOn w:val="136"/>
    <w:qFormat/>
    <w:uiPriority w:val="0"/>
    <w:rPr>
      <w:rFonts w:hint="default" w:ascii="Arial" w:hAnsi="Arial" w:cs="Arial"/>
      <w:b/>
      <w:sz w:val="24"/>
      <w:szCs w:val="24"/>
    </w:rPr>
  </w:style>
  <w:style w:type="character" w:customStyle="1" w:styleId="634">
    <w:name w:val="GW-正文 Char Char"/>
    <w:basedOn w:val="136"/>
    <w:link w:val="635"/>
    <w:qFormat/>
    <w:uiPriority w:val="0"/>
    <w:rPr>
      <w:rFonts w:ascii="仿宋_GB2312" w:eastAsia="仿宋_GB2312" w:cs="仿宋_GB2312"/>
      <w:sz w:val="24"/>
      <w:szCs w:val="24"/>
    </w:rPr>
  </w:style>
  <w:style w:type="paragraph" w:customStyle="1" w:styleId="635">
    <w:name w:val="GW-正文"/>
    <w:link w:val="634"/>
    <w:qFormat/>
    <w:uiPriority w:val="0"/>
    <w:pPr>
      <w:spacing w:line="300" w:lineRule="auto"/>
      <w:ind w:firstLine="200" w:firstLineChars="200"/>
    </w:pPr>
    <w:rPr>
      <w:rFonts w:ascii="仿宋_GB2312" w:eastAsia="仿宋_GB2312" w:cs="仿宋_GB2312" w:hAnsiTheme="minorHAnsi"/>
      <w:sz w:val="24"/>
      <w:szCs w:val="24"/>
      <w:lang w:val="en-US" w:eastAsia="zh-CN" w:bidi="ar-SA"/>
    </w:rPr>
  </w:style>
  <w:style w:type="character" w:customStyle="1" w:styleId="636">
    <w:name w:val="日期 字符2"/>
    <w:basedOn w:val="136"/>
    <w:qFormat/>
    <w:uiPriority w:val="99"/>
    <w:rPr>
      <w:snapToGrid/>
      <w:sz w:val="24"/>
      <w:szCs w:val="21"/>
    </w:rPr>
  </w:style>
  <w:style w:type="character" w:customStyle="1" w:styleId="637">
    <w:name w:val="正文（首行缩进2字符） Char Char"/>
    <w:basedOn w:val="136"/>
    <w:qFormat/>
    <w:uiPriority w:val="0"/>
    <w:rPr>
      <w:rFonts w:hint="eastAsia" w:ascii="仿宋" w:hAnsi="仿宋" w:eastAsia="仿宋" w:cs="仿宋"/>
      <w:kern w:val="2"/>
      <w:sz w:val="30"/>
      <w:szCs w:val="32"/>
    </w:rPr>
  </w:style>
  <w:style w:type="character" w:customStyle="1" w:styleId="638">
    <w:name w:val="段落正文 Char"/>
    <w:basedOn w:val="136"/>
    <w:qFormat/>
    <w:uiPriority w:val="0"/>
    <w:rPr>
      <w:spacing w:val="2"/>
      <w:kern w:val="2"/>
      <w:sz w:val="24"/>
    </w:rPr>
  </w:style>
  <w:style w:type="character" w:customStyle="1" w:styleId="639">
    <w:name w:val="批注框文本 字符3"/>
    <w:basedOn w:val="136"/>
    <w:qFormat/>
    <w:uiPriority w:val="0"/>
    <w:rPr>
      <w:snapToGrid/>
      <w:sz w:val="18"/>
      <w:szCs w:val="18"/>
    </w:rPr>
  </w:style>
  <w:style w:type="character" w:customStyle="1" w:styleId="640">
    <w:name w:val="正文文本 3 Char2"/>
    <w:basedOn w:val="136"/>
    <w:qFormat/>
    <w:uiPriority w:val="0"/>
    <w:rPr>
      <w:rFonts w:hint="eastAsia" w:ascii="宋体" w:hAnsi="宋体" w:eastAsia="宋体" w:cs="宋体"/>
      <w:sz w:val="16"/>
      <w:szCs w:val="16"/>
    </w:rPr>
  </w:style>
  <w:style w:type="character" w:customStyle="1" w:styleId="641">
    <w:name w:val="注释标题 字符1"/>
    <w:basedOn w:val="136"/>
    <w:qFormat/>
    <w:uiPriority w:val="0"/>
    <w:rPr>
      <w:rFonts w:hint="default" w:ascii="Tahoma" w:hAnsi="Tahoma" w:eastAsia="Tahoma" w:cs="Times New Roman"/>
      <w:sz w:val="24"/>
      <w:szCs w:val="22"/>
    </w:rPr>
  </w:style>
  <w:style w:type="character" w:customStyle="1" w:styleId="642">
    <w:name w:val="标题 1 Char1"/>
    <w:basedOn w:val="136"/>
    <w:qFormat/>
    <w:uiPriority w:val="0"/>
    <w:rPr>
      <w:rFonts w:hint="default" w:ascii="Times New Roman" w:hAnsi="Times New Roman" w:cs="Times New Roman"/>
      <w:kern w:val="44"/>
      <w:sz w:val="44"/>
      <w:szCs w:val="44"/>
    </w:rPr>
  </w:style>
  <w:style w:type="character" w:customStyle="1" w:styleId="643">
    <w:name w:val="产品手册技术规格列表 Char"/>
    <w:basedOn w:val="136"/>
    <w:qFormat/>
    <w:uiPriority w:val="0"/>
    <w:rPr>
      <w:rFonts w:hint="default" w:ascii="Verdana" w:hAnsi="Verdana" w:eastAsia="黑体" w:cs="Verdana"/>
      <w:b/>
    </w:rPr>
  </w:style>
  <w:style w:type="character" w:customStyle="1" w:styleId="644">
    <w:name w:val="模板正文 Char"/>
    <w:basedOn w:val="136"/>
    <w:link w:val="645"/>
    <w:qFormat/>
    <w:uiPriority w:val="0"/>
    <w:rPr>
      <w:rFonts w:ascii="宋体" w:hAnsi="宋体" w:eastAsia="宋体" w:cs="宋体"/>
      <w:kern w:val="2"/>
      <w:sz w:val="24"/>
      <w:szCs w:val="24"/>
    </w:rPr>
  </w:style>
  <w:style w:type="paragraph" w:customStyle="1" w:styleId="645">
    <w:name w:val="模板正文"/>
    <w:basedOn w:val="1"/>
    <w:link w:val="644"/>
    <w:qFormat/>
    <w:uiPriority w:val="0"/>
    <w:pPr>
      <w:wordWrap w:val="0"/>
      <w:spacing w:beforeLines="50" w:line="360" w:lineRule="auto"/>
      <w:ind w:firstLine="200" w:firstLineChars="200"/>
    </w:pPr>
    <w:rPr>
      <w:rFonts w:ascii="宋体" w:hAnsi="宋体" w:eastAsia="宋体" w:cs="宋体"/>
      <w:sz w:val="24"/>
      <w:szCs w:val="24"/>
    </w:rPr>
  </w:style>
  <w:style w:type="character" w:customStyle="1" w:styleId="646">
    <w:name w:val="页眉 字符3"/>
    <w:basedOn w:val="136"/>
    <w:qFormat/>
    <w:uiPriority w:val="0"/>
    <w:rPr>
      <w:rFonts w:hint="default" w:ascii="Arial" w:hAnsi="Arial" w:cs="Arial"/>
      <w:snapToGrid/>
      <w:sz w:val="18"/>
      <w:szCs w:val="18"/>
    </w:rPr>
  </w:style>
  <w:style w:type="character" w:customStyle="1" w:styleId="647">
    <w:name w:val="正文文本 (11)_"/>
    <w:basedOn w:val="136"/>
    <w:qFormat/>
    <w:uiPriority w:val="0"/>
    <w:rPr>
      <w:rFonts w:hint="eastAsia" w:ascii="宋体" w:hAnsi="宋体" w:eastAsia="宋体" w:cs="宋体"/>
      <w:shd w:val="clear" w:color="auto" w:fill="FFFFFF"/>
    </w:rPr>
  </w:style>
  <w:style w:type="character" w:customStyle="1" w:styleId="648">
    <w:name w:val="江西-标题四 Char"/>
    <w:basedOn w:val="136"/>
    <w:qFormat/>
    <w:uiPriority w:val="0"/>
    <w:rPr>
      <w:rFonts w:hint="eastAsia" w:ascii="华文中宋" w:hAnsi="华文中宋" w:eastAsia="华文中宋" w:cs="华文中宋"/>
      <w:b/>
      <w:sz w:val="30"/>
      <w:szCs w:val="21"/>
    </w:rPr>
  </w:style>
  <w:style w:type="character" w:customStyle="1" w:styleId="649">
    <w:name w:val="标题4 Char Char"/>
    <w:basedOn w:val="136"/>
    <w:qFormat/>
    <w:uiPriority w:val="0"/>
    <w:rPr>
      <w:rFonts w:hint="default" w:ascii="Arial" w:hAnsi="Arial" w:cs="Arial"/>
      <w:b/>
      <w:bCs/>
      <w:sz w:val="24"/>
      <w:szCs w:val="32"/>
    </w:rPr>
  </w:style>
  <w:style w:type="character" w:customStyle="1" w:styleId="650">
    <w:name w:val="正文不空 Char"/>
    <w:basedOn w:val="136"/>
    <w:qFormat/>
    <w:uiPriority w:val="0"/>
    <w:rPr>
      <w:rFonts w:hint="eastAsia" w:ascii="仿宋_GB2312" w:eastAsia="仿宋_GB2312" w:cs="仿宋_GB2312"/>
      <w:sz w:val="24"/>
      <w:szCs w:val="24"/>
    </w:rPr>
  </w:style>
  <w:style w:type="character" w:customStyle="1" w:styleId="651">
    <w:name w:val="正文样式文本 Char"/>
    <w:basedOn w:val="136"/>
    <w:link w:val="652"/>
    <w:qFormat/>
    <w:uiPriority w:val="0"/>
    <w:rPr>
      <w:rFonts w:ascii="Calibri" w:hAnsi="Calibri" w:cs="Calibri"/>
      <w:sz w:val="24"/>
      <w:szCs w:val="24"/>
    </w:rPr>
  </w:style>
  <w:style w:type="paragraph" w:customStyle="1" w:styleId="652">
    <w:name w:val="正文样式文本"/>
    <w:basedOn w:val="1"/>
    <w:link w:val="651"/>
    <w:qFormat/>
    <w:uiPriority w:val="0"/>
    <w:pPr>
      <w:spacing w:before="156" w:beforeLines="50" w:after="156" w:afterLines="50" w:line="360" w:lineRule="auto"/>
      <w:ind w:firstLine="480" w:firstLineChars="200"/>
    </w:pPr>
    <w:rPr>
      <w:rFonts w:ascii="Calibri" w:hAnsi="Calibri" w:cs="Calibri"/>
      <w:kern w:val="0"/>
      <w:sz w:val="24"/>
      <w:szCs w:val="24"/>
    </w:rPr>
  </w:style>
  <w:style w:type="character" w:customStyle="1" w:styleId="653">
    <w:name w:val="表格及内容 Char Char"/>
    <w:basedOn w:val="136"/>
    <w:link w:val="654"/>
    <w:qFormat/>
    <w:uiPriority w:val="0"/>
    <w:rPr>
      <w:sz w:val="24"/>
      <w:szCs w:val="24"/>
    </w:rPr>
  </w:style>
  <w:style w:type="paragraph" w:customStyle="1" w:styleId="654">
    <w:name w:val="表格及内容"/>
    <w:basedOn w:val="1"/>
    <w:link w:val="653"/>
    <w:qFormat/>
    <w:uiPriority w:val="0"/>
    <w:pPr>
      <w:spacing w:after="60" w:afterLines="25" w:line="360" w:lineRule="auto"/>
      <w:ind w:firstLine="480" w:firstLineChars="200"/>
    </w:pPr>
    <w:rPr>
      <w:rFonts w:ascii="Times New Roman" w:hAnsi="Times New Roman" w:eastAsia="宋体" w:cs="Times New Roman"/>
      <w:kern w:val="0"/>
      <w:sz w:val="24"/>
      <w:szCs w:val="24"/>
    </w:rPr>
  </w:style>
  <w:style w:type="character" w:customStyle="1" w:styleId="655">
    <w:name w:val="信息标题 字符1"/>
    <w:basedOn w:val="136"/>
    <w:qFormat/>
    <w:uiPriority w:val="0"/>
    <w:rPr>
      <w:rFonts w:hint="default" w:ascii="Cambria" w:hAnsi="Cambria" w:eastAsia="宋体" w:cs="Times New Roman"/>
      <w:sz w:val="24"/>
      <w:szCs w:val="24"/>
      <w:shd w:val="pct20" w:color="auto" w:fill="auto"/>
    </w:rPr>
  </w:style>
  <w:style w:type="character" w:customStyle="1" w:styleId="656">
    <w:name w:val="批注引用1"/>
    <w:basedOn w:val="136"/>
    <w:qFormat/>
    <w:uiPriority w:val="0"/>
    <w:rPr>
      <w:sz w:val="21"/>
      <w:szCs w:val="21"/>
    </w:rPr>
  </w:style>
  <w:style w:type="character" w:customStyle="1" w:styleId="657">
    <w:name w:val="副标题 Char2"/>
    <w:basedOn w:val="136"/>
    <w:qFormat/>
    <w:uiPriority w:val="0"/>
    <w:rPr>
      <w:rFonts w:hint="default" w:ascii="Cambria" w:hAnsi="Cambria" w:eastAsia="宋体" w:cs="Times New Roman"/>
      <w:b/>
      <w:bCs/>
      <w:kern w:val="28"/>
      <w:sz w:val="32"/>
      <w:szCs w:val="32"/>
    </w:rPr>
  </w:style>
  <w:style w:type="character" w:customStyle="1" w:styleId="658">
    <w:name w:val="样式 (符号) Arial 小五"/>
    <w:basedOn w:val="136"/>
    <w:qFormat/>
    <w:uiPriority w:val="0"/>
    <w:rPr>
      <w:kern w:val="24"/>
      <w:sz w:val="28"/>
    </w:rPr>
  </w:style>
  <w:style w:type="character" w:customStyle="1" w:styleId="659">
    <w:name w:val="文本块 字符"/>
    <w:basedOn w:val="136"/>
    <w:link w:val="44"/>
    <w:qFormat/>
    <w:uiPriority w:val="0"/>
    <w:rPr>
      <w:rFonts w:ascii="宋体" w:hAnsi="Times New Roman" w:eastAsia="宋体" w:cs="Times New Roman"/>
      <w:sz w:val="21"/>
    </w:rPr>
  </w:style>
  <w:style w:type="character" w:customStyle="1" w:styleId="660">
    <w:name w:val="标题 9 字符1"/>
    <w:basedOn w:val="136"/>
    <w:qFormat/>
    <w:uiPriority w:val="0"/>
    <w:rPr>
      <w:rFonts w:hint="default" w:ascii="Cambria" w:hAnsi="Cambria" w:eastAsia="宋体" w:cs="Times New Roman"/>
      <w:kern w:val="2"/>
      <w:sz w:val="24"/>
      <w:szCs w:val="21"/>
    </w:rPr>
  </w:style>
  <w:style w:type="character" w:customStyle="1" w:styleId="661">
    <w:name w:val="标准 Char Char Char Char"/>
    <w:basedOn w:val="136"/>
    <w:qFormat/>
    <w:uiPriority w:val="0"/>
    <w:rPr>
      <w:rFonts w:hint="eastAsia" w:ascii="宋体" w:hAnsi="宋体" w:eastAsia="宋体" w:cs="宋体"/>
      <w:color w:val="000000"/>
      <w:sz w:val="24"/>
    </w:rPr>
  </w:style>
  <w:style w:type="character" w:customStyle="1" w:styleId="662">
    <w:name w:val="页眉或页脚 + 11 pt"/>
    <w:basedOn w:val="136"/>
    <w:qFormat/>
    <w:uiPriority w:val="0"/>
    <w:rPr>
      <w:rFonts w:hint="eastAsia" w:ascii="宋体" w:hAnsi="宋体" w:eastAsia="宋体" w:cs="宋体"/>
      <w:sz w:val="22"/>
      <w:szCs w:val="22"/>
      <w:u w:val="none"/>
      <w:lang w:val="en-US" w:eastAsia="en-US"/>
    </w:rPr>
  </w:style>
  <w:style w:type="character" w:customStyle="1" w:styleId="663">
    <w:name w:val="文件标题1.1 Char Char"/>
    <w:basedOn w:val="136"/>
    <w:qFormat/>
    <w:uiPriority w:val="0"/>
    <w:rPr>
      <w:b/>
      <w:kern w:val="2"/>
      <w:sz w:val="30"/>
      <w:szCs w:val="24"/>
    </w:rPr>
  </w:style>
  <w:style w:type="character" w:customStyle="1" w:styleId="664">
    <w:name w:val="未处理的提及311"/>
    <w:basedOn w:val="136"/>
    <w:qFormat/>
    <w:uiPriority w:val="99"/>
    <w:rPr>
      <w:color w:val="605E5C"/>
      <w:shd w:val="clear" w:color="auto" w:fill="E1DFDD"/>
    </w:rPr>
  </w:style>
  <w:style w:type="character" w:customStyle="1" w:styleId="665">
    <w:name w:val="缺省文本 Char"/>
    <w:basedOn w:val="136"/>
    <w:qFormat/>
    <w:uiPriority w:val="0"/>
    <w:rPr>
      <w:sz w:val="24"/>
    </w:rPr>
  </w:style>
  <w:style w:type="character" w:customStyle="1" w:styleId="666">
    <w:name w:val="结束语 字符1"/>
    <w:basedOn w:val="136"/>
    <w:qFormat/>
    <w:uiPriority w:val="0"/>
    <w:rPr>
      <w:rFonts w:hint="default" w:ascii="Tahoma" w:hAnsi="Tahoma" w:eastAsia="Tahoma" w:cs="Times New Roman"/>
      <w:sz w:val="24"/>
      <w:szCs w:val="22"/>
    </w:rPr>
  </w:style>
  <w:style w:type="character" w:customStyle="1" w:styleId="667">
    <w:name w:val="华正项目正文 Char"/>
    <w:basedOn w:val="136"/>
    <w:qFormat/>
    <w:uiPriority w:val="0"/>
    <w:rPr>
      <w:rFonts w:hint="eastAsia" w:ascii="黑体" w:hAnsi="宋体" w:eastAsia="黑体" w:cs="黑体"/>
      <w:sz w:val="28"/>
      <w:szCs w:val="24"/>
    </w:rPr>
  </w:style>
  <w:style w:type="character" w:customStyle="1" w:styleId="668">
    <w:name w:val="汇视源正文 Char Char"/>
    <w:basedOn w:val="136"/>
    <w:qFormat/>
    <w:uiPriority w:val="0"/>
    <w:rPr>
      <w:rFonts w:hint="eastAsia" w:ascii="宋体" w:hAnsi="宋体" w:eastAsia="宋体" w:cs="宋体"/>
      <w:sz w:val="24"/>
    </w:rPr>
  </w:style>
  <w:style w:type="character" w:customStyle="1" w:styleId="669">
    <w:name w:val="GW-标题4 Char"/>
    <w:basedOn w:val="136"/>
    <w:link w:val="670"/>
    <w:qFormat/>
    <w:uiPriority w:val="0"/>
    <w:rPr>
      <w:sz w:val="30"/>
    </w:rPr>
  </w:style>
  <w:style w:type="paragraph" w:customStyle="1" w:styleId="670">
    <w:name w:val="GW-标题4"/>
    <w:basedOn w:val="1"/>
    <w:next w:val="1"/>
    <w:link w:val="669"/>
    <w:qFormat/>
    <w:uiPriority w:val="0"/>
    <w:pPr>
      <w:keepNext/>
      <w:keepLines/>
      <w:spacing w:beforeLines="50" w:afterLines="50" w:line="360" w:lineRule="auto"/>
      <w:ind w:left="2162" w:hanging="420"/>
      <w:outlineLvl w:val="3"/>
    </w:pPr>
    <w:rPr>
      <w:kern w:val="0"/>
      <w:sz w:val="30"/>
      <w:szCs w:val="20"/>
    </w:rPr>
  </w:style>
  <w:style w:type="character" w:customStyle="1" w:styleId="671">
    <w:name w:val="正文内容 Char"/>
    <w:basedOn w:val="136"/>
    <w:link w:val="672"/>
    <w:qFormat/>
    <w:uiPriority w:val="0"/>
    <w:rPr>
      <w:sz w:val="24"/>
    </w:rPr>
  </w:style>
  <w:style w:type="paragraph" w:customStyle="1" w:styleId="672">
    <w:name w:val="正文内容"/>
    <w:basedOn w:val="1"/>
    <w:link w:val="671"/>
    <w:qFormat/>
    <w:uiPriority w:val="99"/>
    <w:pPr>
      <w:spacing w:line="360" w:lineRule="auto"/>
      <w:ind w:firstLine="482" w:firstLineChars="200"/>
    </w:pPr>
    <w:rPr>
      <w:kern w:val="0"/>
      <w:sz w:val="24"/>
      <w:szCs w:val="20"/>
    </w:rPr>
  </w:style>
  <w:style w:type="character" w:customStyle="1" w:styleId="673">
    <w:name w:val="正文首行缩进 2 字符"/>
    <w:basedOn w:val="136"/>
    <w:qFormat/>
    <w:uiPriority w:val="0"/>
  </w:style>
  <w:style w:type="character" w:customStyle="1" w:styleId="674">
    <w:name w:val="正文（缩进2汉字） Char"/>
    <w:basedOn w:val="136"/>
    <w:qFormat/>
    <w:uiPriority w:val="0"/>
    <w:rPr>
      <w:rFonts w:hint="eastAsia" w:ascii="宋体" w:hAnsi="宋体" w:eastAsia="宋体" w:cs="宋体"/>
      <w:szCs w:val="24"/>
    </w:rPr>
  </w:style>
  <w:style w:type="character" w:customStyle="1" w:styleId="675">
    <w:name w:val="方案正文 Char Char"/>
    <w:basedOn w:val="136"/>
    <w:qFormat/>
    <w:uiPriority w:val="0"/>
    <w:rPr>
      <w:kern w:val="2"/>
      <w:sz w:val="24"/>
      <w:szCs w:val="24"/>
    </w:rPr>
  </w:style>
  <w:style w:type="character" w:customStyle="1" w:styleId="676">
    <w:name w:val="技术方案标题二 Char"/>
    <w:basedOn w:val="136"/>
    <w:qFormat/>
    <w:uiPriority w:val="0"/>
    <w:rPr>
      <w:rFonts w:hint="eastAsia" w:ascii="宋体" w:hAnsi="宋体" w:eastAsia="宋体" w:cs="宋体"/>
      <w:b/>
      <w:bCs/>
      <w:i/>
      <w:iCs/>
      <w:kern w:val="2"/>
      <w:sz w:val="24"/>
      <w:szCs w:val="28"/>
      <w:lang w:eastAsia="en-US" w:bidi="en-US"/>
    </w:rPr>
  </w:style>
  <w:style w:type="character" w:customStyle="1" w:styleId="677">
    <w:name w:val="22222222222222 Char"/>
    <w:basedOn w:val="136"/>
    <w:qFormat/>
    <w:uiPriority w:val="0"/>
    <w:rPr>
      <w:sz w:val="24"/>
      <w:szCs w:val="24"/>
    </w:rPr>
  </w:style>
  <w:style w:type="character" w:customStyle="1" w:styleId="678">
    <w:name w:val="正文文本 2 字符2"/>
    <w:basedOn w:val="136"/>
    <w:qFormat/>
    <w:uiPriority w:val="0"/>
    <w:rPr>
      <w:kern w:val="2"/>
      <w:sz w:val="21"/>
      <w:szCs w:val="24"/>
    </w:rPr>
  </w:style>
  <w:style w:type="character" w:customStyle="1" w:styleId="679">
    <w:name w:val="签名 字符1"/>
    <w:basedOn w:val="136"/>
    <w:qFormat/>
    <w:uiPriority w:val="0"/>
    <w:rPr>
      <w:rFonts w:hint="default" w:ascii="Tahoma" w:hAnsi="Tahoma" w:eastAsia="Tahoma" w:cs="Times New Roman"/>
      <w:sz w:val="24"/>
      <w:szCs w:val="22"/>
    </w:rPr>
  </w:style>
  <w:style w:type="character" w:customStyle="1" w:styleId="680">
    <w:name w:val="图形 Char"/>
    <w:basedOn w:val="136"/>
    <w:qFormat/>
    <w:uiPriority w:val="0"/>
    <w:rPr>
      <w:spacing w:val="10"/>
      <w:sz w:val="21"/>
      <w:szCs w:val="21"/>
    </w:rPr>
  </w:style>
  <w:style w:type="character" w:customStyle="1" w:styleId="681">
    <w:name w:val="标题 5 字符1"/>
    <w:basedOn w:val="136"/>
    <w:qFormat/>
    <w:uiPriority w:val="0"/>
    <w:rPr>
      <w:rFonts w:hint="eastAsia" w:ascii="黑体" w:hAnsi="宋体" w:eastAsia="黑体" w:cs="黑体"/>
      <w:snapToGrid/>
      <w:sz w:val="24"/>
      <w:szCs w:val="21"/>
    </w:rPr>
  </w:style>
  <w:style w:type="character" w:customStyle="1" w:styleId="682">
    <w:name w:val="正文文本 2 Char1"/>
    <w:basedOn w:val="136"/>
    <w:qFormat/>
    <w:uiPriority w:val="99"/>
    <w:rPr>
      <w:rFonts w:hint="default" w:ascii="Calibri" w:hAnsi="Calibri" w:cs="Times New Roman"/>
      <w:kern w:val="2"/>
      <w:sz w:val="24"/>
      <w:szCs w:val="24"/>
    </w:rPr>
  </w:style>
  <w:style w:type="character" w:customStyle="1" w:styleId="683">
    <w:name w:val="文本正文 Char Char"/>
    <w:basedOn w:val="136"/>
    <w:qFormat/>
    <w:uiPriority w:val="0"/>
    <w:rPr>
      <w:sz w:val="24"/>
      <w:szCs w:val="24"/>
    </w:rPr>
  </w:style>
  <w:style w:type="character" w:customStyle="1" w:styleId="684">
    <w:name w:val="公文正文 Char"/>
    <w:basedOn w:val="136"/>
    <w:link w:val="685"/>
    <w:qFormat/>
    <w:uiPriority w:val="0"/>
    <w:rPr>
      <w:rFonts w:ascii="仿宋_GB2312" w:hAnsi="宋体" w:eastAsia="仿宋_GB2312" w:cs="仿宋_GB2312"/>
      <w:kern w:val="28"/>
      <w:sz w:val="24"/>
      <w:szCs w:val="24"/>
      <w:lang w:val="zh-CN"/>
    </w:rPr>
  </w:style>
  <w:style w:type="paragraph" w:customStyle="1" w:styleId="685">
    <w:name w:val="公文正文"/>
    <w:basedOn w:val="1"/>
    <w:link w:val="684"/>
    <w:qFormat/>
    <w:uiPriority w:val="0"/>
    <w:pPr>
      <w:spacing w:before="156" w:line="360" w:lineRule="auto"/>
      <w:ind w:firstLine="360" w:firstLineChars="200"/>
    </w:pPr>
    <w:rPr>
      <w:rFonts w:ascii="仿宋_GB2312" w:hAnsi="宋体" w:eastAsia="仿宋_GB2312" w:cs="仿宋_GB2312"/>
      <w:kern w:val="28"/>
      <w:sz w:val="24"/>
      <w:szCs w:val="24"/>
      <w:lang w:val="zh-CN"/>
    </w:rPr>
  </w:style>
  <w:style w:type="character" w:customStyle="1" w:styleId="686">
    <w:name w:val="明显参考11"/>
    <w:basedOn w:val="136"/>
    <w:qFormat/>
    <w:uiPriority w:val="0"/>
    <w:rPr>
      <w:b/>
      <w:sz w:val="24"/>
      <w:u w:val="single"/>
    </w:rPr>
  </w:style>
  <w:style w:type="character" w:customStyle="1" w:styleId="687">
    <w:name w:val="文档结构图 Char3"/>
    <w:basedOn w:val="136"/>
    <w:qFormat/>
    <w:uiPriority w:val="0"/>
    <w:rPr>
      <w:rFonts w:hint="eastAsia" w:ascii="Microsoft YaHei UI" w:hAnsi="Microsoft YaHei UI" w:eastAsia="Microsoft YaHei UI" w:cs="Microsoft YaHei UI"/>
      <w:sz w:val="18"/>
      <w:szCs w:val="18"/>
    </w:rPr>
  </w:style>
  <w:style w:type="character" w:customStyle="1" w:styleId="688">
    <w:name w:val="引用 Char2"/>
    <w:basedOn w:val="136"/>
    <w:qFormat/>
    <w:uiPriority w:val="0"/>
    <w:rPr>
      <w:i/>
      <w:iCs/>
      <w:snapToGrid/>
      <w:color w:val="000000"/>
      <w:sz w:val="24"/>
      <w:szCs w:val="21"/>
    </w:rPr>
  </w:style>
  <w:style w:type="character" w:customStyle="1" w:styleId="689">
    <w:name w:val="样式6 Char"/>
    <w:basedOn w:val="136"/>
    <w:qFormat/>
    <w:uiPriority w:val="0"/>
    <w:rPr>
      <w:rFonts w:hint="default" w:ascii="Times New Roman" w:hAnsi="Times New Roman" w:cs="Times New Roman"/>
      <w:b/>
      <w:bCs/>
      <w:kern w:val="2"/>
      <w:sz w:val="24"/>
      <w:szCs w:val="24"/>
      <w:lang w:val="zh-CN"/>
    </w:rPr>
  </w:style>
  <w:style w:type="character" w:customStyle="1" w:styleId="690">
    <w:name w:val="技术方案标题四 Char"/>
    <w:basedOn w:val="136"/>
    <w:qFormat/>
    <w:uiPriority w:val="0"/>
    <w:rPr>
      <w:rFonts w:hint="eastAsia" w:ascii="仿宋_GB2312" w:hAnsi="宋体" w:eastAsia="仿宋_GB2312" w:cs="Calibri"/>
      <w:b/>
      <w:bCs/>
      <w:i/>
      <w:iCs/>
      <w:kern w:val="2"/>
      <w:sz w:val="24"/>
      <w:szCs w:val="28"/>
      <w:lang w:eastAsia="en-US" w:bidi="en-US"/>
    </w:rPr>
  </w:style>
  <w:style w:type="character" w:customStyle="1" w:styleId="691">
    <w:name w:val="中企标书 Char Char"/>
    <w:basedOn w:val="136"/>
    <w:qFormat/>
    <w:uiPriority w:val="0"/>
    <w:rPr>
      <w:rFonts w:hint="eastAsia" w:ascii="宋体" w:hAnsi="宋体" w:eastAsia="宋体" w:cs="宋体"/>
      <w:color w:val="000000"/>
      <w:sz w:val="24"/>
      <w:szCs w:val="24"/>
    </w:rPr>
  </w:style>
  <w:style w:type="character" w:customStyle="1" w:styleId="692">
    <w:name w:val="正文文本 Char2"/>
    <w:basedOn w:val="136"/>
    <w:qFormat/>
    <w:uiPriority w:val="0"/>
    <w:rPr>
      <w:rFonts w:hint="eastAsia" w:ascii="宋体" w:hAnsi="宋体" w:eastAsia="宋体" w:cs="宋体"/>
      <w:sz w:val="24"/>
      <w:szCs w:val="24"/>
    </w:rPr>
  </w:style>
  <w:style w:type="character" w:customStyle="1" w:styleId="693">
    <w:name w:val="插图说明 Char Char"/>
    <w:basedOn w:val="136"/>
    <w:link w:val="694"/>
    <w:qFormat/>
    <w:uiPriority w:val="0"/>
    <w:rPr>
      <w:rFonts w:hint="eastAsia" w:ascii="仿宋_GB2312" w:eastAsia="仿宋_GB2312" w:cs="仿宋_GB2312"/>
      <w:kern w:val="2"/>
      <w:sz w:val="24"/>
    </w:rPr>
  </w:style>
  <w:style w:type="paragraph" w:customStyle="1" w:styleId="694">
    <w:name w:val="插图说明"/>
    <w:basedOn w:val="1"/>
    <w:link w:val="693"/>
    <w:qFormat/>
    <w:uiPriority w:val="0"/>
    <w:pPr>
      <w:spacing w:before="156" w:beforeLines="50" w:after="312" w:afterLines="100"/>
      <w:jc w:val="center"/>
    </w:pPr>
    <w:rPr>
      <w:rFonts w:hint="eastAsia" w:ascii="仿宋_GB2312" w:hAnsi="Times New Roman" w:eastAsia="仿宋_GB2312" w:cs="仿宋_GB2312"/>
      <w:sz w:val="24"/>
      <w:szCs w:val="20"/>
    </w:rPr>
  </w:style>
  <w:style w:type="character" w:customStyle="1" w:styleId="695">
    <w:name w:val="标题 8 字符1"/>
    <w:basedOn w:val="136"/>
    <w:qFormat/>
    <w:uiPriority w:val="0"/>
    <w:rPr>
      <w:rFonts w:hint="default" w:ascii="Cambria" w:hAnsi="Cambria" w:eastAsia="宋体" w:cs="Times New Roman"/>
      <w:kern w:val="2"/>
      <w:sz w:val="24"/>
      <w:szCs w:val="24"/>
    </w:rPr>
  </w:style>
  <w:style w:type="character" w:customStyle="1" w:styleId="696">
    <w:name w:val="崂山正文 Char"/>
    <w:basedOn w:val="136"/>
    <w:link w:val="697"/>
    <w:qFormat/>
    <w:uiPriority w:val="0"/>
    <w:rPr>
      <w:rFonts w:ascii="仿宋" w:hAnsi="仿宋" w:eastAsia="仿宋" w:cs="仿宋"/>
      <w:sz w:val="24"/>
    </w:rPr>
  </w:style>
  <w:style w:type="paragraph" w:customStyle="1" w:styleId="697">
    <w:name w:val="崂山正文"/>
    <w:basedOn w:val="1"/>
    <w:link w:val="696"/>
    <w:qFormat/>
    <w:uiPriority w:val="0"/>
    <w:pPr>
      <w:spacing w:line="360" w:lineRule="auto"/>
      <w:ind w:firstLine="562" w:firstLineChars="200"/>
      <w:jc w:val="left"/>
    </w:pPr>
    <w:rPr>
      <w:rFonts w:ascii="仿宋" w:hAnsi="仿宋" w:eastAsia="仿宋" w:cs="仿宋"/>
      <w:kern w:val="0"/>
      <w:sz w:val="24"/>
      <w:szCs w:val="20"/>
    </w:rPr>
  </w:style>
  <w:style w:type="character" w:customStyle="1" w:styleId="698">
    <w:name w:val="正文文本 (7)_"/>
    <w:basedOn w:val="136"/>
    <w:qFormat/>
    <w:uiPriority w:val="0"/>
    <w:rPr>
      <w:rFonts w:hint="eastAsia" w:ascii="宋体" w:hAnsi="宋体" w:eastAsia="宋体" w:cs="宋体"/>
      <w:sz w:val="23"/>
      <w:szCs w:val="23"/>
      <w:shd w:val="clear" w:color="auto" w:fill="FFFFFF"/>
    </w:rPr>
  </w:style>
  <w:style w:type="character" w:customStyle="1" w:styleId="699">
    <w:name w:val="宏文本 Char1"/>
    <w:basedOn w:val="136"/>
    <w:qFormat/>
    <w:uiPriority w:val="99"/>
    <w:rPr>
      <w:rFonts w:hint="default" w:ascii="Courier New" w:hAnsi="Courier New" w:eastAsia="宋体" w:cs="Courier New"/>
      <w:sz w:val="24"/>
      <w:szCs w:val="24"/>
    </w:rPr>
  </w:style>
  <w:style w:type="character" w:customStyle="1" w:styleId="700">
    <w:name w:val="无间距字符"/>
    <w:basedOn w:val="136"/>
    <w:qFormat/>
    <w:uiPriority w:val="0"/>
    <w:rPr>
      <w:rFonts w:hint="default" w:ascii="Calibri" w:hAnsi="Calibri" w:cs="Calibri"/>
      <w:sz w:val="22"/>
      <w:szCs w:val="22"/>
      <w:lang w:eastAsia="en-US" w:bidi="en-US"/>
    </w:rPr>
  </w:style>
  <w:style w:type="character" w:customStyle="1" w:styleId="701">
    <w:name w:val="标题3 Char"/>
    <w:basedOn w:val="136"/>
    <w:qFormat/>
    <w:uiPriority w:val="0"/>
    <w:rPr>
      <w:rFonts w:hint="eastAsia" w:ascii="宋体" w:hAnsi="宋体" w:eastAsia="宋体" w:cs="Times New Roman"/>
      <w:b/>
      <w:kern w:val="2"/>
      <w:sz w:val="24"/>
      <w:szCs w:val="22"/>
    </w:rPr>
  </w:style>
  <w:style w:type="character" w:customStyle="1" w:styleId="702">
    <w:name w:val="正文文本 2 字符1"/>
    <w:basedOn w:val="136"/>
    <w:qFormat/>
    <w:uiPriority w:val="0"/>
    <w:rPr>
      <w:kern w:val="2"/>
      <w:sz w:val="24"/>
      <w:szCs w:val="24"/>
    </w:rPr>
  </w:style>
  <w:style w:type="character" w:customStyle="1" w:styleId="703">
    <w:name w:val="签名 Char1"/>
    <w:basedOn w:val="136"/>
    <w:qFormat/>
    <w:uiPriority w:val="99"/>
    <w:rPr>
      <w:sz w:val="24"/>
    </w:rPr>
  </w:style>
  <w:style w:type="character" w:customStyle="1" w:styleId="704">
    <w:name w:val="样式 标题 2 + 黑体 四号 非加粗 Char"/>
    <w:basedOn w:val="136"/>
    <w:link w:val="705"/>
    <w:qFormat/>
    <w:uiPriority w:val="0"/>
    <w:rPr>
      <w:rFonts w:ascii="黑体" w:hAnsi="宋体" w:eastAsia="黑体" w:cs="黑体"/>
      <w:b/>
      <w:sz w:val="28"/>
      <w:szCs w:val="32"/>
    </w:rPr>
  </w:style>
  <w:style w:type="paragraph" w:customStyle="1" w:styleId="705">
    <w:name w:val="样式 标题 2 + 黑体 四号 非加粗"/>
    <w:basedOn w:val="5"/>
    <w:link w:val="704"/>
    <w:qFormat/>
    <w:uiPriority w:val="0"/>
    <w:pPr>
      <w:numPr>
        <w:ilvl w:val="0"/>
        <w:numId w:val="0"/>
      </w:numPr>
      <w:spacing w:before="120" w:after="120" w:line="360" w:lineRule="auto"/>
      <w:contextualSpacing/>
    </w:pPr>
    <w:rPr>
      <w:rFonts w:ascii="黑体" w:eastAsia="黑体" w:cs="黑体"/>
      <w:bCs w:val="0"/>
      <w:kern w:val="0"/>
      <w:szCs w:val="32"/>
    </w:rPr>
  </w:style>
  <w:style w:type="character" w:customStyle="1" w:styleId="706">
    <w:name w:val="称呼 Char1"/>
    <w:basedOn w:val="136"/>
    <w:qFormat/>
    <w:uiPriority w:val="99"/>
    <w:rPr>
      <w:sz w:val="24"/>
    </w:rPr>
  </w:style>
  <w:style w:type="character" w:customStyle="1" w:styleId="707">
    <w:name w:val="标题 字符2"/>
    <w:basedOn w:val="136"/>
    <w:qFormat/>
    <w:uiPriority w:val="10"/>
    <w:rPr>
      <w:rFonts w:hint="default" w:ascii="Cambria" w:hAnsi="Cambria" w:eastAsia="Cambria" w:cs="Times New Roman"/>
      <w:b/>
      <w:bCs/>
      <w:snapToGrid/>
      <w:sz w:val="32"/>
      <w:szCs w:val="32"/>
    </w:rPr>
  </w:style>
  <w:style w:type="character" w:customStyle="1" w:styleId="708">
    <w:name w:val="样式8 Char"/>
    <w:basedOn w:val="136"/>
    <w:link w:val="709"/>
    <w:qFormat/>
    <w:uiPriority w:val="0"/>
    <w:rPr>
      <w:rFonts w:asciiTheme="minorHAnsi" w:hAnsiTheme="minorHAnsi" w:eastAsiaTheme="minorEastAsia" w:cstheme="minorBidi"/>
      <w:b/>
      <w:bCs/>
      <w:kern w:val="44"/>
      <w:sz w:val="44"/>
      <w:szCs w:val="44"/>
    </w:rPr>
  </w:style>
  <w:style w:type="paragraph" w:customStyle="1" w:styleId="709">
    <w:name w:val="样式8"/>
    <w:basedOn w:val="17"/>
    <w:next w:val="1"/>
    <w:link w:val="708"/>
    <w:qFormat/>
    <w:uiPriority w:val="0"/>
    <w:pPr>
      <w:spacing w:before="0" w:after="240" w:line="360" w:lineRule="auto"/>
      <w:ind w:left="4394"/>
      <w:jc w:val="left"/>
    </w:pPr>
    <w:rPr>
      <w:rFonts w:asciiTheme="minorHAnsi" w:hAnsiTheme="minorHAnsi" w:eastAsiaTheme="minorEastAsia" w:cstheme="minorBidi"/>
      <w:b/>
      <w:bCs/>
      <w:kern w:val="44"/>
      <w:sz w:val="44"/>
      <w:szCs w:val="44"/>
    </w:rPr>
  </w:style>
  <w:style w:type="character" w:customStyle="1" w:styleId="710">
    <w:name w:val="样式4 Char Char"/>
    <w:basedOn w:val="136"/>
    <w:qFormat/>
    <w:uiPriority w:val="0"/>
    <w:rPr>
      <w:snapToGrid/>
      <w:color w:val="000000"/>
      <w:sz w:val="24"/>
      <w:szCs w:val="24"/>
      <w:lang w:val="zh-CN"/>
    </w:rPr>
  </w:style>
  <w:style w:type="character" w:customStyle="1" w:styleId="711">
    <w:name w:val="正文字缩2字 Char Char"/>
    <w:basedOn w:val="136"/>
    <w:qFormat/>
    <w:uiPriority w:val="0"/>
    <w:rPr>
      <w:sz w:val="24"/>
      <w:szCs w:val="24"/>
    </w:rPr>
  </w:style>
  <w:style w:type="character" w:customStyle="1" w:styleId="712">
    <w:name w:val="正文文本 (3)_"/>
    <w:basedOn w:val="136"/>
    <w:qFormat/>
    <w:uiPriority w:val="0"/>
    <w:rPr>
      <w:rFonts w:hint="eastAsia" w:ascii="宋体" w:hAnsi="宋体" w:eastAsia="宋体" w:cs="宋体"/>
      <w:spacing w:val="20"/>
      <w:sz w:val="27"/>
      <w:szCs w:val="27"/>
      <w:shd w:val="clear" w:color="auto" w:fill="FFFFFF"/>
    </w:rPr>
  </w:style>
  <w:style w:type="character" w:customStyle="1" w:styleId="713">
    <w:name w:val="标题 1 字符2"/>
    <w:basedOn w:val="136"/>
    <w:qFormat/>
    <w:uiPriority w:val="9"/>
    <w:rPr>
      <w:rFonts w:hint="default" w:cs="Arial" w:asciiTheme="minorHAnsi" w:hAnsiTheme="minorHAnsi" w:eastAsiaTheme="minorEastAsia"/>
      <w:b/>
      <w:snapToGrid/>
      <w:sz w:val="32"/>
      <w:szCs w:val="32"/>
    </w:rPr>
  </w:style>
  <w:style w:type="character" w:customStyle="1" w:styleId="714">
    <w:name w:val="普通文字 Char Char2"/>
    <w:basedOn w:val="136"/>
    <w:qFormat/>
    <w:uiPriority w:val="0"/>
    <w:rPr>
      <w:rFonts w:hint="eastAsia" w:ascii="宋体" w:hAnsi="Courier New" w:eastAsia="宋体" w:cs="宋体"/>
      <w:sz w:val="21"/>
      <w:lang w:bidi="ar"/>
    </w:rPr>
  </w:style>
  <w:style w:type="character" w:customStyle="1" w:styleId="715">
    <w:name w:val="标题 7 字符2"/>
    <w:basedOn w:val="136"/>
    <w:qFormat/>
    <w:uiPriority w:val="0"/>
    <w:rPr>
      <w:rFonts w:hint="default" w:ascii="Calibri" w:hAnsi="Calibri" w:eastAsia="宋体" w:cs="Times New Roman"/>
      <w:bCs/>
      <w:kern w:val="2"/>
      <w:sz w:val="24"/>
      <w:szCs w:val="24"/>
    </w:rPr>
  </w:style>
  <w:style w:type="character" w:customStyle="1" w:styleId="716">
    <w:name w:val="彩色列表 - 着色 1 Char"/>
    <w:basedOn w:val="136"/>
    <w:qFormat/>
    <w:uiPriority w:val="0"/>
    <w:rPr>
      <w:rFonts w:hint="default" w:ascii="Calibri" w:hAnsi="Calibri" w:cs="Calibri"/>
      <w:snapToGrid/>
      <w:sz w:val="24"/>
      <w:szCs w:val="21"/>
    </w:rPr>
  </w:style>
  <w:style w:type="character" w:customStyle="1" w:styleId="717">
    <w:name w:val="正文文本首行缩进 字符1"/>
    <w:basedOn w:val="718"/>
    <w:qFormat/>
    <w:uiPriority w:val="99"/>
    <w:rPr>
      <w:snapToGrid/>
      <w:sz w:val="24"/>
      <w:szCs w:val="21"/>
    </w:rPr>
  </w:style>
  <w:style w:type="character" w:customStyle="1" w:styleId="718">
    <w:name w:val="正文文本 字符3"/>
    <w:basedOn w:val="136"/>
    <w:qFormat/>
    <w:uiPriority w:val="0"/>
    <w:rPr>
      <w:snapToGrid/>
      <w:sz w:val="24"/>
      <w:szCs w:val="21"/>
    </w:rPr>
  </w:style>
  <w:style w:type="character" w:customStyle="1" w:styleId="719">
    <w:name w:val="正文重 Char"/>
    <w:basedOn w:val="136"/>
    <w:link w:val="720"/>
    <w:qFormat/>
    <w:uiPriority w:val="0"/>
    <w:rPr>
      <w:rFonts w:hint="eastAsia" w:ascii="宋体" w:hAnsi="宋体" w:eastAsia="宋体" w:cs="宋体"/>
      <w:b/>
      <w:sz w:val="24"/>
      <w:szCs w:val="24"/>
    </w:rPr>
  </w:style>
  <w:style w:type="paragraph" w:customStyle="1" w:styleId="720">
    <w:name w:val="正文重"/>
    <w:basedOn w:val="1"/>
    <w:next w:val="1"/>
    <w:link w:val="719"/>
    <w:qFormat/>
    <w:uiPriority w:val="0"/>
    <w:pPr>
      <w:widowControl/>
      <w:spacing w:line="360" w:lineRule="auto"/>
      <w:ind w:firstLine="482"/>
    </w:pPr>
    <w:rPr>
      <w:rFonts w:hint="eastAsia" w:ascii="宋体" w:hAnsi="宋体" w:eastAsia="宋体" w:cs="宋体"/>
      <w:b/>
      <w:kern w:val="0"/>
      <w:sz w:val="24"/>
      <w:szCs w:val="24"/>
    </w:rPr>
  </w:style>
  <w:style w:type="character" w:customStyle="1" w:styleId="721">
    <w:name w:val="题注 字符1"/>
    <w:basedOn w:val="136"/>
    <w:qFormat/>
    <w:uiPriority w:val="35"/>
    <w:rPr>
      <w:rFonts w:hint="default" w:ascii="Arial" w:hAnsi="Arial" w:eastAsia="黑体" w:cs="Arial"/>
      <w:snapToGrid/>
      <w:sz w:val="24"/>
      <w:szCs w:val="21"/>
    </w:rPr>
  </w:style>
  <w:style w:type="character" w:customStyle="1" w:styleId="722">
    <w:name w:val="批注主题 字符3"/>
    <w:basedOn w:val="723"/>
    <w:qFormat/>
    <w:uiPriority w:val="0"/>
    <w:rPr>
      <w:rFonts w:hint="default" w:ascii="Calibri" w:hAnsi="Calibri" w:eastAsia="宋体" w:cs="Times New Roman"/>
      <w:b/>
      <w:bCs/>
      <w:snapToGrid w:val="0"/>
      <w:kern w:val="2"/>
      <w:sz w:val="24"/>
      <w:szCs w:val="22"/>
    </w:rPr>
  </w:style>
  <w:style w:type="character" w:customStyle="1" w:styleId="723">
    <w:name w:val="批注文字 字符3"/>
    <w:basedOn w:val="136"/>
    <w:qFormat/>
    <w:uiPriority w:val="0"/>
    <w:rPr>
      <w:snapToGrid/>
      <w:sz w:val="24"/>
      <w:szCs w:val="21"/>
    </w:rPr>
  </w:style>
  <w:style w:type="character" w:customStyle="1" w:styleId="724">
    <w:name w:val="技术方案标题三 Char"/>
    <w:basedOn w:val="136"/>
    <w:qFormat/>
    <w:uiPriority w:val="0"/>
    <w:rPr>
      <w:rFonts w:hint="eastAsia" w:ascii="仿宋_GB2312" w:hAnsi="宋体" w:eastAsia="仿宋_GB2312" w:cs="Calibri"/>
      <w:b/>
      <w:bCs/>
      <w:i/>
      <w:iCs/>
      <w:kern w:val="2"/>
      <w:sz w:val="24"/>
      <w:szCs w:val="28"/>
      <w:lang w:eastAsia="en-US" w:bidi="en-US"/>
    </w:rPr>
  </w:style>
  <w:style w:type="character" w:customStyle="1" w:styleId="725">
    <w:name w:val="烽火正文 Char"/>
    <w:basedOn w:val="136"/>
    <w:qFormat/>
    <w:uiPriority w:val="0"/>
    <w:rPr>
      <w:rFonts w:hint="eastAsia" w:ascii="宋体" w:hAnsi="宋体" w:eastAsia="宋体" w:cs="宋体"/>
      <w:sz w:val="24"/>
    </w:rPr>
  </w:style>
  <w:style w:type="character" w:customStyle="1" w:styleId="726">
    <w:name w:val="标准正文 Char"/>
    <w:basedOn w:val="136"/>
    <w:link w:val="727"/>
    <w:qFormat/>
    <w:uiPriority w:val="0"/>
    <w:rPr>
      <w:rFonts w:hint="default" w:ascii="Calibri" w:hAnsi="Calibri" w:cs="宋体"/>
      <w:kern w:val="2"/>
      <w:sz w:val="24"/>
      <w:szCs w:val="22"/>
    </w:rPr>
  </w:style>
  <w:style w:type="paragraph" w:customStyle="1" w:styleId="727">
    <w:name w:val="标准正文"/>
    <w:basedOn w:val="13"/>
    <w:link w:val="726"/>
    <w:qFormat/>
    <w:uiPriority w:val="0"/>
    <w:pPr>
      <w:spacing w:before="60" w:after="60"/>
      <w:ind w:left="0" w:leftChars="0" w:firstLine="482" w:firstLineChars="0"/>
    </w:pPr>
    <w:rPr>
      <w:rFonts w:ascii="Calibri" w:hAnsi="Calibri" w:eastAsia="宋体" w:cs="宋体"/>
    </w:rPr>
  </w:style>
  <w:style w:type="character" w:customStyle="1" w:styleId="728">
    <w:name w:val="段落3 Char Char"/>
    <w:basedOn w:val="136"/>
    <w:qFormat/>
    <w:uiPriority w:val="0"/>
    <w:rPr>
      <w:rFonts w:hint="default" w:ascii="Times New Roman" w:hAnsi="Times New Roman" w:cs="Times New Roman"/>
      <w:bCs/>
      <w:sz w:val="28"/>
      <w:szCs w:val="28"/>
    </w:rPr>
  </w:style>
  <w:style w:type="character" w:customStyle="1" w:styleId="729">
    <w:name w:val="正文模版 Char Char"/>
    <w:basedOn w:val="136"/>
    <w:link w:val="730"/>
    <w:qFormat/>
    <w:uiPriority w:val="0"/>
    <w:rPr>
      <w:rFonts w:ascii="宋体" w:hAnsi="宋体" w:eastAsia="宋体" w:cs="宋体"/>
      <w:sz w:val="24"/>
    </w:rPr>
  </w:style>
  <w:style w:type="paragraph" w:customStyle="1" w:styleId="730">
    <w:name w:val="正文模版"/>
    <w:basedOn w:val="1"/>
    <w:link w:val="729"/>
    <w:qFormat/>
    <w:uiPriority w:val="0"/>
    <w:pPr>
      <w:spacing w:line="360" w:lineRule="auto"/>
      <w:ind w:firstLine="480" w:firstLineChars="200"/>
    </w:pPr>
    <w:rPr>
      <w:rFonts w:ascii="宋体" w:hAnsi="宋体" w:eastAsia="宋体" w:cs="宋体"/>
      <w:kern w:val="0"/>
      <w:sz w:val="24"/>
      <w:szCs w:val="20"/>
    </w:rPr>
  </w:style>
  <w:style w:type="character" w:customStyle="1" w:styleId="731">
    <w:name w:val="样式二"/>
    <w:qFormat/>
    <w:uiPriority w:val="0"/>
    <w:rPr>
      <w:rFonts w:hint="eastAsia" w:ascii="宋体" w:hAnsi="宋体" w:eastAsia="宋体" w:cs="宋体"/>
      <w:b/>
      <w:bCs/>
      <w:color w:val="000000"/>
      <w:sz w:val="36"/>
    </w:rPr>
  </w:style>
  <w:style w:type="character" w:customStyle="1" w:styleId="732">
    <w:name w:val="电子邮件签名 Char1"/>
    <w:basedOn w:val="136"/>
    <w:qFormat/>
    <w:uiPriority w:val="99"/>
    <w:rPr>
      <w:sz w:val="24"/>
    </w:rPr>
  </w:style>
  <w:style w:type="character" w:customStyle="1" w:styleId="733">
    <w:name w:val="悬挂2 Char"/>
    <w:basedOn w:val="136"/>
    <w:qFormat/>
    <w:uiPriority w:val="0"/>
    <w:rPr>
      <w:sz w:val="24"/>
      <w:szCs w:val="24"/>
    </w:rPr>
  </w:style>
  <w:style w:type="character" w:customStyle="1" w:styleId="734">
    <w:name w:val="样式 题注 + 黑体3 Char"/>
    <w:basedOn w:val="136"/>
    <w:qFormat/>
    <w:uiPriority w:val="0"/>
    <w:rPr>
      <w:rFonts w:hint="eastAsia" w:ascii="黑体" w:hAnsi="宋体" w:eastAsia="黑体" w:cs="Arial"/>
    </w:rPr>
  </w:style>
  <w:style w:type="character" w:customStyle="1" w:styleId="735">
    <w:name w:val="元氏标题6"/>
    <w:basedOn w:val="136"/>
    <w:qFormat/>
    <w:uiPriority w:val="0"/>
    <w:rPr>
      <w:rFonts w:hint="default" w:ascii="Calibri" w:hAnsi="Calibri" w:eastAsia="宋体" w:cs="Times New Roman"/>
      <w:kern w:val="2"/>
      <w:sz w:val="24"/>
      <w:szCs w:val="22"/>
    </w:rPr>
  </w:style>
  <w:style w:type="character" w:customStyle="1" w:styleId="736">
    <w:name w:val="表题 Char"/>
    <w:basedOn w:val="136"/>
    <w:qFormat/>
    <w:uiPriority w:val="0"/>
    <w:rPr>
      <w:spacing w:val="10"/>
      <w:szCs w:val="21"/>
    </w:rPr>
  </w:style>
  <w:style w:type="character" w:customStyle="1" w:styleId="737">
    <w:name w:val="样式 样式 首行缩进:  2 字符 + 首行缩进:  2 字符 Char Char Char"/>
    <w:basedOn w:val="136"/>
    <w:qFormat/>
    <w:uiPriority w:val="0"/>
    <w:rPr>
      <w:rFonts w:hint="eastAsia" w:ascii="宋体" w:hAnsi="宋体" w:eastAsia="宋体" w:cs="宋体"/>
      <w:sz w:val="24"/>
    </w:rPr>
  </w:style>
  <w:style w:type="character" w:customStyle="1" w:styleId="738">
    <w:name w:val="日期 Char3"/>
    <w:basedOn w:val="136"/>
    <w:qFormat/>
    <w:uiPriority w:val="0"/>
  </w:style>
  <w:style w:type="character" w:customStyle="1" w:styleId="739">
    <w:name w:val="正文空两格 Char"/>
    <w:basedOn w:val="136"/>
    <w:qFormat/>
    <w:uiPriority w:val="0"/>
    <w:rPr>
      <w:rFonts w:hint="default" w:ascii="FuturaA Bk BT" w:hAnsi="FuturaA Bk BT" w:eastAsia="FuturaA Bk BT" w:cs="FuturaA Bk BT"/>
      <w:sz w:val="24"/>
      <w:szCs w:val="24"/>
    </w:rPr>
  </w:style>
  <w:style w:type="character" w:customStyle="1" w:styleId="740">
    <w:name w:val="正文采用 Char"/>
    <w:basedOn w:val="136"/>
    <w:qFormat/>
    <w:uiPriority w:val="0"/>
    <w:rPr>
      <w:rFonts w:hint="eastAsia" w:ascii="宋体" w:hAnsi="宋体" w:eastAsia="宋体" w:cs="宋体"/>
      <w:b/>
      <w:color w:val="000000"/>
      <w:sz w:val="18"/>
      <w:szCs w:val="18"/>
    </w:rPr>
  </w:style>
  <w:style w:type="character" w:customStyle="1" w:styleId="741">
    <w:name w:val="页脚 字符2"/>
    <w:basedOn w:val="136"/>
    <w:qFormat/>
    <w:uiPriority w:val="99"/>
    <w:rPr>
      <w:rFonts w:hint="default" w:ascii="Arial" w:hAnsi="Arial" w:cs="Arial"/>
      <w:snapToGrid/>
      <w:sz w:val="18"/>
      <w:szCs w:val="18"/>
    </w:rPr>
  </w:style>
  <w:style w:type="character" w:customStyle="1" w:styleId="742">
    <w:name w:val="标题 2 字符2"/>
    <w:basedOn w:val="136"/>
    <w:qFormat/>
    <w:uiPriority w:val="0"/>
    <w:rPr>
      <w:rFonts w:hint="default" w:ascii="Arial" w:hAnsi="Arial" w:eastAsia="黑体" w:cs="Arial"/>
      <w:b/>
      <w:snapToGrid/>
      <w:sz w:val="28"/>
      <w:szCs w:val="24"/>
    </w:rPr>
  </w:style>
  <w:style w:type="character" w:customStyle="1" w:styleId="743">
    <w:name w:val="样式 正文缩进 + 首行缩进:  2 字符 Char"/>
    <w:basedOn w:val="136"/>
    <w:qFormat/>
    <w:uiPriority w:val="0"/>
    <w:rPr>
      <w:kern w:val="2"/>
      <w:sz w:val="24"/>
    </w:rPr>
  </w:style>
  <w:style w:type="character" w:customStyle="1" w:styleId="744">
    <w:name w:val="GW-标题3 Char"/>
    <w:basedOn w:val="136"/>
    <w:link w:val="745"/>
    <w:qFormat/>
    <w:uiPriority w:val="0"/>
    <w:rPr>
      <w:rFonts w:ascii="仿宋_GB2312" w:eastAsia="仿宋_GB2312" w:cs="仿宋_GB2312"/>
      <w:sz w:val="32"/>
      <w:szCs w:val="24"/>
    </w:rPr>
  </w:style>
  <w:style w:type="paragraph" w:customStyle="1" w:styleId="745">
    <w:name w:val="GW-标题3"/>
    <w:basedOn w:val="1"/>
    <w:next w:val="1"/>
    <w:link w:val="744"/>
    <w:qFormat/>
    <w:uiPriority w:val="0"/>
    <w:pPr>
      <w:keepNext/>
      <w:keepLines/>
      <w:spacing w:beforeLines="50" w:afterLines="50" w:line="360" w:lineRule="auto"/>
      <w:ind w:left="1742" w:hanging="420"/>
      <w:outlineLvl w:val="2"/>
    </w:pPr>
    <w:rPr>
      <w:rFonts w:ascii="仿宋_GB2312" w:eastAsia="仿宋_GB2312" w:cs="仿宋_GB2312"/>
      <w:kern w:val="0"/>
      <w:sz w:val="32"/>
      <w:szCs w:val="24"/>
    </w:rPr>
  </w:style>
  <w:style w:type="character" w:customStyle="1" w:styleId="746">
    <w:name w:val="小标题 Char"/>
    <w:basedOn w:val="136"/>
    <w:qFormat/>
    <w:uiPriority w:val="0"/>
    <w:rPr>
      <w:b/>
      <w:kern w:val="2"/>
      <w:sz w:val="21"/>
      <w:szCs w:val="24"/>
    </w:rPr>
  </w:style>
  <w:style w:type="character" w:customStyle="1" w:styleId="747">
    <w:name w:val="尾注文本 Char1"/>
    <w:basedOn w:val="136"/>
    <w:qFormat/>
    <w:uiPriority w:val="99"/>
    <w:rPr>
      <w:rFonts w:hint="default" w:ascii="Calibri" w:hAnsi="Calibri" w:cs="Times New Roman"/>
      <w:kern w:val="2"/>
      <w:sz w:val="24"/>
      <w:szCs w:val="24"/>
    </w:rPr>
  </w:style>
  <w:style w:type="character" w:customStyle="1" w:styleId="748">
    <w:name w:val="标题 3 字符2"/>
    <w:basedOn w:val="136"/>
    <w:qFormat/>
    <w:uiPriority w:val="0"/>
    <w:rPr>
      <w:rFonts w:hint="eastAsia" w:ascii="宋体" w:hAnsi="宋体" w:eastAsia="宋体" w:cs="宋体"/>
      <w:b/>
      <w:bCs/>
      <w:snapToGrid/>
      <w:kern w:val="2"/>
      <w:sz w:val="24"/>
      <w:szCs w:val="32"/>
    </w:rPr>
  </w:style>
  <w:style w:type="character" w:customStyle="1" w:styleId="749">
    <w:name w:val="标题 4 字符2"/>
    <w:basedOn w:val="136"/>
    <w:qFormat/>
    <w:uiPriority w:val="9"/>
    <w:rPr>
      <w:rFonts w:hint="eastAsia" w:ascii="黑体" w:hAnsi="宋体" w:eastAsia="黑体" w:cs="Times New Roman"/>
      <w:snapToGrid/>
      <w:sz w:val="28"/>
      <w:szCs w:val="21"/>
      <w:lang w:val="zh-CN"/>
    </w:rPr>
  </w:style>
  <w:style w:type="character" w:customStyle="1" w:styleId="750">
    <w:name w:val="样式 标题 3 + 五号 Char"/>
    <w:basedOn w:val="136"/>
    <w:qFormat/>
    <w:uiPriority w:val="0"/>
    <w:rPr>
      <w:b/>
      <w:bCs/>
      <w:sz w:val="24"/>
      <w:szCs w:val="32"/>
    </w:rPr>
  </w:style>
  <w:style w:type="character" w:customStyle="1" w:styleId="751">
    <w:name w:val="标题 6 字符1"/>
    <w:basedOn w:val="136"/>
    <w:qFormat/>
    <w:uiPriority w:val="9"/>
    <w:rPr>
      <w:rFonts w:hint="default" w:ascii="Arial" w:hAnsi="Arial" w:eastAsia="黑体" w:cs="Arial"/>
      <w:b/>
      <w:snapToGrid/>
      <w:sz w:val="24"/>
      <w:szCs w:val="21"/>
    </w:rPr>
  </w:style>
  <w:style w:type="character" w:customStyle="1" w:styleId="752">
    <w:name w:val="文档结构图 字符3"/>
    <w:basedOn w:val="136"/>
    <w:qFormat/>
    <w:uiPriority w:val="0"/>
    <w:rPr>
      <w:rFonts w:hint="eastAsia" w:ascii="宋体" w:hAnsi="Calibri" w:eastAsia="宋体" w:cs="宋体"/>
      <w:kern w:val="2"/>
      <w:sz w:val="18"/>
      <w:szCs w:val="18"/>
    </w:rPr>
  </w:style>
  <w:style w:type="character" w:customStyle="1" w:styleId="753">
    <w:name w:val="正文箭头 Char"/>
    <w:basedOn w:val="136"/>
    <w:qFormat/>
    <w:uiPriority w:val="0"/>
    <w:rPr>
      <w:sz w:val="24"/>
      <w:szCs w:val="24"/>
    </w:rPr>
  </w:style>
  <w:style w:type="character" w:customStyle="1" w:styleId="754">
    <w:name w:val="样式 题注 + 黑色 Char"/>
    <w:basedOn w:val="136"/>
    <w:qFormat/>
    <w:uiPriority w:val="0"/>
    <w:rPr>
      <w:rFonts w:hint="default" w:ascii="Arial" w:hAnsi="Arial" w:eastAsia="黑体" w:cs="Arial"/>
      <w:color w:val="000000"/>
      <w:sz w:val="24"/>
    </w:rPr>
  </w:style>
  <w:style w:type="character" w:customStyle="1" w:styleId="755">
    <w:name w:val="正文文本缩进 字符3"/>
    <w:basedOn w:val="136"/>
    <w:qFormat/>
    <w:uiPriority w:val="0"/>
    <w:rPr>
      <w:snapToGrid/>
      <w:sz w:val="24"/>
      <w:szCs w:val="21"/>
    </w:rPr>
  </w:style>
  <w:style w:type="character" w:customStyle="1" w:styleId="756">
    <w:name w:val="列表 2 字符"/>
    <w:basedOn w:val="136"/>
    <w:link w:val="42"/>
    <w:qFormat/>
    <w:uiPriority w:val="0"/>
    <w:rPr>
      <w:rFonts w:ascii="Calibri" w:hAnsi="Calibri" w:eastAsia="宋体" w:cs="Times New Roman"/>
      <w:kern w:val="2"/>
      <w:sz w:val="21"/>
      <w:szCs w:val="22"/>
    </w:rPr>
  </w:style>
  <w:style w:type="character" w:customStyle="1" w:styleId="757">
    <w:name w:val="纯文本 字符2"/>
    <w:basedOn w:val="136"/>
    <w:qFormat/>
    <w:uiPriority w:val="0"/>
    <w:rPr>
      <w:rFonts w:hint="eastAsia" w:ascii="宋体" w:hAnsi="Courier New" w:eastAsia="宋体" w:cs="Times New Roman"/>
      <w:kern w:val="2"/>
      <w:sz w:val="24"/>
      <w:szCs w:val="21"/>
      <w:lang w:val="zh-CN"/>
    </w:rPr>
  </w:style>
  <w:style w:type="character" w:customStyle="1" w:styleId="758">
    <w:name w:val="样式 小四 行距: 1.5 倍行距 首行缩进:  2 字符 Char"/>
    <w:basedOn w:val="136"/>
    <w:link w:val="759"/>
    <w:qFormat/>
    <w:uiPriority w:val="0"/>
    <w:rPr>
      <w:rFonts w:ascii="Calibri" w:hAnsi="Calibri" w:cs="Calibri"/>
      <w:kern w:val="2"/>
      <w:sz w:val="24"/>
    </w:rPr>
  </w:style>
  <w:style w:type="paragraph" w:customStyle="1" w:styleId="759">
    <w:name w:val="样式 小四 行距: 1.5 倍行距 首行缩进:  2 字符"/>
    <w:basedOn w:val="1"/>
    <w:link w:val="758"/>
    <w:qFormat/>
    <w:uiPriority w:val="0"/>
    <w:pPr>
      <w:spacing w:line="360" w:lineRule="auto"/>
      <w:ind w:firstLine="480" w:firstLineChars="200"/>
    </w:pPr>
    <w:rPr>
      <w:rFonts w:ascii="Calibri" w:hAnsi="Calibri" w:cs="Calibri"/>
      <w:sz w:val="24"/>
      <w:szCs w:val="20"/>
    </w:rPr>
  </w:style>
  <w:style w:type="character" w:customStyle="1" w:styleId="760">
    <w:name w:val="日期 Char2"/>
    <w:basedOn w:val="136"/>
    <w:qFormat/>
    <w:uiPriority w:val="0"/>
    <w:rPr>
      <w:kern w:val="2"/>
      <w:sz w:val="21"/>
      <w:szCs w:val="24"/>
    </w:rPr>
  </w:style>
  <w:style w:type="character" w:customStyle="1" w:styleId="761">
    <w:name w:val="批注文字 字符2"/>
    <w:basedOn w:val="136"/>
    <w:qFormat/>
    <w:uiPriority w:val="99"/>
  </w:style>
  <w:style w:type="character" w:customStyle="1" w:styleId="762">
    <w:name w:val="斜体样式 Char Char"/>
    <w:basedOn w:val="136"/>
    <w:qFormat/>
    <w:uiPriority w:val="0"/>
    <w:rPr>
      <w:rFonts w:hint="eastAsia" w:ascii="宋体" w:hAnsi="宋体" w:eastAsia="宋体" w:cs="宋体"/>
      <w:i/>
      <w:color w:val="0000FF"/>
      <w:szCs w:val="24"/>
    </w:rPr>
  </w:style>
  <w:style w:type="character" w:customStyle="1" w:styleId="763">
    <w:name w:val="正文文本 Char4"/>
    <w:basedOn w:val="136"/>
    <w:qFormat/>
    <w:uiPriority w:val="0"/>
    <w:rPr>
      <w:rFonts w:hint="default" w:ascii="Calibri" w:hAnsi="Calibri" w:cs="Times New Roman"/>
      <w:kern w:val="2"/>
      <w:sz w:val="24"/>
      <w:szCs w:val="24"/>
    </w:rPr>
  </w:style>
  <w:style w:type="character" w:customStyle="1" w:styleId="764">
    <w:name w:val="小标箭头 Char"/>
    <w:basedOn w:val="136"/>
    <w:qFormat/>
    <w:uiPriority w:val="0"/>
    <w:rPr>
      <w:rFonts w:hint="eastAsia" w:ascii="宋体" w:hAnsi="宋体" w:eastAsia="宋体" w:cs="宋体"/>
      <w:kern w:val="2"/>
      <w:sz w:val="24"/>
      <w:szCs w:val="22"/>
    </w:rPr>
  </w:style>
  <w:style w:type="character" w:customStyle="1" w:styleId="765">
    <w:name w:val="正文格式 Char"/>
    <w:basedOn w:val="136"/>
    <w:qFormat/>
    <w:uiPriority w:val="0"/>
    <w:rPr>
      <w:kern w:val="2"/>
      <w:sz w:val="24"/>
    </w:rPr>
  </w:style>
  <w:style w:type="character" w:customStyle="1" w:styleId="766">
    <w:name w:val="批注文字 Char4"/>
    <w:basedOn w:val="136"/>
    <w:qFormat/>
    <w:uiPriority w:val="0"/>
    <w:rPr>
      <w:rFonts w:hint="eastAsia" w:ascii="宋体" w:hAnsi="宋体" w:eastAsia="宋体" w:cs="宋体"/>
      <w:kern w:val="2"/>
      <w:sz w:val="24"/>
    </w:rPr>
  </w:style>
  <w:style w:type="character" w:customStyle="1" w:styleId="767">
    <w:name w:val="文章标题 3 Char"/>
    <w:basedOn w:val="136"/>
    <w:link w:val="768"/>
    <w:qFormat/>
    <w:uiPriority w:val="0"/>
    <w:rPr>
      <w:rFonts w:hint="default" w:ascii="Arial" w:hAnsi="Arial" w:eastAsia="黑体" w:cs="Arial"/>
      <w:bCs/>
      <w:color w:val="000000"/>
      <w:sz w:val="24"/>
      <w:szCs w:val="32"/>
    </w:rPr>
  </w:style>
  <w:style w:type="paragraph" w:customStyle="1" w:styleId="768">
    <w:name w:val="文章标题 3"/>
    <w:basedOn w:val="7"/>
    <w:next w:val="1"/>
    <w:link w:val="767"/>
    <w:qFormat/>
    <w:uiPriority w:val="0"/>
    <w:pPr>
      <w:keepNext/>
      <w:keepLines/>
      <w:widowControl/>
      <w:numPr>
        <w:ilvl w:val="0"/>
        <w:numId w:val="0"/>
      </w:numPr>
      <w:tabs>
        <w:tab w:val="left" w:pos="0"/>
        <w:tab w:val="left" w:pos="840"/>
      </w:tabs>
      <w:spacing w:before="240" w:after="120" w:line="360" w:lineRule="auto"/>
    </w:pPr>
    <w:rPr>
      <w:rFonts w:ascii="Arial" w:hAnsi="Arial" w:eastAsia="黑体" w:cs="Arial"/>
      <w:color w:val="000000"/>
      <w:kern w:val="0"/>
      <w:szCs w:val="32"/>
    </w:rPr>
  </w:style>
  <w:style w:type="character" w:customStyle="1" w:styleId="769">
    <w:name w:val="列出段落 Char2"/>
    <w:basedOn w:val="136"/>
    <w:qFormat/>
    <w:uiPriority w:val="34"/>
    <w:rPr>
      <w:rFonts w:hint="default" w:ascii="Calibri" w:hAnsi="Calibri" w:eastAsia="宋体" w:cs="Times New Roman"/>
      <w:kern w:val="2"/>
      <w:sz w:val="24"/>
    </w:rPr>
  </w:style>
  <w:style w:type="character" w:customStyle="1" w:styleId="770">
    <w:name w:val="方案正文段落 Char"/>
    <w:basedOn w:val="136"/>
    <w:link w:val="771"/>
    <w:qFormat/>
    <w:uiPriority w:val="0"/>
    <w:rPr>
      <w:color w:val="000000"/>
      <w:sz w:val="24"/>
      <w:szCs w:val="24"/>
    </w:rPr>
  </w:style>
  <w:style w:type="paragraph" w:customStyle="1" w:styleId="771">
    <w:name w:val="方案正文段落"/>
    <w:basedOn w:val="1"/>
    <w:link w:val="770"/>
    <w:qFormat/>
    <w:uiPriority w:val="0"/>
    <w:pPr>
      <w:spacing w:after="156" w:afterLines="50" w:line="360" w:lineRule="auto"/>
      <w:ind w:firstLine="480" w:firstLineChars="200"/>
    </w:pPr>
    <w:rPr>
      <w:rFonts w:ascii="Times New Roman" w:hAnsi="Times New Roman" w:eastAsia="宋体" w:cs="Times New Roman"/>
      <w:color w:val="000000"/>
      <w:kern w:val="0"/>
      <w:sz w:val="24"/>
      <w:szCs w:val="24"/>
    </w:rPr>
  </w:style>
  <w:style w:type="character" w:customStyle="1" w:styleId="772">
    <w:name w:val="项目符号：二级 Char"/>
    <w:basedOn w:val="136"/>
    <w:qFormat/>
    <w:uiPriority w:val="0"/>
    <w:rPr>
      <w:rFonts w:hint="default" w:ascii="Arial" w:hAnsi="Arial" w:eastAsia="新宋体" w:cs="Arial"/>
      <w:bCs/>
      <w:sz w:val="24"/>
    </w:rPr>
  </w:style>
  <w:style w:type="character" w:customStyle="1" w:styleId="773">
    <w:name w:val="引用 字符"/>
    <w:basedOn w:val="136"/>
    <w:link w:val="774"/>
    <w:qFormat/>
    <w:uiPriority w:val="29"/>
    <w:rPr>
      <w:rFonts w:hint="eastAsia" w:ascii="宋体" w:hAnsi="宋体" w:eastAsia="宋体" w:cs="宋体"/>
      <w:i/>
      <w:iCs/>
      <w:color w:val="000000"/>
      <w:sz w:val="24"/>
    </w:rPr>
  </w:style>
  <w:style w:type="paragraph" w:styleId="774">
    <w:name w:val="Quote"/>
    <w:basedOn w:val="1"/>
    <w:next w:val="1"/>
    <w:link w:val="773"/>
    <w:qFormat/>
    <w:uiPriority w:val="29"/>
    <w:pPr>
      <w:spacing w:line="360" w:lineRule="auto"/>
      <w:ind w:firstLine="480" w:firstLineChars="200"/>
      <w:jc w:val="left"/>
    </w:pPr>
    <w:rPr>
      <w:rFonts w:hint="eastAsia" w:ascii="宋体" w:hAnsi="宋体" w:eastAsia="宋体" w:cs="宋体"/>
      <w:i/>
      <w:iCs/>
      <w:color w:val="000000"/>
      <w:kern w:val="0"/>
      <w:sz w:val="24"/>
      <w:szCs w:val="20"/>
    </w:rPr>
  </w:style>
  <w:style w:type="character" w:customStyle="1" w:styleId="775">
    <w:name w:val="彩色列表 - 强调文字颜色 1 Char"/>
    <w:basedOn w:val="136"/>
    <w:qFormat/>
    <w:uiPriority w:val="0"/>
    <w:rPr>
      <w:rFonts w:hint="default" w:ascii="Calibri" w:hAnsi="Calibri" w:cs="Calibri"/>
      <w:sz w:val="24"/>
      <w:szCs w:val="22"/>
    </w:rPr>
  </w:style>
  <w:style w:type="character" w:customStyle="1" w:styleId="776">
    <w:name w:val="尾注文本 字符1"/>
    <w:basedOn w:val="136"/>
    <w:qFormat/>
    <w:uiPriority w:val="99"/>
    <w:rPr>
      <w:rFonts w:hint="eastAsia" w:ascii="仿宋" w:hAnsi="仿宋" w:eastAsia="仿宋" w:cs="Times New Roman"/>
      <w:sz w:val="32"/>
      <w:szCs w:val="24"/>
    </w:rPr>
  </w:style>
  <w:style w:type="character" w:customStyle="1" w:styleId="777">
    <w:name w:val="列出段落字符"/>
    <w:basedOn w:val="136"/>
    <w:qFormat/>
    <w:uiPriority w:val="34"/>
    <w:rPr>
      <w:rFonts w:hint="eastAsia" w:ascii="楷体_GB2312" w:eastAsia="楷体_GB2312" w:cs="楷体_GB2312"/>
      <w:snapToGrid/>
      <w:sz w:val="24"/>
      <w:szCs w:val="21"/>
    </w:rPr>
  </w:style>
  <w:style w:type="character" w:customStyle="1" w:styleId="778">
    <w:name w:val="正文 居中 Char"/>
    <w:basedOn w:val="136"/>
    <w:qFormat/>
    <w:uiPriority w:val="0"/>
    <w:rPr>
      <w:rFonts w:hint="eastAsia" w:ascii="宋体" w:hAnsi="宋体" w:eastAsia="宋体" w:cs="宋体"/>
      <w:sz w:val="24"/>
    </w:rPr>
  </w:style>
  <w:style w:type="character" w:customStyle="1" w:styleId="779">
    <w:name w:val="正文文本 3 Char1"/>
    <w:basedOn w:val="136"/>
    <w:qFormat/>
    <w:uiPriority w:val="99"/>
    <w:rPr>
      <w:rFonts w:hint="default" w:ascii="Times New Roman" w:hAnsi="Times New Roman" w:cs="Times New Roman"/>
      <w:kern w:val="2"/>
      <w:sz w:val="16"/>
      <w:szCs w:val="16"/>
    </w:rPr>
  </w:style>
  <w:style w:type="character" w:customStyle="1" w:styleId="780">
    <w:name w:val="样式 正文4级（编号2级） + (符号) Times New Roman1 Char"/>
    <w:basedOn w:val="136"/>
    <w:qFormat/>
    <w:uiPriority w:val="0"/>
    <w:rPr>
      <w:rFonts w:hint="eastAsia" w:ascii="宋体" w:hAnsi="宋体" w:eastAsia="宋体" w:cs="宋体"/>
      <w:sz w:val="24"/>
      <w:szCs w:val="24"/>
    </w:rPr>
  </w:style>
  <w:style w:type="character" w:customStyle="1" w:styleId="781">
    <w:name w:val="表格 Char Char"/>
    <w:basedOn w:val="136"/>
    <w:qFormat/>
    <w:uiPriority w:val="0"/>
    <w:rPr>
      <w:rFonts w:hint="eastAsia" w:ascii="仿宋_GB2312" w:eastAsia="仿宋_GB2312" w:cs="仿宋_GB2312"/>
      <w:color w:val="000000"/>
      <w:sz w:val="24"/>
    </w:rPr>
  </w:style>
  <w:style w:type="character" w:customStyle="1" w:styleId="782">
    <w:name w:val="注意 Char"/>
    <w:basedOn w:val="136"/>
    <w:qFormat/>
    <w:uiPriority w:val="0"/>
    <w:rPr>
      <w:rFonts w:hint="default" w:ascii="Century" w:hAnsi="Century" w:eastAsia="MS Mincho" w:cs="Century"/>
      <w:color w:val="000000"/>
      <w:sz w:val="16"/>
    </w:rPr>
  </w:style>
  <w:style w:type="character" w:customStyle="1" w:styleId="783">
    <w:name w:val="表格文本 Char"/>
    <w:basedOn w:val="136"/>
    <w:qFormat/>
    <w:uiPriority w:val="0"/>
    <w:rPr>
      <w:rFonts w:hint="default" w:ascii="Arial" w:hAnsi="Arial" w:cs="Arial"/>
      <w:sz w:val="21"/>
      <w:szCs w:val="21"/>
    </w:rPr>
  </w:style>
  <w:style w:type="paragraph" w:customStyle="1" w:styleId="784">
    <w:name w:val="正文1111"/>
    <w:basedOn w:val="1"/>
    <w:qFormat/>
    <w:uiPriority w:val="0"/>
    <w:pPr>
      <w:adjustRightInd w:val="0"/>
      <w:spacing w:before="80" w:after="80" w:line="312" w:lineRule="atLeast"/>
      <w:ind w:firstLine="425"/>
      <w:textAlignment w:val="baseline"/>
    </w:pPr>
    <w:rPr>
      <w:rFonts w:hint="eastAsia" w:ascii="等线" w:hAnsi="等线" w:eastAsia="等线" w:cs="宋体"/>
      <w:szCs w:val="21"/>
    </w:rPr>
  </w:style>
  <w:style w:type="character" w:customStyle="1" w:styleId="785">
    <w:name w:val="副标题 字符1"/>
    <w:basedOn w:val="136"/>
    <w:qFormat/>
    <w:uiPriority w:val="0"/>
    <w:rPr>
      <w:rFonts w:hint="default" w:ascii="Calibri" w:hAnsi="Calibri" w:eastAsia="宋体" w:cs="Times New Roman"/>
      <w:b/>
      <w:bCs/>
      <w:kern w:val="28"/>
      <w:sz w:val="32"/>
      <w:szCs w:val="32"/>
    </w:rPr>
  </w:style>
  <w:style w:type="character" w:customStyle="1" w:styleId="786">
    <w:name w:val="第三章正文 Char"/>
    <w:basedOn w:val="136"/>
    <w:qFormat/>
    <w:uiPriority w:val="0"/>
    <w:rPr>
      <w:rFonts w:hint="eastAsia" w:ascii="宋体" w:hAnsi="宋体" w:eastAsia="宋体" w:cs="宋体"/>
      <w:kern w:val="2"/>
      <w:sz w:val="24"/>
    </w:rPr>
  </w:style>
  <w:style w:type="character" w:customStyle="1" w:styleId="787">
    <w:name w:val="不明显强调1"/>
    <w:basedOn w:val="136"/>
    <w:qFormat/>
    <w:uiPriority w:val="19"/>
    <w:rPr>
      <w:i/>
      <w:iCs/>
      <w:color w:val="808080"/>
    </w:rPr>
  </w:style>
  <w:style w:type="character" w:customStyle="1" w:styleId="788">
    <w:name w:val="正文文本 (2)_"/>
    <w:basedOn w:val="136"/>
    <w:qFormat/>
    <w:uiPriority w:val="0"/>
    <w:rPr>
      <w:rFonts w:hint="eastAsia" w:ascii="MingLiU" w:hAnsi="MingLiU" w:eastAsia="MingLiU" w:cs="MingLiU"/>
      <w:szCs w:val="21"/>
      <w:shd w:val="clear" w:color="auto" w:fill="FFFFFF"/>
    </w:rPr>
  </w:style>
  <w:style w:type="character" w:customStyle="1" w:styleId="789">
    <w:name w:val="正Sylvia Char"/>
    <w:basedOn w:val="136"/>
    <w:qFormat/>
    <w:uiPriority w:val="0"/>
    <w:rPr>
      <w:szCs w:val="24"/>
    </w:rPr>
  </w:style>
  <w:style w:type="character" w:customStyle="1" w:styleId="790">
    <w:name w:val="表格正文 Char"/>
    <w:basedOn w:val="136"/>
    <w:qFormat/>
    <w:uiPriority w:val="0"/>
    <w:rPr>
      <w:kern w:val="2"/>
      <w:sz w:val="21"/>
      <w:szCs w:val="24"/>
    </w:rPr>
  </w:style>
  <w:style w:type="character" w:customStyle="1" w:styleId="791">
    <w:name w:val="正文文本 Char1"/>
    <w:basedOn w:val="136"/>
    <w:qFormat/>
    <w:uiPriority w:val="0"/>
    <w:rPr>
      <w:rFonts w:hint="default" w:ascii="Times New Roman" w:hAnsi="Times New Roman" w:cs="Times New Roman"/>
      <w:kern w:val="2"/>
      <w:sz w:val="28"/>
    </w:rPr>
  </w:style>
  <w:style w:type="character" w:customStyle="1" w:styleId="792">
    <w:name w:val="正文 首行缩进2字符 Char1"/>
    <w:basedOn w:val="136"/>
    <w:qFormat/>
    <w:uiPriority w:val="0"/>
    <w:rPr>
      <w:kern w:val="2"/>
      <w:sz w:val="24"/>
    </w:rPr>
  </w:style>
  <w:style w:type="character" w:customStyle="1" w:styleId="793">
    <w:name w:val="样式 左 首行缩进:  2.02 字符 段前: 5 磅 段后: 5 磅 Char"/>
    <w:basedOn w:val="136"/>
    <w:qFormat/>
    <w:uiPriority w:val="0"/>
    <w:rPr>
      <w:rFonts w:hint="default" w:ascii="Arial" w:hAnsi="Arial" w:eastAsia="宋体" w:cs="宋体"/>
      <w:kern w:val="2"/>
      <w:sz w:val="24"/>
      <w:szCs w:val="22"/>
    </w:rPr>
  </w:style>
  <w:style w:type="character" w:customStyle="1" w:styleId="794">
    <w:name w:val="列举项目 Char Char"/>
    <w:basedOn w:val="136"/>
    <w:qFormat/>
    <w:uiPriority w:val="0"/>
    <w:rPr>
      <w:rFonts w:hint="default" w:ascii="Arial" w:hAnsi="Arial" w:cs="Arial"/>
      <w:kern w:val="2"/>
      <w:sz w:val="21"/>
      <w:szCs w:val="22"/>
    </w:rPr>
  </w:style>
  <w:style w:type="character" w:customStyle="1" w:styleId="795">
    <w:name w:val="正文文本 (7) + 间距 2 pt"/>
    <w:basedOn w:val="136"/>
    <w:qFormat/>
    <w:uiPriority w:val="0"/>
    <w:rPr>
      <w:rFonts w:hint="eastAsia" w:ascii="宋体" w:hAnsi="宋体" w:eastAsia="宋体" w:cs="宋体"/>
      <w:spacing w:val="40"/>
      <w:sz w:val="23"/>
      <w:szCs w:val="23"/>
      <w:u w:val="none"/>
      <w:shd w:val="clear" w:color="auto" w:fill="FFFFFF"/>
    </w:rPr>
  </w:style>
  <w:style w:type="character" w:customStyle="1" w:styleId="796">
    <w:name w:val="样式7 Char"/>
    <w:basedOn w:val="136"/>
    <w:link w:val="797"/>
    <w:qFormat/>
    <w:uiPriority w:val="0"/>
    <w:rPr>
      <w:rFonts w:asciiTheme="minorHAnsi" w:hAnsiTheme="minorHAnsi" w:eastAsiaTheme="minorEastAsia" w:cstheme="minorBidi"/>
      <w:b/>
      <w:bCs/>
      <w:kern w:val="44"/>
      <w:sz w:val="44"/>
      <w:szCs w:val="44"/>
    </w:rPr>
  </w:style>
  <w:style w:type="paragraph" w:customStyle="1" w:styleId="797">
    <w:name w:val="样式7"/>
    <w:basedOn w:val="16"/>
    <w:next w:val="1"/>
    <w:link w:val="796"/>
    <w:qFormat/>
    <w:uiPriority w:val="0"/>
    <w:pPr>
      <w:spacing w:before="0" w:after="240" w:line="360" w:lineRule="auto"/>
      <w:ind w:firstLine="0"/>
    </w:pPr>
    <w:rPr>
      <w:rFonts w:asciiTheme="minorHAnsi" w:hAnsiTheme="minorHAnsi" w:eastAsiaTheme="minorEastAsia" w:cstheme="minorBidi"/>
      <w:kern w:val="44"/>
      <w:sz w:val="44"/>
      <w:szCs w:val="44"/>
    </w:rPr>
  </w:style>
  <w:style w:type="character" w:customStyle="1" w:styleId="798">
    <w:name w:val="正文文本 字符2"/>
    <w:basedOn w:val="136"/>
    <w:qFormat/>
    <w:uiPriority w:val="0"/>
    <w:rPr>
      <w:kern w:val="2"/>
      <w:sz w:val="24"/>
      <w:szCs w:val="24"/>
    </w:rPr>
  </w:style>
  <w:style w:type="character" w:customStyle="1" w:styleId="799">
    <w:name w:val="批注框文本 字符2"/>
    <w:basedOn w:val="136"/>
    <w:qFormat/>
    <w:uiPriority w:val="99"/>
    <w:rPr>
      <w:rFonts w:hint="eastAsia" w:ascii="宋体" w:hAnsi="宋体" w:eastAsia="宋体" w:cs="宋体"/>
      <w:sz w:val="18"/>
      <w:szCs w:val="18"/>
    </w:rPr>
  </w:style>
  <w:style w:type="character" w:customStyle="1" w:styleId="800">
    <w:name w:val="宏文本 Char2"/>
    <w:basedOn w:val="136"/>
    <w:qFormat/>
    <w:uiPriority w:val="0"/>
    <w:rPr>
      <w:rFonts w:hint="default" w:ascii="Courier New" w:hAnsi="Courier New" w:eastAsia="宋体" w:cs="Courier New"/>
      <w:sz w:val="24"/>
      <w:szCs w:val="24"/>
    </w:rPr>
  </w:style>
  <w:style w:type="character" w:customStyle="1" w:styleId="801">
    <w:name w:val="大标题１ Char"/>
    <w:basedOn w:val="136"/>
    <w:qFormat/>
    <w:uiPriority w:val="0"/>
    <w:rPr>
      <w:rFonts w:hint="default" w:ascii="Calibri" w:hAnsi="Calibri" w:eastAsia="黑体" w:cs="Times New Roman"/>
      <w:kern w:val="2"/>
      <w:sz w:val="28"/>
      <w:szCs w:val="22"/>
    </w:rPr>
  </w:style>
  <w:style w:type="character" w:customStyle="1" w:styleId="802">
    <w:name w:val="内容 Char"/>
    <w:basedOn w:val="136"/>
    <w:qFormat/>
    <w:uiPriority w:val="0"/>
    <w:rPr>
      <w:rFonts w:hint="eastAsia" w:ascii="宋体" w:hAnsi="宋体" w:eastAsia="宋体" w:cs="宋体"/>
      <w:sz w:val="24"/>
      <w:szCs w:val="28"/>
    </w:rPr>
  </w:style>
  <w:style w:type="character" w:customStyle="1" w:styleId="803">
    <w:name w:val="明显引用 Char2"/>
    <w:basedOn w:val="136"/>
    <w:qFormat/>
    <w:uiPriority w:val="0"/>
    <w:rPr>
      <w:b/>
      <w:bCs/>
      <w:i/>
      <w:iCs/>
      <w:snapToGrid/>
      <w:color w:val="4F81BD"/>
      <w:sz w:val="24"/>
      <w:szCs w:val="21"/>
    </w:rPr>
  </w:style>
  <w:style w:type="character" w:customStyle="1" w:styleId="804">
    <w:name w:val="GW-标题2 Char"/>
    <w:basedOn w:val="136"/>
    <w:link w:val="805"/>
    <w:qFormat/>
    <w:uiPriority w:val="0"/>
    <w:rPr>
      <w:sz w:val="36"/>
    </w:rPr>
  </w:style>
  <w:style w:type="paragraph" w:customStyle="1" w:styleId="805">
    <w:name w:val="GW-标题2"/>
    <w:basedOn w:val="1"/>
    <w:next w:val="1"/>
    <w:link w:val="804"/>
    <w:qFormat/>
    <w:uiPriority w:val="99"/>
    <w:pPr>
      <w:keepNext/>
      <w:keepLines/>
      <w:spacing w:beforeLines="100" w:afterLines="100" w:line="360" w:lineRule="auto"/>
      <w:ind w:left="1322" w:hanging="420"/>
      <w:outlineLvl w:val="1"/>
    </w:pPr>
    <w:rPr>
      <w:kern w:val="0"/>
      <w:sz w:val="36"/>
      <w:szCs w:val="20"/>
    </w:rPr>
  </w:style>
  <w:style w:type="character" w:customStyle="1" w:styleId="806">
    <w:name w:val="附图图题 Char"/>
    <w:basedOn w:val="136"/>
    <w:qFormat/>
    <w:uiPriority w:val="0"/>
    <w:rPr>
      <w:rFonts w:hint="default" w:ascii="Arial" w:hAnsi="Arial" w:eastAsia="黑体" w:cs="Arial"/>
      <w:kern w:val="2"/>
      <w:sz w:val="18"/>
      <w:szCs w:val="24"/>
    </w:rPr>
  </w:style>
  <w:style w:type="character" w:customStyle="1" w:styleId="807">
    <w:name w:val="王玲-正文 Char"/>
    <w:basedOn w:val="136"/>
    <w:qFormat/>
    <w:uiPriority w:val="0"/>
    <w:rPr>
      <w:rFonts w:hint="default" w:ascii="Tahoma" w:hAnsi="Tahoma" w:eastAsia="Tahoma" w:cs="Tahoma"/>
      <w:sz w:val="24"/>
    </w:rPr>
  </w:style>
  <w:style w:type="character" w:customStyle="1" w:styleId="808">
    <w:name w:val="项目下文字 Char"/>
    <w:basedOn w:val="136"/>
    <w:qFormat/>
    <w:uiPriority w:val="0"/>
    <w:rPr>
      <w:rFonts w:hint="eastAsia" w:ascii="宋体" w:hAnsi="宋体" w:eastAsia="宋体" w:cs="宋体"/>
      <w:sz w:val="24"/>
    </w:rPr>
  </w:style>
  <w:style w:type="character" w:customStyle="1" w:styleId="809">
    <w:name w:val="我的正文 Char"/>
    <w:basedOn w:val="136"/>
    <w:qFormat/>
    <w:uiPriority w:val="0"/>
    <w:rPr>
      <w:kern w:val="2"/>
      <w:sz w:val="24"/>
      <w:szCs w:val="24"/>
      <w:lang w:val="zh-CN"/>
    </w:rPr>
  </w:style>
  <w:style w:type="character" w:customStyle="1" w:styleId="810">
    <w:name w:val="样式 题注 + 黑体 Char"/>
    <w:basedOn w:val="136"/>
    <w:qFormat/>
    <w:uiPriority w:val="0"/>
    <w:rPr>
      <w:rFonts w:hint="eastAsia" w:ascii="黑体" w:hAnsi="宋体" w:eastAsia="黑体" w:cs="Arial"/>
    </w:rPr>
  </w:style>
  <w:style w:type="character" w:customStyle="1" w:styleId="811">
    <w:name w:val="未处理的提及11"/>
    <w:basedOn w:val="136"/>
    <w:qFormat/>
    <w:uiPriority w:val="99"/>
    <w:rPr>
      <w:color w:val="605E5C"/>
      <w:shd w:val="clear" w:color="auto" w:fill="E1DFDD"/>
    </w:rPr>
  </w:style>
  <w:style w:type="character" w:customStyle="1" w:styleId="812">
    <w:name w:val="明显强调1"/>
    <w:basedOn w:val="136"/>
    <w:qFormat/>
    <w:uiPriority w:val="0"/>
    <w:rPr>
      <w:b/>
      <w:bCs/>
      <w:i/>
      <w:iCs/>
      <w:color w:val="4F81BD"/>
    </w:rPr>
  </w:style>
  <w:style w:type="character" w:customStyle="1" w:styleId="813">
    <w:name w:val="二级标题 Char"/>
    <w:basedOn w:val="136"/>
    <w:qFormat/>
    <w:uiPriority w:val="0"/>
    <w:rPr>
      <w:rFonts w:hint="default" w:ascii="Times New Roman" w:hAnsi="Times New Roman" w:eastAsia="黑体" w:cs="Times New Roman"/>
      <w:b/>
      <w:sz w:val="28"/>
    </w:rPr>
  </w:style>
  <w:style w:type="character" w:customStyle="1" w:styleId="814">
    <w:name w:val="标题5 Char Char"/>
    <w:basedOn w:val="136"/>
    <w:qFormat/>
    <w:uiPriority w:val="0"/>
    <w:rPr>
      <w:rFonts w:hint="eastAsia" w:ascii="黑体" w:hAnsi="宋体" w:eastAsia="黑体" w:cs="黑体"/>
      <w:snapToGrid/>
      <w:sz w:val="24"/>
      <w:szCs w:val="24"/>
    </w:rPr>
  </w:style>
  <w:style w:type="character" w:customStyle="1" w:styleId="815">
    <w:name w:val="四级标题 Char"/>
    <w:basedOn w:val="136"/>
    <w:qFormat/>
    <w:uiPriority w:val="0"/>
    <w:rPr>
      <w:rFonts w:hint="default" w:ascii="Arial" w:hAnsi="Arial" w:eastAsia="黑体" w:cs="Arial"/>
      <w:spacing w:val="10"/>
      <w:sz w:val="28"/>
      <w:szCs w:val="24"/>
    </w:rPr>
  </w:style>
  <w:style w:type="character" w:customStyle="1" w:styleId="816">
    <w:name w:val="纵向页眉格式 Char"/>
    <w:basedOn w:val="136"/>
    <w:qFormat/>
    <w:uiPriority w:val="0"/>
    <w:rPr>
      <w:rFonts w:hint="default" w:ascii="Calibri" w:hAnsi="Calibri" w:cs="宋体"/>
      <w:sz w:val="18"/>
      <w:szCs w:val="24"/>
    </w:rPr>
  </w:style>
  <w:style w:type="character" w:customStyle="1" w:styleId="817">
    <w:name w:val="正文文本 Char3"/>
    <w:basedOn w:val="136"/>
    <w:qFormat/>
    <w:uiPriority w:val="0"/>
    <w:rPr>
      <w:rFonts w:hint="eastAsia" w:ascii="宋体" w:hAnsi="宋体" w:eastAsia="宋体" w:cs="宋体"/>
      <w:sz w:val="24"/>
      <w:szCs w:val="24"/>
    </w:rPr>
  </w:style>
  <w:style w:type="character" w:customStyle="1" w:styleId="818">
    <w:name w:val="样式 CM14 + 仿宋_GB2312 四号 黑色 Char"/>
    <w:basedOn w:val="136"/>
    <w:qFormat/>
    <w:uiPriority w:val="0"/>
    <w:rPr>
      <w:rFonts w:hint="eastAsia" w:ascii="仿宋_GB2312" w:hAnsi="仿宋_GB2312" w:eastAsia="仿宋_GB2312" w:cs="仿宋_GB2312"/>
      <w:color w:val="000000"/>
      <w:sz w:val="24"/>
      <w:szCs w:val="24"/>
    </w:rPr>
  </w:style>
  <w:style w:type="character" w:customStyle="1" w:styleId="819">
    <w:name w:val="正文（首行缩进） Char"/>
    <w:basedOn w:val="136"/>
    <w:qFormat/>
    <w:uiPriority w:val="0"/>
    <w:rPr>
      <w:sz w:val="24"/>
    </w:rPr>
  </w:style>
  <w:style w:type="character" w:customStyle="1" w:styleId="820">
    <w:name w:val="标题1 Char"/>
    <w:basedOn w:val="136"/>
    <w:qFormat/>
    <w:uiPriority w:val="0"/>
    <w:rPr>
      <w:szCs w:val="24"/>
    </w:rPr>
  </w:style>
  <w:style w:type="character" w:customStyle="1" w:styleId="821">
    <w:name w:val="纯文本 Char1"/>
    <w:basedOn w:val="136"/>
    <w:qFormat/>
    <w:uiPriority w:val="99"/>
    <w:rPr>
      <w:rFonts w:hint="eastAsia" w:ascii="宋体" w:hAnsi="Courier New" w:eastAsia="宋体" w:cs="Courier New"/>
      <w:szCs w:val="21"/>
    </w:rPr>
  </w:style>
  <w:style w:type="character" w:customStyle="1" w:styleId="822">
    <w:name w:val="正文格式 Char1"/>
    <w:basedOn w:val="136"/>
    <w:link w:val="823"/>
    <w:qFormat/>
    <w:uiPriority w:val="0"/>
    <w:rPr>
      <w:rFonts w:ascii="宋体" w:hAnsi="宋体" w:eastAsia="宋体" w:cs="宋体"/>
      <w:bCs/>
      <w:color w:val="000000"/>
      <w:sz w:val="28"/>
      <w:szCs w:val="24"/>
    </w:rPr>
  </w:style>
  <w:style w:type="paragraph" w:customStyle="1" w:styleId="823">
    <w:name w:val="正文格式"/>
    <w:basedOn w:val="1"/>
    <w:link w:val="822"/>
    <w:qFormat/>
    <w:uiPriority w:val="0"/>
    <w:pPr>
      <w:widowControl/>
      <w:adjustRightInd w:val="0"/>
      <w:snapToGrid w:val="0"/>
      <w:spacing w:beforeLines="25" w:line="360" w:lineRule="auto"/>
      <w:ind w:firstLine="480" w:firstLineChars="200"/>
      <w:textAlignment w:val="baseline"/>
    </w:pPr>
    <w:rPr>
      <w:rFonts w:ascii="宋体" w:hAnsi="宋体" w:eastAsia="宋体" w:cs="宋体"/>
      <w:bCs/>
      <w:color w:val="000000"/>
      <w:kern w:val="0"/>
      <w:sz w:val="28"/>
      <w:szCs w:val="24"/>
    </w:rPr>
  </w:style>
  <w:style w:type="character" w:customStyle="1" w:styleId="824">
    <w:name w:val="样式 建设处文档标题2 + (西文) 仿宋_GB2312 Char"/>
    <w:basedOn w:val="136"/>
    <w:qFormat/>
    <w:uiPriority w:val="0"/>
    <w:rPr>
      <w:rFonts w:hint="default" w:ascii="Cambria" w:hAnsi="Cambria" w:eastAsia="Cambria" w:cs="Cambria"/>
      <w:bCs/>
      <w:i/>
      <w:iCs/>
      <w:sz w:val="24"/>
      <w:szCs w:val="28"/>
      <w:lang w:eastAsia="en-US" w:bidi="en-US"/>
    </w:rPr>
  </w:style>
  <w:style w:type="character" w:customStyle="1" w:styleId="825">
    <w:name w:val="正文 首行缩进:  2 字符 Char Char Char"/>
    <w:basedOn w:val="136"/>
    <w:qFormat/>
    <w:uiPriority w:val="0"/>
    <w:rPr>
      <w:rFonts w:hint="eastAsia" w:ascii="宋体" w:hAnsi="宋体" w:eastAsia="宋体" w:cs="宋体"/>
      <w:kern w:val="2"/>
      <w:sz w:val="24"/>
      <w:lang w:val="en-US" w:eastAsia="zh-CN" w:bidi="ar"/>
    </w:rPr>
  </w:style>
  <w:style w:type="character" w:customStyle="1" w:styleId="826">
    <w:name w:val="题注 字符3"/>
    <w:basedOn w:val="136"/>
    <w:qFormat/>
    <w:uiPriority w:val="0"/>
    <w:rPr>
      <w:rFonts w:hint="default" w:ascii="Arial" w:hAnsi="Arial" w:eastAsia="黑体" w:cs="Arial"/>
      <w:kern w:val="2"/>
    </w:rPr>
  </w:style>
  <w:style w:type="character" w:customStyle="1" w:styleId="827">
    <w:name w:val="加粗项目符号"/>
    <w:basedOn w:val="136"/>
    <w:qFormat/>
    <w:uiPriority w:val="0"/>
    <w:rPr>
      <w:b/>
      <w:bCs/>
    </w:rPr>
  </w:style>
  <w:style w:type="character" w:customStyle="1" w:styleId="828">
    <w:name w:val="标题 3 Char Char Char Char Char Char Char Char Char Char Char Char Char Char Char Char Char Char Char Char Char Char Char Char Char Char Char Char Char Char Char Char Char Char Char Char Char Char Char Char Char Char Char Char Char Char Char Char Cha Char"/>
    <w:basedOn w:val="136"/>
    <w:qFormat/>
    <w:uiPriority w:val="0"/>
    <w:rPr>
      <w:rFonts w:hint="eastAsia" w:ascii="宋体" w:hAnsi="宋体" w:eastAsia="宋体" w:cs="宋体"/>
      <w:b/>
      <w:bCs/>
      <w:kern w:val="2"/>
      <w:sz w:val="32"/>
      <w:szCs w:val="32"/>
      <w:lang w:val="en-US" w:eastAsia="zh-CN" w:bidi="ar"/>
    </w:rPr>
  </w:style>
  <w:style w:type="character" w:customStyle="1" w:styleId="829">
    <w:name w:val="文档结构图 字符2"/>
    <w:basedOn w:val="136"/>
    <w:qFormat/>
    <w:uiPriority w:val="0"/>
    <w:rPr>
      <w:szCs w:val="24"/>
      <w:shd w:val="clear" w:color="auto" w:fill="000080"/>
    </w:rPr>
  </w:style>
  <w:style w:type="character" w:customStyle="1" w:styleId="830">
    <w:name w:val="日期 Char1"/>
    <w:basedOn w:val="136"/>
    <w:qFormat/>
    <w:uiPriority w:val="99"/>
    <w:rPr>
      <w:kern w:val="2"/>
      <w:sz w:val="21"/>
      <w:szCs w:val="22"/>
    </w:rPr>
  </w:style>
  <w:style w:type="character" w:customStyle="1" w:styleId="831">
    <w:name w:val="列出段落 Char1"/>
    <w:basedOn w:val="136"/>
    <w:link w:val="196"/>
    <w:qFormat/>
    <w:uiPriority w:val="34"/>
    <w:rPr>
      <w:rFonts w:ascii="Calibri" w:hAnsi="Calibri" w:eastAsia="宋体" w:cs="Times New Roman"/>
      <w:kern w:val="2"/>
      <w:sz w:val="21"/>
      <w:szCs w:val="22"/>
    </w:rPr>
  </w:style>
  <w:style w:type="character" w:customStyle="1" w:styleId="832">
    <w:name w:val="仿宋 Char"/>
    <w:basedOn w:val="136"/>
    <w:qFormat/>
    <w:uiPriority w:val="0"/>
    <w:rPr>
      <w:rFonts w:hint="eastAsia" w:ascii="仿宋" w:hAnsi="仿宋" w:eastAsia="仿宋" w:cs="仿宋"/>
      <w:sz w:val="28"/>
      <w:szCs w:val="28"/>
    </w:rPr>
  </w:style>
  <w:style w:type="character" w:customStyle="1" w:styleId="833">
    <w:name w:val="刷的格式 Char"/>
    <w:basedOn w:val="136"/>
    <w:qFormat/>
    <w:uiPriority w:val="0"/>
    <w:rPr>
      <w:rFonts w:hint="eastAsia" w:ascii="宋体" w:hAnsi="宋体" w:eastAsia="宋体" w:cs="宋体"/>
      <w:sz w:val="24"/>
      <w:szCs w:val="24"/>
    </w:rPr>
  </w:style>
  <w:style w:type="character" w:customStyle="1" w:styleId="834">
    <w:name w:val="正文文本 3 字符1"/>
    <w:basedOn w:val="136"/>
    <w:qFormat/>
    <w:uiPriority w:val="0"/>
    <w:rPr>
      <w:rFonts w:hint="eastAsia" w:ascii="仿宋" w:hAnsi="仿宋" w:eastAsia="仿宋" w:cs="Times New Roman"/>
      <w:sz w:val="16"/>
      <w:szCs w:val="16"/>
    </w:rPr>
  </w:style>
  <w:style w:type="character" w:customStyle="1" w:styleId="835">
    <w:name w:val="样式 2节标题 + 楷体_GB2312 小三 加粗 自动设置 Char Char"/>
    <w:basedOn w:val="136"/>
    <w:qFormat/>
    <w:uiPriority w:val="0"/>
    <w:rPr>
      <w:rFonts w:hint="eastAsia" w:ascii="楷体_GB2312" w:hAnsi="楷体_GB2312" w:eastAsia="楷体_GB2312" w:cs="Times New Roman"/>
      <w:b/>
      <w:color w:val="000000"/>
      <w:kern w:val="44"/>
      <w:sz w:val="32"/>
      <w:szCs w:val="22"/>
    </w:rPr>
  </w:style>
  <w:style w:type="character" w:customStyle="1" w:styleId="836">
    <w:name w:val="样式 正文缩进 + 首行缩进:  2 字符 段前: 0.5 行 段后: 0.5 行 Char"/>
    <w:basedOn w:val="136"/>
    <w:qFormat/>
    <w:uiPriority w:val="0"/>
    <w:rPr>
      <w:rFonts w:hint="eastAsia" w:ascii="宋体" w:hAnsi="宋体" w:eastAsia="宋体" w:cs="宋体"/>
      <w:sz w:val="24"/>
    </w:rPr>
  </w:style>
  <w:style w:type="character" w:customStyle="1" w:styleId="837">
    <w:name w:val="标题 1 字符1"/>
    <w:basedOn w:val="136"/>
    <w:qFormat/>
    <w:uiPriority w:val="0"/>
    <w:rPr>
      <w:rFonts w:hint="default" w:ascii="Calibri" w:hAnsi="Calibri" w:cs="Times New Roman"/>
      <w:b/>
      <w:kern w:val="44"/>
      <w:sz w:val="32"/>
      <w:szCs w:val="24"/>
    </w:rPr>
  </w:style>
  <w:style w:type="character" w:customStyle="1" w:styleId="838">
    <w:name w:val="标题 3 字符1"/>
    <w:basedOn w:val="136"/>
    <w:qFormat/>
    <w:uiPriority w:val="0"/>
    <w:rPr>
      <w:rFonts w:hint="default" w:ascii="Calibri" w:hAnsi="Calibri" w:cs="Times New Roman"/>
      <w:b/>
      <w:kern w:val="2"/>
      <w:sz w:val="32"/>
      <w:szCs w:val="24"/>
    </w:rPr>
  </w:style>
  <w:style w:type="character" w:customStyle="1" w:styleId="839">
    <w:name w:val="标题 7 字符1"/>
    <w:basedOn w:val="136"/>
    <w:qFormat/>
    <w:uiPriority w:val="0"/>
    <w:rPr>
      <w:rFonts w:hint="default" w:ascii="Calibri" w:hAnsi="Calibri" w:cs="Times New Roman"/>
      <w:b/>
      <w:kern w:val="2"/>
      <w:sz w:val="32"/>
      <w:szCs w:val="24"/>
    </w:rPr>
  </w:style>
  <w:style w:type="character" w:customStyle="1" w:styleId="840">
    <w:name w:val="标题 Char1"/>
    <w:basedOn w:val="136"/>
    <w:qFormat/>
    <w:uiPriority w:val="10"/>
    <w:rPr>
      <w:rFonts w:hint="default" w:ascii="Cambria" w:hAnsi="Cambria" w:eastAsia="Cambria" w:cs="Times New Roman"/>
      <w:b/>
      <w:bCs/>
      <w:kern w:val="2"/>
      <w:sz w:val="32"/>
      <w:szCs w:val="32"/>
    </w:rPr>
  </w:style>
  <w:style w:type="character" w:customStyle="1" w:styleId="841">
    <w:name w:val="明显参考1"/>
    <w:basedOn w:val="136"/>
    <w:qFormat/>
    <w:uiPriority w:val="32"/>
    <w:rPr>
      <w:b/>
      <w:bCs/>
      <w:smallCaps/>
      <w:color w:val="C0504D"/>
      <w:spacing w:val="5"/>
      <w:u w:val="single"/>
    </w:rPr>
  </w:style>
  <w:style w:type="character" w:customStyle="1" w:styleId="842">
    <w:name w:val="彩色网格 - 强调文字颜色 1 Char"/>
    <w:basedOn w:val="136"/>
    <w:qFormat/>
    <w:uiPriority w:val="0"/>
    <w:rPr>
      <w:i/>
      <w:iCs/>
      <w:color w:val="000000"/>
    </w:rPr>
  </w:style>
  <w:style w:type="character" w:customStyle="1" w:styleId="843">
    <w:name w:val="文档结构图 Char2"/>
    <w:basedOn w:val="136"/>
    <w:qFormat/>
    <w:uiPriority w:val="0"/>
    <w:rPr>
      <w:rFonts w:hint="eastAsia" w:ascii="宋体" w:hAnsi="宋体" w:eastAsia="宋体" w:cs="宋体"/>
      <w:kern w:val="2"/>
      <w:sz w:val="18"/>
      <w:szCs w:val="18"/>
    </w:rPr>
  </w:style>
  <w:style w:type="character" w:customStyle="1" w:styleId="844">
    <w:name w:val="不明显参考1"/>
    <w:basedOn w:val="136"/>
    <w:qFormat/>
    <w:uiPriority w:val="31"/>
    <w:rPr>
      <w:smallCaps/>
      <w:color w:val="C0504D"/>
      <w:u w:val="single"/>
    </w:rPr>
  </w:style>
  <w:style w:type="character" w:customStyle="1" w:styleId="845">
    <w:name w:val="副标题 Char1"/>
    <w:basedOn w:val="136"/>
    <w:qFormat/>
    <w:uiPriority w:val="11"/>
    <w:rPr>
      <w:rFonts w:hint="default" w:ascii="Cambria" w:hAnsi="Cambria" w:eastAsia="Cambria" w:cs="Times New Roman"/>
      <w:b/>
      <w:bCs/>
      <w:kern w:val="28"/>
      <w:sz w:val="32"/>
      <w:szCs w:val="32"/>
    </w:rPr>
  </w:style>
  <w:style w:type="character" w:customStyle="1" w:styleId="846">
    <w:name w:val="批注框文本 Char2"/>
    <w:basedOn w:val="136"/>
    <w:qFormat/>
    <w:uiPriority w:val="0"/>
    <w:rPr>
      <w:kern w:val="2"/>
      <w:sz w:val="18"/>
      <w:szCs w:val="18"/>
    </w:rPr>
  </w:style>
  <w:style w:type="character" w:customStyle="1" w:styleId="847">
    <w:name w:val="批注主题 Char2"/>
    <w:basedOn w:val="136"/>
    <w:qFormat/>
    <w:uiPriority w:val="0"/>
    <w:rPr>
      <w:b/>
      <w:bCs/>
      <w:kern w:val="2"/>
      <w:sz w:val="21"/>
      <w:szCs w:val="24"/>
    </w:rPr>
  </w:style>
  <w:style w:type="character" w:customStyle="1" w:styleId="848">
    <w:name w:val="浅色底纹 - 强调文字颜色 2 Char"/>
    <w:basedOn w:val="136"/>
    <w:qFormat/>
    <w:uiPriority w:val="0"/>
    <w:rPr>
      <w:b/>
      <w:bCs/>
      <w:i/>
      <w:iCs/>
      <w:color w:val="4F81BD"/>
    </w:rPr>
  </w:style>
  <w:style w:type="character" w:customStyle="1" w:styleId="849">
    <w:name w:val="文章正文 Char"/>
    <w:basedOn w:val="136"/>
    <w:qFormat/>
    <w:uiPriority w:val="0"/>
    <w:rPr>
      <w:sz w:val="24"/>
      <w:szCs w:val="24"/>
    </w:rPr>
  </w:style>
  <w:style w:type="character" w:customStyle="1" w:styleId="850">
    <w:name w:val="书籍标题1"/>
    <w:basedOn w:val="136"/>
    <w:qFormat/>
    <w:uiPriority w:val="33"/>
    <w:rPr>
      <w:b/>
      <w:bCs/>
      <w:smallCaps/>
      <w:spacing w:val="5"/>
    </w:rPr>
  </w:style>
  <w:style w:type="character" w:customStyle="1" w:styleId="851">
    <w:name w:val="批注文字 Char Char"/>
    <w:basedOn w:val="136"/>
    <w:qFormat/>
    <w:uiPriority w:val="0"/>
    <w:rPr>
      <w:rFonts w:hint="eastAsia" w:ascii="宋体" w:hAnsi="Times New Roman" w:eastAsia="宋体" w:cs="Times New Roman"/>
      <w:sz w:val="28"/>
      <w:szCs w:val="20"/>
    </w:rPr>
  </w:style>
  <w:style w:type="character" w:customStyle="1" w:styleId="852">
    <w:name w:val="明显引用 Char1"/>
    <w:basedOn w:val="136"/>
    <w:qFormat/>
    <w:uiPriority w:val="30"/>
    <w:rPr>
      <w:b/>
      <w:bCs/>
      <w:i/>
      <w:iCs/>
      <w:color w:val="4F81BD"/>
      <w:kern w:val="2"/>
      <w:sz w:val="21"/>
      <w:szCs w:val="24"/>
    </w:rPr>
  </w:style>
  <w:style w:type="character" w:customStyle="1" w:styleId="853">
    <w:name w:val="批注主题 字符2"/>
    <w:basedOn w:val="136"/>
    <w:qFormat/>
    <w:uiPriority w:val="99"/>
    <w:rPr>
      <w:rFonts w:hint="eastAsia" w:ascii="宋体" w:hAnsi="宋体" w:eastAsia="宋体" w:cs="宋体"/>
      <w:b/>
      <w:bCs/>
      <w:sz w:val="28"/>
    </w:rPr>
  </w:style>
  <w:style w:type="character" w:customStyle="1" w:styleId="854">
    <w:name w:val="引用 Char1"/>
    <w:basedOn w:val="136"/>
    <w:qFormat/>
    <w:uiPriority w:val="29"/>
    <w:rPr>
      <w:i/>
      <w:iCs/>
      <w:color w:val="000000"/>
      <w:kern w:val="2"/>
      <w:sz w:val="21"/>
      <w:szCs w:val="24"/>
    </w:rPr>
  </w:style>
  <w:style w:type="character" w:customStyle="1" w:styleId="855">
    <w:name w:val="标题 字符1"/>
    <w:basedOn w:val="136"/>
    <w:qFormat/>
    <w:uiPriority w:val="10"/>
    <w:rPr>
      <w:rFonts w:hint="default" w:ascii="Cambria" w:hAnsi="Cambria" w:eastAsia="宋体" w:cs="Times New Roman"/>
      <w:b/>
      <w:bCs/>
      <w:kern w:val="2"/>
      <w:sz w:val="32"/>
      <w:szCs w:val="32"/>
    </w:rPr>
  </w:style>
  <w:style w:type="character" w:customStyle="1" w:styleId="856">
    <w:name w:val="标题 Char2"/>
    <w:basedOn w:val="136"/>
    <w:qFormat/>
    <w:uiPriority w:val="0"/>
    <w:rPr>
      <w:rFonts w:hint="default" w:ascii="Cambria" w:hAnsi="Cambria" w:eastAsia="宋体" w:cs="Times New Roman"/>
      <w:b/>
      <w:bCs/>
      <w:sz w:val="32"/>
      <w:szCs w:val="32"/>
    </w:rPr>
  </w:style>
  <w:style w:type="character" w:customStyle="1" w:styleId="857">
    <w:name w:val="注释标题 Char1"/>
    <w:basedOn w:val="136"/>
    <w:qFormat/>
    <w:uiPriority w:val="99"/>
    <w:rPr>
      <w:sz w:val="24"/>
    </w:rPr>
  </w:style>
  <w:style w:type="character" w:customStyle="1" w:styleId="858">
    <w:name w:val="批注文字 Char2"/>
    <w:basedOn w:val="136"/>
    <w:qFormat/>
    <w:uiPriority w:val="99"/>
  </w:style>
  <w:style w:type="character" w:customStyle="1" w:styleId="859">
    <w:name w:val="批注框文本 字符1"/>
    <w:basedOn w:val="136"/>
    <w:qFormat/>
    <w:uiPriority w:val="99"/>
    <w:rPr>
      <w:rFonts w:hint="default" w:ascii="Calibri" w:hAnsi="Calibri" w:cs="Times New Roman"/>
      <w:kern w:val="2"/>
      <w:sz w:val="18"/>
      <w:szCs w:val="18"/>
    </w:rPr>
  </w:style>
  <w:style w:type="character" w:customStyle="1" w:styleId="860">
    <w:name w:val="批注框文本 Char3"/>
    <w:basedOn w:val="136"/>
    <w:qFormat/>
    <w:uiPriority w:val="0"/>
    <w:rPr>
      <w:sz w:val="18"/>
      <w:szCs w:val="18"/>
    </w:rPr>
  </w:style>
  <w:style w:type="character" w:customStyle="1" w:styleId="861">
    <w:name w:val="批注主题 Char3"/>
    <w:basedOn w:val="858"/>
    <w:qFormat/>
    <w:uiPriority w:val="0"/>
    <w:rPr>
      <w:b/>
      <w:bCs/>
    </w:rPr>
  </w:style>
  <w:style w:type="character" w:customStyle="1" w:styleId="862">
    <w:name w:val="日期 字符1"/>
    <w:basedOn w:val="136"/>
    <w:qFormat/>
    <w:uiPriority w:val="99"/>
    <w:rPr>
      <w:rFonts w:hint="eastAsia" w:ascii="仿宋" w:hAnsi="仿宋" w:eastAsia="仿宋" w:cs="Times New Roman"/>
      <w:sz w:val="32"/>
      <w:szCs w:val="24"/>
    </w:rPr>
  </w:style>
  <w:style w:type="character" w:customStyle="1" w:styleId="863">
    <w:name w:val="称呼 Char2"/>
    <w:basedOn w:val="136"/>
    <w:qFormat/>
    <w:uiPriority w:val="0"/>
    <w:rPr>
      <w:rFonts w:hint="eastAsia" w:ascii="宋体" w:hAnsi="宋体" w:eastAsia="宋体" w:cs="宋体"/>
      <w:sz w:val="24"/>
      <w:szCs w:val="24"/>
    </w:rPr>
  </w:style>
  <w:style w:type="character" w:customStyle="1" w:styleId="864">
    <w:name w:val="正文文本 (9)_"/>
    <w:basedOn w:val="136"/>
    <w:qFormat/>
    <w:uiPriority w:val="0"/>
    <w:rPr>
      <w:rFonts w:hint="eastAsia" w:ascii="MingLiU" w:hAnsi="MingLiU" w:eastAsia="MingLiU" w:cs="MingLiU"/>
      <w:spacing w:val="10"/>
      <w:sz w:val="19"/>
      <w:shd w:val="clear" w:color="auto" w:fill="FFFFFF"/>
    </w:rPr>
  </w:style>
  <w:style w:type="character" w:customStyle="1" w:styleId="865">
    <w:name w:val="正文文本缩进 2 Char2"/>
    <w:basedOn w:val="136"/>
    <w:qFormat/>
    <w:uiPriority w:val="0"/>
    <w:rPr>
      <w:rFonts w:hint="eastAsia" w:ascii="宋体" w:hAnsi="宋体" w:eastAsia="宋体" w:cs="宋体"/>
      <w:sz w:val="24"/>
      <w:szCs w:val="24"/>
    </w:rPr>
  </w:style>
  <w:style w:type="character" w:customStyle="1" w:styleId="866">
    <w:name w:val="产品手册备注 Char"/>
    <w:basedOn w:val="136"/>
    <w:qFormat/>
    <w:uiPriority w:val="0"/>
    <w:rPr>
      <w:rFonts w:hint="default" w:ascii="Arial" w:hAnsi="Arial" w:eastAsia="华文细黑" w:cs="Arial"/>
      <w:color w:val="000080"/>
      <w:sz w:val="18"/>
      <w:szCs w:val="18"/>
    </w:rPr>
  </w:style>
  <w:style w:type="character" w:customStyle="1" w:styleId="867">
    <w:name w:val="2级标题 Char Char"/>
    <w:basedOn w:val="136"/>
    <w:qFormat/>
    <w:uiPriority w:val="0"/>
    <w:rPr>
      <w:rFonts w:hint="eastAsia" w:ascii="宋体" w:hAnsi="宋体" w:eastAsia="宋体" w:cs="宋体"/>
      <w:b/>
      <w:bCs/>
      <w:sz w:val="28"/>
      <w:szCs w:val="24"/>
    </w:rPr>
  </w:style>
  <w:style w:type="character" w:customStyle="1" w:styleId="868">
    <w:name w:val="可研正文 Char"/>
    <w:basedOn w:val="136"/>
    <w:qFormat/>
    <w:uiPriority w:val="0"/>
    <w:rPr>
      <w:rFonts w:hint="eastAsia" w:ascii="宋体" w:hAnsi="宋体" w:eastAsia="宋体" w:cs="宋体"/>
      <w:sz w:val="24"/>
      <w:szCs w:val="24"/>
    </w:rPr>
  </w:style>
  <w:style w:type="character" w:customStyle="1" w:styleId="869">
    <w:name w:val="文档正文样式 Char"/>
    <w:basedOn w:val="136"/>
    <w:qFormat/>
    <w:uiPriority w:val="0"/>
    <w:rPr>
      <w:rFonts w:hint="eastAsia" w:ascii="宋体" w:hAnsi="宋体" w:eastAsia="宋体" w:cs="宋体"/>
    </w:rPr>
  </w:style>
  <w:style w:type="character" w:customStyle="1" w:styleId="870">
    <w:name w:val="4级标题 Char"/>
    <w:basedOn w:val="136"/>
    <w:qFormat/>
    <w:uiPriority w:val="0"/>
    <w:rPr>
      <w:rFonts w:hint="eastAsia" w:ascii="黑体" w:hAnsi="宋体" w:eastAsia="黑体" w:cs="黑体"/>
      <w:b/>
      <w:bCs/>
      <w:kern w:val="2"/>
      <w:sz w:val="24"/>
      <w:szCs w:val="28"/>
    </w:rPr>
  </w:style>
  <w:style w:type="character" w:customStyle="1" w:styleId="871">
    <w:name w:val="正文标准格式 Char"/>
    <w:basedOn w:val="136"/>
    <w:qFormat/>
    <w:uiPriority w:val="0"/>
    <w:rPr>
      <w:rFonts w:hint="default" w:ascii="Verdana" w:hAnsi="Verdana" w:eastAsia="华文细黑" w:cs="Verdana"/>
      <w:szCs w:val="24"/>
    </w:rPr>
  </w:style>
  <w:style w:type="character" w:customStyle="1" w:styleId="872">
    <w:name w:val="样式 小四 行距: 固定值 23 磅1 Char"/>
    <w:basedOn w:val="136"/>
    <w:qFormat/>
    <w:uiPriority w:val="0"/>
    <w:rPr>
      <w:rFonts w:hint="eastAsia" w:ascii="宋体" w:hAnsi="宋体" w:eastAsia="宋体" w:cs="宋体"/>
      <w:sz w:val="24"/>
      <w:szCs w:val="24"/>
    </w:rPr>
  </w:style>
  <w:style w:type="character" w:customStyle="1" w:styleId="873">
    <w:name w:val="项目符号1 Char"/>
    <w:basedOn w:val="136"/>
    <w:qFormat/>
    <w:uiPriority w:val="0"/>
    <w:rPr>
      <w:kern w:val="2"/>
      <w:sz w:val="24"/>
    </w:rPr>
  </w:style>
  <w:style w:type="character" w:customStyle="1" w:styleId="874">
    <w:name w:val="称呼 字符1"/>
    <w:basedOn w:val="136"/>
    <w:qFormat/>
    <w:uiPriority w:val="0"/>
    <w:rPr>
      <w:rFonts w:hint="default" w:ascii="Tahoma" w:hAnsi="Tahoma" w:eastAsia="Tahoma" w:cs="Times New Roman"/>
      <w:sz w:val="24"/>
      <w:szCs w:val="22"/>
    </w:rPr>
  </w:style>
  <w:style w:type="character" w:customStyle="1" w:styleId="875">
    <w:name w:val="标准标题3 Char"/>
    <w:basedOn w:val="136"/>
    <w:qFormat/>
    <w:uiPriority w:val="0"/>
    <w:rPr>
      <w:rFonts w:hint="eastAsia" w:ascii="黑体" w:hAnsi="宋体" w:eastAsia="黑体" w:cs="华文中宋"/>
      <w:b/>
      <w:kern w:val="2"/>
      <w:sz w:val="24"/>
      <w:szCs w:val="32"/>
    </w:rPr>
  </w:style>
  <w:style w:type="character" w:customStyle="1" w:styleId="876">
    <w:name w:val="无 A"/>
    <w:basedOn w:val="136"/>
    <w:qFormat/>
    <w:uiPriority w:val="0"/>
  </w:style>
  <w:style w:type="character" w:customStyle="1" w:styleId="877">
    <w:name w:val="正文首行缩进 Char3"/>
    <w:basedOn w:val="817"/>
    <w:qFormat/>
    <w:uiPriority w:val="0"/>
    <w:rPr>
      <w:rFonts w:hint="eastAsia" w:ascii="宋体" w:hAnsi="宋体" w:eastAsia="宋体" w:cs="宋体"/>
      <w:sz w:val="24"/>
      <w:szCs w:val="24"/>
    </w:rPr>
  </w:style>
  <w:style w:type="character" w:customStyle="1" w:styleId="878">
    <w:name w:val="样式 题注 + 黑体2 Char"/>
    <w:basedOn w:val="136"/>
    <w:qFormat/>
    <w:uiPriority w:val="0"/>
    <w:rPr>
      <w:rFonts w:hint="eastAsia" w:ascii="黑体" w:hAnsi="宋体" w:eastAsia="黑体" w:cs="Arial"/>
    </w:rPr>
  </w:style>
  <w:style w:type="character" w:customStyle="1" w:styleId="879">
    <w:name w:val="正文文本缩进 3 Char2"/>
    <w:basedOn w:val="136"/>
    <w:qFormat/>
    <w:uiPriority w:val="0"/>
    <w:rPr>
      <w:rFonts w:hint="eastAsia" w:ascii="宋体" w:hAnsi="宋体" w:eastAsia="宋体" w:cs="宋体"/>
      <w:sz w:val="16"/>
      <w:szCs w:val="16"/>
    </w:rPr>
  </w:style>
  <w:style w:type="character" w:customStyle="1" w:styleId="880">
    <w:name w:val="我的标题4 Char"/>
    <w:basedOn w:val="136"/>
    <w:qFormat/>
    <w:uiPriority w:val="0"/>
    <w:rPr>
      <w:rFonts w:hint="default" w:ascii="Arial" w:hAnsi="Arial" w:eastAsia="仿宋_GB2312" w:cs="Arial"/>
      <w:b/>
      <w:kern w:val="2"/>
      <w:sz w:val="30"/>
      <w:szCs w:val="18"/>
    </w:rPr>
  </w:style>
  <w:style w:type="character" w:customStyle="1" w:styleId="881">
    <w:name w:val="电子邮件签名 字符1"/>
    <w:basedOn w:val="136"/>
    <w:qFormat/>
    <w:uiPriority w:val="0"/>
    <w:rPr>
      <w:rFonts w:hint="default" w:ascii="Tahoma" w:hAnsi="Tahoma" w:eastAsia="Tahoma" w:cs="Times New Roman"/>
      <w:sz w:val="24"/>
      <w:szCs w:val="22"/>
    </w:rPr>
  </w:style>
  <w:style w:type="character" w:customStyle="1" w:styleId="882">
    <w:name w:val="段 Char Char Char"/>
    <w:basedOn w:val="136"/>
    <w:qFormat/>
    <w:uiPriority w:val="0"/>
    <w:rPr>
      <w:rFonts w:hint="eastAsia" w:ascii="宋体" w:hAnsi="宋体" w:eastAsia="宋体" w:cs="宋体"/>
      <w:sz w:val="21"/>
      <w:lang w:val="en-US" w:eastAsia="zh-CN" w:bidi="ar"/>
    </w:rPr>
  </w:style>
  <w:style w:type="character" w:customStyle="1" w:styleId="883">
    <w:name w:val="正文 + 首行缩进:  2 字符 段后: 7.8 磅 Char"/>
    <w:basedOn w:val="136"/>
    <w:qFormat/>
    <w:uiPriority w:val="0"/>
    <w:rPr>
      <w:rFonts w:hint="eastAsia" w:ascii="宋体" w:hAnsi="宋体" w:eastAsia="宋体" w:cs="宋体"/>
      <w:sz w:val="24"/>
      <w:szCs w:val="24"/>
    </w:rPr>
  </w:style>
  <w:style w:type="character" w:customStyle="1" w:styleId="884">
    <w:name w:val="正文（首行缩进2字符） Char"/>
    <w:basedOn w:val="136"/>
    <w:qFormat/>
    <w:uiPriority w:val="0"/>
    <w:rPr>
      <w:sz w:val="24"/>
    </w:rPr>
  </w:style>
  <w:style w:type="character" w:customStyle="1" w:styleId="885">
    <w:name w:val="正文4级（编号2级） Char"/>
    <w:basedOn w:val="136"/>
    <w:qFormat/>
    <w:uiPriority w:val="0"/>
    <w:rPr>
      <w:rFonts w:hint="eastAsia" w:ascii="宋体" w:hAnsi="宋体" w:eastAsia="宋体" w:cs="Times New Roman"/>
      <w:bCs/>
      <w:kern w:val="2"/>
      <w:sz w:val="24"/>
      <w:szCs w:val="24"/>
    </w:rPr>
  </w:style>
  <w:style w:type="character" w:customStyle="1" w:styleId="886">
    <w:name w:val="可研报告正文 Char"/>
    <w:basedOn w:val="136"/>
    <w:qFormat/>
    <w:uiPriority w:val="0"/>
    <w:rPr>
      <w:rFonts w:hint="eastAsia" w:ascii="仿宋_GB2312" w:eastAsia="仿宋_GB2312" w:cs="仿宋_GB2312"/>
      <w:sz w:val="28"/>
      <w:szCs w:val="24"/>
    </w:rPr>
  </w:style>
  <w:style w:type="character" w:customStyle="1" w:styleId="887">
    <w:name w:val="正文首行缩进 Char1"/>
    <w:basedOn w:val="718"/>
    <w:qFormat/>
    <w:uiPriority w:val="99"/>
    <w:rPr>
      <w:rFonts w:hint="default" w:ascii="Calibri" w:hAnsi="Calibri" w:cs="Times New Roman"/>
      <w:snapToGrid w:val="0"/>
      <w:sz w:val="24"/>
      <w:szCs w:val="21"/>
    </w:rPr>
  </w:style>
  <w:style w:type="character" w:customStyle="1" w:styleId="888">
    <w:name w:val="正文文本缩进 3 Char1"/>
    <w:basedOn w:val="136"/>
    <w:qFormat/>
    <w:uiPriority w:val="99"/>
    <w:rPr>
      <w:rFonts w:hint="default" w:ascii="Calibri" w:hAnsi="Calibri" w:cs="Times New Roman"/>
      <w:kern w:val="2"/>
      <w:sz w:val="16"/>
      <w:szCs w:val="16"/>
    </w:rPr>
  </w:style>
  <w:style w:type="character" w:customStyle="1" w:styleId="889">
    <w:name w:val="样式 标题 5H5PIM 5h5Level 3 - iTitre5Block Label1.1.1口Secon... Char"/>
    <w:basedOn w:val="136"/>
    <w:qFormat/>
    <w:uiPriority w:val="0"/>
    <w:rPr>
      <w:rFonts w:hint="eastAsia" w:ascii="黑体" w:hAnsi="宋体" w:eastAsia="黑体" w:cs="黑体"/>
      <w:bCs/>
      <w:sz w:val="24"/>
      <w:szCs w:val="24"/>
    </w:rPr>
  </w:style>
  <w:style w:type="character" w:customStyle="1" w:styleId="890">
    <w:name w:val="哈哈改 Char"/>
    <w:basedOn w:val="136"/>
    <w:qFormat/>
    <w:uiPriority w:val="0"/>
    <w:rPr>
      <w:rFonts w:hint="eastAsia" w:ascii="宋体" w:hAnsi="宋体" w:eastAsia="宋体" w:cs="宋体"/>
      <w:b/>
      <w:sz w:val="24"/>
    </w:rPr>
  </w:style>
  <w:style w:type="character" w:customStyle="1" w:styleId="891">
    <w:name w:val="结束语 Char1"/>
    <w:basedOn w:val="136"/>
    <w:qFormat/>
    <w:uiPriority w:val="99"/>
    <w:rPr>
      <w:sz w:val="24"/>
    </w:rPr>
  </w:style>
  <w:style w:type="character" w:customStyle="1" w:styleId="892">
    <w:name w:val="图示 Char"/>
    <w:basedOn w:val="136"/>
    <w:link w:val="893"/>
    <w:qFormat/>
    <w:uiPriority w:val="0"/>
    <w:rPr>
      <w:rFonts w:ascii="Arial" w:hAnsi="Arial" w:eastAsia="黑体" w:cs="Arial"/>
      <w:sz w:val="24"/>
      <w:szCs w:val="21"/>
    </w:rPr>
  </w:style>
  <w:style w:type="paragraph" w:customStyle="1" w:styleId="893">
    <w:name w:val="图示"/>
    <w:basedOn w:val="29"/>
    <w:link w:val="892"/>
    <w:qFormat/>
    <w:uiPriority w:val="0"/>
    <w:pPr>
      <w:spacing w:before="0"/>
    </w:pPr>
    <w:rPr>
      <w:rFonts w:ascii="Arial" w:hAnsi="Arial" w:cs="Arial"/>
      <w:kern w:val="0"/>
      <w:sz w:val="24"/>
      <w:szCs w:val="21"/>
    </w:rPr>
  </w:style>
  <w:style w:type="character" w:customStyle="1" w:styleId="894">
    <w:name w:val="深海捷正文 Char"/>
    <w:basedOn w:val="136"/>
    <w:qFormat/>
    <w:uiPriority w:val="0"/>
    <w:rPr>
      <w:rFonts w:hint="eastAsia" w:ascii="宋体" w:hAnsi="宋体" w:eastAsia="宋体" w:cs="宋体"/>
      <w:sz w:val="24"/>
      <w:szCs w:val="24"/>
    </w:rPr>
  </w:style>
  <w:style w:type="character" w:customStyle="1" w:styleId="895">
    <w:name w:val="大标题２ Char"/>
    <w:basedOn w:val="136"/>
    <w:qFormat/>
    <w:uiPriority w:val="0"/>
    <w:rPr>
      <w:sz w:val="24"/>
    </w:rPr>
  </w:style>
  <w:style w:type="character" w:customStyle="1" w:styleId="896">
    <w:name w:val="建设处文档标题2 Char"/>
    <w:basedOn w:val="136"/>
    <w:qFormat/>
    <w:uiPriority w:val="0"/>
    <w:rPr>
      <w:rFonts w:hint="default" w:ascii="Cambria" w:hAnsi="Cambria" w:eastAsia="宋体" w:cs="Times New Roman"/>
      <w:bCs/>
      <w:i/>
      <w:iCs/>
      <w:kern w:val="2"/>
      <w:sz w:val="24"/>
      <w:szCs w:val="28"/>
      <w:lang w:eastAsia="en-US" w:bidi="en-US"/>
    </w:rPr>
  </w:style>
  <w:style w:type="character" w:customStyle="1" w:styleId="897">
    <w:name w:val="列表项目符号1--嵌套文本 Char"/>
    <w:basedOn w:val="136"/>
    <w:qFormat/>
    <w:uiPriority w:val="0"/>
    <w:rPr>
      <w:szCs w:val="24"/>
    </w:rPr>
  </w:style>
  <w:style w:type="character" w:customStyle="1" w:styleId="898">
    <w:name w:val="正文6 Char"/>
    <w:basedOn w:val="136"/>
    <w:qFormat/>
    <w:uiPriority w:val="0"/>
    <w:rPr>
      <w:rFonts w:hint="eastAsia" w:ascii="等线" w:hAnsi="等线" w:eastAsia="等线" w:cs="宋体"/>
      <w:kern w:val="2"/>
      <w:sz w:val="21"/>
      <w:szCs w:val="21"/>
    </w:rPr>
  </w:style>
  <w:style w:type="character" w:customStyle="1" w:styleId="899">
    <w:name w:val="正文文本缩进 Char2"/>
    <w:basedOn w:val="136"/>
    <w:qFormat/>
    <w:uiPriority w:val="0"/>
    <w:rPr>
      <w:rFonts w:hint="default" w:ascii="Calibri" w:hAnsi="Calibri" w:cs="Times New Roman"/>
    </w:rPr>
  </w:style>
  <w:style w:type="character" w:customStyle="1" w:styleId="900">
    <w:name w:val="长威正文一级 Char"/>
    <w:basedOn w:val="136"/>
    <w:qFormat/>
    <w:uiPriority w:val="0"/>
    <w:rPr>
      <w:kern w:val="2"/>
      <w:sz w:val="24"/>
      <w:szCs w:val="24"/>
    </w:rPr>
  </w:style>
  <w:style w:type="character" w:customStyle="1" w:styleId="901">
    <w:name w:val="插图 Char"/>
    <w:basedOn w:val="136"/>
    <w:qFormat/>
    <w:uiPriority w:val="0"/>
    <w:rPr>
      <w:rFonts w:hint="eastAsia" w:ascii="黑体" w:hAnsi="宋体" w:eastAsia="黑体" w:cs="宋体"/>
      <w:bCs/>
      <w:szCs w:val="32"/>
    </w:rPr>
  </w:style>
  <w:style w:type="character" w:customStyle="1" w:styleId="902">
    <w:name w:val="样式 题注 + 仿宋_GB2312 Char"/>
    <w:basedOn w:val="136"/>
    <w:qFormat/>
    <w:uiPriority w:val="0"/>
    <w:rPr>
      <w:rFonts w:hint="eastAsia" w:ascii="黑体" w:hAnsi="仿宋_GB2312" w:eastAsia="黑体" w:cs="Arial"/>
      <w:szCs w:val="24"/>
    </w:rPr>
  </w:style>
  <w:style w:type="character" w:customStyle="1" w:styleId="903">
    <w:name w:val="哈哈标题三 Char"/>
    <w:basedOn w:val="136"/>
    <w:qFormat/>
    <w:uiPriority w:val="0"/>
    <w:rPr>
      <w:rFonts w:hint="eastAsia" w:ascii="宋体" w:hAnsi="宋体" w:eastAsia="宋体" w:cs="宋体"/>
      <w:b/>
      <w:bCs/>
      <w:sz w:val="30"/>
    </w:rPr>
  </w:style>
  <w:style w:type="character" w:customStyle="1" w:styleId="904">
    <w:name w:val="正文文本 (8)_"/>
    <w:basedOn w:val="136"/>
    <w:qFormat/>
    <w:uiPriority w:val="0"/>
    <w:rPr>
      <w:rFonts w:hint="eastAsia" w:ascii="MingLiU" w:hAnsi="MingLiU" w:eastAsia="MingLiU" w:cs="MingLiU"/>
      <w:sz w:val="18"/>
      <w:shd w:val="clear" w:color="auto" w:fill="FFFFFF"/>
    </w:rPr>
  </w:style>
  <w:style w:type="character" w:customStyle="1" w:styleId="905">
    <w:name w:val="信息标题 Char1"/>
    <w:basedOn w:val="136"/>
    <w:qFormat/>
    <w:uiPriority w:val="99"/>
    <w:rPr>
      <w:rFonts w:hint="default" w:ascii="Cambria" w:hAnsi="Cambria" w:eastAsia="宋体" w:cs="Times New Roman"/>
      <w:sz w:val="24"/>
      <w:szCs w:val="24"/>
      <w:shd w:val="pct20" w:color="auto" w:fill="auto"/>
    </w:rPr>
  </w:style>
  <w:style w:type="character" w:customStyle="1" w:styleId="906">
    <w:name w:val="题注--图片 Char"/>
    <w:basedOn w:val="136"/>
    <w:qFormat/>
    <w:uiPriority w:val="0"/>
    <w:rPr>
      <w:rFonts w:hint="eastAsia" w:ascii="宋体" w:hAnsi="宋体" w:eastAsia="宋体" w:cs="宋体"/>
      <w:sz w:val="18"/>
    </w:rPr>
  </w:style>
  <w:style w:type="character" w:customStyle="1" w:styleId="907">
    <w:name w:val="样式 样式 左 首行缩进:  2.02 字符 段前: 5 磅 段后: 5 磅 + 宋体 Char"/>
    <w:basedOn w:val="136"/>
    <w:qFormat/>
    <w:uiPriority w:val="0"/>
    <w:rPr>
      <w:rFonts w:hint="eastAsia" w:ascii="宋体" w:hAnsi="宋体" w:eastAsia="宋体" w:cs="宋体"/>
      <w:sz w:val="24"/>
    </w:rPr>
  </w:style>
  <w:style w:type="character" w:customStyle="1" w:styleId="908">
    <w:name w:val="正文文本缩进 字符1"/>
    <w:basedOn w:val="136"/>
    <w:qFormat/>
    <w:uiPriority w:val="0"/>
    <w:rPr>
      <w:kern w:val="2"/>
      <w:sz w:val="24"/>
      <w:szCs w:val="24"/>
    </w:rPr>
  </w:style>
  <w:style w:type="character" w:customStyle="1" w:styleId="909">
    <w:name w:val="项目标题 Char"/>
    <w:basedOn w:val="136"/>
    <w:qFormat/>
    <w:uiPriority w:val="0"/>
    <w:rPr>
      <w:rFonts w:hint="default" w:ascii="Arial" w:hAnsi="Arial" w:cs="宋体"/>
      <w:b/>
      <w:bCs/>
      <w:sz w:val="28"/>
      <w:szCs w:val="28"/>
    </w:rPr>
  </w:style>
  <w:style w:type="character" w:customStyle="1" w:styleId="910">
    <w:name w:val="表内容 Char Char"/>
    <w:basedOn w:val="136"/>
    <w:qFormat/>
    <w:uiPriority w:val="0"/>
    <w:rPr>
      <w:rFonts w:hint="default" w:ascii="Arial" w:hAnsi="Arial" w:cs="Arial"/>
      <w:sz w:val="24"/>
      <w:szCs w:val="24"/>
    </w:rPr>
  </w:style>
  <w:style w:type="character" w:customStyle="1" w:styleId="911">
    <w:name w:val="图形题注 Char"/>
    <w:basedOn w:val="136"/>
    <w:qFormat/>
    <w:uiPriority w:val="0"/>
    <w:rPr>
      <w:rFonts w:hint="default" w:ascii="Arial" w:hAnsi="Arial" w:cs="宋体"/>
      <w:spacing w:val="10"/>
      <w:sz w:val="24"/>
    </w:rPr>
  </w:style>
  <w:style w:type="character" w:customStyle="1" w:styleId="912">
    <w:name w:val="常用 首行缩进正文文本 Char"/>
    <w:basedOn w:val="136"/>
    <w:qFormat/>
    <w:uiPriority w:val="0"/>
    <w:rPr>
      <w:rFonts w:hint="eastAsia" w:ascii="宋体" w:hAnsi="宋体" w:eastAsia="宋体" w:cs="宋体"/>
      <w:color w:val="000000"/>
    </w:rPr>
  </w:style>
  <w:style w:type="character" w:customStyle="1" w:styleId="913">
    <w:name w:val="规范正文 Char"/>
    <w:basedOn w:val="136"/>
    <w:qFormat/>
    <w:uiPriority w:val="0"/>
    <w:rPr>
      <w:sz w:val="24"/>
    </w:rPr>
  </w:style>
  <w:style w:type="character" w:customStyle="1" w:styleId="914">
    <w:name w:val="内容11 Char"/>
    <w:basedOn w:val="136"/>
    <w:qFormat/>
    <w:uiPriority w:val="0"/>
    <w:rPr>
      <w:szCs w:val="24"/>
    </w:rPr>
  </w:style>
  <w:style w:type="character" w:customStyle="1" w:styleId="915">
    <w:name w:val="样式 首行缩进:  2 字符 Char"/>
    <w:basedOn w:val="136"/>
    <w:qFormat/>
    <w:uiPriority w:val="0"/>
  </w:style>
  <w:style w:type="character" w:customStyle="1" w:styleId="916">
    <w:name w:val="标题 3.1 Char"/>
    <w:basedOn w:val="136"/>
    <w:link w:val="917"/>
    <w:qFormat/>
    <w:uiPriority w:val="0"/>
    <w:rPr>
      <w:rFonts w:hint="eastAsia" w:ascii="宋体" w:hAnsi="宋体" w:eastAsia="宋体" w:cs="宋体"/>
    </w:rPr>
  </w:style>
  <w:style w:type="paragraph" w:customStyle="1" w:styleId="917">
    <w:name w:val="标题 3.1"/>
    <w:basedOn w:val="7"/>
    <w:link w:val="916"/>
    <w:qFormat/>
    <w:uiPriority w:val="0"/>
    <w:pPr>
      <w:keepNext/>
      <w:keepLines/>
      <w:numPr>
        <w:ilvl w:val="0"/>
        <w:numId w:val="0"/>
      </w:numPr>
      <w:tabs>
        <w:tab w:val="left" w:pos="1440"/>
        <w:tab w:val="left" w:pos="1620"/>
      </w:tabs>
      <w:spacing w:before="260" w:after="260" w:line="600" w:lineRule="exact"/>
    </w:pPr>
    <w:rPr>
      <w:rFonts w:hint="eastAsia" w:ascii="宋体" w:hAnsi="宋体" w:eastAsia="宋体" w:cs="宋体"/>
      <w:kern w:val="0"/>
      <w:sz w:val="20"/>
      <w:szCs w:val="20"/>
    </w:rPr>
  </w:style>
  <w:style w:type="character" w:customStyle="1" w:styleId="918">
    <w:name w:val="样式 题注 + (符号) 宋体 Char"/>
    <w:basedOn w:val="136"/>
    <w:qFormat/>
    <w:uiPriority w:val="0"/>
    <w:rPr>
      <w:rFonts w:hint="default" w:ascii="Arial" w:hAnsi="Arial" w:eastAsia="黑体" w:cs="Arial"/>
    </w:rPr>
  </w:style>
  <w:style w:type="character" w:customStyle="1" w:styleId="919">
    <w:name w:val="样式 题注 + 黑体1 Char"/>
    <w:basedOn w:val="136"/>
    <w:qFormat/>
    <w:uiPriority w:val="0"/>
    <w:rPr>
      <w:rFonts w:hint="eastAsia" w:ascii="黑体" w:hAnsi="宋体" w:eastAsia="黑体" w:cs="Arial"/>
    </w:rPr>
  </w:style>
  <w:style w:type="character" w:customStyle="1" w:styleId="920">
    <w:name w:val="图号 Char"/>
    <w:basedOn w:val="136"/>
    <w:qFormat/>
    <w:uiPriority w:val="0"/>
    <w:rPr>
      <w:rFonts w:hint="default" w:ascii="Arial" w:hAnsi="Arial" w:cs="Arial"/>
      <w:sz w:val="18"/>
      <w:szCs w:val="18"/>
    </w:rPr>
  </w:style>
  <w:style w:type="character" w:customStyle="1" w:styleId="921">
    <w:name w:val="1正文 Char Char"/>
    <w:basedOn w:val="136"/>
    <w:qFormat/>
    <w:uiPriority w:val="0"/>
    <w:rPr>
      <w:rFonts w:hint="eastAsia" w:ascii="仿宋_GB2312" w:hAnsi="宋体" w:eastAsia="仿宋_GB2312" w:cs="仿宋_GB2312"/>
      <w:sz w:val="24"/>
    </w:rPr>
  </w:style>
  <w:style w:type="character" w:customStyle="1" w:styleId="922">
    <w:name w:val="明显引用 字符"/>
    <w:basedOn w:val="136"/>
    <w:link w:val="923"/>
    <w:qFormat/>
    <w:uiPriority w:val="30"/>
    <w:rPr>
      <w:rFonts w:hint="eastAsia" w:ascii="仿宋_GB2312" w:eastAsia="仿宋_GB2312" w:cs="仿宋_GB2312"/>
      <w:b/>
      <w:bCs/>
      <w:i/>
      <w:iCs/>
      <w:color w:val="4F81BD"/>
      <w:sz w:val="24"/>
      <w:szCs w:val="24"/>
    </w:rPr>
  </w:style>
  <w:style w:type="paragraph" w:styleId="923">
    <w:name w:val="Intense Quote"/>
    <w:basedOn w:val="1"/>
    <w:next w:val="1"/>
    <w:link w:val="922"/>
    <w:qFormat/>
    <w:uiPriority w:val="30"/>
    <w:pPr>
      <w:widowControl/>
      <w:pBdr>
        <w:bottom w:val="single" w:color="4F81BD" w:sz="4" w:space="4"/>
      </w:pBdr>
      <w:spacing w:before="200" w:after="280" w:line="360" w:lineRule="auto"/>
      <w:ind w:left="936" w:right="936"/>
      <w:contextualSpacing/>
      <w:jc w:val="left"/>
    </w:pPr>
    <w:rPr>
      <w:rFonts w:hint="eastAsia" w:ascii="仿宋_GB2312" w:hAnsi="Times New Roman" w:eastAsia="仿宋_GB2312" w:cs="仿宋_GB2312"/>
      <w:b/>
      <w:bCs/>
      <w:i/>
      <w:iCs/>
      <w:color w:val="4F81BD"/>
      <w:kern w:val="0"/>
      <w:sz w:val="24"/>
      <w:szCs w:val="24"/>
    </w:rPr>
  </w:style>
  <w:style w:type="character" w:customStyle="1" w:styleId="924">
    <w:name w:val="明显引用 字符1"/>
    <w:basedOn w:val="136"/>
    <w:qFormat/>
    <w:uiPriority w:val="0"/>
    <w:rPr>
      <w:i/>
      <w:iCs/>
      <w:snapToGrid/>
      <w:color w:val="4F81BD"/>
      <w:sz w:val="24"/>
      <w:szCs w:val="21"/>
    </w:rPr>
  </w:style>
  <w:style w:type="character" w:customStyle="1" w:styleId="925">
    <w:name w:val="王玲-图片 Char"/>
    <w:basedOn w:val="136"/>
    <w:qFormat/>
    <w:uiPriority w:val="0"/>
    <w:rPr>
      <w:rFonts w:hint="default" w:ascii="Tahoma" w:hAnsi="Tahoma" w:eastAsia="Tahoma" w:cs="Tahoma"/>
      <w:szCs w:val="24"/>
    </w:rPr>
  </w:style>
  <w:style w:type="character" w:customStyle="1" w:styleId="926">
    <w:name w:val="样式 宋体"/>
    <w:basedOn w:val="136"/>
    <w:qFormat/>
    <w:uiPriority w:val="0"/>
  </w:style>
  <w:style w:type="character" w:customStyle="1" w:styleId="927">
    <w:name w:val="江西-正文 Char"/>
    <w:basedOn w:val="136"/>
    <w:qFormat/>
    <w:uiPriority w:val="0"/>
    <w:rPr>
      <w:rFonts w:hint="eastAsia" w:ascii="华文中宋" w:hAnsi="华文中宋" w:eastAsia="华文中宋" w:cs="华文中宋"/>
      <w:sz w:val="24"/>
      <w:szCs w:val="21"/>
    </w:rPr>
  </w:style>
  <w:style w:type="character" w:customStyle="1" w:styleId="928">
    <w:name w:val="正文首行缩进:  2 字符 Char"/>
    <w:basedOn w:val="136"/>
    <w:link w:val="929"/>
    <w:qFormat/>
    <w:uiPriority w:val="0"/>
    <w:rPr>
      <w:rFonts w:ascii="Arial" w:hAnsi="Arial" w:cs="Arial"/>
      <w:sz w:val="24"/>
      <w:szCs w:val="24"/>
    </w:rPr>
  </w:style>
  <w:style w:type="paragraph" w:customStyle="1" w:styleId="929">
    <w:name w:val="正文首行缩进:  2 字符"/>
    <w:basedOn w:val="1"/>
    <w:link w:val="928"/>
    <w:qFormat/>
    <w:uiPriority w:val="0"/>
    <w:pPr>
      <w:widowControl/>
      <w:spacing w:line="360" w:lineRule="auto"/>
      <w:ind w:firstLine="482" w:firstLineChars="200"/>
      <w:jc w:val="left"/>
    </w:pPr>
    <w:rPr>
      <w:rFonts w:ascii="Arial" w:hAnsi="Arial" w:cs="Arial"/>
      <w:kern w:val="0"/>
      <w:sz w:val="24"/>
      <w:szCs w:val="24"/>
    </w:rPr>
  </w:style>
  <w:style w:type="character" w:customStyle="1" w:styleId="930">
    <w:name w:val="样式 标题 2H22nd levelh22Header 2HeadBHeading 2 HiddenHeadin... Char"/>
    <w:basedOn w:val="136"/>
    <w:qFormat/>
    <w:uiPriority w:val="0"/>
    <w:rPr>
      <w:rFonts w:hint="eastAsia" w:ascii="宋体" w:hAnsi="宋体" w:eastAsia="宋体" w:cs="宋体"/>
      <w:b/>
      <w:sz w:val="30"/>
    </w:rPr>
  </w:style>
  <w:style w:type="character" w:customStyle="1" w:styleId="931">
    <w:name w:val="正文加粗 Char"/>
    <w:basedOn w:val="136"/>
    <w:qFormat/>
    <w:uiPriority w:val="0"/>
    <w:rPr>
      <w:rFonts w:hint="default" w:ascii="Arial" w:hAnsi="Arial" w:cs="Arial"/>
      <w:b/>
      <w:sz w:val="24"/>
    </w:rPr>
  </w:style>
  <w:style w:type="character" w:customStyle="1" w:styleId="932">
    <w:name w:val="标准段落正文 Char1"/>
    <w:basedOn w:val="136"/>
    <w:qFormat/>
    <w:uiPriority w:val="0"/>
    <w:rPr>
      <w:sz w:val="24"/>
      <w:szCs w:val="24"/>
    </w:rPr>
  </w:style>
  <w:style w:type="character" w:customStyle="1" w:styleId="933">
    <w:name w:val="上款两地分居奥斯卡的发生空间阿斯顿发生的发生的 Char"/>
    <w:basedOn w:val="136"/>
    <w:link w:val="934"/>
    <w:qFormat/>
    <w:uiPriority w:val="0"/>
    <w:rPr>
      <w:rFonts w:hint="eastAsia" w:ascii="宋体" w:hAnsi="宋体" w:eastAsia="宋体" w:cs="宋体"/>
      <w:color w:val="000000"/>
      <w:sz w:val="28"/>
      <w:szCs w:val="28"/>
    </w:rPr>
  </w:style>
  <w:style w:type="paragraph" w:customStyle="1" w:styleId="934">
    <w:name w:val="上款两地分居奥斯卡的发生空间阿斯顿发生的发生的"/>
    <w:basedOn w:val="1"/>
    <w:link w:val="933"/>
    <w:qFormat/>
    <w:uiPriority w:val="0"/>
    <w:pPr>
      <w:widowControl/>
      <w:spacing w:after="60" w:afterLines="25" w:line="500" w:lineRule="exact"/>
      <w:ind w:firstLine="630" w:firstLineChars="225"/>
      <w:jc w:val="left"/>
    </w:pPr>
    <w:rPr>
      <w:rFonts w:hint="eastAsia" w:ascii="宋体" w:hAnsi="宋体" w:eastAsia="宋体" w:cs="宋体"/>
      <w:color w:val="000000"/>
      <w:kern w:val="0"/>
      <w:sz w:val="28"/>
      <w:szCs w:val="28"/>
    </w:rPr>
  </w:style>
  <w:style w:type="character" w:customStyle="1" w:styleId="935">
    <w:name w:val="表格 字符"/>
    <w:basedOn w:val="136"/>
    <w:qFormat/>
    <w:uiPriority w:val="0"/>
    <w:rPr>
      <w:rFonts w:hint="eastAsia" w:ascii="宋体" w:hAnsi="宋体" w:eastAsia="宋体" w:cs="宋体"/>
      <w:bCs/>
      <w:kern w:val="2"/>
      <w:sz w:val="24"/>
      <w:szCs w:val="24"/>
    </w:rPr>
  </w:style>
  <w:style w:type="character" w:customStyle="1" w:styleId="936">
    <w:name w:val="GW-标题1 Char"/>
    <w:basedOn w:val="136"/>
    <w:qFormat/>
    <w:uiPriority w:val="0"/>
    <w:rPr>
      <w:rFonts w:hint="default" w:ascii="Arial" w:hAnsi="Arial" w:eastAsia="仿宋_GB2312" w:cs="Arial"/>
      <w:b/>
      <w:snapToGrid/>
      <w:sz w:val="44"/>
      <w:szCs w:val="32"/>
    </w:rPr>
  </w:style>
  <w:style w:type="character" w:customStyle="1" w:styleId="937">
    <w:name w:val="吉奥表格正文 Char"/>
    <w:basedOn w:val="136"/>
    <w:qFormat/>
    <w:uiPriority w:val="0"/>
    <w:rPr>
      <w:rFonts w:hint="eastAsia" w:ascii="仿宋_GB2312" w:eastAsia="仿宋_GB2312" w:cs="仿宋_GB2312"/>
      <w:sz w:val="24"/>
      <w:szCs w:val="21"/>
    </w:rPr>
  </w:style>
  <w:style w:type="character" w:customStyle="1" w:styleId="938">
    <w:name w:val="脚注文本 Char2"/>
    <w:basedOn w:val="136"/>
    <w:qFormat/>
    <w:uiPriority w:val="0"/>
    <w:rPr>
      <w:rFonts w:hint="eastAsia" w:ascii="宋体" w:hAnsi="宋体" w:eastAsia="宋体" w:cs="宋体"/>
      <w:sz w:val="18"/>
      <w:szCs w:val="18"/>
    </w:rPr>
  </w:style>
  <w:style w:type="character" w:customStyle="1" w:styleId="939">
    <w:name w:val="样式2 Char"/>
    <w:basedOn w:val="136"/>
    <w:qFormat/>
    <w:uiPriority w:val="0"/>
    <w:rPr>
      <w:rFonts w:hint="eastAsia" w:ascii="宋体" w:hAnsi="宋体" w:eastAsia="宋体" w:cs="宋体"/>
      <w:szCs w:val="21"/>
    </w:rPr>
  </w:style>
  <w:style w:type="character" w:customStyle="1" w:styleId="940">
    <w:name w:val="列表（符号一级）（绿盟科技） Char"/>
    <w:basedOn w:val="136"/>
    <w:link w:val="941"/>
    <w:qFormat/>
    <w:uiPriority w:val="0"/>
    <w:rPr>
      <w:rFonts w:ascii="Arial" w:hAnsi="Arial" w:cs="Arial"/>
      <w:kern w:val="2"/>
      <w:sz w:val="21"/>
      <w:szCs w:val="21"/>
    </w:rPr>
  </w:style>
  <w:style w:type="paragraph" w:customStyle="1" w:styleId="941">
    <w:name w:val="列表（符号一级）（绿盟科技）"/>
    <w:basedOn w:val="1"/>
    <w:link w:val="940"/>
    <w:qFormat/>
    <w:uiPriority w:val="0"/>
    <w:pPr>
      <w:widowControl/>
      <w:spacing w:line="300" w:lineRule="auto"/>
      <w:ind w:left="840" w:hanging="420"/>
      <w:jc w:val="left"/>
    </w:pPr>
    <w:rPr>
      <w:rFonts w:ascii="Arial" w:hAnsi="Arial" w:cs="Arial"/>
      <w:szCs w:val="21"/>
    </w:rPr>
  </w:style>
  <w:style w:type="character" w:customStyle="1" w:styleId="942">
    <w:name w:val="表格文字 Char"/>
    <w:basedOn w:val="136"/>
    <w:qFormat/>
    <w:uiPriority w:val="0"/>
    <w:rPr>
      <w:spacing w:val="10"/>
      <w:sz w:val="24"/>
      <w:szCs w:val="24"/>
    </w:rPr>
  </w:style>
  <w:style w:type="character" w:customStyle="1" w:styleId="943">
    <w:name w:val="表格非标题文字 Char"/>
    <w:basedOn w:val="136"/>
    <w:qFormat/>
    <w:uiPriority w:val="0"/>
    <w:rPr>
      <w:rFonts w:hint="eastAsia" w:ascii="Futura Bk" w:hAnsi="Futura Bk" w:eastAsia="Futura Bk" w:cs="Futura Bk"/>
      <w:sz w:val="18"/>
      <w:szCs w:val="21"/>
    </w:rPr>
  </w:style>
  <w:style w:type="character" w:customStyle="1" w:styleId="944">
    <w:name w:val="插图说明 Char"/>
    <w:basedOn w:val="136"/>
    <w:qFormat/>
    <w:uiPriority w:val="0"/>
    <w:rPr>
      <w:rFonts w:hint="eastAsia" w:ascii="宋体" w:hAnsi="宋体" w:eastAsia="黑体" w:cs="宋体"/>
      <w:sz w:val="24"/>
    </w:rPr>
  </w:style>
  <w:style w:type="character" w:customStyle="1" w:styleId="945">
    <w:name w:val="引用 字符1"/>
    <w:basedOn w:val="136"/>
    <w:qFormat/>
    <w:uiPriority w:val="0"/>
    <w:rPr>
      <w:i/>
      <w:iCs/>
      <w:snapToGrid/>
      <w:color w:val="404040"/>
      <w:sz w:val="24"/>
      <w:szCs w:val="21"/>
    </w:rPr>
  </w:style>
  <w:style w:type="character" w:customStyle="1" w:styleId="946">
    <w:name w:val="方欣正文 Char1"/>
    <w:basedOn w:val="136"/>
    <w:qFormat/>
    <w:uiPriority w:val="0"/>
    <w:rPr>
      <w:rFonts w:hint="eastAsia" w:ascii="宋体" w:hAnsi="Book Antiqua" w:eastAsia="楷体_GB2312" w:cs="宋体"/>
      <w:sz w:val="24"/>
    </w:rPr>
  </w:style>
  <w:style w:type="character" w:customStyle="1" w:styleId="947">
    <w:name w:val="样式 样式 首行缩进:  0.85 厘米 行距: 固定值 30 磅 Char + 首行缩进:  2 字符 Char1"/>
    <w:basedOn w:val="136"/>
    <w:link w:val="948"/>
    <w:qFormat/>
    <w:uiPriority w:val="0"/>
    <w:rPr>
      <w:rFonts w:hint="default" w:ascii="Arial" w:hAnsi="Arial" w:cs="Arial"/>
      <w:sz w:val="28"/>
      <w:szCs w:val="24"/>
    </w:rPr>
  </w:style>
  <w:style w:type="paragraph" w:customStyle="1" w:styleId="948">
    <w:name w:val="样式 样式 首行缩进:  0.85 厘米 行距: 固定值 30 磅 Char + 首行缩进:  2 字符"/>
    <w:basedOn w:val="1"/>
    <w:link w:val="947"/>
    <w:qFormat/>
    <w:uiPriority w:val="0"/>
    <w:pPr>
      <w:adjustRightInd w:val="0"/>
      <w:spacing w:before="100" w:line="360" w:lineRule="auto"/>
      <w:ind w:firstLine="200" w:firstLineChars="200"/>
      <w:jc w:val="left"/>
    </w:pPr>
    <w:rPr>
      <w:rFonts w:ascii="Arial" w:hAnsi="Arial" w:eastAsia="宋体" w:cs="Arial"/>
      <w:kern w:val="0"/>
      <w:sz w:val="28"/>
      <w:szCs w:val="24"/>
    </w:rPr>
  </w:style>
  <w:style w:type="character" w:customStyle="1" w:styleId="949">
    <w:name w:val="样式 首行缩进:  2.25 字符 Char"/>
    <w:basedOn w:val="136"/>
    <w:qFormat/>
    <w:uiPriority w:val="0"/>
    <w:rPr>
      <w:rFonts w:hint="eastAsia" w:ascii="宋体" w:hAnsi="宋体" w:eastAsia="宋体" w:cs="宋体"/>
    </w:rPr>
  </w:style>
  <w:style w:type="character" w:customStyle="1" w:styleId="950">
    <w:name w:val="样式34 Char Char"/>
    <w:basedOn w:val="136"/>
    <w:qFormat/>
    <w:uiPriority w:val="0"/>
    <w:rPr>
      <w:rFonts w:hint="eastAsia" w:ascii="微软雅黑" w:hAnsi="微软雅黑" w:eastAsia="微软雅黑" w:cs="微软雅黑"/>
      <w:sz w:val="24"/>
    </w:rPr>
  </w:style>
  <w:style w:type="character" w:customStyle="1" w:styleId="951">
    <w:name w:val="样式 标题 2 + (西文) Times New Roman (中文) 宋体 Char"/>
    <w:basedOn w:val="136"/>
    <w:qFormat/>
    <w:uiPriority w:val="0"/>
    <w:rPr>
      <w:rFonts w:hint="eastAsia" w:ascii="黑体" w:hAnsi="宋体" w:eastAsia="黑体" w:cs="黑体"/>
      <w:b/>
      <w:bCs/>
      <w:iCs/>
      <w:sz w:val="28"/>
      <w:szCs w:val="24"/>
    </w:rPr>
  </w:style>
  <w:style w:type="character" w:customStyle="1" w:styleId="952">
    <w:name w:val="样式 正文4级（编号2级） + (符号) Times New Roman Char"/>
    <w:basedOn w:val="136"/>
    <w:qFormat/>
    <w:uiPriority w:val="0"/>
    <w:rPr>
      <w:rFonts w:hint="eastAsia" w:ascii="仿宋_GB2312" w:eastAsia="仿宋_GB2312" w:cs="仿宋_GB2312"/>
      <w:bCs/>
      <w:kern w:val="2"/>
      <w:sz w:val="24"/>
      <w:szCs w:val="24"/>
    </w:rPr>
  </w:style>
  <w:style w:type="character" w:customStyle="1" w:styleId="953">
    <w:name w:val="二级条标题 Char1"/>
    <w:basedOn w:val="136"/>
    <w:qFormat/>
    <w:uiPriority w:val="0"/>
    <w:rPr>
      <w:rFonts w:hint="eastAsia" w:ascii="黑体" w:hAnsi="宋体" w:eastAsia="黑体" w:cs="黑体"/>
      <w:szCs w:val="24"/>
    </w:rPr>
  </w:style>
  <w:style w:type="character" w:customStyle="1" w:styleId="954">
    <w:name w:val="正文. Char"/>
    <w:basedOn w:val="136"/>
    <w:qFormat/>
    <w:uiPriority w:val="0"/>
    <w:rPr>
      <w:rFonts w:hint="default" w:ascii="Arial" w:hAnsi="Arial" w:cs="Arial"/>
      <w:szCs w:val="21"/>
    </w:rPr>
  </w:style>
  <w:style w:type="character" w:customStyle="1" w:styleId="955">
    <w:name w:val="样式 标题 2 + Arial Char"/>
    <w:basedOn w:val="136"/>
    <w:qFormat/>
    <w:uiPriority w:val="0"/>
    <w:rPr>
      <w:rFonts w:hint="default" w:ascii="Arial" w:hAnsi="Arial" w:eastAsia="黑体" w:cs="Arial"/>
      <w:sz w:val="30"/>
      <w:szCs w:val="30"/>
    </w:rPr>
  </w:style>
  <w:style w:type="character" w:customStyle="1" w:styleId="956">
    <w:name w:val="样式11 Char"/>
    <w:basedOn w:val="136"/>
    <w:qFormat/>
    <w:uiPriority w:val="0"/>
    <w:rPr>
      <w:rFonts w:hint="eastAsia" w:ascii="宋体" w:hAnsi="宋体" w:eastAsia="宋体" w:cs="宋体"/>
      <w:kern w:val="2"/>
      <w:sz w:val="24"/>
      <w:szCs w:val="22"/>
    </w:rPr>
  </w:style>
  <w:style w:type="character" w:customStyle="1" w:styleId="957">
    <w:name w:val="正文文本 + 4 pt"/>
    <w:basedOn w:val="136"/>
    <w:qFormat/>
    <w:uiPriority w:val="0"/>
    <w:rPr>
      <w:rFonts w:hint="eastAsia" w:ascii="MingLiU" w:hAnsi="MingLiU" w:eastAsia="MingLiU" w:cs="MingLiU"/>
      <w:sz w:val="8"/>
      <w:szCs w:val="8"/>
      <w:shd w:val="clear" w:color="auto" w:fill="FFFFFF"/>
    </w:rPr>
  </w:style>
  <w:style w:type="character" w:customStyle="1" w:styleId="958">
    <w:name w:val="样式 小四 段前: 3 磅 段后: 3 磅 行距: 1.5 倍行距 Char"/>
    <w:basedOn w:val="136"/>
    <w:qFormat/>
    <w:uiPriority w:val="0"/>
    <w:rPr>
      <w:sz w:val="24"/>
    </w:rPr>
  </w:style>
  <w:style w:type="character" w:customStyle="1" w:styleId="959">
    <w:name w:val="正文图标题 Char"/>
    <w:basedOn w:val="136"/>
    <w:qFormat/>
    <w:uiPriority w:val="0"/>
    <w:rPr>
      <w:rFonts w:hint="eastAsia" w:ascii="黑体" w:hAnsi="宋体" w:eastAsia="黑体" w:cs="黑体"/>
      <w:kern w:val="2"/>
      <w:sz w:val="21"/>
      <w:szCs w:val="22"/>
    </w:rPr>
  </w:style>
  <w:style w:type="character" w:customStyle="1" w:styleId="960">
    <w:name w:val="一级标题 Char"/>
    <w:basedOn w:val="136"/>
    <w:qFormat/>
    <w:uiPriority w:val="0"/>
    <w:rPr>
      <w:rFonts w:hint="eastAsia" w:ascii="黑体" w:hAnsi="宋体" w:eastAsia="黑体" w:cs="黑体"/>
      <w:b/>
      <w:sz w:val="30"/>
    </w:rPr>
  </w:style>
  <w:style w:type="character" w:customStyle="1" w:styleId="961">
    <w:name w:val="正文文本 (5)_"/>
    <w:basedOn w:val="136"/>
    <w:qFormat/>
    <w:uiPriority w:val="0"/>
    <w:rPr>
      <w:rFonts w:hint="eastAsia" w:ascii="MingLiU" w:hAnsi="MingLiU" w:eastAsia="MingLiU" w:cs="MingLiU"/>
      <w:sz w:val="16"/>
      <w:shd w:val="clear" w:color="auto" w:fill="FFFFFF"/>
      <w:lang w:eastAsia="en-US"/>
    </w:rPr>
  </w:style>
  <w:style w:type="character" w:customStyle="1" w:styleId="962">
    <w:name w:val="正文－缩进 Char Char"/>
    <w:basedOn w:val="136"/>
    <w:qFormat/>
    <w:uiPriority w:val="0"/>
    <w:rPr>
      <w:sz w:val="24"/>
    </w:rPr>
  </w:style>
  <w:style w:type="character" w:customStyle="1" w:styleId="963">
    <w:name w:val="表样式 Char"/>
    <w:basedOn w:val="136"/>
    <w:qFormat/>
    <w:uiPriority w:val="0"/>
    <w:rPr>
      <w:rFonts w:hint="default" w:ascii="Arial" w:hAnsi="Arial" w:cs="Arial"/>
      <w:sz w:val="18"/>
      <w:szCs w:val="18"/>
    </w:rPr>
  </w:style>
  <w:style w:type="character" w:customStyle="1" w:styleId="964">
    <w:name w:val="宏文本 字符1"/>
    <w:basedOn w:val="136"/>
    <w:qFormat/>
    <w:uiPriority w:val="99"/>
    <w:rPr>
      <w:rFonts w:hint="default" w:ascii="Courier New" w:hAnsi="Courier New" w:cs="Courier New"/>
      <w:sz w:val="24"/>
      <w:szCs w:val="24"/>
    </w:rPr>
  </w:style>
  <w:style w:type="character" w:customStyle="1" w:styleId="965">
    <w:name w:val="脚注文本 Char1"/>
    <w:basedOn w:val="136"/>
    <w:qFormat/>
    <w:uiPriority w:val="99"/>
    <w:rPr>
      <w:sz w:val="18"/>
      <w:szCs w:val="18"/>
    </w:rPr>
  </w:style>
  <w:style w:type="character" w:customStyle="1" w:styleId="966">
    <w:name w:val="脚注文本 字符1"/>
    <w:basedOn w:val="136"/>
    <w:qFormat/>
    <w:uiPriority w:val="99"/>
    <w:rPr>
      <w:rFonts w:hint="default" w:ascii="Tahoma" w:hAnsi="Tahoma" w:eastAsia="Tahoma" w:cs="Times New Roman"/>
      <w:sz w:val="18"/>
      <w:szCs w:val="18"/>
    </w:rPr>
  </w:style>
  <w:style w:type="character" w:customStyle="1" w:styleId="967">
    <w:name w:val="样式 样式 标题 1 + 居中 + Arial Char"/>
    <w:basedOn w:val="136"/>
    <w:qFormat/>
    <w:uiPriority w:val="0"/>
    <w:rPr>
      <w:rFonts w:hint="default" w:ascii="Arial" w:hAnsi="Arial" w:cs="Arial"/>
      <w:b/>
      <w:bCs/>
      <w:kern w:val="44"/>
      <w:sz w:val="32"/>
    </w:rPr>
  </w:style>
  <w:style w:type="character" w:customStyle="1" w:styleId="968">
    <w:name w:val="列表项目符号2--嵌套文本 Char"/>
    <w:basedOn w:val="136"/>
    <w:qFormat/>
    <w:uiPriority w:val="0"/>
    <w:rPr>
      <w:szCs w:val="24"/>
    </w:rPr>
  </w:style>
  <w:style w:type="character" w:customStyle="1" w:styleId="969">
    <w:name w:val="常规 Char"/>
    <w:basedOn w:val="136"/>
    <w:qFormat/>
    <w:uiPriority w:val="0"/>
    <w:rPr>
      <w:szCs w:val="21"/>
    </w:rPr>
  </w:style>
  <w:style w:type="character" w:customStyle="1" w:styleId="970">
    <w:name w:val="项目符号 Char Char"/>
    <w:basedOn w:val="136"/>
    <w:qFormat/>
    <w:uiPriority w:val="0"/>
    <w:rPr>
      <w:rFonts w:hint="eastAsia" w:ascii="仿宋_GB2312" w:eastAsia="仿宋_GB2312" w:cs="仿宋_GB2312"/>
      <w:bCs/>
      <w:color w:val="000000"/>
      <w:spacing w:val="10"/>
      <w:kern w:val="2"/>
      <w:sz w:val="28"/>
      <w:szCs w:val="22"/>
    </w:rPr>
  </w:style>
  <w:style w:type="character" w:customStyle="1" w:styleId="971">
    <w:name w:val="2节标题 Char Char"/>
    <w:basedOn w:val="136"/>
    <w:qFormat/>
    <w:uiPriority w:val="0"/>
    <w:rPr>
      <w:rFonts w:hint="eastAsia" w:ascii="楷体_GB2312" w:hAnsi="宋体" w:eastAsia="楷体_GB2312" w:cs="楷体_GB2312"/>
      <w:color w:val="000000"/>
      <w:sz w:val="28"/>
    </w:rPr>
  </w:style>
  <w:style w:type="character" w:customStyle="1" w:styleId="972">
    <w:name w:val="正文首行缩进 2 Char1"/>
    <w:basedOn w:val="136"/>
    <w:qFormat/>
    <w:uiPriority w:val="99"/>
    <w:rPr>
      <w:rFonts w:hint="default" w:ascii="Calibri" w:hAnsi="Calibri" w:cs="Calibri"/>
      <w:b/>
      <w:bCs/>
      <w:kern w:val="2"/>
      <w:sz w:val="24"/>
    </w:rPr>
  </w:style>
  <w:style w:type="character" w:customStyle="1" w:styleId="973">
    <w:name w:val="样式 建设处文档标题2 + 黑色 Char"/>
    <w:basedOn w:val="136"/>
    <w:qFormat/>
    <w:uiPriority w:val="0"/>
    <w:rPr>
      <w:rFonts w:hint="default" w:ascii="Cambria" w:hAnsi="Cambria" w:eastAsia="Cambria" w:cs="Cambria"/>
      <w:bCs/>
      <w:i/>
      <w:iCs/>
      <w:sz w:val="24"/>
      <w:szCs w:val="28"/>
      <w:lang w:eastAsia="en-US" w:bidi="en-US"/>
    </w:rPr>
  </w:style>
  <w:style w:type="character" w:customStyle="1" w:styleId="974">
    <w:name w:val="项目 Char1"/>
    <w:basedOn w:val="136"/>
    <w:qFormat/>
    <w:uiPriority w:val="0"/>
    <w:rPr>
      <w:rFonts w:hint="eastAsia" w:ascii="宋体" w:hAnsi="宋体" w:eastAsia="宋体" w:cs="宋体"/>
      <w:b/>
      <w:sz w:val="24"/>
      <w:szCs w:val="24"/>
    </w:rPr>
  </w:style>
  <w:style w:type="character" w:customStyle="1" w:styleId="975">
    <w:name w:val="测试样式 Char"/>
    <w:basedOn w:val="136"/>
    <w:link w:val="976"/>
    <w:qFormat/>
    <w:uiPriority w:val="0"/>
    <w:rPr>
      <w:rFonts w:hint="eastAsia" w:ascii="宋体" w:hAnsi="宋体" w:eastAsia="宋体" w:cs="宋体"/>
      <w:color w:val="000000"/>
      <w:sz w:val="28"/>
      <w:szCs w:val="28"/>
    </w:rPr>
  </w:style>
  <w:style w:type="paragraph" w:customStyle="1" w:styleId="976">
    <w:name w:val="测试样式"/>
    <w:basedOn w:val="1"/>
    <w:next w:val="1"/>
    <w:link w:val="975"/>
    <w:qFormat/>
    <w:uiPriority w:val="0"/>
    <w:pPr>
      <w:widowControl/>
      <w:spacing w:after="60" w:afterLines="25" w:line="500" w:lineRule="exact"/>
      <w:ind w:firstLine="630" w:firstLineChars="225"/>
      <w:jc w:val="left"/>
    </w:pPr>
    <w:rPr>
      <w:rFonts w:hint="eastAsia" w:ascii="宋体" w:hAnsi="宋体" w:eastAsia="宋体" w:cs="宋体"/>
      <w:color w:val="000000"/>
      <w:kern w:val="0"/>
      <w:sz w:val="28"/>
      <w:szCs w:val="28"/>
    </w:rPr>
  </w:style>
  <w:style w:type="character" w:customStyle="1" w:styleId="977">
    <w:name w:val="3节标题 Char"/>
    <w:basedOn w:val="136"/>
    <w:qFormat/>
    <w:uiPriority w:val="0"/>
  </w:style>
  <w:style w:type="character" w:customStyle="1" w:styleId="978">
    <w:name w:val="正文首行缩进 2 字符1"/>
    <w:basedOn w:val="136"/>
    <w:qFormat/>
    <w:uiPriority w:val="0"/>
    <w:rPr>
      <w:kern w:val="2"/>
      <w:sz w:val="21"/>
      <w:szCs w:val="24"/>
    </w:rPr>
  </w:style>
  <w:style w:type="character" w:customStyle="1" w:styleId="979">
    <w:name w:val="正文标准 Char"/>
    <w:basedOn w:val="136"/>
    <w:qFormat/>
    <w:uiPriority w:val="0"/>
    <w:rPr>
      <w:sz w:val="24"/>
      <w:szCs w:val="21"/>
    </w:rPr>
  </w:style>
  <w:style w:type="character" w:customStyle="1" w:styleId="980">
    <w:name w:val="样式 标题 2 + (西文) 宋体 Char"/>
    <w:basedOn w:val="136"/>
    <w:qFormat/>
    <w:uiPriority w:val="0"/>
    <w:rPr>
      <w:rFonts w:hint="default" w:ascii="Arial" w:hAnsi="Arial" w:eastAsia="黑体" w:cs="Arial"/>
      <w:b/>
      <w:sz w:val="32"/>
    </w:rPr>
  </w:style>
  <w:style w:type="character" w:customStyle="1" w:styleId="981">
    <w:name w:val="正文缩进2格 Char"/>
    <w:basedOn w:val="136"/>
    <w:qFormat/>
    <w:uiPriority w:val="0"/>
    <w:rPr>
      <w:rFonts w:hint="eastAsia" w:ascii="仿宋_GB2312" w:hAnsi="宋体" w:eastAsia="仿宋_GB2312" w:cs="仿宋_GB2312"/>
      <w:sz w:val="31"/>
      <w:szCs w:val="28"/>
    </w:rPr>
  </w:style>
  <w:style w:type="character" w:customStyle="1" w:styleId="982">
    <w:name w:val="正文A Char"/>
    <w:basedOn w:val="136"/>
    <w:qFormat/>
    <w:uiPriority w:val="0"/>
    <w:rPr>
      <w:rFonts w:hint="eastAsia" w:ascii="仿宋_GB2312" w:eastAsia="仿宋_GB2312" w:cs="仿宋_GB2312"/>
      <w:kern w:val="36"/>
      <w:sz w:val="28"/>
    </w:rPr>
  </w:style>
  <w:style w:type="character" w:customStyle="1" w:styleId="983">
    <w:name w:val="样式 标题 4 + 黑色 Char"/>
    <w:basedOn w:val="136"/>
    <w:qFormat/>
    <w:uiPriority w:val="0"/>
    <w:rPr>
      <w:rFonts w:hint="default" w:ascii="Arial" w:hAnsi="Arial" w:cs="Arial"/>
      <w:b/>
      <w:color w:val="000000"/>
      <w:sz w:val="24"/>
    </w:rPr>
  </w:style>
  <w:style w:type="character" w:customStyle="1" w:styleId="984">
    <w:name w:val="样式 首行缩进:  2 字符5 Char"/>
    <w:basedOn w:val="136"/>
    <w:qFormat/>
    <w:uiPriority w:val="0"/>
    <w:rPr>
      <w:sz w:val="24"/>
    </w:rPr>
  </w:style>
  <w:style w:type="character" w:customStyle="1" w:styleId="985">
    <w:name w:val="投标文件 正文首行缩进 Char"/>
    <w:basedOn w:val="136"/>
    <w:qFormat/>
    <w:uiPriority w:val="0"/>
    <w:rPr>
      <w:rFonts w:hint="default" w:ascii="Arial" w:hAnsi="Arial" w:cs="Arial"/>
      <w:szCs w:val="24"/>
    </w:rPr>
  </w:style>
  <w:style w:type="character" w:customStyle="1" w:styleId="986">
    <w:name w:val="正文首行缩进（绿盟科技） Char"/>
    <w:basedOn w:val="136"/>
    <w:link w:val="987"/>
    <w:qFormat/>
    <w:uiPriority w:val="0"/>
    <w:rPr>
      <w:rFonts w:ascii="Arial" w:hAnsi="Arial" w:cs="Arial"/>
      <w:szCs w:val="21"/>
    </w:rPr>
  </w:style>
  <w:style w:type="paragraph" w:customStyle="1" w:styleId="987">
    <w:name w:val="正文首行缩进（绿盟科技）"/>
    <w:basedOn w:val="1"/>
    <w:link w:val="986"/>
    <w:qFormat/>
    <w:uiPriority w:val="0"/>
    <w:pPr>
      <w:widowControl/>
      <w:spacing w:after="50" w:line="300" w:lineRule="auto"/>
      <w:ind w:firstLine="200" w:firstLineChars="200"/>
      <w:jc w:val="left"/>
    </w:pPr>
    <w:rPr>
      <w:rFonts w:ascii="Arial" w:hAnsi="Arial" w:cs="Arial"/>
      <w:kern w:val="0"/>
      <w:sz w:val="20"/>
      <w:szCs w:val="21"/>
    </w:rPr>
  </w:style>
  <w:style w:type="character" w:customStyle="1" w:styleId="988">
    <w:name w:val="批注文字 Char3"/>
    <w:basedOn w:val="136"/>
    <w:qFormat/>
    <w:uiPriority w:val="0"/>
    <w:rPr>
      <w:rFonts w:hint="eastAsia" w:ascii="宋体" w:hAnsi="宋体" w:eastAsia="宋体" w:cs="宋体"/>
      <w:sz w:val="24"/>
      <w:szCs w:val="24"/>
    </w:rPr>
  </w:style>
  <w:style w:type="character" w:customStyle="1" w:styleId="989">
    <w:name w:val="图片格式 Char"/>
    <w:basedOn w:val="136"/>
    <w:qFormat/>
    <w:uiPriority w:val="0"/>
    <w:rPr>
      <w:rFonts w:hint="default" w:ascii="Calibri" w:hAnsi="Calibri" w:cs="Calibri"/>
      <w:szCs w:val="21"/>
    </w:rPr>
  </w:style>
  <w:style w:type="character" w:customStyle="1" w:styleId="990">
    <w:name w:val="注释标题 Char2"/>
    <w:basedOn w:val="136"/>
    <w:qFormat/>
    <w:uiPriority w:val="0"/>
    <w:rPr>
      <w:rFonts w:hint="eastAsia" w:ascii="宋体" w:hAnsi="宋体" w:eastAsia="宋体" w:cs="宋体"/>
      <w:sz w:val="24"/>
      <w:szCs w:val="24"/>
    </w:rPr>
  </w:style>
  <w:style w:type="character" w:customStyle="1" w:styleId="991">
    <w:name w:val="标题 2 字符1"/>
    <w:basedOn w:val="136"/>
    <w:qFormat/>
    <w:uiPriority w:val="0"/>
    <w:rPr>
      <w:b/>
      <w:kern w:val="2"/>
      <w:sz w:val="30"/>
    </w:rPr>
  </w:style>
  <w:style w:type="character" w:customStyle="1" w:styleId="992">
    <w:name w:val="标题 六 Char"/>
    <w:basedOn w:val="136"/>
    <w:link w:val="993"/>
    <w:qFormat/>
    <w:uiPriority w:val="0"/>
    <w:rPr>
      <w:rFonts w:ascii="Cambria" w:hAnsi="Cambria" w:eastAsia="Cambria" w:cs="Cambria"/>
      <w:b/>
      <w:bCs/>
      <w:kern w:val="2"/>
      <w:sz w:val="24"/>
      <w:szCs w:val="24"/>
    </w:rPr>
  </w:style>
  <w:style w:type="paragraph" w:customStyle="1" w:styleId="993">
    <w:name w:val="标题 六"/>
    <w:basedOn w:val="15"/>
    <w:link w:val="992"/>
    <w:qFormat/>
    <w:uiPriority w:val="0"/>
    <w:pPr>
      <w:spacing w:before="240" w:after="64" w:line="320" w:lineRule="auto"/>
      <w:ind w:left="1152" w:hanging="1152"/>
    </w:pPr>
    <w:rPr>
      <w:rFonts w:ascii="Cambria" w:hAnsi="Cambria" w:eastAsia="Cambria" w:cs="Cambria"/>
      <w:sz w:val="24"/>
    </w:rPr>
  </w:style>
  <w:style w:type="character" w:customStyle="1" w:styleId="994">
    <w:name w:val="电子邮件签名 Char2"/>
    <w:basedOn w:val="136"/>
    <w:qFormat/>
    <w:uiPriority w:val="0"/>
    <w:rPr>
      <w:rFonts w:hint="eastAsia" w:ascii="宋体" w:hAnsi="宋体" w:eastAsia="宋体" w:cs="宋体"/>
      <w:sz w:val="24"/>
      <w:szCs w:val="24"/>
    </w:rPr>
  </w:style>
  <w:style w:type="character" w:customStyle="1" w:styleId="995">
    <w:name w:val="缩进正文 Char Char"/>
    <w:basedOn w:val="136"/>
    <w:qFormat/>
    <w:uiPriority w:val="0"/>
    <w:rPr>
      <w:bCs/>
      <w:kern w:val="2"/>
      <w:sz w:val="24"/>
      <w:szCs w:val="24"/>
    </w:rPr>
  </w:style>
  <w:style w:type="character" w:customStyle="1" w:styleId="996">
    <w:name w:val="标题14"/>
    <w:basedOn w:val="136"/>
    <w:qFormat/>
    <w:uiPriority w:val="0"/>
    <w:rPr>
      <w:rFonts w:hint="default" w:ascii="Verdana" w:hAnsi="Verdana" w:eastAsia="仿宋_GB2312" w:cs="Verdana"/>
      <w:sz w:val="24"/>
      <w:lang w:val="en-US" w:eastAsia="en-US" w:bidi="ar"/>
    </w:rPr>
  </w:style>
  <w:style w:type="character" w:customStyle="1" w:styleId="997">
    <w:name w:val="页眉或页脚"/>
    <w:basedOn w:val="136"/>
    <w:qFormat/>
    <w:uiPriority w:val="0"/>
    <w:rPr>
      <w:rFonts w:hint="eastAsia" w:ascii="宋体" w:hAnsi="宋体" w:eastAsia="宋体" w:cs="宋体"/>
      <w:u w:val="none"/>
    </w:rPr>
  </w:style>
  <w:style w:type="character" w:customStyle="1" w:styleId="998">
    <w:name w:val="标题 4 Char2"/>
    <w:basedOn w:val="136"/>
    <w:qFormat/>
    <w:uiPriority w:val="0"/>
    <w:rPr>
      <w:rFonts w:hint="default" w:ascii="Arial" w:hAnsi="Arial" w:cs="Arial"/>
      <w:b/>
      <w:bCs/>
      <w:color w:val="000000"/>
      <w:kern w:val="2"/>
      <w:sz w:val="24"/>
      <w:szCs w:val="24"/>
    </w:rPr>
  </w:style>
  <w:style w:type="character" w:customStyle="1" w:styleId="999">
    <w:name w:val="正文样式1 Char Char"/>
    <w:basedOn w:val="136"/>
    <w:qFormat/>
    <w:uiPriority w:val="0"/>
    <w:rPr>
      <w:rFonts w:hint="eastAsia" w:ascii="微软雅黑" w:hAnsi="微软雅黑" w:eastAsia="微软雅黑" w:cs="微软雅黑"/>
      <w:snapToGrid/>
      <w:color w:val="000000"/>
      <w:sz w:val="24"/>
      <w:szCs w:val="24"/>
    </w:rPr>
  </w:style>
  <w:style w:type="character" w:customStyle="1" w:styleId="1000">
    <w:name w:val="正文 首行缩进2字符 Char Char Char"/>
    <w:basedOn w:val="136"/>
    <w:qFormat/>
    <w:uiPriority w:val="0"/>
    <w:rPr>
      <w:rFonts w:hint="eastAsia" w:ascii="宋体" w:hAnsi="宋体" w:eastAsia="宋体" w:cs="宋体"/>
      <w:kern w:val="2"/>
      <w:sz w:val="24"/>
      <w:szCs w:val="24"/>
      <w:lang w:val="en-US" w:eastAsia="zh-CN" w:bidi="ar"/>
    </w:rPr>
  </w:style>
  <w:style w:type="character" w:customStyle="1" w:styleId="1001">
    <w:name w:val="标题 6 Char1"/>
    <w:basedOn w:val="136"/>
    <w:qFormat/>
    <w:uiPriority w:val="9"/>
    <w:rPr>
      <w:rFonts w:hint="eastAsia" w:ascii="等线 Light" w:hAnsi="等线 Light" w:eastAsia="等线 Light" w:cs="Times New Roman"/>
      <w:b/>
      <w:bCs/>
      <w:kern w:val="2"/>
      <w:sz w:val="24"/>
      <w:szCs w:val="24"/>
    </w:rPr>
  </w:style>
  <w:style w:type="character" w:customStyle="1" w:styleId="1002">
    <w:name w:val="正文首行缩进 2 Char2"/>
    <w:basedOn w:val="899"/>
    <w:qFormat/>
    <w:uiPriority w:val="0"/>
    <w:rPr>
      <w:rFonts w:hint="default" w:ascii="Calibri" w:hAnsi="Calibri" w:eastAsia="宋体" w:cs="Times New Roman"/>
      <w:sz w:val="24"/>
      <w:szCs w:val="24"/>
    </w:rPr>
  </w:style>
  <w:style w:type="character" w:customStyle="1" w:styleId="1003">
    <w:name w:val="结束语 Char2"/>
    <w:basedOn w:val="136"/>
    <w:qFormat/>
    <w:uiPriority w:val="0"/>
    <w:rPr>
      <w:rFonts w:hint="eastAsia" w:ascii="宋体" w:hAnsi="宋体" w:eastAsia="宋体" w:cs="宋体"/>
      <w:sz w:val="24"/>
      <w:szCs w:val="24"/>
    </w:rPr>
  </w:style>
  <w:style w:type="character" w:customStyle="1" w:styleId="1004">
    <w:name w:val="正文文本 2 Char2"/>
    <w:basedOn w:val="136"/>
    <w:qFormat/>
    <w:uiPriority w:val="0"/>
    <w:rPr>
      <w:rFonts w:hint="eastAsia" w:ascii="宋体" w:hAnsi="宋体" w:eastAsia="宋体" w:cs="宋体"/>
      <w:sz w:val="24"/>
      <w:szCs w:val="24"/>
    </w:rPr>
  </w:style>
  <w:style w:type="character" w:customStyle="1" w:styleId="1005">
    <w:name w:val="纯文本 Char3"/>
    <w:basedOn w:val="136"/>
    <w:qFormat/>
    <w:uiPriority w:val="0"/>
    <w:rPr>
      <w:rFonts w:hint="eastAsia" w:ascii="宋体" w:hAnsi="Courier New" w:eastAsia="宋体" w:cs="Courier New"/>
      <w:szCs w:val="21"/>
    </w:rPr>
  </w:style>
  <w:style w:type="character" w:customStyle="1" w:styleId="1006">
    <w:name w:val="尾注文本 Char2"/>
    <w:basedOn w:val="136"/>
    <w:qFormat/>
    <w:uiPriority w:val="0"/>
    <w:rPr>
      <w:rFonts w:hint="eastAsia" w:ascii="宋体" w:hAnsi="宋体" w:eastAsia="宋体" w:cs="宋体"/>
      <w:sz w:val="24"/>
      <w:szCs w:val="24"/>
    </w:rPr>
  </w:style>
  <w:style w:type="character" w:customStyle="1" w:styleId="1007">
    <w:name w:val="签名 Char2"/>
    <w:basedOn w:val="136"/>
    <w:qFormat/>
    <w:uiPriority w:val="0"/>
    <w:rPr>
      <w:rFonts w:hint="eastAsia" w:ascii="宋体" w:hAnsi="宋体" w:eastAsia="宋体" w:cs="宋体"/>
      <w:sz w:val="24"/>
      <w:szCs w:val="24"/>
    </w:rPr>
  </w:style>
  <w:style w:type="character" w:customStyle="1" w:styleId="1008">
    <w:name w:val="信息标题 Char2"/>
    <w:basedOn w:val="136"/>
    <w:qFormat/>
    <w:uiPriority w:val="0"/>
    <w:rPr>
      <w:rFonts w:hint="default" w:ascii="Cambria" w:hAnsi="Cambria" w:eastAsia="宋体" w:cs="Times New Roman"/>
      <w:sz w:val="24"/>
      <w:szCs w:val="24"/>
      <w:shd w:val="pct20" w:color="auto" w:fill="auto"/>
    </w:rPr>
  </w:style>
  <w:style w:type="character" w:customStyle="1" w:styleId="1009">
    <w:name w:val="标题 #2 + Calibri"/>
    <w:basedOn w:val="136"/>
    <w:qFormat/>
    <w:uiPriority w:val="0"/>
    <w:rPr>
      <w:rFonts w:hint="default" w:ascii="Calibri" w:hAnsi="Calibri" w:eastAsia="宋体" w:cs="Calibri"/>
      <w:spacing w:val="-10"/>
      <w:sz w:val="34"/>
      <w:szCs w:val="34"/>
      <w:shd w:val="clear" w:color="auto" w:fill="FFFFFF"/>
      <w:lang w:val="en-US" w:eastAsia="en-US"/>
    </w:rPr>
  </w:style>
  <w:style w:type="character" w:customStyle="1" w:styleId="1010">
    <w:name w:val="序号三级 Char"/>
    <w:basedOn w:val="136"/>
    <w:qFormat/>
    <w:uiPriority w:val="0"/>
    <w:rPr>
      <w:kern w:val="2"/>
      <w:sz w:val="24"/>
      <w:szCs w:val="22"/>
    </w:rPr>
  </w:style>
  <w:style w:type="character" w:customStyle="1" w:styleId="1011">
    <w:name w:val="正文首行缩进 2 字符2"/>
    <w:basedOn w:val="136"/>
    <w:qFormat/>
    <w:uiPriority w:val="0"/>
  </w:style>
  <w:style w:type="character" w:customStyle="1" w:styleId="1012">
    <w:name w:val="样式 黑体 二号 加粗"/>
    <w:basedOn w:val="136"/>
    <w:qFormat/>
    <w:uiPriority w:val="0"/>
    <w:rPr>
      <w:rFonts w:hint="eastAsia" w:ascii="黑体" w:hAnsi="宋体" w:eastAsia="黑体" w:cs="黑体"/>
      <w:b/>
      <w:bCs/>
      <w:sz w:val="44"/>
    </w:rPr>
  </w:style>
  <w:style w:type="character" w:customStyle="1" w:styleId="1013">
    <w:name w:val="正文文本 (7)"/>
    <w:basedOn w:val="136"/>
    <w:qFormat/>
    <w:uiPriority w:val="0"/>
    <w:rPr>
      <w:rFonts w:hint="eastAsia" w:ascii="宋体" w:hAnsi="宋体" w:eastAsia="宋体" w:cs="宋体"/>
      <w:sz w:val="23"/>
      <w:szCs w:val="23"/>
      <w:shd w:val="clear" w:color="auto" w:fill="FFFFFF"/>
      <w:lang w:val="en-US" w:eastAsia="en-US"/>
    </w:rPr>
  </w:style>
  <w:style w:type="character" w:customStyle="1" w:styleId="1014">
    <w:name w:val="正文小四 Char Char"/>
    <w:basedOn w:val="136"/>
    <w:link w:val="1015"/>
    <w:qFormat/>
    <w:uiPriority w:val="0"/>
    <w:rPr>
      <w:kern w:val="2"/>
      <w:sz w:val="18"/>
      <w:szCs w:val="18"/>
    </w:rPr>
  </w:style>
  <w:style w:type="paragraph" w:customStyle="1" w:styleId="1015">
    <w:name w:val="正文小四"/>
    <w:basedOn w:val="1"/>
    <w:link w:val="1014"/>
    <w:qFormat/>
    <w:uiPriority w:val="0"/>
    <w:pPr>
      <w:spacing w:before="156" w:after="156" w:line="360" w:lineRule="auto"/>
      <w:ind w:firstLine="480" w:firstLineChars="200"/>
      <w:jc w:val="left"/>
    </w:pPr>
    <w:rPr>
      <w:sz w:val="18"/>
      <w:szCs w:val="18"/>
    </w:rPr>
  </w:style>
  <w:style w:type="character" w:customStyle="1" w:styleId="1016">
    <w:name w:val="带缩进的正文 Char"/>
    <w:basedOn w:val="136"/>
    <w:qFormat/>
    <w:uiPriority w:val="0"/>
    <w:rPr>
      <w:rFonts w:hint="default" w:ascii="Calibri" w:hAnsi="Calibri" w:cs="Calibri"/>
      <w:kern w:val="2"/>
      <w:sz w:val="24"/>
      <w:szCs w:val="22"/>
    </w:rPr>
  </w:style>
  <w:style w:type="character" w:customStyle="1" w:styleId="1017">
    <w:name w:val="样式 number1 + (符号) 宋体 Char"/>
    <w:basedOn w:val="136"/>
    <w:qFormat/>
    <w:uiPriority w:val="0"/>
    <w:rPr>
      <w:rFonts w:hint="default" w:ascii="Arial" w:hAnsi="Arial" w:cs="Arial"/>
      <w:bCs/>
      <w:kern w:val="2"/>
      <w:sz w:val="24"/>
      <w:szCs w:val="24"/>
    </w:rPr>
  </w:style>
  <w:style w:type="character" w:customStyle="1" w:styleId="1018">
    <w:name w:val="标题 4 字符1"/>
    <w:basedOn w:val="136"/>
    <w:qFormat/>
    <w:uiPriority w:val="9"/>
    <w:rPr>
      <w:b/>
      <w:kern w:val="2"/>
      <w:sz w:val="24"/>
      <w:szCs w:val="24"/>
    </w:rPr>
  </w:style>
  <w:style w:type="character" w:customStyle="1" w:styleId="1019">
    <w:name w:val="4.2 Char"/>
    <w:basedOn w:val="136"/>
    <w:qFormat/>
    <w:uiPriority w:val="0"/>
    <w:rPr>
      <w:rFonts w:hint="eastAsia" w:ascii="宋体" w:hAnsi="宋体" w:eastAsia="宋体" w:cs="宋体"/>
      <w:b/>
      <w:kern w:val="2"/>
      <w:sz w:val="28"/>
      <w:szCs w:val="28"/>
    </w:rPr>
  </w:style>
  <w:style w:type="character" w:customStyle="1" w:styleId="1020">
    <w:name w:val="正文文本缩进 2 Char1"/>
    <w:basedOn w:val="136"/>
    <w:qFormat/>
    <w:uiPriority w:val="99"/>
    <w:rPr>
      <w:bCs/>
      <w:kern w:val="2"/>
      <w:sz w:val="24"/>
      <w:szCs w:val="24"/>
    </w:rPr>
  </w:style>
  <w:style w:type="character" w:customStyle="1" w:styleId="1021">
    <w:name w:val="标题5新 字符"/>
    <w:basedOn w:val="136"/>
    <w:link w:val="1022"/>
    <w:qFormat/>
    <w:uiPriority w:val="0"/>
    <w:rPr>
      <w:rFonts w:ascii="仿宋" w:hAnsi="仿宋" w:eastAsia="仿宋" w:cs="Times New Roman"/>
      <w:b/>
      <w:bCs/>
      <w:kern w:val="2"/>
      <w:sz w:val="24"/>
      <w:szCs w:val="28"/>
    </w:rPr>
  </w:style>
  <w:style w:type="paragraph" w:customStyle="1" w:styleId="1022">
    <w:name w:val="标题5新"/>
    <w:basedOn w:val="14"/>
    <w:link w:val="1021"/>
    <w:qFormat/>
    <w:uiPriority w:val="0"/>
    <w:pPr>
      <w:numPr>
        <w:ilvl w:val="0"/>
        <w:numId w:val="0"/>
      </w:numPr>
      <w:ind w:left="113" w:firstLine="171"/>
    </w:pPr>
    <w:rPr>
      <w:rFonts w:ascii="仿宋" w:hAnsi="仿宋" w:eastAsia="仿宋" w:cs="Times New Roman"/>
      <w:szCs w:val="28"/>
    </w:rPr>
  </w:style>
  <w:style w:type="character" w:customStyle="1" w:styleId="1023">
    <w:name w:val="5级 Char"/>
    <w:basedOn w:val="136"/>
    <w:qFormat/>
    <w:uiPriority w:val="0"/>
    <w:rPr>
      <w:b/>
      <w:sz w:val="24"/>
      <w:szCs w:val="24"/>
    </w:rPr>
  </w:style>
  <w:style w:type="character" w:customStyle="1" w:styleId="1024">
    <w:name w:val="正文new Char"/>
    <w:basedOn w:val="136"/>
    <w:link w:val="1025"/>
    <w:qFormat/>
    <w:uiPriority w:val="0"/>
    <w:rPr>
      <w:rFonts w:hint="eastAsia" w:ascii="宋体" w:hAnsi="宋体" w:eastAsia="宋体" w:cs="宋体"/>
      <w:color w:val="000000"/>
      <w:sz w:val="24"/>
      <w:szCs w:val="24"/>
    </w:rPr>
  </w:style>
  <w:style w:type="paragraph" w:customStyle="1" w:styleId="1025">
    <w:name w:val="正文new"/>
    <w:basedOn w:val="1"/>
    <w:link w:val="1024"/>
    <w:qFormat/>
    <w:uiPriority w:val="0"/>
    <w:pPr>
      <w:spacing w:beforeLines="50" w:afterLines="50" w:line="400" w:lineRule="exact"/>
      <w:ind w:firstLine="420"/>
    </w:pPr>
    <w:rPr>
      <w:rFonts w:hint="eastAsia" w:ascii="宋体" w:hAnsi="宋体" w:eastAsia="宋体" w:cs="宋体"/>
      <w:color w:val="000000"/>
      <w:kern w:val="0"/>
      <w:sz w:val="24"/>
      <w:szCs w:val="24"/>
    </w:rPr>
  </w:style>
  <w:style w:type="character" w:customStyle="1" w:styleId="1026">
    <w:name w:val="表格文本 Char Char"/>
    <w:basedOn w:val="136"/>
    <w:qFormat/>
    <w:uiPriority w:val="0"/>
    <w:rPr>
      <w:rFonts w:hint="default" w:ascii="Arial" w:hAnsi="Arial" w:cs="Arial"/>
      <w:sz w:val="21"/>
      <w:szCs w:val="21"/>
      <w:lang w:val="en-US" w:eastAsia="zh-CN"/>
    </w:rPr>
  </w:style>
  <w:style w:type="character" w:customStyle="1" w:styleId="1027">
    <w:name w:val="样式 倾斜 蓝色 首行缩进:  0.74 厘米1 Char"/>
    <w:basedOn w:val="136"/>
    <w:qFormat/>
    <w:uiPriority w:val="0"/>
    <w:rPr>
      <w:rFonts w:hint="eastAsia" w:ascii="宋体" w:hAnsi="宋体" w:eastAsia="宋体" w:cs="宋体"/>
      <w:i/>
      <w:iCs/>
      <w:color w:val="0000FF"/>
    </w:rPr>
  </w:style>
  <w:style w:type="character" w:customStyle="1" w:styleId="1028">
    <w:name w:val="标题6新1 字符"/>
    <w:basedOn w:val="136"/>
    <w:link w:val="1029"/>
    <w:qFormat/>
    <w:uiPriority w:val="0"/>
    <w:rPr>
      <w:rFonts w:ascii="仿宋" w:hAnsi="仿宋" w:eastAsia="仿宋" w:cs="仿宋"/>
      <w:bCs/>
      <w:sz w:val="28"/>
      <w:szCs w:val="28"/>
    </w:rPr>
  </w:style>
  <w:style w:type="paragraph" w:customStyle="1" w:styleId="1029">
    <w:name w:val="标题6新1"/>
    <w:basedOn w:val="1022"/>
    <w:link w:val="1028"/>
    <w:qFormat/>
    <w:uiPriority w:val="0"/>
    <w:pPr>
      <w:ind w:firstLine="227"/>
      <w:outlineLvl w:val="5"/>
    </w:pPr>
    <w:rPr>
      <w:rFonts w:cs="仿宋"/>
      <w:b w:val="0"/>
      <w:kern w:val="0"/>
      <w:sz w:val="28"/>
    </w:rPr>
  </w:style>
  <w:style w:type="character" w:customStyle="1" w:styleId="1030">
    <w:name w:val="正文文本缩进 字符2"/>
    <w:basedOn w:val="136"/>
    <w:qFormat/>
    <w:uiPriority w:val="0"/>
    <w:rPr>
      <w:kern w:val="2"/>
      <w:sz w:val="24"/>
      <w:szCs w:val="24"/>
    </w:rPr>
  </w:style>
  <w:style w:type="character" w:customStyle="1" w:styleId="1031">
    <w:name w:val="正文文本 + 4 pt1"/>
    <w:basedOn w:val="136"/>
    <w:qFormat/>
    <w:uiPriority w:val="0"/>
    <w:rPr>
      <w:rFonts w:hint="eastAsia" w:ascii="MingLiU" w:hAnsi="MingLiU" w:eastAsia="MingLiU" w:cs="MingLiU"/>
      <w:sz w:val="8"/>
      <w:szCs w:val="8"/>
      <w:shd w:val="clear" w:color="auto" w:fill="FFFFFF"/>
    </w:rPr>
  </w:style>
  <w:style w:type="character" w:customStyle="1" w:styleId="1032">
    <w:name w:val="正文文本 + Palatino Linotype3"/>
    <w:basedOn w:val="136"/>
    <w:qFormat/>
    <w:uiPriority w:val="0"/>
    <w:rPr>
      <w:rFonts w:hint="default" w:ascii="Palatino Linotype" w:hAnsi="Palatino Linotype" w:eastAsia="Palatino Linotype" w:cs="Palatino Linotype"/>
      <w:spacing w:val="20"/>
      <w:sz w:val="30"/>
      <w:szCs w:val="30"/>
      <w:shd w:val="clear" w:color="auto" w:fill="FFFFFF"/>
    </w:rPr>
  </w:style>
  <w:style w:type="character" w:customStyle="1" w:styleId="1033">
    <w:name w:val="正文文本 + Palatino Linotype2"/>
    <w:basedOn w:val="136"/>
    <w:qFormat/>
    <w:uiPriority w:val="0"/>
    <w:rPr>
      <w:rFonts w:hint="default" w:ascii="Palatino Linotype" w:hAnsi="Palatino Linotype" w:eastAsia="Palatino Linotype" w:cs="Palatino Linotype"/>
      <w:spacing w:val="20"/>
      <w:sz w:val="30"/>
      <w:szCs w:val="30"/>
      <w:shd w:val="clear" w:color="auto" w:fill="FFFFFF"/>
    </w:rPr>
  </w:style>
  <w:style w:type="character" w:customStyle="1" w:styleId="1034">
    <w:name w:val="页眉 Char2"/>
    <w:basedOn w:val="136"/>
    <w:qFormat/>
    <w:uiPriority w:val="99"/>
    <w:rPr>
      <w:sz w:val="18"/>
      <w:szCs w:val="18"/>
    </w:rPr>
  </w:style>
  <w:style w:type="character" w:customStyle="1" w:styleId="1035">
    <w:name w:val="浪潮6级 Char"/>
    <w:basedOn w:val="136"/>
    <w:qFormat/>
    <w:uiPriority w:val="0"/>
    <w:rPr>
      <w:rFonts w:hint="default" w:ascii="Arial" w:hAnsi="Arial" w:cs="Arial"/>
      <w:b/>
      <w:bCs/>
      <w:kern w:val="2"/>
      <w:sz w:val="24"/>
      <w:szCs w:val="24"/>
    </w:rPr>
  </w:style>
  <w:style w:type="character" w:customStyle="1" w:styleId="1036">
    <w:name w:val="大汉方案正文 Char1"/>
    <w:basedOn w:val="136"/>
    <w:qFormat/>
    <w:uiPriority w:val="0"/>
    <w:rPr>
      <w:rFonts w:hint="default" w:ascii="Arial" w:hAnsi="Arial" w:cs="Arial"/>
      <w:bCs/>
      <w:kern w:val="2"/>
      <w:sz w:val="24"/>
      <w:szCs w:val="24"/>
      <w:lang w:val="zh-CN"/>
    </w:rPr>
  </w:style>
  <w:style w:type="character" w:customStyle="1" w:styleId="1037">
    <w:name w:val="占位符文本1"/>
    <w:basedOn w:val="136"/>
    <w:qFormat/>
    <w:uiPriority w:val="0"/>
    <w:rPr>
      <w:rFonts w:hint="default" w:ascii="Times New Roman" w:hAnsi="Times New Roman" w:cs="Times New Roman"/>
      <w:color w:val="808080"/>
    </w:rPr>
  </w:style>
  <w:style w:type="character" w:customStyle="1" w:styleId="1038">
    <w:name w:val="五号正文（标准） Char Char"/>
    <w:basedOn w:val="136"/>
    <w:qFormat/>
    <w:uiPriority w:val="0"/>
    <w:rPr>
      <w:rFonts w:hint="eastAsia" w:ascii="仿宋_GB2312" w:hAnsi="宋体" w:eastAsia="仿宋_GB2312" w:cs="仿宋_GB2312"/>
      <w:kern w:val="2"/>
      <w:sz w:val="24"/>
      <w:szCs w:val="24"/>
      <w:lang w:val="en-US" w:eastAsia="zh-CN" w:bidi="ar"/>
    </w:rPr>
  </w:style>
  <w:style w:type="character" w:customStyle="1" w:styleId="1039">
    <w:name w:val="正文首行缩进 字符"/>
    <w:basedOn w:val="136"/>
    <w:qFormat/>
    <w:uiPriority w:val="0"/>
  </w:style>
  <w:style w:type="character" w:customStyle="1" w:styleId="1040">
    <w:name w:val="图片 字符"/>
    <w:basedOn w:val="136"/>
    <w:qFormat/>
    <w:uiPriority w:val="0"/>
    <w:rPr>
      <w:kern w:val="2"/>
      <w:sz w:val="21"/>
      <w:szCs w:val="22"/>
    </w:rPr>
  </w:style>
  <w:style w:type="character" w:customStyle="1" w:styleId="1041">
    <w:name w:val="正文文本 字符1"/>
    <w:basedOn w:val="136"/>
    <w:qFormat/>
    <w:uiPriority w:val="99"/>
    <w:rPr>
      <w:rFonts w:hint="eastAsia" w:ascii="宋体" w:hAnsi="宋体" w:eastAsia="宋体" w:cs="宋体"/>
      <w:kern w:val="2"/>
      <w:sz w:val="24"/>
      <w:szCs w:val="24"/>
      <w:lang w:val="en-US" w:eastAsia="zh-CN" w:bidi="ar"/>
    </w:rPr>
  </w:style>
  <w:style w:type="character" w:customStyle="1" w:styleId="1042">
    <w:name w:val="标题 5 Char1"/>
    <w:basedOn w:val="136"/>
    <w:qFormat/>
    <w:uiPriority w:val="9"/>
    <w:rPr>
      <w:b/>
      <w:kern w:val="2"/>
      <w:sz w:val="24"/>
    </w:rPr>
  </w:style>
  <w:style w:type="character" w:customStyle="1" w:styleId="1043">
    <w:name w:val="页眉 字符2"/>
    <w:basedOn w:val="136"/>
    <w:qFormat/>
    <w:uiPriority w:val="0"/>
    <w:rPr>
      <w:kern w:val="2"/>
      <w:sz w:val="18"/>
      <w:szCs w:val="18"/>
    </w:rPr>
  </w:style>
  <w:style w:type="character" w:customStyle="1" w:styleId="1044">
    <w:name w:val="正文首行缩进 字符1"/>
    <w:basedOn w:val="136"/>
    <w:qFormat/>
    <w:uiPriority w:val="0"/>
    <w:rPr>
      <w:kern w:val="2"/>
      <w:sz w:val="21"/>
      <w:szCs w:val="24"/>
    </w:rPr>
  </w:style>
  <w:style w:type="character" w:customStyle="1" w:styleId="1045">
    <w:name w:val="正文首行缩进 字符2"/>
    <w:basedOn w:val="136"/>
    <w:qFormat/>
    <w:uiPriority w:val="0"/>
  </w:style>
  <w:style w:type="character" w:customStyle="1" w:styleId="1046">
    <w:name w:val="正文文字格式 Char"/>
    <w:basedOn w:val="136"/>
    <w:link w:val="1047"/>
    <w:qFormat/>
    <w:uiPriority w:val="0"/>
    <w:rPr>
      <w:rFonts w:ascii="宋体" w:hAnsi="宋体" w:eastAsia="宋体" w:cs="宋体"/>
      <w:sz w:val="24"/>
      <w:szCs w:val="24"/>
    </w:rPr>
  </w:style>
  <w:style w:type="paragraph" w:customStyle="1" w:styleId="1047">
    <w:name w:val="正文文字格式"/>
    <w:basedOn w:val="1"/>
    <w:link w:val="1046"/>
    <w:qFormat/>
    <w:uiPriority w:val="0"/>
    <w:pPr>
      <w:widowControl/>
      <w:adjustRightInd w:val="0"/>
      <w:snapToGrid w:val="0"/>
      <w:spacing w:line="360" w:lineRule="atLeast"/>
      <w:ind w:firstLine="480" w:firstLineChars="200"/>
      <w:textAlignment w:val="baseline"/>
    </w:pPr>
    <w:rPr>
      <w:rFonts w:ascii="宋体" w:hAnsi="宋体" w:eastAsia="宋体" w:cs="宋体"/>
      <w:kern w:val="0"/>
      <w:sz w:val="24"/>
      <w:szCs w:val="24"/>
    </w:rPr>
  </w:style>
  <w:style w:type="character" w:customStyle="1" w:styleId="1048">
    <w:name w:val="标题 5 Char Char Char Char Char Char Char Char Char Char Char Char Char"/>
    <w:basedOn w:val="136"/>
    <w:qFormat/>
    <w:uiPriority w:val="0"/>
    <w:rPr>
      <w:rFonts w:hint="eastAsia" w:ascii="宋体" w:hAnsi="宋体" w:eastAsia="宋体" w:cs="宋体"/>
      <w:b/>
      <w:bCs/>
      <w:kern w:val="2"/>
      <w:sz w:val="28"/>
      <w:szCs w:val="28"/>
      <w:lang w:val="en-US" w:eastAsia="zh-CN" w:bidi="ar"/>
    </w:rPr>
  </w:style>
  <w:style w:type="character" w:customStyle="1" w:styleId="1049">
    <w:name w:val="3zw"/>
    <w:basedOn w:val="136"/>
    <w:qFormat/>
    <w:uiPriority w:val="0"/>
  </w:style>
  <w:style w:type="character" w:customStyle="1" w:styleId="1050">
    <w:name w:val="标题 2 Char2"/>
    <w:basedOn w:val="136"/>
    <w:qFormat/>
    <w:uiPriority w:val="9"/>
    <w:rPr>
      <w:rFonts w:hint="eastAsia" w:ascii="仿宋" w:hAnsi="仿宋" w:eastAsia="仿宋" w:cs="仿宋"/>
      <w:b/>
      <w:bCs/>
      <w:kern w:val="2"/>
      <w:sz w:val="36"/>
      <w:szCs w:val="32"/>
    </w:rPr>
  </w:style>
  <w:style w:type="character" w:customStyle="1" w:styleId="1051">
    <w:name w:val="样式 样式4 + 加粗 首行缩进: Char Char Char Char"/>
    <w:basedOn w:val="136"/>
    <w:qFormat/>
    <w:uiPriority w:val="0"/>
    <w:rPr>
      <w:rFonts w:hint="eastAsia" w:ascii="宋体" w:hAnsi="宋体" w:eastAsia="宋体" w:cs="宋体"/>
      <w:b/>
      <w:bCs/>
      <w:color w:val="000000"/>
      <w:kern w:val="2"/>
      <w:sz w:val="24"/>
      <w:szCs w:val="24"/>
      <w:lang w:val="en-US" w:eastAsia="zh-CN" w:bidi="ar"/>
    </w:rPr>
  </w:style>
  <w:style w:type="character" w:customStyle="1" w:styleId="1052">
    <w:name w:val="正文(缩进) Char Char"/>
    <w:basedOn w:val="136"/>
    <w:qFormat/>
    <w:uiPriority w:val="0"/>
    <w:rPr>
      <w:kern w:val="2"/>
      <w:sz w:val="24"/>
      <w:szCs w:val="24"/>
    </w:rPr>
  </w:style>
  <w:style w:type="character" w:customStyle="1" w:styleId="1053">
    <w:name w:val="王玲-正文 Char Char"/>
    <w:basedOn w:val="136"/>
    <w:qFormat/>
    <w:uiPriority w:val="0"/>
    <w:rPr>
      <w:rFonts w:hint="default" w:ascii="Tahoma" w:hAnsi="Tahoma" w:eastAsia="Tahoma" w:cs="Arial"/>
      <w:kern w:val="2"/>
      <w:sz w:val="24"/>
    </w:rPr>
  </w:style>
  <w:style w:type="character" w:customStyle="1" w:styleId="1054">
    <w:name w:val="标题  4 Char"/>
    <w:basedOn w:val="136"/>
    <w:qFormat/>
    <w:uiPriority w:val="0"/>
    <w:rPr>
      <w:rFonts w:hint="default" w:ascii="Verdana" w:hAnsi="Verdana" w:eastAsia="宋体" w:cs="Verdana"/>
      <w:b/>
      <w:kern w:val="2"/>
      <w:sz w:val="28"/>
      <w:lang w:val="en-US" w:eastAsia="zh-CN" w:bidi="ar"/>
    </w:rPr>
  </w:style>
  <w:style w:type="character" w:customStyle="1" w:styleId="1055">
    <w:name w:val="样式 题注 + 黑体2 Char Char"/>
    <w:basedOn w:val="136"/>
    <w:qFormat/>
    <w:uiPriority w:val="0"/>
    <w:rPr>
      <w:rFonts w:hint="eastAsia" w:ascii="黑体" w:hAnsi="宋体" w:eastAsia="黑体" w:cs="Arial"/>
      <w:kern w:val="2"/>
      <w:sz w:val="21"/>
    </w:rPr>
  </w:style>
  <w:style w:type="character" w:customStyle="1" w:styleId="1056">
    <w:name w:val="样式 标题 2 + (西文) Times New Roman (中文) 宋体 Char Char"/>
    <w:basedOn w:val="136"/>
    <w:qFormat/>
    <w:uiPriority w:val="0"/>
    <w:rPr>
      <w:rFonts w:hint="eastAsia" w:ascii="黑体" w:hAnsi="宋体" w:eastAsia="黑体" w:cs="黑体"/>
      <w:b/>
      <w:bCs/>
      <w:iCs/>
      <w:sz w:val="28"/>
      <w:szCs w:val="24"/>
    </w:rPr>
  </w:style>
  <w:style w:type="character" w:customStyle="1" w:styleId="1057">
    <w:name w:val="模板正文 Char Char"/>
    <w:basedOn w:val="136"/>
    <w:qFormat/>
    <w:uiPriority w:val="0"/>
    <w:rPr>
      <w:rFonts w:hint="eastAsia" w:ascii="宋体" w:hAnsi="宋体" w:eastAsia="宋体" w:cs="宋体"/>
      <w:kern w:val="2"/>
      <w:sz w:val="24"/>
      <w:szCs w:val="24"/>
    </w:rPr>
  </w:style>
  <w:style w:type="character" w:customStyle="1" w:styleId="1058">
    <w:name w:val="标题 7 Char Char"/>
    <w:basedOn w:val="136"/>
    <w:qFormat/>
    <w:uiPriority w:val="0"/>
    <w:rPr>
      <w:rFonts w:hint="default" w:ascii="Times New Roman" w:hAnsi="Times New Roman" w:eastAsia="宋体" w:cs="Times New Roman"/>
      <w:b/>
      <w:bCs/>
      <w:sz w:val="24"/>
      <w:szCs w:val="24"/>
    </w:rPr>
  </w:style>
  <w:style w:type="character" w:customStyle="1" w:styleId="1059">
    <w:name w:val="正文字缩2字 Char Char Char"/>
    <w:basedOn w:val="136"/>
    <w:qFormat/>
    <w:uiPriority w:val="0"/>
    <w:rPr>
      <w:sz w:val="24"/>
      <w:szCs w:val="24"/>
    </w:rPr>
  </w:style>
  <w:style w:type="table" w:customStyle="1" w:styleId="1060">
    <w:name w:val="网格表 4 - 着色 51"/>
    <w:basedOn w:val="90"/>
    <w:qFormat/>
    <w:uiPriority w:val="0"/>
    <w:rPr>
      <w:rFonts w:ascii="Calibri" w:hAnsi="Calibri"/>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cPr>
      <w:tcBorders>
        <w:top w:val="single" w:color="92CDDC" w:sz="4" w:space="0"/>
        <w:left w:val="single" w:color="92CDDC" w:sz="4" w:space="0"/>
        <w:bottom w:val="single" w:color="92CDDC" w:sz="4" w:space="0"/>
        <w:right w:val="single" w:color="92CDDC" w:sz="4" w:space="0"/>
      </w:tcBorders>
    </w:tcPr>
    <w:tblStylePr w:type="firstRow">
      <w:rPr>
        <w:b/>
        <w:bCs/>
        <w:color w:val="FFFFFF"/>
      </w:rPr>
      <w:tcPr>
        <w:tcBorders>
          <w:top w:val="single" w:color="4BACC6" w:sz="4" w:space="0"/>
          <w:left w:val="single" w:color="4BACC6" w:sz="4" w:space="0"/>
          <w:bottom w:val="single" w:color="4BACC6" w:sz="4" w:space="0"/>
          <w:right w:val="single" w:color="4BACC6" w:sz="4" w:space="0"/>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61">
    <w:name w:val="表三维效果 31"/>
    <w:basedOn w:val="90"/>
    <w:qFormat/>
    <w:uiPriority w:val="0"/>
    <w:pPr>
      <w:widowControl w:val="0"/>
      <w:spacing w:line="360" w:lineRule="auto"/>
      <w:jc w:val="both"/>
    </w:pPr>
    <w:rPr>
      <w:rFonts w:ascii="Calibri" w:hAnsi="Calibri"/>
    </w:r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062">
    <w:name w:val="网格型5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3">
    <w:name w:val="网格型7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4">
    <w:name w:val="网格型4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5">
    <w:name w:val="网格型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6">
    <w:name w:val="网格型2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7">
    <w:name w:val="网格型2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8">
    <w:name w:val="网格型12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9">
    <w:name w:val="网格型13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0">
    <w:name w:val="网格型6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1">
    <w:name w:val="网格型12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2">
    <w:name w:val="网格型8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3">
    <w:name w:val="网格型11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4">
    <w:name w:val="网格型5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5">
    <w:name w:val="网格型8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6">
    <w:name w:val="网格型2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7">
    <w:name w:val="网格型8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8">
    <w:name w:val="网格型1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9">
    <w:name w:val="网格型16"/>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0">
    <w:name w:val="网格型22"/>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1">
    <w:name w:val="网格型1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2">
    <w:name w:val="网格表 3 - 着色 31"/>
    <w:basedOn w:val="90"/>
    <w:qFormat/>
    <w:uiPriority w:val="0"/>
    <w:rPr>
      <w:rFonts w:ascii="Calibri" w:hAnsi="Calibri"/>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cPr>
      <w:tcBorders>
        <w:top w:val="single" w:color="C2D69B" w:sz="4" w:space="0"/>
        <w:left w:val="single" w:color="C2D69B" w:sz="4" w:space="0"/>
        <w:bottom w:val="single" w:color="C2D69B" w:sz="4" w:space="0"/>
        <w:right w:val="single" w:color="C2D69B" w:sz="4" w:space="0"/>
      </w:tcBorders>
    </w:tcPr>
    <w:tblStylePr w:type="firstRow">
      <w:rPr>
        <w:b/>
        <w:bCs/>
      </w:rPr>
      <w:tcPr>
        <w:tcBorders>
          <w:top w:val="nil"/>
          <w:left w:val="nil"/>
          <w:right w:val="nil"/>
        </w:tcBorders>
        <w:shd w:val="clear" w:color="auto" w:fill="FFFFFF"/>
      </w:tcPr>
    </w:tblStylePr>
    <w:tblStylePr w:type="lastRow">
      <w:rPr>
        <w:b/>
        <w:bCs/>
      </w:rPr>
      <w:tcPr>
        <w:tcBorders>
          <w:left w:val="nil"/>
          <w:bottom w:val="nil"/>
          <w:right w:val="nil"/>
        </w:tcBorders>
        <w:shd w:val="clear" w:color="auto" w:fill="FFFFFF"/>
      </w:tcPr>
    </w:tblStylePr>
    <w:tblStylePr w:type="firstCol">
      <w:pPr>
        <w:jc w:val="right"/>
      </w:pPr>
      <w:rPr>
        <w:i/>
        <w:iCs/>
      </w:rPr>
      <w:tcPr>
        <w:tcBorders>
          <w:top w:val="nil"/>
          <w:left w:val="nil"/>
          <w:bottom w:val="nil"/>
        </w:tcBorders>
        <w:shd w:val="clear" w:color="auto" w:fill="FFFFFF"/>
      </w:tcPr>
    </w:tblStylePr>
    <w:tblStylePr w:type="lastCol">
      <w:rPr>
        <w:i/>
        <w:iCs/>
      </w:rPr>
      <w:tcPr>
        <w:tcBorders>
          <w:top w:val="nil"/>
          <w:bottom w:val="nil"/>
          <w:right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1083">
    <w:name w:val="表三维效果 11"/>
    <w:basedOn w:val="90"/>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tl2br w:val="nil"/>
          <w:tr2bl w:val="nil"/>
        </w:tcBorders>
      </w:tcPr>
    </w:tblStylePr>
    <w:tblStylePr w:type="lastRow">
      <w:tcPr>
        <w:tcBorders>
          <w:top w:val="single" w:color="FFFFFF" w:sz="6" w:space="0"/>
          <w:left w:val="nil"/>
          <w:bottom w:val="nil"/>
          <w:right w:val="nil"/>
          <w:tl2br w:val="nil"/>
          <w:tr2bl w:val="nil"/>
        </w:tcBorders>
      </w:tcPr>
    </w:tblStylePr>
    <w:tblStylePr w:type="firstCol">
      <w:rPr>
        <w:b/>
        <w:bCs/>
      </w:rPr>
      <w:tcPr>
        <w:tcBorders>
          <w:top w:val="nil"/>
          <w:left w:val="nil"/>
          <w:bottom w:val="nil"/>
          <w:right w:val="single" w:color="808080" w:sz="6" w:space="0"/>
          <w:tl2br w:val="nil"/>
          <w:tr2bl w:val="nil"/>
        </w:tcBorders>
      </w:tcPr>
    </w:tblStylePr>
    <w:tblStylePr w:type="lastCol">
      <w:tcPr>
        <w:tcBorders>
          <w:top w:val="nil"/>
          <w:left w:val="single" w:color="FFFFFF" w:sz="6" w:space="0"/>
          <w:bottom w:val="nil"/>
          <w:right w:val="nil"/>
          <w:tl2br w:val="nil"/>
          <w:tr2bl w:val="nil"/>
        </w:tcBorders>
      </w:tcPr>
    </w:tblStylePr>
    <w:tblStylePr w:type="neCell">
      <w:tcPr>
        <w:tcBorders>
          <w:top w:val="nil"/>
          <w:left w:val="nil"/>
          <w:bottom w:val="nil"/>
          <w:right w:val="nil"/>
          <w:tl2br w:val="nil"/>
          <w:tr2bl w:val="nil"/>
        </w:tcBorders>
      </w:tcPr>
    </w:tblStylePr>
    <w:tblStylePr w:type="nwCell">
      <w:tcPr>
        <w:tcBorders>
          <w:top w:val="nil"/>
          <w:left w:val="nil"/>
          <w:bottom w:val="nil"/>
          <w:right w:val="nil"/>
          <w:tl2br w:val="nil"/>
          <w:tr2bl w:val="nil"/>
        </w:tcBorders>
      </w:tcPr>
    </w:tblStylePr>
    <w:tblStylePr w:type="seCell">
      <w:tcPr>
        <w:tcBorders>
          <w:top w:val="nil"/>
          <w:left w:val="nil"/>
          <w:bottom w:val="nil"/>
          <w:right w:val="nil"/>
          <w:tl2br w:val="nil"/>
          <w:tr2bl w:val="nil"/>
        </w:tcBorders>
      </w:tcPr>
    </w:tblStylePr>
    <w:tblStylePr w:type="swCell">
      <w:rPr>
        <w:color w:val="000080"/>
      </w:rPr>
      <w:tcPr>
        <w:tcBorders>
          <w:top w:val="nil"/>
          <w:left w:val="nil"/>
          <w:bottom w:val="nil"/>
          <w:right w:val="nil"/>
          <w:tl2br w:val="nil"/>
          <w:tr2bl w:val="nil"/>
        </w:tcBorders>
      </w:tcPr>
    </w:tblStylePr>
  </w:style>
  <w:style w:type="table" w:customStyle="1" w:styleId="1084">
    <w:name w:val="网格型3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5">
    <w:name w:val="表三维效果 21"/>
    <w:basedOn w:val="90"/>
    <w:qFormat/>
    <w:uiPriority w:val="0"/>
    <w:pPr>
      <w:widowControl w:val="0"/>
      <w:spacing w:line="360" w:lineRule="auto"/>
      <w:jc w:val="both"/>
    </w:pPr>
    <w:rPr>
      <w:rFonts w:ascii="Calibri" w:hAnsi="Calibri"/>
    </w:rPr>
    <w:tcPr>
      <w:shd w:val="solid" w:color="C0C0C0" w:fill="FFFFFF"/>
    </w:tc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086">
    <w:name w:val="网格型24"/>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7">
    <w:name w:val="网格型1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8">
    <w:name w:val="网格型9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9">
    <w:name w:val="网格型13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0">
    <w:name w:val="网格型5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1">
    <w:name w:val="无格式表格 21"/>
    <w:basedOn w:val="90"/>
    <w:qFormat/>
    <w:uiPriority w:val="0"/>
    <w:rPr>
      <w:rFonts w:ascii="Calibri" w:hAnsi="Calibri"/>
    </w:rPr>
    <w:tblPr>
      <w:tblBorders>
        <w:top w:val="single" w:color="7F7F7F" w:sz="4" w:space="0"/>
        <w:bottom w:val="single" w:color="7F7F7F" w:sz="4" w:space="0"/>
      </w:tblBorders>
    </w:tblPr>
    <w:tcPr>
      <w:tcBorders>
        <w:top w:val="single" w:color="7F7F7F" w:sz="4" w:space="0"/>
        <w:left w:val="nil"/>
        <w:bottom w:val="single" w:color="7F7F7F" w:sz="4" w:space="0"/>
        <w:right w:val="nil"/>
      </w:tcBorders>
    </w:tc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092">
    <w:name w:val="网格型11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3">
    <w:name w:val="网格型5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4">
    <w:name w:val="网格型7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5">
    <w:name w:val="网格型5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6">
    <w:name w:val="网格型7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7">
    <w:name w:val="网格型12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8">
    <w:name w:val="网格型9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9">
    <w:name w:val="网格型17"/>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0">
    <w:name w:val="网格型12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1">
    <w:name w:val="网格型9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2">
    <w:name w:val="网格型8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3">
    <w:name w:val="网格型1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4">
    <w:name w:val="网格型20"/>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5">
    <w:name w:val="网格型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6">
    <w:name w:val="网格型13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7">
    <w:name w:val="网格型8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8">
    <w:name w:val="网格型10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9">
    <w:name w:val="网格型11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0">
    <w:name w:val="网格型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1">
    <w:name w:val="网格型6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2">
    <w:name w:val="网格型9"/>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3">
    <w:name w:val="网格型浅色1"/>
    <w:basedOn w:val="90"/>
    <w:qFormat/>
    <w:uiPriority w:val="40"/>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cPr>
      <w:tcBorders>
        <w:top w:val="single" w:color="BFBFBF" w:sz="4" w:space="0"/>
        <w:left w:val="single" w:color="BFBFBF" w:sz="4" w:space="0"/>
        <w:bottom w:val="single" w:color="BFBFBF" w:sz="4" w:space="0"/>
        <w:right w:val="single" w:color="BFBFBF" w:sz="4" w:space="0"/>
      </w:tcBorders>
    </w:tcPr>
  </w:style>
  <w:style w:type="table" w:customStyle="1" w:styleId="1114">
    <w:name w:val="网格型4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5">
    <w:name w:val="网格型10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6">
    <w:name w:val="网格型3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7">
    <w:name w:val="网格型11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8">
    <w:name w:val="网格型3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9">
    <w:name w:val="网格型4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0">
    <w:name w:val="网格型6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1">
    <w:name w:val="网格型6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2">
    <w:name w:val="网格型1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3">
    <w:name w:val="网格型4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4">
    <w:name w:val="网格型9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5">
    <w:name w:val="网格型10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6">
    <w:name w:val="网格型2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7">
    <w:name w:val="网格型25"/>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8">
    <w:name w:val="网格型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9">
    <w:name w:val="网格型11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0">
    <w:name w:val="网格型7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1">
    <w:name w:val="网格型13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2">
    <w:name w:val="网格型11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3">
    <w:name w:val="网格型8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4">
    <w:name w:val="网格型3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5">
    <w:name w:val="网格型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6">
    <w:name w:val="网格型12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7">
    <w:name w:val="网格型7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8">
    <w:name w:val="网格型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9">
    <w:name w:val="网格型4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0">
    <w:name w:val="网格型6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1">
    <w:name w:val="网格型6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2">
    <w:name w:val="网格型11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3">
    <w:name w:val="网格型5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4">
    <w:name w:val="网格型10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5">
    <w:name w:val="网格型8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6">
    <w:name w:val="表样式"/>
    <w:basedOn w:val="90"/>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vAlign w:val="center"/>
    </w:tcPr>
  </w:style>
  <w:style w:type="table" w:customStyle="1" w:styleId="1147">
    <w:name w:val="网格型2"/>
    <w:basedOn w:val="90"/>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8">
    <w:name w:val="网格型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9">
    <w:name w:val="网格型13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0">
    <w:name w:val="网格型1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1">
    <w:name w:val="网格型23"/>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2">
    <w:name w:val="网格型4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3">
    <w:name w:val="网格型21"/>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4">
    <w:name w:val="网格型5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5">
    <w:name w:val="网格型10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6">
    <w:name w:val="网格型8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7">
    <w:name w:val="网格型13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8">
    <w:name w:val="网格型9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9">
    <w:name w:val="网格型10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0">
    <w:name w:val="网格型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1">
    <w:name w:val="网格型1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2">
    <w:name w:val="网格型4"/>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3">
    <w:name w:val="网格型3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4">
    <w:name w:val="网格型3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5">
    <w:name w:val="网格型12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6">
    <w:name w:val="网格型7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7">
    <w:name w:val="网格型9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8">
    <w:name w:val="网格型18"/>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9">
    <w:name w:val="网格型9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0">
    <w:name w:val="网格型7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1">
    <w:name w:val="网格型7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2">
    <w:name w:val="网格型13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3">
    <w:name w:val="网格型7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4">
    <w:name w:val="网格型6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5">
    <w:name w:val="网格型9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6">
    <w:name w:val="网格型12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7">
    <w:name w:val="网格型3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8">
    <w:name w:val="网格型11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9">
    <w:name w:val="网格型8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0">
    <w:name w:val="网格型3"/>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1">
    <w:name w:val="网格型6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2">
    <w:name w:val="网格型12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3">
    <w:name w:val="网格型5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4">
    <w:name w:val="网格型10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5">
    <w:name w:val="网格型4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6">
    <w:name w:val="网格型1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7">
    <w:name w:val="网格型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8">
    <w:name w:val="网格型3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9">
    <w:name w:val="网格型4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0">
    <w:name w:val="网格型1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1">
    <w:name w:val="网格型9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2">
    <w:name w:val="网格型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3">
    <w:name w:val="网格型12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4">
    <w:name w:val="网格型3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5">
    <w:name w:val="网格型10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6">
    <w:name w:val="网格型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7">
    <w:name w:val="网格型5"/>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8">
    <w:name w:val="网格型6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9">
    <w:name w:val="网格型19"/>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0">
    <w:name w:val="网格型10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1">
    <w:name w:val="网格型4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2">
    <w:name w:val="网格型5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3">
    <w:name w:val="网格型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1204">
    <w:name w:val="常用！正文"/>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205">
    <w:name w:val="普通(网站) 字符1"/>
    <w:qFormat/>
    <w:locked/>
    <w:uiPriority w:val="0"/>
    <w:rPr>
      <w:rFonts w:ascii="宋体" w:hAnsi="宋体" w:eastAsia="仿宋_GB2312"/>
      <w:sz w:val="24"/>
      <w:szCs w:val="24"/>
    </w:rPr>
  </w:style>
  <w:style w:type="character" w:customStyle="1" w:styleId="1206">
    <w:name w:val="List Paragraph Char Char"/>
    <w:qFormat/>
    <w:locked/>
    <w:uiPriority w:val="99"/>
    <w:rPr>
      <w:rFonts w:ascii="Calibri" w:hAnsi="Calibri" w:eastAsia="宋体" w:cs="Times New Roman"/>
      <w:sz w:val="22"/>
      <w:szCs w:val="22"/>
    </w:rPr>
  </w:style>
  <w:style w:type="character" w:customStyle="1" w:styleId="1207">
    <w:name w:val="样式3 Char"/>
    <w:qFormat/>
    <w:locked/>
    <w:uiPriority w:val="0"/>
    <w:rPr>
      <w:rFonts w:ascii="Calibri" w:hAnsi="Calibri" w:eastAsia="仿宋_GB2312" w:cs="Calibri"/>
      <w:b/>
      <w:bCs/>
      <w:sz w:val="28"/>
      <w:szCs w:val="28"/>
    </w:rPr>
  </w:style>
  <w:style w:type="paragraph" w:customStyle="1" w:styleId="1208">
    <w:name w:val="修订11"/>
    <w:qFormat/>
    <w:uiPriority w:val="99"/>
    <w:rPr>
      <w:rFonts w:ascii="Calibri" w:hAnsi="Calibri" w:eastAsia="宋体" w:cs="Times New Roman"/>
      <w:kern w:val="2"/>
      <w:sz w:val="21"/>
      <w:szCs w:val="22"/>
      <w:lang w:val="en-US" w:eastAsia="zh-CN" w:bidi="ar-SA"/>
    </w:rPr>
  </w:style>
  <w:style w:type="paragraph" w:customStyle="1" w:styleId="1209">
    <w:name w:val="四级标题"/>
    <w:basedOn w:val="8"/>
    <w:link w:val="1804"/>
    <w:qFormat/>
    <w:uiPriority w:val="0"/>
    <w:pPr>
      <w:spacing w:before="156" w:after="0"/>
      <w:jc w:val="left"/>
    </w:pPr>
    <w:rPr>
      <w:rFonts w:ascii="SimSun-ExtB" w:hAnsi="SimSun-ExtB" w:cs="SimSun-ExtB"/>
      <w:bCs w:val="0"/>
      <w:sz w:val="30"/>
    </w:rPr>
  </w:style>
  <w:style w:type="paragraph" w:customStyle="1" w:styleId="1210">
    <w:name w:val="GW-标题6"/>
    <w:basedOn w:val="620"/>
    <w:next w:val="1"/>
    <w:qFormat/>
    <w:uiPriority w:val="0"/>
    <w:pPr>
      <w:keepNext w:val="0"/>
      <w:keepLines w:val="0"/>
      <w:numPr>
        <w:ilvl w:val="0"/>
        <w:numId w:val="0"/>
      </w:numPr>
      <w:kinsoku w:val="0"/>
      <w:autoSpaceDE w:val="0"/>
      <w:autoSpaceDN w:val="0"/>
      <w:spacing w:before="0" w:beforeLines="0" w:after="0" w:afterLines="0"/>
      <w:jc w:val="center"/>
      <w:outlineLvl w:val="5"/>
    </w:pPr>
    <w:rPr>
      <w:b w:val="0"/>
      <w:bCs/>
      <w:sz w:val="21"/>
      <w:szCs w:val="24"/>
      <w:lang w:val="en-US"/>
    </w:rPr>
  </w:style>
  <w:style w:type="character" w:customStyle="1" w:styleId="1211">
    <w:name w:val="样式5 Char"/>
    <w:qFormat/>
    <w:locked/>
    <w:uiPriority w:val="0"/>
    <w:rPr>
      <w:sz w:val="24"/>
      <w:szCs w:val="24"/>
    </w:rPr>
  </w:style>
  <w:style w:type="paragraph" w:customStyle="1" w:styleId="1212">
    <w:name w:val="中天标题2"/>
    <w:basedOn w:val="1"/>
    <w:next w:val="1"/>
    <w:qFormat/>
    <w:uiPriority w:val="99"/>
    <w:pPr>
      <w:spacing w:line="360" w:lineRule="auto"/>
      <w:jc w:val="left"/>
      <w:outlineLvl w:val="1"/>
    </w:pPr>
    <w:rPr>
      <w:rFonts w:ascii="仿宋" w:hAnsi="仿宋" w:eastAsia="仿宋" w:cs="Times New Roman"/>
      <w:b/>
      <w:sz w:val="24"/>
      <w:szCs w:val="32"/>
    </w:rPr>
  </w:style>
  <w:style w:type="paragraph" w:customStyle="1" w:styleId="1213">
    <w:name w:val="GW-标题7"/>
    <w:basedOn w:val="1210"/>
    <w:next w:val="1"/>
    <w:qFormat/>
    <w:uiPriority w:val="0"/>
    <w:pPr>
      <w:keepNext/>
      <w:keepLines/>
      <w:tabs>
        <w:tab w:val="clear" w:pos="432"/>
        <w:tab w:val="clear" w:pos="567"/>
      </w:tabs>
      <w:kinsoku/>
      <w:autoSpaceDE/>
      <w:autoSpaceDN/>
      <w:ind w:left="3422" w:hanging="420"/>
      <w:outlineLvl w:val="6"/>
    </w:pPr>
    <w:rPr>
      <w:rFonts w:hAnsi="Calibri" w:eastAsia="仿宋_GB2312"/>
    </w:rPr>
  </w:style>
  <w:style w:type="paragraph" w:customStyle="1" w:styleId="1214">
    <w:name w:val="样式 样式 样式 正文文本 2 + 段前: 0.5 行 段后: 0.5 行 + 右侧:  2 字符 段前: 0.5 行 段后: ...1"/>
    <w:basedOn w:val="1"/>
    <w:qFormat/>
    <w:uiPriority w:val="99"/>
    <w:pPr>
      <w:widowControl/>
      <w:numPr>
        <w:ilvl w:val="0"/>
        <w:numId w:val="43"/>
      </w:numPr>
      <w:tabs>
        <w:tab w:val="left" w:pos="960"/>
        <w:tab w:val="clear" w:pos="900"/>
      </w:tabs>
      <w:spacing w:beforeLines="50" w:afterLines="50"/>
      <w:ind w:left="0" w:right="480" w:rightChars="200" w:firstLine="0"/>
      <w:jc w:val="left"/>
    </w:pPr>
    <w:rPr>
      <w:rFonts w:ascii="Arial" w:hAnsi="Arial" w:eastAsia="宋体" w:cs="宋体"/>
      <w:kern w:val="0"/>
      <w:sz w:val="24"/>
      <w:szCs w:val="24"/>
    </w:rPr>
  </w:style>
  <w:style w:type="character" w:customStyle="1" w:styleId="1215">
    <w:name w:val="表格内容 Char"/>
    <w:link w:val="1216"/>
    <w:qFormat/>
    <w:locked/>
    <w:uiPriority w:val="0"/>
    <w:rPr>
      <w:bCs/>
      <w:sz w:val="24"/>
    </w:rPr>
  </w:style>
  <w:style w:type="paragraph" w:customStyle="1" w:styleId="1216">
    <w:name w:val="表格内容"/>
    <w:link w:val="1215"/>
    <w:qFormat/>
    <w:uiPriority w:val="0"/>
    <w:pPr>
      <w:spacing w:line="360" w:lineRule="auto"/>
      <w:jc w:val="center"/>
    </w:pPr>
    <w:rPr>
      <w:rFonts w:asciiTheme="minorHAnsi" w:hAnsiTheme="minorHAnsi" w:eastAsiaTheme="minorEastAsia" w:cstheme="minorBidi"/>
      <w:bCs/>
      <w:sz w:val="24"/>
      <w:lang w:val="en-US" w:eastAsia="zh-CN" w:bidi="ar-SA"/>
    </w:rPr>
  </w:style>
  <w:style w:type="character" w:customStyle="1" w:styleId="1217">
    <w:name w:val="最终正文格式 Char"/>
    <w:link w:val="1218"/>
    <w:qFormat/>
    <w:locked/>
    <w:uiPriority w:val="0"/>
    <w:rPr>
      <w:rFonts w:ascii="Arial" w:hAnsi="Arial" w:cs="Arial"/>
    </w:rPr>
  </w:style>
  <w:style w:type="paragraph" w:customStyle="1" w:styleId="1218">
    <w:name w:val="最终正文格式"/>
    <w:basedOn w:val="10"/>
    <w:link w:val="1217"/>
    <w:qFormat/>
    <w:uiPriority w:val="0"/>
    <w:pPr>
      <w:widowControl/>
      <w:ind w:left="315" w:leftChars="315"/>
    </w:pPr>
    <w:rPr>
      <w:rFonts w:ascii="Arial" w:hAnsi="Arial" w:cs="Arial"/>
      <w:kern w:val="0"/>
      <w:sz w:val="20"/>
      <w:szCs w:val="20"/>
    </w:rPr>
  </w:style>
  <w:style w:type="paragraph" w:customStyle="1" w:styleId="1219">
    <w:name w:val="正文 A"/>
    <w:qFormat/>
    <w:uiPriority w:val="0"/>
    <w:pPr>
      <w:widowControl w:val="0"/>
      <w:spacing w:line="360" w:lineRule="auto"/>
      <w:jc w:val="both"/>
    </w:pPr>
    <w:rPr>
      <w:rFonts w:ascii="Calibri" w:hAnsi="Calibri" w:eastAsia="Calibri" w:cs="Calibri"/>
      <w:color w:val="000000"/>
      <w:kern w:val="2"/>
      <w:sz w:val="24"/>
      <w:szCs w:val="24"/>
      <w:u w:color="000000"/>
      <w:lang w:val="en-US" w:eastAsia="zh-CN" w:bidi="ar-SA"/>
    </w:rPr>
  </w:style>
  <w:style w:type="paragraph" w:customStyle="1" w:styleId="1220">
    <w:name w:val="正文对齐"/>
    <w:basedOn w:val="1"/>
    <w:qFormat/>
    <w:uiPriority w:val="99"/>
    <w:pPr>
      <w:spacing w:before="60"/>
      <w:ind w:left="840" w:leftChars="400"/>
    </w:pPr>
    <w:rPr>
      <w:rFonts w:ascii="Myriad Pro" w:hAnsi="Myriad Pro" w:eastAsia="宋体"/>
      <w:szCs w:val="21"/>
    </w:rPr>
  </w:style>
  <w:style w:type="character" w:customStyle="1" w:styleId="1221">
    <w:name w:val="并列圆点 Char"/>
    <w:basedOn w:val="136"/>
    <w:link w:val="1222"/>
    <w:qFormat/>
    <w:locked/>
    <w:uiPriority w:val="99"/>
    <w:rPr>
      <w:rFonts w:ascii="Myriad Pro" w:hAnsi="Myriad Pro" w:eastAsiaTheme="minorEastAsia" w:cstheme="minorBidi"/>
      <w:kern w:val="2"/>
      <w:sz w:val="21"/>
      <w:szCs w:val="21"/>
    </w:rPr>
  </w:style>
  <w:style w:type="paragraph" w:customStyle="1" w:styleId="1222">
    <w:name w:val="并列圆点"/>
    <w:basedOn w:val="1"/>
    <w:link w:val="1221"/>
    <w:qFormat/>
    <w:uiPriority w:val="99"/>
    <w:pPr>
      <w:numPr>
        <w:ilvl w:val="0"/>
        <w:numId w:val="44"/>
      </w:numPr>
      <w:ind w:left="0" w:firstLine="0"/>
    </w:pPr>
    <w:rPr>
      <w:rFonts w:ascii="Myriad Pro" w:hAnsi="Myriad Pro"/>
      <w:szCs w:val="21"/>
    </w:rPr>
  </w:style>
  <w:style w:type="character" w:customStyle="1" w:styleId="1223">
    <w:name w:val="正文文本首行缩进 2 字符1"/>
    <w:semiHidden/>
    <w:qFormat/>
    <w:locked/>
    <w:uiPriority w:val="99"/>
    <w:rPr>
      <w:rFonts w:ascii="Calibri" w:hAnsi="Calibri" w:eastAsia="宋体" w:cs="Times New Roman"/>
      <w:sz w:val="24"/>
    </w:rPr>
  </w:style>
  <w:style w:type="character" w:customStyle="1" w:styleId="1224">
    <w:name w:val="批注文字 Char"/>
    <w:qFormat/>
    <w:uiPriority w:val="99"/>
    <w:rPr>
      <w:rFonts w:hint="eastAsia" w:ascii="仿宋_GB2312" w:eastAsia="仿宋_GB2312"/>
      <w:kern w:val="2"/>
      <w:sz w:val="32"/>
    </w:rPr>
  </w:style>
  <w:style w:type="character" w:customStyle="1" w:styleId="1225">
    <w:name w:val="脚注文本 Char"/>
    <w:qFormat/>
    <w:uiPriority w:val="99"/>
    <w:rPr>
      <w:rFonts w:hint="eastAsia" w:ascii="仿宋_GB2312" w:eastAsia="仿宋_GB2312"/>
      <w:kern w:val="2"/>
      <w:sz w:val="18"/>
      <w:szCs w:val="18"/>
    </w:rPr>
  </w:style>
  <w:style w:type="character" w:customStyle="1" w:styleId="1226">
    <w:name w:val="正文文本 Char"/>
    <w:qFormat/>
    <w:uiPriority w:val="1"/>
    <w:rPr>
      <w:rFonts w:hint="eastAsia" w:ascii="仿宋_GB2312" w:eastAsia="仿宋_GB2312"/>
      <w:kern w:val="2"/>
      <w:sz w:val="32"/>
    </w:rPr>
  </w:style>
  <w:style w:type="character" w:customStyle="1" w:styleId="1227">
    <w:name w:val="正文文本缩进 Char"/>
    <w:qFormat/>
    <w:uiPriority w:val="0"/>
    <w:rPr>
      <w:rFonts w:hint="eastAsia" w:ascii="仿宋_GB2312" w:eastAsia="仿宋_GB2312"/>
      <w:kern w:val="2"/>
      <w:sz w:val="32"/>
    </w:rPr>
  </w:style>
  <w:style w:type="character" w:customStyle="1" w:styleId="1228">
    <w:name w:val="批注主题 Char"/>
    <w:qFormat/>
    <w:uiPriority w:val="99"/>
    <w:rPr>
      <w:rFonts w:hint="eastAsia" w:ascii="仿宋_GB2312" w:eastAsia="仿宋_GB2312"/>
      <w:b/>
      <w:bCs/>
      <w:kern w:val="2"/>
      <w:sz w:val="32"/>
    </w:rPr>
  </w:style>
  <w:style w:type="character" w:customStyle="1" w:styleId="1229">
    <w:name w:val="正文首行缩进 Char"/>
    <w:basedOn w:val="1226"/>
    <w:qFormat/>
    <w:uiPriority w:val="0"/>
    <w:rPr>
      <w:rFonts w:hint="eastAsia" w:ascii="仿宋_GB2312" w:eastAsia="仿宋_GB2312"/>
      <w:kern w:val="2"/>
      <w:sz w:val="32"/>
    </w:rPr>
  </w:style>
  <w:style w:type="character" w:customStyle="1" w:styleId="1230">
    <w:name w:val="正文首行缩进 2 Char"/>
    <w:basedOn w:val="1227"/>
    <w:qFormat/>
    <w:uiPriority w:val="0"/>
    <w:rPr>
      <w:rFonts w:hint="eastAsia" w:ascii="仿宋_GB2312" w:eastAsia="仿宋_GB2312"/>
      <w:kern w:val="2"/>
      <w:sz w:val="32"/>
    </w:rPr>
  </w:style>
  <w:style w:type="character" w:customStyle="1" w:styleId="1231">
    <w:name w:val="首行缩进 Char Char Char"/>
    <w:qFormat/>
    <w:uiPriority w:val="0"/>
    <w:rPr>
      <w:rFonts w:hint="eastAsia" w:ascii="宋体" w:hAnsi="宋体" w:eastAsia="宋体" w:cs="宋体"/>
      <w:szCs w:val="21"/>
    </w:rPr>
  </w:style>
  <w:style w:type="character" w:customStyle="1" w:styleId="1232">
    <w:name w:val="日期 Char"/>
    <w:qFormat/>
    <w:uiPriority w:val="0"/>
    <w:rPr>
      <w:rFonts w:hint="eastAsia" w:ascii="仿宋_GB2312" w:eastAsia="仿宋_GB2312"/>
      <w:kern w:val="2"/>
      <w:sz w:val="32"/>
    </w:rPr>
  </w:style>
  <w:style w:type="character" w:customStyle="1" w:styleId="1233">
    <w:name w:val="标题 7 Char"/>
    <w:qFormat/>
    <w:uiPriority w:val="9"/>
    <w:rPr>
      <w:b/>
      <w:kern w:val="2"/>
      <w:sz w:val="24"/>
    </w:rPr>
  </w:style>
  <w:style w:type="character" w:customStyle="1" w:styleId="1234">
    <w:name w:val="标题 8 Char"/>
    <w:qFormat/>
    <w:uiPriority w:val="9"/>
    <w:rPr>
      <w:rFonts w:hint="default" w:ascii="Arial" w:hAnsi="Arial" w:eastAsia="黑体" w:cs="Arial"/>
      <w:kern w:val="2"/>
      <w:sz w:val="24"/>
    </w:rPr>
  </w:style>
  <w:style w:type="character" w:customStyle="1" w:styleId="1235">
    <w:name w:val="批注框文本 Char"/>
    <w:qFormat/>
    <w:uiPriority w:val="0"/>
    <w:rPr>
      <w:kern w:val="2"/>
      <w:sz w:val="18"/>
      <w:szCs w:val="18"/>
    </w:rPr>
  </w:style>
  <w:style w:type="character" w:customStyle="1" w:styleId="1236">
    <w:name w:val="标题 Char"/>
    <w:qFormat/>
    <w:uiPriority w:val="10"/>
    <w:rPr>
      <w:rFonts w:hint="eastAsia" w:ascii="等线 Light" w:hAnsi="等线 Light" w:eastAsia="等线 Light"/>
      <w:b/>
      <w:bCs/>
      <w:kern w:val="2"/>
      <w:sz w:val="32"/>
      <w:szCs w:val="32"/>
    </w:rPr>
  </w:style>
  <w:style w:type="paragraph" w:customStyle="1" w:styleId="1237">
    <w:name w:val="中天标题3"/>
    <w:basedOn w:val="1212"/>
    <w:next w:val="1"/>
    <w:qFormat/>
    <w:uiPriority w:val="0"/>
    <w:pPr>
      <w:outlineLvl w:val="2"/>
    </w:pPr>
  </w:style>
  <w:style w:type="paragraph" w:customStyle="1" w:styleId="1238">
    <w:name w:val="中天标题4"/>
    <w:basedOn w:val="1237"/>
    <w:next w:val="1"/>
    <w:qFormat/>
    <w:uiPriority w:val="0"/>
    <w:pPr>
      <w:outlineLvl w:val="3"/>
    </w:pPr>
    <w:rPr>
      <w:rFonts w:eastAsia="宋体"/>
      <w:sz w:val="28"/>
      <w:szCs w:val="28"/>
    </w:rPr>
  </w:style>
  <w:style w:type="paragraph" w:customStyle="1" w:styleId="1239">
    <w:name w:val="中天标题5"/>
    <w:basedOn w:val="1238"/>
    <w:next w:val="1"/>
    <w:qFormat/>
    <w:uiPriority w:val="0"/>
    <w:pPr>
      <w:spacing w:before="120"/>
      <w:outlineLvl w:val="4"/>
    </w:pPr>
    <w:rPr>
      <w:szCs w:val="24"/>
    </w:rPr>
  </w:style>
  <w:style w:type="paragraph" w:customStyle="1" w:styleId="1240">
    <w:name w:val="图示1"/>
    <w:basedOn w:val="1"/>
    <w:link w:val="1242"/>
    <w:qFormat/>
    <w:uiPriority w:val="0"/>
    <w:pPr>
      <w:spacing w:line="360" w:lineRule="auto"/>
      <w:jc w:val="center"/>
    </w:pPr>
    <w:rPr>
      <w:rFonts w:ascii="楷体" w:hAnsi="楷体" w:eastAsia="宋体" w:cs="Times New Roman"/>
      <w:szCs w:val="20"/>
    </w:rPr>
  </w:style>
  <w:style w:type="character" w:customStyle="1" w:styleId="1241">
    <w:name w:val="正文缩进 字符1"/>
    <w:qFormat/>
    <w:uiPriority w:val="0"/>
    <w:rPr>
      <w:szCs w:val="22"/>
    </w:rPr>
  </w:style>
  <w:style w:type="character" w:customStyle="1" w:styleId="1242">
    <w:name w:val="图示1 字符"/>
    <w:basedOn w:val="136"/>
    <w:link w:val="1240"/>
    <w:qFormat/>
    <w:uiPriority w:val="0"/>
    <w:rPr>
      <w:rFonts w:ascii="楷体" w:hAnsi="楷体" w:eastAsia="宋体" w:cs="Times New Roman"/>
      <w:kern w:val="2"/>
      <w:sz w:val="21"/>
    </w:rPr>
  </w:style>
  <w:style w:type="character" w:customStyle="1" w:styleId="1243">
    <w:name w:val="apple-style-span"/>
    <w:basedOn w:val="136"/>
    <w:qFormat/>
    <w:uiPriority w:val="0"/>
  </w:style>
  <w:style w:type="character" w:customStyle="1" w:styleId="1244">
    <w:name w:val="Bullet Char"/>
    <w:link w:val="1245"/>
    <w:qFormat/>
    <w:uiPriority w:val="0"/>
    <w:rPr>
      <w:rFonts w:ascii="Arial" w:hAnsi="Arial" w:eastAsiaTheme="minorEastAsia" w:cstheme="minorBidi"/>
      <w:kern w:val="2"/>
      <w:sz w:val="21"/>
      <w:szCs w:val="22"/>
      <w:lang w:eastAsia="en-US"/>
    </w:rPr>
  </w:style>
  <w:style w:type="paragraph" w:customStyle="1" w:styleId="1245">
    <w:name w:val="Bullet"/>
    <w:basedOn w:val="1"/>
    <w:link w:val="1244"/>
    <w:qFormat/>
    <w:uiPriority w:val="0"/>
    <w:pPr>
      <w:widowControl/>
      <w:numPr>
        <w:ilvl w:val="0"/>
        <w:numId w:val="45"/>
      </w:numPr>
      <w:tabs>
        <w:tab w:val="left" w:pos="1712"/>
      </w:tabs>
      <w:adjustRightInd w:val="0"/>
      <w:spacing w:before="120" w:line="288" w:lineRule="auto"/>
      <w:ind w:left="0" w:firstLine="0"/>
    </w:pPr>
    <w:rPr>
      <w:rFonts w:ascii="Arial" w:hAnsi="Arial"/>
      <w:lang w:eastAsia="en-US"/>
    </w:rPr>
  </w:style>
  <w:style w:type="character" w:customStyle="1" w:styleId="1246">
    <w:name w:val="p15"/>
    <w:basedOn w:val="136"/>
    <w:qFormat/>
    <w:uiPriority w:val="0"/>
  </w:style>
  <w:style w:type="character" w:customStyle="1" w:styleId="1247">
    <w:name w:val="my文本样式 左侧:  1 字符 首行缩进:  0.75 厘米 右侧:  1 字符 行距: 1.5 倍行距 Char"/>
    <w:link w:val="1248"/>
    <w:qFormat/>
    <w:uiPriority w:val="0"/>
    <w:rPr>
      <w:sz w:val="24"/>
      <w:szCs w:val="24"/>
    </w:rPr>
  </w:style>
  <w:style w:type="paragraph" w:customStyle="1" w:styleId="1248">
    <w:name w:val="my文本样式 左侧:  1 字符 首行缩进:  0.75 厘米 右侧:  1 字符 行距: 1.5 倍行距"/>
    <w:basedOn w:val="1"/>
    <w:link w:val="1247"/>
    <w:qFormat/>
    <w:uiPriority w:val="0"/>
    <w:pPr>
      <w:spacing w:line="360" w:lineRule="auto"/>
      <w:ind w:firstLine="480" w:firstLineChars="200"/>
    </w:pPr>
    <w:rPr>
      <w:kern w:val="0"/>
      <w:sz w:val="24"/>
      <w:szCs w:val="24"/>
    </w:rPr>
  </w:style>
  <w:style w:type="character" w:customStyle="1" w:styleId="1249">
    <w:name w:val="段1 Char"/>
    <w:qFormat/>
    <w:uiPriority w:val="0"/>
    <w:rPr>
      <w:rFonts w:eastAsia="宋体"/>
      <w:kern w:val="2"/>
      <w:sz w:val="21"/>
      <w:lang w:val="en-US" w:eastAsia="zh-CN" w:bidi="ar-SA"/>
    </w:rPr>
  </w:style>
  <w:style w:type="character" w:customStyle="1" w:styleId="1250">
    <w:name w:val="articlecontent1"/>
    <w:qFormat/>
    <w:uiPriority w:val="0"/>
    <w:rPr>
      <w:sz w:val="23"/>
      <w:szCs w:val="23"/>
    </w:rPr>
  </w:style>
  <w:style w:type="character" w:customStyle="1" w:styleId="1251">
    <w:name w:val="font1"/>
    <w:qFormat/>
    <w:uiPriority w:val="0"/>
  </w:style>
  <w:style w:type="character" w:customStyle="1" w:styleId="1252">
    <w:name w:val="ziti1"/>
    <w:qFormat/>
    <w:uiPriority w:val="0"/>
    <w:rPr>
      <w:rFonts w:hint="default"/>
      <w:color w:val="282726"/>
      <w:sz w:val="21"/>
      <w:szCs w:val="21"/>
      <w:u w:val="none"/>
    </w:rPr>
  </w:style>
  <w:style w:type="character" w:customStyle="1" w:styleId="1253">
    <w:name w:val="Char Char2"/>
    <w:qFormat/>
    <w:uiPriority w:val="0"/>
    <w:rPr>
      <w:rFonts w:ascii="Arial" w:hAnsi="Arial" w:eastAsia="黑体"/>
      <w:b/>
      <w:bCs/>
      <w:kern w:val="2"/>
      <w:sz w:val="32"/>
      <w:szCs w:val="32"/>
      <w:lang w:val="en-US" w:eastAsia="zh-CN" w:bidi="ar-SA"/>
    </w:rPr>
  </w:style>
  <w:style w:type="character" w:customStyle="1" w:styleId="1254">
    <w:name w:val="body_0020text_0020indent__char1"/>
    <w:qFormat/>
    <w:uiPriority w:val="0"/>
    <w:rPr>
      <w:rFonts w:hint="default" w:ascii="Times New Roman" w:hAnsi="Times New Roman" w:cs="Times New Roman"/>
      <w:sz w:val="24"/>
      <w:szCs w:val="24"/>
    </w:rPr>
  </w:style>
  <w:style w:type="character" w:customStyle="1" w:styleId="1255">
    <w:name w:val="cn_text1"/>
    <w:qFormat/>
    <w:uiPriority w:val="0"/>
    <w:rPr>
      <w:rFonts w:hint="default" w:ascii="ˎ̥" w:hAnsi="ˎ̥"/>
      <w:color w:val="003399"/>
      <w:spacing w:val="15"/>
      <w:sz w:val="18"/>
      <w:szCs w:val="18"/>
    </w:rPr>
  </w:style>
  <w:style w:type="character" w:customStyle="1" w:styleId="1256">
    <w:name w:val="span_param1"/>
    <w:qFormat/>
    <w:uiPriority w:val="0"/>
  </w:style>
  <w:style w:type="character" w:customStyle="1" w:styleId="1257">
    <w:name w:val="w031"/>
    <w:qFormat/>
    <w:uiPriority w:val="0"/>
    <w:rPr>
      <w:rFonts w:hint="eastAsia" w:ascii="宋体" w:hAnsi="宋体" w:eastAsia="宋体"/>
      <w:color w:val="666666"/>
      <w:sz w:val="24"/>
      <w:szCs w:val="24"/>
    </w:rPr>
  </w:style>
  <w:style w:type="character" w:customStyle="1" w:styleId="1258">
    <w:name w:val="fontstrikethrough"/>
    <w:qFormat/>
    <w:uiPriority w:val="0"/>
    <w:rPr>
      <w:strike/>
    </w:rPr>
  </w:style>
  <w:style w:type="character" w:customStyle="1" w:styleId="1259">
    <w:name w:val="gray"/>
    <w:qFormat/>
    <w:uiPriority w:val="0"/>
    <w:rPr>
      <w:color w:val="484C48"/>
    </w:rPr>
  </w:style>
  <w:style w:type="character" w:customStyle="1" w:styleId="1260">
    <w:name w:val="List Paragraph Char"/>
    <w:qFormat/>
    <w:locked/>
    <w:uiPriority w:val="0"/>
    <w:rPr>
      <w:rFonts w:ascii="Calibri" w:hAnsi="Calibri"/>
      <w:szCs w:val="22"/>
    </w:rPr>
  </w:style>
  <w:style w:type="character" w:customStyle="1" w:styleId="1261">
    <w:name w:val="fontborder"/>
    <w:qFormat/>
    <w:uiPriority w:val="0"/>
    <w:rPr>
      <w:bdr w:val="single" w:color="000000" w:sz="6" w:space="0"/>
    </w:rPr>
  </w:style>
  <w:style w:type="character" w:customStyle="1" w:styleId="1262">
    <w:name w:val="concenttitle"/>
    <w:qFormat/>
    <w:uiPriority w:val="0"/>
  </w:style>
  <w:style w:type="character" w:customStyle="1" w:styleId="1263">
    <w:name w:val="title_black_141"/>
    <w:qFormat/>
    <w:uiPriority w:val="0"/>
    <w:rPr>
      <w:color w:val="000000"/>
      <w:sz w:val="21"/>
      <w:szCs w:val="21"/>
      <w:u w:val="none"/>
    </w:rPr>
  </w:style>
  <w:style w:type="character" w:customStyle="1" w:styleId="1264">
    <w:name w:val="15"/>
    <w:qFormat/>
    <w:uiPriority w:val="0"/>
  </w:style>
  <w:style w:type="character" w:customStyle="1" w:styleId="1265">
    <w:name w:val="keywords1"/>
    <w:qFormat/>
    <w:uiPriority w:val="0"/>
    <w:rPr>
      <w:rFonts w:hint="default" w:ascii="Verdana" w:hAnsi="Verdana"/>
      <w:color w:val="FF6600"/>
      <w:sz w:val="20"/>
      <w:szCs w:val="20"/>
    </w:rPr>
  </w:style>
  <w:style w:type="character" w:customStyle="1" w:styleId="1266">
    <w:name w:val="span_paramvalue"/>
    <w:qFormat/>
    <w:uiPriority w:val="0"/>
  </w:style>
  <w:style w:type="character" w:customStyle="1" w:styleId="1267">
    <w:name w:val="c9"/>
    <w:qFormat/>
    <w:uiPriority w:val="0"/>
  </w:style>
  <w:style w:type="character" w:customStyle="1" w:styleId="1268">
    <w:name w:val="px14"/>
    <w:qFormat/>
    <w:uiPriority w:val="0"/>
  </w:style>
  <w:style w:type="character" w:customStyle="1" w:styleId="1269">
    <w:name w:val="infocontent1"/>
    <w:qFormat/>
    <w:uiPriority w:val="0"/>
    <w:rPr>
      <w:sz w:val="23"/>
      <w:szCs w:val="23"/>
    </w:rPr>
  </w:style>
  <w:style w:type="character" w:customStyle="1" w:styleId="1270">
    <w:name w:val="alt+Z Char Char"/>
    <w:link w:val="604"/>
    <w:qFormat/>
    <w:uiPriority w:val="0"/>
    <w:rPr>
      <w:rFonts w:ascii="Times New Roman" w:hAnsi="Times New Roman" w:eastAsia="宋体" w:cs="宋体"/>
      <w:kern w:val="2"/>
      <w:sz w:val="24"/>
    </w:rPr>
  </w:style>
  <w:style w:type="character" w:customStyle="1" w:styleId="1271">
    <w:name w:val="HTML 地址 Char1"/>
    <w:basedOn w:val="136"/>
    <w:semiHidden/>
    <w:qFormat/>
    <w:uiPriority w:val="99"/>
    <w:rPr>
      <w:i/>
      <w:iCs/>
    </w:rPr>
  </w:style>
  <w:style w:type="character" w:customStyle="1" w:styleId="1272">
    <w:name w:val="HTML 预设格式 Char1"/>
    <w:basedOn w:val="136"/>
    <w:semiHidden/>
    <w:qFormat/>
    <w:uiPriority w:val="99"/>
    <w:rPr>
      <w:rFonts w:ascii="Courier New" w:hAnsi="Courier New" w:cs="Courier New"/>
      <w:sz w:val="20"/>
      <w:szCs w:val="20"/>
    </w:rPr>
  </w:style>
  <w:style w:type="paragraph" w:customStyle="1" w:styleId="1273">
    <w:name w:val="xl151"/>
    <w:basedOn w:val="1"/>
    <w:qFormat/>
    <w:uiPriority w:val="0"/>
    <w:pPr>
      <w:widowControl/>
      <w:pBdr>
        <w:top w:val="single" w:color="auto" w:sz="4" w:space="0"/>
        <w:bottom w:val="single" w:color="000000" w:sz="4" w:space="0"/>
        <w:right w:val="single" w:color="auto"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274">
    <w:name w:val="xl86"/>
    <w:basedOn w:val="1"/>
    <w:qFormat/>
    <w:uiPriority w:val="0"/>
    <w:pPr>
      <w:widowControl/>
      <w:pBdr>
        <w:top w:val="single" w:color="000000" w:sz="4" w:space="0"/>
        <w:bottom w:val="single" w:color="000000" w:sz="4" w:space="0"/>
        <w:right w:val="single" w:color="000000" w:sz="4" w:space="0"/>
      </w:pBdr>
      <w:shd w:val="clear" w:color="000000" w:fill="FFFF00"/>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275">
    <w:name w:val="xl160"/>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i/>
      <w:iCs/>
      <w:color w:val="000000"/>
      <w:kern w:val="0"/>
      <w:sz w:val="20"/>
      <w:szCs w:val="20"/>
    </w:rPr>
  </w:style>
  <w:style w:type="paragraph" w:customStyle="1" w:styleId="1276">
    <w:name w:val="备注说明 Char"/>
    <w:basedOn w:val="70"/>
    <w:link w:val="1974"/>
    <w:qFormat/>
    <w:uiPriority w:val="0"/>
    <w:pPr>
      <w:adjustRightInd w:val="0"/>
      <w:spacing w:line="312" w:lineRule="atLeast"/>
      <w:ind w:left="420" w:hanging="420"/>
      <w:textAlignment w:val="baseline"/>
    </w:pPr>
    <w:rPr>
      <w:rFonts w:ascii="Times New Roman" w:hAnsi="Times New Roman" w:eastAsia="仿宋"/>
      <w:sz w:val="24"/>
      <w:szCs w:val="24"/>
    </w:rPr>
  </w:style>
  <w:style w:type="paragraph" w:customStyle="1" w:styleId="1277">
    <w:name w:val="xl150"/>
    <w:basedOn w:val="1"/>
    <w:qFormat/>
    <w:uiPriority w:val="0"/>
    <w:pPr>
      <w:widowControl/>
      <w:pBdr>
        <w:top w:val="single" w:color="auto"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278">
    <w:name w:val="xl165"/>
    <w:basedOn w:val="1"/>
    <w:qFormat/>
    <w:uiPriority w:val="0"/>
    <w:pPr>
      <w:widowControl/>
      <w:pBdr>
        <w:top w:val="single" w:color="000000" w:sz="4" w:space="0"/>
        <w:left w:val="single" w:color="000000" w:sz="4" w:space="0"/>
        <w:bottom w:val="single" w:color="000000" w:sz="4" w:space="0"/>
      </w:pBdr>
      <w:shd w:val="clear" w:color="000000" w:fill="FFFF00"/>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279">
    <w:name w:val="xl163"/>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280">
    <w:name w:val="MM Topic 1"/>
    <w:basedOn w:val="4"/>
    <w:qFormat/>
    <w:uiPriority w:val="0"/>
    <w:pPr>
      <w:numPr>
        <w:numId w:val="0"/>
      </w:numPr>
      <w:tabs>
        <w:tab w:val="left" w:pos="357"/>
        <w:tab w:val="left" w:pos="425"/>
      </w:tabs>
      <w:spacing w:before="0" w:after="0"/>
      <w:jc w:val="both"/>
    </w:pPr>
    <w:rPr>
      <w:rFonts w:ascii="仿宋" w:hAnsi="Calibri" w:cs="Times New Roman"/>
      <w:sz w:val="48"/>
      <w:szCs w:val="44"/>
    </w:rPr>
  </w:style>
  <w:style w:type="paragraph" w:customStyle="1" w:styleId="1281">
    <w:name w:val="默认段落字体 Para Char Char"/>
    <w:basedOn w:val="1"/>
    <w:qFormat/>
    <w:uiPriority w:val="0"/>
    <w:pPr>
      <w:spacing w:line="360" w:lineRule="auto"/>
    </w:pPr>
    <w:rPr>
      <w:rFonts w:ascii="Calibri" w:hAnsi="Calibri" w:eastAsia="仿宋" w:cs="Times New Roman"/>
      <w:sz w:val="24"/>
      <w:szCs w:val="24"/>
    </w:rPr>
  </w:style>
  <w:style w:type="paragraph" w:customStyle="1" w:styleId="1282">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283">
    <w:name w:val="xl118"/>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284">
    <w:name w:val="Char1"/>
    <w:basedOn w:val="1"/>
    <w:qFormat/>
    <w:uiPriority w:val="0"/>
    <w:pPr>
      <w:spacing w:line="360" w:lineRule="auto"/>
    </w:pPr>
    <w:rPr>
      <w:rFonts w:ascii="仿宋_GB2312" w:hAnsi="Calibri" w:eastAsia="仿宋_GB2312" w:cs="Times New Roman"/>
      <w:b/>
      <w:sz w:val="32"/>
      <w:szCs w:val="32"/>
    </w:rPr>
  </w:style>
  <w:style w:type="paragraph" w:customStyle="1" w:styleId="1285">
    <w:name w:val="xl121"/>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286">
    <w:name w:val="xl120"/>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287">
    <w:name w:val="样式 正文样式 + 小四"/>
    <w:basedOn w:val="326"/>
    <w:qFormat/>
    <w:uiPriority w:val="0"/>
    <w:rPr>
      <w:rFonts w:asciiTheme="minorHAnsi" w:hAnsiTheme="minorHAnsi" w:cstheme="minorBidi"/>
      <w:sz w:val="28"/>
    </w:rPr>
  </w:style>
  <w:style w:type="paragraph" w:customStyle="1" w:styleId="1288">
    <w:name w:val="xl164"/>
    <w:basedOn w:val="1"/>
    <w:qFormat/>
    <w:uiPriority w:val="0"/>
    <w:pPr>
      <w:widowControl/>
      <w:pBdr>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289">
    <w:name w:val="样式 目录 1 + 段前: 0.2 行 段后: 0.2 行"/>
    <w:basedOn w:val="63"/>
    <w:qFormat/>
    <w:uiPriority w:val="0"/>
    <w:pPr>
      <w:spacing w:before="120" w:beforeLines="40" w:after="120" w:afterLines="40" w:line="300" w:lineRule="auto"/>
      <w:jc w:val="left"/>
    </w:pPr>
    <w:rPr>
      <w:rFonts w:ascii="Times New Roman" w:hAnsi="Times New Roman" w:eastAsia="黑体" w:cs="宋体"/>
      <w:b/>
      <w:bCs/>
      <w:caps/>
      <w:sz w:val="24"/>
      <w:szCs w:val="20"/>
    </w:rPr>
  </w:style>
  <w:style w:type="paragraph" w:customStyle="1" w:styleId="1290">
    <w:name w:val="xl128"/>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291">
    <w:name w:val="xl148"/>
    <w:basedOn w:val="1"/>
    <w:qFormat/>
    <w:uiPriority w:val="0"/>
    <w:pPr>
      <w:widowControl/>
      <w:pBdr>
        <w:top w:val="single" w:color="auto" w:sz="4" w:space="0"/>
        <w:bottom w:val="single" w:color="auto"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292">
    <w:name w:val="font7"/>
    <w:basedOn w:val="1"/>
    <w:qFormat/>
    <w:uiPriority w:val="0"/>
    <w:pPr>
      <w:widowControl/>
      <w:spacing w:before="100" w:beforeAutospacing="1" w:after="100" w:afterAutospacing="1" w:line="360" w:lineRule="auto"/>
      <w:jc w:val="left"/>
    </w:pPr>
    <w:rPr>
      <w:rFonts w:ascii="Calibri" w:hAnsi="Calibri" w:eastAsia="仿宋" w:cs="Times New Roman"/>
      <w:kern w:val="0"/>
      <w:sz w:val="24"/>
      <w:szCs w:val="24"/>
    </w:rPr>
  </w:style>
  <w:style w:type="paragraph" w:customStyle="1" w:styleId="1293">
    <w:name w:val="xl104"/>
    <w:basedOn w:val="1"/>
    <w:qFormat/>
    <w:uiPriority w:val="0"/>
    <w:pPr>
      <w:widowControl/>
      <w:pBdr>
        <w:top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294">
    <w:name w:val="font0"/>
    <w:basedOn w:val="1"/>
    <w:qFormat/>
    <w:uiPriority w:val="0"/>
    <w:pPr>
      <w:widowControl/>
      <w:spacing w:before="100" w:beforeAutospacing="1" w:after="100" w:afterAutospacing="1" w:line="360" w:lineRule="auto"/>
      <w:jc w:val="left"/>
    </w:pPr>
    <w:rPr>
      <w:rFonts w:hint="eastAsia" w:ascii="宋体" w:hAnsi="宋体" w:eastAsia="仿宋" w:cs="Times New Roman"/>
      <w:kern w:val="0"/>
      <w:sz w:val="24"/>
      <w:szCs w:val="24"/>
    </w:rPr>
  </w:style>
  <w:style w:type="paragraph" w:customStyle="1" w:styleId="1295">
    <w:name w:val="xl96"/>
    <w:basedOn w:val="1"/>
    <w:qFormat/>
    <w:uiPriority w:val="0"/>
    <w:pPr>
      <w:widowControl/>
      <w:pBdr>
        <w:top w:val="single" w:color="auto" w:sz="4" w:space="0"/>
        <w:bottom w:val="single" w:color="auto"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296">
    <w:name w:val="标题 1（绿盟科技）"/>
    <w:basedOn w:val="4"/>
    <w:next w:val="1"/>
    <w:qFormat/>
    <w:uiPriority w:val="0"/>
    <w:pPr>
      <w:numPr>
        <w:numId w:val="0"/>
      </w:numPr>
      <w:tabs>
        <w:tab w:val="left" w:pos="357"/>
      </w:tabs>
      <w:spacing w:before="0" w:after="0" w:line="576" w:lineRule="auto"/>
      <w:jc w:val="left"/>
    </w:pPr>
    <w:rPr>
      <w:rFonts w:ascii="Arial" w:hAnsi="Arial" w:eastAsia="黑体" w:cs="Times New Roman"/>
      <w:sz w:val="48"/>
      <w:szCs w:val="44"/>
    </w:rPr>
  </w:style>
  <w:style w:type="paragraph" w:customStyle="1" w:styleId="1297">
    <w:name w:val="xl143"/>
    <w:basedOn w:val="1"/>
    <w:qFormat/>
    <w:uiPriority w:val="0"/>
    <w:pPr>
      <w:widowControl/>
      <w:pBdr>
        <w:left w:val="single" w:color="000000"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298">
    <w:name w:val="xl127"/>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299">
    <w:name w:val="Char Char Char Char2"/>
    <w:basedOn w:val="1"/>
    <w:qFormat/>
    <w:uiPriority w:val="0"/>
    <w:pPr>
      <w:spacing w:line="360" w:lineRule="auto"/>
    </w:pPr>
    <w:rPr>
      <w:rFonts w:ascii="Tahoma" w:hAnsi="Tahoma" w:eastAsia="仿宋" w:cs="Times New Roman"/>
      <w:sz w:val="24"/>
      <w:szCs w:val="20"/>
    </w:rPr>
  </w:style>
  <w:style w:type="paragraph" w:customStyle="1" w:styleId="1300">
    <w:name w:val="xl125"/>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仿宋_GB2312" w:hAnsi="宋体" w:eastAsia="仿宋_GB2312" w:cs="宋体"/>
      <w:color w:val="000000"/>
      <w:kern w:val="0"/>
      <w:sz w:val="20"/>
      <w:szCs w:val="20"/>
    </w:rPr>
  </w:style>
  <w:style w:type="paragraph" w:customStyle="1" w:styleId="1301">
    <w:name w:val="xl119"/>
    <w:basedOn w:val="1"/>
    <w:qFormat/>
    <w:uiPriority w:val="0"/>
    <w:pPr>
      <w:widowControl/>
      <w:pBdr>
        <w:top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02">
    <w:name w:val="xl167"/>
    <w:basedOn w:val="1"/>
    <w:qFormat/>
    <w:uiPriority w:val="0"/>
    <w:pPr>
      <w:widowControl/>
      <w:pBdr>
        <w:top w:val="single" w:color="000000" w:sz="4" w:space="0"/>
        <w:bottom w:val="single" w:color="000000" w:sz="4" w:space="0"/>
        <w:right w:val="single" w:color="000000" w:sz="4" w:space="0"/>
      </w:pBdr>
      <w:shd w:val="clear" w:color="000000" w:fill="FFFF00"/>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03">
    <w:name w:val="xl85"/>
    <w:basedOn w:val="1"/>
    <w:qFormat/>
    <w:uiPriority w:val="0"/>
    <w:pPr>
      <w:widowControl/>
      <w:pBdr>
        <w:top w:val="single" w:color="000000" w:sz="4" w:space="0"/>
        <w:bottom w:val="single" w:color="000000" w:sz="4" w:space="0"/>
      </w:pBdr>
      <w:shd w:val="clear" w:color="000000" w:fill="FFFF00"/>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304">
    <w:name w:val="xl83"/>
    <w:basedOn w:val="1"/>
    <w:qFormat/>
    <w:uiPriority w:val="0"/>
    <w:pPr>
      <w:widowControl/>
      <w:pBdr>
        <w:top w:val="single" w:color="000000" w:sz="4" w:space="0"/>
        <w:bottom w:val="single" w:color="000000" w:sz="4" w:space="0"/>
      </w:pBdr>
      <w:shd w:val="clear" w:color="000000" w:fill="B7DEE8"/>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305">
    <w:name w:val="xl144"/>
    <w:basedOn w:val="1"/>
    <w:qFormat/>
    <w:uiPriority w:val="0"/>
    <w:pPr>
      <w:widowControl/>
      <w:pBdr>
        <w:left w:val="single" w:color="000000" w:sz="4" w:space="0"/>
        <w:bottom w:val="single" w:color="000000"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06">
    <w:name w:val="xl140"/>
    <w:basedOn w:val="1"/>
    <w:qFormat/>
    <w:uiPriority w:val="0"/>
    <w:pPr>
      <w:widowControl/>
      <w:pBdr>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07">
    <w:name w:val="xl93"/>
    <w:basedOn w:val="1"/>
    <w:qFormat/>
    <w:uiPriority w:val="0"/>
    <w:pPr>
      <w:widowControl/>
      <w:pBdr>
        <w:top w:val="single" w:color="000000" w:sz="4" w:space="0"/>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08">
    <w:name w:val="xl131"/>
    <w:basedOn w:val="1"/>
    <w:qFormat/>
    <w:uiPriority w:val="0"/>
    <w:pPr>
      <w:widowControl/>
      <w:pBdr>
        <w:lef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09">
    <w:name w:val="xl122"/>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310">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B7DEE8"/>
      <w:spacing w:before="100" w:beforeAutospacing="1" w:after="100" w:afterAutospacing="1" w:line="360" w:lineRule="auto"/>
      <w:jc w:val="left"/>
      <w:textAlignment w:val="center"/>
    </w:pPr>
    <w:rPr>
      <w:rFonts w:ascii="宋体" w:hAnsi="宋体" w:eastAsia="仿宋" w:cs="宋体"/>
      <w:color w:val="0000FF"/>
      <w:kern w:val="0"/>
      <w:sz w:val="20"/>
      <w:szCs w:val="20"/>
    </w:rPr>
  </w:style>
  <w:style w:type="paragraph" w:customStyle="1" w:styleId="1311">
    <w:name w:val="xl136"/>
    <w:basedOn w:val="1"/>
    <w:qFormat/>
    <w:uiPriority w:val="0"/>
    <w:pPr>
      <w:widowControl/>
      <w:pBdr>
        <w:top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12">
    <w:name w:val="xl105"/>
    <w:basedOn w:val="1"/>
    <w:qFormat/>
    <w:uiPriority w:val="0"/>
    <w:pPr>
      <w:widowControl/>
      <w:pBdr>
        <w:top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13">
    <w:name w:val="xl102"/>
    <w:basedOn w:val="1"/>
    <w:qFormat/>
    <w:uiPriority w:val="0"/>
    <w:pPr>
      <w:widowControl/>
      <w:pBdr>
        <w:top w:val="single" w:color="000000" w:sz="4" w:space="0"/>
        <w:left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14">
    <w:name w:val="xl81"/>
    <w:basedOn w:val="1"/>
    <w:qFormat/>
    <w:uiPriority w:val="0"/>
    <w:pPr>
      <w:widowControl/>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315">
    <w:name w:val="Char"/>
    <w:basedOn w:val="1"/>
    <w:qFormat/>
    <w:uiPriority w:val="0"/>
    <w:pPr>
      <w:spacing w:line="360" w:lineRule="auto"/>
      <w:ind w:firstLine="200" w:firstLineChars="200"/>
    </w:pPr>
    <w:rPr>
      <w:rFonts w:ascii="仿宋_GB2312" w:hAnsi="Calibri" w:eastAsia="仿宋_GB2312" w:cs="Times New Roman"/>
      <w:b/>
      <w:sz w:val="30"/>
      <w:szCs w:val="32"/>
    </w:rPr>
  </w:style>
  <w:style w:type="paragraph" w:customStyle="1" w:styleId="1316">
    <w:name w:val="xl117"/>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17">
    <w:name w:val="xl135"/>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18">
    <w:name w:val="xl129"/>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19">
    <w:name w:val="xl124"/>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仿宋_GB2312" w:hAnsi="宋体" w:eastAsia="仿宋_GB2312" w:cs="宋体"/>
      <w:color w:val="000000"/>
      <w:kern w:val="0"/>
      <w:sz w:val="20"/>
      <w:szCs w:val="20"/>
    </w:rPr>
  </w:style>
  <w:style w:type="paragraph" w:customStyle="1" w:styleId="1320">
    <w:name w:val="xl126"/>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21">
    <w:name w:val="Char Char Char1 Char"/>
    <w:basedOn w:val="1"/>
    <w:qFormat/>
    <w:uiPriority w:val="0"/>
    <w:pPr>
      <w:adjustRightInd w:val="0"/>
      <w:snapToGrid w:val="0"/>
      <w:spacing w:line="360" w:lineRule="auto"/>
      <w:ind w:firstLine="200" w:firstLineChars="200"/>
      <w:jc w:val="left"/>
    </w:pPr>
    <w:rPr>
      <w:rFonts w:ascii="仿宋_GB2312" w:hAnsi="Calibri" w:eastAsia="仿宋_GB2312" w:cs="Times New Roman"/>
      <w:b/>
      <w:sz w:val="32"/>
      <w:szCs w:val="32"/>
    </w:rPr>
  </w:style>
  <w:style w:type="paragraph" w:customStyle="1" w:styleId="1322">
    <w:name w:val="xl166"/>
    <w:basedOn w:val="1"/>
    <w:qFormat/>
    <w:uiPriority w:val="99"/>
    <w:pPr>
      <w:widowControl/>
      <w:pBdr>
        <w:top w:val="single" w:color="000000" w:sz="4" w:space="0"/>
        <w:bottom w:val="single" w:color="000000" w:sz="4" w:space="0"/>
      </w:pBdr>
      <w:shd w:val="clear" w:color="000000" w:fill="FFFF00"/>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23">
    <w:name w:val="xl14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24">
    <w:name w:val="xl138"/>
    <w:basedOn w:val="1"/>
    <w:qFormat/>
    <w:uiPriority w:val="0"/>
    <w:pPr>
      <w:widowControl/>
      <w:pBdr>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25">
    <w:name w:val="xl130"/>
    <w:basedOn w:val="1"/>
    <w:qFormat/>
    <w:uiPriority w:val="0"/>
    <w:pPr>
      <w:widowControl/>
      <w:pBdr>
        <w:top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26">
    <w:name w:val="xl171"/>
    <w:basedOn w:val="1"/>
    <w:qFormat/>
    <w:uiPriority w:val="99"/>
    <w:pPr>
      <w:widowControl/>
      <w:pBdr>
        <w:right w:val="single" w:color="000000" w:sz="4" w:space="0"/>
      </w:pBdr>
      <w:shd w:val="clear" w:color="000000" w:fill="FABF8F"/>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27">
    <w:name w:val="xl10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28">
    <w:name w:val="xl170"/>
    <w:basedOn w:val="1"/>
    <w:qFormat/>
    <w:uiPriority w:val="0"/>
    <w:pPr>
      <w:widowControl/>
      <w:shd w:val="clear" w:color="000000" w:fill="FABF8F"/>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29">
    <w:name w:val="xl107"/>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30">
    <w:name w:val="xl157"/>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331">
    <w:name w:val="xl132"/>
    <w:basedOn w:val="1"/>
    <w:qFormat/>
    <w:uiPriority w:val="0"/>
    <w:pPr>
      <w:widowControl/>
      <w:pBdr>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3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33">
    <w:name w:val="xl149"/>
    <w:basedOn w:val="1"/>
    <w:qFormat/>
    <w:uiPriority w:val="0"/>
    <w:pPr>
      <w:widowControl/>
      <w:pBdr>
        <w:top w:val="single" w:color="auto" w:sz="4" w:space="0"/>
        <w:left w:val="single" w:color="auto"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34">
    <w:name w:val="xl103"/>
    <w:basedOn w:val="1"/>
    <w:qFormat/>
    <w:uiPriority w:val="0"/>
    <w:pPr>
      <w:widowControl/>
      <w:pBdr>
        <w:top w:val="single" w:color="000000" w:sz="4" w:space="0"/>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35">
    <w:name w:val="3级"/>
    <w:basedOn w:val="7"/>
    <w:qFormat/>
    <w:uiPriority w:val="0"/>
    <w:pPr>
      <w:spacing w:beforeLines="50" w:afterLines="50" w:line="360" w:lineRule="auto"/>
    </w:pPr>
    <w:rPr>
      <w:rFonts w:cs="Times New Roman"/>
      <w:sz w:val="21"/>
      <w:szCs w:val="21"/>
    </w:rPr>
  </w:style>
  <w:style w:type="paragraph" w:customStyle="1" w:styleId="1336">
    <w:name w:val="xl154"/>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337">
    <w:name w:val="Char1 Char Char Char Char Char Char"/>
    <w:basedOn w:val="1"/>
    <w:qFormat/>
    <w:uiPriority w:val="0"/>
    <w:pPr>
      <w:spacing w:line="360" w:lineRule="auto"/>
    </w:pPr>
    <w:rPr>
      <w:rFonts w:ascii="Tahoma" w:hAnsi="Tahoma" w:eastAsia="仿宋" w:cs="Times New Roman"/>
      <w:sz w:val="24"/>
      <w:szCs w:val="20"/>
    </w:rPr>
  </w:style>
  <w:style w:type="paragraph" w:customStyle="1" w:styleId="1338">
    <w:name w:val="样式 目录 3 + 段前: 0.2 行 段后: 0.2 行"/>
    <w:basedOn w:val="48"/>
    <w:qFormat/>
    <w:uiPriority w:val="0"/>
    <w:pPr>
      <w:spacing w:before="62" w:after="62" w:line="360" w:lineRule="auto"/>
      <w:ind w:left="482" w:leftChars="0"/>
      <w:jc w:val="left"/>
    </w:pPr>
    <w:rPr>
      <w:rFonts w:cs="宋体"/>
      <w:i/>
      <w:iCs/>
      <w:sz w:val="24"/>
      <w:szCs w:val="21"/>
    </w:rPr>
  </w:style>
  <w:style w:type="paragraph" w:customStyle="1" w:styleId="1339">
    <w:name w:val="xl8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line="360" w:lineRule="auto"/>
      <w:jc w:val="left"/>
      <w:textAlignment w:val="center"/>
    </w:pPr>
    <w:rPr>
      <w:rFonts w:ascii="宋体" w:hAnsi="宋体" w:eastAsia="仿宋" w:cs="宋体"/>
      <w:color w:val="0000FF"/>
      <w:kern w:val="0"/>
      <w:sz w:val="20"/>
      <w:szCs w:val="20"/>
    </w:rPr>
  </w:style>
  <w:style w:type="paragraph" w:customStyle="1" w:styleId="1340">
    <w:name w:val="正文 首行缩进"/>
    <w:basedOn w:val="1"/>
    <w:qFormat/>
    <w:uiPriority w:val="0"/>
    <w:pPr>
      <w:spacing w:line="360" w:lineRule="auto"/>
      <w:ind w:firstLine="200" w:firstLineChars="200"/>
    </w:pPr>
    <w:rPr>
      <w:rFonts w:ascii="Calibri" w:hAnsi="Calibri" w:eastAsia="仿宋" w:cs="Times New Roman"/>
      <w:sz w:val="28"/>
      <w:szCs w:val="20"/>
    </w:rPr>
  </w:style>
  <w:style w:type="paragraph" w:customStyle="1" w:styleId="1341">
    <w:name w:val="样式 正文缩进 + (中文) 仿宋_GB2312 小四 Char"/>
    <w:basedOn w:val="28"/>
    <w:qFormat/>
    <w:uiPriority w:val="0"/>
    <w:pPr>
      <w:ind w:firstLine="480" w:firstLineChars="200"/>
    </w:pPr>
    <w:rPr>
      <w:rFonts w:ascii="宋体" w:hAnsi="宋体" w:eastAsiaTheme="minorEastAsia" w:cstheme="minorBidi"/>
      <w:szCs w:val="24"/>
    </w:rPr>
  </w:style>
  <w:style w:type="paragraph" w:customStyle="1" w:styleId="1342">
    <w:name w:val="MM Topic 6"/>
    <w:basedOn w:val="15"/>
    <w:qFormat/>
    <w:uiPriority w:val="0"/>
    <w:pPr>
      <w:numPr>
        <w:numId w:val="46"/>
      </w:numPr>
      <w:tabs>
        <w:tab w:val="left" w:pos="360"/>
      </w:tabs>
      <w:spacing w:before="240" w:after="64" w:line="319" w:lineRule="auto"/>
    </w:pPr>
    <w:rPr>
      <w:rFonts w:ascii="Cambria" w:hAnsi="Cambria" w:cs="Times New Roman"/>
      <w:sz w:val="24"/>
    </w:rPr>
  </w:style>
  <w:style w:type="paragraph" w:customStyle="1" w:styleId="1343">
    <w:name w:val="xl15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right"/>
      <w:textAlignment w:val="center"/>
    </w:pPr>
    <w:rPr>
      <w:rFonts w:ascii="仿宋_GB2312" w:hAnsi="宋体" w:eastAsia="仿宋_GB2312" w:cs="宋体"/>
      <w:i/>
      <w:iCs/>
      <w:color w:val="FF0000"/>
      <w:kern w:val="0"/>
      <w:sz w:val="20"/>
      <w:szCs w:val="20"/>
    </w:rPr>
  </w:style>
  <w:style w:type="paragraph" w:customStyle="1" w:styleId="1344">
    <w:name w:val="标题 1 + 宋体 + 微软雅黑 小四 Char"/>
    <w:basedOn w:val="4"/>
    <w:next w:val="5"/>
    <w:qFormat/>
    <w:uiPriority w:val="0"/>
    <w:pPr>
      <w:widowControl/>
      <w:numPr>
        <w:numId w:val="0"/>
      </w:numPr>
      <w:tabs>
        <w:tab w:val="left" w:pos="357"/>
      </w:tabs>
      <w:spacing w:before="0" w:after="0" w:line="240" w:lineRule="auto"/>
      <w:ind w:left="425" w:hanging="425"/>
      <w:jc w:val="both"/>
    </w:pPr>
    <w:rPr>
      <w:rFonts w:ascii="微软雅黑" w:hAnsi="微软雅黑" w:eastAsia="微软雅黑" w:cs="Times New Roman"/>
      <w:sz w:val="30"/>
      <w:szCs w:val="24"/>
      <w:lang w:eastAsia="en-US"/>
    </w:rPr>
  </w:style>
  <w:style w:type="paragraph" w:customStyle="1" w:styleId="1345">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hint="eastAsia" w:ascii="仿宋_GB2312" w:hAnsi="Arial Unicode MS" w:eastAsia="仿宋_GB2312" w:cs="Times New Roman"/>
      <w:kern w:val="0"/>
      <w:sz w:val="24"/>
      <w:szCs w:val="24"/>
    </w:rPr>
  </w:style>
  <w:style w:type="paragraph" w:customStyle="1" w:styleId="1346">
    <w:name w:val="xl25"/>
    <w:basedOn w:val="1"/>
    <w:qFormat/>
    <w:uiPriority w:val="0"/>
    <w:pPr>
      <w:widowControl/>
      <w:pBdr>
        <w:bottom w:val="double" w:color="auto" w:sz="6" w:space="0"/>
        <w:right w:val="double" w:color="auto" w:sz="6" w:space="0"/>
      </w:pBdr>
      <w:spacing w:before="100" w:beforeAutospacing="1" w:after="100" w:afterAutospacing="1" w:line="360" w:lineRule="auto"/>
      <w:jc w:val="center"/>
    </w:pPr>
    <w:rPr>
      <w:rFonts w:ascii="宋体" w:hAnsi="宋体" w:eastAsia="仿宋" w:cs="Times New Roman"/>
      <w:kern w:val="0"/>
      <w:sz w:val="24"/>
      <w:szCs w:val="21"/>
    </w:rPr>
  </w:style>
  <w:style w:type="paragraph" w:customStyle="1" w:styleId="1347">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348">
    <w:name w:val="Char1 Char Char Char1"/>
    <w:basedOn w:val="1"/>
    <w:qFormat/>
    <w:uiPriority w:val="0"/>
    <w:pPr>
      <w:spacing w:line="360" w:lineRule="auto"/>
    </w:pPr>
    <w:rPr>
      <w:rFonts w:ascii="Tahoma" w:hAnsi="Tahoma" w:eastAsia="仿宋" w:cs="Times New Roman"/>
      <w:sz w:val="24"/>
      <w:szCs w:val="20"/>
    </w:rPr>
  </w:style>
  <w:style w:type="paragraph" w:customStyle="1" w:styleId="1349">
    <w:name w:val="xl92"/>
    <w:basedOn w:val="1"/>
    <w:qFormat/>
    <w:uiPriority w:val="0"/>
    <w:pPr>
      <w:widowControl/>
      <w:pBdr>
        <w:top w:val="single" w:color="000000" w:sz="4" w:space="0"/>
        <w:left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50">
    <w:name w:val="样式 正文首行缩进 + 首行缩进:  1 字符"/>
    <w:basedOn w:val="9"/>
    <w:qFormat/>
    <w:uiPriority w:val="0"/>
    <w:pPr>
      <w:spacing w:after="120" w:line="240" w:lineRule="auto"/>
      <w:ind w:firstLine="200" w:firstLineChars="200"/>
    </w:pPr>
    <w:rPr>
      <w:rFonts w:ascii="Times New Roman" w:hAnsi="Times New Roman" w:eastAsia="华文细黑" w:cstheme="minorBidi"/>
      <w:sz w:val="24"/>
    </w:rPr>
  </w:style>
  <w:style w:type="paragraph" w:customStyle="1" w:styleId="1351">
    <w:name w:val="样式 标题 2 + 段前: 1 行 段后: 1 行"/>
    <w:basedOn w:val="5"/>
    <w:qFormat/>
    <w:uiPriority w:val="99"/>
    <w:pPr>
      <w:widowControl/>
      <w:numPr>
        <w:ilvl w:val="0"/>
        <w:numId w:val="0"/>
      </w:numPr>
      <w:spacing w:before="0" w:beforeLines="100" w:after="0" w:afterLines="50" w:line="360" w:lineRule="auto"/>
      <w:jc w:val="left"/>
    </w:pPr>
    <w:rPr>
      <w:rFonts w:ascii="Arial" w:hAnsi="Arial" w:eastAsia="黑体" w:cs="宋体"/>
      <w:sz w:val="44"/>
      <w:szCs w:val="20"/>
    </w:rPr>
  </w:style>
  <w:style w:type="paragraph" w:customStyle="1" w:styleId="1352">
    <w:name w:val="文件标识号"/>
    <w:basedOn w:val="1"/>
    <w:qFormat/>
    <w:uiPriority w:val="0"/>
    <w:pPr>
      <w:widowControl/>
      <w:adjustRightInd w:val="0"/>
      <w:snapToGrid w:val="0"/>
      <w:spacing w:before="120" w:after="120" w:line="1440" w:lineRule="auto"/>
      <w:jc w:val="center"/>
      <w:textAlignment w:val="baseline"/>
    </w:pPr>
    <w:rPr>
      <w:rFonts w:ascii="Arial" w:hAnsi="Arial" w:eastAsia="黑体" w:cs="Times New Roman"/>
      <w:spacing w:val="10"/>
      <w:kern w:val="0"/>
      <w:sz w:val="32"/>
      <w:szCs w:val="20"/>
    </w:rPr>
  </w:style>
  <w:style w:type="paragraph" w:customStyle="1" w:styleId="1353">
    <w:name w:val="xl84"/>
    <w:basedOn w:val="1"/>
    <w:qFormat/>
    <w:uiPriority w:val="0"/>
    <w:pPr>
      <w:widowControl/>
      <w:pBdr>
        <w:top w:val="single" w:color="000000" w:sz="4" w:space="0"/>
        <w:bottom w:val="single" w:color="000000" w:sz="4" w:space="0"/>
        <w:right w:val="single" w:color="000000" w:sz="4" w:space="0"/>
      </w:pBdr>
      <w:shd w:val="clear" w:color="000000" w:fill="B7DEE8"/>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354">
    <w:name w:val="Char Char Char Char Char Char Char Char Char Char Char Char Char Char Char Char"/>
    <w:basedOn w:val="1"/>
    <w:qFormat/>
    <w:uiPriority w:val="0"/>
    <w:pPr>
      <w:widowControl/>
      <w:spacing w:after="160" w:line="240" w:lineRule="exact"/>
      <w:jc w:val="center"/>
    </w:pPr>
    <w:rPr>
      <w:rFonts w:ascii="宋体" w:hAnsi="宋体" w:eastAsia="仿宋" w:cs="Times New Roman"/>
      <w:b/>
      <w:kern w:val="0"/>
      <w:sz w:val="30"/>
      <w:szCs w:val="30"/>
      <w:lang w:eastAsia="en-US"/>
    </w:rPr>
  </w:style>
  <w:style w:type="paragraph" w:customStyle="1" w:styleId="1355">
    <w:name w:val="xl94"/>
    <w:basedOn w:val="1"/>
    <w:qFormat/>
    <w:uiPriority w:val="0"/>
    <w:pPr>
      <w:widowControl/>
      <w:pBdr>
        <w:top w:val="single" w:color="000000" w:sz="4" w:space="0"/>
        <w:left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56">
    <w:name w:val="标题 2（绿盟科技）"/>
    <w:basedOn w:val="5"/>
    <w:next w:val="1"/>
    <w:qFormat/>
    <w:uiPriority w:val="0"/>
    <w:pPr>
      <w:numPr>
        <w:ilvl w:val="0"/>
        <w:numId w:val="0"/>
      </w:numPr>
      <w:ind w:left="420" w:hanging="420"/>
      <w:jc w:val="left"/>
    </w:pPr>
    <w:rPr>
      <w:rFonts w:ascii="Arial" w:hAnsi="Arial" w:eastAsia="黑体" w:cs="Times New Roman"/>
      <w:bCs w:val="0"/>
      <w:sz w:val="36"/>
      <w:szCs w:val="32"/>
    </w:rPr>
  </w:style>
  <w:style w:type="paragraph" w:customStyle="1" w:styleId="1357">
    <w:name w:val="xl112"/>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58">
    <w:name w:val="xl134"/>
    <w:basedOn w:val="1"/>
    <w:qFormat/>
    <w:uiPriority w:val="0"/>
    <w:pPr>
      <w:widowControl/>
      <w:pBdr>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59">
    <w:name w:val="_Style 4"/>
    <w:basedOn w:val="1"/>
    <w:qFormat/>
    <w:uiPriority w:val="34"/>
    <w:pPr>
      <w:spacing w:line="360" w:lineRule="auto"/>
      <w:ind w:firstLine="420" w:firstLineChars="200"/>
    </w:pPr>
    <w:rPr>
      <w:rFonts w:ascii="宋体" w:hAnsi="Calibri" w:eastAsia="仿宋" w:cs="Times New Roman"/>
      <w:kern w:val="0"/>
      <w:sz w:val="24"/>
      <w:szCs w:val="20"/>
    </w:rPr>
  </w:style>
  <w:style w:type="paragraph" w:customStyle="1" w:styleId="1360">
    <w:name w:val="xl113"/>
    <w:basedOn w:val="1"/>
    <w:qFormat/>
    <w:uiPriority w:val="0"/>
    <w:pPr>
      <w:widowControl/>
      <w:pBdr>
        <w:lef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61">
    <w:name w:val="列出段落7"/>
    <w:basedOn w:val="1"/>
    <w:qFormat/>
    <w:uiPriority w:val="0"/>
    <w:pPr>
      <w:spacing w:line="360" w:lineRule="auto"/>
      <w:ind w:firstLine="420" w:firstLineChars="200"/>
    </w:pPr>
    <w:rPr>
      <w:rFonts w:ascii="Calibri" w:hAnsi="Calibri" w:eastAsia="宋体" w:cs="Times New Roman"/>
    </w:rPr>
  </w:style>
  <w:style w:type="paragraph" w:customStyle="1" w:styleId="1362">
    <w:name w:val="样式 正文 +"/>
    <w:basedOn w:val="1"/>
    <w:qFormat/>
    <w:uiPriority w:val="0"/>
    <w:pPr>
      <w:spacing w:line="360" w:lineRule="auto"/>
      <w:jc w:val="left"/>
    </w:pPr>
    <w:rPr>
      <w:rFonts w:ascii="仿宋_GB2312" w:hAnsi="Calibri" w:eastAsia="仿宋_GB2312" w:cs="宋体"/>
      <w:sz w:val="28"/>
      <w:szCs w:val="20"/>
    </w:rPr>
  </w:style>
  <w:style w:type="paragraph" w:customStyle="1" w:styleId="1363">
    <w:name w:val="xl14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64">
    <w:name w:val="xl116"/>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65">
    <w:name w:val="首行缩进:  2 字符"/>
    <w:basedOn w:val="1"/>
    <w:qFormat/>
    <w:uiPriority w:val="0"/>
    <w:pPr>
      <w:spacing w:before="240" w:line="288" w:lineRule="auto"/>
      <w:ind w:firstLine="420" w:firstLineChars="200"/>
    </w:pPr>
    <w:rPr>
      <w:rFonts w:ascii="Calibri" w:hAnsi="Calibri" w:eastAsia="仿宋" w:cs="宋体"/>
      <w:sz w:val="24"/>
      <w:szCs w:val="20"/>
    </w:rPr>
  </w:style>
  <w:style w:type="paragraph" w:customStyle="1" w:styleId="1366">
    <w:name w:val="Table"/>
    <w:qFormat/>
    <w:uiPriority w:val="0"/>
    <w:rPr>
      <w:rFonts w:ascii="Calibri" w:hAnsi="Calibri" w:eastAsia="宋体" w:cs="Times New Roman"/>
      <w:sz w:val="21"/>
      <w:lang w:val="en-US" w:eastAsia="en-US" w:bidi="ar-SA"/>
    </w:rPr>
  </w:style>
  <w:style w:type="paragraph" w:customStyle="1" w:styleId="1367">
    <w:name w:val="表格文字"/>
    <w:basedOn w:val="1"/>
    <w:qFormat/>
    <w:uiPriority w:val="0"/>
    <w:pPr>
      <w:autoSpaceDE w:val="0"/>
      <w:autoSpaceDN w:val="0"/>
      <w:adjustRightInd w:val="0"/>
      <w:spacing w:before="100" w:beforeAutospacing="1" w:after="100" w:afterAutospacing="1" w:line="360" w:lineRule="auto"/>
      <w:jc w:val="center"/>
      <w:textAlignment w:val="baseline"/>
    </w:pPr>
    <w:rPr>
      <w:rFonts w:ascii="Calibri" w:hAnsi="Calibri" w:eastAsia="仿宋" w:cs="Times New Roman"/>
      <w:color w:val="000000"/>
      <w:kern w:val="0"/>
      <w:sz w:val="24"/>
      <w:szCs w:val="20"/>
    </w:rPr>
  </w:style>
  <w:style w:type="paragraph" w:customStyle="1" w:styleId="1368">
    <w:name w:val="xl79"/>
    <w:basedOn w:val="1"/>
    <w:qFormat/>
    <w:uiPriority w:val="0"/>
    <w:pPr>
      <w:widowControl/>
      <w:pBdr>
        <w:top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69">
    <w:name w:val="xl158"/>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370">
    <w:name w:val="编号 2"/>
    <w:basedOn w:val="1"/>
    <w:qFormat/>
    <w:uiPriority w:val="0"/>
    <w:pPr>
      <w:tabs>
        <w:tab w:val="left" w:pos="0"/>
        <w:tab w:val="left" w:pos="1560"/>
      </w:tabs>
      <w:spacing w:before="100" w:beforeAutospacing="1" w:after="100" w:afterAutospacing="1" w:line="360" w:lineRule="auto"/>
      <w:ind w:left="432" w:hanging="432"/>
    </w:pPr>
    <w:rPr>
      <w:rFonts w:ascii="宋体" w:hAnsi="宋体" w:eastAsia="仿宋" w:cs="Times New Roman"/>
      <w:sz w:val="24"/>
      <w:szCs w:val="20"/>
    </w:rPr>
  </w:style>
  <w:style w:type="paragraph" w:customStyle="1" w:styleId="1371">
    <w:name w:val="xl95"/>
    <w:basedOn w:val="1"/>
    <w:qFormat/>
    <w:uiPriority w:val="0"/>
    <w:pPr>
      <w:widowControl/>
      <w:pBdr>
        <w:top w:val="single" w:color="000000" w:sz="4" w:space="0"/>
        <w:left w:val="single" w:color="000000" w:sz="4" w:space="0"/>
        <w:bottom w:val="single" w:color="000000" w:sz="4" w:space="0"/>
      </w:pBdr>
      <w:shd w:val="clear" w:color="000000" w:fill="FFFF00"/>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72">
    <w:name w:val="文章正文"/>
    <w:basedOn w:val="1"/>
    <w:qFormat/>
    <w:uiPriority w:val="0"/>
    <w:pPr>
      <w:spacing w:line="360" w:lineRule="auto"/>
      <w:ind w:firstLine="420"/>
    </w:pPr>
    <w:rPr>
      <w:rFonts w:ascii="Calibri" w:hAnsi="Calibri" w:eastAsia="仿宋" w:cs="Times New Roman"/>
      <w:sz w:val="24"/>
      <w:szCs w:val="24"/>
    </w:rPr>
  </w:style>
  <w:style w:type="paragraph" w:customStyle="1" w:styleId="1373">
    <w:name w:val="xl114"/>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74">
    <w:name w:val="标题 5l"/>
    <w:basedOn w:val="14"/>
    <w:qFormat/>
    <w:uiPriority w:val="0"/>
    <w:pPr>
      <w:numPr>
        <w:ilvl w:val="0"/>
        <w:numId w:val="0"/>
      </w:numPr>
      <w:tabs>
        <w:tab w:val="left" w:pos="0"/>
      </w:tabs>
      <w:adjustRightInd w:val="0"/>
      <w:spacing w:before="0" w:after="0" w:line="376" w:lineRule="atLeast"/>
      <w:textAlignment w:val="baseline"/>
    </w:pPr>
    <w:rPr>
      <w:rFonts w:ascii="Calibri" w:hAnsi="Calibri" w:cs="Times New Roman"/>
      <w:kern w:val="0"/>
      <w:sz w:val="28"/>
      <w:szCs w:val="28"/>
    </w:rPr>
  </w:style>
  <w:style w:type="paragraph" w:customStyle="1" w:styleId="1375">
    <w:name w:val="MM Topic 3"/>
    <w:basedOn w:val="7"/>
    <w:link w:val="2508"/>
    <w:qFormat/>
    <w:uiPriority w:val="0"/>
    <w:pPr>
      <w:ind w:left="1740" w:hanging="420"/>
    </w:pPr>
    <w:rPr>
      <w:rFonts w:ascii="Calibri" w:hAnsi="Calibri" w:cs="Times New Roman"/>
      <w:sz w:val="32"/>
      <w:szCs w:val="32"/>
    </w:rPr>
  </w:style>
  <w:style w:type="paragraph" w:customStyle="1" w:styleId="1376">
    <w:name w:val="xl80"/>
    <w:basedOn w:val="1"/>
    <w:qFormat/>
    <w:uiPriority w:val="0"/>
    <w:pPr>
      <w:widowControl/>
      <w:pBdr>
        <w:top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77">
    <w:name w:val="Char Char Char Char Char Char"/>
    <w:basedOn w:val="1"/>
    <w:qFormat/>
    <w:uiPriority w:val="0"/>
    <w:pPr>
      <w:spacing w:line="360" w:lineRule="auto"/>
    </w:pPr>
    <w:rPr>
      <w:rFonts w:ascii="Calibri" w:hAnsi="Calibri" w:eastAsia="仿宋" w:cs="Arial"/>
      <w:sz w:val="24"/>
      <w:szCs w:val="21"/>
    </w:rPr>
  </w:style>
  <w:style w:type="paragraph" w:customStyle="1" w:styleId="1378">
    <w:name w:val="标题 2（无标号）"/>
    <w:basedOn w:val="5"/>
    <w:qFormat/>
    <w:uiPriority w:val="0"/>
    <w:pPr>
      <w:keepLines w:val="0"/>
      <w:widowControl/>
      <w:numPr>
        <w:ilvl w:val="0"/>
        <w:numId w:val="0"/>
      </w:numPr>
      <w:tabs>
        <w:tab w:val="left" w:pos="0"/>
      </w:tabs>
      <w:adjustRightInd w:val="0"/>
      <w:snapToGrid w:val="0"/>
      <w:spacing w:before="240" w:after="60" w:line="360" w:lineRule="auto"/>
      <w:ind w:left="992" w:hanging="567"/>
      <w:jc w:val="left"/>
    </w:pPr>
    <w:rPr>
      <w:rFonts w:hAnsi="Arial" w:cs="Arial"/>
      <w:b w:val="0"/>
      <w:bCs w:val="0"/>
      <w:kern w:val="0"/>
      <w:lang w:val="en-CA"/>
    </w:rPr>
  </w:style>
  <w:style w:type="paragraph" w:customStyle="1" w:styleId="1379">
    <w:name w:val="Char1 Char Char Char"/>
    <w:basedOn w:val="1"/>
    <w:qFormat/>
    <w:uiPriority w:val="0"/>
    <w:pPr>
      <w:spacing w:line="360" w:lineRule="auto"/>
    </w:pPr>
    <w:rPr>
      <w:rFonts w:ascii="Tahoma" w:hAnsi="Tahoma" w:eastAsia="仿宋" w:cs="Times New Roman"/>
      <w:sz w:val="24"/>
      <w:szCs w:val="20"/>
    </w:rPr>
  </w:style>
  <w:style w:type="paragraph" w:customStyle="1" w:styleId="1380">
    <w:name w:val="Char Char Char1 Char Char Char Char Char Char Char Char Char Char1"/>
    <w:basedOn w:val="1"/>
    <w:qFormat/>
    <w:uiPriority w:val="0"/>
    <w:pPr>
      <w:spacing w:line="360" w:lineRule="auto"/>
    </w:pPr>
    <w:rPr>
      <w:rFonts w:ascii="Tahoma" w:hAnsi="Tahoma" w:eastAsia="仿宋" w:cs="Times New Roman"/>
      <w:sz w:val="24"/>
      <w:szCs w:val="20"/>
    </w:rPr>
  </w:style>
  <w:style w:type="paragraph" w:customStyle="1" w:styleId="1381">
    <w:name w:val="xl110"/>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82">
    <w:name w:val="MM Topic 5"/>
    <w:basedOn w:val="14"/>
    <w:qFormat/>
    <w:uiPriority w:val="99"/>
    <w:pPr>
      <w:numPr>
        <w:ilvl w:val="0"/>
        <w:numId w:val="0"/>
      </w:numPr>
      <w:tabs>
        <w:tab w:val="left" w:pos="360"/>
      </w:tabs>
      <w:spacing w:line="374" w:lineRule="auto"/>
    </w:pPr>
    <w:rPr>
      <w:rFonts w:ascii="Calibri" w:hAnsi="Calibri" w:cs="Times New Roman"/>
      <w:sz w:val="28"/>
      <w:szCs w:val="28"/>
    </w:rPr>
  </w:style>
  <w:style w:type="paragraph" w:customStyle="1" w:styleId="1383">
    <w:name w:val="xl142"/>
    <w:basedOn w:val="1"/>
    <w:qFormat/>
    <w:uiPriority w:val="0"/>
    <w:pPr>
      <w:widowControl/>
      <w:pBdr>
        <w:top w:val="single" w:color="000000" w:sz="4" w:space="0"/>
        <w:left w:val="single" w:color="000000"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84">
    <w:name w:val="Default"/>
    <w:link w:val="2567"/>
    <w:qFormat/>
    <w:uiPriority w:val="0"/>
    <w:pPr>
      <w:widowControl w:val="0"/>
      <w:autoSpaceDE w:val="0"/>
      <w:autoSpaceDN w:val="0"/>
      <w:adjustRightInd w:val="0"/>
    </w:pPr>
    <w:rPr>
      <w:rFonts w:ascii="幼圆" w:hAnsi="Calibri" w:eastAsia="幼圆" w:cs="幼圆"/>
      <w:color w:val="000000"/>
      <w:sz w:val="24"/>
      <w:szCs w:val="24"/>
      <w:lang w:val="en-US" w:eastAsia="zh-CN" w:bidi="ar-SA"/>
    </w:rPr>
  </w:style>
  <w:style w:type="paragraph" w:customStyle="1" w:styleId="1385">
    <w:name w:val="HD正文1"/>
    <w:basedOn w:val="1"/>
    <w:next w:val="28"/>
    <w:qFormat/>
    <w:uiPriority w:val="0"/>
    <w:pPr>
      <w:spacing w:line="360" w:lineRule="auto"/>
      <w:ind w:firstLine="420"/>
    </w:pPr>
    <w:rPr>
      <w:rFonts w:ascii="Calibri" w:hAnsi="Calibri" w:eastAsia="仿宋" w:cs="Times New Roman"/>
      <w:sz w:val="24"/>
      <w:szCs w:val="20"/>
    </w:rPr>
  </w:style>
  <w:style w:type="paragraph" w:customStyle="1" w:styleId="138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Calibri" w:hAnsi="Calibri" w:eastAsia="仿宋" w:cs="宋体"/>
      <w:kern w:val="0"/>
      <w:sz w:val="18"/>
      <w:szCs w:val="18"/>
    </w:rPr>
  </w:style>
  <w:style w:type="paragraph" w:customStyle="1" w:styleId="1387">
    <w:name w:val="样式 标题 1 + 黑体 小三 非加粗"/>
    <w:basedOn w:val="4"/>
    <w:qFormat/>
    <w:uiPriority w:val="0"/>
    <w:pPr>
      <w:numPr>
        <w:numId w:val="0"/>
      </w:numPr>
      <w:tabs>
        <w:tab w:val="left" w:pos="357"/>
        <w:tab w:val="left" w:pos="960"/>
      </w:tabs>
      <w:spacing w:before="0" w:after="0" w:line="480" w:lineRule="auto"/>
      <w:ind w:left="960" w:hanging="420"/>
      <w:jc w:val="both"/>
    </w:pPr>
    <w:rPr>
      <w:rFonts w:ascii="黑体" w:hAnsi="黑体" w:eastAsia="黑体" w:cs="Times New Roman"/>
      <w:b w:val="0"/>
      <w:bCs w:val="0"/>
      <w:sz w:val="30"/>
      <w:szCs w:val="44"/>
    </w:rPr>
  </w:style>
  <w:style w:type="paragraph" w:customStyle="1" w:styleId="1388">
    <w:name w:val="xl27"/>
    <w:basedOn w:val="1"/>
    <w:qFormat/>
    <w:uiPriority w:val="0"/>
    <w:pPr>
      <w:widowControl/>
      <w:pBdr>
        <w:bottom w:val="single" w:color="auto" w:sz="4" w:space="0"/>
        <w:right w:val="single" w:color="auto" w:sz="4" w:space="0"/>
      </w:pBdr>
      <w:spacing w:before="100" w:beforeAutospacing="1" w:after="100" w:afterAutospacing="1" w:line="360" w:lineRule="auto"/>
      <w:textAlignment w:val="center"/>
    </w:pPr>
    <w:rPr>
      <w:rFonts w:ascii="宋体" w:hAnsi="宋体" w:eastAsia="仿宋" w:cs="Times New Roman"/>
      <w:kern w:val="0"/>
      <w:sz w:val="20"/>
      <w:szCs w:val="20"/>
    </w:rPr>
  </w:style>
  <w:style w:type="paragraph" w:customStyle="1" w:styleId="1389">
    <w:name w:val="签署页"/>
    <w:basedOn w:val="1"/>
    <w:qFormat/>
    <w:uiPriority w:val="0"/>
    <w:pPr>
      <w:widowControl/>
      <w:adjustRightInd w:val="0"/>
      <w:snapToGrid w:val="0"/>
      <w:spacing w:line="480" w:lineRule="auto"/>
      <w:ind w:left="2438" w:hanging="1701"/>
      <w:textAlignment w:val="baseline"/>
    </w:pPr>
    <w:rPr>
      <w:rFonts w:ascii="宋体" w:hAnsi="Arial" w:eastAsia="仿宋" w:cs="Times New Roman"/>
      <w:spacing w:val="6"/>
      <w:kern w:val="0"/>
      <w:sz w:val="32"/>
      <w:szCs w:val="20"/>
    </w:rPr>
  </w:style>
  <w:style w:type="paragraph" w:customStyle="1" w:styleId="1390">
    <w:name w:val="yellow"/>
    <w:basedOn w:val="1"/>
    <w:qFormat/>
    <w:uiPriority w:val="0"/>
    <w:pPr>
      <w:widowControl/>
      <w:spacing w:before="100" w:beforeAutospacing="1" w:after="100" w:afterAutospacing="1" w:line="360" w:lineRule="auto"/>
      <w:jc w:val="left"/>
    </w:pPr>
    <w:rPr>
      <w:rFonts w:ascii="Verdana" w:hAnsi="Verdana" w:eastAsia="仿宋" w:cs="宋体"/>
      <w:b/>
      <w:bCs/>
      <w:color w:val="CC9900"/>
      <w:kern w:val="0"/>
      <w:sz w:val="20"/>
      <w:szCs w:val="20"/>
    </w:rPr>
  </w:style>
  <w:style w:type="paragraph" w:customStyle="1" w:styleId="1391">
    <w:name w:val="xl109"/>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92">
    <w:name w:val="Char11"/>
    <w:basedOn w:val="1"/>
    <w:qFormat/>
    <w:uiPriority w:val="0"/>
    <w:pPr>
      <w:spacing w:line="360" w:lineRule="auto"/>
    </w:pPr>
    <w:rPr>
      <w:rFonts w:ascii="仿宋_GB2312" w:hAnsi="Calibri" w:eastAsia="仿宋_GB2312" w:cs="Times New Roman"/>
      <w:b/>
      <w:sz w:val="32"/>
      <w:szCs w:val="32"/>
    </w:rPr>
  </w:style>
  <w:style w:type="paragraph" w:customStyle="1" w:styleId="1393">
    <w:name w:val="正文段落文本"/>
    <w:basedOn w:val="1"/>
    <w:next w:val="326"/>
    <w:qFormat/>
    <w:uiPriority w:val="0"/>
    <w:pPr>
      <w:spacing w:line="300" w:lineRule="auto"/>
      <w:ind w:firstLine="200" w:firstLineChars="200"/>
    </w:pPr>
    <w:rPr>
      <w:rFonts w:ascii="Calibri" w:hAnsi="Calibri" w:eastAsia="仿宋" w:cs="Times New Roman"/>
      <w:bCs/>
      <w:kern w:val="44"/>
      <w:sz w:val="24"/>
      <w:szCs w:val="28"/>
    </w:rPr>
  </w:style>
  <w:style w:type="paragraph" w:customStyle="1" w:styleId="1394">
    <w:name w:val="_Style 1"/>
    <w:basedOn w:val="1"/>
    <w:qFormat/>
    <w:uiPriority w:val="34"/>
    <w:pPr>
      <w:spacing w:line="360" w:lineRule="auto"/>
      <w:ind w:firstLine="420" w:firstLineChars="200"/>
    </w:pPr>
    <w:rPr>
      <w:rFonts w:ascii="宋体" w:hAnsi="Calibri" w:eastAsia="仿宋" w:cs="Times New Roman"/>
      <w:kern w:val="0"/>
      <w:sz w:val="24"/>
      <w:szCs w:val="20"/>
    </w:rPr>
  </w:style>
  <w:style w:type="paragraph" w:customStyle="1" w:styleId="1395">
    <w:name w:val="xl8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96">
    <w:name w:val="符号 2"/>
    <w:basedOn w:val="526"/>
    <w:qFormat/>
    <w:uiPriority w:val="0"/>
    <w:pPr>
      <w:tabs>
        <w:tab w:val="left" w:pos="360"/>
      </w:tabs>
      <w:ind w:left="1320"/>
    </w:pPr>
    <w:rPr>
      <w:rFonts w:ascii="Calibri" w:hAnsi="Calibri"/>
    </w:rPr>
  </w:style>
  <w:style w:type="paragraph" w:customStyle="1" w:styleId="1397">
    <w:name w:val="reader-word-layer reader-word-s1-17"/>
    <w:basedOn w:val="1"/>
    <w:qFormat/>
    <w:uiPriority w:val="0"/>
    <w:pPr>
      <w:widowControl/>
      <w:spacing w:before="100" w:beforeAutospacing="1" w:after="100" w:afterAutospacing="1" w:line="360" w:lineRule="auto"/>
      <w:jc w:val="left"/>
    </w:pPr>
    <w:rPr>
      <w:rFonts w:ascii="宋体" w:hAnsi="宋体" w:eastAsia="仿宋" w:cs="宋体"/>
      <w:kern w:val="0"/>
      <w:sz w:val="24"/>
      <w:szCs w:val="24"/>
    </w:rPr>
  </w:style>
  <w:style w:type="paragraph" w:customStyle="1" w:styleId="1398">
    <w:name w:val="MM Topic 4"/>
    <w:basedOn w:val="8"/>
    <w:qFormat/>
    <w:uiPriority w:val="0"/>
    <w:pPr>
      <w:numPr>
        <w:ilvl w:val="0"/>
        <w:numId w:val="0"/>
      </w:numPr>
      <w:tabs>
        <w:tab w:val="left" w:pos="227"/>
        <w:tab w:val="left" w:pos="360"/>
      </w:tabs>
      <w:spacing w:line="374" w:lineRule="auto"/>
    </w:pPr>
    <w:rPr>
      <w:rFonts w:ascii="Cambria" w:hAnsi="Cambria" w:cs="Times New Roman"/>
      <w:sz w:val="30"/>
      <w:szCs w:val="28"/>
    </w:rPr>
  </w:style>
  <w:style w:type="paragraph" w:customStyle="1" w:styleId="1399">
    <w:name w:val="_Style 76"/>
    <w:next w:val="1"/>
    <w:unhideWhenUsed/>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00">
    <w:name w:val="样式 标题 4H4PIM 5h4blbbPIM 44th level + 右侧:  0 厘米 行距: 1.5 倍..."/>
    <w:basedOn w:val="8"/>
    <w:qFormat/>
    <w:uiPriority w:val="0"/>
    <w:pPr>
      <w:numPr>
        <w:ilvl w:val="0"/>
        <w:numId w:val="0"/>
      </w:numPr>
      <w:tabs>
        <w:tab w:val="left" w:pos="227"/>
        <w:tab w:val="left" w:pos="864"/>
      </w:tabs>
      <w:spacing w:before="0" w:beforeLines="50" w:after="0" w:afterLines="50"/>
      <w:ind w:left="113" w:hanging="433"/>
      <w:jc w:val="left"/>
    </w:pPr>
    <w:rPr>
      <w:rFonts w:ascii="Arial" w:hAnsi="Arial" w:eastAsia="华文中宋" w:cs="宋体"/>
      <w:sz w:val="30"/>
    </w:rPr>
  </w:style>
  <w:style w:type="paragraph" w:customStyle="1" w:styleId="1401">
    <w:name w:val="样式 目录 2 + 段前: 0.2 行 段后: 0.2 行"/>
    <w:basedOn w:val="78"/>
    <w:qFormat/>
    <w:uiPriority w:val="0"/>
    <w:pPr>
      <w:spacing w:before="62" w:after="62" w:line="360" w:lineRule="auto"/>
      <w:ind w:left="227" w:leftChars="0"/>
      <w:jc w:val="left"/>
    </w:pPr>
    <w:rPr>
      <w:rFonts w:eastAsia="黑体" w:cs="宋体"/>
      <w:b/>
      <w:smallCaps/>
      <w:sz w:val="24"/>
      <w:szCs w:val="20"/>
    </w:rPr>
  </w:style>
  <w:style w:type="paragraph" w:customStyle="1" w:styleId="1402">
    <w:name w:val="xl162"/>
    <w:basedOn w:val="1"/>
    <w:qFormat/>
    <w:uiPriority w:val="0"/>
    <w:pPr>
      <w:widowControl/>
      <w:pBdr>
        <w:top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403">
    <w:name w:val="样式 标题 1 + 黑体 小三"/>
    <w:basedOn w:val="4"/>
    <w:qFormat/>
    <w:uiPriority w:val="0"/>
    <w:pPr>
      <w:numPr>
        <w:numId w:val="0"/>
      </w:numPr>
      <w:tabs>
        <w:tab w:val="left" w:pos="357"/>
        <w:tab w:val="left" w:pos="425"/>
      </w:tabs>
      <w:spacing w:before="0" w:after="0" w:line="480" w:lineRule="auto"/>
      <w:ind w:left="425" w:hanging="425"/>
      <w:jc w:val="both"/>
    </w:pPr>
    <w:rPr>
      <w:rFonts w:ascii="黑体" w:hAnsi="Verdana" w:eastAsia="黑体" w:cs="Times New Roman"/>
      <w:color w:val="000000"/>
      <w:kern w:val="2"/>
    </w:rPr>
  </w:style>
  <w:style w:type="paragraph" w:customStyle="1" w:styleId="1404">
    <w:name w:val="MM Topic 9"/>
    <w:basedOn w:val="18"/>
    <w:qFormat/>
    <w:uiPriority w:val="0"/>
    <w:pPr>
      <w:ind w:left="0" w:firstLine="0"/>
    </w:pPr>
    <w:rPr>
      <w:rFonts w:ascii="Arial" w:hAnsi="Arial" w:eastAsia="黑体"/>
      <w:sz w:val="21"/>
    </w:rPr>
  </w:style>
  <w:style w:type="paragraph" w:customStyle="1" w:styleId="1405">
    <w:name w:val="Char1211"/>
    <w:basedOn w:val="1"/>
    <w:qFormat/>
    <w:uiPriority w:val="0"/>
    <w:pPr>
      <w:spacing w:line="360" w:lineRule="auto"/>
    </w:pPr>
    <w:rPr>
      <w:rFonts w:ascii="Tahoma" w:hAnsi="Tahoma" w:eastAsia="仿宋" w:cs="Times New Roman"/>
      <w:sz w:val="24"/>
      <w:szCs w:val="20"/>
    </w:rPr>
  </w:style>
  <w:style w:type="paragraph" w:customStyle="1" w:styleId="1406">
    <w:name w:val="PMletterTextBullet"/>
    <w:basedOn w:val="1"/>
    <w:qFormat/>
    <w:uiPriority w:val="0"/>
    <w:pPr>
      <w:widowControl/>
      <w:numPr>
        <w:ilvl w:val="0"/>
        <w:numId w:val="47"/>
      </w:numPr>
      <w:tabs>
        <w:tab w:val="left" w:pos="1800"/>
        <w:tab w:val="clear" w:pos="266"/>
      </w:tabs>
      <w:spacing w:before="240" w:line="360" w:lineRule="auto"/>
      <w:ind w:left="0" w:firstLine="0"/>
      <w:jc w:val="left"/>
    </w:pPr>
    <w:rPr>
      <w:rFonts w:ascii="Tahoma" w:hAnsi="Tahoma" w:eastAsia="仿宋" w:cs="Times New Roman"/>
      <w:kern w:val="0"/>
      <w:sz w:val="22"/>
      <w:szCs w:val="20"/>
    </w:rPr>
  </w:style>
  <w:style w:type="paragraph" w:customStyle="1" w:styleId="1407">
    <w:name w:val="样式19"/>
    <w:basedOn w:val="1"/>
    <w:qFormat/>
    <w:uiPriority w:val="0"/>
    <w:pPr>
      <w:spacing w:beforeLines="50" w:afterLines="50" w:line="360" w:lineRule="auto"/>
      <w:ind w:firstLine="480" w:firstLineChars="200"/>
    </w:pPr>
    <w:rPr>
      <w:rFonts w:ascii="宋体" w:hAnsi="宋体" w:eastAsia="仿宋" w:cs="Times New Roman"/>
      <w:sz w:val="24"/>
      <w:szCs w:val="24"/>
    </w:rPr>
  </w:style>
  <w:style w:type="paragraph" w:customStyle="1" w:styleId="1408">
    <w:name w:val="0正文"/>
    <w:basedOn w:val="1"/>
    <w:link w:val="3006"/>
    <w:qFormat/>
    <w:uiPriority w:val="0"/>
    <w:pPr>
      <w:adjustRightInd w:val="0"/>
      <w:spacing w:line="360" w:lineRule="auto"/>
      <w:ind w:firstLine="480" w:firstLineChars="200"/>
      <w:textAlignment w:val="baseline"/>
    </w:pPr>
    <w:rPr>
      <w:rFonts w:ascii="Verdana" w:hAnsi="Verdana" w:eastAsia="仿宋" w:cs="Times New Roman"/>
      <w:sz w:val="24"/>
      <w:szCs w:val="24"/>
    </w:rPr>
  </w:style>
  <w:style w:type="paragraph" w:customStyle="1" w:styleId="1409">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10">
    <w:name w:val="正文lzq"/>
    <w:basedOn w:val="1"/>
    <w:qFormat/>
    <w:uiPriority w:val="0"/>
    <w:pPr>
      <w:adjustRightInd w:val="0"/>
      <w:spacing w:line="360" w:lineRule="auto"/>
      <w:ind w:firstLine="480"/>
      <w:textAlignment w:val="baseline"/>
    </w:pPr>
    <w:rPr>
      <w:rFonts w:ascii="Calibri" w:hAnsi="Calibri" w:eastAsia="仿宋" w:cs="Times New Roman"/>
      <w:kern w:val="0"/>
      <w:sz w:val="24"/>
      <w:szCs w:val="20"/>
    </w:rPr>
  </w:style>
  <w:style w:type="paragraph" w:customStyle="1" w:styleId="1411">
    <w:name w:val="表文字"/>
    <w:basedOn w:val="1"/>
    <w:qFormat/>
    <w:uiPriority w:val="0"/>
    <w:pPr>
      <w:widowControl/>
      <w:overflowPunct w:val="0"/>
      <w:autoSpaceDE w:val="0"/>
      <w:autoSpaceDN w:val="0"/>
      <w:adjustRightInd w:val="0"/>
      <w:spacing w:line="360" w:lineRule="auto"/>
      <w:jc w:val="center"/>
      <w:textAlignment w:val="baseline"/>
    </w:pPr>
    <w:rPr>
      <w:rFonts w:ascii="Calibri" w:hAnsi="Calibri" w:eastAsia="仿宋" w:cs="Angsana New"/>
      <w:b/>
      <w:bCs/>
      <w:kern w:val="0"/>
      <w:sz w:val="20"/>
      <w:szCs w:val="20"/>
      <w:lang w:val="en-GB"/>
    </w:rPr>
  </w:style>
  <w:style w:type="paragraph" w:customStyle="1" w:styleId="1412">
    <w:name w:val="xl88"/>
    <w:basedOn w:val="1"/>
    <w:qFormat/>
    <w:uiPriority w:val="0"/>
    <w:pPr>
      <w:widowControl/>
      <w:pBdr>
        <w:top w:val="single" w:color="auto" w:sz="4" w:space="0"/>
        <w:bottom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13">
    <w:name w:val="标题 4（绿盟科技）"/>
    <w:basedOn w:val="8"/>
    <w:next w:val="1"/>
    <w:qFormat/>
    <w:uiPriority w:val="0"/>
    <w:pPr>
      <w:widowControl/>
      <w:numPr>
        <w:ilvl w:val="0"/>
        <w:numId w:val="0"/>
      </w:numPr>
      <w:tabs>
        <w:tab w:val="left" w:pos="227"/>
      </w:tabs>
      <w:spacing w:before="0" w:after="0"/>
      <w:ind w:left="420" w:hanging="420"/>
      <w:jc w:val="left"/>
    </w:pPr>
    <w:rPr>
      <w:rFonts w:ascii="Arial" w:hAnsi="Arial" w:eastAsia="黑体" w:cs="Times New Roman"/>
      <w:bCs w:val="0"/>
      <w:kern w:val="0"/>
      <w:sz w:val="30"/>
      <w:szCs w:val="28"/>
    </w:rPr>
  </w:style>
  <w:style w:type="paragraph" w:customStyle="1" w:styleId="1414">
    <w:name w:val="编号样式2"/>
    <w:basedOn w:val="326"/>
    <w:qFormat/>
    <w:uiPriority w:val="99"/>
    <w:pPr>
      <w:numPr>
        <w:ilvl w:val="0"/>
        <w:numId w:val="48"/>
      </w:numPr>
      <w:tabs>
        <w:tab w:val="left" w:pos="360"/>
        <w:tab w:val="clear" w:pos="902"/>
      </w:tabs>
      <w:ind w:left="0" w:firstLine="0" w:firstLineChars="0"/>
    </w:pPr>
    <w:rPr>
      <w:rFonts w:asciiTheme="minorHAnsi" w:hAnsiTheme="minorHAnsi" w:cstheme="minorBidi"/>
    </w:rPr>
  </w:style>
  <w:style w:type="paragraph" w:customStyle="1" w:styleId="1415">
    <w:name w:val="xl90"/>
    <w:basedOn w:val="1"/>
    <w:qFormat/>
    <w:uiPriority w:val="0"/>
    <w:pPr>
      <w:widowControl/>
      <w:pBdr>
        <w:top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41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417">
    <w:name w:val="xl115"/>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18">
    <w:name w:val="xl133"/>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419">
    <w:name w:val="Numbered list 2.4"/>
    <w:basedOn w:val="8"/>
    <w:next w:val="1"/>
    <w:qFormat/>
    <w:uiPriority w:val="0"/>
    <w:pPr>
      <w:keepLines w:val="0"/>
      <w:widowControl/>
      <w:numPr>
        <w:ilvl w:val="0"/>
        <w:numId w:val="0"/>
      </w:numPr>
      <w:tabs>
        <w:tab w:val="left" w:pos="227"/>
        <w:tab w:val="left" w:pos="1080"/>
        <w:tab w:val="left" w:pos="1440"/>
        <w:tab w:val="left" w:pos="1800"/>
        <w:tab w:val="left" w:pos="2073"/>
      </w:tabs>
      <w:spacing w:before="0" w:after="0" w:line="240" w:lineRule="auto"/>
      <w:ind w:left="1353" w:hanging="360"/>
      <w:jc w:val="left"/>
    </w:pPr>
    <w:rPr>
      <w:rFonts w:cs="Times New Roman"/>
      <w:bCs w:val="0"/>
      <w:kern w:val="0"/>
      <w:sz w:val="21"/>
      <w:szCs w:val="21"/>
      <w:lang w:val="en-GB"/>
    </w:rPr>
  </w:style>
  <w:style w:type="paragraph" w:customStyle="1" w:styleId="1420">
    <w:name w:val="纯文本1"/>
    <w:basedOn w:val="1"/>
    <w:qFormat/>
    <w:uiPriority w:val="0"/>
    <w:pPr>
      <w:spacing w:line="360" w:lineRule="auto"/>
    </w:pPr>
    <w:rPr>
      <w:rFonts w:ascii="宋体" w:hAnsi="Courier New" w:eastAsia="仿宋" w:cs="Times New Roman"/>
      <w:sz w:val="24"/>
      <w:szCs w:val="21"/>
    </w:rPr>
  </w:style>
  <w:style w:type="paragraph" w:customStyle="1" w:styleId="1421">
    <w:name w:val="编号样式1"/>
    <w:basedOn w:val="326"/>
    <w:qFormat/>
    <w:uiPriority w:val="0"/>
    <w:pPr>
      <w:numPr>
        <w:ilvl w:val="0"/>
        <w:numId w:val="49"/>
      </w:numPr>
      <w:tabs>
        <w:tab w:val="left" w:pos="360"/>
        <w:tab w:val="clear" w:pos="902"/>
      </w:tabs>
      <w:ind w:firstLine="0" w:firstLineChars="0"/>
    </w:pPr>
    <w:rPr>
      <w:rFonts w:asciiTheme="minorHAnsi" w:hAnsiTheme="minorHAnsi" w:cstheme="minorBidi"/>
    </w:rPr>
  </w:style>
  <w:style w:type="paragraph" w:customStyle="1" w:styleId="1422">
    <w:name w:val="样式 样式 样式 我的正文首行缩进 + 首行缩进:  2 字符 + 首行缩进:  2 字符 + 首行缩进:  2 字符1"/>
    <w:basedOn w:val="1"/>
    <w:qFormat/>
    <w:uiPriority w:val="0"/>
    <w:pPr>
      <w:widowControl/>
      <w:spacing w:after="120" w:line="360" w:lineRule="auto"/>
      <w:ind w:firstLine="200" w:firstLineChars="200"/>
      <w:jc w:val="left"/>
    </w:pPr>
    <w:rPr>
      <w:rFonts w:ascii="Calibri" w:hAnsi="Calibri" w:eastAsia="华文细黑" w:cs="Times New Roman"/>
      <w:sz w:val="24"/>
      <w:szCs w:val="24"/>
    </w:rPr>
  </w:style>
  <w:style w:type="paragraph" w:customStyle="1" w:styleId="1423">
    <w:name w:val="插图标注（绿盟科技）"/>
    <w:next w:val="1"/>
    <w:qFormat/>
    <w:uiPriority w:val="0"/>
    <w:pPr>
      <w:spacing w:after="156"/>
      <w:jc w:val="center"/>
    </w:pPr>
    <w:rPr>
      <w:rFonts w:ascii="Arial" w:hAnsi="Arial" w:eastAsia="宋体" w:cs="Arial"/>
      <w:sz w:val="21"/>
      <w:szCs w:val="21"/>
      <w:lang w:val="en-US" w:eastAsia="zh-CN" w:bidi="ar-SA"/>
    </w:rPr>
  </w:style>
  <w:style w:type="paragraph" w:customStyle="1" w:styleId="1424">
    <w:name w:val="表格1"/>
    <w:basedOn w:val="1"/>
    <w:next w:val="1"/>
    <w:qFormat/>
    <w:uiPriority w:val="39"/>
    <w:pPr>
      <w:kinsoku w:val="0"/>
      <w:wordWrap w:val="0"/>
      <w:overflowPunct w:val="0"/>
      <w:autoSpaceDE w:val="0"/>
      <w:autoSpaceDN w:val="0"/>
      <w:adjustRightInd w:val="0"/>
      <w:spacing w:line="288" w:lineRule="auto"/>
      <w:jc w:val="center"/>
    </w:pPr>
    <w:rPr>
      <w:rFonts w:ascii="宋体" w:hAnsi="Calibri" w:eastAsia="方正仿宋_GBK" w:cs="Times New Roman"/>
      <w:kern w:val="0"/>
      <w:sz w:val="18"/>
      <w:szCs w:val="20"/>
    </w:rPr>
  </w:style>
  <w:style w:type="paragraph" w:customStyle="1" w:styleId="1425">
    <w:name w:val="Char Char1 Char Char Char Char Char Char2"/>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26">
    <w:name w:val="列出段落111"/>
    <w:basedOn w:val="1"/>
    <w:qFormat/>
    <w:uiPriority w:val="34"/>
    <w:pPr>
      <w:spacing w:line="360" w:lineRule="auto"/>
      <w:ind w:firstLine="420" w:firstLineChars="200"/>
    </w:pPr>
    <w:rPr>
      <w:rFonts w:ascii="Calibri" w:hAnsi="Calibri" w:eastAsia="仿宋" w:cs="Times New Roman"/>
      <w:sz w:val="24"/>
    </w:rPr>
  </w:style>
  <w:style w:type="paragraph" w:customStyle="1" w:styleId="1427">
    <w:name w:val="InfoBlue"/>
    <w:basedOn w:val="1"/>
    <w:next w:val="10"/>
    <w:qFormat/>
    <w:uiPriority w:val="0"/>
    <w:pPr>
      <w:tabs>
        <w:tab w:val="left" w:pos="540"/>
        <w:tab w:val="left" w:pos="1260"/>
      </w:tabs>
      <w:spacing w:line="360" w:lineRule="auto"/>
      <w:ind w:firstLine="420" w:firstLineChars="200"/>
      <w:jc w:val="left"/>
    </w:pPr>
    <w:rPr>
      <w:rFonts w:ascii="宋体" w:hAnsi="宋体" w:eastAsia="仿宋" w:cs="Times New Roman"/>
      <w:iCs/>
      <w:color w:val="0000FF"/>
      <w:sz w:val="24"/>
      <w:szCs w:val="21"/>
    </w:rPr>
  </w:style>
  <w:style w:type="paragraph" w:customStyle="1" w:styleId="1428">
    <w:name w:val="样式 标题 3Heading 3 - oldH3h3l3CT3rd levelLevel 3 HeadBold ..."/>
    <w:basedOn w:val="7"/>
    <w:qFormat/>
    <w:uiPriority w:val="0"/>
    <w:pPr>
      <w:widowControl/>
      <w:tabs>
        <w:tab w:val="left" w:pos="567"/>
      </w:tabs>
      <w:spacing w:line="360" w:lineRule="auto"/>
      <w:jc w:val="left"/>
    </w:pPr>
    <w:rPr>
      <w:rFonts w:ascii="Calibri" w:hAnsi="Calibri" w:eastAsia="黑体" w:cs="宋体"/>
    </w:rPr>
  </w:style>
  <w:style w:type="paragraph" w:customStyle="1" w:styleId="1429">
    <w:name w:val="文章正文 Char Char1"/>
    <w:basedOn w:val="1"/>
    <w:qFormat/>
    <w:uiPriority w:val="99"/>
    <w:pPr>
      <w:spacing w:line="360" w:lineRule="auto"/>
      <w:ind w:firstLine="420"/>
    </w:pPr>
    <w:rPr>
      <w:rFonts w:ascii="Calibri" w:hAnsi="Calibri" w:eastAsia="仿宋" w:cs="Times New Roman"/>
      <w:sz w:val="24"/>
      <w:szCs w:val="24"/>
    </w:rPr>
  </w:style>
  <w:style w:type="paragraph" w:customStyle="1" w:styleId="1430">
    <w:name w:val="xl34"/>
    <w:basedOn w:val="1"/>
    <w:qFormat/>
    <w:uiPriority w:val="0"/>
    <w:pPr>
      <w:widowControl/>
      <w:pBdr>
        <w:left w:val="single" w:color="auto" w:sz="4" w:space="0"/>
        <w:bottom w:val="single" w:color="auto" w:sz="4" w:space="0"/>
      </w:pBdr>
      <w:spacing w:before="100" w:beforeAutospacing="1" w:after="100" w:afterAutospacing="1" w:line="360" w:lineRule="auto"/>
      <w:jc w:val="center"/>
      <w:textAlignment w:val="center"/>
    </w:pPr>
    <w:rPr>
      <w:rFonts w:ascii="Calibri" w:hAnsi="Calibri" w:eastAsia="Arial Unicode MS" w:cs="Times New Roman"/>
      <w:kern w:val="0"/>
      <w:sz w:val="28"/>
      <w:szCs w:val="28"/>
    </w:rPr>
  </w:style>
  <w:style w:type="paragraph" w:customStyle="1" w:styleId="1431">
    <w:name w:val="辑要页内容"/>
    <w:basedOn w:val="1"/>
    <w:qFormat/>
    <w:uiPriority w:val="0"/>
    <w:pPr>
      <w:widowControl/>
      <w:adjustRightInd w:val="0"/>
      <w:snapToGrid w:val="0"/>
      <w:spacing w:after="120" w:line="480" w:lineRule="auto"/>
      <w:textAlignment w:val="baseline"/>
    </w:pPr>
    <w:rPr>
      <w:rFonts w:ascii="黑体" w:hAnsi="Arial" w:eastAsia="黑体" w:cs="Times New Roman"/>
      <w:kern w:val="0"/>
      <w:sz w:val="28"/>
      <w:szCs w:val="20"/>
    </w:rPr>
  </w:style>
  <w:style w:type="paragraph" w:customStyle="1" w:styleId="1432">
    <w:name w:val="标题 5（有编号）（绿盟科技）"/>
    <w:basedOn w:val="1"/>
    <w:next w:val="1"/>
    <w:qFormat/>
    <w:uiPriority w:val="0"/>
    <w:pPr>
      <w:keepNext/>
      <w:keepLines/>
      <w:spacing w:before="280" w:after="156" w:line="377" w:lineRule="auto"/>
      <w:jc w:val="left"/>
      <w:outlineLvl w:val="4"/>
    </w:pPr>
    <w:rPr>
      <w:rFonts w:ascii="Arial" w:hAnsi="Arial" w:eastAsia="黑体" w:cs="Times New Roman"/>
      <w:b/>
      <w:kern w:val="0"/>
      <w:sz w:val="24"/>
      <w:szCs w:val="28"/>
    </w:rPr>
  </w:style>
  <w:style w:type="paragraph" w:customStyle="1" w:styleId="1433">
    <w:name w:val="首行缩进正文"/>
    <w:basedOn w:val="1"/>
    <w:qFormat/>
    <w:uiPriority w:val="0"/>
    <w:pPr>
      <w:spacing w:line="360" w:lineRule="auto"/>
      <w:ind w:firstLine="480"/>
    </w:pPr>
    <w:rPr>
      <w:rFonts w:ascii="Calibri" w:hAnsi="Calibri" w:eastAsia="仿宋" w:cs="Times New Roman"/>
      <w:sz w:val="24"/>
      <w:szCs w:val="20"/>
    </w:rPr>
  </w:style>
  <w:style w:type="paragraph" w:customStyle="1" w:styleId="1434">
    <w:name w:val="样式 标题 5H5Level 3 - iPIM 5Titre5Block Label1.1.1口h5Secon..."/>
    <w:basedOn w:val="14"/>
    <w:qFormat/>
    <w:uiPriority w:val="0"/>
    <w:pPr>
      <w:widowControl/>
      <w:numPr>
        <w:ilvl w:val="0"/>
        <w:numId w:val="0"/>
      </w:numPr>
      <w:tabs>
        <w:tab w:val="left" w:pos="-420"/>
      </w:tabs>
      <w:spacing w:before="0" w:after="0" w:line="377" w:lineRule="auto"/>
      <w:jc w:val="left"/>
    </w:pPr>
    <w:rPr>
      <w:rFonts w:ascii="Calibri" w:hAnsi="Calibri" w:cs="宋体"/>
    </w:rPr>
  </w:style>
  <w:style w:type="paragraph" w:customStyle="1" w:styleId="1435">
    <w:name w:val="xl47"/>
    <w:basedOn w:val="1"/>
    <w:qFormat/>
    <w:uiPriority w:val="0"/>
    <w:pPr>
      <w:widowControl/>
      <w:pBdr>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Times New Roman"/>
      <w:kern w:val="0"/>
      <w:sz w:val="24"/>
      <w:szCs w:val="24"/>
    </w:rPr>
  </w:style>
  <w:style w:type="paragraph" w:customStyle="1" w:styleId="1436">
    <w:name w:val="Char2 Char Char Char"/>
    <w:basedOn w:val="1"/>
    <w:qFormat/>
    <w:uiPriority w:val="0"/>
    <w:pPr>
      <w:spacing w:line="360" w:lineRule="auto"/>
    </w:pPr>
    <w:rPr>
      <w:rFonts w:ascii="仿宋_GB2312" w:hAnsi="Calibri" w:eastAsia="仿宋" w:cs="Times New Roman"/>
      <w:b/>
      <w:sz w:val="30"/>
      <w:szCs w:val="32"/>
    </w:rPr>
  </w:style>
  <w:style w:type="paragraph" w:customStyle="1" w:styleId="1437">
    <w:name w:val="xl29"/>
    <w:basedOn w:val="1"/>
    <w:qFormat/>
    <w:uiPriority w:val="0"/>
    <w:pPr>
      <w:widowControl/>
      <w:pBdr>
        <w:bottom w:val="single" w:color="auto" w:sz="4" w:space="0"/>
        <w:right w:val="single" w:color="auto" w:sz="4" w:space="0"/>
      </w:pBdr>
      <w:spacing w:before="100" w:beforeAutospacing="1" w:after="100" w:afterAutospacing="1" w:line="360" w:lineRule="auto"/>
      <w:textAlignment w:val="top"/>
    </w:pPr>
    <w:rPr>
      <w:rFonts w:hint="eastAsia" w:ascii="仿宋_GB2312" w:hAnsi="Arial Unicode MS" w:eastAsia="仿宋_GB2312" w:cs="Times New Roman"/>
      <w:kern w:val="0"/>
      <w:sz w:val="24"/>
      <w:szCs w:val="24"/>
    </w:rPr>
  </w:style>
  <w:style w:type="paragraph" w:customStyle="1" w:styleId="1438">
    <w:name w:val="正文 首行缩进2字符 Char Char"/>
    <w:basedOn w:val="1"/>
    <w:qFormat/>
    <w:uiPriority w:val="0"/>
    <w:pPr>
      <w:spacing w:line="360" w:lineRule="auto"/>
      <w:ind w:firstLine="200" w:firstLineChars="200"/>
    </w:pPr>
    <w:rPr>
      <w:rFonts w:ascii="Calibri" w:hAnsi="Calibri" w:eastAsia="仿宋" w:cs="Times New Roman"/>
      <w:sz w:val="24"/>
      <w:szCs w:val="24"/>
    </w:rPr>
  </w:style>
  <w:style w:type="paragraph" w:customStyle="1" w:styleId="1439">
    <w:name w:val="目录标题"/>
    <w:basedOn w:val="1"/>
    <w:qFormat/>
    <w:uiPriority w:val="0"/>
    <w:pPr>
      <w:spacing w:line="360" w:lineRule="auto"/>
      <w:ind w:right="2" w:firstLine="630" w:firstLineChars="225"/>
      <w:jc w:val="center"/>
    </w:pPr>
    <w:rPr>
      <w:rFonts w:ascii="仿宋_GB2312" w:hAnsi="Calibri" w:eastAsia="仿宋_GB2312" w:cs="Times New Roman"/>
      <w:b/>
      <w:sz w:val="28"/>
      <w:szCs w:val="28"/>
    </w:rPr>
  </w:style>
  <w:style w:type="paragraph" w:customStyle="1" w:styleId="1440">
    <w:name w:val="标题3，章节第三层"/>
    <w:basedOn w:val="1"/>
    <w:next w:val="823"/>
    <w:qFormat/>
    <w:uiPriority w:val="0"/>
    <w:pPr>
      <w:tabs>
        <w:tab w:val="left" w:pos="1080"/>
      </w:tabs>
      <w:adjustRightInd w:val="0"/>
      <w:snapToGrid w:val="0"/>
      <w:spacing w:before="78" w:line="300" w:lineRule="auto"/>
      <w:ind w:left="567" w:hanging="567"/>
      <w:outlineLvl w:val="2"/>
    </w:pPr>
    <w:rPr>
      <w:rFonts w:ascii="Arial" w:hAnsi="Arial" w:eastAsia="华文细黑" w:cs="Times New Roman"/>
      <w:sz w:val="30"/>
      <w:szCs w:val="24"/>
    </w:rPr>
  </w:style>
  <w:style w:type="paragraph" w:customStyle="1" w:styleId="1441">
    <w:name w:val="Char Char Char1"/>
    <w:basedOn w:val="1"/>
    <w:qFormat/>
    <w:uiPriority w:val="0"/>
    <w:pPr>
      <w:spacing w:line="360" w:lineRule="auto"/>
    </w:pPr>
    <w:rPr>
      <w:rFonts w:ascii="Tahoma" w:hAnsi="Tahoma" w:eastAsia="仿宋" w:cs="Times New Roman"/>
      <w:sz w:val="24"/>
      <w:szCs w:val="20"/>
    </w:rPr>
  </w:style>
  <w:style w:type="paragraph" w:customStyle="1" w:styleId="1442">
    <w:name w:val="标题4，章节第四层"/>
    <w:basedOn w:val="1"/>
    <w:next w:val="823"/>
    <w:qFormat/>
    <w:uiPriority w:val="0"/>
    <w:pPr>
      <w:tabs>
        <w:tab w:val="left" w:pos="630"/>
        <w:tab w:val="left" w:pos="1865"/>
      </w:tabs>
      <w:spacing w:line="360" w:lineRule="auto"/>
      <w:ind w:left="1133" w:hanging="708"/>
      <w:outlineLvl w:val="3"/>
    </w:pPr>
    <w:rPr>
      <w:rFonts w:ascii="Arial" w:hAnsi="Arial" w:eastAsia="华文细黑" w:cs="Times New Roman"/>
      <w:sz w:val="30"/>
      <w:szCs w:val="24"/>
    </w:rPr>
  </w:style>
  <w:style w:type="paragraph" w:customStyle="1" w:styleId="1443">
    <w:name w:val="Char2 Char Char Char Char Char Char"/>
    <w:basedOn w:val="1"/>
    <w:qFormat/>
    <w:uiPriority w:val="0"/>
    <w:pPr>
      <w:spacing w:line="360" w:lineRule="auto"/>
    </w:pPr>
    <w:rPr>
      <w:rFonts w:ascii="仿宋_GB2312" w:hAnsi="Calibri" w:eastAsia="仿宋" w:cs="Times New Roman"/>
      <w:b/>
      <w:sz w:val="30"/>
      <w:szCs w:val="32"/>
    </w:rPr>
  </w:style>
  <w:style w:type="paragraph" w:customStyle="1" w:styleId="1444">
    <w:name w:val="Code"/>
    <w:basedOn w:val="1"/>
    <w:qFormat/>
    <w:uiPriority w:val="0"/>
    <w:pPr>
      <w:pBdr>
        <w:top w:val="single" w:color="auto" w:sz="4" w:space="1"/>
        <w:left w:val="single" w:color="auto" w:sz="4" w:space="4"/>
        <w:bottom w:val="single" w:color="auto" w:sz="4" w:space="1"/>
        <w:right w:val="single" w:color="auto" w:sz="4" w:space="4"/>
      </w:pBdr>
      <w:spacing w:line="360" w:lineRule="auto"/>
      <w:ind w:left="720" w:hanging="720" w:hangingChars="400"/>
    </w:pPr>
    <w:rPr>
      <w:rFonts w:ascii="宋体" w:hAnsi="宋体" w:eastAsia="仿宋" w:cs="Courier New"/>
      <w:sz w:val="18"/>
      <w:szCs w:val="24"/>
    </w:rPr>
  </w:style>
  <w:style w:type="paragraph" w:customStyle="1" w:styleId="1445">
    <w:name w:val="Char Char Char Char"/>
    <w:basedOn w:val="1"/>
    <w:link w:val="1817"/>
    <w:qFormat/>
    <w:uiPriority w:val="0"/>
    <w:pPr>
      <w:spacing w:line="360" w:lineRule="auto"/>
    </w:pPr>
    <w:rPr>
      <w:rFonts w:ascii="Tahoma" w:hAnsi="Tahoma" w:eastAsia="仿宋" w:cs="Times New Roman"/>
      <w:sz w:val="24"/>
      <w:szCs w:val="20"/>
    </w:rPr>
  </w:style>
  <w:style w:type="paragraph" w:customStyle="1" w:styleId="1446">
    <w:name w:val="MM Topic 2"/>
    <w:basedOn w:val="5"/>
    <w:qFormat/>
    <w:uiPriority w:val="0"/>
    <w:pPr>
      <w:numPr>
        <w:numId w:val="46"/>
      </w:numPr>
    </w:pPr>
    <w:rPr>
      <w:rFonts w:ascii="Cambria" w:hAnsi="Cambria" w:cs="Times New Roman"/>
      <w:sz w:val="36"/>
      <w:szCs w:val="32"/>
    </w:rPr>
  </w:style>
  <w:style w:type="paragraph" w:customStyle="1" w:styleId="1447">
    <w:name w:val="正文 首行缩进:  2 字符 Char Char Char Char"/>
    <w:basedOn w:val="1"/>
    <w:qFormat/>
    <w:uiPriority w:val="0"/>
    <w:pPr>
      <w:spacing w:line="360" w:lineRule="auto"/>
      <w:ind w:firstLine="480"/>
    </w:pPr>
    <w:rPr>
      <w:rFonts w:ascii="Calibri" w:hAnsi="Calibri" w:eastAsia="仿宋" w:cs="宋体"/>
      <w:sz w:val="24"/>
      <w:szCs w:val="24"/>
    </w:rPr>
  </w:style>
  <w:style w:type="paragraph" w:customStyle="1" w:styleId="1448">
    <w:name w:val="标题2，章节第二层"/>
    <w:basedOn w:val="1"/>
    <w:next w:val="823"/>
    <w:qFormat/>
    <w:uiPriority w:val="0"/>
    <w:pPr>
      <w:tabs>
        <w:tab w:val="left" w:pos="630"/>
        <w:tab w:val="left" w:pos="720"/>
      </w:tabs>
      <w:adjustRightInd w:val="0"/>
      <w:snapToGrid w:val="0"/>
      <w:spacing w:beforeLines="100" w:afterLines="100" w:line="300" w:lineRule="auto"/>
      <w:ind w:left="141" w:hanging="141"/>
      <w:outlineLvl w:val="1"/>
    </w:pPr>
    <w:rPr>
      <w:rFonts w:ascii="Arial" w:hAnsi="Arial" w:eastAsia="黑体" w:cs="Times New Roman"/>
      <w:sz w:val="32"/>
      <w:szCs w:val="24"/>
    </w:rPr>
  </w:style>
  <w:style w:type="paragraph" w:customStyle="1" w:styleId="1449">
    <w:name w:val="B5纸型可研模板"/>
    <w:basedOn w:val="1"/>
    <w:qFormat/>
    <w:uiPriority w:val="0"/>
    <w:pPr>
      <w:widowControl/>
      <w:overflowPunct w:val="0"/>
      <w:adjustRightInd w:val="0"/>
      <w:spacing w:line="336" w:lineRule="auto"/>
      <w:ind w:firstLine="567"/>
      <w:jc w:val="left"/>
      <w:textAlignment w:val="baseline"/>
    </w:pPr>
    <w:rPr>
      <w:rFonts w:ascii="Arial Narrow" w:hAnsi="Arial Narrow" w:eastAsia="仿宋" w:cs="Times New Roman"/>
      <w:kern w:val="0"/>
      <w:sz w:val="28"/>
      <w:szCs w:val="20"/>
    </w:rPr>
  </w:style>
  <w:style w:type="paragraph" w:customStyle="1" w:styleId="1450">
    <w:name w:val="样式 标题 3 + 段前: 5 磅 段后: 5 磅"/>
    <w:basedOn w:val="7"/>
    <w:qFormat/>
    <w:uiPriority w:val="0"/>
    <w:pPr>
      <w:tabs>
        <w:tab w:val="left" w:pos="709"/>
      </w:tabs>
      <w:spacing w:line="360" w:lineRule="auto"/>
      <w:ind w:left="709" w:hanging="709"/>
    </w:pPr>
    <w:rPr>
      <w:rFonts w:ascii="Arial" w:hAnsi="Arial" w:eastAsia="仿宋" w:cs="宋体"/>
      <w:sz w:val="30"/>
      <w:szCs w:val="30"/>
    </w:rPr>
  </w:style>
  <w:style w:type="paragraph" w:customStyle="1" w:styleId="145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452">
    <w:name w:val="WW序号样式"/>
    <w:basedOn w:val="1"/>
    <w:qFormat/>
    <w:uiPriority w:val="0"/>
    <w:pPr>
      <w:tabs>
        <w:tab w:val="left" w:pos="716"/>
        <w:tab w:val="left" w:pos="900"/>
      </w:tabs>
      <w:spacing w:line="360" w:lineRule="auto"/>
      <w:ind w:left="489" w:firstLine="231"/>
    </w:pPr>
    <w:rPr>
      <w:rFonts w:ascii="宋体" w:hAnsi="宋体" w:eastAsia="仿宋" w:cs="Times New Roman"/>
      <w:sz w:val="24"/>
      <w:szCs w:val="20"/>
    </w:rPr>
  </w:style>
  <w:style w:type="paragraph" w:customStyle="1" w:styleId="1453">
    <w:name w:val="项目符号：一级"/>
    <w:basedOn w:val="1"/>
    <w:next w:val="1"/>
    <w:qFormat/>
    <w:uiPriority w:val="0"/>
    <w:pPr>
      <w:widowControl/>
      <w:numPr>
        <w:ilvl w:val="0"/>
        <w:numId w:val="50"/>
      </w:numPr>
      <w:tabs>
        <w:tab w:val="clear" w:pos="700"/>
      </w:tabs>
      <w:adjustRightInd w:val="0"/>
      <w:snapToGrid w:val="0"/>
      <w:spacing w:line="360" w:lineRule="auto"/>
      <w:ind w:left="0" w:firstLine="0"/>
      <w:jc w:val="left"/>
      <w:textAlignment w:val="baseline"/>
    </w:pPr>
    <w:rPr>
      <w:rFonts w:ascii="宋体" w:hAnsi="宋体" w:eastAsia="仿宋" w:cs="Times New Roman"/>
      <w:color w:val="000000"/>
      <w:kern w:val="0"/>
      <w:sz w:val="24"/>
      <w:szCs w:val="24"/>
    </w:rPr>
  </w:style>
  <w:style w:type="paragraph" w:customStyle="1" w:styleId="1454">
    <w:name w:val="xl35"/>
    <w:basedOn w:val="1"/>
    <w:qFormat/>
    <w:uiPriority w:val="0"/>
    <w:pPr>
      <w:widowControl/>
      <w:pBdr>
        <w:left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455">
    <w:name w:val="xl161"/>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456">
    <w:name w:val="正文样式宋体"/>
    <w:qFormat/>
    <w:uiPriority w:val="0"/>
    <w:pPr>
      <w:spacing w:line="360" w:lineRule="auto"/>
      <w:ind w:firstLine="420" w:firstLineChars="200"/>
    </w:pPr>
    <w:rPr>
      <w:rFonts w:ascii="宋体" w:hAnsi="宋体" w:eastAsia="宋体" w:cs="宋体"/>
      <w:kern w:val="36"/>
      <w:sz w:val="21"/>
      <w:szCs w:val="32"/>
      <w:lang w:val="en-US" w:eastAsia="zh-CN" w:bidi="ar-SA"/>
    </w:rPr>
  </w:style>
  <w:style w:type="paragraph" w:customStyle="1" w:styleId="1457">
    <w:name w:val="编号样式3"/>
    <w:basedOn w:val="326"/>
    <w:qFormat/>
    <w:uiPriority w:val="99"/>
    <w:pPr>
      <w:numPr>
        <w:ilvl w:val="0"/>
        <w:numId w:val="51"/>
      </w:numPr>
      <w:tabs>
        <w:tab w:val="left" w:pos="360"/>
        <w:tab w:val="clear" w:pos="620"/>
      </w:tabs>
      <w:ind w:left="0" w:firstLine="0" w:firstLineChars="0"/>
    </w:pPr>
    <w:rPr>
      <w:rFonts w:asciiTheme="minorHAnsi" w:hAnsiTheme="minorHAnsi" w:cstheme="minorBidi"/>
    </w:rPr>
  </w:style>
  <w:style w:type="paragraph" w:customStyle="1" w:styleId="1458">
    <w:name w:val="标题5，章节第五层"/>
    <w:basedOn w:val="1"/>
    <w:next w:val="823"/>
    <w:qFormat/>
    <w:uiPriority w:val="0"/>
    <w:pPr>
      <w:tabs>
        <w:tab w:val="left" w:pos="1050"/>
        <w:tab w:val="left" w:pos="1700"/>
      </w:tabs>
      <w:spacing w:before="78" w:line="360" w:lineRule="auto"/>
      <w:ind w:left="1700" w:hanging="850"/>
      <w:outlineLvl w:val="4"/>
    </w:pPr>
    <w:rPr>
      <w:rFonts w:ascii="Arial" w:hAnsi="Arial" w:eastAsia="华文细黑" w:cs="Times New Roman"/>
      <w:sz w:val="30"/>
      <w:szCs w:val="24"/>
    </w:rPr>
  </w:style>
  <w:style w:type="paragraph" w:customStyle="1" w:styleId="1459">
    <w:name w:val="Numbered list 2.3"/>
    <w:basedOn w:val="7"/>
    <w:next w:val="1"/>
    <w:qFormat/>
    <w:uiPriority w:val="0"/>
    <w:pPr>
      <w:widowControl/>
      <w:tabs>
        <w:tab w:val="left" w:pos="1080"/>
        <w:tab w:val="left" w:pos="1440"/>
      </w:tabs>
      <w:ind w:left="357" w:hanging="357"/>
      <w:jc w:val="left"/>
    </w:pPr>
    <w:rPr>
      <w:rFonts w:cs="Times New Roman"/>
      <w:kern w:val="0"/>
      <w:sz w:val="22"/>
      <w:szCs w:val="21"/>
      <w:lang w:val="en-GB" w:eastAsia="en-US"/>
    </w:rPr>
  </w:style>
  <w:style w:type="paragraph" w:customStyle="1" w:styleId="1460">
    <w:name w:val="封面标题"/>
    <w:basedOn w:val="1"/>
    <w:qFormat/>
    <w:uiPriority w:val="0"/>
    <w:pPr>
      <w:tabs>
        <w:tab w:val="left" w:pos="1800"/>
      </w:tabs>
      <w:autoSpaceDE w:val="0"/>
      <w:autoSpaceDN w:val="0"/>
      <w:adjustRightInd w:val="0"/>
      <w:spacing w:beforeLines="50" w:afterLines="50" w:line="360" w:lineRule="auto"/>
      <w:ind w:left="360"/>
      <w:jc w:val="center"/>
    </w:pPr>
    <w:rPr>
      <w:rFonts w:ascii="Book Antiqua" w:hAnsi="Book Antiqua" w:eastAsia="黑体" w:cs="Times New Roman"/>
      <w:b/>
      <w:bCs/>
      <w:sz w:val="52"/>
      <w:szCs w:val="48"/>
    </w:rPr>
  </w:style>
  <w:style w:type="paragraph" w:customStyle="1" w:styleId="1461">
    <w:name w:val="L标题 2"/>
    <w:basedOn w:val="5"/>
    <w:qFormat/>
    <w:uiPriority w:val="0"/>
    <w:pPr>
      <w:numPr>
        <w:ilvl w:val="0"/>
        <w:numId w:val="0"/>
      </w:numPr>
      <w:tabs>
        <w:tab w:val="left" w:pos="718"/>
      </w:tabs>
      <w:spacing w:before="280" w:after="120" w:line="300" w:lineRule="auto"/>
      <w:ind w:left="718" w:hanging="576"/>
    </w:pPr>
    <w:rPr>
      <w:rFonts w:ascii="Calibri" w:hAnsi="Calibri" w:eastAsia="黑体" w:cs="Times New Roman"/>
      <w:sz w:val="30"/>
      <w:szCs w:val="32"/>
    </w:rPr>
  </w:style>
  <w:style w:type="paragraph" w:customStyle="1" w:styleId="1462">
    <w:name w:val="xl108"/>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46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0"/>
      <w:szCs w:val="20"/>
    </w:rPr>
  </w:style>
  <w:style w:type="paragraph" w:customStyle="1" w:styleId="1464">
    <w:name w:val="文档编号"/>
    <w:basedOn w:val="1"/>
    <w:next w:val="1"/>
    <w:qFormat/>
    <w:uiPriority w:val="0"/>
    <w:pPr>
      <w:adjustRightInd w:val="0"/>
      <w:spacing w:line="360" w:lineRule="auto"/>
      <w:jc w:val="center"/>
      <w:textAlignment w:val="baseline"/>
    </w:pPr>
    <w:rPr>
      <w:rFonts w:ascii="宋体" w:hAnsi="Calibri" w:eastAsia="仿宋" w:cs="Times New Roman"/>
      <w:kern w:val="0"/>
      <w:sz w:val="20"/>
      <w:szCs w:val="24"/>
    </w:rPr>
  </w:style>
  <w:style w:type="paragraph" w:customStyle="1" w:styleId="1465">
    <w:name w:val="列表标题"/>
    <w:basedOn w:val="1"/>
    <w:next w:val="1"/>
    <w:qFormat/>
    <w:uiPriority w:val="0"/>
    <w:pPr>
      <w:spacing w:line="360" w:lineRule="auto"/>
      <w:jc w:val="center"/>
    </w:pPr>
    <w:rPr>
      <w:rFonts w:ascii="Calibri" w:hAnsi="Calibri" w:eastAsia="仿宋" w:cs="Times New Roman"/>
      <w:sz w:val="24"/>
      <w:szCs w:val="20"/>
    </w:rPr>
  </w:style>
  <w:style w:type="paragraph" w:customStyle="1" w:styleId="1466">
    <w:name w:val="xl147"/>
    <w:basedOn w:val="1"/>
    <w:qFormat/>
    <w:uiPriority w:val="0"/>
    <w:pPr>
      <w:widowControl/>
      <w:pBdr>
        <w:top w:val="single" w:color="auto" w:sz="4" w:space="0"/>
        <w:bottom w:val="single" w:color="auto" w:sz="4" w:space="0"/>
      </w:pBdr>
      <w:shd w:val="clear" w:color="000000" w:fill="B7DEE8"/>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67">
    <w:name w:val="Char4"/>
    <w:basedOn w:val="1"/>
    <w:qFormat/>
    <w:uiPriority w:val="0"/>
    <w:pPr>
      <w:spacing w:line="360" w:lineRule="auto"/>
    </w:pPr>
    <w:rPr>
      <w:rFonts w:ascii="仿宋_GB2312" w:hAnsi="Calibri" w:eastAsia="仿宋_GB2312" w:cs="Times New Roman"/>
      <w:b/>
      <w:sz w:val="32"/>
      <w:szCs w:val="32"/>
    </w:rPr>
  </w:style>
  <w:style w:type="paragraph" w:customStyle="1" w:styleId="1468">
    <w:name w:val="xl137"/>
    <w:basedOn w:val="1"/>
    <w:qFormat/>
    <w:uiPriority w:val="0"/>
    <w:pPr>
      <w:widowControl/>
      <w:pBdr>
        <w:lef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469">
    <w:name w:val="标题 3（绿盟科技）"/>
    <w:basedOn w:val="7"/>
    <w:next w:val="1"/>
    <w:qFormat/>
    <w:uiPriority w:val="0"/>
    <w:pPr>
      <w:tabs>
        <w:tab w:val="left" w:pos="960"/>
      </w:tabs>
      <w:ind w:left="420" w:hanging="420"/>
      <w:jc w:val="left"/>
    </w:pPr>
    <w:rPr>
      <w:rFonts w:ascii="Arial" w:hAnsi="Arial" w:eastAsia="黑体" w:cs="Times New Roman"/>
      <w:kern w:val="0"/>
      <w:sz w:val="30"/>
      <w:szCs w:val="30"/>
    </w:rPr>
  </w:style>
  <w:style w:type="paragraph" w:customStyle="1" w:styleId="1470">
    <w:name w:val="样式 样式 标题 2 + 段前: 1 行 段后: 1 行 + 段前: 1 行 段后: 0.5 行"/>
    <w:basedOn w:val="1351"/>
    <w:qFormat/>
    <w:uiPriority w:val="0"/>
    <w:pPr>
      <w:tabs>
        <w:tab w:val="left" w:pos="-420"/>
      </w:tabs>
      <w:spacing w:beforeLines="0" w:afterLines="0"/>
      <w:ind w:left="-420" w:firstLine="420"/>
    </w:pPr>
    <w:rPr>
      <w:sz w:val="24"/>
      <w:szCs w:val="24"/>
    </w:rPr>
  </w:style>
  <w:style w:type="paragraph" w:customStyle="1" w:styleId="1471">
    <w:name w:val="Char Char3 Char Char Char Char Char Char Char Char Char Char"/>
    <w:basedOn w:val="1"/>
    <w:qFormat/>
    <w:uiPriority w:val="0"/>
    <w:pPr>
      <w:spacing w:line="360" w:lineRule="auto"/>
    </w:pPr>
    <w:rPr>
      <w:rFonts w:ascii="Tahoma" w:hAnsi="Tahoma" w:eastAsia="仿宋" w:cs="Times New Roman"/>
      <w:sz w:val="36"/>
      <w:szCs w:val="36"/>
    </w:rPr>
  </w:style>
  <w:style w:type="paragraph" w:customStyle="1" w:styleId="1472">
    <w:name w:val="样式 *正文 + 小四"/>
    <w:basedOn w:val="188"/>
    <w:qFormat/>
    <w:uiPriority w:val="0"/>
    <w:rPr>
      <w:rFonts w:ascii="Times New Roman" w:hAnsi="Times New Roman" w:eastAsiaTheme="minorEastAsia" w:cstheme="minorBidi"/>
    </w:rPr>
  </w:style>
  <w:style w:type="paragraph" w:customStyle="1" w:styleId="1473">
    <w:name w:val="常用正文"/>
    <w:qFormat/>
    <w:uiPriority w:val="0"/>
    <w:pPr>
      <w:widowControl w:val="0"/>
      <w:spacing w:line="360" w:lineRule="auto"/>
      <w:ind w:firstLine="200"/>
      <w:textAlignment w:val="bottom"/>
    </w:pPr>
    <w:rPr>
      <w:rFonts w:ascii="Arial" w:hAnsi="Arial" w:eastAsia="楷体_GB2312" w:cs="Times New Roman"/>
      <w:sz w:val="28"/>
      <w:lang w:val="en-US" w:eastAsia="zh-CN" w:bidi="ar-SA"/>
    </w:rPr>
  </w:style>
  <w:style w:type="paragraph" w:customStyle="1" w:styleId="147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Times New Roman"/>
      <w:kern w:val="0"/>
      <w:sz w:val="24"/>
      <w:szCs w:val="24"/>
    </w:rPr>
  </w:style>
  <w:style w:type="paragraph" w:customStyle="1" w:styleId="1475">
    <w:name w:val="首行缩进"/>
    <w:basedOn w:val="1"/>
    <w:qFormat/>
    <w:uiPriority w:val="99"/>
    <w:pPr>
      <w:spacing w:line="360" w:lineRule="auto"/>
      <w:ind w:firstLine="480" w:firstLineChars="200"/>
    </w:pPr>
    <w:rPr>
      <w:rFonts w:ascii="Calibri" w:hAnsi="Calibri" w:eastAsia="仿宋" w:cs="Times New Roman"/>
      <w:sz w:val="24"/>
      <w:szCs w:val="20"/>
    </w:rPr>
  </w:style>
  <w:style w:type="paragraph" w:customStyle="1" w:styleId="1476">
    <w:name w:val="N"/>
    <w:basedOn w:val="1"/>
    <w:next w:val="1"/>
    <w:qFormat/>
    <w:uiPriority w:val="0"/>
    <w:pPr>
      <w:numPr>
        <w:ilvl w:val="0"/>
        <w:numId w:val="52"/>
      </w:numPr>
      <w:spacing w:line="480" w:lineRule="auto"/>
      <w:jc w:val="center"/>
      <w:outlineLvl w:val="0"/>
    </w:pPr>
    <w:rPr>
      <w:rFonts w:ascii="黑体" w:hAnsi="Calibri" w:eastAsia="黑体" w:cs="Times New Roman"/>
      <w:sz w:val="44"/>
      <w:szCs w:val="44"/>
    </w:rPr>
  </w:style>
  <w:style w:type="paragraph" w:customStyle="1" w:styleId="1477">
    <w:name w:val="正文 + 宋体"/>
    <w:basedOn w:val="1"/>
    <w:qFormat/>
    <w:uiPriority w:val="0"/>
    <w:pPr>
      <w:tabs>
        <w:tab w:val="left" w:pos="720"/>
      </w:tabs>
      <w:spacing w:line="360" w:lineRule="auto"/>
      <w:ind w:left="720"/>
    </w:pPr>
    <w:rPr>
      <w:rFonts w:ascii="宋体" w:hAnsi="宋体" w:eastAsia="仿宋" w:cs="Times New Roman"/>
      <w:sz w:val="24"/>
      <w:szCs w:val="24"/>
    </w:rPr>
  </w:style>
  <w:style w:type="paragraph" w:customStyle="1" w:styleId="1478">
    <w:name w:val="辑要页"/>
    <w:basedOn w:val="1"/>
    <w:qFormat/>
    <w:uiPriority w:val="0"/>
    <w:pPr>
      <w:widowControl/>
      <w:adjustRightInd w:val="0"/>
      <w:snapToGrid w:val="0"/>
      <w:spacing w:before="1200" w:after="1400" w:line="300" w:lineRule="auto"/>
      <w:jc w:val="center"/>
      <w:textAlignment w:val="baseline"/>
    </w:pPr>
    <w:rPr>
      <w:rFonts w:ascii="黑体" w:hAnsi="Arial" w:eastAsia="黑体" w:cs="Times New Roman"/>
      <w:spacing w:val="100"/>
      <w:kern w:val="0"/>
      <w:sz w:val="32"/>
      <w:szCs w:val="20"/>
    </w:rPr>
  </w:style>
  <w:style w:type="paragraph" w:customStyle="1" w:styleId="1479">
    <w:name w:val="标题 6（有编号）（绿盟科技）"/>
    <w:basedOn w:val="1"/>
    <w:next w:val="1"/>
    <w:qFormat/>
    <w:uiPriority w:val="0"/>
    <w:pPr>
      <w:keepNext/>
      <w:keepLines/>
      <w:spacing w:before="240" w:after="64" w:line="319" w:lineRule="auto"/>
      <w:jc w:val="left"/>
      <w:outlineLvl w:val="5"/>
    </w:pPr>
    <w:rPr>
      <w:rFonts w:ascii="Arial" w:hAnsi="Arial" w:cs="Times New Roman"/>
      <w:b/>
      <w:kern w:val="0"/>
      <w:sz w:val="24"/>
      <w:szCs w:val="24"/>
    </w:rPr>
  </w:style>
  <w:style w:type="paragraph" w:customStyle="1" w:styleId="148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eastAsia="仿宋" w:cs="Times New Roman"/>
      <w:kern w:val="0"/>
      <w:sz w:val="24"/>
      <w:szCs w:val="24"/>
    </w:rPr>
  </w:style>
  <w:style w:type="paragraph" w:customStyle="1" w:styleId="1481">
    <w:name w:val="标题1，章节第一层"/>
    <w:basedOn w:val="1"/>
    <w:next w:val="823"/>
    <w:qFormat/>
    <w:uiPriority w:val="0"/>
    <w:pPr>
      <w:tabs>
        <w:tab w:val="left" w:pos="360"/>
        <w:tab w:val="left" w:pos="693"/>
      </w:tabs>
      <w:spacing w:beforeLines="200" w:afterLines="200" w:line="300" w:lineRule="auto"/>
      <w:ind w:left="-426" w:firstLine="426"/>
      <w:outlineLvl w:val="0"/>
    </w:pPr>
    <w:rPr>
      <w:rFonts w:ascii="Arial" w:hAnsi="Arial" w:eastAsia="黑体" w:cs="Times New Roman"/>
      <w:sz w:val="36"/>
      <w:szCs w:val="24"/>
    </w:rPr>
  </w:style>
  <w:style w:type="paragraph" w:customStyle="1" w:styleId="1482">
    <w:name w:val="文头字"/>
    <w:basedOn w:val="1"/>
    <w:qFormat/>
    <w:uiPriority w:val="0"/>
    <w:pPr>
      <w:widowControl/>
      <w:adjustRightInd w:val="0"/>
      <w:snapToGrid w:val="0"/>
      <w:spacing w:before="200" w:line="360" w:lineRule="auto"/>
      <w:jc w:val="center"/>
      <w:textAlignment w:val="baseline"/>
    </w:pPr>
    <w:rPr>
      <w:rFonts w:ascii="Arial" w:hAnsi="Arial" w:eastAsia="仿宋" w:cs="Times New Roman"/>
      <w:b/>
      <w:snapToGrid w:val="0"/>
      <w:color w:val="FF0000"/>
      <w:spacing w:val="100"/>
      <w:kern w:val="0"/>
      <w:sz w:val="48"/>
      <w:szCs w:val="20"/>
    </w:rPr>
  </w:style>
  <w:style w:type="paragraph" w:customStyle="1" w:styleId="1483">
    <w:name w:val="xl111"/>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84">
    <w:name w:val="段 1"/>
    <w:basedOn w:val="1"/>
    <w:qFormat/>
    <w:uiPriority w:val="0"/>
    <w:pPr>
      <w:spacing w:line="360" w:lineRule="auto"/>
    </w:pPr>
    <w:rPr>
      <w:rFonts w:ascii="Calibri" w:hAnsi="Calibri" w:eastAsia="仿宋" w:cs="Times New Roman"/>
      <w:b/>
      <w:bCs/>
      <w:sz w:val="24"/>
      <w:szCs w:val="24"/>
    </w:rPr>
  </w:style>
  <w:style w:type="paragraph" w:customStyle="1" w:styleId="1485">
    <w:name w:val="表格正文"/>
    <w:basedOn w:val="1"/>
    <w:qFormat/>
    <w:uiPriority w:val="0"/>
    <w:pPr>
      <w:spacing w:line="360" w:lineRule="auto"/>
    </w:pPr>
    <w:rPr>
      <w:rFonts w:ascii="宋体" w:hAnsi="宋体" w:eastAsia="仿宋" w:cs="Times New Roman"/>
      <w:sz w:val="28"/>
      <w:szCs w:val="24"/>
    </w:rPr>
  </w:style>
  <w:style w:type="paragraph" w:customStyle="1" w:styleId="1486">
    <w:name w:val="样式 样式 样式 我的正文首行缩进 + 首行缩进:  2 字符 + 首行缩进:  2 字符 + 首行缩进:  2 字符"/>
    <w:basedOn w:val="1"/>
    <w:qFormat/>
    <w:uiPriority w:val="0"/>
    <w:pPr>
      <w:widowControl/>
      <w:tabs>
        <w:tab w:val="left" w:pos="700"/>
      </w:tabs>
      <w:spacing w:after="120" w:line="300" w:lineRule="auto"/>
      <w:ind w:left="630" w:hanging="290"/>
      <w:jc w:val="left"/>
    </w:pPr>
    <w:rPr>
      <w:rFonts w:ascii="Calibri" w:hAnsi="Calibri" w:eastAsia="华文细黑" w:cs="Times New Roman"/>
      <w:kern w:val="0"/>
      <w:sz w:val="24"/>
      <w:szCs w:val="24"/>
    </w:rPr>
  </w:style>
  <w:style w:type="paragraph" w:customStyle="1" w:styleId="1487">
    <w:name w:val="编号 1"/>
    <w:basedOn w:val="1"/>
    <w:qFormat/>
    <w:uiPriority w:val="0"/>
    <w:pPr>
      <w:tabs>
        <w:tab w:val="left" w:pos="1320"/>
      </w:tabs>
      <w:spacing w:before="100" w:beforeAutospacing="1" w:after="100" w:afterAutospacing="1" w:line="360" w:lineRule="auto"/>
      <w:ind w:left="400" w:firstLine="560"/>
    </w:pPr>
    <w:rPr>
      <w:rFonts w:ascii="宋体" w:hAnsi="Calibri" w:eastAsia="仿宋" w:cs="Times New Roman"/>
      <w:sz w:val="24"/>
      <w:szCs w:val="24"/>
    </w:rPr>
  </w:style>
  <w:style w:type="paragraph" w:customStyle="1" w:styleId="1488">
    <w:name w:val="表内文字（L）"/>
    <w:basedOn w:val="1"/>
    <w:qFormat/>
    <w:uiPriority w:val="99"/>
    <w:pPr>
      <w:adjustRightInd w:val="0"/>
      <w:snapToGrid w:val="0"/>
      <w:spacing w:beforeLines="30" w:line="360" w:lineRule="auto"/>
    </w:pPr>
    <w:rPr>
      <w:rFonts w:ascii="Calibri" w:hAnsi="Calibri" w:eastAsia="仿宋" w:cs="宋体"/>
      <w:bCs/>
      <w:sz w:val="24"/>
      <w:szCs w:val="20"/>
    </w:rPr>
  </w:style>
  <w:style w:type="paragraph" w:customStyle="1" w:styleId="1489">
    <w:name w:val="标题 4 + 四号"/>
    <w:basedOn w:val="7"/>
    <w:qFormat/>
    <w:uiPriority w:val="0"/>
    <w:pPr>
      <w:spacing w:line="360" w:lineRule="auto"/>
    </w:pPr>
    <w:rPr>
      <w:rFonts w:ascii="Calibri" w:hAnsi="Calibri" w:cs="Times New Roman"/>
      <w:sz w:val="28"/>
      <w:szCs w:val="28"/>
    </w:rPr>
  </w:style>
  <w:style w:type="paragraph" w:customStyle="1" w:styleId="1490">
    <w:name w:val="监理用表正文"/>
    <w:basedOn w:val="1"/>
    <w:qFormat/>
    <w:uiPriority w:val="0"/>
    <w:pPr>
      <w:spacing w:line="360" w:lineRule="auto"/>
    </w:pPr>
    <w:rPr>
      <w:rFonts w:ascii="仿宋_GB2312" w:hAnsi="宋体" w:eastAsia="仿宋_GB2312" w:cs="Times New Roman"/>
      <w:sz w:val="24"/>
      <w:szCs w:val="21"/>
    </w:rPr>
  </w:style>
  <w:style w:type="paragraph" w:customStyle="1" w:styleId="1491">
    <w:name w:val="content"/>
    <w:basedOn w:val="1"/>
    <w:qFormat/>
    <w:uiPriority w:val="0"/>
    <w:pPr>
      <w:widowControl/>
      <w:spacing w:before="100" w:beforeAutospacing="1" w:after="100" w:afterAutospacing="1" w:line="360" w:lineRule="auto"/>
      <w:jc w:val="left"/>
    </w:pPr>
    <w:rPr>
      <w:rFonts w:ascii="宋体" w:hAnsi="宋体" w:eastAsia="仿宋" w:cs="宋体"/>
      <w:color w:val="000000"/>
      <w:kern w:val="0"/>
      <w:sz w:val="24"/>
      <w:szCs w:val="24"/>
    </w:rPr>
  </w:style>
  <w:style w:type="paragraph" w:customStyle="1" w:styleId="1492">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93">
    <w:name w:val="部分1"/>
    <w:basedOn w:val="1"/>
    <w:qFormat/>
    <w:uiPriority w:val="0"/>
    <w:pPr>
      <w:keepNext/>
      <w:pageBreakBefore/>
      <w:tabs>
        <w:tab w:val="left" w:pos="840"/>
      </w:tabs>
      <w:spacing w:line="360" w:lineRule="auto"/>
      <w:jc w:val="center"/>
      <w:outlineLvl w:val="0"/>
    </w:pPr>
    <w:rPr>
      <w:rFonts w:ascii="Calibri" w:hAnsi="Calibri" w:eastAsia="黑体" w:cs="Times New Roman"/>
      <w:b/>
      <w:kern w:val="44"/>
      <w:sz w:val="36"/>
      <w:szCs w:val="20"/>
    </w:rPr>
  </w:style>
  <w:style w:type="paragraph" w:customStyle="1" w:styleId="1494">
    <w:name w:val="编号 3"/>
    <w:basedOn w:val="1"/>
    <w:qFormat/>
    <w:uiPriority w:val="0"/>
    <w:pPr>
      <w:tabs>
        <w:tab w:val="left" w:pos="1155"/>
      </w:tabs>
      <w:spacing w:line="360" w:lineRule="auto"/>
      <w:ind w:left="1155" w:hanging="735"/>
    </w:pPr>
    <w:rPr>
      <w:rFonts w:ascii="宋体" w:hAnsi="宋体" w:eastAsia="仿宋" w:cs="Times New Roman"/>
      <w:color w:val="000000"/>
      <w:sz w:val="24"/>
      <w:szCs w:val="20"/>
    </w:rPr>
  </w:style>
  <w:style w:type="paragraph" w:customStyle="1" w:styleId="1495">
    <w:name w:val="模板普通正文"/>
    <w:basedOn w:val="13"/>
    <w:qFormat/>
    <w:uiPriority w:val="0"/>
    <w:pPr>
      <w:spacing w:beforeLines="50" w:after="10"/>
      <w:ind w:left="0" w:leftChars="0" w:firstLine="490" w:firstLineChars="175"/>
      <w:jc w:val="left"/>
    </w:pPr>
    <w:rPr>
      <w:rFonts w:ascii="Calibri" w:hAnsi="Calibri" w:eastAsia="宋体" w:cs="Times New Roman"/>
      <w:szCs w:val="24"/>
    </w:rPr>
  </w:style>
  <w:style w:type="paragraph" w:customStyle="1" w:styleId="1496">
    <w:name w:val="正文箭头"/>
    <w:basedOn w:val="652"/>
    <w:qFormat/>
    <w:uiPriority w:val="0"/>
    <w:pPr>
      <w:numPr>
        <w:ilvl w:val="0"/>
        <w:numId w:val="53"/>
      </w:numPr>
      <w:tabs>
        <w:tab w:val="left" w:pos="360"/>
        <w:tab w:val="left" w:pos="1620"/>
      </w:tabs>
      <w:ind w:left="0" w:leftChars="600" w:firstLine="0" w:firstLineChars="0"/>
    </w:pPr>
  </w:style>
  <w:style w:type="paragraph" w:customStyle="1" w:styleId="1497">
    <w:name w:val="U2标题"/>
    <w:basedOn w:val="5"/>
    <w:qFormat/>
    <w:uiPriority w:val="0"/>
    <w:pPr>
      <w:numPr>
        <w:ilvl w:val="0"/>
        <w:numId w:val="0"/>
      </w:numPr>
      <w:spacing w:line="360" w:lineRule="auto"/>
    </w:pPr>
    <w:rPr>
      <w:rFonts w:ascii="Arial" w:hAnsi="Arial" w:cs="Times New Roman"/>
      <w:color w:val="000000"/>
      <w:sz w:val="24"/>
      <w:szCs w:val="24"/>
    </w:rPr>
  </w:style>
  <w:style w:type="paragraph" w:customStyle="1" w:styleId="1498">
    <w:name w:val="正文11"/>
    <w:basedOn w:val="1"/>
    <w:qFormat/>
    <w:uiPriority w:val="0"/>
    <w:pPr>
      <w:adjustRightInd w:val="0"/>
      <w:snapToGrid w:val="0"/>
      <w:spacing w:line="300" w:lineRule="auto"/>
      <w:textAlignment w:val="center"/>
    </w:pPr>
    <w:rPr>
      <w:rFonts w:ascii="Calibri" w:hAnsi="Calibri" w:eastAsia="仿宋" w:cs="Times New Roman"/>
      <w:w w:val="90"/>
      <w:sz w:val="32"/>
      <w:szCs w:val="20"/>
    </w:rPr>
  </w:style>
  <w:style w:type="paragraph" w:customStyle="1" w:styleId="1499">
    <w:name w:val="样式 样式 我的正文首行缩进 + 首行缩进:  2 字符 + 首行缩进:  2 字符 Char Char Char Char Char Char Char Char Char Char Char Char"/>
    <w:basedOn w:val="1"/>
    <w:qFormat/>
    <w:uiPriority w:val="0"/>
    <w:pPr>
      <w:widowControl/>
      <w:spacing w:after="120" w:line="360" w:lineRule="auto"/>
      <w:ind w:firstLine="200" w:firstLineChars="200"/>
      <w:jc w:val="left"/>
    </w:pPr>
    <w:rPr>
      <w:rFonts w:ascii="Calibri" w:hAnsi="Calibri" w:eastAsia="华文细黑" w:cs="Times New Roman"/>
      <w:kern w:val="0"/>
      <w:sz w:val="24"/>
      <w:szCs w:val="24"/>
    </w:rPr>
  </w:style>
  <w:style w:type="paragraph" w:customStyle="1" w:styleId="1500">
    <w:name w:val="ch3l3"/>
    <w:basedOn w:val="1"/>
    <w:qFormat/>
    <w:uiPriority w:val="0"/>
    <w:pPr>
      <w:keepNext/>
      <w:keepLines/>
      <w:numPr>
        <w:ilvl w:val="0"/>
        <w:numId w:val="54"/>
      </w:numPr>
      <w:spacing w:before="100" w:beforeAutospacing="1" w:after="100" w:afterAutospacing="1" w:line="360" w:lineRule="auto"/>
      <w:ind w:left="0" w:firstLine="0"/>
      <w:outlineLvl w:val="1"/>
    </w:pPr>
    <w:rPr>
      <w:rFonts w:ascii="Arial" w:hAnsi="Arial" w:eastAsia="黑体" w:cs="Times New Roman"/>
      <w:b/>
      <w:bCs/>
      <w:sz w:val="28"/>
      <w:szCs w:val="32"/>
    </w:rPr>
  </w:style>
  <w:style w:type="paragraph" w:customStyle="1" w:styleId="1501">
    <w:name w:val="MM Topic 7"/>
    <w:basedOn w:val="16"/>
    <w:qFormat/>
    <w:uiPriority w:val="0"/>
    <w:pPr>
      <w:spacing w:before="0" w:after="0"/>
      <w:ind w:left="0" w:firstLine="0"/>
    </w:pPr>
  </w:style>
  <w:style w:type="paragraph" w:customStyle="1" w:styleId="1502">
    <w:name w:val="列表（符号二级）（绿盟科技）"/>
    <w:basedOn w:val="941"/>
    <w:qFormat/>
    <w:uiPriority w:val="0"/>
    <w:pPr>
      <w:tabs>
        <w:tab w:val="left" w:pos="360"/>
        <w:tab w:val="left" w:pos="1620"/>
      </w:tabs>
      <w:ind w:left="1620" w:hanging="720"/>
    </w:pPr>
  </w:style>
  <w:style w:type="paragraph" w:customStyle="1" w:styleId="1503">
    <w:name w:val="标记1"/>
    <w:basedOn w:val="1"/>
    <w:qFormat/>
    <w:uiPriority w:val="0"/>
    <w:pPr>
      <w:spacing w:line="360" w:lineRule="auto"/>
    </w:pPr>
    <w:rPr>
      <w:rFonts w:ascii="Calibri" w:hAnsi="Calibri" w:eastAsia="楷体_GB2312" w:cs="Times New Roman"/>
      <w:b/>
      <w:bCs/>
      <w:sz w:val="28"/>
      <w:szCs w:val="20"/>
    </w:rPr>
  </w:style>
  <w:style w:type="paragraph" w:customStyle="1" w:styleId="1504">
    <w:name w:val="正文 首行缩进2字符"/>
    <w:basedOn w:val="1"/>
    <w:qFormat/>
    <w:uiPriority w:val="0"/>
    <w:pPr>
      <w:spacing w:line="360" w:lineRule="auto"/>
      <w:ind w:firstLine="200" w:firstLineChars="200"/>
    </w:pPr>
    <w:rPr>
      <w:rFonts w:ascii="Calibri" w:hAnsi="Calibri" w:eastAsia="仿宋" w:cs="Times New Roman"/>
      <w:sz w:val="24"/>
      <w:szCs w:val="20"/>
    </w:rPr>
  </w:style>
  <w:style w:type="paragraph" w:customStyle="1" w:styleId="1505">
    <w:name w:val="font8"/>
    <w:basedOn w:val="1"/>
    <w:qFormat/>
    <w:uiPriority w:val="0"/>
    <w:pPr>
      <w:widowControl/>
      <w:spacing w:before="100" w:beforeAutospacing="1" w:after="100" w:afterAutospacing="1" w:line="360" w:lineRule="auto"/>
      <w:jc w:val="left"/>
    </w:pPr>
    <w:rPr>
      <w:rFonts w:ascii="宋体" w:hAnsi="宋体" w:eastAsia="仿宋" w:cs="宋体"/>
      <w:i/>
      <w:iCs/>
      <w:color w:val="FF0000"/>
      <w:kern w:val="0"/>
      <w:sz w:val="20"/>
      <w:szCs w:val="20"/>
    </w:rPr>
  </w:style>
  <w:style w:type="paragraph" w:customStyle="1" w:styleId="1506">
    <w:name w:val="xl146"/>
    <w:basedOn w:val="1"/>
    <w:qFormat/>
    <w:uiPriority w:val="0"/>
    <w:pPr>
      <w:widowControl/>
      <w:pBdr>
        <w:top w:val="single" w:color="auto" w:sz="4" w:space="0"/>
        <w:left w:val="single" w:color="000000" w:sz="4" w:space="0"/>
        <w:bottom w:val="single" w:color="auto" w:sz="4" w:space="0"/>
      </w:pBdr>
      <w:shd w:val="clear" w:color="000000" w:fill="B7DEE8"/>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507">
    <w:name w:val="文件分类"/>
    <w:basedOn w:val="1"/>
    <w:qFormat/>
    <w:uiPriority w:val="0"/>
    <w:pPr>
      <w:widowControl/>
      <w:adjustRightInd w:val="0"/>
      <w:snapToGrid w:val="0"/>
      <w:spacing w:beforeLines="25" w:after="480" w:line="2400" w:lineRule="auto"/>
      <w:jc w:val="center"/>
      <w:textAlignment w:val="baseline"/>
    </w:pPr>
    <w:rPr>
      <w:rFonts w:ascii="Arial" w:hAnsi="Arial" w:eastAsia="仿宋" w:cs="Times New Roman"/>
      <w:spacing w:val="10"/>
      <w:kern w:val="0"/>
      <w:sz w:val="32"/>
      <w:szCs w:val="20"/>
    </w:rPr>
  </w:style>
  <w:style w:type="paragraph" w:customStyle="1" w:styleId="1508">
    <w:name w:val="font6"/>
    <w:basedOn w:val="1"/>
    <w:qFormat/>
    <w:uiPriority w:val="0"/>
    <w:pPr>
      <w:widowControl/>
      <w:spacing w:before="100" w:beforeAutospacing="1" w:after="100" w:afterAutospacing="1" w:line="360" w:lineRule="auto"/>
      <w:jc w:val="left"/>
    </w:pPr>
    <w:rPr>
      <w:rFonts w:hint="eastAsia" w:ascii="宋体" w:hAnsi="宋体" w:eastAsia="仿宋" w:cs="Times New Roman"/>
      <w:kern w:val="0"/>
      <w:sz w:val="18"/>
      <w:szCs w:val="18"/>
    </w:rPr>
  </w:style>
  <w:style w:type="paragraph" w:customStyle="1" w:styleId="1509">
    <w:name w:val="MM Topic 8"/>
    <w:basedOn w:val="17"/>
    <w:qFormat/>
    <w:uiPriority w:val="0"/>
    <w:pPr>
      <w:spacing w:before="0" w:after="0"/>
    </w:pPr>
    <w:rPr>
      <w:rFonts w:ascii="Arial" w:hAnsi="Arial" w:eastAsia="黑体"/>
    </w:rPr>
  </w:style>
  <w:style w:type="paragraph" w:customStyle="1" w:styleId="1510">
    <w:name w:val="样式 小四 行距: 1.5 倍行距"/>
    <w:basedOn w:val="1"/>
    <w:qFormat/>
    <w:uiPriority w:val="0"/>
    <w:pPr>
      <w:spacing w:line="360" w:lineRule="auto"/>
      <w:ind w:firstLine="420" w:firstLineChars="200"/>
    </w:pPr>
    <w:rPr>
      <w:rFonts w:ascii="Calibri" w:hAnsi="Calibri" w:eastAsia="仿宋" w:cs="Times New Roman"/>
      <w:sz w:val="24"/>
      <w:szCs w:val="20"/>
    </w:rPr>
  </w:style>
  <w:style w:type="paragraph" w:customStyle="1" w:styleId="1511">
    <w:name w:val="Char Char1 Char Char 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512">
    <w:name w:val="样式 正文缩进 + 首行缩进:  2 字符"/>
    <w:basedOn w:val="28"/>
    <w:qFormat/>
    <w:uiPriority w:val="0"/>
    <w:pPr>
      <w:suppressAutoHyphens/>
      <w:ind w:firstLine="720"/>
    </w:pPr>
    <w:rPr>
      <w:rFonts w:ascii="仿宋_GB2312" w:hAnsi="仿宋_GB2312" w:eastAsia="仿宋_GB2312" w:cs="宋体"/>
      <w:color w:val="000000"/>
      <w:kern w:val="0"/>
      <w:sz w:val="28"/>
      <w:szCs w:val="28"/>
      <w:lang w:eastAsia="ar-SA"/>
    </w:rPr>
  </w:style>
  <w:style w:type="paragraph" w:customStyle="1" w:styleId="1513">
    <w:name w:val="编号密级"/>
    <w:basedOn w:val="1"/>
    <w:qFormat/>
    <w:uiPriority w:val="0"/>
    <w:pPr>
      <w:widowControl/>
      <w:adjustRightInd w:val="0"/>
      <w:snapToGrid w:val="0"/>
      <w:spacing w:before="200" w:after="240" w:line="480" w:lineRule="auto"/>
      <w:jc w:val="center"/>
      <w:textAlignment w:val="baseline"/>
    </w:pPr>
    <w:rPr>
      <w:rFonts w:ascii="黑体" w:hAnsi="Arial" w:eastAsia="黑体" w:cs="Times New Roman"/>
      <w:spacing w:val="6"/>
      <w:kern w:val="0"/>
      <w:sz w:val="28"/>
      <w:szCs w:val="20"/>
    </w:rPr>
  </w:style>
  <w:style w:type="paragraph" w:customStyle="1" w:styleId="1514">
    <w:name w:val="MM Title"/>
    <w:basedOn w:val="88"/>
    <w:qFormat/>
    <w:uiPriority w:val="0"/>
    <w:rPr>
      <w:rFonts w:ascii="Arial" w:hAnsi="Arial" w:cs="Arial" w:eastAsiaTheme="minorEastAsia"/>
    </w:rPr>
  </w:style>
  <w:style w:type="paragraph" w:customStyle="1" w:styleId="1515">
    <w:name w:val="Char Char3 Char Char Char Char Char Char Char Char Char Char Char Char2 Char Char"/>
    <w:basedOn w:val="1"/>
    <w:qFormat/>
    <w:uiPriority w:val="0"/>
    <w:pPr>
      <w:spacing w:line="360" w:lineRule="auto"/>
    </w:pPr>
    <w:rPr>
      <w:rFonts w:ascii="Tahoma" w:hAnsi="Tahoma" w:eastAsia="仿宋" w:cs="Times New Roman"/>
      <w:sz w:val="36"/>
      <w:szCs w:val="36"/>
    </w:rPr>
  </w:style>
  <w:style w:type="paragraph" w:customStyle="1" w:styleId="1516">
    <w:name w:val="Char2 Char Char Char Char Char Char1"/>
    <w:basedOn w:val="1"/>
    <w:qFormat/>
    <w:uiPriority w:val="0"/>
    <w:pPr>
      <w:spacing w:line="360" w:lineRule="auto"/>
    </w:pPr>
    <w:rPr>
      <w:rFonts w:ascii="仿宋_GB2312" w:hAnsi="Calibri" w:eastAsia="仿宋" w:cs="Times New Roman"/>
      <w:b/>
      <w:sz w:val="30"/>
      <w:szCs w:val="32"/>
    </w:rPr>
  </w:style>
  <w:style w:type="paragraph" w:customStyle="1" w:styleId="1517">
    <w:name w:val="Char5"/>
    <w:basedOn w:val="1"/>
    <w:qFormat/>
    <w:uiPriority w:val="0"/>
    <w:pPr>
      <w:spacing w:line="360" w:lineRule="auto"/>
    </w:pPr>
    <w:rPr>
      <w:rFonts w:ascii="仿宋_GB2312" w:hAnsi="Calibri" w:eastAsia="仿宋_GB2312" w:cs="Times New Roman"/>
      <w:b/>
      <w:sz w:val="32"/>
      <w:szCs w:val="32"/>
    </w:rPr>
  </w:style>
  <w:style w:type="paragraph" w:customStyle="1" w:styleId="1518">
    <w:name w:val="文件名称"/>
    <w:basedOn w:val="1"/>
    <w:qFormat/>
    <w:uiPriority w:val="0"/>
    <w:pPr>
      <w:widowControl/>
      <w:adjustRightInd w:val="0"/>
      <w:snapToGrid w:val="0"/>
      <w:spacing w:line="360" w:lineRule="auto"/>
      <w:jc w:val="center"/>
      <w:textAlignment w:val="baseline"/>
    </w:pPr>
    <w:rPr>
      <w:rFonts w:ascii="Arial" w:hAnsi="Arial" w:eastAsia="黑体" w:cs="Times New Roman"/>
      <w:spacing w:val="20"/>
      <w:kern w:val="0"/>
      <w:sz w:val="44"/>
      <w:szCs w:val="20"/>
    </w:rPr>
  </w:style>
  <w:style w:type="paragraph" w:customStyle="1" w:styleId="1519">
    <w:name w:val="Char Char Char1 Char Char Char Char Char Char Char"/>
    <w:basedOn w:val="1"/>
    <w:qFormat/>
    <w:uiPriority w:val="0"/>
    <w:pPr>
      <w:spacing w:line="300" w:lineRule="auto"/>
    </w:pPr>
    <w:rPr>
      <w:rFonts w:ascii="Tahoma" w:hAnsi="Tahoma" w:eastAsia="仿宋" w:cs="Times New Roman"/>
      <w:sz w:val="24"/>
      <w:szCs w:val="24"/>
    </w:rPr>
  </w:style>
  <w:style w:type="paragraph" w:customStyle="1" w:styleId="1520">
    <w:name w:val="单位名称"/>
    <w:basedOn w:val="1"/>
    <w:qFormat/>
    <w:uiPriority w:val="0"/>
    <w:pPr>
      <w:widowControl/>
      <w:adjustRightInd w:val="0"/>
      <w:snapToGrid w:val="0"/>
      <w:spacing w:before="240" w:after="40" w:line="300" w:lineRule="auto"/>
      <w:jc w:val="center"/>
      <w:textAlignment w:val="baseline"/>
    </w:pPr>
    <w:rPr>
      <w:rFonts w:ascii="Arial" w:hAnsi="Arial" w:eastAsia="仿宋" w:cs="Times New Roman"/>
      <w:snapToGrid w:val="0"/>
      <w:spacing w:val="10"/>
      <w:kern w:val="0"/>
      <w:sz w:val="32"/>
      <w:szCs w:val="20"/>
    </w:rPr>
  </w:style>
  <w:style w:type="paragraph" w:customStyle="1" w:styleId="1521">
    <w:name w:val="项目符号：二级"/>
    <w:basedOn w:val="1"/>
    <w:qFormat/>
    <w:uiPriority w:val="0"/>
    <w:pPr>
      <w:widowControl/>
      <w:numPr>
        <w:ilvl w:val="0"/>
        <w:numId w:val="55"/>
      </w:numPr>
      <w:tabs>
        <w:tab w:val="clear" w:pos="857"/>
      </w:tabs>
      <w:adjustRightInd w:val="0"/>
      <w:snapToGrid w:val="0"/>
      <w:spacing w:beforeLines="25" w:after="124" w:line="400" w:lineRule="exact"/>
      <w:ind w:left="0" w:firstLine="0"/>
      <w:textAlignment w:val="baseline"/>
    </w:pPr>
    <w:rPr>
      <w:rFonts w:ascii="Arial" w:hAnsi="Arial" w:eastAsia="新宋体" w:cs="Times New Roman"/>
      <w:bCs/>
      <w:kern w:val="0"/>
      <w:sz w:val="24"/>
      <w:szCs w:val="20"/>
    </w:rPr>
  </w:style>
  <w:style w:type="paragraph" w:customStyle="1" w:styleId="152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hint="eastAsia" w:ascii="仿宋_GB2312" w:hAnsi="Arial Unicode MS" w:eastAsia="仿宋_GB2312" w:cs="Times New Roman"/>
      <w:kern w:val="0"/>
      <w:sz w:val="24"/>
      <w:szCs w:val="24"/>
    </w:rPr>
  </w:style>
  <w:style w:type="paragraph" w:customStyle="1" w:styleId="1523">
    <w:name w:val="Char Char Char1 Char Char Char Char Char Char Char Char Char Char"/>
    <w:basedOn w:val="1"/>
    <w:qFormat/>
    <w:uiPriority w:val="0"/>
    <w:pPr>
      <w:spacing w:line="360" w:lineRule="auto"/>
    </w:pPr>
    <w:rPr>
      <w:rFonts w:ascii="Tahoma" w:hAnsi="Tahoma" w:eastAsia="仿宋" w:cs="Times New Roman"/>
      <w:sz w:val="24"/>
      <w:szCs w:val="20"/>
    </w:rPr>
  </w:style>
  <w:style w:type="paragraph" w:customStyle="1" w:styleId="1524">
    <w:name w:val="xl159"/>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i/>
      <w:iCs/>
      <w:color w:val="000000"/>
      <w:kern w:val="0"/>
      <w:sz w:val="20"/>
      <w:szCs w:val="20"/>
    </w:rPr>
  </w:style>
  <w:style w:type="paragraph" w:customStyle="1" w:styleId="1525">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B7DEE8"/>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52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Calibri" w:hAnsi="Calibri" w:eastAsia="仿宋" w:cs="Times New Roman"/>
      <w:kern w:val="0"/>
      <w:sz w:val="24"/>
      <w:szCs w:val="24"/>
    </w:rPr>
  </w:style>
  <w:style w:type="paragraph" w:customStyle="1" w:styleId="1527">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宋体"/>
      <w:kern w:val="0"/>
      <w:sz w:val="20"/>
      <w:szCs w:val="20"/>
    </w:rPr>
  </w:style>
  <w:style w:type="paragraph" w:customStyle="1" w:styleId="1528">
    <w:name w:val="図"/>
    <w:basedOn w:val="10"/>
    <w:next w:val="1"/>
    <w:qFormat/>
    <w:uiPriority w:val="0"/>
    <w:pPr>
      <w:spacing w:beforeLines="50" w:after="0" w:line="360" w:lineRule="auto"/>
      <w:jc w:val="center"/>
    </w:pPr>
    <w:rPr>
      <w:rFonts w:ascii="Century" w:hAnsi="Century" w:eastAsia="MS PMincho"/>
      <w:szCs w:val="24"/>
      <w:lang w:eastAsia="ja-JP"/>
    </w:rPr>
  </w:style>
  <w:style w:type="paragraph" w:customStyle="1" w:styleId="1529">
    <w:name w:val="自定义正文 Char Char"/>
    <w:basedOn w:val="1"/>
    <w:next w:val="1"/>
    <w:qFormat/>
    <w:uiPriority w:val="0"/>
    <w:pPr>
      <w:widowControl/>
      <w:spacing w:line="560" w:lineRule="exact"/>
      <w:ind w:firstLine="560" w:firstLineChars="200"/>
    </w:pPr>
    <w:rPr>
      <w:rFonts w:ascii="宋体" w:hAnsi="宋体" w:eastAsia="仿宋" w:cs="Times New Roman"/>
      <w:sz w:val="28"/>
      <w:szCs w:val="28"/>
    </w:rPr>
  </w:style>
  <w:style w:type="paragraph" w:customStyle="1" w:styleId="1530">
    <w:name w:val="段(正文）"/>
    <w:qFormat/>
    <w:uiPriority w:val="0"/>
    <w:pPr>
      <w:autoSpaceDE w:val="0"/>
      <w:autoSpaceDN w:val="0"/>
      <w:ind w:firstLine="420"/>
      <w:jc w:val="both"/>
    </w:pPr>
    <w:rPr>
      <w:rFonts w:ascii="宋体" w:hAnsi="Calibri" w:eastAsia="宋体" w:cs="Times New Roman"/>
      <w:sz w:val="21"/>
      <w:lang w:val="en-US" w:eastAsia="zh-CN" w:bidi="ar-SA"/>
    </w:rPr>
  </w:style>
  <w:style w:type="paragraph" w:customStyle="1" w:styleId="1531">
    <w:name w:val="Char12"/>
    <w:basedOn w:val="1"/>
    <w:qFormat/>
    <w:uiPriority w:val="0"/>
    <w:pPr>
      <w:spacing w:line="360" w:lineRule="auto"/>
    </w:pPr>
    <w:rPr>
      <w:rFonts w:ascii="仿宋_GB2312" w:hAnsi="Calibri" w:eastAsia="仿宋_GB2312" w:cs="Times New Roman"/>
      <w:b/>
      <w:sz w:val="32"/>
      <w:szCs w:val="32"/>
    </w:rPr>
  </w:style>
  <w:style w:type="paragraph" w:customStyle="1" w:styleId="1532">
    <w:name w:val="zzLc5"/>
    <w:basedOn w:val="1"/>
    <w:next w:val="1"/>
    <w:qFormat/>
    <w:uiPriority w:val="0"/>
    <w:pPr>
      <w:widowControl/>
      <w:tabs>
        <w:tab w:val="left" w:pos="-420"/>
      </w:tabs>
      <w:overflowPunct w:val="0"/>
      <w:autoSpaceDE w:val="0"/>
      <w:autoSpaceDN w:val="0"/>
      <w:adjustRightInd w:val="0"/>
      <w:spacing w:after="240" w:line="230" w:lineRule="atLeast"/>
      <w:ind w:left="-420"/>
      <w:jc w:val="left"/>
      <w:textAlignment w:val="baseline"/>
    </w:pPr>
    <w:rPr>
      <w:rFonts w:ascii="Arial" w:hAnsi="Arial" w:eastAsia="仿宋" w:cs="Angsana New"/>
      <w:kern w:val="0"/>
      <w:sz w:val="20"/>
      <w:szCs w:val="20"/>
      <w:lang w:val="en-GB"/>
    </w:rPr>
  </w:style>
  <w:style w:type="paragraph" w:customStyle="1" w:styleId="1533">
    <w:name w:val="样式 标题 2 + 黑体 四号"/>
    <w:basedOn w:val="5"/>
    <w:qFormat/>
    <w:uiPriority w:val="0"/>
    <w:pPr>
      <w:numPr>
        <w:ilvl w:val="0"/>
        <w:numId w:val="0"/>
      </w:numPr>
      <w:tabs>
        <w:tab w:val="left" w:pos="840"/>
      </w:tabs>
      <w:spacing w:before="140" w:after="140" w:line="240" w:lineRule="auto"/>
      <w:ind w:left="840" w:hanging="420"/>
    </w:pPr>
    <w:rPr>
      <w:rFonts w:ascii="黑体" w:hAnsi="黑体" w:eastAsia="黑体" w:cs="Times New Roman"/>
      <w:szCs w:val="32"/>
    </w:rPr>
  </w:style>
  <w:style w:type="paragraph" w:customStyle="1" w:styleId="1534">
    <w:name w:val="Char2 Char Char Char Char Char Char2"/>
    <w:basedOn w:val="1"/>
    <w:qFormat/>
    <w:uiPriority w:val="0"/>
    <w:pPr>
      <w:spacing w:line="360" w:lineRule="auto"/>
    </w:pPr>
    <w:rPr>
      <w:rFonts w:ascii="仿宋_GB2312" w:hAnsi="Calibri" w:eastAsia="仿宋" w:cs="Times New Roman"/>
      <w:b/>
      <w:sz w:val="30"/>
      <w:szCs w:val="32"/>
    </w:rPr>
  </w:style>
  <w:style w:type="paragraph" w:customStyle="1" w:styleId="1535">
    <w:name w:val="监理用表抬头"/>
    <w:basedOn w:val="1"/>
    <w:qFormat/>
    <w:uiPriority w:val="0"/>
    <w:pPr>
      <w:spacing w:line="360" w:lineRule="auto"/>
    </w:pPr>
    <w:rPr>
      <w:rFonts w:ascii="仿宋_GB2312" w:hAnsi="宋体" w:eastAsia="仿宋_GB2312" w:cs="宋体"/>
      <w:b/>
      <w:bCs/>
      <w:szCs w:val="21"/>
    </w:rPr>
  </w:style>
  <w:style w:type="paragraph" w:customStyle="1" w:styleId="1536">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537">
    <w:name w:val="xl152"/>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538">
    <w:name w:val="xl156"/>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539">
    <w:name w:val="xl123"/>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仿宋_GB2312" w:hAnsi="宋体" w:eastAsia="仿宋_GB2312" w:cs="宋体"/>
      <w:color w:val="000000"/>
      <w:kern w:val="0"/>
      <w:sz w:val="20"/>
      <w:szCs w:val="20"/>
    </w:rPr>
  </w:style>
  <w:style w:type="paragraph" w:customStyle="1" w:styleId="1540">
    <w:name w:val="xl139"/>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541">
    <w:name w:val="xl153"/>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542">
    <w:name w:val="xl16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ABF8F"/>
      <w:spacing w:before="100" w:beforeAutospacing="1" w:after="100" w:afterAutospacing="1" w:line="360" w:lineRule="auto"/>
      <w:jc w:val="left"/>
      <w:textAlignment w:val="center"/>
    </w:pPr>
    <w:rPr>
      <w:rFonts w:ascii="宋体" w:hAnsi="宋体" w:eastAsia="仿宋" w:cs="宋体"/>
      <w:b/>
      <w:bCs/>
      <w:color w:val="000000"/>
      <w:kern w:val="0"/>
      <w:sz w:val="20"/>
      <w:szCs w:val="20"/>
    </w:rPr>
  </w:style>
  <w:style w:type="paragraph" w:customStyle="1" w:styleId="1543">
    <w:name w:val="xl169"/>
    <w:basedOn w:val="1"/>
    <w:qFormat/>
    <w:uiPriority w:val="0"/>
    <w:pPr>
      <w:widowControl/>
      <w:pBdr>
        <w:left w:val="single" w:color="000000" w:sz="4" w:space="0"/>
      </w:pBdr>
      <w:shd w:val="clear" w:color="000000" w:fill="FABF8F"/>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544">
    <w:name w:val="reader-word-layer reader-word-s1-30"/>
    <w:basedOn w:val="1"/>
    <w:qFormat/>
    <w:uiPriority w:val="0"/>
    <w:pPr>
      <w:widowControl/>
      <w:spacing w:before="100" w:beforeAutospacing="1" w:after="100" w:afterAutospacing="1" w:line="360" w:lineRule="auto"/>
      <w:jc w:val="left"/>
    </w:pPr>
    <w:rPr>
      <w:rFonts w:ascii="宋体" w:hAnsi="宋体" w:eastAsia="仿宋" w:cs="宋体"/>
      <w:kern w:val="0"/>
      <w:sz w:val="24"/>
      <w:szCs w:val="24"/>
    </w:rPr>
  </w:style>
  <w:style w:type="paragraph" w:customStyle="1" w:styleId="1545">
    <w:name w:val="reader-word-layer reader-word-s1-15"/>
    <w:basedOn w:val="1"/>
    <w:qFormat/>
    <w:uiPriority w:val="0"/>
    <w:pPr>
      <w:widowControl/>
      <w:spacing w:before="100" w:beforeAutospacing="1" w:after="100" w:afterAutospacing="1" w:line="360" w:lineRule="auto"/>
      <w:jc w:val="left"/>
    </w:pPr>
    <w:rPr>
      <w:rFonts w:ascii="宋体" w:hAnsi="宋体" w:eastAsia="仿宋" w:cs="宋体"/>
      <w:kern w:val="0"/>
      <w:sz w:val="24"/>
      <w:szCs w:val="24"/>
    </w:rPr>
  </w:style>
  <w:style w:type="paragraph" w:customStyle="1" w:styleId="1546">
    <w:name w:val="编号列项（三级）"/>
    <w:qFormat/>
    <w:uiPriority w:val="0"/>
    <w:pPr>
      <w:tabs>
        <w:tab w:val="left" w:pos="0"/>
      </w:tabs>
      <w:ind w:left="1678" w:hanging="419"/>
    </w:pPr>
    <w:rPr>
      <w:rFonts w:ascii="宋体" w:hAnsi="Calibri" w:eastAsia="宋体" w:cs="Times New Roman"/>
      <w:sz w:val="21"/>
      <w:lang w:val="en-US" w:eastAsia="zh-CN" w:bidi="ar-SA"/>
    </w:rPr>
  </w:style>
  <w:style w:type="paragraph" w:customStyle="1" w:styleId="1547">
    <w:name w:val="样式 正文文本缩进文（陈）正文（首行缩进两字） Char Char表正文1正文非缩进1标题41四号1特点1表正文...3"/>
    <w:basedOn w:val="1"/>
    <w:qFormat/>
    <w:uiPriority w:val="99"/>
    <w:pPr>
      <w:spacing w:line="500" w:lineRule="exact"/>
      <w:ind w:firstLine="561"/>
    </w:pPr>
    <w:rPr>
      <w:rFonts w:ascii="Calibri" w:hAnsi="Calibri" w:eastAsia="仿宋_GB2312" w:cs="宋体"/>
      <w:kern w:val="0"/>
      <w:sz w:val="28"/>
      <w:szCs w:val="20"/>
    </w:rPr>
  </w:style>
  <w:style w:type="character" w:customStyle="1" w:styleId="1548">
    <w:name w:val="￥正文 Char"/>
    <w:link w:val="1549"/>
    <w:qFormat/>
    <w:locked/>
    <w:uiPriority w:val="0"/>
    <w:rPr>
      <w:rFonts w:eastAsia="仿宋"/>
      <w:sz w:val="28"/>
    </w:rPr>
  </w:style>
  <w:style w:type="paragraph" w:customStyle="1" w:styleId="1549">
    <w:name w:val="￥正文"/>
    <w:basedOn w:val="1"/>
    <w:link w:val="1548"/>
    <w:qFormat/>
    <w:uiPriority w:val="0"/>
    <w:pPr>
      <w:widowControl/>
      <w:spacing w:before="120" w:after="120" w:line="360" w:lineRule="auto"/>
      <w:ind w:firstLine="200" w:firstLineChars="200"/>
    </w:pPr>
    <w:rPr>
      <w:rFonts w:eastAsia="仿宋"/>
      <w:kern w:val="0"/>
      <w:sz w:val="28"/>
      <w:szCs w:val="20"/>
    </w:rPr>
  </w:style>
  <w:style w:type="paragraph" w:customStyle="1" w:styleId="1550">
    <w:name w:val="无间隔11"/>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1">
    <w:name w:val="TOC 标题11"/>
    <w:basedOn w:val="4"/>
    <w:next w:val="1"/>
    <w:qFormat/>
    <w:uiPriority w:val="39"/>
    <w:pPr>
      <w:widowControl/>
      <w:tabs>
        <w:tab w:val="left" w:pos="357"/>
      </w:tabs>
      <w:spacing w:before="480" w:after="0" w:line="276" w:lineRule="auto"/>
      <w:jc w:val="left"/>
      <w:outlineLvl w:val="9"/>
    </w:pPr>
    <w:rPr>
      <w:rFonts w:ascii="Cambria" w:hAnsi="Cambria" w:cs="Times New Roman"/>
      <w:color w:val="365F91"/>
      <w:kern w:val="0"/>
      <w:sz w:val="28"/>
      <w:szCs w:val="28"/>
    </w:rPr>
  </w:style>
  <w:style w:type="paragraph" w:customStyle="1" w:styleId="1552">
    <w:name w:val="正文111"/>
    <w:basedOn w:val="1"/>
    <w:qFormat/>
    <w:uiPriority w:val="0"/>
    <w:pPr>
      <w:adjustRightInd w:val="0"/>
      <w:spacing w:before="80" w:after="80" w:line="312" w:lineRule="atLeast"/>
      <w:ind w:firstLine="425"/>
      <w:textAlignment w:val="baseline"/>
    </w:pPr>
    <w:rPr>
      <w:rFonts w:ascii="Calibri" w:hAnsi="Calibri" w:eastAsia="仿宋" w:cs="Times New Roman"/>
      <w:kern w:val="0"/>
      <w:sz w:val="24"/>
      <w:szCs w:val="20"/>
    </w:rPr>
  </w:style>
  <w:style w:type="paragraph" w:customStyle="1" w:styleId="1553">
    <w:name w:val="Char121"/>
    <w:basedOn w:val="1"/>
    <w:qFormat/>
    <w:uiPriority w:val="0"/>
    <w:pPr>
      <w:spacing w:line="360" w:lineRule="auto"/>
    </w:pPr>
    <w:rPr>
      <w:rFonts w:ascii="Tahoma" w:hAnsi="Tahoma" w:eastAsia="仿宋" w:cs="Times New Roman"/>
      <w:sz w:val="24"/>
      <w:szCs w:val="20"/>
    </w:rPr>
  </w:style>
  <w:style w:type="character" w:customStyle="1" w:styleId="1554">
    <w:name w:val="font21"/>
    <w:qFormat/>
    <w:uiPriority w:val="0"/>
    <w:rPr>
      <w:rFonts w:hint="eastAsia" w:ascii="宋体" w:hAnsi="宋体" w:eastAsia="宋体" w:cs="宋体"/>
      <w:color w:val="000000"/>
      <w:sz w:val="21"/>
      <w:szCs w:val="21"/>
      <w:u w:val="none"/>
    </w:rPr>
  </w:style>
  <w:style w:type="character" w:customStyle="1" w:styleId="1555">
    <w:name w:val="标题-5 Char"/>
    <w:link w:val="1556"/>
    <w:qFormat/>
    <w:uiPriority w:val="0"/>
    <w:rPr>
      <w:rFonts w:ascii="仿宋" w:hAnsi="仿宋" w:eastAsia="仿宋"/>
      <w:b/>
      <w:sz w:val="24"/>
      <w:szCs w:val="24"/>
    </w:rPr>
  </w:style>
  <w:style w:type="paragraph" w:customStyle="1" w:styleId="1556">
    <w:name w:val="标题-5"/>
    <w:basedOn w:val="14"/>
    <w:link w:val="1555"/>
    <w:qFormat/>
    <w:uiPriority w:val="0"/>
    <w:pPr>
      <w:numPr>
        <w:ilvl w:val="0"/>
        <w:numId w:val="0"/>
      </w:numPr>
      <w:tabs>
        <w:tab w:val="left" w:pos="360"/>
        <w:tab w:val="left" w:pos="2580"/>
      </w:tabs>
      <w:spacing w:before="280" w:after="290" w:line="376" w:lineRule="auto"/>
      <w:ind w:left="2580" w:hanging="420"/>
    </w:pPr>
    <w:rPr>
      <w:rFonts w:ascii="仿宋" w:hAnsi="仿宋" w:eastAsia="仿宋"/>
      <w:bCs w:val="0"/>
      <w:kern w:val="0"/>
    </w:rPr>
  </w:style>
  <w:style w:type="character" w:customStyle="1" w:styleId="1557">
    <w:name w:val="标题-4 Char"/>
    <w:link w:val="1558"/>
    <w:qFormat/>
    <w:uiPriority w:val="0"/>
    <w:rPr>
      <w:rFonts w:ascii="Arial" w:hAnsi="Arial"/>
      <w:b/>
      <w:sz w:val="28"/>
      <w:szCs w:val="28"/>
    </w:rPr>
  </w:style>
  <w:style w:type="paragraph" w:customStyle="1" w:styleId="1558">
    <w:name w:val="标题-4"/>
    <w:basedOn w:val="8"/>
    <w:link w:val="1557"/>
    <w:qFormat/>
    <w:uiPriority w:val="0"/>
    <w:pPr>
      <w:numPr>
        <w:ilvl w:val="0"/>
        <w:numId w:val="0"/>
      </w:numPr>
      <w:tabs>
        <w:tab w:val="left" w:pos="360"/>
        <w:tab w:val="left" w:pos="2160"/>
      </w:tabs>
      <w:spacing w:before="280" w:after="290" w:line="376" w:lineRule="auto"/>
      <w:ind w:left="2160" w:hanging="420"/>
    </w:pPr>
    <w:rPr>
      <w:rFonts w:ascii="Arial" w:hAnsi="Arial" w:eastAsiaTheme="minorEastAsia" w:cstheme="minorBidi"/>
      <w:bCs w:val="0"/>
      <w:kern w:val="0"/>
      <w:sz w:val="28"/>
      <w:szCs w:val="28"/>
    </w:rPr>
  </w:style>
  <w:style w:type="character" w:customStyle="1" w:styleId="1559">
    <w:name w:val="0正文样式 字符"/>
    <w:link w:val="1560"/>
    <w:qFormat/>
    <w:locked/>
    <w:uiPriority w:val="0"/>
    <w:rPr>
      <w:rFonts w:eastAsia="仿宋"/>
      <w:sz w:val="24"/>
      <w:szCs w:val="28"/>
    </w:rPr>
  </w:style>
  <w:style w:type="paragraph" w:customStyle="1" w:styleId="1560">
    <w:name w:val="0正文样式"/>
    <w:link w:val="1559"/>
    <w:qFormat/>
    <w:uiPriority w:val="0"/>
    <w:pPr>
      <w:spacing w:line="360" w:lineRule="auto"/>
      <w:ind w:firstLine="200" w:firstLineChars="200"/>
      <w:jc w:val="both"/>
    </w:pPr>
    <w:rPr>
      <w:rFonts w:eastAsia="仿宋" w:asciiTheme="minorHAnsi" w:hAnsiTheme="minorHAnsi" w:cstheme="minorBidi"/>
      <w:sz w:val="24"/>
      <w:szCs w:val="28"/>
      <w:lang w:val="en-US" w:eastAsia="zh-CN" w:bidi="ar-SA"/>
    </w:rPr>
  </w:style>
  <w:style w:type="character" w:customStyle="1" w:styleId="1561">
    <w:name w:val="标题 4 Char1"/>
    <w:basedOn w:val="136"/>
    <w:qFormat/>
    <w:uiPriority w:val="9"/>
    <w:rPr>
      <w:rFonts w:ascii="Arial" w:hAnsi="Arial" w:eastAsia="黑体"/>
      <w:b/>
      <w:bCs/>
      <w:sz w:val="24"/>
      <w:szCs w:val="28"/>
    </w:rPr>
  </w:style>
  <w:style w:type="character" w:customStyle="1" w:styleId="1562">
    <w:name w:val="标题 7 Char1"/>
    <w:basedOn w:val="136"/>
    <w:qFormat/>
    <w:uiPriority w:val="9"/>
    <w:rPr>
      <w:bCs/>
      <w:sz w:val="24"/>
      <w:szCs w:val="24"/>
    </w:rPr>
  </w:style>
  <w:style w:type="paragraph" w:customStyle="1" w:styleId="1563">
    <w:name w:val="R表格"/>
    <w:basedOn w:val="1"/>
    <w:link w:val="1564"/>
    <w:qFormat/>
    <w:uiPriority w:val="0"/>
    <w:pPr>
      <w:adjustRightInd w:val="0"/>
      <w:snapToGrid w:val="0"/>
      <w:jc w:val="left"/>
    </w:pPr>
    <w:rPr>
      <w:rFonts w:ascii="Times New Roman" w:hAnsi="宋体" w:eastAsia="宋体" w:cs="Times New Roman"/>
      <w:kern w:val="0"/>
      <w:szCs w:val="20"/>
    </w:rPr>
  </w:style>
  <w:style w:type="character" w:customStyle="1" w:styleId="1564">
    <w:name w:val="R表格 Char"/>
    <w:link w:val="1563"/>
    <w:qFormat/>
    <w:uiPriority w:val="0"/>
    <w:rPr>
      <w:rFonts w:ascii="Times New Roman" w:hAnsi="宋体" w:eastAsia="宋体" w:cs="Times New Roman"/>
      <w:sz w:val="21"/>
    </w:rPr>
  </w:style>
  <w:style w:type="character" w:customStyle="1" w:styleId="1565">
    <w:name w:val="font01"/>
    <w:basedOn w:val="136"/>
    <w:qFormat/>
    <w:uiPriority w:val="0"/>
    <w:rPr>
      <w:rFonts w:hint="eastAsia" w:ascii="宋体" w:hAnsi="宋体" w:eastAsia="宋体" w:cs="宋体"/>
      <w:b/>
      <w:color w:val="000000"/>
      <w:sz w:val="20"/>
      <w:szCs w:val="20"/>
      <w:u w:val="none"/>
    </w:rPr>
  </w:style>
  <w:style w:type="paragraph" w:customStyle="1" w:styleId="1566">
    <w:name w:val="标题二"/>
    <w:basedOn w:val="175"/>
    <w:next w:val="1"/>
    <w:link w:val="1902"/>
    <w:qFormat/>
    <w:uiPriority w:val="0"/>
    <w:pPr>
      <w:spacing w:line="360" w:lineRule="auto"/>
      <w:ind w:firstLine="0" w:firstLineChars="0"/>
      <w:outlineLvl w:val="1"/>
    </w:pPr>
    <w:rPr>
      <w:rFonts w:ascii="宋体" w:hAnsi="宋体" w:eastAsia="宋体"/>
      <w:b/>
      <w:bCs/>
      <w:sz w:val="28"/>
      <w:szCs w:val="28"/>
    </w:rPr>
  </w:style>
  <w:style w:type="paragraph" w:customStyle="1" w:styleId="1567">
    <w:name w:val="标题三"/>
    <w:basedOn w:val="175"/>
    <w:next w:val="1"/>
    <w:link w:val="1903"/>
    <w:qFormat/>
    <w:uiPriority w:val="0"/>
    <w:pPr>
      <w:spacing w:line="360" w:lineRule="auto"/>
      <w:ind w:firstLine="0" w:firstLineChars="0"/>
      <w:outlineLvl w:val="2"/>
    </w:pPr>
    <w:rPr>
      <w:rFonts w:ascii="宋体" w:hAnsi="宋体" w:eastAsia="宋体"/>
      <w:b/>
      <w:bCs/>
      <w:sz w:val="28"/>
      <w:szCs w:val="28"/>
    </w:rPr>
  </w:style>
  <w:style w:type="paragraph" w:customStyle="1" w:styleId="1568">
    <w:name w:val="标题四"/>
    <w:basedOn w:val="175"/>
    <w:next w:val="1"/>
    <w:link w:val="1571"/>
    <w:qFormat/>
    <w:uiPriority w:val="3"/>
    <w:pPr>
      <w:spacing w:line="360" w:lineRule="auto"/>
      <w:ind w:firstLine="0" w:firstLineChars="0"/>
      <w:outlineLvl w:val="3"/>
    </w:pPr>
    <w:rPr>
      <w:rFonts w:ascii="宋体" w:hAnsi="宋体" w:eastAsia="宋体" w:cs="Times New Roman"/>
      <w:b/>
      <w:bCs/>
      <w:sz w:val="28"/>
      <w:szCs w:val="28"/>
    </w:rPr>
  </w:style>
  <w:style w:type="paragraph" w:customStyle="1" w:styleId="1569">
    <w:name w:val="标题五"/>
    <w:basedOn w:val="175"/>
    <w:next w:val="1"/>
    <w:link w:val="1572"/>
    <w:qFormat/>
    <w:uiPriority w:val="4"/>
    <w:pPr>
      <w:spacing w:line="360" w:lineRule="auto"/>
      <w:ind w:firstLine="0" w:firstLineChars="0"/>
      <w:outlineLvl w:val="4"/>
    </w:pPr>
    <w:rPr>
      <w:rFonts w:ascii="宋体" w:hAnsi="宋体" w:eastAsia="宋体" w:cs="Times New Roman"/>
      <w:b/>
      <w:bCs/>
      <w:sz w:val="28"/>
      <w:szCs w:val="28"/>
    </w:rPr>
  </w:style>
  <w:style w:type="paragraph" w:customStyle="1" w:styleId="1570">
    <w:name w:val="标题六"/>
    <w:basedOn w:val="175"/>
    <w:next w:val="1"/>
    <w:link w:val="1573"/>
    <w:qFormat/>
    <w:uiPriority w:val="5"/>
    <w:pPr>
      <w:spacing w:line="360" w:lineRule="auto"/>
      <w:ind w:firstLine="0" w:firstLineChars="0"/>
      <w:outlineLvl w:val="5"/>
    </w:pPr>
    <w:rPr>
      <w:rFonts w:ascii="宋体" w:hAnsi="宋体" w:eastAsia="宋体" w:cs="Times New Roman"/>
      <w:b/>
      <w:bCs/>
      <w:sz w:val="28"/>
      <w:szCs w:val="28"/>
    </w:rPr>
  </w:style>
  <w:style w:type="character" w:customStyle="1" w:styleId="1571">
    <w:name w:val="标题四 字符"/>
    <w:basedOn w:val="176"/>
    <w:link w:val="1568"/>
    <w:qFormat/>
    <w:uiPriority w:val="3"/>
    <w:rPr>
      <w:rFonts w:ascii="宋体" w:hAnsi="宋体" w:eastAsia="宋体" w:cs="Times New Roman"/>
      <w:b/>
      <w:bCs/>
      <w:kern w:val="2"/>
      <w:sz w:val="28"/>
      <w:szCs w:val="28"/>
    </w:rPr>
  </w:style>
  <w:style w:type="character" w:customStyle="1" w:styleId="1572">
    <w:name w:val="标题五 字符"/>
    <w:basedOn w:val="176"/>
    <w:link w:val="1569"/>
    <w:qFormat/>
    <w:uiPriority w:val="4"/>
    <w:rPr>
      <w:rFonts w:ascii="宋体" w:hAnsi="宋体" w:eastAsia="宋体" w:cs="Times New Roman"/>
      <w:b/>
      <w:bCs/>
      <w:kern w:val="2"/>
      <w:sz w:val="28"/>
      <w:szCs w:val="28"/>
    </w:rPr>
  </w:style>
  <w:style w:type="character" w:customStyle="1" w:styleId="1573">
    <w:name w:val="标题六 字符"/>
    <w:basedOn w:val="176"/>
    <w:link w:val="1570"/>
    <w:qFormat/>
    <w:uiPriority w:val="5"/>
    <w:rPr>
      <w:rFonts w:ascii="宋体" w:hAnsi="宋体" w:eastAsia="宋体" w:cs="Times New Roman"/>
      <w:b/>
      <w:bCs/>
      <w:kern w:val="2"/>
      <w:sz w:val="28"/>
      <w:szCs w:val="28"/>
    </w:rPr>
  </w:style>
  <w:style w:type="paragraph" w:customStyle="1" w:styleId="1574">
    <w:name w:val="标题八"/>
    <w:basedOn w:val="175"/>
    <w:next w:val="1"/>
    <w:link w:val="1576"/>
    <w:qFormat/>
    <w:uiPriority w:val="7"/>
    <w:pPr>
      <w:spacing w:line="360" w:lineRule="auto"/>
      <w:ind w:firstLine="0" w:firstLineChars="0"/>
      <w:outlineLvl w:val="7"/>
    </w:pPr>
    <w:rPr>
      <w:rFonts w:ascii="宋体" w:hAnsi="宋体" w:eastAsia="宋体" w:cs="Times New Roman"/>
      <w:b/>
      <w:bCs/>
      <w:sz w:val="28"/>
      <w:szCs w:val="28"/>
    </w:rPr>
  </w:style>
  <w:style w:type="character" w:customStyle="1" w:styleId="1575">
    <w:name w:val="标题七 字符"/>
    <w:basedOn w:val="176"/>
    <w:link w:val="280"/>
    <w:qFormat/>
    <w:uiPriority w:val="6"/>
    <w:rPr>
      <w:rFonts w:ascii="宋体" w:hAnsi="宋体" w:eastAsia="宋体" w:cs="Times New Roman"/>
      <w:b/>
      <w:bCs/>
      <w:kern w:val="2"/>
      <w:sz w:val="28"/>
      <w:szCs w:val="28"/>
    </w:rPr>
  </w:style>
  <w:style w:type="character" w:customStyle="1" w:styleId="1576">
    <w:name w:val="标题八 字符"/>
    <w:basedOn w:val="176"/>
    <w:link w:val="1574"/>
    <w:qFormat/>
    <w:uiPriority w:val="7"/>
    <w:rPr>
      <w:rFonts w:ascii="宋体" w:hAnsi="宋体" w:eastAsia="宋体" w:cs="Times New Roman"/>
      <w:b/>
      <w:bCs/>
      <w:kern w:val="2"/>
      <w:sz w:val="28"/>
      <w:szCs w:val="28"/>
    </w:rPr>
  </w:style>
  <w:style w:type="paragraph" w:customStyle="1" w:styleId="1577">
    <w:name w:val="标题九"/>
    <w:basedOn w:val="1"/>
    <w:qFormat/>
    <w:uiPriority w:val="0"/>
    <w:pPr>
      <w:adjustRightInd w:val="0"/>
      <w:spacing w:line="360" w:lineRule="auto"/>
      <w:ind w:left="425"/>
      <w:outlineLvl w:val="8"/>
    </w:pPr>
    <w:rPr>
      <w:rFonts w:ascii="宋体" w:hAnsi="宋体" w:eastAsia="宋体"/>
      <w:b/>
      <w:sz w:val="24"/>
      <w:szCs w:val="24"/>
    </w:rPr>
  </w:style>
  <w:style w:type="paragraph" w:customStyle="1" w:styleId="1578">
    <w:name w:val="GW-标题1"/>
    <w:basedOn w:val="4"/>
    <w:next w:val="1"/>
    <w:qFormat/>
    <w:uiPriority w:val="0"/>
    <w:pPr>
      <w:pageBreakBefore/>
      <w:numPr>
        <w:numId w:val="0"/>
      </w:numPr>
      <w:tabs>
        <w:tab w:val="left" w:pos="780"/>
      </w:tabs>
      <w:spacing w:beforeLines="100" w:afterLines="100" w:line="360" w:lineRule="auto"/>
      <w:ind w:left="420" w:hanging="420"/>
      <w:jc w:val="both"/>
    </w:pPr>
    <w:rPr>
      <w:rFonts w:ascii="Times New Roman" w:hAnsi="Times New Roman" w:eastAsia="仿宋_GB2312" w:cs="黑体"/>
      <w:sz w:val="44"/>
      <w:szCs w:val="44"/>
    </w:rPr>
  </w:style>
  <w:style w:type="character" w:customStyle="1" w:styleId="1579">
    <w:name w:val="￥正文 Char Char"/>
    <w:qFormat/>
    <w:uiPriority w:val="0"/>
    <w:rPr>
      <w:sz w:val="24"/>
      <w:lang w:eastAsia="en-US"/>
    </w:rPr>
  </w:style>
  <w:style w:type="paragraph" w:customStyle="1" w:styleId="1580">
    <w:name w:val="生命线正文"/>
    <w:basedOn w:val="1"/>
    <w:qFormat/>
    <w:uiPriority w:val="0"/>
    <w:pPr>
      <w:widowControl/>
      <w:spacing w:line="520" w:lineRule="exact"/>
      <w:ind w:firstLine="200" w:firstLineChars="200"/>
    </w:pPr>
    <w:rPr>
      <w:rFonts w:ascii="Times New Roman" w:hAnsi="Times New Roman" w:eastAsia="仿宋" w:cs="Times New Roman"/>
      <w:kern w:val="0"/>
      <w:sz w:val="28"/>
    </w:rPr>
  </w:style>
  <w:style w:type="paragraph" w:customStyle="1" w:styleId="1581">
    <w:name w:val="修订12"/>
    <w:hidden/>
    <w:qFormat/>
    <w:uiPriority w:val="99"/>
    <w:rPr>
      <w:rFonts w:ascii="Times New Roman" w:hAnsi="Times New Roman" w:eastAsia="宋体" w:cs="Times New Roman"/>
      <w:kern w:val="2"/>
      <w:sz w:val="21"/>
      <w:szCs w:val="24"/>
      <w:lang w:val="en-US" w:eastAsia="zh-CN" w:bidi="ar-SA"/>
    </w:rPr>
  </w:style>
  <w:style w:type="character" w:customStyle="1" w:styleId="1582">
    <w:name w:val="未处理的提及31"/>
    <w:basedOn w:val="136"/>
    <w:qFormat/>
    <w:uiPriority w:val="99"/>
    <w:rPr>
      <w:color w:val="605E5C"/>
      <w:shd w:val="clear" w:color="auto" w:fill="E1DFDD"/>
    </w:rPr>
  </w:style>
  <w:style w:type="paragraph" w:customStyle="1" w:styleId="1583">
    <w:name w:val="N.N.N.N"/>
    <w:basedOn w:val="1"/>
    <w:next w:val="1"/>
    <w:qFormat/>
    <w:uiPriority w:val="0"/>
    <w:pPr>
      <w:numPr>
        <w:ilvl w:val="3"/>
        <w:numId w:val="56"/>
      </w:numPr>
      <w:spacing w:beforeLines="50" w:afterLines="50" w:line="400" w:lineRule="exact"/>
      <w:ind w:right="240" w:rightChars="100" w:firstLine="200" w:firstLineChars="200"/>
      <w:jc w:val="left"/>
      <w:outlineLvl w:val="3"/>
    </w:pPr>
    <w:rPr>
      <w:rFonts w:ascii="微软雅黑" w:hAnsi="微软雅黑" w:eastAsia="微软雅黑" w:cs="Times New Roman"/>
      <w:b/>
      <w:color w:val="000000"/>
      <w:sz w:val="28"/>
      <w:szCs w:val="28"/>
    </w:rPr>
  </w:style>
  <w:style w:type="paragraph" w:customStyle="1" w:styleId="1584">
    <w:name w:val="N.N.N.N.N"/>
    <w:basedOn w:val="1"/>
    <w:next w:val="1"/>
    <w:qFormat/>
    <w:uiPriority w:val="0"/>
    <w:pPr>
      <w:widowControl/>
      <w:numPr>
        <w:ilvl w:val="4"/>
        <w:numId w:val="56"/>
      </w:numPr>
      <w:spacing w:line="360" w:lineRule="auto"/>
      <w:ind w:firstLine="200" w:firstLineChars="200"/>
      <w:jc w:val="left"/>
      <w:outlineLvl w:val="4"/>
    </w:pPr>
    <w:rPr>
      <w:rFonts w:ascii="微软雅黑" w:hAnsi="微软雅黑" w:eastAsia="微软雅黑" w:cs="Times New Roman"/>
      <w:b/>
      <w:color w:val="000000"/>
      <w:sz w:val="28"/>
      <w:szCs w:val="21"/>
    </w:rPr>
  </w:style>
  <w:style w:type="paragraph" w:customStyle="1" w:styleId="1585">
    <w:name w:val="修订4"/>
    <w:hidden/>
    <w:semiHidden/>
    <w:qFormat/>
    <w:uiPriority w:val="99"/>
    <w:rPr>
      <w:rFonts w:ascii="楷体" w:hAnsi="楷体" w:eastAsia="宋体" w:cs="Times New Roman"/>
      <w:kern w:val="2"/>
      <w:sz w:val="24"/>
      <w:lang w:val="en-US" w:eastAsia="zh-CN" w:bidi="ar-SA"/>
    </w:rPr>
  </w:style>
  <w:style w:type="table" w:customStyle="1" w:styleId="1586">
    <w:name w:val="网格型138"/>
    <w:basedOn w:val="90"/>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表格主题1"/>
    <w:basedOn w:val="90"/>
    <w:qFormat/>
    <w:uiPriority w:val="0"/>
    <w:pPr>
      <w:widowControl w:val="0"/>
      <w:spacing w:line="360" w:lineRule="auto"/>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彩色型 11"/>
    <w:basedOn w:val="90"/>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589">
    <w:name w:val="彩色型 21"/>
    <w:basedOn w:val="90"/>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590">
    <w:name w:val="彩色型 31"/>
    <w:basedOn w:val="90"/>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591">
    <w:name w:val="典雅型1"/>
    <w:basedOn w:val="90"/>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592">
    <w:name w:val="古典型 11"/>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593">
    <w:name w:val="古典型 21"/>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1594">
    <w:name w:val="古典型 31"/>
    <w:basedOn w:val="90"/>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1595">
    <w:name w:val="古典型 41"/>
    <w:basedOn w:val="90"/>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1596">
    <w:name w:val="简明型 11"/>
    <w:basedOn w:val="90"/>
    <w:qFormat/>
    <w:uiPriority w:val="0"/>
    <w:pPr>
      <w:widowControl w:val="0"/>
      <w:spacing w:line="360" w:lineRule="auto"/>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597">
    <w:name w:val="简明型 21"/>
    <w:basedOn w:val="90"/>
    <w:qFormat/>
    <w:uiPriority w:val="0"/>
    <w:pPr>
      <w:widowControl w:val="0"/>
      <w:spacing w:line="360" w:lineRule="auto"/>
      <w:jc w:val="both"/>
    </w:pPr>
    <w:rPr>
      <w:rFonts w:ascii="Calibri" w:hAnsi="Calibri"/>
    </w:r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1598">
    <w:name w:val="简明型 3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l2br w:val="nil"/>
          <w:tr2bl w:val="nil"/>
        </w:tcBorders>
        <w:shd w:val="solid" w:color="000000" w:fill="FFFFFF"/>
      </w:tcPr>
    </w:tblStylePr>
  </w:style>
  <w:style w:type="table" w:customStyle="1" w:styleId="1599">
    <w:name w:val="精巧型 11"/>
    <w:basedOn w:val="90"/>
    <w:qFormat/>
    <w:uiPriority w:val="0"/>
    <w:pPr>
      <w:widowControl w:val="0"/>
      <w:spacing w:line="360" w:lineRule="auto"/>
      <w:jc w:val="both"/>
    </w:pPr>
    <w:rPr>
      <w:rFonts w:ascii="Calibri" w:hAnsi="Calibri"/>
    </w:r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00">
    <w:name w:val="精巧型 21"/>
    <w:basedOn w:val="90"/>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01">
    <w:name w:val="表三维效果 12"/>
    <w:basedOn w:val="90"/>
    <w:semiHidden/>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1602">
    <w:name w:val="表三维效果 22"/>
    <w:basedOn w:val="90"/>
    <w:qFormat/>
    <w:uiPriority w:val="0"/>
    <w:pPr>
      <w:widowControl w:val="0"/>
      <w:spacing w:line="360" w:lineRule="auto"/>
      <w:jc w:val="both"/>
    </w:pPr>
    <w:rPr>
      <w:rFonts w:ascii="Calibri" w:hAnsi="Calibri"/>
    </w:r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1603">
    <w:name w:val="表三维效果 32"/>
    <w:basedOn w:val="90"/>
    <w:semiHidden/>
    <w:qFormat/>
    <w:uiPriority w:val="0"/>
    <w:pPr>
      <w:widowControl w:val="0"/>
      <w:spacing w:line="360" w:lineRule="auto"/>
      <w:jc w:val="both"/>
    </w:pPr>
    <w:rPr>
      <w:rFonts w:ascii="Calibri" w:hAnsi="Calibri"/>
    </w:r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1604">
    <w:name w:val="列表型 11"/>
    <w:basedOn w:val="90"/>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1605">
    <w:name w:val="列表型 21"/>
    <w:basedOn w:val="90"/>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1606">
    <w:name w:val="列表型 31"/>
    <w:basedOn w:val="90"/>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1607">
    <w:name w:val="列表型 4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bottom w:val="single" w:color="000000" w:sz="12" w:space="0"/>
          <w:tl2br w:val="nil"/>
          <w:tr2bl w:val="nil"/>
        </w:tcBorders>
        <w:shd w:val="solid" w:color="808080" w:fill="FFFFFF"/>
      </w:tcPr>
    </w:tblStylePr>
  </w:style>
  <w:style w:type="table" w:customStyle="1" w:styleId="1608">
    <w:name w:val="列表型 5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1609">
    <w:name w:val="列表型 6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bottom w:val="single" w:color="000000" w:sz="12" w:space="0"/>
          <w:tl2br w:val="nil"/>
          <w:tr2bl w:val="nil"/>
        </w:tcBorders>
      </w:tcPr>
    </w:tblStylePr>
    <w:tblStylePr w:type="firstCol">
      <w:rPr>
        <w:b/>
        <w:bCs/>
      </w:rPr>
      <w:tcPr>
        <w:tcBorders>
          <w:right w:val="single" w:color="000000" w:sz="12" w:space="0"/>
          <w:tl2br w:val="nil"/>
          <w:tr2bl w:val="nil"/>
        </w:tcBorders>
      </w:tcPr>
    </w:tblStylePr>
    <w:tblStylePr w:type="band1Horz">
      <w:tcPr>
        <w:tcBorders>
          <w:tl2br w:val="nil"/>
          <w:tr2bl w:val="nil"/>
        </w:tcBorders>
        <w:shd w:val="pct25" w:color="000000" w:fill="FFFFFF"/>
      </w:tcPr>
    </w:tblStylePr>
    <w:tblStylePr w:type="nwCell">
      <w:tcPr>
        <w:tcBorders>
          <w:tl2br w:val="single" w:color="000000" w:sz="6" w:space="0"/>
          <w:tr2bl w:val="nil"/>
        </w:tcBorders>
      </w:tcPr>
    </w:tblStylePr>
  </w:style>
  <w:style w:type="table" w:customStyle="1" w:styleId="1610">
    <w:name w:val="列表型 71"/>
    <w:basedOn w:val="90"/>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1611">
    <w:name w:val="列表型 8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1612">
    <w:name w:val="流行型1"/>
    <w:basedOn w:val="90"/>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1613">
    <w:name w:val="竖列型 11"/>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14">
    <w:name w:val="竖列型 21"/>
    <w:basedOn w:val="90"/>
    <w:qFormat/>
    <w:uiPriority w:val="0"/>
    <w:pPr>
      <w:widowControl w:val="0"/>
      <w:spacing w:line="360" w:lineRule="auto"/>
      <w:jc w:val="both"/>
    </w:pPr>
    <w:rPr>
      <w:rFonts w:ascii="Calibri" w:hAnsi="Calibri"/>
      <w:b/>
      <w:bCs/>
    </w:r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15">
    <w:name w:val="竖列型 31"/>
    <w:basedOn w:val="90"/>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1616">
    <w:name w:val="竖列型 41"/>
    <w:basedOn w:val="90"/>
    <w:qFormat/>
    <w:uiPriority w:val="0"/>
    <w:pPr>
      <w:widowControl w:val="0"/>
      <w:spacing w:line="360" w:lineRule="auto"/>
      <w:jc w:val="both"/>
    </w:pPr>
    <w:rPr>
      <w:rFonts w:ascii="Calibri" w:hAnsi="Calibri"/>
    </w:r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1617">
    <w:name w:val="竖列型 51"/>
    <w:basedOn w:val="90"/>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1618">
    <w:name w:val="网格型 1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619">
    <w:name w:val="网格型 21"/>
    <w:basedOn w:val="90"/>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620">
    <w:name w:val="网格型 31"/>
    <w:basedOn w:val="90"/>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621">
    <w:name w:val="网格型 41"/>
    <w:basedOn w:val="90"/>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1622">
    <w:name w:val="网格型 5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623">
    <w:name w:val="网格型 6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1624">
    <w:name w:val="网格型 71"/>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1625">
    <w:name w:val="网格型 81"/>
    <w:basedOn w:val="90"/>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1626">
    <w:name w:val="网页型 11"/>
    <w:basedOn w:val="90"/>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1627">
    <w:name w:val="网页型 21"/>
    <w:basedOn w:val="90"/>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1628">
    <w:name w:val="网页型 31"/>
    <w:basedOn w:val="90"/>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29">
    <w:name w:val="专业型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630">
    <w:name w:val="浅色底纹2"/>
    <w:basedOn w:val="90"/>
    <w:qFormat/>
    <w:uiPriority w:val="60"/>
    <w:rPr>
      <w:rFonts w:ascii="Calibri" w:hAnsi="Calibri"/>
      <w:color w:val="000000"/>
      <w:sz w:val="22"/>
      <w:lang w:eastAsia="en-US"/>
    </w:rPr>
    <w:tblPr>
      <w:tblBorders>
        <w:top w:val="single" w:color="000000" w:sz="8" w:space="0"/>
        <w:bottom w:val="single" w:color="000000" w:sz="8" w:space="0"/>
      </w:tblBorders>
    </w:tblPr>
    <w:tcPr>
      <w:tcBorders>
        <w:top w:val="single" w:color="000000" w:sz="8" w:space="0"/>
        <w:left w:val="nil"/>
        <w:bottom w:val="single" w:color="000000" w:sz="8" w:space="0"/>
        <w:right w:val="nil"/>
      </w:tcBorders>
    </w:tcPr>
    <w:tblStylePr w:type="firstRow">
      <w:pPr>
        <w:spacing w:before="0" w:beforeAutospacing="0" w:after="0" w:afterAutospacing="0" w:line="240" w:lineRule="auto"/>
      </w:pPr>
      <w:rPr>
        <w:b/>
        <w:bCs/>
      </w:rPr>
      <w:tcPr>
        <w:tcBorders>
          <w:top w:val="single" w:color="000000" w:sz="8" w:space="0"/>
          <w:left w:val="nil"/>
          <w:bottom w:val="single" w:color="000000" w:sz="8" w:space="0"/>
          <w:right w:val="nil"/>
        </w:tcBorders>
      </w:tcPr>
    </w:tblStylePr>
    <w:tblStylePr w:type="lastRow">
      <w:pPr>
        <w:spacing w:before="0" w:beforeAutospacing="0" w:after="0" w:afterAutospacing="0" w:line="240" w:lineRule="auto"/>
      </w:pPr>
      <w:rPr>
        <w:b/>
        <w:bCs/>
      </w:rPr>
      <w:tcPr>
        <w:tcBorders>
          <w:top w:val="single" w:color="000000" w:sz="8" w:space="0"/>
          <w:left w:val="nil"/>
          <w:bottom w:val="single" w:color="000000" w:sz="8" w:space="0"/>
          <w:right w:val="nil"/>
        </w:tcBorders>
      </w:tcPr>
    </w:tblStylePr>
    <w:tblStylePr w:type="firstCol">
      <w:rPr>
        <w:b/>
        <w:bCs/>
      </w:rPr>
    </w:tblStylePr>
    <w:tblStylePr w:type="lastCol">
      <w:rPr>
        <w:b/>
        <w:bCs/>
      </w:rPr>
    </w:tblStylePr>
    <w:tblStylePr w:type="band1Vert">
      <w:tcPr>
        <w:tcBorders>
          <w:left w:val="nil"/>
          <w:right w:val="nil"/>
        </w:tcBorders>
        <w:shd w:val="clear" w:color="auto" w:fill="C0C0C0"/>
      </w:tcPr>
    </w:tblStylePr>
    <w:tblStylePr w:type="band1Horz">
      <w:tcPr>
        <w:tcBorders>
          <w:left w:val="nil"/>
          <w:right w:val="nil"/>
        </w:tcBorders>
        <w:shd w:val="clear" w:color="auto" w:fill="C0C0C0"/>
      </w:tcPr>
    </w:tblStylePr>
  </w:style>
  <w:style w:type="table" w:customStyle="1" w:styleId="1631">
    <w:name w:val="浅色底纹11"/>
    <w:basedOn w:val="90"/>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632">
    <w:name w:val="网格表 4 - 着色 511"/>
    <w:basedOn w:val="90"/>
    <w:qFormat/>
    <w:uiPriority w:val="0"/>
    <w:rPr>
      <w:rFonts w:ascii="Calibri" w:hAnsi="Calibri"/>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cPr>
      <w:tcBorders>
        <w:top w:val="single" w:color="92CDDC" w:sz="4" w:space="0"/>
        <w:left w:val="single" w:color="92CDDC" w:sz="4" w:space="0"/>
        <w:bottom w:val="single" w:color="92CDDC" w:sz="4" w:space="0"/>
        <w:right w:val="single" w:color="92CDDC" w:sz="4" w:space="0"/>
      </w:tcBorders>
    </w:tcPr>
    <w:tblStylePr w:type="firstRow">
      <w:rPr>
        <w:b/>
        <w:bCs/>
        <w:color w:val="FFFFFF"/>
      </w:rPr>
      <w:tcPr>
        <w:tcBorders>
          <w:top w:val="single" w:color="4BACC6" w:sz="4" w:space="0"/>
          <w:left w:val="single" w:color="4BACC6" w:sz="4" w:space="0"/>
          <w:bottom w:val="single" w:color="4BACC6" w:sz="4" w:space="0"/>
          <w:right w:val="single" w:color="4BACC6" w:sz="4" w:space="0"/>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633">
    <w:name w:val="表三维效果 311"/>
    <w:basedOn w:val="90"/>
    <w:qFormat/>
    <w:uiPriority w:val="0"/>
    <w:pPr>
      <w:widowControl w:val="0"/>
      <w:spacing w:line="360" w:lineRule="auto"/>
      <w:jc w:val="both"/>
    </w:pPr>
    <w:rPr>
      <w:rFonts w:ascii="Calibri" w:hAnsi="Calibri"/>
    </w:r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634">
    <w:name w:val="网格型5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5">
    <w:name w:val="网格型7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6">
    <w:name w:val="网格型4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7">
    <w:name w:val="网格型6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8">
    <w:name w:val="网格型2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9">
    <w:name w:val="网格型2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0">
    <w:name w:val="网格型12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1">
    <w:name w:val="网格型13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2">
    <w:name w:val="网格型6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3">
    <w:name w:val="网格型12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4">
    <w:name w:val="网格型8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5">
    <w:name w:val="网格型11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6">
    <w:name w:val="网格型5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7">
    <w:name w:val="网格型8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8">
    <w:name w:val="网格型2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9">
    <w:name w:val="网格型8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0">
    <w:name w:val="网格型11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1">
    <w:name w:val="网格型1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2">
    <w:name w:val="网格型2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3">
    <w:name w:val="网格型13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4">
    <w:name w:val="网格表 3 - 着色 311"/>
    <w:basedOn w:val="90"/>
    <w:qFormat/>
    <w:uiPriority w:val="0"/>
    <w:rPr>
      <w:rFonts w:ascii="Calibri" w:hAnsi="Calibri"/>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cPr>
      <w:tcBorders>
        <w:top w:val="single" w:color="C2D69B" w:sz="4" w:space="0"/>
        <w:left w:val="single" w:color="C2D69B" w:sz="4" w:space="0"/>
        <w:bottom w:val="single" w:color="C2D69B" w:sz="4" w:space="0"/>
        <w:right w:val="single" w:color="C2D69B" w:sz="4" w:space="0"/>
      </w:tcBorders>
    </w:tcPr>
    <w:tblStylePr w:type="firstRow">
      <w:rPr>
        <w:b/>
        <w:bCs/>
      </w:rPr>
      <w:tcPr>
        <w:tcBorders>
          <w:top w:val="nil"/>
          <w:left w:val="nil"/>
          <w:right w:val="nil"/>
        </w:tcBorders>
        <w:shd w:val="clear" w:color="auto" w:fill="FFFFFF"/>
      </w:tcPr>
    </w:tblStylePr>
    <w:tblStylePr w:type="lastRow">
      <w:rPr>
        <w:b/>
        <w:bCs/>
      </w:rPr>
      <w:tcPr>
        <w:tcBorders>
          <w:left w:val="nil"/>
          <w:bottom w:val="nil"/>
          <w:right w:val="nil"/>
        </w:tcBorders>
        <w:shd w:val="clear" w:color="auto" w:fill="FFFFFF"/>
      </w:tcPr>
    </w:tblStylePr>
    <w:tblStylePr w:type="firstCol">
      <w:pPr>
        <w:jc w:val="right"/>
      </w:pPr>
      <w:rPr>
        <w:i/>
        <w:iCs/>
      </w:rPr>
      <w:tcPr>
        <w:tcBorders>
          <w:top w:val="nil"/>
          <w:left w:val="nil"/>
          <w:bottom w:val="nil"/>
        </w:tcBorders>
        <w:shd w:val="clear" w:color="auto" w:fill="FFFFFF"/>
      </w:tcPr>
    </w:tblStylePr>
    <w:tblStylePr w:type="lastCol">
      <w:rPr>
        <w:i/>
        <w:iCs/>
      </w:rPr>
      <w:tcPr>
        <w:tcBorders>
          <w:top w:val="nil"/>
          <w:bottom w:val="nil"/>
          <w:right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1655">
    <w:name w:val="表三维效果 111"/>
    <w:basedOn w:val="90"/>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tl2br w:val="nil"/>
          <w:tr2bl w:val="nil"/>
        </w:tcBorders>
      </w:tcPr>
    </w:tblStylePr>
    <w:tblStylePr w:type="lastRow">
      <w:tcPr>
        <w:tcBorders>
          <w:top w:val="single" w:color="FFFFFF" w:sz="6" w:space="0"/>
          <w:left w:val="nil"/>
          <w:bottom w:val="nil"/>
          <w:right w:val="nil"/>
          <w:tl2br w:val="nil"/>
          <w:tr2bl w:val="nil"/>
        </w:tcBorders>
      </w:tcPr>
    </w:tblStylePr>
    <w:tblStylePr w:type="firstCol">
      <w:rPr>
        <w:b/>
        <w:bCs/>
      </w:rPr>
      <w:tcPr>
        <w:tcBorders>
          <w:top w:val="nil"/>
          <w:left w:val="nil"/>
          <w:bottom w:val="nil"/>
          <w:right w:val="single" w:color="808080" w:sz="6" w:space="0"/>
          <w:tl2br w:val="nil"/>
          <w:tr2bl w:val="nil"/>
        </w:tcBorders>
      </w:tcPr>
    </w:tblStylePr>
    <w:tblStylePr w:type="lastCol">
      <w:tcPr>
        <w:tcBorders>
          <w:top w:val="nil"/>
          <w:left w:val="single" w:color="FFFFFF" w:sz="6" w:space="0"/>
          <w:bottom w:val="nil"/>
          <w:right w:val="nil"/>
          <w:tl2br w:val="nil"/>
          <w:tr2bl w:val="nil"/>
        </w:tcBorders>
      </w:tcPr>
    </w:tblStylePr>
    <w:tblStylePr w:type="neCell">
      <w:tcPr>
        <w:tcBorders>
          <w:top w:val="nil"/>
          <w:left w:val="nil"/>
          <w:bottom w:val="nil"/>
          <w:right w:val="nil"/>
          <w:tl2br w:val="nil"/>
          <w:tr2bl w:val="nil"/>
        </w:tcBorders>
      </w:tcPr>
    </w:tblStylePr>
    <w:tblStylePr w:type="nwCell">
      <w:tcPr>
        <w:tcBorders>
          <w:top w:val="nil"/>
          <w:left w:val="nil"/>
          <w:bottom w:val="nil"/>
          <w:right w:val="nil"/>
          <w:tl2br w:val="nil"/>
          <w:tr2bl w:val="nil"/>
        </w:tcBorders>
      </w:tcPr>
    </w:tblStylePr>
    <w:tblStylePr w:type="seCell">
      <w:tcPr>
        <w:tcBorders>
          <w:top w:val="nil"/>
          <w:left w:val="nil"/>
          <w:bottom w:val="nil"/>
          <w:right w:val="nil"/>
          <w:tl2br w:val="nil"/>
          <w:tr2bl w:val="nil"/>
        </w:tcBorders>
      </w:tcPr>
    </w:tblStylePr>
    <w:tblStylePr w:type="swCell">
      <w:rPr>
        <w:color w:val="000080"/>
      </w:rPr>
      <w:tcPr>
        <w:tcBorders>
          <w:top w:val="nil"/>
          <w:left w:val="nil"/>
          <w:bottom w:val="nil"/>
          <w:right w:val="nil"/>
          <w:tl2br w:val="nil"/>
          <w:tr2bl w:val="nil"/>
        </w:tcBorders>
      </w:tcPr>
    </w:tblStylePr>
  </w:style>
  <w:style w:type="table" w:customStyle="1" w:styleId="1656">
    <w:name w:val="网格型3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7">
    <w:name w:val="表三维效果 211"/>
    <w:basedOn w:val="90"/>
    <w:qFormat/>
    <w:uiPriority w:val="0"/>
    <w:pPr>
      <w:widowControl w:val="0"/>
      <w:spacing w:line="360" w:lineRule="auto"/>
      <w:jc w:val="both"/>
    </w:pPr>
    <w:rPr>
      <w:rFonts w:ascii="Calibri" w:hAnsi="Calibri"/>
    </w:rPr>
    <w:tcPr>
      <w:shd w:val="solid" w:color="C0C0C0" w:fill="FFFFFF"/>
    </w:tc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658">
    <w:name w:val="网格型2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9">
    <w:name w:val="网格型11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0">
    <w:name w:val="网格型9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1">
    <w:name w:val="网格型13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2">
    <w:name w:val="网格型5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3">
    <w:name w:val="无格式表格 211"/>
    <w:basedOn w:val="90"/>
    <w:qFormat/>
    <w:uiPriority w:val="0"/>
    <w:rPr>
      <w:rFonts w:ascii="Calibri" w:hAnsi="Calibri"/>
    </w:rPr>
    <w:tblPr>
      <w:tblBorders>
        <w:top w:val="single" w:color="7F7F7F" w:sz="4" w:space="0"/>
        <w:bottom w:val="single" w:color="7F7F7F" w:sz="4" w:space="0"/>
      </w:tblBorders>
    </w:tblPr>
    <w:tcPr>
      <w:tcBorders>
        <w:top w:val="single" w:color="7F7F7F" w:sz="4" w:space="0"/>
        <w:left w:val="nil"/>
        <w:bottom w:val="single" w:color="7F7F7F" w:sz="4" w:space="0"/>
        <w:right w:val="nil"/>
      </w:tcBorders>
    </w:tc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664">
    <w:name w:val="网格型11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5">
    <w:name w:val="网格型5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6">
    <w:name w:val="网格型7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7">
    <w:name w:val="网格型5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8">
    <w:name w:val="网格型7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9">
    <w:name w:val="网格型12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0">
    <w:name w:val="网格型9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1">
    <w:name w:val="网格型1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2">
    <w:name w:val="网格型12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3">
    <w:name w:val="网格型9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4">
    <w:name w:val="网格型8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5">
    <w:name w:val="网格型1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6">
    <w:name w:val="网格型2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7">
    <w:name w:val="网格型6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8">
    <w:name w:val="网格型13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9">
    <w:name w:val="网格型8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0">
    <w:name w:val="网格型10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1">
    <w:name w:val="网格型11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2">
    <w:name w:val="网格型11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3">
    <w:name w:val="网格型6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4">
    <w:name w:val="网格型9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5">
    <w:name w:val="网格型浅色11"/>
    <w:basedOn w:val="90"/>
    <w:qFormat/>
    <w:uiPriority w:val="40"/>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cPr>
      <w:tcBorders>
        <w:top w:val="single" w:color="BFBFBF" w:sz="4" w:space="0"/>
        <w:left w:val="single" w:color="BFBFBF" w:sz="4" w:space="0"/>
        <w:bottom w:val="single" w:color="BFBFBF" w:sz="4" w:space="0"/>
        <w:right w:val="single" w:color="BFBFBF" w:sz="4" w:space="0"/>
      </w:tcBorders>
    </w:tcPr>
  </w:style>
  <w:style w:type="table" w:customStyle="1" w:styleId="1686">
    <w:name w:val="网格型4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7">
    <w:name w:val="网格型10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8">
    <w:name w:val="网格型3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9">
    <w:name w:val="网格型11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0">
    <w:name w:val="网格型3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1">
    <w:name w:val="网格型4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2">
    <w:name w:val="网格型6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3">
    <w:name w:val="网格型6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4">
    <w:name w:val="网格型12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5">
    <w:name w:val="网格型4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6">
    <w:name w:val="网格型9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7">
    <w:name w:val="网格型10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8">
    <w:name w:val="网格型2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9">
    <w:name w:val="网格型2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0">
    <w:name w:val="网格型3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1">
    <w:name w:val="网格型11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2">
    <w:name w:val="网格型7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3">
    <w:name w:val="网格型13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4">
    <w:name w:val="网格型11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5">
    <w:name w:val="网格型8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6">
    <w:name w:val="网格型3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7">
    <w:name w:val="网格型8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8">
    <w:name w:val="网格型12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9">
    <w:name w:val="网格型7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0">
    <w:name w:val="网格型8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1">
    <w:name w:val="网格型4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2">
    <w:name w:val="网格型6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3">
    <w:name w:val="网格型6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4">
    <w:name w:val="网格型11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5">
    <w:name w:val="网格型5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6">
    <w:name w:val="网格型10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7">
    <w:name w:val="网格型8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8">
    <w:name w:val="表样式1"/>
    <w:basedOn w:val="90"/>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vAlign w:val="center"/>
    </w:tcPr>
  </w:style>
  <w:style w:type="table" w:customStyle="1" w:styleId="1719">
    <w:name w:val="网格型139"/>
    <w:basedOn w:val="90"/>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0">
    <w:name w:val="网格型210"/>
    <w:basedOn w:val="90"/>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1">
    <w:name w:val="网格型5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2">
    <w:name w:val="网格型13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3">
    <w:name w:val="网格型1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4">
    <w:name w:val="网格型2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5">
    <w:name w:val="网格型4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6">
    <w:name w:val="网格型2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7">
    <w:name w:val="网格型5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8">
    <w:name w:val="网格型10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9">
    <w:name w:val="网格型8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0">
    <w:name w:val="网格型13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1">
    <w:name w:val="网格型9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2">
    <w:name w:val="网格型10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3">
    <w:name w:val="网格型4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4">
    <w:name w:val="网格型10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5">
    <w:name w:val="网格型4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6">
    <w:name w:val="网格型3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7">
    <w:name w:val="网格型3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8">
    <w:name w:val="网格型12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9">
    <w:name w:val="网格型7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0">
    <w:name w:val="网格型9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1">
    <w:name w:val="网格型1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2">
    <w:name w:val="网格型9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3">
    <w:name w:val="网格型7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4">
    <w:name w:val="网格型7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5">
    <w:name w:val="网格型13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6">
    <w:name w:val="网格型7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7">
    <w:name w:val="网格型6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8">
    <w:name w:val="网格型9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9">
    <w:name w:val="网格型12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0">
    <w:name w:val="网格型3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1">
    <w:name w:val="网格型11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2">
    <w:name w:val="网格型8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3">
    <w:name w:val="网格型3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4">
    <w:name w:val="网格型6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5">
    <w:name w:val="网格型12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6">
    <w:name w:val="网格型5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7">
    <w:name w:val="网格型10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8">
    <w:name w:val="网格型4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9">
    <w:name w:val="网格型12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0">
    <w:name w:val="网格型9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1">
    <w:name w:val="网格型3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2">
    <w:name w:val="网格型4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3">
    <w:name w:val="网格型13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4">
    <w:name w:val="网格型9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5">
    <w:name w:val="网格型10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6">
    <w:name w:val="网格型12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7">
    <w:name w:val="网格型3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8">
    <w:name w:val="网格型10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9">
    <w:name w:val="网格型7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0">
    <w:name w:val="网格型5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1">
    <w:name w:val="网格型6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2">
    <w:name w:val="网格型1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3">
    <w:name w:val="网格型10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4">
    <w:name w:val="网格型4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5">
    <w:name w:val="网格型5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6">
    <w:name w:val="网格型7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1777">
    <w:name w:val="未处理的提及61"/>
    <w:basedOn w:val="136"/>
    <w:semiHidden/>
    <w:unhideWhenUsed/>
    <w:qFormat/>
    <w:uiPriority w:val="99"/>
    <w:rPr>
      <w:color w:val="605E5C"/>
      <w:shd w:val="clear" w:color="auto" w:fill="E1DFDD"/>
    </w:rPr>
  </w:style>
  <w:style w:type="table" w:customStyle="1" w:styleId="1778">
    <w:name w:val="Table Normal"/>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character" w:customStyle="1" w:styleId="1779">
    <w:name w:val="font11"/>
    <w:basedOn w:val="136"/>
    <w:qFormat/>
    <w:uiPriority w:val="0"/>
    <w:rPr>
      <w:rFonts w:hint="eastAsia" w:ascii="宋体" w:hAnsi="宋体" w:eastAsia="宋体" w:cs="宋体"/>
      <w:color w:val="000000"/>
      <w:sz w:val="22"/>
      <w:szCs w:val="22"/>
      <w:u w:val="none"/>
    </w:rPr>
  </w:style>
  <w:style w:type="character" w:customStyle="1" w:styleId="1780">
    <w:name w:val="NormalCharacter"/>
    <w:qFormat/>
    <w:uiPriority w:val="0"/>
    <w:rPr>
      <w:kern w:val="2"/>
      <w:sz w:val="21"/>
      <w:szCs w:val="24"/>
      <w:lang w:val="en-US" w:eastAsia="zh-CN" w:bidi="ar-SA"/>
    </w:rPr>
  </w:style>
  <w:style w:type="paragraph" w:customStyle="1" w:styleId="1781">
    <w:name w:val="Table Paragraph"/>
    <w:basedOn w:val="1"/>
    <w:qFormat/>
    <w:uiPriority w:val="1"/>
    <w:rPr>
      <w:rFonts w:ascii="仿宋" w:hAnsi="仿宋" w:eastAsia="仿宋" w:cs="仿宋"/>
      <w:szCs w:val="24"/>
      <w:lang w:val="zh-CN" w:bidi="zh-CN"/>
    </w:rPr>
  </w:style>
  <w:style w:type="character" w:customStyle="1" w:styleId="1782">
    <w:name w:val="font161"/>
    <w:basedOn w:val="136"/>
    <w:qFormat/>
    <w:uiPriority w:val="0"/>
    <w:rPr>
      <w:rFonts w:ascii="Arial" w:hAnsi="Arial" w:cs="Arial"/>
      <w:color w:val="000000"/>
      <w:sz w:val="22"/>
      <w:szCs w:val="22"/>
      <w:u w:val="none"/>
    </w:rPr>
  </w:style>
  <w:style w:type="character" w:customStyle="1" w:styleId="1783">
    <w:name w:val="font112"/>
    <w:basedOn w:val="136"/>
    <w:qFormat/>
    <w:uiPriority w:val="0"/>
    <w:rPr>
      <w:rFonts w:hint="eastAsia" w:ascii="宋体" w:hAnsi="宋体" w:eastAsia="宋体" w:cs="宋体"/>
      <w:b/>
      <w:bCs/>
      <w:color w:val="000000"/>
      <w:sz w:val="18"/>
      <w:szCs w:val="18"/>
      <w:u w:val="none"/>
    </w:rPr>
  </w:style>
  <w:style w:type="character" w:customStyle="1" w:styleId="1784">
    <w:name w:val="font171"/>
    <w:basedOn w:val="136"/>
    <w:qFormat/>
    <w:uiPriority w:val="0"/>
    <w:rPr>
      <w:rFonts w:hint="eastAsia" w:ascii="宋体" w:hAnsi="宋体" w:eastAsia="宋体" w:cs="宋体"/>
      <w:b/>
      <w:bCs/>
      <w:color w:val="FF0000"/>
      <w:sz w:val="18"/>
      <w:szCs w:val="18"/>
      <w:u w:val="none"/>
    </w:rPr>
  </w:style>
  <w:style w:type="character" w:customStyle="1" w:styleId="1785">
    <w:name w:val="font131"/>
    <w:basedOn w:val="136"/>
    <w:qFormat/>
    <w:uiPriority w:val="0"/>
    <w:rPr>
      <w:rFonts w:hint="eastAsia" w:ascii="宋体" w:hAnsi="宋体" w:eastAsia="宋体" w:cs="宋体"/>
      <w:color w:val="000000"/>
      <w:sz w:val="18"/>
      <w:szCs w:val="18"/>
      <w:u w:val="none"/>
    </w:rPr>
  </w:style>
  <w:style w:type="character" w:customStyle="1" w:styleId="1786">
    <w:name w:val="font181"/>
    <w:basedOn w:val="136"/>
    <w:qFormat/>
    <w:uiPriority w:val="0"/>
    <w:rPr>
      <w:rFonts w:hint="default" w:ascii="Arial" w:hAnsi="Arial" w:cs="Arial"/>
      <w:color w:val="000000"/>
      <w:sz w:val="18"/>
      <w:szCs w:val="18"/>
      <w:u w:val="none"/>
    </w:rPr>
  </w:style>
  <w:style w:type="character" w:customStyle="1" w:styleId="1787">
    <w:name w:val="font41"/>
    <w:basedOn w:val="136"/>
    <w:qFormat/>
    <w:uiPriority w:val="0"/>
    <w:rPr>
      <w:rFonts w:hint="eastAsia" w:ascii="仿宋_GB2312" w:eastAsia="仿宋_GB2312" w:cs="仿宋_GB2312"/>
      <w:color w:val="000000"/>
      <w:sz w:val="32"/>
      <w:szCs w:val="32"/>
      <w:u w:val="none"/>
    </w:rPr>
  </w:style>
  <w:style w:type="character" w:customStyle="1" w:styleId="1788">
    <w:name w:val="font51"/>
    <w:basedOn w:val="136"/>
    <w:qFormat/>
    <w:uiPriority w:val="0"/>
    <w:rPr>
      <w:rFonts w:hint="eastAsia" w:ascii="仿宋_GB2312" w:eastAsia="仿宋_GB2312" w:cs="仿宋_GB2312"/>
      <w:color w:val="000000"/>
      <w:sz w:val="32"/>
      <w:szCs w:val="32"/>
      <w:u w:val="none"/>
    </w:rPr>
  </w:style>
  <w:style w:type="character" w:customStyle="1" w:styleId="1789">
    <w:name w:val="font31"/>
    <w:basedOn w:val="136"/>
    <w:qFormat/>
    <w:uiPriority w:val="0"/>
    <w:rPr>
      <w:rFonts w:hint="eastAsia" w:ascii="仿宋_GB2312" w:eastAsia="仿宋_GB2312" w:cs="仿宋_GB2312"/>
      <w:color w:val="000000"/>
      <w:sz w:val="24"/>
      <w:szCs w:val="24"/>
      <w:u w:val="none"/>
    </w:rPr>
  </w:style>
  <w:style w:type="paragraph" w:customStyle="1" w:styleId="1790">
    <w:name w:val="修订5"/>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791">
    <w:name w:val="fontstyle01"/>
    <w:basedOn w:val="136"/>
    <w:qFormat/>
    <w:uiPriority w:val="0"/>
    <w:rPr>
      <w:rFonts w:hint="default" w:ascii="HTJ-PK74820000008-Identity-H" w:hAnsi="HTJ-PK74820000008-Identity-H"/>
      <w:color w:val="000000"/>
      <w:sz w:val="32"/>
      <w:szCs w:val="32"/>
    </w:rPr>
  </w:style>
  <w:style w:type="paragraph" w:customStyle="1" w:styleId="1792">
    <w:name w:val="正文输入"/>
    <w:basedOn w:val="10"/>
    <w:qFormat/>
    <w:uiPriority w:val="0"/>
    <w:pPr>
      <w:spacing w:after="0" w:line="360" w:lineRule="auto"/>
      <w:ind w:firstLine="200" w:firstLineChars="200"/>
    </w:pPr>
    <w:rPr>
      <w:rFonts w:ascii="Calibri" w:hAnsi="Calibri" w:eastAsia="宋体" w:cs="Times New Roman"/>
      <w:sz w:val="24"/>
    </w:rPr>
  </w:style>
  <w:style w:type="paragraph" w:customStyle="1" w:styleId="1793">
    <w:name w:val="修订6"/>
    <w:hidden/>
    <w:unhideWhenUsed/>
    <w:qFormat/>
    <w:uiPriority w:val="99"/>
    <w:rPr>
      <w:rFonts w:eastAsia="仿宋" w:asciiTheme="minorHAnsi" w:hAnsiTheme="minorHAnsi" w:cstheme="minorBidi"/>
      <w:kern w:val="2"/>
      <w:sz w:val="24"/>
      <w:szCs w:val="22"/>
      <w:lang w:val="en-US" w:eastAsia="zh-CN" w:bidi="ar-SA"/>
    </w:rPr>
  </w:style>
  <w:style w:type="character" w:customStyle="1" w:styleId="1794">
    <w:name w:val="未处理的提及7"/>
    <w:basedOn w:val="136"/>
    <w:unhideWhenUsed/>
    <w:qFormat/>
    <w:uiPriority w:val="99"/>
    <w:rPr>
      <w:color w:val="605E5C"/>
      <w:shd w:val="clear" w:color="auto" w:fill="E1DFDD"/>
    </w:rPr>
  </w:style>
  <w:style w:type="paragraph" w:customStyle="1" w:styleId="1795">
    <w:name w:val="修订7"/>
    <w:hidden/>
    <w:unhideWhenUsed/>
    <w:qFormat/>
    <w:uiPriority w:val="99"/>
    <w:rPr>
      <w:rFonts w:eastAsia="仿宋" w:asciiTheme="minorHAnsi" w:hAnsiTheme="minorHAnsi" w:cstheme="minorBidi"/>
      <w:kern w:val="2"/>
      <w:sz w:val="24"/>
      <w:szCs w:val="22"/>
      <w:lang w:val="en-US" w:eastAsia="zh-CN" w:bidi="ar-SA"/>
    </w:rPr>
  </w:style>
  <w:style w:type="paragraph" w:customStyle="1" w:styleId="1796">
    <w:name w:val="font2"/>
    <w:basedOn w:val="1"/>
    <w:qFormat/>
    <w:uiPriority w:val="0"/>
    <w:pPr>
      <w:widowControl/>
      <w:spacing w:before="100" w:beforeAutospacing="1" w:after="100" w:afterAutospacing="1"/>
      <w:jc w:val="left"/>
    </w:pPr>
    <w:rPr>
      <w:rFonts w:ascii="宋体" w:hAnsi="宋体" w:eastAsia="宋体" w:cs="宋体"/>
      <w:b/>
      <w:bCs/>
      <w:color w:val="000000"/>
      <w:kern w:val="0"/>
      <w:sz w:val="22"/>
    </w:rPr>
  </w:style>
  <w:style w:type="paragraph" w:customStyle="1" w:styleId="1797">
    <w:name w:val="et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1798">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799">
    <w:name w:val="et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800">
    <w:name w:val="et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801">
    <w:name w:val="et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802">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24"/>
      <w:szCs w:val="24"/>
    </w:rPr>
  </w:style>
  <w:style w:type="paragraph" w:customStyle="1" w:styleId="1803">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character" w:customStyle="1" w:styleId="1804">
    <w:name w:val="四级标题 字符"/>
    <w:basedOn w:val="681"/>
    <w:link w:val="1209"/>
    <w:qFormat/>
    <w:uiPriority w:val="0"/>
    <w:rPr>
      <w:rFonts w:hint="eastAsia" w:ascii="SimSun-ExtB" w:hAnsi="SimSun-ExtB" w:eastAsia="黑体" w:cs="SimSun-ExtB"/>
      <w:b/>
      <w:snapToGrid/>
      <w:kern w:val="2"/>
      <w:sz w:val="30"/>
      <w:szCs w:val="24"/>
    </w:rPr>
  </w:style>
  <w:style w:type="paragraph" w:customStyle="1" w:styleId="1805">
    <w:name w:val="正文首行缩进 21"/>
    <w:basedOn w:val="13"/>
    <w:qFormat/>
    <w:uiPriority w:val="0"/>
    <w:pPr>
      <w:spacing w:before="100" w:beforeAutospacing="1" w:line="560" w:lineRule="exact"/>
      <w:ind w:firstLine="420"/>
    </w:pPr>
    <w:rPr>
      <w:rFonts w:ascii="Times New Roman" w:hAnsi="Times New Roman" w:eastAsia="微软雅黑" w:cs="Times New Roman"/>
      <w:sz w:val="21"/>
      <w:szCs w:val="21"/>
    </w:rPr>
  </w:style>
  <w:style w:type="paragraph" w:customStyle="1" w:styleId="1806">
    <w:name w:val="正文+内容格式"/>
    <w:basedOn w:val="1"/>
    <w:qFormat/>
    <w:uiPriority w:val="0"/>
    <w:pPr>
      <w:spacing w:line="360" w:lineRule="auto"/>
      <w:ind w:firstLine="200" w:firstLineChars="200"/>
    </w:pPr>
    <w:rPr>
      <w:rFonts w:ascii="Times New Roman" w:hAnsi="Times New Roman" w:eastAsia="宋体" w:cs="Times New Roman"/>
      <w:kern w:val="0"/>
      <w:sz w:val="32"/>
      <w:szCs w:val="20"/>
    </w:rPr>
  </w:style>
  <w:style w:type="paragraph" w:customStyle="1" w:styleId="1807">
    <w:name w:val="00正文"/>
    <w:qFormat/>
    <w:uiPriority w:val="0"/>
    <w:pPr>
      <w:spacing w:line="360" w:lineRule="auto"/>
      <w:ind w:firstLine="200" w:firstLineChars="200"/>
      <w:jc w:val="both"/>
    </w:pPr>
    <w:rPr>
      <w:rFonts w:ascii="宋体" w:hAnsi="宋体" w:eastAsia="宋体" w:cstheme="minorBidi"/>
      <w:sz w:val="24"/>
      <w:szCs w:val="21"/>
      <w:lang w:val="en-US" w:eastAsia="zh-CN" w:bidi="ar-SA"/>
    </w:rPr>
  </w:style>
  <w:style w:type="character" w:styleId="1808">
    <w:name w:val="Placeholder Text"/>
    <w:basedOn w:val="136"/>
    <w:semiHidden/>
    <w:qFormat/>
    <w:uiPriority w:val="99"/>
    <w:rPr>
      <w:color w:val="808080"/>
    </w:rPr>
  </w:style>
  <w:style w:type="paragraph" w:customStyle="1" w:styleId="1809">
    <w:name w:val="Sub Item List"/>
    <w:basedOn w:val="1"/>
    <w:qFormat/>
    <w:uiPriority w:val="0"/>
    <w:pPr>
      <w:numPr>
        <w:ilvl w:val="0"/>
        <w:numId w:val="57"/>
      </w:numPr>
      <w:topLinePunct/>
      <w:spacing w:before="80" w:after="80" w:line="240" w:lineRule="atLeast"/>
      <w:ind w:firstLine="0"/>
    </w:pPr>
    <w:rPr>
      <w:rFonts w:hint="eastAsia" w:ascii="Times New Roman" w:hAnsi="Times New Roman" w:eastAsia="宋体" w:cs="Arial"/>
      <w:szCs w:val="21"/>
    </w:rPr>
  </w:style>
  <w:style w:type="paragraph" w:customStyle="1" w:styleId="1810">
    <w:name w:val="Third Level Item List"/>
    <w:basedOn w:val="1"/>
    <w:qFormat/>
    <w:uiPriority w:val="0"/>
    <w:pPr>
      <w:numPr>
        <w:ilvl w:val="1"/>
        <w:numId w:val="57"/>
      </w:numPr>
      <w:topLinePunct/>
      <w:spacing w:before="80" w:after="80" w:line="240" w:lineRule="atLeast"/>
      <w:ind w:firstLine="0"/>
    </w:pPr>
    <w:rPr>
      <w:rFonts w:hint="eastAsia" w:ascii="Times New Roman" w:hAnsi="Times New Roman" w:eastAsia="宋体" w:cs="Arial"/>
      <w:szCs w:val="21"/>
    </w:rPr>
  </w:style>
  <w:style w:type="paragraph" w:customStyle="1" w:styleId="1811">
    <w:name w:val="Fourth Level Item List"/>
    <w:basedOn w:val="1"/>
    <w:qFormat/>
    <w:uiPriority w:val="0"/>
    <w:pPr>
      <w:numPr>
        <w:ilvl w:val="2"/>
        <w:numId w:val="57"/>
      </w:numPr>
      <w:topLinePunct/>
      <w:spacing w:before="80" w:after="80" w:line="240" w:lineRule="atLeast"/>
      <w:ind w:firstLine="0"/>
    </w:pPr>
    <w:rPr>
      <w:rFonts w:hint="eastAsia" w:ascii="Times New Roman" w:hAnsi="Times New Roman" w:eastAsia="宋体" w:cs="Arial"/>
      <w:szCs w:val="21"/>
    </w:rPr>
  </w:style>
  <w:style w:type="paragraph" w:customStyle="1" w:styleId="1812">
    <w:name w:val="Item List"/>
    <w:qFormat/>
    <w:uiPriority w:val="0"/>
    <w:pPr>
      <w:numPr>
        <w:ilvl w:val="0"/>
        <w:numId w:val="58"/>
      </w:numPr>
      <w:tabs>
        <w:tab w:val="left" w:pos="905"/>
      </w:tabs>
      <w:adjustRightInd w:val="0"/>
      <w:snapToGrid w:val="0"/>
      <w:spacing w:before="80" w:after="80" w:line="240" w:lineRule="atLeast"/>
      <w:ind w:left="905" w:firstLine="100" w:firstLineChars="100"/>
      <w:jc w:val="both"/>
    </w:pPr>
    <w:rPr>
      <w:rFonts w:ascii="Arial Unicode MS" w:hAnsi="Arial Unicode MS" w:eastAsia="宋体" w:cs="Arial Unicode MS"/>
      <w:kern w:val="2"/>
      <w:sz w:val="21"/>
      <w:szCs w:val="21"/>
      <w:lang w:val="en-US" w:eastAsia="zh-CN" w:bidi="ar-SA"/>
    </w:rPr>
  </w:style>
  <w:style w:type="character" w:customStyle="1" w:styleId="1813">
    <w:name w:val="二级目录 Char"/>
    <w:link w:val="1814"/>
    <w:qFormat/>
    <w:uiPriority w:val="0"/>
    <w:rPr>
      <w:b/>
      <w:sz w:val="30"/>
      <w:szCs w:val="28"/>
    </w:rPr>
  </w:style>
  <w:style w:type="paragraph" w:customStyle="1" w:styleId="1814">
    <w:name w:val="二级目录"/>
    <w:next w:val="1"/>
    <w:link w:val="1813"/>
    <w:qFormat/>
    <w:uiPriority w:val="0"/>
    <w:pPr>
      <w:tabs>
        <w:tab w:val="left" w:pos="907"/>
        <w:tab w:val="left" w:pos="1145"/>
      </w:tabs>
      <w:spacing w:before="40" w:after="40" w:line="377" w:lineRule="auto"/>
      <w:ind w:left="907" w:hanging="907" w:firstLineChars="100"/>
      <w:jc w:val="both"/>
      <w:outlineLvl w:val="1"/>
    </w:pPr>
    <w:rPr>
      <w:rFonts w:ascii="Times New Roman" w:hAnsi="Times New Roman" w:eastAsia="宋体" w:cs="Times New Roman"/>
      <w:b/>
      <w:sz w:val="30"/>
      <w:szCs w:val="28"/>
      <w:lang w:val="en-US" w:eastAsia="zh-CN" w:bidi="ar-SA"/>
    </w:rPr>
  </w:style>
  <w:style w:type="character" w:customStyle="1" w:styleId="1815">
    <w:name w:val="font5 Char"/>
    <w:qFormat/>
    <w:uiPriority w:val="0"/>
    <w:rPr>
      <w:rFonts w:ascii="宋体" w:hAnsi="宋体" w:eastAsia="宋体"/>
      <w:sz w:val="28"/>
      <w:szCs w:val="28"/>
      <w:lang w:val="en-US" w:eastAsia="zh-CN" w:bidi="ar-SA"/>
    </w:rPr>
  </w:style>
  <w:style w:type="character" w:customStyle="1" w:styleId="1816">
    <w:name w:val="16"/>
    <w:qFormat/>
    <w:uiPriority w:val="0"/>
    <w:rPr>
      <w:rFonts w:hint="eastAsia" w:ascii="宋体" w:hAnsi="宋体" w:eastAsia="宋体"/>
      <w:color w:val="000000"/>
      <w:sz w:val="22"/>
      <w:szCs w:val="22"/>
    </w:rPr>
  </w:style>
  <w:style w:type="character" w:customStyle="1" w:styleId="1817">
    <w:name w:val="Char Char Char Char Char"/>
    <w:link w:val="1445"/>
    <w:qFormat/>
    <w:uiPriority w:val="0"/>
    <w:rPr>
      <w:rFonts w:ascii="Tahoma" w:hAnsi="Tahoma" w:eastAsia="仿宋"/>
      <w:kern w:val="2"/>
      <w:sz w:val="24"/>
    </w:rPr>
  </w:style>
  <w:style w:type="character" w:customStyle="1" w:styleId="1818">
    <w:name w:val="grame"/>
    <w:basedOn w:val="136"/>
    <w:qFormat/>
    <w:uiPriority w:val="0"/>
  </w:style>
  <w:style w:type="character" w:customStyle="1" w:styleId="1819">
    <w:name w:val="普通正文 Char"/>
    <w:link w:val="503"/>
    <w:qFormat/>
    <w:uiPriority w:val="0"/>
    <w:rPr>
      <w:rFonts w:ascii="Arial" w:hAnsi="Arial" w:cs="宋体"/>
      <w:sz w:val="24"/>
      <w:szCs w:val="24"/>
    </w:rPr>
  </w:style>
  <w:style w:type="paragraph" w:customStyle="1" w:styleId="1820">
    <w:name w:val="me-正文"/>
    <w:basedOn w:val="1"/>
    <w:qFormat/>
    <w:uiPriority w:val="0"/>
    <w:pPr>
      <w:spacing w:before="40" w:after="40" w:line="579" w:lineRule="exact"/>
      <w:ind w:firstLine="200" w:firstLineChars="200"/>
    </w:pPr>
    <w:rPr>
      <w:rFonts w:ascii="Times New Roman" w:hAnsi="Times New Roman" w:eastAsia="方正仿宋_GBK" w:cs="Times New Roman"/>
      <w:sz w:val="32"/>
    </w:rPr>
  </w:style>
  <w:style w:type="paragraph" w:customStyle="1" w:styleId="1821">
    <w:name w:val="l标题3"/>
    <w:next w:val="1822"/>
    <w:qFormat/>
    <w:uiPriority w:val="0"/>
    <w:pPr>
      <w:keepNext/>
      <w:spacing w:before="40" w:beforeLines="50" w:after="40" w:afterLines="50" w:line="360" w:lineRule="auto"/>
      <w:ind w:left="720" w:hanging="720" w:firstLineChars="100"/>
      <w:jc w:val="both"/>
      <w:outlineLvl w:val="2"/>
    </w:pPr>
    <w:rPr>
      <w:rFonts w:ascii="Times New Roman" w:hAnsi="Times New Roman" w:eastAsia="宋体" w:cs="Times New Roman"/>
      <w:b/>
      <w:kern w:val="2"/>
      <w:sz w:val="30"/>
      <w:szCs w:val="30"/>
      <w:lang w:val="en-US" w:eastAsia="zh-CN" w:bidi="ar-SA"/>
    </w:rPr>
  </w:style>
  <w:style w:type="paragraph" w:customStyle="1" w:styleId="1822">
    <w:name w:val="l正文"/>
    <w:qFormat/>
    <w:uiPriority w:val="0"/>
    <w:pPr>
      <w:spacing w:before="40" w:after="40" w:line="360" w:lineRule="auto"/>
      <w:ind w:firstLine="200" w:firstLineChars="200"/>
      <w:jc w:val="both"/>
    </w:pPr>
    <w:rPr>
      <w:rFonts w:ascii="Times New Roman" w:hAnsi="Times New Roman" w:eastAsia="宋体" w:cs="Times New Roman"/>
      <w:kern w:val="2"/>
      <w:sz w:val="22"/>
      <w:szCs w:val="22"/>
      <w:lang w:val="en-US" w:eastAsia="zh-CN" w:bidi="ar-SA"/>
    </w:rPr>
  </w:style>
  <w:style w:type="paragraph" w:customStyle="1" w:styleId="1823">
    <w:name w:val="Char Char Char Char Char Char Char Char1"/>
    <w:basedOn w:val="1"/>
    <w:qFormat/>
    <w:uiPriority w:val="0"/>
    <w:pPr>
      <w:spacing w:before="40" w:after="160" w:line="240" w:lineRule="exact"/>
      <w:jc w:val="left"/>
    </w:pPr>
    <w:rPr>
      <w:rFonts w:ascii="Verdana" w:hAnsi="Verdana" w:eastAsia="宋体" w:cs="Times New Roman"/>
      <w:kern w:val="0"/>
      <w:sz w:val="20"/>
      <w:szCs w:val="20"/>
      <w:lang w:eastAsia="en-US"/>
    </w:rPr>
  </w:style>
  <w:style w:type="paragraph" w:customStyle="1" w:styleId="1824">
    <w:name w:val="xl24"/>
    <w:basedOn w:val="1"/>
    <w:qFormat/>
    <w:uiPriority w:val="0"/>
    <w:pPr>
      <w:pBdr>
        <w:left w:val="single" w:color="auto" w:sz="4" w:space="0"/>
        <w:bottom w:val="single" w:color="auto" w:sz="4" w:space="0"/>
        <w:right w:val="single" w:color="auto" w:sz="4" w:space="0"/>
      </w:pBdr>
      <w:spacing w:before="100" w:beforeAutospacing="1" w:after="100" w:afterAutospacing="1" w:line="377" w:lineRule="auto"/>
      <w:jc w:val="center"/>
      <w:textAlignment w:val="bottom"/>
    </w:pPr>
    <w:rPr>
      <w:rFonts w:ascii="宋体" w:hAnsi="宋体" w:eastAsia="宋体" w:cs="Times New Roman"/>
      <w:kern w:val="0"/>
      <w:sz w:val="24"/>
      <w:szCs w:val="24"/>
    </w:rPr>
  </w:style>
  <w:style w:type="paragraph" w:customStyle="1" w:styleId="1825">
    <w:name w:val="black1"/>
    <w:basedOn w:val="1"/>
    <w:qFormat/>
    <w:uiPriority w:val="0"/>
    <w:pPr>
      <w:spacing w:before="100" w:beforeAutospacing="1" w:after="100" w:afterAutospacing="1" w:line="377" w:lineRule="auto"/>
      <w:jc w:val="left"/>
    </w:pPr>
    <w:rPr>
      <w:rFonts w:ascii="宋体" w:hAnsi="宋体" w:eastAsia="宋体" w:cs="Times New Roman"/>
      <w:kern w:val="0"/>
      <w:sz w:val="24"/>
      <w:szCs w:val="24"/>
    </w:rPr>
  </w:style>
  <w:style w:type="paragraph" w:customStyle="1" w:styleId="1826">
    <w:name w:val="4"/>
    <w:basedOn w:val="1"/>
    <w:next w:val="74"/>
    <w:qFormat/>
    <w:uiPriority w:val="99"/>
    <w:pPr>
      <w:spacing w:before="40" w:after="40" w:line="360" w:lineRule="auto"/>
      <w:ind w:firstLine="420"/>
    </w:pPr>
    <w:rPr>
      <w:rFonts w:ascii="Times New Roman" w:hAnsi="Times New Roman" w:eastAsia="宋体" w:cs="Times New Roman"/>
      <w:color w:val="FF0000"/>
      <w:sz w:val="24"/>
      <w:szCs w:val="24"/>
    </w:rPr>
  </w:style>
  <w:style w:type="paragraph" w:customStyle="1" w:styleId="1827">
    <w:name w:val="Char Char Char Char Char Char Char Char"/>
    <w:basedOn w:val="1"/>
    <w:qFormat/>
    <w:uiPriority w:val="0"/>
    <w:pPr>
      <w:spacing w:before="40" w:after="160" w:line="240" w:lineRule="exact"/>
      <w:jc w:val="left"/>
    </w:pPr>
    <w:rPr>
      <w:rFonts w:ascii="Verdana" w:hAnsi="Verdana" w:eastAsia="宋体" w:cs="Times New Roman"/>
      <w:kern w:val="0"/>
      <w:sz w:val="20"/>
      <w:szCs w:val="20"/>
      <w:lang w:eastAsia="en-US"/>
    </w:rPr>
  </w:style>
  <w:style w:type="paragraph" w:customStyle="1" w:styleId="1828">
    <w:name w:val="Body Text(ch)"/>
    <w:basedOn w:val="1"/>
    <w:next w:val="10"/>
    <w:qFormat/>
    <w:uiPriority w:val="0"/>
    <w:pPr>
      <w:spacing w:before="40" w:after="120" w:line="377" w:lineRule="auto"/>
    </w:pPr>
    <w:rPr>
      <w:rFonts w:ascii="宋体" w:hAnsi="Arial" w:eastAsia="宋体" w:cs="Times New Roman"/>
      <w:bCs/>
      <w:iCs/>
      <w:szCs w:val="24"/>
    </w:rPr>
  </w:style>
  <w:style w:type="paragraph" w:customStyle="1" w:styleId="1829">
    <w:name w:val="table_1stline"/>
    <w:basedOn w:val="1"/>
    <w:qFormat/>
    <w:uiPriority w:val="0"/>
    <w:pPr>
      <w:spacing w:before="120" w:after="40" w:line="377" w:lineRule="auto"/>
      <w:jc w:val="left"/>
    </w:pPr>
    <w:rPr>
      <w:rFonts w:ascii="Times New Roman" w:hAnsi="Times New Roman" w:eastAsia="宋体" w:cs="Times New Roman"/>
      <w:bCs/>
      <w:kern w:val="0"/>
      <w:sz w:val="20"/>
      <w:szCs w:val="20"/>
      <w:lang w:val="de-DE" w:eastAsia="de-DE"/>
    </w:rPr>
  </w:style>
  <w:style w:type="paragraph" w:customStyle="1" w:styleId="1830">
    <w:name w:val="标题 31"/>
    <w:basedOn w:val="1"/>
    <w:next w:val="1"/>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customStyle="1" w:styleId="1831">
    <w:name w:val="普通 (Web)"/>
    <w:basedOn w:val="1"/>
    <w:qFormat/>
    <w:uiPriority w:val="0"/>
    <w:pPr>
      <w:spacing w:before="100" w:beforeAutospacing="1" w:after="100" w:afterAutospacing="1" w:line="377" w:lineRule="auto"/>
      <w:jc w:val="left"/>
    </w:pPr>
    <w:rPr>
      <w:rFonts w:ascii="宋体" w:hAnsi="宋体" w:eastAsia="宋体" w:cs="Times New Roman"/>
      <w:kern w:val="0"/>
      <w:sz w:val="24"/>
      <w:szCs w:val="24"/>
    </w:rPr>
  </w:style>
  <w:style w:type="paragraph" w:customStyle="1" w:styleId="1832">
    <w:name w:val="Char Char Char Char Char Char Char Char Char Char"/>
    <w:basedOn w:val="1"/>
    <w:qFormat/>
    <w:uiPriority w:val="0"/>
    <w:pPr>
      <w:adjustRightInd w:val="0"/>
      <w:spacing w:before="40" w:after="40" w:line="360" w:lineRule="auto"/>
    </w:pPr>
    <w:rPr>
      <w:rFonts w:ascii="Times New Roman" w:hAnsi="Times New Roman" w:eastAsia="宋体" w:cs="Times New Roman"/>
      <w:kern w:val="0"/>
      <w:sz w:val="24"/>
      <w:szCs w:val="20"/>
    </w:rPr>
  </w:style>
  <w:style w:type="paragraph" w:customStyle="1" w:styleId="1833">
    <w:name w:val="table_lines"/>
    <w:basedOn w:val="1"/>
    <w:qFormat/>
    <w:uiPriority w:val="0"/>
    <w:pPr>
      <w:spacing w:before="40" w:after="40" w:line="377" w:lineRule="auto"/>
      <w:jc w:val="left"/>
    </w:pPr>
    <w:rPr>
      <w:rFonts w:ascii="Times New Roman" w:hAnsi="Times New Roman" w:eastAsia="宋体" w:cs="Times New Roman"/>
      <w:kern w:val="0"/>
      <w:sz w:val="20"/>
      <w:szCs w:val="20"/>
      <w:lang w:val="de-DE" w:eastAsia="de-DE"/>
    </w:rPr>
  </w:style>
  <w:style w:type="paragraph" w:customStyle="1" w:styleId="1834">
    <w:name w:val="Char Char Char Char1"/>
    <w:basedOn w:val="33"/>
    <w:qFormat/>
    <w:uiPriority w:val="0"/>
    <w:pPr>
      <w:shd w:val="clear" w:color="auto" w:fill="000080"/>
      <w:adjustRightInd w:val="0"/>
      <w:snapToGrid w:val="0"/>
      <w:spacing w:before="40" w:after="40" w:line="360" w:lineRule="auto"/>
    </w:pPr>
    <w:rPr>
      <w:rFonts w:ascii="Tahoma" w:hAnsi="Tahoma" w:cs="Times New Roman"/>
      <w:sz w:val="24"/>
      <w:szCs w:val="24"/>
    </w:rPr>
  </w:style>
  <w:style w:type="paragraph" w:customStyle="1" w:styleId="1835">
    <w:name w:val="附录1"/>
    <w:qFormat/>
    <w:uiPriority w:val="0"/>
    <w:pPr>
      <w:tabs>
        <w:tab w:val="left" w:pos="907"/>
      </w:tabs>
      <w:snapToGrid w:val="0"/>
      <w:spacing w:before="240" w:after="40" w:line="600" w:lineRule="atLeast"/>
      <w:ind w:left="907" w:hanging="907" w:firstLineChars="100"/>
      <w:jc w:val="both"/>
    </w:pPr>
    <w:rPr>
      <w:rFonts w:ascii="Times New Roman" w:hAnsi="Times New Roman" w:eastAsia="宋体" w:cs="Times New Roman"/>
      <w:b/>
      <w:i/>
      <w:sz w:val="28"/>
      <w:lang w:val="en-US" w:eastAsia="zh-CN" w:bidi="ar-SA"/>
    </w:rPr>
  </w:style>
  <w:style w:type="paragraph" w:customStyle="1" w:styleId="1836">
    <w:name w:val="图标"/>
    <w:basedOn w:val="1"/>
    <w:next w:val="1"/>
    <w:qFormat/>
    <w:uiPriority w:val="0"/>
    <w:pPr>
      <w:tabs>
        <w:tab w:val="left" w:pos="567"/>
        <w:tab w:val="left" w:pos="840"/>
      </w:tabs>
      <w:autoSpaceDE w:val="0"/>
      <w:autoSpaceDN w:val="0"/>
      <w:adjustRightInd w:val="0"/>
      <w:spacing w:before="120" w:after="120" w:line="320" w:lineRule="atLeast"/>
      <w:ind w:left="840" w:hanging="420"/>
      <w:jc w:val="center"/>
      <w:textAlignment w:val="baseline"/>
    </w:pPr>
    <w:rPr>
      <w:rFonts w:ascii="Times New Roman" w:hAnsi="Times New Roman" w:eastAsia="仿宋_GB2312" w:cs="Times New Roman"/>
      <w:kern w:val="0"/>
      <w:sz w:val="24"/>
      <w:szCs w:val="20"/>
    </w:rPr>
  </w:style>
  <w:style w:type="character" w:customStyle="1" w:styleId="1837">
    <w:name w:val="正文缩进 Char1"/>
    <w:link w:val="1838"/>
    <w:qFormat/>
    <w:uiPriority w:val="0"/>
    <w:rPr>
      <w:rFonts w:ascii="宋体"/>
      <w:sz w:val="24"/>
    </w:rPr>
  </w:style>
  <w:style w:type="paragraph" w:customStyle="1" w:styleId="1838">
    <w:name w:val="正文缩进1"/>
    <w:basedOn w:val="1"/>
    <w:link w:val="1837"/>
    <w:qFormat/>
    <w:uiPriority w:val="0"/>
    <w:pPr>
      <w:autoSpaceDE w:val="0"/>
      <w:autoSpaceDN w:val="0"/>
      <w:adjustRightInd w:val="0"/>
      <w:spacing w:before="40" w:after="40" w:line="377" w:lineRule="auto"/>
      <w:ind w:firstLine="420"/>
      <w:jc w:val="left"/>
    </w:pPr>
    <w:rPr>
      <w:rFonts w:ascii="宋体" w:hAnsi="Times New Roman" w:eastAsia="宋体" w:cs="Times New Roman"/>
      <w:kern w:val="0"/>
      <w:sz w:val="24"/>
      <w:szCs w:val="20"/>
    </w:rPr>
  </w:style>
  <w:style w:type="character" w:customStyle="1" w:styleId="1839">
    <w:name w:val="Char Char3"/>
    <w:qFormat/>
    <w:uiPriority w:val="0"/>
    <w:rPr>
      <w:sz w:val="18"/>
      <w:szCs w:val="18"/>
    </w:rPr>
  </w:style>
  <w:style w:type="character" w:customStyle="1" w:styleId="1840">
    <w:name w:val="浅色网格 - 强调文字颜色 3 Char"/>
    <w:link w:val="1841"/>
    <w:qFormat/>
    <w:locked/>
    <w:uiPriority w:val="99"/>
    <w:rPr>
      <w:rFonts w:ascii="宋体" w:cs="宋体"/>
      <w:sz w:val="24"/>
      <w:szCs w:val="24"/>
    </w:rPr>
  </w:style>
  <w:style w:type="paragraph" w:customStyle="1" w:styleId="1841">
    <w:name w:val="浅色网格 - 强调文字颜色 31"/>
    <w:basedOn w:val="1"/>
    <w:link w:val="1840"/>
    <w:qFormat/>
    <w:uiPriority w:val="99"/>
    <w:pPr>
      <w:spacing w:before="40" w:after="40" w:line="377" w:lineRule="auto"/>
      <w:ind w:firstLine="420" w:firstLineChars="200"/>
    </w:pPr>
    <w:rPr>
      <w:rFonts w:ascii="宋体" w:hAnsi="Times New Roman" w:eastAsia="宋体" w:cs="宋体"/>
      <w:kern w:val="0"/>
      <w:sz w:val="24"/>
      <w:szCs w:val="24"/>
    </w:rPr>
  </w:style>
  <w:style w:type="character" w:customStyle="1" w:styleId="1842">
    <w:name w:val="Char Char4"/>
    <w:qFormat/>
    <w:uiPriority w:val="0"/>
    <w:rPr>
      <w:rFonts w:ascii="Times New Roman" w:hAnsi="Times New Roman" w:eastAsia="宋体" w:cs="Times New Roman"/>
      <w:sz w:val="36"/>
      <w:szCs w:val="24"/>
    </w:rPr>
  </w:style>
  <w:style w:type="character" w:customStyle="1" w:styleId="1843">
    <w:name w:val="Char Char9"/>
    <w:qFormat/>
    <w:uiPriority w:val="0"/>
    <w:rPr>
      <w:rFonts w:ascii="宋体" w:hAnsi="Courier New" w:eastAsia="宋体" w:cs="Courier New"/>
      <w:sz w:val="21"/>
      <w:szCs w:val="21"/>
    </w:rPr>
  </w:style>
  <w:style w:type="character" w:customStyle="1" w:styleId="1844">
    <w:name w:val="Char Char1"/>
    <w:qFormat/>
    <w:uiPriority w:val="0"/>
    <w:rPr>
      <w:rFonts w:ascii="Times New Roman" w:hAnsi="Times New Roman" w:eastAsia="宋体" w:cs="Times New Roman"/>
      <w:sz w:val="18"/>
      <w:szCs w:val="18"/>
    </w:rPr>
  </w:style>
  <w:style w:type="paragraph" w:customStyle="1" w:styleId="1845">
    <w:name w:val="reader-word-layer reader-word-s1-6"/>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46">
    <w:name w:val="reader-word-layer reader-word-s2-1"/>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47">
    <w:name w:val="msonormalcxspmiddle"/>
    <w:basedOn w:val="1"/>
    <w:qFormat/>
    <w:uiPriority w:val="0"/>
    <w:pPr>
      <w:spacing w:before="100" w:beforeAutospacing="1" w:after="100" w:afterAutospacing="1" w:line="377" w:lineRule="auto"/>
      <w:jc w:val="left"/>
    </w:pPr>
    <w:rPr>
      <w:rFonts w:ascii="宋体" w:hAnsi="宋体" w:eastAsia="宋体" w:cs="Times New Roman"/>
      <w:color w:val="000000"/>
      <w:kern w:val="0"/>
      <w:sz w:val="24"/>
      <w:szCs w:val="24"/>
    </w:rPr>
  </w:style>
  <w:style w:type="paragraph" w:customStyle="1" w:styleId="1848">
    <w:name w:val="reader-word-layer reader-word-s2-2"/>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49">
    <w:name w:val="reader-word-layer reader-word-s1-5"/>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0">
    <w:name w:val="reader-word-layer reader-word-s1-4"/>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1">
    <w:name w:val="六级标题"/>
    <w:basedOn w:val="16"/>
    <w:link w:val="1865"/>
    <w:qFormat/>
    <w:uiPriority w:val="99"/>
    <w:pPr>
      <w:numPr>
        <w:ilvl w:val="0"/>
        <w:numId w:val="59"/>
      </w:numPr>
      <w:tabs>
        <w:tab w:val="left" w:pos="0"/>
        <w:tab w:val="left" w:pos="732"/>
      </w:tabs>
      <w:spacing w:before="0" w:after="0" w:line="560" w:lineRule="exact"/>
      <w:ind w:right="320"/>
    </w:pPr>
    <w:rPr>
      <w:rFonts w:ascii="Times New Roman" w:hAnsi="Times New Roman" w:eastAsia="仿宋" w:cs="Calibri"/>
      <w:b w:val="0"/>
      <w:color w:val="000000"/>
      <w:kern w:val="0"/>
      <w:sz w:val="32"/>
      <w:szCs w:val="21"/>
    </w:rPr>
  </w:style>
  <w:style w:type="paragraph" w:customStyle="1" w:styleId="1852">
    <w:name w:val="msonormalcxsplast"/>
    <w:basedOn w:val="1"/>
    <w:qFormat/>
    <w:uiPriority w:val="0"/>
    <w:pPr>
      <w:spacing w:before="100" w:beforeAutospacing="1" w:after="100" w:afterAutospacing="1" w:line="377" w:lineRule="auto"/>
      <w:jc w:val="left"/>
    </w:pPr>
    <w:rPr>
      <w:rFonts w:ascii="宋体" w:hAnsi="宋体" w:eastAsia="宋体" w:cs="Times New Roman"/>
      <w:color w:val="000000"/>
      <w:kern w:val="0"/>
      <w:sz w:val="24"/>
      <w:szCs w:val="24"/>
    </w:rPr>
  </w:style>
  <w:style w:type="paragraph" w:customStyle="1" w:styleId="1853">
    <w:name w:val="reader-word-layer reader-word-s1-7"/>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4">
    <w:name w:val="列表段落2"/>
    <w:basedOn w:val="1"/>
    <w:qFormat/>
    <w:uiPriority w:val="0"/>
    <w:pPr>
      <w:spacing w:before="40" w:after="40" w:line="377" w:lineRule="auto"/>
      <w:ind w:firstLine="420" w:firstLineChars="200"/>
    </w:pPr>
    <w:rPr>
      <w:rFonts w:ascii="Calibri" w:hAnsi="Calibri" w:eastAsia="宋体" w:cs="Times New Roman"/>
    </w:rPr>
  </w:style>
  <w:style w:type="paragraph" w:customStyle="1" w:styleId="1855">
    <w:name w:val="reader-word-layer reader-word-s1-2"/>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6">
    <w:name w:val="章节标题"/>
    <w:basedOn w:val="4"/>
    <w:link w:val="1858"/>
    <w:qFormat/>
    <w:uiPriority w:val="0"/>
    <w:pPr>
      <w:widowControl/>
      <w:tabs>
        <w:tab w:val="left" w:pos="0"/>
      </w:tabs>
      <w:adjustRightInd w:val="0"/>
      <w:snapToGrid w:val="0"/>
      <w:spacing w:before="0" w:after="0" w:line="360" w:lineRule="auto"/>
      <w:ind w:left="100" w:right="100" w:firstLine="42"/>
    </w:pPr>
    <w:rPr>
      <w:rFonts w:ascii="方正小标宋_GBK" w:hAnsi="方正小标宋_GBK" w:eastAsia="方正小标宋_GBK" w:cs="方正仿宋_GB2312"/>
      <w:b w:val="0"/>
      <w:bCs w:val="0"/>
      <w:sz w:val="48"/>
    </w:rPr>
  </w:style>
  <w:style w:type="character" w:customStyle="1" w:styleId="1857">
    <w:name w:val="一级标题 字符"/>
    <w:basedOn w:val="156"/>
    <w:link w:val="617"/>
    <w:qFormat/>
    <w:uiPriority w:val="0"/>
    <w:rPr>
      <w:rFonts w:ascii="宋体" w:hAnsi="宋体" w:cstheme="majorBidi"/>
      <w:bCs w:val="0"/>
      <w:kern w:val="32"/>
      <w:sz w:val="32"/>
      <w:szCs w:val="30"/>
    </w:rPr>
  </w:style>
  <w:style w:type="character" w:customStyle="1" w:styleId="1858">
    <w:name w:val="章节标题 字符"/>
    <w:basedOn w:val="154"/>
    <w:link w:val="1856"/>
    <w:qFormat/>
    <w:uiPriority w:val="0"/>
    <w:rPr>
      <w:rFonts w:ascii="方正小标宋_GBK" w:hAnsi="方正小标宋_GBK" w:eastAsia="方正小标宋_GBK" w:cs="方正仿宋_GB2312"/>
      <w:b w:val="0"/>
      <w:bCs w:val="0"/>
      <w:kern w:val="44"/>
      <w:sz w:val="48"/>
      <w:szCs w:val="32"/>
    </w:rPr>
  </w:style>
  <w:style w:type="paragraph" w:customStyle="1" w:styleId="1859">
    <w:name w:val="二级标题"/>
    <w:basedOn w:val="7"/>
    <w:link w:val="1861"/>
    <w:qFormat/>
    <w:uiPriority w:val="0"/>
    <w:pPr>
      <w:numPr>
        <w:ilvl w:val="0"/>
        <w:numId w:val="60"/>
      </w:numPr>
      <w:adjustRightInd w:val="0"/>
      <w:snapToGrid w:val="0"/>
      <w:spacing w:before="156" w:beforeLines="50" w:after="156" w:afterLines="50" w:line="560" w:lineRule="exact"/>
    </w:pPr>
    <w:rPr>
      <w:rFonts w:ascii="宋体" w:hAnsi="宋体" w:eastAsia="楷体" w:cs="方正仿宋_GB2312"/>
      <w:sz w:val="36"/>
      <w:szCs w:val="32"/>
    </w:rPr>
  </w:style>
  <w:style w:type="paragraph" w:customStyle="1" w:styleId="1860">
    <w:name w:val="三级标题"/>
    <w:basedOn w:val="8"/>
    <w:link w:val="1862"/>
    <w:qFormat/>
    <w:uiPriority w:val="0"/>
    <w:pPr>
      <w:keepNext w:val="0"/>
      <w:keepLines w:val="0"/>
      <w:numPr>
        <w:ilvl w:val="0"/>
        <w:numId w:val="61"/>
      </w:numPr>
      <w:spacing w:before="156" w:beforeLines="50" w:after="156" w:afterLines="50" w:line="560" w:lineRule="exact"/>
    </w:pPr>
    <w:rPr>
      <w:rFonts w:eastAsia="楷体"/>
      <w:b w:val="0"/>
      <w:bCs w:val="0"/>
      <w:sz w:val="32"/>
    </w:rPr>
  </w:style>
  <w:style w:type="character" w:customStyle="1" w:styleId="1861">
    <w:name w:val="二级标题 字符"/>
    <w:basedOn w:val="157"/>
    <w:link w:val="1859"/>
    <w:qFormat/>
    <w:uiPriority w:val="0"/>
    <w:rPr>
      <w:rFonts w:ascii="宋体" w:hAnsi="宋体" w:eastAsia="楷体" w:cs="方正仿宋_GB2312"/>
      <w:kern w:val="2"/>
      <w:sz w:val="36"/>
      <w:szCs w:val="32"/>
    </w:rPr>
  </w:style>
  <w:style w:type="character" w:customStyle="1" w:styleId="1862">
    <w:name w:val="三级标题 字符"/>
    <w:basedOn w:val="158"/>
    <w:link w:val="1860"/>
    <w:qFormat/>
    <w:uiPriority w:val="0"/>
    <w:rPr>
      <w:rFonts w:ascii="宋体" w:hAnsi="宋体" w:eastAsia="楷体" w:cstheme="majorBidi"/>
      <w:b w:val="0"/>
      <w:bCs w:val="0"/>
      <w:kern w:val="2"/>
      <w:sz w:val="32"/>
      <w:szCs w:val="24"/>
    </w:rPr>
  </w:style>
  <w:style w:type="paragraph" w:customStyle="1" w:styleId="1863">
    <w:name w:val="五级标题"/>
    <w:basedOn w:val="15"/>
    <w:link w:val="1864"/>
    <w:qFormat/>
    <w:uiPriority w:val="0"/>
    <w:pPr>
      <w:numPr>
        <w:ilvl w:val="0"/>
        <w:numId w:val="62"/>
      </w:numPr>
      <w:snapToGrid w:val="0"/>
      <w:spacing w:before="156" w:beforeLines="50" w:after="156" w:afterLines="50" w:line="440" w:lineRule="exact"/>
      <w:contextualSpacing/>
    </w:pPr>
    <w:rPr>
      <w:rFonts w:ascii="Arial" w:hAnsi="Arial" w:eastAsia="楷体" w:cs="微软雅黑"/>
      <w:b w:val="0"/>
      <w:kern w:val="0"/>
      <w:szCs w:val="21"/>
    </w:rPr>
  </w:style>
  <w:style w:type="character" w:customStyle="1" w:styleId="1864">
    <w:name w:val="五级标题 字符"/>
    <w:basedOn w:val="751"/>
    <w:link w:val="1863"/>
    <w:qFormat/>
    <w:uiPriority w:val="0"/>
    <w:rPr>
      <w:rFonts w:hint="default" w:ascii="Arial" w:hAnsi="Arial" w:eastAsia="楷体" w:cs="微软雅黑"/>
      <w:b w:val="0"/>
      <w:bCs/>
      <w:snapToGrid/>
      <w:sz w:val="32"/>
      <w:szCs w:val="21"/>
    </w:rPr>
  </w:style>
  <w:style w:type="character" w:customStyle="1" w:styleId="1865">
    <w:name w:val="六级标题 字符"/>
    <w:basedOn w:val="136"/>
    <w:link w:val="1851"/>
    <w:qFormat/>
    <w:uiPriority w:val="99"/>
    <w:rPr>
      <w:rFonts w:eastAsia="仿宋" w:cs="Calibri"/>
      <w:bCs/>
      <w:color w:val="000000"/>
      <w:sz w:val="32"/>
      <w:szCs w:val="21"/>
    </w:rPr>
  </w:style>
  <w:style w:type="character" w:customStyle="1" w:styleId="1866">
    <w:name w:val="小四 Char"/>
    <w:link w:val="1867"/>
    <w:qFormat/>
    <w:uiPriority w:val="0"/>
    <w:rPr>
      <w:rFonts w:eastAsia="仿宋_GB2312" w:cs="宋体"/>
      <w:sz w:val="24"/>
    </w:rPr>
  </w:style>
  <w:style w:type="paragraph" w:customStyle="1" w:styleId="1867">
    <w:name w:val="小四"/>
    <w:basedOn w:val="1"/>
    <w:link w:val="1866"/>
    <w:qFormat/>
    <w:uiPriority w:val="0"/>
    <w:pPr>
      <w:spacing w:line="360" w:lineRule="auto"/>
      <w:jc w:val="center"/>
    </w:pPr>
    <w:rPr>
      <w:rFonts w:ascii="Times New Roman" w:hAnsi="Times New Roman" w:eastAsia="仿宋_GB2312" w:cs="宋体"/>
      <w:kern w:val="0"/>
      <w:sz w:val="24"/>
      <w:szCs w:val="20"/>
    </w:rPr>
  </w:style>
  <w:style w:type="paragraph" w:customStyle="1" w:styleId="1868">
    <w:name w:val="尾注文本1"/>
    <w:basedOn w:val="1"/>
    <w:next w:val="56"/>
    <w:qFormat/>
    <w:uiPriority w:val="99"/>
    <w:pPr>
      <w:snapToGrid w:val="0"/>
      <w:spacing w:beforeLines="40" w:afterLines="40" w:line="300" w:lineRule="auto"/>
      <w:ind w:firstLine="420"/>
      <w:jc w:val="left"/>
    </w:pPr>
    <w:rPr>
      <w:rFonts w:ascii="Calibri" w:hAnsi="Calibri" w:eastAsia="宋体" w:cs="Times New Roman"/>
      <w:sz w:val="24"/>
      <w:szCs w:val="24"/>
    </w:rPr>
  </w:style>
  <w:style w:type="character" w:customStyle="1" w:styleId="1869">
    <w:name w:val="尾注文本 字符2"/>
    <w:basedOn w:val="136"/>
    <w:semiHidden/>
    <w:qFormat/>
    <w:uiPriority w:val="99"/>
  </w:style>
  <w:style w:type="character" w:customStyle="1" w:styleId="1870">
    <w:name w:val="正文文本缩进 2 字符1"/>
    <w:basedOn w:val="136"/>
    <w:qFormat/>
    <w:uiPriority w:val="99"/>
  </w:style>
  <w:style w:type="paragraph" w:customStyle="1" w:styleId="1871">
    <w:name w:val="称呼1"/>
    <w:basedOn w:val="1"/>
    <w:next w:val="1"/>
    <w:qFormat/>
    <w:uiPriority w:val="0"/>
    <w:pPr>
      <w:spacing w:line="360" w:lineRule="auto"/>
    </w:pPr>
    <w:rPr>
      <w:rFonts w:ascii="Calibri" w:hAnsi="Calibri" w:eastAsia="宋体" w:cs="Times New Roman"/>
    </w:rPr>
  </w:style>
  <w:style w:type="paragraph" w:customStyle="1" w:styleId="1872">
    <w:name w:val="签名1"/>
    <w:basedOn w:val="1"/>
    <w:next w:val="62"/>
    <w:qFormat/>
    <w:uiPriority w:val="0"/>
    <w:pPr>
      <w:spacing w:line="360" w:lineRule="auto"/>
      <w:ind w:left="100" w:leftChars="2100"/>
    </w:pPr>
    <w:rPr>
      <w:rFonts w:ascii="Calibri" w:hAnsi="Calibri" w:eastAsia="宋体" w:cs="Times New Roman"/>
    </w:rPr>
  </w:style>
  <w:style w:type="paragraph" w:customStyle="1" w:styleId="1873">
    <w:name w:val="结束语1"/>
    <w:basedOn w:val="1"/>
    <w:next w:val="39"/>
    <w:qFormat/>
    <w:uiPriority w:val="0"/>
    <w:pPr>
      <w:spacing w:line="360" w:lineRule="auto"/>
      <w:ind w:left="100" w:leftChars="2100"/>
    </w:pPr>
    <w:rPr>
      <w:rFonts w:ascii="Calibri" w:hAnsi="Calibri" w:eastAsia="宋体" w:cs="Times New Roman"/>
    </w:rPr>
  </w:style>
  <w:style w:type="paragraph" w:customStyle="1" w:styleId="1874">
    <w:name w:val="副标题1"/>
    <w:basedOn w:val="1"/>
    <w:next w:val="68"/>
    <w:qFormat/>
    <w:uiPriority w:val="0"/>
    <w:pPr>
      <w:spacing w:before="240" w:after="60" w:line="312" w:lineRule="auto"/>
      <w:jc w:val="center"/>
      <w:outlineLvl w:val="1"/>
    </w:pPr>
    <w:rPr>
      <w:rFonts w:ascii="Arial" w:hAnsi="Arial" w:eastAsia="宋体" w:cs="Arial"/>
      <w:b/>
      <w:bCs/>
      <w:kern w:val="28"/>
      <w:sz w:val="32"/>
      <w:szCs w:val="32"/>
    </w:rPr>
  </w:style>
  <w:style w:type="paragraph" w:customStyle="1" w:styleId="1875">
    <w:name w:val="注释标题1"/>
    <w:basedOn w:val="1"/>
    <w:next w:val="1"/>
    <w:qFormat/>
    <w:uiPriority w:val="0"/>
    <w:pPr>
      <w:spacing w:line="360" w:lineRule="auto"/>
      <w:jc w:val="center"/>
    </w:pPr>
    <w:rPr>
      <w:rFonts w:ascii="Calibri" w:hAnsi="Calibri" w:eastAsia="宋体" w:cs="Times New Roman"/>
    </w:rPr>
  </w:style>
  <w:style w:type="paragraph" w:customStyle="1" w:styleId="1876">
    <w:name w:val="HTML 地址1"/>
    <w:basedOn w:val="1"/>
    <w:next w:val="46"/>
    <w:qFormat/>
    <w:uiPriority w:val="0"/>
    <w:pPr>
      <w:spacing w:line="360" w:lineRule="auto"/>
    </w:pPr>
    <w:rPr>
      <w:rFonts w:ascii="Calibri" w:hAnsi="Calibri" w:eastAsia="宋体" w:cs="Times New Roman"/>
      <w:i/>
      <w:iCs/>
    </w:rPr>
  </w:style>
  <w:style w:type="character" w:customStyle="1" w:styleId="1877">
    <w:name w:val="HTML 地址 字符1"/>
    <w:basedOn w:val="136"/>
    <w:semiHidden/>
    <w:qFormat/>
    <w:uiPriority w:val="0"/>
    <w:rPr>
      <w:i/>
      <w:iCs/>
    </w:rPr>
  </w:style>
  <w:style w:type="paragraph" w:customStyle="1" w:styleId="1878">
    <w:name w:val="脚注文本1"/>
    <w:basedOn w:val="1"/>
    <w:next w:val="71"/>
    <w:qFormat/>
    <w:uiPriority w:val="99"/>
    <w:pPr>
      <w:snapToGrid w:val="0"/>
      <w:spacing w:beforeLines="40" w:afterLines="40" w:line="300" w:lineRule="auto"/>
      <w:ind w:firstLine="420"/>
      <w:jc w:val="left"/>
    </w:pPr>
    <w:rPr>
      <w:rFonts w:ascii="Calibri" w:hAnsi="Calibri" w:eastAsia="宋体" w:cs="Times New Roman"/>
      <w:sz w:val="18"/>
      <w:szCs w:val="18"/>
    </w:rPr>
  </w:style>
  <w:style w:type="character" w:customStyle="1" w:styleId="1879">
    <w:name w:val="脚注文本 字符2"/>
    <w:basedOn w:val="136"/>
    <w:semiHidden/>
    <w:qFormat/>
    <w:uiPriority w:val="99"/>
    <w:rPr>
      <w:sz w:val="18"/>
      <w:szCs w:val="18"/>
    </w:rPr>
  </w:style>
  <w:style w:type="paragraph" w:customStyle="1" w:styleId="1880">
    <w:name w:val="信息标题1"/>
    <w:basedOn w:val="1"/>
    <w:next w:val="83"/>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宋体" w:cs="Arial"/>
      <w:sz w:val="24"/>
      <w:szCs w:val="24"/>
    </w:rPr>
  </w:style>
  <w:style w:type="paragraph" w:customStyle="1" w:styleId="1881">
    <w:name w:val="电子邮件签名1"/>
    <w:basedOn w:val="1"/>
    <w:next w:val="26"/>
    <w:qFormat/>
    <w:uiPriority w:val="0"/>
    <w:pPr>
      <w:spacing w:line="360" w:lineRule="auto"/>
    </w:pPr>
    <w:rPr>
      <w:rFonts w:ascii="Calibri" w:hAnsi="Calibri" w:eastAsia="宋体" w:cs="Times New Roman"/>
    </w:rPr>
  </w:style>
  <w:style w:type="paragraph" w:customStyle="1" w:styleId="1882">
    <w:name w:val="宏文本1"/>
    <w:next w:val="3"/>
    <w:link w:val="31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40" w:afterLines="40"/>
      <w:ind w:firstLine="420"/>
    </w:pPr>
    <w:rPr>
      <w:rFonts w:ascii="Courier New" w:hAnsi="Courier New" w:cs="Courier New" w:eastAsiaTheme="minorEastAsia"/>
      <w:kern w:val="2"/>
      <w:sz w:val="24"/>
      <w:szCs w:val="24"/>
      <w:lang w:val="en-US" w:eastAsia="zh-CN" w:bidi="ar-SA"/>
    </w:rPr>
  </w:style>
  <w:style w:type="character" w:customStyle="1" w:styleId="1883">
    <w:name w:val="宏文本 字符2"/>
    <w:basedOn w:val="136"/>
    <w:semiHidden/>
    <w:qFormat/>
    <w:uiPriority w:val="0"/>
    <w:rPr>
      <w:rFonts w:ascii="Courier New" w:hAnsi="Courier New" w:eastAsia="宋体" w:cs="Courier New"/>
      <w:sz w:val="24"/>
      <w:szCs w:val="24"/>
    </w:rPr>
  </w:style>
  <w:style w:type="character" w:customStyle="1" w:styleId="1884">
    <w:name w:val="正文文本缩进 3 字符1"/>
    <w:basedOn w:val="136"/>
    <w:qFormat/>
    <w:uiPriority w:val="99"/>
    <w:rPr>
      <w:sz w:val="16"/>
      <w:szCs w:val="16"/>
    </w:rPr>
  </w:style>
  <w:style w:type="paragraph" w:customStyle="1" w:styleId="1885">
    <w:name w:val="HTML 预设格式1"/>
    <w:basedOn w:val="1"/>
    <w:next w:val="84"/>
    <w:qFormat/>
    <w:uiPriority w:val="0"/>
    <w:pPr>
      <w:spacing w:line="360" w:lineRule="auto"/>
    </w:pPr>
    <w:rPr>
      <w:rFonts w:ascii="Courier New" w:hAnsi="Courier New" w:eastAsia="宋体" w:cs="Courier New"/>
      <w:szCs w:val="21"/>
    </w:rPr>
  </w:style>
  <w:style w:type="paragraph" w:customStyle="1" w:styleId="1886">
    <w:name w:val="TOC 标题3"/>
    <w:basedOn w:val="4"/>
    <w:next w:val="1"/>
    <w:qFormat/>
    <w:uiPriority w:val="0"/>
    <w:pPr>
      <w:widowControl/>
      <w:tabs>
        <w:tab w:val="left" w:pos="357"/>
      </w:tabs>
      <w:spacing w:before="480" w:after="0" w:line="276" w:lineRule="auto"/>
      <w:jc w:val="left"/>
      <w:outlineLvl w:val="9"/>
    </w:pPr>
    <w:rPr>
      <w:rFonts w:ascii="Cambria" w:hAnsi="Cambria" w:cs="Times New Roman"/>
      <w:color w:val="365F91"/>
      <w:kern w:val="0"/>
      <w:sz w:val="28"/>
      <w:szCs w:val="28"/>
    </w:rPr>
  </w:style>
  <w:style w:type="paragraph" w:customStyle="1" w:styleId="1887">
    <w:name w:val="样式2"/>
    <w:basedOn w:val="1"/>
    <w:qFormat/>
    <w:uiPriority w:val="0"/>
    <w:pPr>
      <w:spacing w:line="360" w:lineRule="auto"/>
      <w:ind w:left="851" w:hanging="567"/>
      <w:outlineLvl w:val="0"/>
    </w:pPr>
    <w:rPr>
      <w:rFonts w:ascii="宋体" w:hAnsi="宋体" w:eastAsia="仿宋" w:cs="Times New Roman"/>
      <w:sz w:val="24"/>
      <w:szCs w:val="21"/>
    </w:rPr>
  </w:style>
  <w:style w:type="table" w:customStyle="1" w:styleId="1888">
    <w:name w:val="Table Normal1"/>
    <w:semiHidden/>
    <w:unhideWhenUsed/>
    <w:qFormat/>
    <w:uiPriority w:val="2"/>
    <w:pPr>
      <w:widowControl w:val="0"/>
      <w:autoSpaceDE w:val="0"/>
      <w:autoSpaceDN w:val="0"/>
    </w:pPr>
    <w:rPr>
      <w:rFonts w:asciiTheme="minorHAnsi" w:hAnsiTheme="minorHAnsi" w:eastAsiaTheme="minorEastAsia" w:cstheme="minorBidi"/>
      <w:sz w:val="22"/>
      <w:lang w:eastAsia="en-US"/>
    </w:rPr>
    <w:tblPr>
      <w:tblCellMar>
        <w:top w:w="0" w:type="dxa"/>
        <w:left w:w="0" w:type="dxa"/>
        <w:bottom w:w="0" w:type="dxa"/>
        <w:right w:w="0" w:type="dxa"/>
      </w:tblCellMar>
    </w:tblPr>
  </w:style>
  <w:style w:type="paragraph" w:customStyle="1" w:styleId="1889">
    <w:name w:val="标题 21"/>
    <w:basedOn w:val="1"/>
    <w:qFormat/>
    <w:uiPriority w:val="0"/>
    <w:pPr>
      <w:autoSpaceDE w:val="0"/>
      <w:autoSpaceDN w:val="0"/>
      <w:spacing w:before="32"/>
      <w:jc w:val="center"/>
      <w:outlineLvl w:val="2"/>
    </w:pPr>
    <w:rPr>
      <w:rFonts w:ascii="Arial Unicode MS" w:hAnsi="Arial Unicode MS" w:eastAsia="Arial Unicode MS" w:cs="Arial Unicode MS"/>
      <w:kern w:val="0"/>
      <w:sz w:val="44"/>
      <w:szCs w:val="44"/>
      <w:lang w:val="zh-CN" w:bidi="zh-CN"/>
    </w:rPr>
  </w:style>
  <w:style w:type="paragraph" w:customStyle="1" w:styleId="1890">
    <w:name w:val="BodyText1I2"/>
    <w:basedOn w:val="1891"/>
    <w:next w:val="1893"/>
    <w:qFormat/>
    <w:uiPriority w:val="0"/>
    <w:pPr>
      <w:ind w:firstLine="420" w:firstLineChars="200"/>
    </w:pPr>
  </w:style>
  <w:style w:type="paragraph" w:customStyle="1" w:styleId="1891">
    <w:name w:val="BodyTextIndent"/>
    <w:basedOn w:val="1"/>
    <w:next w:val="1892"/>
    <w:qFormat/>
    <w:uiPriority w:val="0"/>
    <w:pPr>
      <w:spacing w:after="120"/>
      <w:ind w:left="420" w:leftChars="200"/>
      <w:textAlignment w:val="baseline"/>
    </w:pPr>
    <w:rPr>
      <w:rFonts w:ascii="Calibri" w:hAnsi="Calibri" w:eastAsia="宋体" w:cs="Times New Roman"/>
      <w:szCs w:val="24"/>
    </w:rPr>
  </w:style>
  <w:style w:type="paragraph" w:customStyle="1" w:styleId="1892">
    <w:name w:val="NormalIndent"/>
    <w:basedOn w:val="1"/>
    <w:qFormat/>
    <w:uiPriority w:val="0"/>
    <w:pPr>
      <w:ind w:firstLine="420" w:firstLineChars="200"/>
      <w:textAlignment w:val="baseline"/>
    </w:pPr>
    <w:rPr>
      <w:rFonts w:ascii="Calibri" w:hAnsi="Calibri" w:eastAsia="仿宋" w:cs="Times New Roman"/>
      <w:sz w:val="32"/>
      <w:szCs w:val="24"/>
    </w:rPr>
  </w:style>
  <w:style w:type="paragraph" w:customStyle="1" w:styleId="1893">
    <w:name w:val="BodyText1I"/>
    <w:basedOn w:val="1894"/>
    <w:qFormat/>
    <w:uiPriority w:val="0"/>
    <w:pPr>
      <w:ind w:firstLine="420" w:firstLineChars="100"/>
    </w:pPr>
  </w:style>
  <w:style w:type="paragraph" w:customStyle="1" w:styleId="1894">
    <w:name w:val="BodyText"/>
    <w:basedOn w:val="1"/>
    <w:next w:val="1"/>
    <w:qFormat/>
    <w:uiPriority w:val="0"/>
    <w:pPr>
      <w:spacing w:after="120"/>
      <w:textAlignment w:val="baseline"/>
    </w:pPr>
    <w:rPr>
      <w:rFonts w:ascii="Calibri" w:hAnsi="Calibri" w:eastAsia="宋体" w:cs="Times New Roman"/>
      <w:szCs w:val="24"/>
    </w:rPr>
  </w:style>
  <w:style w:type="character" w:customStyle="1" w:styleId="1895">
    <w:name w:val="font61"/>
    <w:basedOn w:val="136"/>
    <w:qFormat/>
    <w:uiPriority w:val="0"/>
    <w:rPr>
      <w:rFonts w:hint="eastAsia" w:ascii="方正仿宋_GBK" w:hAnsi="方正仿宋_GBK" w:eastAsia="方正仿宋_GBK" w:cs="方正仿宋_GBK"/>
      <w:color w:val="000000"/>
      <w:sz w:val="24"/>
      <w:szCs w:val="24"/>
      <w:u w:val="none"/>
    </w:rPr>
  </w:style>
  <w:style w:type="paragraph" w:customStyle="1" w:styleId="1896">
    <w:name w:val="WPSOffice手动目录 1"/>
    <w:qFormat/>
    <w:uiPriority w:val="0"/>
    <w:rPr>
      <w:rFonts w:ascii="Times New Roman" w:hAnsi="Times New Roman" w:eastAsia="宋体" w:cs="Times New Roman"/>
      <w:lang w:val="en-US" w:eastAsia="zh-CN" w:bidi="ar-SA"/>
    </w:rPr>
  </w:style>
  <w:style w:type="paragraph" w:customStyle="1" w:styleId="189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98">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899">
    <w:name w:val="列表段落 字符2"/>
    <w:basedOn w:val="136"/>
    <w:link w:val="1900"/>
    <w:qFormat/>
    <w:uiPriority w:val="34"/>
    <w:rPr>
      <w:sz w:val="24"/>
    </w:rPr>
  </w:style>
  <w:style w:type="paragraph" w:customStyle="1" w:styleId="1900">
    <w:name w:val="msolistparagraph"/>
    <w:basedOn w:val="1"/>
    <w:link w:val="1899"/>
    <w:qFormat/>
    <w:uiPriority w:val="0"/>
    <w:pPr>
      <w:autoSpaceDE w:val="0"/>
      <w:autoSpaceDN w:val="0"/>
      <w:adjustRightInd w:val="0"/>
      <w:snapToGrid w:val="0"/>
      <w:spacing w:line="360" w:lineRule="auto"/>
      <w:ind w:firstLine="420" w:firstLineChars="200"/>
      <w:jc w:val="left"/>
    </w:pPr>
    <w:rPr>
      <w:rFonts w:ascii="Times New Roman" w:hAnsi="Times New Roman" w:eastAsia="宋体" w:cs="Times New Roman"/>
      <w:kern w:val="0"/>
      <w:sz w:val="24"/>
      <w:szCs w:val="20"/>
    </w:rPr>
  </w:style>
  <w:style w:type="paragraph" w:customStyle="1" w:styleId="1901">
    <w:name w:val="标题一"/>
    <w:basedOn w:val="175"/>
    <w:next w:val="1"/>
    <w:link w:val="1916"/>
    <w:qFormat/>
    <w:uiPriority w:val="0"/>
    <w:pPr>
      <w:spacing w:line="360" w:lineRule="auto"/>
      <w:ind w:left="425" w:firstLine="0" w:firstLineChars="0"/>
      <w:outlineLvl w:val="0"/>
    </w:pPr>
    <w:rPr>
      <w:rFonts w:ascii="宋体" w:hAnsi="宋体" w:eastAsia="宋体" w:cs="Times New Roman"/>
      <w:b/>
      <w:bCs/>
      <w:sz w:val="28"/>
      <w:szCs w:val="28"/>
    </w:rPr>
  </w:style>
  <w:style w:type="character" w:customStyle="1" w:styleId="1902">
    <w:name w:val="标题二 字符"/>
    <w:basedOn w:val="136"/>
    <w:link w:val="1566"/>
    <w:qFormat/>
    <w:uiPriority w:val="2"/>
    <w:rPr>
      <w:rFonts w:ascii="宋体" w:hAnsi="宋体" w:cstheme="minorBidi"/>
      <w:b/>
      <w:bCs/>
      <w:kern w:val="2"/>
      <w:sz w:val="28"/>
      <w:szCs w:val="28"/>
    </w:rPr>
  </w:style>
  <w:style w:type="character" w:customStyle="1" w:styleId="1903">
    <w:name w:val="标题三 字符"/>
    <w:basedOn w:val="136"/>
    <w:link w:val="1567"/>
    <w:qFormat/>
    <w:uiPriority w:val="2"/>
    <w:rPr>
      <w:rFonts w:ascii="宋体" w:hAnsi="宋体" w:cstheme="minorBidi"/>
      <w:b/>
      <w:bCs/>
      <w:kern w:val="2"/>
      <w:sz w:val="28"/>
      <w:szCs w:val="28"/>
    </w:rPr>
  </w:style>
  <w:style w:type="paragraph" w:customStyle="1" w:styleId="1904">
    <w:name w:val="BodyTextIndent2"/>
    <w:basedOn w:val="1"/>
    <w:qFormat/>
    <w:uiPriority w:val="0"/>
    <w:pPr>
      <w:widowControl/>
      <w:spacing w:after="120" w:line="480" w:lineRule="auto"/>
      <w:ind w:left="420" w:leftChars="200" w:firstLine="640" w:firstLineChars="200"/>
      <w:textAlignment w:val="baseline"/>
    </w:pPr>
    <w:rPr>
      <w:rFonts w:ascii="Times New Roman" w:hAnsi="Times New Roman" w:eastAsia="仿宋" w:cs="Times New Roman"/>
      <w:sz w:val="24"/>
      <w:szCs w:val="20"/>
    </w:rPr>
  </w:style>
  <w:style w:type="paragraph" w:customStyle="1" w:styleId="1905">
    <w:name w:val="样式 正文缩进正文（首行缩进两字）表正文正文非缩进正文对齐±íÕýÎÄÕýÎÄ·ÇËõ½ø特点段1±í首行缩..."/>
    <w:basedOn w:val="28"/>
    <w:qFormat/>
    <w:uiPriority w:val="0"/>
    <w:pPr>
      <w:widowControl/>
      <w:spacing w:line="240" w:lineRule="auto"/>
      <w:ind w:firstLine="480" w:firstLineChars="200"/>
      <w:jc w:val="left"/>
    </w:pPr>
    <w:rPr>
      <w:rFonts w:eastAsia="仿宋" w:cs="宋体"/>
      <w:color w:val="000000"/>
    </w:rPr>
  </w:style>
  <w:style w:type="paragraph" w:customStyle="1" w:styleId="1906">
    <w:name w:val="0级正文"/>
    <w:basedOn w:val="1"/>
    <w:link w:val="2741"/>
    <w:qFormat/>
    <w:uiPriority w:val="0"/>
    <w:pPr>
      <w:widowControl/>
      <w:spacing w:line="360" w:lineRule="auto"/>
      <w:ind w:firstLine="480" w:firstLineChars="200"/>
      <w:jc w:val="left"/>
    </w:pPr>
    <w:rPr>
      <w:rFonts w:ascii="楷体_GB2312" w:hAnsi="仿宋" w:eastAsia="楷体_GB2312" w:cs="Times New Roman"/>
      <w:sz w:val="24"/>
      <w:szCs w:val="28"/>
    </w:rPr>
  </w:style>
  <w:style w:type="paragraph" w:customStyle="1" w:styleId="1907">
    <w:name w:val="设计-三级标题"/>
    <w:basedOn w:val="1"/>
    <w:next w:val="1"/>
    <w:qFormat/>
    <w:uiPriority w:val="0"/>
    <w:pPr>
      <w:widowControl/>
      <w:numPr>
        <w:ilvl w:val="1"/>
        <w:numId w:val="63"/>
      </w:numPr>
      <w:ind w:firstLine="0"/>
      <w:jc w:val="left"/>
      <w:outlineLvl w:val="2"/>
    </w:pPr>
    <w:rPr>
      <w:rFonts w:ascii="Times New Roman" w:hAnsi="Times New Roman" w:eastAsia="仿宋" w:cs="Times New Roman"/>
      <w:sz w:val="24"/>
      <w:szCs w:val="20"/>
    </w:rPr>
  </w:style>
  <w:style w:type="paragraph" w:customStyle="1" w:styleId="1908">
    <w:name w:val="正文-2字符首行缩进"/>
    <w:basedOn w:val="1"/>
    <w:qFormat/>
    <w:uiPriority w:val="0"/>
    <w:pPr>
      <w:spacing w:line="360" w:lineRule="auto"/>
      <w:ind w:firstLine="560" w:firstLineChars="200"/>
    </w:pPr>
    <w:rPr>
      <w:rFonts w:ascii="仿宋_GB2312" w:hAnsi="Calibri" w:eastAsia="仿宋_GB2312" w:cs="Times New Roman"/>
      <w:sz w:val="24"/>
    </w:rPr>
  </w:style>
  <w:style w:type="paragraph" w:customStyle="1" w:styleId="1909">
    <w:name w:val="bulletlist"/>
    <w:basedOn w:val="1"/>
    <w:qFormat/>
    <w:uiPriority w:val="99"/>
    <w:pPr>
      <w:widowControl/>
      <w:ind w:left="245" w:firstLine="640" w:firstLineChars="200"/>
      <w:jc w:val="left"/>
    </w:pPr>
    <w:rPr>
      <w:rFonts w:ascii="宋体" w:hAnsi="宋体" w:eastAsia="仿宋" w:cs="宋体"/>
      <w:color w:val="000000"/>
      <w:kern w:val="0"/>
      <w:sz w:val="24"/>
      <w:szCs w:val="24"/>
    </w:rPr>
  </w:style>
  <w:style w:type="paragraph" w:customStyle="1" w:styleId="1910">
    <w:name w:val="设计-正文"/>
    <w:basedOn w:val="1"/>
    <w:qFormat/>
    <w:uiPriority w:val="0"/>
    <w:pPr>
      <w:widowControl/>
      <w:ind w:firstLine="640" w:firstLineChars="200"/>
      <w:jc w:val="left"/>
    </w:pPr>
    <w:rPr>
      <w:rFonts w:ascii="Times New Roman" w:hAnsi="Times New Roman" w:eastAsia="仿宋" w:cs="Times New Roman"/>
      <w:sz w:val="24"/>
      <w:szCs w:val="20"/>
    </w:rPr>
  </w:style>
  <w:style w:type="paragraph" w:customStyle="1" w:styleId="1911">
    <w:name w:val="x.x"/>
    <w:basedOn w:val="7"/>
    <w:qFormat/>
    <w:uiPriority w:val="0"/>
    <w:pPr>
      <w:keepNext/>
      <w:keepLines/>
      <w:widowControl/>
      <w:jc w:val="left"/>
      <w:outlineLvl w:val="4"/>
    </w:pPr>
    <w:rPr>
      <w:rFonts w:ascii="宋体" w:hAnsi="宋体" w:eastAsia="宋体" w:cs="Times New Roman"/>
      <w:color w:val="000000"/>
    </w:rPr>
  </w:style>
  <w:style w:type="paragraph" w:customStyle="1" w:styleId="1912">
    <w:name w:val="A正文"/>
    <w:basedOn w:val="1"/>
    <w:qFormat/>
    <w:uiPriority w:val="99"/>
    <w:pPr>
      <w:widowControl/>
      <w:snapToGrid w:val="0"/>
      <w:ind w:firstLine="200" w:firstLineChars="200"/>
      <w:jc w:val="left"/>
    </w:pPr>
    <w:rPr>
      <w:rFonts w:ascii="Times New Roman" w:hAnsi="Times New Roman" w:eastAsia="仿宋" w:cs="Times New Roman"/>
      <w:kern w:val="0"/>
      <w:sz w:val="24"/>
      <w:szCs w:val="24"/>
      <w:lang w:eastAsia="en-US" w:bidi="en-US"/>
    </w:rPr>
  </w:style>
  <w:style w:type="paragraph" w:customStyle="1" w:styleId="1913">
    <w:name w:val="！正文"/>
    <w:basedOn w:val="1"/>
    <w:qFormat/>
    <w:uiPriority w:val="0"/>
    <w:pPr>
      <w:widowControl/>
      <w:ind w:firstLine="200" w:firstLineChars="200"/>
      <w:jc w:val="left"/>
    </w:pPr>
    <w:rPr>
      <w:rFonts w:ascii="Times New Roman" w:hAnsi="Times New Roman" w:eastAsia="仿宋" w:cs="Times New Roman"/>
      <w:sz w:val="24"/>
      <w:szCs w:val="24"/>
    </w:rPr>
  </w:style>
  <w:style w:type="paragraph" w:customStyle="1" w:styleId="1914">
    <w:name w:val="正文内容格式"/>
    <w:basedOn w:val="1"/>
    <w:qFormat/>
    <w:uiPriority w:val="0"/>
    <w:pPr>
      <w:widowControl/>
      <w:autoSpaceDE w:val="0"/>
      <w:autoSpaceDN w:val="0"/>
      <w:adjustRightInd w:val="0"/>
      <w:snapToGrid w:val="0"/>
      <w:spacing w:line="300" w:lineRule="auto"/>
      <w:ind w:firstLine="480" w:firstLineChars="200"/>
      <w:jc w:val="left"/>
      <w:textAlignment w:val="baseline"/>
    </w:pPr>
    <w:rPr>
      <w:rFonts w:ascii="Times New Roman" w:hAnsi="Times New Roman" w:eastAsia="宋体" w:cs="Times New Roman"/>
      <w:kern w:val="0"/>
      <w:sz w:val="24"/>
      <w:szCs w:val="24"/>
    </w:rPr>
  </w:style>
  <w:style w:type="character" w:customStyle="1" w:styleId="1915">
    <w:name w:val="1级标题 Char"/>
    <w:basedOn w:val="154"/>
    <w:link w:val="608"/>
    <w:qFormat/>
    <w:uiPriority w:val="0"/>
    <w:rPr>
      <w:rFonts w:ascii="宋体" w:hAnsi="宋体" w:eastAsia="仿宋"/>
      <w:kern w:val="44"/>
      <w:sz w:val="32"/>
      <w:szCs w:val="32"/>
      <w:lang w:val="zh-CN"/>
    </w:rPr>
  </w:style>
  <w:style w:type="character" w:customStyle="1" w:styleId="1916">
    <w:name w:val="标题一 字符"/>
    <w:basedOn w:val="136"/>
    <w:link w:val="1901"/>
    <w:qFormat/>
    <w:uiPriority w:val="1"/>
    <w:rPr>
      <w:rFonts w:ascii="宋体" w:hAnsi="宋体"/>
      <w:b/>
      <w:bCs/>
      <w:kern w:val="2"/>
      <w:sz w:val="28"/>
      <w:szCs w:val="28"/>
    </w:rPr>
  </w:style>
  <w:style w:type="paragraph" w:customStyle="1" w:styleId="1917">
    <w:name w:val="图表样式"/>
    <w:basedOn w:val="282"/>
    <w:qFormat/>
    <w:uiPriority w:val="0"/>
    <w:pPr>
      <w:ind w:firstLine="0" w:firstLineChars="0"/>
    </w:pPr>
  </w:style>
  <w:style w:type="paragraph" w:customStyle="1" w:styleId="1918">
    <w:name w:val="封面"/>
    <w:basedOn w:val="1"/>
    <w:link w:val="1919"/>
    <w:qFormat/>
    <w:uiPriority w:val="0"/>
    <w:pPr>
      <w:spacing w:line="360" w:lineRule="auto"/>
      <w:ind w:firstLine="480" w:firstLineChars="200"/>
    </w:pPr>
    <w:rPr>
      <w:rFonts w:ascii="Times New Roman" w:hAnsi="Times New Roman" w:eastAsia="宋体" w:cs="Times New Roman"/>
      <w:b/>
      <w:sz w:val="48"/>
      <w:szCs w:val="21"/>
    </w:rPr>
  </w:style>
  <w:style w:type="character" w:customStyle="1" w:styleId="1919">
    <w:name w:val="封面 字符"/>
    <w:basedOn w:val="136"/>
    <w:link w:val="1918"/>
    <w:qFormat/>
    <w:uiPriority w:val="0"/>
    <w:rPr>
      <w:b/>
      <w:kern w:val="2"/>
      <w:sz w:val="48"/>
      <w:szCs w:val="21"/>
    </w:rPr>
  </w:style>
  <w:style w:type="character" w:customStyle="1" w:styleId="1920">
    <w:name w:val="01正文 Char"/>
    <w:basedOn w:val="136"/>
    <w:link w:val="281"/>
    <w:qFormat/>
    <w:uiPriority w:val="0"/>
    <w:rPr>
      <w:rFonts w:ascii="宋体" w:hAnsi="宋体"/>
      <w:kern w:val="2"/>
      <w:sz w:val="28"/>
      <w:szCs w:val="21"/>
    </w:rPr>
  </w:style>
  <w:style w:type="table" w:customStyle="1" w:styleId="1921">
    <w:name w:val="TableGrid"/>
    <w:qFormat/>
    <w:uiPriority w:val="0"/>
    <w:rPr>
      <w:rFonts w:asciiTheme="minorHAnsi" w:hAnsiTheme="minorHAnsi" w:eastAsiaTheme="minorEastAsia" w:cstheme="minorBidi"/>
    </w:rPr>
    <w:tblPr>
      <w:tblCellMar>
        <w:top w:w="0" w:type="dxa"/>
        <w:left w:w="0" w:type="dxa"/>
        <w:bottom w:w="0" w:type="dxa"/>
        <w:right w:w="0" w:type="dxa"/>
      </w:tblCellMar>
    </w:tblPr>
  </w:style>
  <w:style w:type="paragraph" w:customStyle="1" w:styleId="1922">
    <w:name w:val="Compact"/>
    <w:qFormat/>
    <w:uiPriority w:val="0"/>
    <w:pPr>
      <w:spacing w:before="36" w:after="36"/>
    </w:pPr>
    <w:rPr>
      <w:rFonts w:ascii="Cambria" w:hAnsi="Cambria" w:eastAsia="Cambria" w:cs="Times New Roman"/>
      <w:sz w:val="24"/>
      <w:szCs w:val="24"/>
      <w:lang w:val="en-US" w:eastAsia="zh-CN" w:bidi="ar-SA"/>
    </w:rPr>
  </w:style>
  <w:style w:type="paragraph" w:customStyle="1" w:styleId="1923">
    <w:name w:val="_Style 5"/>
    <w:basedOn w:val="1"/>
    <w:qFormat/>
    <w:uiPriority w:val="0"/>
    <w:pPr>
      <w:spacing w:line="360" w:lineRule="auto"/>
      <w:ind w:firstLine="200" w:firstLineChars="200"/>
    </w:pPr>
    <w:rPr>
      <w:rFonts w:ascii="Calibri" w:hAnsi="Calibri" w:eastAsia="宋体" w:cs="Times New Roman"/>
      <w:sz w:val="24"/>
      <w:szCs w:val="21"/>
    </w:rPr>
  </w:style>
  <w:style w:type="paragraph" w:customStyle="1" w:styleId="1924">
    <w:name w:val="H图表"/>
    <w:basedOn w:val="1"/>
    <w:qFormat/>
    <w:uiPriority w:val="0"/>
    <w:pPr>
      <w:jc w:val="center"/>
    </w:pPr>
    <w:rPr>
      <w:rFonts w:ascii="Calibri" w:hAnsi="Calibri" w:eastAsia="宋体" w:cs="Times New Roman"/>
      <w:kern w:val="0"/>
      <w:szCs w:val="16"/>
    </w:rPr>
  </w:style>
  <w:style w:type="paragraph" w:customStyle="1" w:styleId="1925">
    <w:name w:val="正文样式zz"/>
    <w:basedOn w:val="1"/>
    <w:qFormat/>
    <w:uiPriority w:val="0"/>
    <w:pPr>
      <w:widowControl/>
      <w:spacing w:line="360" w:lineRule="auto"/>
      <w:ind w:firstLine="560" w:firstLineChars="200"/>
      <w:contextualSpacing/>
      <w:jc w:val="left"/>
    </w:pPr>
    <w:rPr>
      <w:rFonts w:ascii="宋体" w:hAnsi="宋体" w:eastAsia="仿宋" w:cs="Arial"/>
      <w:szCs w:val="24"/>
    </w:rPr>
  </w:style>
  <w:style w:type="paragraph" w:customStyle="1" w:styleId="1926">
    <w:name w:val="11-正文"/>
    <w:basedOn w:val="1"/>
    <w:link w:val="3142"/>
    <w:qFormat/>
    <w:uiPriority w:val="0"/>
    <w:pPr>
      <w:spacing w:line="360" w:lineRule="auto"/>
      <w:ind w:firstLine="420" w:firstLineChars="200"/>
    </w:pPr>
    <w:rPr>
      <w:rFonts w:ascii="Calibri" w:hAnsi="Calibri" w:eastAsia="宋体" w:cs="宋体"/>
      <w:kern w:val="0"/>
      <w:sz w:val="20"/>
      <w:szCs w:val="20"/>
    </w:rPr>
  </w:style>
  <w:style w:type="paragraph" w:customStyle="1" w:styleId="1927">
    <w:name w:val="标题2"/>
    <w:basedOn w:val="5"/>
    <w:qFormat/>
    <w:uiPriority w:val="0"/>
    <w:pPr>
      <w:numPr>
        <w:ilvl w:val="0"/>
        <w:numId w:val="0"/>
      </w:numPr>
      <w:spacing w:before="0" w:after="0" w:line="240" w:lineRule="auto"/>
      <w:ind w:left="851" w:hanging="425"/>
    </w:pPr>
    <w:rPr>
      <w:rFonts w:ascii="Times New Roman" w:hAnsi="Times New Roman" w:eastAsia="楷体" w:cs="Times New Roman"/>
      <w:szCs w:val="32"/>
    </w:rPr>
  </w:style>
  <w:style w:type="paragraph" w:customStyle="1" w:styleId="1928">
    <w:name w:val="8正文居左SC"/>
    <w:basedOn w:val="1"/>
    <w:qFormat/>
    <w:uiPriority w:val="0"/>
    <w:pPr>
      <w:spacing w:line="480" w:lineRule="auto"/>
    </w:pPr>
    <w:rPr>
      <w:rFonts w:ascii="仿宋_GB2312" w:hAnsi="仿宋_GB2312" w:eastAsia="仿宋_GB2312" w:cs="仿宋_GB2312"/>
      <w:sz w:val="24"/>
      <w:szCs w:val="24"/>
    </w:rPr>
  </w:style>
  <w:style w:type="paragraph" w:customStyle="1" w:styleId="1929">
    <w:name w:val="1级标题SC"/>
    <w:basedOn w:val="4"/>
    <w:link w:val="1930"/>
    <w:qFormat/>
    <w:uiPriority w:val="0"/>
    <w:pPr>
      <w:numPr>
        <w:numId w:val="0"/>
      </w:numPr>
      <w:tabs>
        <w:tab w:val="left" w:pos="630"/>
      </w:tabs>
      <w:spacing w:before="50" w:beforeLines="50" w:after="50" w:afterLines="50" w:line="480" w:lineRule="auto"/>
      <w:jc w:val="left"/>
    </w:pPr>
    <w:rPr>
      <w:rFonts w:ascii="仿宋_GB2312" w:hAnsi="仿宋_GB2312" w:eastAsia="仿宋_GB2312" w:cs="仿宋_GB2312"/>
      <w:kern w:val="0"/>
      <w:sz w:val="36"/>
      <w:szCs w:val="36"/>
    </w:rPr>
  </w:style>
  <w:style w:type="character" w:customStyle="1" w:styleId="1930">
    <w:name w:val="1级标题SC 字符"/>
    <w:basedOn w:val="136"/>
    <w:link w:val="1929"/>
    <w:qFormat/>
    <w:uiPriority w:val="0"/>
    <w:rPr>
      <w:rFonts w:ascii="仿宋_GB2312" w:hAnsi="仿宋_GB2312" w:eastAsia="仿宋_GB2312" w:cs="仿宋_GB2312"/>
      <w:b/>
      <w:bCs/>
      <w:sz w:val="36"/>
      <w:szCs w:val="36"/>
    </w:rPr>
  </w:style>
  <w:style w:type="paragraph" w:customStyle="1" w:styleId="1931">
    <w:name w:val="2级标题SC"/>
    <w:basedOn w:val="5"/>
    <w:link w:val="1932"/>
    <w:qFormat/>
    <w:uiPriority w:val="0"/>
    <w:pPr>
      <w:numPr>
        <w:ilvl w:val="0"/>
        <w:numId w:val="0"/>
      </w:numPr>
      <w:tabs>
        <w:tab w:val="left" w:pos="945"/>
      </w:tabs>
      <w:spacing w:before="50" w:beforeLines="50" w:after="50" w:afterLines="50" w:line="480" w:lineRule="auto"/>
      <w:jc w:val="left"/>
    </w:pPr>
    <w:rPr>
      <w:rFonts w:ascii="仿宋_GB2312" w:hAnsi="仿宋_GB2312" w:eastAsia="仿宋_GB2312" w:cs="仿宋_GB2312"/>
      <w:kern w:val="0"/>
      <w:sz w:val="32"/>
      <w:szCs w:val="32"/>
    </w:rPr>
  </w:style>
  <w:style w:type="character" w:customStyle="1" w:styleId="1932">
    <w:name w:val="2级标题SC 字符"/>
    <w:basedOn w:val="136"/>
    <w:link w:val="1931"/>
    <w:qFormat/>
    <w:uiPriority w:val="0"/>
    <w:rPr>
      <w:rFonts w:ascii="仿宋_GB2312" w:hAnsi="仿宋_GB2312" w:eastAsia="仿宋_GB2312" w:cs="仿宋_GB2312"/>
      <w:b/>
      <w:bCs/>
      <w:sz w:val="32"/>
      <w:szCs w:val="32"/>
    </w:rPr>
  </w:style>
  <w:style w:type="paragraph" w:customStyle="1" w:styleId="1933">
    <w:name w:val="3级标题SC"/>
    <w:basedOn w:val="7"/>
    <w:link w:val="1934"/>
    <w:qFormat/>
    <w:uiPriority w:val="0"/>
    <w:pPr>
      <w:keepNext/>
      <w:keepLines/>
      <w:tabs>
        <w:tab w:val="left" w:pos="1176"/>
      </w:tabs>
      <w:spacing w:before="50" w:beforeLines="50" w:after="50" w:afterLines="50" w:line="480" w:lineRule="auto"/>
      <w:jc w:val="left"/>
    </w:pPr>
    <w:rPr>
      <w:rFonts w:ascii="仿宋_GB2312" w:hAnsi="仿宋_GB2312" w:eastAsia="仿宋_GB2312" w:cs="仿宋_GB2312"/>
      <w:kern w:val="0"/>
      <w:sz w:val="32"/>
      <w:szCs w:val="32"/>
    </w:rPr>
  </w:style>
  <w:style w:type="character" w:customStyle="1" w:styleId="1934">
    <w:name w:val="3级标题SC 字符"/>
    <w:basedOn w:val="136"/>
    <w:link w:val="1933"/>
    <w:qFormat/>
    <w:uiPriority w:val="0"/>
    <w:rPr>
      <w:rFonts w:ascii="仿宋_GB2312" w:hAnsi="仿宋_GB2312" w:eastAsia="仿宋_GB2312" w:cs="仿宋_GB2312"/>
      <w:b/>
      <w:bCs/>
      <w:sz w:val="32"/>
      <w:szCs w:val="32"/>
    </w:rPr>
  </w:style>
  <w:style w:type="paragraph" w:customStyle="1" w:styleId="1935">
    <w:name w:val="4级标题SC"/>
    <w:basedOn w:val="8"/>
    <w:link w:val="1936"/>
    <w:qFormat/>
    <w:uiPriority w:val="0"/>
    <w:pPr>
      <w:numPr>
        <w:ilvl w:val="0"/>
        <w:numId w:val="0"/>
      </w:numPr>
      <w:tabs>
        <w:tab w:val="left" w:pos="1386"/>
      </w:tabs>
      <w:spacing w:before="50" w:beforeLines="50" w:after="50" w:afterLines="50" w:line="480" w:lineRule="auto"/>
      <w:jc w:val="left"/>
    </w:pPr>
    <w:rPr>
      <w:rFonts w:ascii="仿宋_GB2312" w:hAnsi="仿宋_GB2312" w:eastAsia="仿宋_GB2312" w:cs="仿宋_GB2312"/>
      <w:kern w:val="0"/>
      <w:sz w:val="30"/>
      <w:szCs w:val="30"/>
    </w:rPr>
  </w:style>
  <w:style w:type="character" w:customStyle="1" w:styleId="1936">
    <w:name w:val="4级标题SC 字符"/>
    <w:basedOn w:val="136"/>
    <w:link w:val="1935"/>
    <w:qFormat/>
    <w:uiPriority w:val="0"/>
    <w:rPr>
      <w:rFonts w:ascii="仿宋_GB2312" w:hAnsi="仿宋_GB2312" w:eastAsia="仿宋_GB2312" w:cs="仿宋_GB2312"/>
      <w:b/>
      <w:bCs/>
      <w:sz w:val="30"/>
      <w:szCs w:val="30"/>
    </w:rPr>
  </w:style>
  <w:style w:type="paragraph" w:customStyle="1" w:styleId="1937">
    <w:name w:val="5级标题SC"/>
    <w:basedOn w:val="14"/>
    <w:link w:val="1938"/>
    <w:qFormat/>
    <w:uiPriority w:val="0"/>
    <w:pPr>
      <w:numPr>
        <w:ilvl w:val="0"/>
        <w:numId w:val="0"/>
      </w:numPr>
      <w:tabs>
        <w:tab w:val="left" w:pos="1596"/>
      </w:tabs>
      <w:spacing w:before="50" w:beforeLines="50" w:after="50" w:afterLines="50" w:line="480" w:lineRule="auto"/>
      <w:jc w:val="left"/>
    </w:pPr>
    <w:rPr>
      <w:rFonts w:ascii="仿宋_GB2312" w:hAnsi="仿宋_GB2312" w:eastAsia="仿宋_GB2312" w:cs="仿宋_GB2312"/>
      <w:kern w:val="0"/>
      <w:sz w:val="30"/>
      <w:szCs w:val="30"/>
    </w:rPr>
  </w:style>
  <w:style w:type="character" w:customStyle="1" w:styleId="1938">
    <w:name w:val="5级标题SC 字符"/>
    <w:basedOn w:val="136"/>
    <w:link w:val="1937"/>
    <w:qFormat/>
    <w:uiPriority w:val="0"/>
    <w:rPr>
      <w:rFonts w:ascii="仿宋_GB2312" w:hAnsi="仿宋_GB2312" w:eastAsia="仿宋_GB2312" w:cs="仿宋_GB2312"/>
      <w:b/>
      <w:bCs/>
      <w:sz w:val="30"/>
      <w:szCs w:val="30"/>
    </w:rPr>
  </w:style>
  <w:style w:type="paragraph" w:customStyle="1" w:styleId="1939">
    <w:name w:val="6级标题SC"/>
    <w:basedOn w:val="15"/>
    <w:link w:val="1940"/>
    <w:qFormat/>
    <w:uiPriority w:val="0"/>
    <w:pPr>
      <w:numPr>
        <w:ilvl w:val="0"/>
        <w:numId w:val="0"/>
      </w:numPr>
      <w:tabs>
        <w:tab w:val="left" w:pos="1848"/>
      </w:tabs>
      <w:spacing w:before="50" w:beforeLines="50" w:after="50" w:afterLines="50" w:line="480" w:lineRule="auto"/>
      <w:jc w:val="left"/>
    </w:pPr>
    <w:rPr>
      <w:rFonts w:ascii="仿宋_GB2312" w:hAnsi="仿宋_GB2312" w:eastAsia="仿宋_GB2312" w:cs="仿宋_GB2312"/>
      <w:kern w:val="0"/>
      <w:sz w:val="28"/>
      <w:szCs w:val="28"/>
    </w:rPr>
  </w:style>
  <w:style w:type="character" w:customStyle="1" w:styleId="1940">
    <w:name w:val="6级标题SC 字符"/>
    <w:basedOn w:val="136"/>
    <w:link w:val="1939"/>
    <w:qFormat/>
    <w:uiPriority w:val="0"/>
    <w:rPr>
      <w:rFonts w:ascii="仿宋_GB2312" w:hAnsi="仿宋_GB2312" w:eastAsia="仿宋_GB2312" w:cs="仿宋_GB2312"/>
      <w:b/>
      <w:bCs/>
      <w:sz w:val="28"/>
      <w:szCs w:val="28"/>
    </w:rPr>
  </w:style>
  <w:style w:type="paragraph" w:customStyle="1" w:styleId="1941">
    <w:name w:val="7级标题SC"/>
    <w:basedOn w:val="16"/>
    <w:link w:val="1942"/>
    <w:qFormat/>
    <w:uiPriority w:val="0"/>
    <w:pPr>
      <w:tabs>
        <w:tab w:val="left" w:pos="2079"/>
      </w:tabs>
      <w:spacing w:before="50" w:beforeLines="50" w:after="50" w:afterLines="50" w:line="480" w:lineRule="auto"/>
      <w:ind w:left="0" w:firstLine="0"/>
      <w:jc w:val="left"/>
    </w:pPr>
    <w:rPr>
      <w:rFonts w:ascii="仿宋_GB2312" w:hAnsi="仿宋_GB2312" w:eastAsia="仿宋_GB2312" w:cs="仿宋_GB2312"/>
      <w:kern w:val="0"/>
      <w:sz w:val="28"/>
      <w:szCs w:val="28"/>
    </w:rPr>
  </w:style>
  <w:style w:type="character" w:customStyle="1" w:styleId="1942">
    <w:name w:val="7级标题SC 字符"/>
    <w:basedOn w:val="136"/>
    <w:link w:val="1941"/>
    <w:qFormat/>
    <w:uiPriority w:val="0"/>
    <w:rPr>
      <w:rFonts w:ascii="仿宋_GB2312" w:hAnsi="仿宋_GB2312" w:eastAsia="仿宋_GB2312" w:cs="仿宋_GB2312"/>
      <w:b/>
      <w:bCs/>
      <w:sz w:val="28"/>
      <w:szCs w:val="28"/>
    </w:rPr>
  </w:style>
  <w:style w:type="paragraph" w:customStyle="1" w:styleId="1943">
    <w:name w:val="8文本正文SC"/>
    <w:basedOn w:val="1"/>
    <w:link w:val="1944"/>
    <w:qFormat/>
    <w:uiPriority w:val="0"/>
    <w:pPr>
      <w:spacing w:line="480" w:lineRule="auto"/>
      <w:ind w:firstLine="200" w:firstLineChars="200"/>
    </w:pPr>
    <w:rPr>
      <w:rFonts w:ascii="仿宋_GB2312" w:hAnsi="仿宋_GB2312" w:eastAsia="仿宋_GB2312" w:cs="仿宋_GB2312"/>
      <w:kern w:val="0"/>
      <w:sz w:val="24"/>
      <w:szCs w:val="24"/>
    </w:rPr>
  </w:style>
  <w:style w:type="character" w:customStyle="1" w:styleId="1944">
    <w:name w:val="8文本正文SC 字符"/>
    <w:basedOn w:val="136"/>
    <w:link w:val="1943"/>
    <w:qFormat/>
    <w:uiPriority w:val="0"/>
    <w:rPr>
      <w:rFonts w:ascii="仿宋_GB2312" w:hAnsi="仿宋_GB2312" w:eastAsia="仿宋_GB2312" w:cs="仿宋_GB2312"/>
      <w:sz w:val="24"/>
      <w:szCs w:val="24"/>
    </w:rPr>
  </w:style>
  <w:style w:type="paragraph" w:customStyle="1" w:styleId="1945">
    <w:name w:val="9表格正文SC"/>
    <w:basedOn w:val="1"/>
    <w:link w:val="1946"/>
    <w:qFormat/>
    <w:uiPriority w:val="0"/>
    <w:pPr>
      <w:spacing w:line="360" w:lineRule="auto"/>
    </w:pPr>
    <w:rPr>
      <w:rFonts w:ascii="仿宋_GB2312" w:hAnsi="仿宋_GB2312" w:eastAsia="仿宋_GB2312" w:cs="仿宋_GB2312"/>
      <w:kern w:val="0"/>
      <w:szCs w:val="21"/>
    </w:rPr>
  </w:style>
  <w:style w:type="character" w:customStyle="1" w:styleId="1946">
    <w:name w:val="9表格正文SC 字符"/>
    <w:basedOn w:val="136"/>
    <w:link w:val="1945"/>
    <w:qFormat/>
    <w:uiPriority w:val="0"/>
    <w:rPr>
      <w:rFonts w:ascii="仿宋_GB2312" w:hAnsi="仿宋_GB2312" w:eastAsia="仿宋_GB2312" w:cs="仿宋_GB2312"/>
      <w:sz w:val="21"/>
      <w:szCs w:val="21"/>
    </w:rPr>
  </w:style>
  <w:style w:type="paragraph" w:customStyle="1" w:styleId="1947">
    <w:name w:val="9图片标题SC"/>
    <w:basedOn w:val="1"/>
    <w:link w:val="1948"/>
    <w:qFormat/>
    <w:uiPriority w:val="0"/>
    <w:pPr>
      <w:jc w:val="center"/>
    </w:pPr>
    <w:rPr>
      <w:rFonts w:ascii="仿宋_GB2312" w:hAnsi="仿宋_GB2312" w:eastAsia="仿宋_GB2312" w:cs="仿宋_GB2312"/>
      <w:b/>
      <w:bCs/>
      <w:kern w:val="0"/>
      <w:szCs w:val="21"/>
    </w:rPr>
  </w:style>
  <w:style w:type="character" w:customStyle="1" w:styleId="1948">
    <w:name w:val="9图片标题SC 字符"/>
    <w:basedOn w:val="136"/>
    <w:link w:val="1947"/>
    <w:qFormat/>
    <w:uiPriority w:val="0"/>
    <w:rPr>
      <w:rFonts w:ascii="仿宋_GB2312" w:hAnsi="仿宋_GB2312" w:eastAsia="仿宋_GB2312" w:cs="仿宋_GB2312"/>
      <w:b/>
      <w:bCs/>
      <w:sz w:val="21"/>
      <w:szCs w:val="21"/>
    </w:rPr>
  </w:style>
  <w:style w:type="paragraph" w:customStyle="1" w:styleId="1949">
    <w:name w:val="标题5"/>
    <w:basedOn w:val="14"/>
    <w:next w:val="1"/>
    <w:qFormat/>
    <w:uiPriority w:val="0"/>
    <w:pPr>
      <w:numPr>
        <w:ilvl w:val="0"/>
        <w:numId w:val="0"/>
      </w:numPr>
      <w:tabs>
        <w:tab w:val="left" w:pos="1531"/>
      </w:tabs>
      <w:spacing w:before="0" w:after="0"/>
      <w:ind w:left="284"/>
    </w:pPr>
    <w:rPr>
      <w:rFonts w:ascii="Times New Roman" w:hAnsi="Times New Roman" w:cs="Times New Roman"/>
      <w:szCs w:val="28"/>
    </w:rPr>
  </w:style>
  <w:style w:type="paragraph" w:customStyle="1" w:styleId="1950">
    <w:name w:val="标题8"/>
    <w:basedOn w:val="17"/>
    <w:next w:val="1"/>
    <w:qFormat/>
    <w:uiPriority w:val="0"/>
    <w:pPr>
      <w:spacing w:before="0" w:after="0" w:line="360" w:lineRule="auto"/>
      <w:ind w:left="284"/>
    </w:pPr>
    <w:rPr>
      <w:rFonts w:ascii="Calibri Light" w:hAnsi="Calibri Light"/>
      <w:b/>
    </w:rPr>
  </w:style>
  <w:style w:type="paragraph" w:customStyle="1" w:styleId="1951">
    <w:name w:val="标题9"/>
    <w:basedOn w:val="18"/>
    <w:next w:val="1"/>
    <w:qFormat/>
    <w:uiPriority w:val="0"/>
    <w:pPr>
      <w:ind w:left="284" w:firstLine="0"/>
    </w:pPr>
    <w:rPr>
      <w:b/>
    </w:rPr>
  </w:style>
  <w:style w:type="character" w:customStyle="1" w:styleId="1952">
    <w:name w:val="正文2 字符"/>
    <w:basedOn w:val="136"/>
    <w:qFormat/>
    <w:uiPriority w:val="0"/>
    <w:rPr>
      <w:rFonts w:ascii="Times New Roman" w:hAnsi="Times New Roman" w:eastAsia="宋体" w:cs="Times New Roman"/>
      <w:szCs w:val="21"/>
    </w:rPr>
  </w:style>
  <w:style w:type="paragraph" w:customStyle="1" w:styleId="1953">
    <w:name w:val="8正文S"/>
    <w:basedOn w:val="1"/>
    <w:link w:val="1954"/>
    <w:qFormat/>
    <w:uiPriority w:val="0"/>
    <w:pPr>
      <w:spacing w:line="360" w:lineRule="auto"/>
      <w:ind w:firstLine="480" w:firstLineChars="200"/>
    </w:pPr>
    <w:rPr>
      <w:rFonts w:ascii="宋体" w:hAnsi="宋体" w:eastAsia="宋体" w:cs="Times New Roman"/>
      <w:sz w:val="24"/>
      <w:szCs w:val="21"/>
    </w:rPr>
  </w:style>
  <w:style w:type="character" w:customStyle="1" w:styleId="1954">
    <w:name w:val="8正文S Char"/>
    <w:basedOn w:val="136"/>
    <w:link w:val="1953"/>
    <w:qFormat/>
    <w:uiPriority w:val="0"/>
    <w:rPr>
      <w:rFonts w:ascii="宋体" w:hAnsi="宋体"/>
      <w:kern w:val="2"/>
      <w:sz w:val="24"/>
      <w:szCs w:val="21"/>
    </w:rPr>
  </w:style>
  <w:style w:type="paragraph" w:customStyle="1" w:styleId="1955">
    <w:name w:val="9表格正文S"/>
    <w:basedOn w:val="1"/>
    <w:link w:val="1956"/>
    <w:qFormat/>
    <w:uiPriority w:val="0"/>
    <w:pPr>
      <w:spacing w:line="360" w:lineRule="auto"/>
    </w:pPr>
    <w:rPr>
      <w:rFonts w:ascii="宋体" w:hAnsi="宋体" w:eastAsia="宋体" w:cs="Times New Roman"/>
      <w:szCs w:val="21"/>
    </w:rPr>
  </w:style>
  <w:style w:type="character" w:customStyle="1" w:styleId="1956">
    <w:name w:val="9表格正文S Char"/>
    <w:basedOn w:val="136"/>
    <w:link w:val="1955"/>
    <w:qFormat/>
    <w:uiPriority w:val="0"/>
    <w:rPr>
      <w:rFonts w:ascii="宋体" w:hAnsi="宋体"/>
      <w:kern w:val="2"/>
      <w:sz w:val="21"/>
      <w:szCs w:val="21"/>
    </w:rPr>
  </w:style>
  <w:style w:type="paragraph" w:customStyle="1" w:styleId="1957">
    <w:name w:val="表格字体"/>
    <w:basedOn w:val="1"/>
    <w:qFormat/>
    <w:uiPriority w:val="0"/>
    <w:pPr>
      <w:widowControl/>
      <w:adjustRightInd w:val="0"/>
      <w:snapToGrid w:val="0"/>
      <w:spacing w:line="400" w:lineRule="exact"/>
      <w:ind w:left="480" w:firstLine="482"/>
      <w:jc w:val="center"/>
      <w:textAlignment w:val="baseline"/>
    </w:pPr>
    <w:rPr>
      <w:rFonts w:ascii="Arial" w:hAnsi="Arial" w:eastAsia="新宋体" w:cs="Times New Roman"/>
      <w:szCs w:val="20"/>
    </w:rPr>
  </w:style>
  <w:style w:type="paragraph" w:customStyle="1" w:styleId="1958">
    <w:name w:val="表正文"/>
    <w:basedOn w:val="1"/>
    <w:qFormat/>
    <w:uiPriority w:val="0"/>
    <w:pPr>
      <w:widowControl/>
      <w:jc w:val="center"/>
    </w:pPr>
    <w:rPr>
      <w:rFonts w:ascii="Times New Roman" w:hAnsi="Times New Roman" w:eastAsia="宋体" w:cs="Times New Roman"/>
      <w:color w:val="000000"/>
      <w:kern w:val="0"/>
      <w:sz w:val="18"/>
      <w:szCs w:val="18"/>
    </w:rPr>
  </w:style>
  <w:style w:type="paragraph" w:customStyle="1" w:styleId="1959">
    <w:name w:val="三级条"/>
    <w:basedOn w:val="397"/>
    <w:next w:val="369"/>
    <w:link w:val="1971"/>
    <w:qFormat/>
    <w:uiPriority w:val="0"/>
    <w:pPr>
      <w:numPr>
        <w:ilvl w:val="0"/>
        <w:numId w:val="0"/>
      </w:numPr>
      <w:tabs>
        <w:tab w:val="clear" w:pos="360"/>
      </w:tabs>
      <w:spacing w:before="0" w:beforeLines="0" w:after="0" w:afterLines="0"/>
      <w:jc w:val="left"/>
    </w:pPr>
  </w:style>
  <w:style w:type="paragraph" w:customStyle="1" w:styleId="1960">
    <w:name w:val="Y_段"/>
    <w:link w:val="1961"/>
    <w:qFormat/>
    <w:uiPriority w:val="0"/>
    <w:pPr>
      <w:spacing w:line="300" w:lineRule="auto"/>
      <w:ind w:firstLine="200" w:firstLineChars="200"/>
      <w:jc w:val="both"/>
    </w:pPr>
    <w:rPr>
      <w:rFonts w:ascii="宋体" w:hAnsi="Calibri" w:eastAsia="宋体" w:cs="Times New Roman"/>
      <w:sz w:val="24"/>
      <w:szCs w:val="21"/>
      <w:lang w:val="en-US" w:eastAsia="zh-CN" w:bidi="ar-SA"/>
    </w:rPr>
  </w:style>
  <w:style w:type="character" w:customStyle="1" w:styleId="1961">
    <w:name w:val="Y_段 Char"/>
    <w:link w:val="1960"/>
    <w:qFormat/>
    <w:uiPriority w:val="0"/>
    <w:rPr>
      <w:rFonts w:ascii="宋体" w:hAnsi="Calibri"/>
      <w:sz w:val="24"/>
      <w:szCs w:val="21"/>
    </w:rPr>
  </w:style>
  <w:style w:type="character" w:customStyle="1" w:styleId="1962">
    <w:name w:val="正文首行缩进1(Crlf+Shift+M) Char"/>
    <w:link w:val="1963"/>
    <w:qFormat/>
    <w:uiPriority w:val="0"/>
    <w:rPr>
      <w:rFonts w:ascii="Arial" w:hAnsi="Arial" w:cs="宋体"/>
    </w:rPr>
  </w:style>
  <w:style w:type="paragraph" w:customStyle="1" w:styleId="1963">
    <w:name w:val="正文首行缩进1(Crlf+Shift+M)"/>
    <w:link w:val="1962"/>
    <w:qFormat/>
    <w:uiPriority w:val="0"/>
    <w:pPr>
      <w:spacing w:before="120" w:after="120" w:line="360" w:lineRule="auto"/>
      <w:ind w:firstLine="420" w:firstLineChars="200"/>
    </w:pPr>
    <w:rPr>
      <w:rFonts w:ascii="Arial" w:hAnsi="Arial" w:eastAsia="宋体" w:cs="宋体"/>
      <w:lang w:val="en-US" w:eastAsia="zh-CN" w:bidi="ar-SA"/>
    </w:rPr>
  </w:style>
  <w:style w:type="character" w:customStyle="1" w:styleId="1964">
    <w:name w:val="一级条标题 Char"/>
    <w:link w:val="399"/>
    <w:qFormat/>
    <w:uiPriority w:val="0"/>
    <w:rPr>
      <w:rFonts w:ascii="黑体" w:eastAsia="黑体"/>
      <w:sz w:val="21"/>
      <w:szCs w:val="21"/>
    </w:rPr>
  </w:style>
  <w:style w:type="character" w:customStyle="1" w:styleId="1965">
    <w:name w:val="二级条标题 字符"/>
    <w:basedOn w:val="1964"/>
    <w:qFormat/>
    <w:uiPriority w:val="0"/>
    <w:rPr>
      <w:rFonts w:ascii="黑体" w:eastAsia="黑体"/>
      <w:sz w:val="21"/>
      <w:szCs w:val="21"/>
    </w:rPr>
  </w:style>
  <w:style w:type="character" w:customStyle="1" w:styleId="1966">
    <w:name w:val="三级条标题 字符"/>
    <w:basedOn w:val="1965"/>
    <w:link w:val="397"/>
    <w:qFormat/>
    <w:uiPriority w:val="0"/>
    <w:rPr>
      <w:rFonts w:ascii="黑体" w:eastAsia="黑体"/>
      <w:sz w:val="21"/>
      <w:szCs w:val="21"/>
    </w:rPr>
  </w:style>
  <w:style w:type="character" w:customStyle="1" w:styleId="1967">
    <w:name w:val="四级条标题 字符"/>
    <w:basedOn w:val="1966"/>
    <w:link w:val="396"/>
    <w:qFormat/>
    <w:uiPriority w:val="0"/>
    <w:rPr>
      <w:rFonts w:ascii="黑体" w:eastAsia="黑体"/>
      <w:sz w:val="21"/>
      <w:szCs w:val="21"/>
    </w:rPr>
  </w:style>
  <w:style w:type="paragraph" w:customStyle="1" w:styleId="1968">
    <w:name w:val="QB正文"/>
    <w:basedOn w:val="369"/>
    <w:link w:val="1969"/>
    <w:qFormat/>
    <w:uiPriority w:val="0"/>
  </w:style>
  <w:style w:type="character" w:customStyle="1" w:styleId="1969">
    <w:name w:val="QB正文 Char"/>
    <w:link w:val="1968"/>
    <w:qFormat/>
    <w:uiPriority w:val="0"/>
    <w:rPr>
      <w:rFonts w:ascii="宋体"/>
      <w:sz w:val="21"/>
    </w:rPr>
  </w:style>
  <w:style w:type="paragraph" w:customStyle="1" w:styleId="1970">
    <w:name w:val="_Style 138"/>
    <w:basedOn w:val="1"/>
    <w:qFormat/>
    <w:uiPriority w:val="34"/>
    <w:pPr>
      <w:widowControl/>
      <w:ind w:firstLine="420" w:firstLineChars="200"/>
      <w:jc w:val="left"/>
    </w:pPr>
    <w:rPr>
      <w:rFonts w:ascii="宋体" w:hAnsi="宋体" w:eastAsia="宋体" w:cs="宋体"/>
      <w:kern w:val="0"/>
      <w:sz w:val="24"/>
      <w:szCs w:val="24"/>
    </w:rPr>
  </w:style>
  <w:style w:type="character" w:customStyle="1" w:styleId="1971">
    <w:name w:val="三级条 字符"/>
    <w:basedOn w:val="1967"/>
    <w:link w:val="1959"/>
    <w:qFormat/>
    <w:uiPriority w:val="0"/>
    <w:rPr>
      <w:rFonts w:ascii="黑体" w:eastAsia="黑体"/>
      <w:sz w:val="21"/>
      <w:szCs w:val="21"/>
    </w:rPr>
  </w:style>
  <w:style w:type="paragraph" w:customStyle="1" w:styleId="1972">
    <w:name w:val="样式16"/>
    <w:basedOn w:val="7"/>
    <w:qFormat/>
    <w:uiPriority w:val="99"/>
    <w:pPr>
      <w:keepNext/>
      <w:keepLines/>
      <w:widowControl/>
      <w:kinsoku w:val="0"/>
      <w:overflowPunct w:val="0"/>
      <w:autoSpaceDE w:val="0"/>
      <w:autoSpaceDN w:val="0"/>
      <w:adjustRightInd w:val="0"/>
      <w:snapToGrid w:val="0"/>
      <w:spacing w:line="360" w:lineRule="auto"/>
      <w:textAlignment w:val="center"/>
    </w:pPr>
    <w:rPr>
      <w:rFonts w:ascii="Times New Roman" w:hAnsi="Times New Roman" w:eastAsia="仿宋_GB2312" w:cs="Times New Roman"/>
      <w:sz w:val="28"/>
      <w:szCs w:val="28"/>
      <w:shd w:val="clear" w:color="auto" w:fill="FFFFFF"/>
    </w:rPr>
  </w:style>
  <w:style w:type="character" w:customStyle="1" w:styleId="1973">
    <w:name w:val="wrap-span"/>
    <w:qFormat/>
    <w:uiPriority w:val="0"/>
    <w:rPr>
      <w:rFonts w:ascii="Times New Roman" w:hAnsi="Times New Roman" w:eastAsia="宋体" w:cs="Times New Roman"/>
    </w:rPr>
  </w:style>
  <w:style w:type="character" w:customStyle="1" w:styleId="1974">
    <w:name w:val="备注说明 Char Char"/>
    <w:link w:val="1276"/>
    <w:qFormat/>
    <w:uiPriority w:val="0"/>
    <w:rPr>
      <w:rFonts w:eastAsia="仿宋"/>
      <w:kern w:val="2"/>
      <w:sz w:val="24"/>
      <w:szCs w:val="24"/>
    </w:rPr>
  </w:style>
  <w:style w:type="character" w:customStyle="1" w:styleId="1975">
    <w:name w:val="op_dict_text22"/>
    <w:basedOn w:val="136"/>
    <w:qFormat/>
    <w:uiPriority w:val="0"/>
  </w:style>
  <w:style w:type="character" w:customStyle="1" w:styleId="1976">
    <w:name w:val="trans"/>
    <w:basedOn w:val="136"/>
    <w:qFormat/>
    <w:uiPriority w:val="0"/>
  </w:style>
  <w:style w:type="character" w:customStyle="1" w:styleId="1977">
    <w:name w:val="EmailStyle123"/>
    <w:qFormat/>
    <w:uiPriority w:val="0"/>
    <w:rPr>
      <w:rFonts w:ascii="Arial" w:hAnsi="Arial" w:eastAsia="宋体"/>
      <w:color w:val="000000"/>
      <w:sz w:val="20"/>
      <w:szCs w:val="20"/>
    </w:rPr>
  </w:style>
  <w:style w:type="character" w:customStyle="1" w:styleId="1978">
    <w:name w:val="st1"/>
    <w:basedOn w:val="136"/>
    <w:qFormat/>
    <w:uiPriority w:val="0"/>
  </w:style>
  <w:style w:type="paragraph" w:customStyle="1" w:styleId="1979">
    <w:name w:val="正文1)"/>
    <w:basedOn w:val="1"/>
    <w:qFormat/>
    <w:uiPriority w:val="0"/>
    <w:pPr>
      <w:spacing w:line="360" w:lineRule="auto"/>
      <w:ind w:left="432" w:hanging="432"/>
    </w:pPr>
    <w:rPr>
      <w:rFonts w:ascii="Arial" w:hAnsi="Arial" w:eastAsia="宋体" w:cs="Times New Roman"/>
      <w:sz w:val="24"/>
      <w:szCs w:val="20"/>
    </w:rPr>
  </w:style>
  <w:style w:type="paragraph" w:customStyle="1" w:styleId="1980">
    <w:name w:val="备注说明"/>
    <w:basedOn w:val="70"/>
    <w:qFormat/>
    <w:uiPriority w:val="0"/>
    <w:pPr>
      <w:adjustRightInd w:val="0"/>
      <w:spacing w:line="312" w:lineRule="atLeast"/>
      <w:ind w:left="420" w:hanging="420"/>
      <w:textAlignment w:val="baseline"/>
    </w:pPr>
    <w:rPr>
      <w:rFonts w:ascii="Times New Roman" w:hAnsi="Times New Roman"/>
      <w:kern w:val="0"/>
      <w:szCs w:val="20"/>
    </w:rPr>
  </w:style>
  <w:style w:type="paragraph" w:customStyle="1" w:styleId="1981">
    <w:name w:val="数据表字典说明"/>
    <w:basedOn w:val="1"/>
    <w:qFormat/>
    <w:uiPriority w:val="0"/>
    <w:pPr>
      <w:adjustRightInd w:val="0"/>
      <w:spacing w:line="312" w:lineRule="atLeast"/>
      <w:ind w:firstLine="374"/>
      <w:textAlignment w:val="baseline"/>
    </w:pPr>
    <w:rPr>
      <w:rFonts w:ascii="Times New Roman" w:hAnsi="Times New Roman" w:eastAsia="宋体" w:cs="Times New Roman"/>
      <w:kern w:val="0"/>
      <w:szCs w:val="20"/>
    </w:rPr>
  </w:style>
  <w:style w:type="paragraph" w:customStyle="1" w:styleId="1982">
    <w:name w:val="Char2"/>
    <w:basedOn w:val="1"/>
    <w:qFormat/>
    <w:uiPriority w:val="0"/>
    <w:rPr>
      <w:rFonts w:ascii="仿宋_GB2312" w:hAnsi="Times New Roman" w:eastAsia="仿宋_GB2312" w:cs="Times New Roman"/>
      <w:b/>
      <w:sz w:val="32"/>
      <w:szCs w:val="32"/>
    </w:rPr>
  </w:style>
  <w:style w:type="paragraph" w:customStyle="1" w:styleId="1983">
    <w:name w:val="a标题3"/>
    <w:unhideWhenUsed/>
    <w:qFormat/>
    <w:uiPriority w:val="3"/>
    <w:pPr>
      <w:outlineLvl w:val="3"/>
    </w:pPr>
    <w:rPr>
      <w:rFonts w:asciiTheme="minorHAnsi" w:hAnsiTheme="minorHAnsi" w:eastAsiaTheme="minorEastAsia" w:cstheme="minorBidi"/>
      <w:sz w:val="21"/>
      <w:szCs w:val="22"/>
      <w:lang w:val="en-US" w:eastAsia="zh-CN" w:bidi="ar-SA"/>
    </w:rPr>
  </w:style>
  <w:style w:type="paragraph" w:customStyle="1" w:styleId="1984">
    <w:name w:val="Char21"/>
    <w:basedOn w:val="1"/>
    <w:qFormat/>
    <w:uiPriority w:val="0"/>
    <w:rPr>
      <w:rFonts w:ascii="仿宋_GB2312" w:hAnsi="Times New Roman" w:eastAsia="仿宋_GB2312" w:cs="Times New Roman"/>
      <w:b/>
      <w:sz w:val="32"/>
      <w:szCs w:val="32"/>
    </w:rPr>
  </w:style>
  <w:style w:type="paragraph" w:customStyle="1" w:styleId="1985">
    <w:name w:val="Char Char Char Char11"/>
    <w:basedOn w:val="1"/>
    <w:qFormat/>
    <w:uiPriority w:val="0"/>
    <w:rPr>
      <w:rFonts w:ascii="仿宋_GB2312" w:hAnsi="Times New Roman" w:eastAsia="仿宋_GB2312" w:cs="Times New Roman"/>
      <w:b/>
      <w:sz w:val="32"/>
      <w:szCs w:val="32"/>
    </w:rPr>
  </w:style>
  <w:style w:type="paragraph" w:customStyle="1" w:styleId="1986">
    <w:name w:val="font9"/>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character" w:customStyle="1" w:styleId="1987">
    <w:name w:val="信息标题 字符2"/>
    <w:basedOn w:val="136"/>
    <w:semiHidden/>
    <w:qFormat/>
    <w:uiPriority w:val="99"/>
    <w:rPr>
      <w:rFonts w:asciiTheme="majorHAnsi" w:hAnsiTheme="majorHAnsi" w:eastAsiaTheme="majorEastAsia" w:cstheme="majorBidi"/>
      <w:kern w:val="0"/>
      <w:sz w:val="24"/>
      <w:szCs w:val="24"/>
      <w:shd w:val="pct20" w:color="auto" w:fill="auto"/>
    </w:rPr>
  </w:style>
  <w:style w:type="character" w:customStyle="1" w:styleId="1988">
    <w:name w:val="副标题 字符2"/>
    <w:basedOn w:val="136"/>
    <w:qFormat/>
    <w:uiPriority w:val="11"/>
    <w:rPr>
      <w:b/>
      <w:bCs/>
      <w:kern w:val="28"/>
      <w:sz w:val="32"/>
      <w:szCs w:val="32"/>
    </w:rPr>
  </w:style>
  <w:style w:type="character" w:customStyle="1" w:styleId="1989">
    <w:name w:val="注释标题 字符2"/>
    <w:basedOn w:val="136"/>
    <w:semiHidden/>
    <w:qFormat/>
    <w:uiPriority w:val="99"/>
    <w:rPr>
      <w:rFonts w:ascii="Times New Roman" w:hAnsi="Times New Roman" w:eastAsia="方正仿宋_GBK" w:cs="Times New Roman"/>
      <w:kern w:val="0"/>
      <w:sz w:val="32"/>
      <w:szCs w:val="20"/>
    </w:rPr>
  </w:style>
  <w:style w:type="character" w:customStyle="1" w:styleId="1990">
    <w:name w:val="HTML 预设格式 字符2"/>
    <w:basedOn w:val="136"/>
    <w:semiHidden/>
    <w:qFormat/>
    <w:uiPriority w:val="99"/>
    <w:rPr>
      <w:rFonts w:ascii="Courier New" w:hAnsi="Courier New" w:eastAsia="方正仿宋_GBK" w:cs="Courier New"/>
      <w:kern w:val="0"/>
      <w:sz w:val="20"/>
      <w:szCs w:val="20"/>
    </w:rPr>
  </w:style>
  <w:style w:type="character" w:customStyle="1" w:styleId="1991">
    <w:name w:val="称呼 字符2"/>
    <w:basedOn w:val="136"/>
    <w:semiHidden/>
    <w:qFormat/>
    <w:uiPriority w:val="99"/>
    <w:rPr>
      <w:rFonts w:ascii="Times New Roman" w:hAnsi="Times New Roman" w:eastAsia="方正仿宋_GBK" w:cs="Times New Roman"/>
      <w:kern w:val="0"/>
      <w:sz w:val="32"/>
      <w:szCs w:val="20"/>
    </w:rPr>
  </w:style>
  <w:style w:type="character" w:customStyle="1" w:styleId="1992">
    <w:name w:val="宏文本 字符3"/>
    <w:basedOn w:val="136"/>
    <w:semiHidden/>
    <w:qFormat/>
    <w:uiPriority w:val="99"/>
    <w:rPr>
      <w:rFonts w:ascii="Courier New" w:hAnsi="Courier New" w:eastAsia="宋体" w:cs="Courier New"/>
      <w:kern w:val="0"/>
      <w:sz w:val="24"/>
      <w:szCs w:val="24"/>
    </w:rPr>
  </w:style>
  <w:style w:type="character" w:customStyle="1" w:styleId="1993">
    <w:name w:val="结束语 字符2"/>
    <w:basedOn w:val="136"/>
    <w:semiHidden/>
    <w:qFormat/>
    <w:uiPriority w:val="99"/>
    <w:rPr>
      <w:rFonts w:ascii="Times New Roman" w:hAnsi="Times New Roman" w:eastAsia="方正仿宋_GBK" w:cs="Times New Roman"/>
      <w:kern w:val="0"/>
      <w:sz w:val="32"/>
      <w:szCs w:val="20"/>
    </w:rPr>
  </w:style>
  <w:style w:type="character" w:customStyle="1" w:styleId="1994">
    <w:name w:val="尾注文本 字符3"/>
    <w:basedOn w:val="136"/>
    <w:semiHidden/>
    <w:qFormat/>
    <w:uiPriority w:val="99"/>
    <w:rPr>
      <w:rFonts w:ascii="Times New Roman" w:hAnsi="Times New Roman" w:eastAsia="方正仿宋_GBK" w:cs="Times New Roman"/>
      <w:kern w:val="0"/>
      <w:sz w:val="32"/>
      <w:szCs w:val="20"/>
    </w:rPr>
  </w:style>
  <w:style w:type="character" w:customStyle="1" w:styleId="1995">
    <w:name w:val="HTML 地址 字符2"/>
    <w:basedOn w:val="136"/>
    <w:semiHidden/>
    <w:qFormat/>
    <w:uiPriority w:val="99"/>
    <w:rPr>
      <w:rFonts w:ascii="Times New Roman" w:hAnsi="Times New Roman" w:eastAsia="方正仿宋_GBK" w:cs="Times New Roman"/>
      <w:i/>
      <w:iCs/>
      <w:kern w:val="0"/>
      <w:sz w:val="32"/>
      <w:szCs w:val="20"/>
    </w:rPr>
  </w:style>
  <w:style w:type="character" w:customStyle="1" w:styleId="1996">
    <w:name w:val="电子邮件签名 字符2"/>
    <w:basedOn w:val="136"/>
    <w:semiHidden/>
    <w:qFormat/>
    <w:uiPriority w:val="99"/>
    <w:rPr>
      <w:rFonts w:ascii="Times New Roman" w:hAnsi="Times New Roman" w:eastAsia="方正仿宋_GBK" w:cs="Times New Roman"/>
      <w:kern w:val="0"/>
      <w:sz w:val="32"/>
      <w:szCs w:val="20"/>
    </w:rPr>
  </w:style>
  <w:style w:type="character" w:customStyle="1" w:styleId="1997">
    <w:name w:val="签名 字符2"/>
    <w:basedOn w:val="136"/>
    <w:semiHidden/>
    <w:qFormat/>
    <w:uiPriority w:val="99"/>
    <w:rPr>
      <w:rFonts w:ascii="Times New Roman" w:hAnsi="Times New Roman" w:eastAsia="方正仿宋_GBK" w:cs="Times New Roman"/>
      <w:kern w:val="0"/>
      <w:sz w:val="32"/>
      <w:szCs w:val="20"/>
    </w:rPr>
  </w:style>
  <w:style w:type="character" w:customStyle="1" w:styleId="1998">
    <w:name w:val="脚注文本 字符3"/>
    <w:basedOn w:val="136"/>
    <w:semiHidden/>
    <w:qFormat/>
    <w:uiPriority w:val="99"/>
    <w:rPr>
      <w:rFonts w:ascii="Times New Roman" w:hAnsi="Times New Roman" w:eastAsia="方正仿宋_GBK" w:cs="Times New Roman"/>
      <w:kern w:val="0"/>
      <w:sz w:val="18"/>
      <w:szCs w:val="18"/>
    </w:rPr>
  </w:style>
  <w:style w:type="paragraph" w:customStyle="1" w:styleId="1999">
    <w:name w:val="6级标题S"/>
    <w:basedOn w:val="15"/>
    <w:link w:val="2910"/>
    <w:qFormat/>
    <w:uiPriority w:val="0"/>
    <w:pPr>
      <w:widowControl/>
      <w:numPr>
        <w:ilvl w:val="0"/>
        <w:numId w:val="0"/>
      </w:numPr>
      <w:tabs>
        <w:tab w:val="left" w:pos="1701"/>
      </w:tabs>
      <w:spacing w:before="120" w:after="120" w:line="319" w:lineRule="auto"/>
    </w:pPr>
    <w:rPr>
      <w:rFonts w:ascii="宋体" w:hAnsi="宋体" w:cs="宋体"/>
      <w:color w:val="171717"/>
      <w:kern w:val="0"/>
      <w:sz w:val="24"/>
    </w:rPr>
  </w:style>
  <w:style w:type="character" w:customStyle="1" w:styleId="2000">
    <w:name w:val="标题 字符3"/>
    <w:qFormat/>
    <w:uiPriority w:val="10"/>
    <w:rPr>
      <w:rFonts w:ascii="宋体" w:hAnsi="宋体"/>
      <w:color w:val="FFFFFF"/>
      <w:spacing w:val="11"/>
      <w:sz w:val="24"/>
      <w:szCs w:val="24"/>
      <w:shd w:val="clear" w:color="auto" w:fill="4293F4"/>
    </w:rPr>
  </w:style>
  <w:style w:type="paragraph" w:customStyle="1" w:styleId="2001">
    <w:name w:val="图案编号"/>
    <w:basedOn w:val="1"/>
    <w:link w:val="2002"/>
    <w:qFormat/>
    <w:uiPriority w:val="0"/>
    <w:pPr>
      <w:tabs>
        <w:tab w:val="left" w:pos="420"/>
      </w:tabs>
      <w:ind w:left="420" w:hanging="420" w:firstLineChars="200"/>
      <w:jc w:val="center"/>
      <w:textAlignment w:val="center"/>
    </w:pPr>
    <w:rPr>
      <w:rFonts w:ascii="宋体" w:hAnsi="宋体" w:eastAsia="宋体" w:cs="宋体"/>
      <w:szCs w:val="24"/>
    </w:rPr>
  </w:style>
  <w:style w:type="character" w:customStyle="1" w:styleId="2002">
    <w:name w:val="图案编号 Char"/>
    <w:link w:val="2001"/>
    <w:qFormat/>
    <w:locked/>
    <w:uiPriority w:val="0"/>
    <w:rPr>
      <w:rFonts w:ascii="宋体" w:hAnsi="宋体" w:cs="宋体"/>
      <w:kern w:val="2"/>
      <w:sz w:val="21"/>
      <w:szCs w:val="24"/>
    </w:rPr>
  </w:style>
  <w:style w:type="character" w:customStyle="1" w:styleId="2003">
    <w:name w:val="表格标题 Char"/>
    <w:link w:val="565"/>
    <w:qFormat/>
    <w:uiPriority w:val="0"/>
    <w:rPr>
      <w:rFonts w:eastAsia="黑体"/>
      <w:kern w:val="2"/>
      <w:sz w:val="24"/>
    </w:rPr>
  </w:style>
  <w:style w:type="paragraph" w:customStyle="1" w:styleId="2004">
    <w:name w:val="封面2底部-公司名称"/>
    <w:qFormat/>
    <w:uiPriority w:val="0"/>
    <w:pPr>
      <w:widowControl w:val="0"/>
      <w:snapToGrid w:val="0"/>
      <w:spacing w:line="360" w:lineRule="auto"/>
      <w:jc w:val="center"/>
    </w:pPr>
    <w:rPr>
      <w:rFonts w:ascii="隶书" w:hAnsi="隶书" w:eastAsia="隶书" w:cs="Times New Roman"/>
      <w:b/>
      <w:snapToGrid w:val="0"/>
      <w:spacing w:val="34"/>
      <w:sz w:val="30"/>
      <w:lang w:val="en-US" w:eastAsia="zh-CN" w:bidi="ar-SA"/>
    </w:rPr>
  </w:style>
  <w:style w:type="paragraph" w:customStyle="1" w:styleId="2005">
    <w:name w:val="文件分发表标题"/>
    <w:qFormat/>
    <w:uiPriority w:val="0"/>
    <w:pPr>
      <w:jc w:val="center"/>
    </w:pPr>
    <w:rPr>
      <w:rFonts w:ascii="Times New Roman" w:hAnsi="Times New Roman" w:eastAsia="宋体" w:cs="Times New Roman"/>
      <w:b/>
      <w:sz w:val="28"/>
      <w:lang w:val="en-US" w:eastAsia="zh-CN" w:bidi="ar-SA"/>
    </w:rPr>
  </w:style>
  <w:style w:type="paragraph" w:customStyle="1" w:styleId="2006">
    <w:name w:val="表格编号(五号)"/>
    <w:basedOn w:val="1"/>
    <w:next w:val="345"/>
    <w:qFormat/>
    <w:uiPriority w:val="0"/>
    <w:pPr>
      <w:snapToGrid w:val="0"/>
      <w:spacing w:before="60" w:after="60"/>
      <w:ind w:left="11"/>
      <w:jc w:val="center"/>
    </w:pPr>
    <w:rPr>
      <w:rFonts w:ascii="Times New Roman" w:hAnsi="Times New Roman" w:eastAsia="宋体" w:cs="宋体"/>
      <w:kern w:val="0"/>
      <w:szCs w:val="20"/>
    </w:rPr>
  </w:style>
  <w:style w:type="paragraph" w:customStyle="1" w:styleId="2007">
    <w:name w:val="样式 首行缩进:  0.74 厘米"/>
    <w:basedOn w:val="1"/>
    <w:qFormat/>
    <w:uiPriority w:val="99"/>
    <w:pPr>
      <w:spacing w:line="360" w:lineRule="auto"/>
      <w:ind w:firstLine="420" w:firstLineChars="200"/>
    </w:pPr>
    <w:rPr>
      <w:rFonts w:ascii="宋体" w:hAnsi="宋体" w:eastAsia="宋体" w:cs="宋体"/>
      <w:sz w:val="24"/>
      <w:szCs w:val="24"/>
    </w:rPr>
  </w:style>
  <w:style w:type="paragraph" w:customStyle="1" w:styleId="2008">
    <w:name w:val="插图编号"/>
    <w:basedOn w:val="345"/>
    <w:next w:val="345"/>
    <w:qFormat/>
    <w:uiPriority w:val="0"/>
    <w:pPr>
      <w:tabs>
        <w:tab w:val="left" w:pos="0"/>
      </w:tabs>
      <w:spacing w:before="50" w:beforeLines="50" w:after="100" w:afterLines="100"/>
      <w:ind w:firstLine="0" w:firstLineChars="0"/>
      <w:jc w:val="center"/>
    </w:pPr>
    <w:rPr>
      <w:spacing w:val="0"/>
      <w:sz w:val="21"/>
    </w:rPr>
  </w:style>
  <w:style w:type="paragraph" w:customStyle="1" w:styleId="2009">
    <w:name w:val="封面3表格内文字-右"/>
    <w:qFormat/>
    <w:uiPriority w:val="0"/>
    <w:pPr>
      <w:widowControl w:val="0"/>
      <w:snapToGrid w:val="0"/>
    </w:pPr>
    <w:rPr>
      <w:rFonts w:ascii="隶书" w:hAnsi="隶书" w:eastAsia="隶书" w:cs="Times New Roman"/>
      <w:b/>
      <w:snapToGrid w:val="0"/>
      <w:sz w:val="32"/>
      <w:lang w:val="en-US" w:eastAsia="zh-CN" w:bidi="ar-SA"/>
    </w:rPr>
  </w:style>
  <w:style w:type="paragraph" w:customStyle="1" w:styleId="2010">
    <w:name w:val="封面2标题"/>
    <w:qFormat/>
    <w:uiPriority w:val="99"/>
    <w:pPr>
      <w:widowControl w:val="0"/>
      <w:snapToGrid w:val="0"/>
      <w:spacing w:line="360" w:lineRule="auto"/>
      <w:jc w:val="center"/>
    </w:pPr>
    <w:rPr>
      <w:rFonts w:ascii="隶书" w:hAnsi="隶书" w:eastAsia="隶书" w:cs="Times New Roman"/>
      <w:b/>
      <w:snapToGrid w:val="0"/>
      <w:sz w:val="44"/>
      <w:lang w:val="en-US" w:eastAsia="zh-CN" w:bidi="ar-SA"/>
    </w:rPr>
  </w:style>
  <w:style w:type="paragraph" w:customStyle="1" w:styleId="2011">
    <w:name w:val="注"/>
    <w:basedOn w:val="1"/>
    <w:qFormat/>
    <w:uiPriority w:val="0"/>
    <w:pPr>
      <w:spacing w:line="360" w:lineRule="auto"/>
      <w:ind w:firstLine="520" w:firstLineChars="200"/>
    </w:pPr>
    <w:rPr>
      <w:rFonts w:ascii="宋体" w:hAnsi="宋体" w:eastAsia="宋体" w:cs="宋体"/>
      <w:szCs w:val="24"/>
    </w:rPr>
  </w:style>
  <w:style w:type="paragraph" w:customStyle="1" w:styleId="2012">
    <w:name w:val="注释"/>
    <w:basedOn w:val="1"/>
    <w:link w:val="2013"/>
    <w:qFormat/>
    <w:uiPriority w:val="0"/>
    <w:pPr>
      <w:spacing w:line="360" w:lineRule="auto"/>
      <w:ind w:firstLine="520" w:firstLineChars="200"/>
      <w:jc w:val="center"/>
    </w:pPr>
    <w:rPr>
      <w:rFonts w:ascii="汉仪中等线KW" w:hAnsi="汉仪中等线KW" w:eastAsia="儷宋 Pro" w:cs="Times New Roman"/>
      <w:sz w:val="24"/>
      <w:szCs w:val="24"/>
    </w:rPr>
  </w:style>
  <w:style w:type="character" w:customStyle="1" w:styleId="2013">
    <w:name w:val="注释 Char"/>
    <w:link w:val="2012"/>
    <w:qFormat/>
    <w:locked/>
    <w:uiPriority w:val="0"/>
    <w:rPr>
      <w:rFonts w:ascii="汉仪中等线KW" w:hAnsi="汉仪中等线KW" w:eastAsia="儷宋 Pro"/>
      <w:kern w:val="2"/>
      <w:sz w:val="24"/>
      <w:szCs w:val="24"/>
    </w:rPr>
  </w:style>
  <w:style w:type="paragraph" w:customStyle="1" w:styleId="2014">
    <w:name w:val="封面3表格内文字-左"/>
    <w:qFormat/>
    <w:uiPriority w:val="0"/>
    <w:pPr>
      <w:widowControl w:val="0"/>
      <w:snapToGrid w:val="0"/>
      <w:jc w:val="distribute"/>
    </w:pPr>
    <w:rPr>
      <w:rFonts w:ascii="宋体" w:hAnsi="宋体" w:eastAsia="宋体" w:cs="Times New Roman"/>
      <w:snapToGrid w:val="0"/>
      <w:sz w:val="32"/>
      <w:lang w:val="en-US" w:eastAsia="zh-CN" w:bidi="ar-SA"/>
    </w:rPr>
  </w:style>
  <w:style w:type="paragraph" w:customStyle="1" w:styleId="2015">
    <w:name w:val="表格内文字"/>
    <w:qFormat/>
    <w:uiPriority w:val="0"/>
    <w:pPr>
      <w:widowControl w:val="0"/>
      <w:snapToGrid w:val="0"/>
      <w:ind w:left="66" w:leftChars="25" w:right="66" w:rightChars="25"/>
      <w:jc w:val="center"/>
    </w:pPr>
    <w:rPr>
      <w:rFonts w:hint="eastAsia" w:ascii="宋体" w:hAnsi="宋体" w:eastAsia="宋体" w:cs="Times New Roman"/>
      <w:snapToGrid w:val="0"/>
      <w:sz w:val="21"/>
      <w:szCs w:val="22"/>
      <w:lang w:val="en-US" w:eastAsia="zh-CN" w:bidi="ar-SA"/>
    </w:rPr>
  </w:style>
  <w:style w:type="paragraph" w:customStyle="1" w:styleId="2016">
    <w:name w:val="表格编号"/>
    <w:basedOn w:val="2001"/>
    <w:next w:val="1"/>
    <w:qFormat/>
    <w:uiPriority w:val="0"/>
    <w:pPr>
      <w:keepNext/>
      <w:tabs>
        <w:tab w:val="left" w:pos="0"/>
      </w:tabs>
      <w:snapToGrid w:val="0"/>
      <w:spacing w:before="100" w:beforeLines="100" w:line="360" w:lineRule="auto"/>
      <w:ind w:left="0" w:firstLine="0" w:firstLineChars="0"/>
    </w:pPr>
    <w:rPr>
      <w:rFonts w:cs="Times New Roman"/>
      <w:snapToGrid w:val="0"/>
      <w:szCs w:val="22"/>
    </w:rPr>
  </w:style>
  <w:style w:type="character" w:customStyle="1" w:styleId="2017">
    <w:name w:val="标题 2 Char"/>
    <w:qFormat/>
    <w:uiPriority w:val="9"/>
    <w:rPr>
      <w:rFonts w:ascii="Times New Roman" w:hAnsi="Times New Roman" w:eastAsia="黑体"/>
      <w:bCs/>
      <w:kern w:val="44"/>
      <w:sz w:val="28"/>
      <w:szCs w:val="28"/>
    </w:rPr>
  </w:style>
  <w:style w:type="character" w:customStyle="1" w:styleId="2018">
    <w:name w:val="表格 Char"/>
    <w:link w:val="582"/>
    <w:qFormat/>
    <w:locked/>
    <w:uiPriority w:val="0"/>
    <w:rPr>
      <w:kern w:val="2"/>
      <w:sz w:val="21"/>
    </w:rPr>
  </w:style>
  <w:style w:type="table" w:customStyle="1" w:styleId="2019">
    <w:name w:val="表格边框"/>
    <w:basedOn w:val="90"/>
    <w:qFormat/>
    <w:uiPriority w:val="0"/>
    <w:tblPr>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
    <w:trPr>
      <w:cantSplit/>
      <w:jc w:val="center"/>
    </w:trPr>
    <w:tcPr>
      <w:vAlign w:val="center"/>
    </w:tcPr>
  </w:style>
  <w:style w:type="paragraph" w:customStyle="1" w:styleId="2020">
    <w:name w:val="表格内容五号"/>
    <w:basedOn w:val="1"/>
    <w:link w:val="2021"/>
    <w:qFormat/>
    <w:uiPriority w:val="0"/>
    <w:pPr>
      <w:jc w:val="center"/>
    </w:pPr>
    <w:rPr>
      <w:rFonts w:ascii="Times New Roman" w:hAnsi="Times New Roman" w:eastAsia="宋体" w:cs="Arial Unicode MS"/>
      <w:kern w:val="0"/>
      <w:szCs w:val="21"/>
    </w:rPr>
  </w:style>
  <w:style w:type="character" w:customStyle="1" w:styleId="2021">
    <w:name w:val="表格内容五号 Char"/>
    <w:link w:val="2020"/>
    <w:qFormat/>
    <w:uiPriority w:val="0"/>
    <w:rPr>
      <w:rFonts w:cs="Arial Unicode MS"/>
      <w:sz w:val="21"/>
      <w:szCs w:val="21"/>
    </w:rPr>
  </w:style>
  <w:style w:type="paragraph" w:customStyle="1" w:styleId="2022">
    <w:name w:val="表格内容小五"/>
    <w:basedOn w:val="2020"/>
    <w:qFormat/>
    <w:uiPriority w:val="0"/>
    <w:rPr>
      <w:sz w:val="18"/>
      <w:szCs w:val="18"/>
    </w:rPr>
  </w:style>
  <w:style w:type="paragraph" w:customStyle="1" w:styleId="2023">
    <w:name w:val="目录二级"/>
    <w:basedOn w:val="78"/>
    <w:qFormat/>
    <w:uiPriority w:val="0"/>
    <w:pPr>
      <w:keepLines/>
      <w:widowControl/>
      <w:tabs>
        <w:tab w:val="left" w:pos="735"/>
        <w:tab w:val="right" w:leader="dot" w:pos="8647"/>
      </w:tabs>
      <w:spacing w:line="360" w:lineRule="auto"/>
      <w:ind w:left="312" w:leftChars="130"/>
    </w:pPr>
    <w:rPr>
      <w:rFonts w:ascii="Times New Roman" w:hAnsi="Times New Roman" w:eastAsia="黑体" w:cs="宋体"/>
      <w:sz w:val="24"/>
      <w:szCs w:val="24"/>
    </w:rPr>
  </w:style>
  <w:style w:type="paragraph" w:customStyle="1" w:styleId="2024">
    <w:name w:val="目录三级"/>
    <w:basedOn w:val="48"/>
    <w:qFormat/>
    <w:uiPriority w:val="0"/>
    <w:pPr>
      <w:tabs>
        <w:tab w:val="left" w:pos="1155"/>
        <w:tab w:val="right" w:leader="dot" w:pos="8647"/>
      </w:tabs>
      <w:spacing w:line="360" w:lineRule="auto"/>
      <w:ind w:left="528" w:leftChars="220"/>
    </w:pPr>
    <w:rPr>
      <w:rFonts w:ascii="Times New Roman" w:hAnsi="Times New Roman" w:eastAsia="黑体" w:cs="宋体"/>
      <w:sz w:val="24"/>
      <w:szCs w:val="24"/>
    </w:rPr>
  </w:style>
  <w:style w:type="paragraph" w:customStyle="1" w:styleId="2025">
    <w:name w:val="目录一级"/>
    <w:basedOn w:val="63"/>
    <w:qFormat/>
    <w:uiPriority w:val="0"/>
    <w:pPr>
      <w:keepLines/>
      <w:widowControl/>
      <w:tabs>
        <w:tab w:val="left" w:pos="0"/>
        <w:tab w:val="left" w:pos="552"/>
        <w:tab w:val="right" w:leader="dot" w:pos="8647"/>
      </w:tabs>
      <w:spacing w:line="360" w:lineRule="auto"/>
    </w:pPr>
    <w:rPr>
      <w:rFonts w:ascii="Times New Roman" w:hAnsi="Times New Roman" w:eastAsia="黑体"/>
      <w:sz w:val="24"/>
      <w:szCs w:val="24"/>
    </w:rPr>
  </w:style>
  <w:style w:type="paragraph" w:customStyle="1" w:styleId="2026">
    <w:name w:val="图纸目录"/>
    <w:basedOn w:val="1"/>
    <w:link w:val="2027"/>
    <w:qFormat/>
    <w:uiPriority w:val="0"/>
    <w:pPr>
      <w:numPr>
        <w:ilvl w:val="0"/>
        <w:numId w:val="64"/>
      </w:numPr>
      <w:tabs>
        <w:tab w:val="left" w:pos="840"/>
        <w:tab w:val="left" w:pos="960"/>
        <w:tab w:val="left" w:pos="1080"/>
        <w:tab w:val="right" w:pos="9379"/>
      </w:tabs>
      <w:adjustRightInd w:val="0"/>
      <w:spacing w:line="360" w:lineRule="auto"/>
      <w:ind w:firstLine="0"/>
    </w:pPr>
    <w:rPr>
      <w:rFonts w:ascii="Times New Roman" w:hAnsi="Times New Roman" w:eastAsia="宋体" w:cs="Times New Roman"/>
      <w:sz w:val="24"/>
      <w:szCs w:val="24"/>
    </w:rPr>
  </w:style>
  <w:style w:type="character" w:customStyle="1" w:styleId="2027">
    <w:name w:val="图纸目录 Char Char"/>
    <w:link w:val="2026"/>
    <w:qFormat/>
    <w:uiPriority w:val="0"/>
    <w:rPr>
      <w:kern w:val="2"/>
      <w:sz w:val="24"/>
      <w:szCs w:val="24"/>
    </w:rPr>
  </w:style>
  <w:style w:type="paragraph" w:customStyle="1" w:styleId="2028">
    <w:name w:val="图纸编号"/>
    <w:basedOn w:val="2026"/>
    <w:qFormat/>
    <w:uiPriority w:val="0"/>
    <w:pPr>
      <w:numPr>
        <w:numId w:val="0"/>
      </w:numPr>
      <w:jc w:val="right"/>
    </w:pPr>
    <w:rPr>
      <w:rFonts w:cs="宋体"/>
    </w:rPr>
  </w:style>
  <w:style w:type="paragraph" w:customStyle="1" w:styleId="2029">
    <w:name w:val="样式 目录 2 + 左侧:  1.3 字符"/>
    <w:basedOn w:val="78"/>
    <w:qFormat/>
    <w:uiPriority w:val="0"/>
    <w:pPr>
      <w:keepLines/>
      <w:widowControl/>
      <w:tabs>
        <w:tab w:val="left" w:pos="735"/>
        <w:tab w:val="right" w:leader="dot" w:pos="8647"/>
      </w:tabs>
      <w:spacing w:line="360" w:lineRule="auto"/>
      <w:ind w:left="312" w:leftChars="130"/>
    </w:pPr>
    <w:rPr>
      <w:rFonts w:ascii="Times New Roman" w:hAnsi="Times New Roman" w:eastAsia="黑体" w:cs="宋体"/>
      <w:sz w:val="24"/>
      <w:szCs w:val="20"/>
    </w:rPr>
  </w:style>
  <w:style w:type="paragraph" w:customStyle="1" w:styleId="2030">
    <w:name w:val="正文二级项目列"/>
    <w:basedOn w:val="1"/>
    <w:qFormat/>
    <w:uiPriority w:val="0"/>
    <w:pPr>
      <w:numPr>
        <w:ilvl w:val="0"/>
        <w:numId w:val="65"/>
      </w:numPr>
      <w:tabs>
        <w:tab w:val="left" w:pos="840"/>
      </w:tabs>
      <w:spacing w:line="360" w:lineRule="auto"/>
      <w:ind w:firstLine="0"/>
      <w:jc w:val="left"/>
    </w:pPr>
    <w:rPr>
      <w:rFonts w:ascii="Times New Roman" w:hAnsi="Times New Roman" w:eastAsia="宋体" w:cs="Times New Roman"/>
      <w:sz w:val="24"/>
      <w:szCs w:val="24"/>
    </w:rPr>
  </w:style>
  <w:style w:type="paragraph" w:customStyle="1" w:styleId="2031">
    <w:name w:val="正文三级项目列"/>
    <w:basedOn w:val="1"/>
    <w:qFormat/>
    <w:uiPriority w:val="0"/>
    <w:pPr>
      <w:numPr>
        <w:ilvl w:val="0"/>
        <w:numId w:val="66"/>
      </w:numPr>
      <w:tabs>
        <w:tab w:val="left" w:pos="840"/>
      </w:tabs>
      <w:spacing w:line="360" w:lineRule="auto"/>
      <w:ind w:firstLine="0"/>
      <w:jc w:val="left"/>
    </w:pPr>
    <w:rPr>
      <w:rFonts w:ascii="Times New Roman" w:hAnsi="Times New Roman" w:eastAsia="宋体" w:cs="Times New Roman"/>
      <w:sz w:val="24"/>
      <w:szCs w:val="24"/>
    </w:rPr>
  </w:style>
  <w:style w:type="paragraph" w:customStyle="1" w:styleId="2032">
    <w:name w:val="正文一级项目列"/>
    <w:basedOn w:val="1"/>
    <w:qFormat/>
    <w:uiPriority w:val="0"/>
    <w:pPr>
      <w:numPr>
        <w:ilvl w:val="0"/>
        <w:numId w:val="67"/>
      </w:numPr>
      <w:tabs>
        <w:tab w:val="left" w:pos="840"/>
      </w:tabs>
      <w:spacing w:line="360" w:lineRule="auto"/>
      <w:ind w:firstLine="0"/>
      <w:jc w:val="left"/>
    </w:pPr>
    <w:rPr>
      <w:rFonts w:ascii="Times New Roman" w:hAnsi="Times New Roman" w:eastAsia="宋体" w:cs="Times New Roman"/>
      <w:sz w:val="24"/>
      <w:szCs w:val="24"/>
    </w:rPr>
  </w:style>
  <w:style w:type="paragraph" w:customStyle="1" w:styleId="2033">
    <w:name w:val="封面上部"/>
    <w:basedOn w:val="1"/>
    <w:qFormat/>
    <w:uiPriority w:val="0"/>
    <w:pPr>
      <w:tabs>
        <w:tab w:val="left" w:pos="8280"/>
      </w:tabs>
      <w:adjustRightInd w:val="0"/>
      <w:spacing w:line="360" w:lineRule="auto"/>
      <w:ind w:right="26"/>
      <w:jc w:val="center"/>
      <w:outlineLvl w:val="0"/>
    </w:pPr>
    <w:rPr>
      <w:rFonts w:ascii="Arial" w:hAnsi="Times New Roman" w:eastAsia="黑体" w:cs="Times New Roman"/>
      <w:color w:val="000000"/>
      <w:kern w:val="0"/>
      <w:sz w:val="32"/>
      <w:szCs w:val="20"/>
    </w:rPr>
  </w:style>
  <w:style w:type="paragraph" w:customStyle="1" w:styleId="2034">
    <w:name w:val="封面下部"/>
    <w:basedOn w:val="1"/>
    <w:qFormat/>
    <w:uiPriority w:val="0"/>
    <w:pPr>
      <w:tabs>
        <w:tab w:val="left" w:pos="8280"/>
      </w:tabs>
      <w:adjustRightInd w:val="0"/>
      <w:spacing w:line="360" w:lineRule="auto"/>
      <w:ind w:right="26"/>
      <w:jc w:val="center"/>
      <w:outlineLvl w:val="0"/>
    </w:pPr>
    <w:rPr>
      <w:rFonts w:ascii="Arial" w:hAnsi="Times New Roman" w:eastAsia="黑体" w:cs="Times New Roman"/>
      <w:color w:val="000000"/>
      <w:kern w:val="0"/>
      <w:sz w:val="32"/>
      <w:szCs w:val="20"/>
    </w:rPr>
  </w:style>
  <w:style w:type="character" w:customStyle="1" w:styleId="2035">
    <w:name w:val="引用 字符2"/>
    <w:basedOn w:val="136"/>
    <w:semiHidden/>
    <w:qFormat/>
    <w:uiPriority w:val="9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paragraph" w:customStyle="1" w:styleId="2036">
    <w:name w:val="font10"/>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2037">
    <w:name w:val="font1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038">
    <w:name w:val="font13"/>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2039">
    <w:name w:val="font14"/>
    <w:basedOn w:val="1"/>
    <w:qFormat/>
    <w:uiPriority w:val="99"/>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2040">
    <w:name w:val="font15"/>
    <w:basedOn w:val="1"/>
    <w:qFormat/>
    <w:uiPriority w:val="99"/>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041">
    <w:name w:val="font16"/>
    <w:basedOn w:val="1"/>
    <w:qFormat/>
    <w:uiPriority w:val="99"/>
    <w:pPr>
      <w:widowControl/>
      <w:spacing w:before="100" w:beforeAutospacing="1" w:after="100" w:afterAutospacing="1"/>
      <w:jc w:val="left"/>
    </w:pPr>
    <w:rPr>
      <w:rFonts w:ascii="宋体" w:hAnsi="宋体" w:eastAsia="宋体" w:cs="宋体"/>
      <w:kern w:val="0"/>
      <w:szCs w:val="21"/>
    </w:rPr>
  </w:style>
  <w:style w:type="paragraph" w:customStyle="1" w:styleId="2042">
    <w:name w:val="font17"/>
    <w:basedOn w:val="1"/>
    <w:qFormat/>
    <w:uiPriority w:val="99"/>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2043">
    <w:name w:val="xl172"/>
    <w:basedOn w:val="1"/>
    <w:qFormat/>
    <w:uiPriority w:val="99"/>
    <w:pPr>
      <w:widowControl/>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44">
    <w:name w:val="xl1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45">
    <w:name w:val="xl1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46">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47">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48">
    <w:name w:val="xl177"/>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049">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50">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1">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52">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3">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4">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5">
    <w:name w:val="xl184"/>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056">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57">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5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59">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60">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61">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62">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63">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64">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65">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66">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67">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68">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69">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0">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1">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2">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3">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4">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6">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7">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8">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79">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80">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1">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82">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3">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84">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5">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6">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87">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88">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9">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90">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1">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2">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3">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4">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5">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6">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7">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9">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00">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01">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02">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3">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4">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5">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06">
    <w:name w:val="xl2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7">
    <w:name w:val="xl2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8">
    <w:name w:val="xl2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09">
    <w:name w:val="xl2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10">
    <w:name w:val="xl2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11">
    <w:name w:val="xl24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2">
    <w:name w:val="xl2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3">
    <w:name w:val="xl2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4">
    <w:name w:val="xl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5">
    <w:name w:val="xl24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6">
    <w:name w:val="xl24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17">
    <w:name w:val="xl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18">
    <w:name w:val="xl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19">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20">
    <w:name w:val="xl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21">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22">
    <w:name w:val="xl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23">
    <w:name w:val="xl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124">
    <w:name w:val="xl2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25">
    <w:name w:val="xl2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26">
    <w:name w:val="xl2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27">
    <w:name w:val="xl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28">
    <w:name w:val="xl2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29">
    <w:name w:val="xl2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0">
    <w:name w:val="xl2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1">
    <w:name w:val="xl2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32">
    <w:name w:val="xl2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3">
    <w:name w:val="xl2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34">
    <w:name w:val="xl2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35">
    <w:name w:val="xl2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6">
    <w:name w:val="xl2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7">
    <w:name w:val="xl2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8">
    <w:name w:val="xl2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39">
    <w:name w:val="xl2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40">
    <w:name w:val="xl2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41">
    <w:name w:val="xl2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42">
    <w:name w:val="xl2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43">
    <w:name w:val="xl2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144">
    <w:name w:val="xl2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45">
    <w:name w:val="xl2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46">
    <w:name w:val="xl2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47">
    <w:name w:val="xl276"/>
    <w:basedOn w:val="1"/>
    <w:qFormat/>
    <w:uiPriority w:val="0"/>
    <w:pPr>
      <w:widowControl/>
      <w:spacing w:before="100" w:beforeAutospacing="1" w:after="100" w:afterAutospacing="1"/>
      <w:jc w:val="left"/>
      <w:textAlignment w:val="center"/>
    </w:pPr>
    <w:rPr>
      <w:rFonts w:ascii="宋体" w:hAnsi="宋体" w:eastAsia="宋体" w:cs="宋体"/>
      <w:color w:val="FF0000"/>
      <w:kern w:val="0"/>
      <w:sz w:val="20"/>
      <w:szCs w:val="20"/>
    </w:rPr>
  </w:style>
  <w:style w:type="paragraph" w:customStyle="1" w:styleId="2148">
    <w:name w:val="xl2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149">
    <w:name w:val="xl2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0">
    <w:name w:val="xl2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1">
    <w:name w:val="xl2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2">
    <w:name w:val="xl2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3">
    <w:name w:val="xl2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4">
    <w:name w:val="xl2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5">
    <w:name w:val="xl2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6">
    <w:name w:val="xl2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7">
    <w:name w:val="xl2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8">
    <w:name w:val="xl2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59">
    <w:name w:val="xl2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60">
    <w:name w:val="xl2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61">
    <w:name w:val="xl2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2">
    <w:name w:val="xl2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3">
    <w:name w:val="xl2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4">
    <w:name w:val="xl2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65">
    <w:name w:val="xl2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6">
    <w:name w:val="xl2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7">
    <w:name w:val="xl2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68">
    <w:name w:val="xl2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9">
    <w:name w:val="xl2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0">
    <w:name w:val="xl2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1">
    <w:name w:val="xl3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72">
    <w:name w:val="xl3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3">
    <w:name w:val="xl3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4">
    <w:name w:val="xl3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5">
    <w:name w:val="xl3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6">
    <w:name w:val="xl3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7">
    <w:name w:val="xl3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78">
    <w:name w:val="xl3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9">
    <w:name w:val="xl3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80">
    <w:name w:val="xl3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81">
    <w:name w:val="xl3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82">
    <w:name w:val="xl3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83">
    <w:name w:val="xl3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84">
    <w:name w:val="xl3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85">
    <w:name w:val="xl3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86">
    <w:name w:val="xl3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87">
    <w:name w:val="xl3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88">
    <w:name w:val="xl3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89">
    <w:name w:val="xl3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90">
    <w:name w:val="xl3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91">
    <w:name w:val="xl3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92">
    <w:name w:val="xl3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93">
    <w:name w:val="xl3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94">
    <w:name w:val="xl3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95">
    <w:name w:val="xl3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96">
    <w:name w:val="xl3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97">
    <w:name w:val="xl3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98">
    <w:name w:val="xl3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99">
    <w:name w:val="xl3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00">
    <w:name w:val="xl3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01">
    <w:name w:val="xl3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02">
    <w:name w:val="xl3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03">
    <w:name w:val="xl3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04">
    <w:name w:val="xl333"/>
    <w:basedOn w:val="1"/>
    <w:qFormat/>
    <w:uiPriority w:val="0"/>
    <w:pPr>
      <w:widowControl/>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05">
    <w:name w:val="xl3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06">
    <w:name w:val="xl3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07">
    <w:name w:val="xl3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08">
    <w:name w:val="xl3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09">
    <w:name w:val="xl3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10">
    <w:name w:val="xl3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11">
    <w:name w:val="xl3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12">
    <w:name w:val="xl3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13">
    <w:name w:val="xl3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14">
    <w:name w:val="xl3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15">
    <w:name w:val="xl3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16">
    <w:name w:val="xl3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17">
    <w:name w:val="xl3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18">
    <w:name w:val="xl3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19">
    <w:name w:val="xl3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20">
    <w:name w:val="xl3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21">
    <w:name w:val="xl3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22">
    <w:name w:val="xl3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223">
    <w:name w:val="xl3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24">
    <w:name w:val="xl3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25">
    <w:name w:val="xl3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26">
    <w:name w:val="xl3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27">
    <w:name w:val="xl3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28">
    <w:name w:val="xl3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29">
    <w:name w:val="xl358"/>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2230">
    <w:name w:val="xl3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31">
    <w:name w:val="xl3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32">
    <w:name w:val="xl3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33">
    <w:name w:val="xl3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34">
    <w:name w:val="xl3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35">
    <w:name w:val="xl3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36">
    <w:name w:val="xl3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37">
    <w:name w:val="xl3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38">
    <w:name w:val="xl3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39">
    <w:name w:val="xl3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40">
    <w:name w:val="xl3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41">
    <w:name w:val="xl3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42">
    <w:name w:val="xl3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3">
    <w:name w:val="xl3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4">
    <w:name w:val="xl3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5">
    <w:name w:val="xl374"/>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246">
    <w:name w:val="xl3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7">
    <w:name w:val="xl3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48">
    <w:name w:val="xl3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249">
    <w:name w:val="xl3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0">
    <w:name w:val="xl3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1">
    <w:name w:val="xl3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252">
    <w:name w:val="xl3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3">
    <w:name w:val="xl3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4">
    <w:name w:val="xl3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5">
    <w:name w:val="xl3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6">
    <w:name w:val="xl3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7">
    <w:name w:val="xl3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8">
    <w:name w:val="xl3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9">
    <w:name w:val="xl3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0">
    <w:name w:val="xl3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1">
    <w:name w:val="xl3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2">
    <w:name w:val="xl3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63">
    <w:name w:val="xl3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4">
    <w:name w:val="xl3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65">
    <w:name w:val="xl3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66">
    <w:name w:val="xl3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67">
    <w:name w:val="xl3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8">
    <w:name w:val="xl3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69">
    <w:name w:val="xl3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70">
    <w:name w:val="xl3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Cs w:val="21"/>
    </w:rPr>
  </w:style>
  <w:style w:type="paragraph" w:customStyle="1" w:styleId="2271">
    <w:name w:val="xl4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72">
    <w:name w:val="xl4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73">
    <w:name w:val="xl4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74">
    <w:name w:val="xl4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75">
    <w:name w:val="xl4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76">
    <w:name w:val="xl4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77">
    <w:name w:val="xl4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78">
    <w:name w:val="xl4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79">
    <w:name w:val="xl408"/>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280">
    <w:name w:val="xl4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1">
    <w:name w:val="xl4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2">
    <w:name w:val="xl4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83">
    <w:name w:val="xl4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4">
    <w:name w:val="xl4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5">
    <w:name w:val="xl4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6">
    <w:name w:val="xl4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7">
    <w:name w:val="xl4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88">
    <w:name w:val="xl4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89">
    <w:name w:val="xl4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0">
    <w:name w:val="xl4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1">
    <w:name w:val="xl4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2">
    <w:name w:val="xl4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3">
    <w:name w:val="xl4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4">
    <w:name w:val="xl4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5">
    <w:name w:val="xl4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96">
    <w:name w:val="xl4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7">
    <w:name w:val="xl4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8">
    <w:name w:val="xl4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99">
    <w:name w:val="xl4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0">
    <w:name w:val="xl4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01">
    <w:name w:val="xl4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2">
    <w:name w:val="xl4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3">
    <w:name w:val="xl4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4">
    <w:name w:val="xl4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5">
    <w:name w:val="xl4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6">
    <w:name w:val="xl43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7">
    <w:name w:val="xl436"/>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8">
    <w:name w:val="xl437"/>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9">
    <w:name w:val="xl4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0">
    <w:name w:val="xl4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1">
    <w:name w:val="xl4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2">
    <w:name w:val="xl4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3">
    <w:name w:val="xl4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4">
    <w:name w:val="xl4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5">
    <w:name w:val="xl4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6">
    <w:name w:val="xl4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7">
    <w:name w:val="xl4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8">
    <w:name w:val="xl4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9">
    <w:name w:val="xl4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0">
    <w:name w:val="xl4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1">
    <w:name w:val="xl4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22">
    <w:name w:val="xl4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3">
    <w:name w:val="xl4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4">
    <w:name w:val="xl4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5">
    <w:name w:val="xl4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6">
    <w:name w:val="xl4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7">
    <w:name w:val="xl4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8">
    <w:name w:val="xl4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29">
    <w:name w:val="xl4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30">
    <w:name w:val="xl4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31">
    <w:name w:val="xl4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color w:val="000000"/>
      <w:kern w:val="0"/>
      <w:sz w:val="20"/>
      <w:szCs w:val="20"/>
    </w:rPr>
  </w:style>
  <w:style w:type="paragraph" w:customStyle="1" w:styleId="2332">
    <w:name w:val="xl4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33">
    <w:name w:val="xl4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34">
    <w:name w:val="xl4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35">
    <w:name w:val="xl4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36">
    <w:name w:val="xl4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37">
    <w:name w:val="xl4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color w:val="000000"/>
      <w:kern w:val="0"/>
      <w:sz w:val="20"/>
      <w:szCs w:val="20"/>
    </w:rPr>
  </w:style>
  <w:style w:type="paragraph" w:customStyle="1" w:styleId="2338">
    <w:name w:val="xl467"/>
    <w:basedOn w:val="1"/>
    <w:qFormat/>
    <w:uiPriority w:val="0"/>
    <w:pPr>
      <w:widowControl/>
      <w:spacing w:before="100" w:beforeAutospacing="1" w:after="100" w:afterAutospacing="1"/>
      <w:jc w:val="right"/>
      <w:textAlignment w:val="center"/>
    </w:pPr>
    <w:rPr>
      <w:rFonts w:ascii="宋体" w:hAnsi="宋体" w:eastAsia="宋体" w:cs="宋体"/>
      <w:kern w:val="0"/>
      <w:sz w:val="20"/>
      <w:szCs w:val="20"/>
    </w:rPr>
  </w:style>
  <w:style w:type="paragraph" w:customStyle="1" w:styleId="2339">
    <w:name w:val="xl4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0">
    <w:name w:val="xl4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1">
    <w:name w:val="xl4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2">
    <w:name w:val="xl4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3">
    <w:name w:val="xl4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4">
    <w:name w:val="xl4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5">
    <w:name w:val="xl4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6">
    <w:name w:val="xl4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7">
    <w:name w:val="xl4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8">
    <w:name w:val="xl4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9">
    <w:name w:val="xl4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0">
    <w:name w:val="xl4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1">
    <w:name w:val="xl48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2">
    <w:name w:val="xl4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3">
    <w:name w:val="xl4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4">
    <w:name w:val="xl4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5">
    <w:name w:val="xl4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6">
    <w:name w:val="xl4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7">
    <w:name w:val="xl4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8">
    <w:name w:val="xl4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9">
    <w:name w:val="xl488"/>
    <w:basedOn w:val="1"/>
    <w:qFormat/>
    <w:uiPriority w:val="0"/>
    <w:pPr>
      <w:widowControl/>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60">
    <w:name w:val="xl4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61">
    <w:name w:val="xl4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2">
    <w:name w:val="xl4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3">
    <w:name w:val="xl4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4">
    <w:name w:val="xl4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5">
    <w:name w:val="xl4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6">
    <w:name w:val="xl4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7">
    <w:name w:val="xl4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68">
    <w:name w:val="xl4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69">
    <w:name w:val="xl4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370">
    <w:name w:val="xl4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71">
    <w:name w:val="xl5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72">
    <w:name w:val="xl5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373">
    <w:name w:val="xl5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374">
    <w:name w:val="xl5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375">
    <w:name w:val="xl5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76">
    <w:name w:val="xl5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77">
    <w:name w:val="xl5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78">
    <w:name w:val="xl5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379">
    <w:name w:val="xl5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80">
    <w:name w:val="xl5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81">
    <w:name w:val="xl5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82">
    <w:name w:val="xl511"/>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83">
    <w:name w:val="xl5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84">
    <w:name w:val="xl51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85">
    <w:name w:val="xl51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86">
    <w:name w:val="xl5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387">
    <w:name w:val="xl5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388">
    <w:name w:val="xl5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89">
    <w:name w:val="xl5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0">
    <w:name w:val="xl5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1">
    <w:name w:val="xl5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92">
    <w:name w:val="xl5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93">
    <w:name w:val="xl5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4">
    <w:name w:val="xl5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5">
    <w:name w:val="xl5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6">
    <w:name w:val="xl5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397">
    <w:name w:val="xl5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398">
    <w:name w:val="xl52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399">
    <w:name w:val="xl528"/>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400">
    <w:name w:val="xl52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401">
    <w:name w:val="xl53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2">
    <w:name w:val="xl53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3">
    <w:name w:val="xl53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4">
    <w:name w:val="xl5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5">
    <w:name w:val="xl5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6">
    <w:name w:val="xl53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07">
    <w:name w:val="xl53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08">
    <w:name w:val="xl53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09">
    <w:name w:val="xl5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Cs w:val="21"/>
    </w:rPr>
  </w:style>
  <w:style w:type="paragraph" w:customStyle="1" w:styleId="2410">
    <w:name w:val="xl53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1">
    <w:name w:val="xl540"/>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2">
    <w:name w:val="xl54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3">
    <w:name w:val="xl5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414">
    <w:name w:val="xl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5">
    <w:name w:val="xl54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16">
    <w:name w:val="xl5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7">
    <w:name w:val="xl546"/>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8">
    <w:name w:val="xl5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9">
    <w:name w:val="xl54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0">
    <w:name w:val="xl54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1">
    <w:name w:val="xl55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2">
    <w:name w:val="xl55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3">
    <w:name w:val="xl55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4">
    <w:name w:val="xl55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character" w:customStyle="1" w:styleId="2425">
    <w:name w:val="强制条文 Char"/>
    <w:link w:val="2426"/>
    <w:qFormat/>
    <w:locked/>
    <w:uiPriority w:val="0"/>
    <w:rPr>
      <w:rFonts w:ascii="黑体" w:hAnsi="黑体" w:eastAsia="黑体"/>
      <w:b/>
      <w:color w:val="FF0000"/>
      <w:kern w:val="2"/>
      <w:sz w:val="30"/>
      <w:szCs w:val="30"/>
    </w:rPr>
  </w:style>
  <w:style w:type="paragraph" w:customStyle="1" w:styleId="2426">
    <w:name w:val="强制条文"/>
    <w:basedOn w:val="1"/>
    <w:next w:val="1"/>
    <w:link w:val="2425"/>
    <w:qFormat/>
    <w:uiPriority w:val="0"/>
    <w:pPr>
      <w:spacing w:line="360" w:lineRule="auto"/>
      <w:ind w:firstLine="602" w:firstLineChars="200"/>
      <w:jc w:val="left"/>
    </w:pPr>
    <w:rPr>
      <w:rFonts w:ascii="黑体" w:hAnsi="黑体" w:eastAsia="黑体" w:cs="Times New Roman"/>
      <w:b/>
      <w:color w:val="FF0000"/>
      <w:sz w:val="30"/>
      <w:szCs w:val="30"/>
    </w:rPr>
  </w:style>
  <w:style w:type="character" w:customStyle="1" w:styleId="2427">
    <w:name w:val="标题4 字符"/>
    <w:link w:val="378"/>
    <w:qFormat/>
    <w:uiPriority w:val="0"/>
    <w:rPr>
      <w:rFonts w:ascii="Arial" w:hAnsi="Arial" w:eastAsia="黑体"/>
      <w:b/>
      <w:bCs/>
      <w:kern w:val="2"/>
      <w:sz w:val="28"/>
      <w:szCs w:val="28"/>
    </w:rPr>
  </w:style>
  <w:style w:type="paragraph" w:customStyle="1" w:styleId="2428">
    <w:name w:val="缩进正文"/>
    <w:link w:val="2429"/>
    <w:qFormat/>
    <w:uiPriority w:val="0"/>
    <w:pPr>
      <w:spacing w:line="360" w:lineRule="auto"/>
      <w:ind w:firstLine="200" w:firstLineChars="200"/>
      <w:jc w:val="both"/>
    </w:pPr>
    <w:rPr>
      <w:rFonts w:ascii="Times New Roman" w:hAnsi="Times New Roman" w:eastAsia="仿宋_GB2312" w:cs="仿宋_GB2312"/>
      <w:kern w:val="2"/>
      <w:sz w:val="28"/>
      <w:szCs w:val="28"/>
      <w:u w:color="000000"/>
      <w:lang w:val="en-US" w:eastAsia="zh-CN" w:bidi="ar-SA"/>
    </w:rPr>
  </w:style>
  <w:style w:type="character" w:customStyle="1" w:styleId="2429">
    <w:name w:val="缩进正文 字符"/>
    <w:link w:val="2428"/>
    <w:qFormat/>
    <w:uiPriority w:val="0"/>
    <w:rPr>
      <w:rFonts w:eastAsia="仿宋_GB2312" w:cs="仿宋_GB2312"/>
      <w:kern w:val="2"/>
      <w:sz w:val="28"/>
      <w:szCs w:val="28"/>
      <w:u w:color="000000"/>
    </w:rPr>
  </w:style>
  <w:style w:type="paragraph" w:customStyle="1" w:styleId="2430">
    <w:name w:val="彩色列表 - 强调文字颜色 11"/>
    <w:basedOn w:val="1"/>
    <w:link w:val="2431"/>
    <w:qFormat/>
    <w:uiPriority w:val="34"/>
    <w:pPr>
      <w:ind w:firstLine="420" w:firstLineChars="200"/>
    </w:pPr>
    <w:rPr>
      <w:rFonts w:ascii="Times New Roman" w:hAnsi="Times New Roman" w:eastAsia="宋体" w:cs="Times New Roman"/>
      <w:szCs w:val="24"/>
    </w:rPr>
  </w:style>
  <w:style w:type="character" w:customStyle="1" w:styleId="2431">
    <w:name w:val="彩色列表 - 强调文字颜色 1字符"/>
    <w:link w:val="2430"/>
    <w:qFormat/>
    <w:uiPriority w:val="34"/>
    <w:rPr>
      <w:kern w:val="2"/>
      <w:sz w:val="21"/>
      <w:szCs w:val="24"/>
    </w:rPr>
  </w:style>
  <w:style w:type="paragraph" w:customStyle="1" w:styleId="2432">
    <w:name w:val="表内5号宋体"/>
    <w:basedOn w:val="1"/>
    <w:qFormat/>
    <w:uiPriority w:val="99"/>
    <w:pPr>
      <w:widowControl/>
      <w:tabs>
        <w:tab w:val="left" w:pos="840"/>
      </w:tabs>
      <w:spacing w:beforeLines="50" w:afterLines="50" w:line="360" w:lineRule="auto"/>
      <w:jc w:val="center"/>
    </w:pPr>
    <w:rPr>
      <w:rFonts w:ascii="宋体" w:hAnsi="宋体" w:eastAsia="宋体" w:cs="宋体"/>
      <w:bCs/>
      <w:color w:val="000000"/>
      <w:szCs w:val="24"/>
    </w:rPr>
  </w:style>
  <w:style w:type="paragraph" w:customStyle="1" w:styleId="2433">
    <w:name w:val="无缩进正文"/>
    <w:basedOn w:val="1"/>
    <w:qFormat/>
    <w:uiPriority w:val="0"/>
    <w:pPr>
      <w:widowControl/>
      <w:adjustRightInd w:val="0"/>
      <w:spacing w:beforeLines="50" w:afterLines="50" w:line="360" w:lineRule="auto"/>
    </w:pPr>
    <w:rPr>
      <w:rFonts w:ascii="仿宋_GB2312" w:hAnsi="Arial" w:eastAsia="宋体" w:cs="宋体"/>
      <w:kern w:val="0"/>
      <w:sz w:val="24"/>
      <w:szCs w:val="21"/>
      <w:lang w:val="zh-CN"/>
    </w:rPr>
  </w:style>
  <w:style w:type="paragraph" w:customStyle="1" w:styleId="2434">
    <w:name w:val="正文缩进2字符"/>
    <w:basedOn w:val="9"/>
    <w:qFormat/>
    <w:uiPriority w:val="0"/>
    <w:pPr>
      <w:widowControl w:val="0"/>
      <w:spacing w:before="156" w:beforeLines="50" w:after="156" w:afterLines="50"/>
      <w:ind w:left="384" w:firstLine="480" w:firstLineChars="200"/>
      <w:jc w:val="both"/>
    </w:pPr>
    <w:rPr>
      <w:rFonts w:eastAsia="仿宋_GB2312" w:cs="宋体"/>
      <w:kern w:val="2"/>
      <w:sz w:val="24"/>
    </w:rPr>
  </w:style>
  <w:style w:type="paragraph" w:customStyle="1" w:styleId="2435">
    <w:name w:val="样式4"/>
    <w:basedOn w:val="8"/>
    <w:next w:val="1"/>
    <w:qFormat/>
    <w:uiPriority w:val="0"/>
    <w:pPr>
      <w:widowControl/>
      <w:spacing w:before="280" w:after="290" w:line="376" w:lineRule="auto"/>
      <w:ind w:left="0" w:firstLine="0"/>
    </w:pPr>
    <w:rPr>
      <w:rFonts w:ascii="等线 Light" w:hAnsi="等线 Light" w:eastAsia="等线 Light" w:cs="宋体"/>
      <w:szCs w:val="28"/>
    </w:rPr>
  </w:style>
  <w:style w:type="paragraph" w:customStyle="1" w:styleId="2436">
    <w:name w:val="样式3"/>
    <w:basedOn w:val="7"/>
    <w:next w:val="1"/>
    <w:qFormat/>
    <w:uiPriority w:val="0"/>
    <w:pPr>
      <w:keepNext/>
      <w:keepLines/>
      <w:widowControl/>
      <w:numPr>
        <w:ilvl w:val="0"/>
        <w:numId w:val="0"/>
      </w:numPr>
      <w:spacing w:before="260" w:after="260" w:line="416" w:lineRule="auto"/>
    </w:pPr>
    <w:rPr>
      <w:rFonts w:ascii="等线 Light" w:hAnsi="等线 Light" w:eastAsia="等线 Light" w:cs="宋体"/>
      <w:sz w:val="28"/>
      <w:szCs w:val="32"/>
    </w:rPr>
  </w:style>
  <w:style w:type="character" w:customStyle="1" w:styleId="2437">
    <w:name w:val="未处理的提及111"/>
    <w:qFormat/>
    <w:uiPriority w:val="99"/>
    <w:rPr>
      <w:color w:val="605E5C"/>
      <w:shd w:val="clear" w:color="auto" w:fill="E1DFDD"/>
    </w:rPr>
  </w:style>
  <w:style w:type="paragraph" w:customStyle="1" w:styleId="2438">
    <w:name w:val="TJ正文"/>
    <w:qFormat/>
    <w:uiPriority w:val="0"/>
    <w:pPr>
      <w:spacing w:beforeLines="20" w:afterLines="20" w:line="360" w:lineRule="auto"/>
      <w:ind w:firstLine="200" w:firstLineChars="200"/>
    </w:pPr>
    <w:rPr>
      <w:rFonts w:ascii="Calibri" w:hAnsi="Calibri" w:eastAsia="宋体" w:cs="Arial"/>
      <w:kern w:val="2"/>
      <w:sz w:val="24"/>
      <w:szCs w:val="22"/>
      <w:lang w:val="en-US" w:eastAsia="zh-CN" w:bidi="ar-SA"/>
    </w:rPr>
  </w:style>
  <w:style w:type="character" w:customStyle="1" w:styleId="2439">
    <w:name w:val="图表脚注内容"/>
    <w:qFormat/>
    <w:uiPriority w:val="0"/>
    <w:rPr>
      <w:rFonts w:ascii="宋体" w:eastAsia="宋体"/>
      <w:spacing w:val="0"/>
      <w:sz w:val="18"/>
      <w:vertAlign w:val="superscript"/>
    </w:rPr>
  </w:style>
  <w:style w:type="character" w:customStyle="1" w:styleId="2440">
    <w:name w:val="个人答复风格"/>
    <w:qFormat/>
    <w:uiPriority w:val="0"/>
    <w:rPr>
      <w:rFonts w:ascii="Arial" w:hAnsi="Arial" w:eastAsia="宋体" w:cs="Arial"/>
      <w:color w:val="auto"/>
      <w:sz w:val="20"/>
    </w:rPr>
  </w:style>
  <w:style w:type="character" w:customStyle="1" w:styleId="2441">
    <w:name w:val="样式 标题 5 + Times New Roman 黑色 Char"/>
    <w:link w:val="2442"/>
    <w:qFormat/>
    <w:uiPriority w:val="0"/>
    <w:rPr>
      <w:rFonts w:eastAsia="黑体"/>
      <w:b/>
      <w:bCs/>
      <w:color w:val="000000"/>
      <w:spacing w:val="6"/>
      <w:sz w:val="21"/>
    </w:rPr>
  </w:style>
  <w:style w:type="paragraph" w:customStyle="1" w:styleId="2442">
    <w:name w:val="样式 标题 5 + Times New Roman 黑色"/>
    <w:basedOn w:val="14"/>
    <w:next w:val="9"/>
    <w:link w:val="2441"/>
    <w:qFormat/>
    <w:uiPriority w:val="0"/>
    <w:pPr>
      <w:numPr>
        <w:ilvl w:val="0"/>
        <w:numId w:val="0"/>
      </w:numPr>
      <w:tabs>
        <w:tab w:val="left" w:pos="1008"/>
      </w:tabs>
      <w:autoSpaceDE w:val="0"/>
      <w:autoSpaceDN w:val="0"/>
      <w:adjustRightInd w:val="0"/>
      <w:spacing w:before="156" w:after="156"/>
      <w:ind w:left="1009" w:hanging="1009"/>
      <w:textAlignment w:val="baseline"/>
    </w:pPr>
    <w:rPr>
      <w:rFonts w:ascii="Times New Roman" w:hAnsi="Times New Roman" w:eastAsia="黑体" w:cs="Times New Roman"/>
      <w:color w:val="000000"/>
      <w:spacing w:val="6"/>
      <w:kern w:val="0"/>
      <w:sz w:val="21"/>
      <w:szCs w:val="20"/>
    </w:rPr>
  </w:style>
  <w:style w:type="character" w:customStyle="1" w:styleId="2443">
    <w:name w:val="op_dict_text23"/>
    <w:qFormat/>
    <w:uiPriority w:val="0"/>
  </w:style>
  <w:style w:type="character" w:customStyle="1" w:styleId="2444">
    <w:name w:val="个人撰写风格"/>
    <w:qFormat/>
    <w:uiPriority w:val="0"/>
    <w:rPr>
      <w:rFonts w:ascii="Arial" w:hAnsi="Arial" w:eastAsia="宋体" w:cs="Arial"/>
      <w:color w:val="auto"/>
      <w:sz w:val="20"/>
    </w:rPr>
  </w:style>
  <w:style w:type="character" w:customStyle="1" w:styleId="2445">
    <w:name w:val="font71"/>
    <w:qFormat/>
    <w:uiPriority w:val="0"/>
    <w:rPr>
      <w:rFonts w:hint="eastAsia" w:ascii="宋体" w:hAnsi="宋体" w:eastAsia="宋体" w:cs="宋体"/>
      <w:color w:val="000000"/>
      <w:sz w:val="20"/>
      <w:szCs w:val="20"/>
      <w:u w:val="none"/>
    </w:rPr>
  </w:style>
  <w:style w:type="paragraph" w:customStyle="1" w:styleId="2446">
    <w:name w:val="样式 四级条标题 + 段前: 0.5 行 段后: 0.5 行"/>
    <w:basedOn w:val="396"/>
    <w:qFormat/>
    <w:uiPriority w:val="0"/>
    <w:pPr>
      <w:numPr>
        <w:ilvl w:val="0"/>
        <w:numId w:val="0"/>
      </w:numPr>
      <w:tabs>
        <w:tab w:val="left" w:pos="840"/>
        <w:tab w:val="clear" w:pos="360"/>
      </w:tabs>
      <w:spacing w:before="156" w:after="156"/>
      <w:jc w:val="left"/>
    </w:pPr>
    <w:rPr>
      <w:rFonts w:cs="宋体"/>
      <w:szCs w:val="20"/>
    </w:rPr>
  </w:style>
  <w:style w:type="paragraph" w:customStyle="1" w:styleId="2447">
    <w:name w:val="图表"/>
    <w:qFormat/>
    <w:uiPriority w:val="99"/>
    <w:pPr>
      <w:spacing w:beforeLines="50" w:afterLines="50" w:line="360" w:lineRule="auto"/>
      <w:jc w:val="center"/>
    </w:pPr>
    <w:rPr>
      <w:rFonts w:ascii="Times New Roman" w:hAnsi="Times New Roman" w:eastAsia="宋体" w:cs="Times New Roman"/>
      <w:b/>
      <w:color w:val="000000"/>
      <w:sz w:val="24"/>
      <w:szCs w:val="24"/>
      <w:lang w:val="en-US" w:eastAsia="zh-CN" w:bidi="ar-SA"/>
    </w:rPr>
  </w:style>
  <w:style w:type="paragraph" w:customStyle="1" w:styleId="2448">
    <w:name w:val="一级无标题条"/>
    <w:basedOn w:val="1"/>
    <w:qFormat/>
    <w:uiPriority w:val="99"/>
    <w:pPr>
      <w:spacing w:beforeLines="50" w:afterLines="50"/>
    </w:pPr>
    <w:rPr>
      <w:rFonts w:ascii="Times New Roman" w:hAnsi="Times New Roman" w:eastAsia="宋体" w:cs="Times New Roman"/>
      <w:szCs w:val="24"/>
    </w:rPr>
  </w:style>
  <w:style w:type="paragraph" w:customStyle="1" w:styleId="2449">
    <w:name w:val="c封面发布日期"/>
    <w:basedOn w:val="1"/>
    <w:qFormat/>
    <w:uiPriority w:val="0"/>
    <w:pPr>
      <w:adjustRightInd w:val="0"/>
      <w:spacing w:beforeLines="50" w:afterLines="50"/>
    </w:pPr>
    <w:rPr>
      <w:rFonts w:ascii="Times New Roman" w:hAnsi="Times New Roman" w:eastAsia="黑体" w:cs="Times New Roman"/>
      <w:kern w:val="0"/>
      <w:sz w:val="28"/>
      <w:szCs w:val="20"/>
    </w:rPr>
  </w:style>
  <w:style w:type="paragraph" w:customStyle="1" w:styleId="2450">
    <w:name w:val="无标题条"/>
    <w:next w:val="369"/>
    <w:qFormat/>
    <w:uiPriority w:val="99"/>
    <w:pPr>
      <w:jc w:val="both"/>
    </w:pPr>
    <w:rPr>
      <w:rFonts w:ascii="Times New Roman" w:hAnsi="Times New Roman" w:eastAsia="宋体" w:cs="Times New Roman"/>
      <w:sz w:val="21"/>
      <w:lang w:val="en-US" w:eastAsia="zh-CN" w:bidi="ar-SA"/>
    </w:rPr>
  </w:style>
  <w:style w:type="paragraph" w:customStyle="1" w:styleId="2451">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2452">
    <w:name w:val="脚注后续"/>
    <w:qFormat/>
    <w:uiPriority w:val="0"/>
    <w:pPr>
      <w:ind w:left="567"/>
      <w:jc w:val="both"/>
    </w:pPr>
    <w:rPr>
      <w:rFonts w:ascii="宋体" w:hAnsi="Times New Roman" w:eastAsia="宋体" w:cs="Times New Roman"/>
      <w:sz w:val="18"/>
      <w:lang w:val="en-US" w:eastAsia="zh-CN" w:bidi="ar-SA"/>
    </w:rPr>
  </w:style>
  <w:style w:type="paragraph" w:customStyle="1" w:styleId="2453">
    <w:name w:val="附录图标题1"/>
    <w:next w:val="36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454">
    <w:name w:val="目次"/>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455">
    <w:name w:val="附录性质"/>
    <w:basedOn w:val="1"/>
    <w:qFormat/>
    <w:uiPriority w:val="0"/>
    <w:pPr>
      <w:spacing w:beforeLines="50" w:afterLines="50"/>
      <w:jc w:val="center"/>
    </w:pPr>
    <w:rPr>
      <w:rFonts w:ascii="黑体" w:hAnsi="Times New Roman" w:eastAsia="黑体" w:cs="Times New Roman"/>
      <w:szCs w:val="24"/>
    </w:rPr>
  </w:style>
  <w:style w:type="paragraph" w:customStyle="1" w:styleId="2456">
    <w:name w:val="四级无标题条"/>
    <w:basedOn w:val="1"/>
    <w:qFormat/>
    <w:uiPriority w:val="99"/>
    <w:pPr>
      <w:spacing w:beforeLines="50" w:afterLines="50"/>
    </w:pPr>
    <w:rPr>
      <w:rFonts w:ascii="Times New Roman" w:hAnsi="Times New Roman" w:eastAsia="宋体" w:cs="Times New Roman"/>
      <w:szCs w:val="24"/>
    </w:rPr>
  </w:style>
  <w:style w:type="paragraph" w:customStyle="1" w:styleId="2457">
    <w:name w:val="样式 样式1 + 黑色"/>
    <w:basedOn w:val="392"/>
    <w:qFormat/>
    <w:uiPriority w:val="0"/>
    <w:pPr>
      <w:widowControl/>
      <w:numPr>
        <w:ilvl w:val="0"/>
        <w:numId w:val="0"/>
      </w:numPr>
      <w:tabs>
        <w:tab w:val="left" w:pos="425"/>
      </w:tabs>
      <w:spacing w:beforeLines="50" w:afterLines="50"/>
      <w:ind w:left="425" w:hanging="425"/>
      <w:outlineLvl w:val="9"/>
    </w:pPr>
    <w:rPr>
      <w:rFonts w:ascii="Times New Roman" w:hAnsi="Times New Roman" w:eastAsia="宋体"/>
      <w:color w:val="000000"/>
      <w:spacing w:val="6"/>
      <w:sz w:val="21"/>
      <w:szCs w:val="20"/>
    </w:rPr>
  </w:style>
  <w:style w:type="paragraph" w:customStyle="1" w:styleId="2458">
    <w:name w:val="示例："/>
    <w:next w:val="2459"/>
    <w:qFormat/>
    <w:uiPriority w:val="0"/>
    <w:pPr>
      <w:tabs>
        <w:tab w:val="left" w:pos="1100"/>
      </w:tabs>
      <w:ind w:firstLine="380"/>
      <w:jc w:val="both"/>
    </w:pPr>
    <w:rPr>
      <w:rFonts w:ascii="宋体" w:hAnsi="Times New Roman" w:eastAsia="宋体" w:cs="Times New Roman"/>
      <w:sz w:val="18"/>
      <w:lang w:val="en-US" w:eastAsia="zh-CN" w:bidi="ar-SA"/>
    </w:rPr>
  </w:style>
  <w:style w:type="paragraph" w:customStyle="1" w:styleId="2459">
    <w:name w:val="示例后续"/>
    <w:basedOn w:val="1"/>
    <w:qFormat/>
    <w:uiPriority w:val="0"/>
    <w:pPr>
      <w:spacing w:beforeLines="50" w:afterLines="50"/>
      <w:ind w:firstLine="200" w:firstLineChars="200"/>
    </w:pPr>
    <w:rPr>
      <w:rFonts w:ascii="Times New Roman" w:hAnsi="Times New Roman" w:eastAsia="宋体" w:cs="Times New Roman"/>
      <w:sz w:val="18"/>
      <w:szCs w:val="24"/>
    </w:rPr>
  </w:style>
  <w:style w:type="paragraph" w:customStyle="1" w:styleId="2460">
    <w:name w:val="c标准部门"/>
    <w:basedOn w:val="1"/>
    <w:next w:val="1"/>
    <w:qFormat/>
    <w:uiPriority w:val="0"/>
    <w:pPr>
      <w:adjustRightInd w:val="0"/>
      <w:spacing w:beforeLines="50" w:afterLines="50"/>
      <w:jc w:val="right"/>
    </w:pPr>
    <w:rPr>
      <w:rFonts w:ascii="黑体" w:hAnsi="Times New Roman" w:eastAsia="黑体" w:cs="Times New Roman"/>
      <w:sz w:val="32"/>
      <w:szCs w:val="20"/>
    </w:rPr>
  </w:style>
  <w:style w:type="paragraph" w:customStyle="1" w:styleId="2461">
    <w:name w:val="注:后续"/>
    <w:qFormat/>
    <w:uiPriority w:val="0"/>
    <w:pPr>
      <w:ind w:left="1260" w:leftChars="400" w:hanging="420" w:hangingChars="200"/>
      <w:jc w:val="both"/>
    </w:pPr>
    <w:rPr>
      <w:rFonts w:ascii="宋体" w:hAnsi="Times New Roman" w:eastAsia="宋体" w:cs="Times New Roman"/>
      <w:sz w:val="18"/>
      <w:lang w:val="en-US" w:eastAsia="zh-CN" w:bidi="ar-SA"/>
    </w:rPr>
  </w:style>
  <w:style w:type="paragraph" w:customStyle="1" w:styleId="2462">
    <w:name w:val="注×:后续"/>
    <w:basedOn w:val="2461"/>
    <w:qFormat/>
    <w:uiPriority w:val="0"/>
    <w:pPr>
      <w:ind w:left="1406" w:leftChars="0" w:hanging="499" w:firstLineChars="0"/>
    </w:pPr>
  </w:style>
  <w:style w:type="paragraph" w:customStyle="1" w:styleId="2463">
    <w:name w:val="1级条标题"/>
    <w:qFormat/>
    <w:uiPriority w:val="0"/>
    <w:pPr>
      <w:tabs>
        <w:tab w:val="left" w:pos="1140"/>
      </w:tabs>
      <w:ind w:left="726" w:hanging="363"/>
    </w:pPr>
    <w:rPr>
      <w:rFonts w:ascii="Arial" w:hAnsi="Arial" w:eastAsia="黑体" w:cs="Times New Roman"/>
      <w:bCs/>
      <w:kern w:val="2"/>
      <w:sz w:val="21"/>
      <w:szCs w:val="21"/>
      <w:lang w:val="en-US" w:eastAsia="zh-CN" w:bidi="ar-SA"/>
    </w:rPr>
  </w:style>
  <w:style w:type="paragraph" w:customStyle="1" w:styleId="2464">
    <w:name w:val="c标准代替"/>
    <w:basedOn w:val="1"/>
    <w:next w:val="1"/>
    <w:qFormat/>
    <w:uiPriority w:val="0"/>
    <w:pPr>
      <w:adjustRightInd w:val="0"/>
      <w:spacing w:beforeLines="50" w:afterLines="50"/>
      <w:jc w:val="right"/>
    </w:pPr>
    <w:rPr>
      <w:rFonts w:ascii="宋体" w:hAnsi="Times New Roman" w:eastAsia="宋体" w:cs="Times New Roman"/>
      <w:kern w:val="0"/>
      <w:szCs w:val="20"/>
    </w:rPr>
  </w:style>
  <w:style w:type="paragraph" w:customStyle="1" w:styleId="2465">
    <w:name w:val="图表脚注"/>
    <w:next w:val="369"/>
    <w:qFormat/>
    <w:uiPriority w:val="99"/>
    <w:pPr>
      <w:ind w:left="300" w:leftChars="200" w:hanging="100" w:hangingChars="100"/>
      <w:jc w:val="both"/>
    </w:pPr>
    <w:rPr>
      <w:rFonts w:ascii="宋体" w:hAnsi="Times New Roman" w:eastAsia="宋体" w:cs="Times New Roman"/>
      <w:sz w:val="18"/>
      <w:lang w:val="en-US" w:eastAsia="zh-CN" w:bidi="ar-SA"/>
    </w:rPr>
  </w:style>
  <w:style w:type="paragraph" w:customStyle="1" w:styleId="2466">
    <w:name w:val="c封面标准编号"/>
    <w:basedOn w:val="1"/>
    <w:next w:val="2464"/>
    <w:qFormat/>
    <w:uiPriority w:val="0"/>
    <w:pPr>
      <w:adjustRightInd w:val="0"/>
      <w:spacing w:beforeLines="50" w:afterLines="50"/>
      <w:jc w:val="right"/>
    </w:pPr>
    <w:rPr>
      <w:rFonts w:ascii="宋体" w:hAnsi="Times New Roman" w:eastAsia="宋体" w:cs="Times New Roman"/>
      <w:b/>
      <w:kern w:val="0"/>
      <w:sz w:val="28"/>
      <w:szCs w:val="20"/>
    </w:rPr>
  </w:style>
  <w:style w:type="paragraph" w:customStyle="1" w:styleId="2467">
    <w:name w:val="五级无标题条"/>
    <w:basedOn w:val="1"/>
    <w:qFormat/>
    <w:uiPriority w:val="99"/>
    <w:pPr>
      <w:spacing w:beforeLines="50" w:afterLines="50"/>
    </w:pPr>
    <w:rPr>
      <w:rFonts w:ascii="Times New Roman" w:hAnsi="Times New Roman" w:eastAsia="宋体" w:cs="Times New Roman"/>
      <w:szCs w:val="24"/>
    </w:rPr>
  </w:style>
  <w:style w:type="paragraph" w:customStyle="1" w:styleId="2468">
    <w:name w:val="样式 标题 1 + Times New Roman 黑色"/>
    <w:basedOn w:val="4"/>
    <w:next w:val="1"/>
    <w:qFormat/>
    <w:uiPriority w:val="0"/>
    <w:pPr>
      <w:keepNext w:val="0"/>
      <w:keepLines w:val="0"/>
      <w:numPr>
        <w:numId w:val="0"/>
      </w:numPr>
      <w:tabs>
        <w:tab w:val="left" w:pos="-20"/>
      </w:tabs>
      <w:autoSpaceDE w:val="0"/>
      <w:autoSpaceDN w:val="0"/>
      <w:adjustRightInd w:val="0"/>
      <w:spacing w:before="50" w:beforeLines="50" w:after="50" w:afterLines="50" w:line="240" w:lineRule="auto"/>
      <w:ind w:left="431" w:hanging="431"/>
      <w:jc w:val="both"/>
      <w:textAlignment w:val="baseline"/>
    </w:pPr>
    <w:rPr>
      <w:rFonts w:ascii="Times New Roman" w:hAnsi="Times New Roman" w:eastAsia="黑体" w:cs="Times New Roman"/>
      <w:color w:val="000000"/>
      <w:spacing w:val="6"/>
      <w:kern w:val="0"/>
      <w:sz w:val="21"/>
      <w:szCs w:val="20"/>
    </w:rPr>
  </w:style>
  <w:style w:type="paragraph" w:customStyle="1" w:styleId="2469">
    <w:name w:val="样式 三级条标题 + 段前: 0.5 行 段后: 0.5 行"/>
    <w:basedOn w:val="397"/>
    <w:qFormat/>
    <w:uiPriority w:val="0"/>
    <w:pPr>
      <w:numPr>
        <w:ilvl w:val="0"/>
        <w:numId w:val="0"/>
      </w:numPr>
      <w:tabs>
        <w:tab w:val="left" w:pos="840"/>
        <w:tab w:val="clear" w:pos="360"/>
      </w:tabs>
      <w:ind w:left="900" w:hanging="420"/>
      <w:jc w:val="left"/>
    </w:pPr>
    <w:rPr>
      <w:rFonts w:cs="宋体"/>
      <w:szCs w:val="20"/>
    </w:rPr>
  </w:style>
  <w:style w:type="paragraph" w:customStyle="1" w:styleId="2470">
    <w:name w:val="样式 标题 4 + Times New Roman 黑色"/>
    <w:basedOn w:val="8"/>
    <w:next w:val="9"/>
    <w:qFormat/>
    <w:uiPriority w:val="0"/>
    <w:pPr>
      <w:numPr>
        <w:ilvl w:val="0"/>
        <w:numId w:val="0"/>
      </w:numPr>
      <w:tabs>
        <w:tab w:val="left" w:pos="864"/>
      </w:tabs>
      <w:autoSpaceDE w:val="0"/>
      <w:autoSpaceDN w:val="0"/>
      <w:adjustRightInd w:val="0"/>
      <w:spacing w:before="280" w:after="290"/>
      <w:ind w:left="862" w:hanging="862"/>
      <w:textAlignment w:val="baseline"/>
    </w:pPr>
    <w:rPr>
      <w:rFonts w:ascii="Times New Roman" w:hAnsi="Times New Roman" w:eastAsia="黑体" w:cs="Times New Roman"/>
      <w:color w:val="000000"/>
      <w:spacing w:val="6"/>
      <w:kern w:val="0"/>
      <w:sz w:val="21"/>
      <w:szCs w:val="20"/>
    </w:rPr>
  </w:style>
  <w:style w:type="paragraph" w:customStyle="1" w:styleId="2471">
    <w:name w:val="c封面标准分类号"/>
    <w:basedOn w:val="1"/>
    <w:qFormat/>
    <w:uiPriority w:val="0"/>
    <w:pPr>
      <w:adjustRightInd w:val="0"/>
      <w:spacing w:beforeLines="50" w:afterLines="50"/>
    </w:pPr>
    <w:rPr>
      <w:rFonts w:ascii="宋体" w:hAnsi="Times New Roman" w:eastAsia="宋体" w:cs="Times New Roman"/>
      <w:b/>
      <w:kern w:val="0"/>
      <w:sz w:val="28"/>
      <w:szCs w:val="20"/>
    </w:rPr>
  </w:style>
  <w:style w:type="paragraph" w:customStyle="1" w:styleId="2472">
    <w:name w:val="二级无标题条"/>
    <w:basedOn w:val="1"/>
    <w:qFormat/>
    <w:uiPriority w:val="99"/>
    <w:pPr>
      <w:tabs>
        <w:tab w:val="left" w:pos="3076"/>
      </w:tabs>
      <w:spacing w:beforeLines="50" w:afterLines="50"/>
      <w:ind w:left="2580"/>
    </w:pPr>
    <w:rPr>
      <w:rFonts w:ascii="Times New Roman" w:hAnsi="Times New Roman" w:eastAsia="宋体" w:cs="Times New Roman"/>
      <w:szCs w:val="24"/>
    </w:rPr>
  </w:style>
  <w:style w:type="paragraph" w:customStyle="1" w:styleId="2473">
    <w:name w:val="标准名称标题"/>
    <w:basedOn w:val="1"/>
    <w:next w:val="400"/>
    <w:qFormat/>
    <w:uiPriority w:val="0"/>
    <w:pPr>
      <w:widowControl/>
      <w:shd w:val="clear" w:color="FFFFFF" w:fill="FFFFFF"/>
      <w:spacing w:beforeLines="50" w:afterLines="50" w:line="440" w:lineRule="exact"/>
      <w:jc w:val="center"/>
    </w:pPr>
    <w:rPr>
      <w:rFonts w:ascii="黑体" w:hAnsi="Times New Roman" w:eastAsia="黑体" w:cs="Times New Roman"/>
      <w:kern w:val="0"/>
      <w:sz w:val="32"/>
      <w:szCs w:val="20"/>
    </w:rPr>
  </w:style>
  <w:style w:type="paragraph" w:customStyle="1" w:styleId="2474">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475">
    <w:name w:val="样式 标题 2 + Times New Roman 黑色"/>
    <w:basedOn w:val="5"/>
    <w:next w:val="9"/>
    <w:qFormat/>
    <w:uiPriority w:val="0"/>
    <w:pPr>
      <w:keepLines w:val="0"/>
      <w:numPr>
        <w:ilvl w:val="0"/>
        <w:numId w:val="0"/>
      </w:numPr>
      <w:autoSpaceDE w:val="0"/>
      <w:autoSpaceDN w:val="0"/>
      <w:spacing w:line="240" w:lineRule="auto"/>
      <w:ind w:left="578" w:hanging="578"/>
      <w:jc w:val="left"/>
    </w:pPr>
    <w:rPr>
      <w:rFonts w:ascii="Times New Roman" w:hAnsi="Times New Roman" w:eastAsia="黑体" w:cs="Times New Roman"/>
      <w:color w:val="000000"/>
      <w:spacing w:val="6"/>
      <w:kern w:val="0"/>
      <w:sz w:val="21"/>
      <w:szCs w:val="20"/>
    </w:rPr>
  </w:style>
  <w:style w:type="paragraph" w:customStyle="1" w:styleId="2476">
    <w:name w:val="c封面实施日期"/>
    <w:basedOn w:val="1"/>
    <w:qFormat/>
    <w:uiPriority w:val="0"/>
    <w:pPr>
      <w:adjustRightInd w:val="0"/>
      <w:spacing w:beforeLines="50" w:afterLines="50"/>
      <w:jc w:val="right"/>
    </w:pPr>
    <w:rPr>
      <w:rFonts w:ascii="Times New Roman" w:hAnsi="Times New Roman" w:eastAsia="黑体" w:cs="Times New Roman"/>
      <w:sz w:val="28"/>
      <w:szCs w:val="20"/>
    </w:rPr>
  </w:style>
  <w:style w:type="paragraph" w:customStyle="1" w:styleId="2477">
    <w:name w:val="_Style 12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8">
    <w:name w:val="彩色列表1"/>
    <w:basedOn w:val="1"/>
    <w:qFormat/>
    <w:uiPriority w:val="0"/>
    <w:pPr>
      <w:widowControl/>
      <w:spacing w:beforeLines="50" w:afterLines="50" w:line="360" w:lineRule="auto"/>
      <w:ind w:left="420" w:firstLine="420" w:firstLineChars="200"/>
    </w:pPr>
    <w:rPr>
      <w:rFonts w:ascii="Calibri" w:hAnsi="Calibri" w:eastAsia="宋体" w:cs="Times New Roman"/>
    </w:rPr>
  </w:style>
  <w:style w:type="paragraph" w:customStyle="1" w:styleId="2479">
    <w:name w:val="c封面密级"/>
    <w:basedOn w:val="1"/>
    <w:qFormat/>
    <w:uiPriority w:val="0"/>
    <w:pPr>
      <w:adjustRightInd w:val="0"/>
      <w:spacing w:beforeLines="50" w:afterLines="50"/>
    </w:pPr>
    <w:rPr>
      <w:rFonts w:ascii="Times New Roman" w:hAnsi="Times New Roman" w:eastAsia="黑体" w:cs="Times New Roman"/>
      <w:sz w:val="32"/>
      <w:szCs w:val="20"/>
    </w:rPr>
  </w:style>
  <w:style w:type="paragraph" w:customStyle="1" w:styleId="2480">
    <w:name w:val="数字编号列项"/>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481">
    <w:name w:val="c封面标准英文名称"/>
    <w:basedOn w:val="1"/>
    <w:qFormat/>
    <w:uiPriority w:val="0"/>
    <w:pPr>
      <w:adjustRightInd w:val="0"/>
      <w:spacing w:beforeLines="50" w:afterLines="50"/>
      <w:jc w:val="center"/>
    </w:pPr>
    <w:rPr>
      <w:rFonts w:ascii="Times New Roman" w:hAnsi="Times New Roman" w:eastAsia="宋体" w:cs="Times New Roman"/>
      <w:b/>
      <w:sz w:val="28"/>
      <w:szCs w:val="20"/>
    </w:rPr>
  </w:style>
  <w:style w:type="paragraph" w:customStyle="1" w:styleId="2482">
    <w:name w:val="c封面标准名称"/>
    <w:basedOn w:val="1"/>
    <w:qFormat/>
    <w:uiPriority w:val="0"/>
    <w:pPr>
      <w:adjustRightInd w:val="0"/>
      <w:spacing w:beforeLines="50" w:afterLines="50"/>
      <w:jc w:val="center"/>
    </w:pPr>
    <w:rPr>
      <w:rFonts w:ascii="Times New Roman" w:hAnsi="Times New Roman" w:eastAsia="黑体" w:cs="Times New Roman"/>
      <w:kern w:val="0"/>
      <w:sz w:val="52"/>
      <w:szCs w:val="20"/>
    </w:rPr>
  </w:style>
  <w:style w:type="paragraph" w:customStyle="1" w:styleId="2483">
    <w:name w:val="样式 标题 3 + Times New Roman 黑色"/>
    <w:basedOn w:val="7"/>
    <w:next w:val="9"/>
    <w:qFormat/>
    <w:uiPriority w:val="0"/>
    <w:pPr>
      <w:keepNext/>
      <w:keepLines/>
      <w:numPr>
        <w:ilvl w:val="0"/>
        <w:numId w:val="0"/>
      </w:numPr>
      <w:autoSpaceDE w:val="0"/>
      <w:autoSpaceDN w:val="0"/>
      <w:spacing w:before="260" w:after="260" w:line="360" w:lineRule="auto"/>
      <w:textAlignment w:val="baseline"/>
    </w:pPr>
    <w:rPr>
      <w:rFonts w:ascii="Times New Roman" w:hAnsi="Times New Roman" w:eastAsia="黑体" w:cs="Times New Roman"/>
      <w:color w:val="000000"/>
      <w:spacing w:val="6"/>
      <w:kern w:val="0"/>
      <w:sz w:val="21"/>
      <w:szCs w:val="20"/>
    </w:rPr>
  </w:style>
  <w:style w:type="paragraph" w:customStyle="1" w:styleId="2484">
    <w:name w:val="图文居中"/>
    <w:basedOn w:val="1"/>
    <w:next w:val="1"/>
    <w:link w:val="2485"/>
    <w:qFormat/>
    <w:uiPriority w:val="0"/>
    <w:pPr>
      <w:widowControl/>
      <w:spacing w:line="360" w:lineRule="auto"/>
      <w:jc w:val="center"/>
    </w:pPr>
    <w:rPr>
      <w:rFonts w:ascii="等线" w:hAnsi="等线" w:eastAsia="宋体" w:cs="Times New Roman"/>
      <w:sz w:val="28"/>
    </w:rPr>
  </w:style>
  <w:style w:type="character" w:customStyle="1" w:styleId="2485">
    <w:name w:val="图文居中 字符"/>
    <w:link w:val="2484"/>
    <w:qFormat/>
    <w:uiPriority w:val="0"/>
    <w:rPr>
      <w:rFonts w:ascii="等线" w:hAnsi="等线"/>
      <w:kern w:val="2"/>
      <w:sz w:val="28"/>
      <w:szCs w:val="22"/>
    </w:rPr>
  </w:style>
  <w:style w:type="character" w:customStyle="1" w:styleId="2486">
    <w:name w:val="图片格式 字符"/>
    <w:link w:val="2487"/>
    <w:qFormat/>
    <w:uiPriority w:val="0"/>
    <w:rPr>
      <w:kern w:val="2"/>
      <w:sz w:val="24"/>
      <w:szCs w:val="22"/>
    </w:rPr>
  </w:style>
  <w:style w:type="paragraph" w:customStyle="1" w:styleId="2487">
    <w:name w:val="图片格式"/>
    <w:basedOn w:val="1"/>
    <w:next w:val="1"/>
    <w:link w:val="2486"/>
    <w:qFormat/>
    <w:uiPriority w:val="0"/>
    <w:pPr>
      <w:widowControl/>
      <w:suppressAutoHyphens/>
      <w:spacing w:before="50" w:beforeLines="50" w:after="50" w:afterLines="50"/>
      <w:jc w:val="center"/>
    </w:pPr>
    <w:rPr>
      <w:rFonts w:ascii="Times New Roman" w:hAnsi="Times New Roman" w:eastAsia="宋体" w:cs="Times New Roman"/>
      <w:sz w:val="24"/>
    </w:rPr>
  </w:style>
  <w:style w:type="paragraph" w:customStyle="1" w:styleId="2488">
    <w:name w:val="封面主标题"/>
    <w:next w:val="1"/>
    <w:qFormat/>
    <w:uiPriority w:val="0"/>
    <w:pPr>
      <w:adjustRightInd w:val="0"/>
      <w:snapToGrid w:val="0"/>
      <w:spacing w:before="2400" w:after="400"/>
      <w:jc w:val="center"/>
    </w:pPr>
    <w:rPr>
      <w:rFonts w:ascii="Times New Roman" w:hAnsi="Times New Roman" w:eastAsia="黑体" w:cs="Times New Roman"/>
      <w:b/>
      <w:snapToGrid w:val="0"/>
      <w:spacing w:val="20"/>
      <w:sz w:val="72"/>
      <w:szCs w:val="72"/>
      <w:lang w:val="en-US" w:eastAsia="zh-CN" w:bidi="ar-SA"/>
    </w:rPr>
  </w:style>
  <w:style w:type="paragraph" w:customStyle="1" w:styleId="2489">
    <w:name w:val="封面落款"/>
    <w:qFormat/>
    <w:uiPriority w:val="0"/>
    <w:pPr>
      <w:adjustRightInd w:val="0"/>
      <w:snapToGrid w:val="0"/>
      <w:spacing w:line="360" w:lineRule="auto"/>
      <w:jc w:val="center"/>
    </w:pPr>
    <w:rPr>
      <w:rFonts w:ascii="Times New Roman" w:hAnsi="Times New Roman" w:eastAsia="楷体_GB2312" w:cs="Times New Roman"/>
      <w:b/>
      <w:snapToGrid w:val="0"/>
      <w:color w:val="000000"/>
      <w:spacing w:val="60"/>
      <w:sz w:val="30"/>
      <w:szCs w:val="30"/>
      <w:lang w:val="en-US" w:eastAsia="zh-CN" w:bidi="ar-SA"/>
    </w:rPr>
  </w:style>
  <w:style w:type="paragraph" w:customStyle="1" w:styleId="2490">
    <w:name w:val="部分序号"/>
    <w:basedOn w:val="1"/>
    <w:next w:val="1"/>
    <w:qFormat/>
    <w:uiPriority w:val="0"/>
    <w:pPr>
      <w:pageBreakBefore/>
      <w:numPr>
        <w:ilvl w:val="0"/>
        <w:numId w:val="68"/>
      </w:numPr>
      <w:spacing w:before="5000" w:after="120" w:line="360" w:lineRule="auto"/>
      <w:jc w:val="center"/>
      <w:outlineLvl w:val="0"/>
    </w:pPr>
    <w:rPr>
      <w:rFonts w:ascii="Times New Roman" w:hAnsi="Times New Roman" w:eastAsia="黑体" w:cs="Times New Roman"/>
      <w:b/>
      <w:sz w:val="84"/>
      <w:szCs w:val="24"/>
    </w:rPr>
  </w:style>
  <w:style w:type="paragraph" w:customStyle="1" w:styleId="2491">
    <w:name w:val="目录名称"/>
    <w:basedOn w:val="1"/>
    <w:qFormat/>
    <w:uiPriority w:val="0"/>
    <w:pPr>
      <w:widowControl/>
      <w:adjustRightInd w:val="0"/>
      <w:snapToGrid w:val="0"/>
      <w:spacing w:line="360" w:lineRule="auto"/>
      <w:jc w:val="center"/>
    </w:pPr>
    <w:rPr>
      <w:rFonts w:ascii="黑体" w:hAnsi="黑体" w:eastAsia="黑体" w:cs="Times New Roman"/>
      <w:b/>
      <w:bCs/>
      <w:snapToGrid w:val="0"/>
      <w:color w:val="000000"/>
      <w:spacing w:val="60"/>
      <w:kern w:val="0"/>
      <w:sz w:val="36"/>
      <w:szCs w:val="30"/>
    </w:rPr>
  </w:style>
  <w:style w:type="paragraph" w:customStyle="1" w:styleId="2492">
    <w:name w:val="图表题注样式"/>
    <w:basedOn w:val="29"/>
    <w:link w:val="2493"/>
    <w:qFormat/>
    <w:uiPriority w:val="0"/>
    <w:pPr>
      <w:spacing w:before="0"/>
    </w:pPr>
    <w:rPr>
      <w:rFonts w:ascii="Arial" w:hAnsi="Arial" w:cs="宋体"/>
      <w:b/>
      <w:sz w:val="21"/>
      <w:szCs w:val="21"/>
    </w:rPr>
  </w:style>
  <w:style w:type="character" w:customStyle="1" w:styleId="2493">
    <w:name w:val="图表题注样式 Char"/>
    <w:link w:val="2492"/>
    <w:qFormat/>
    <w:uiPriority w:val="0"/>
    <w:rPr>
      <w:rFonts w:ascii="Arial" w:hAnsi="Arial" w:eastAsia="黑体" w:cs="宋体"/>
      <w:b/>
      <w:kern w:val="2"/>
      <w:sz w:val="21"/>
      <w:szCs w:val="21"/>
    </w:rPr>
  </w:style>
  <w:style w:type="character" w:customStyle="1" w:styleId="2494">
    <w:name w:val="表格题注样式 Char"/>
    <w:link w:val="509"/>
    <w:qFormat/>
    <w:uiPriority w:val="0"/>
    <w:rPr>
      <w:rFonts w:ascii="黑体" w:eastAsia="黑体"/>
      <w:kern w:val="2"/>
      <w:sz w:val="21"/>
      <w:szCs w:val="21"/>
    </w:rPr>
  </w:style>
  <w:style w:type="paragraph" w:customStyle="1" w:styleId="2495">
    <w:name w:val="Char Char1 Char Char"/>
    <w:basedOn w:val="1"/>
    <w:qFormat/>
    <w:uiPriority w:val="0"/>
    <w:pPr>
      <w:ind w:firstLine="420" w:firstLineChars="200"/>
    </w:pPr>
    <w:rPr>
      <w:rFonts w:ascii="Tahoma" w:hAnsi="Tahoma" w:eastAsia="宋体" w:cs="Times New Roman"/>
      <w:sz w:val="24"/>
      <w:szCs w:val="20"/>
    </w:rPr>
  </w:style>
  <w:style w:type="paragraph" w:customStyle="1" w:styleId="2496">
    <w:name w:val="表头"/>
    <w:basedOn w:val="1485"/>
    <w:qFormat/>
    <w:uiPriority w:val="0"/>
    <w:pPr>
      <w:spacing w:line="240" w:lineRule="auto"/>
      <w:jc w:val="center"/>
    </w:pPr>
    <w:rPr>
      <w:rFonts w:ascii="Times New Roman" w:hAnsi="Times New Roman" w:eastAsia="黑体" w:cs="宋体"/>
      <w:b/>
      <w:bCs/>
      <w:sz w:val="21"/>
      <w:szCs w:val="20"/>
    </w:rPr>
  </w:style>
  <w:style w:type="paragraph" w:customStyle="1" w:styleId="2497">
    <w:name w:val="表格序号"/>
    <w:basedOn w:val="1485"/>
    <w:qFormat/>
    <w:uiPriority w:val="0"/>
    <w:pPr>
      <w:spacing w:line="240" w:lineRule="auto"/>
      <w:jc w:val="center"/>
    </w:pPr>
    <w:rPr>
      <w:rFonts w:ascii="Times New Roman" w:hAnsi="Times New Roman" w:eastAsia="黑体" w:cs="宋体"/>
      <w:sz w:val="21"/>
      <w:szCs w:val="20"/>
    </w:rPr>
  </w:style>
  <w:style w:type="paragraph" w:customStyle="1" w:styleId="2498">
    <w:name w:val="正文标题"/>
    <w:basedOn w:val="1"/>
    <w:link w:val="2499"/>
    <w:qFormat/>
    <w:uiPriority w:val="0"/>
    <w:pPr>
      <w:spacing w:before="120" w:line="360" w:lineRule="auto"/>
      <w:ind w:firstLine="482" w:firstLineChars="200"/>
    </w:pPr>
    <w:rPr>
      <w:rFonts w:ascii="Times New Roman" w:hAnsi="Times New Roman" w:eastAsia="宋体" w:cs="宋体"/>
      <w:b/>
      <w:bCs/>
      <w:sz w:val="24"/>
      <w:szCs w:val="20"/>
    </w:rPr>
  </w:style>
  <w:style w:type="character" w:customStyle="1" w:styleId="2499">
    <w:name w:val="正文标题 Char"/>
    <w:link w:val="2498"/>
    <w:qFormat/>
    <w:uiPriority w:val="0"/>
    <w:rPr>
      <w:rFonts w:cs="宋体"/>
      <w:b/>
      <w:bCs/>
      <w:kern w:val="2"/>
      <w:sz w:val="24"/>
    </w:rPr>
  </w:style>
  <w:style w:type="character" w:customStyle="1" w:styleId="2500">
    <w:name w:val="重点强调内容"/>
    <w:qFormat/>
    <w:uiPriority w:val="0"/>
    <w:rPr>
      <w:rFonts w:ascii="Times New Roman" w:hAnsi="Times New Roman" w:eastAsia="宋体"/>
      <w:b/>
      <w:bCs/>
      <w:u w:val="single"/>
    </w:rPr>
  </w:style>
  <w:style w:type="paragraph" w:customStyle="1" w:styleId="2501">
    <w:name w:val="Char Char Char Char Char Char Char"/>
    <w:basedOn w:val="1"/>
    <w:semiHidden/>
    <w:qFormat/>
    <w:uiPriority w:val="0"/>
    <w:pPr>
      <w:widowControl/>
      <w:jc w:val="left"/>
    </w:pPr>
    <w:rPr>
      <w:rFonts w:ascii="Tahoma" w:hAnsi="Tahoma" w:eastAsia="宋体" w:cs="仿宋_GB2312"/>
      <w:kern w:val="0"/>
      <w:sz w:val="24"/>
      <w:szCs w:val="28"/>
    </w:rPr>
  </w:style>
  <w:style w:type="paragraph" w:customStyle="1" w:styleId="2502">
    <w:name w:val="招标单位"/>
    <w:basedOn w:val="1"/>
    <w:qFormat/>
    <w:uiPriority w:val="0"/>
    <w:pPr>
      <w:widowControl/>
      <w:spacing w:before="1800" w:after="360"/>
      <w:jc w:val="center"/>
    </w:pPr>
    <w:rPr>
      <w:rFonts w:ascii="Calibri" w:hAnsi="Calibri" w:eastAsia="黑体" w:cs="Times New Roman"/>
      <w:b/>
      <w:kern w:val="0"/>
      <w:sz w:val="44"/>
      <w:szCs w:val="44"/>
      <w:lang w:eastAsia="en-US" w:bidi="en-US"/>
    </w:rPr>
  </w:style>
  <w:style w:type="paragraph" w:customStyle="1" w:styleId="2503">
    <w:name w:val="封面主标题2"/>
    <w:basedOn w:val="1"/>
    <w:qFormat/>
    <w:uiPriority w:val="0"/>
    <w:pPr>
      <w:widowControl/>
      <w:adjustRightInd w:val="0"/>
      <w:snapToGrid w:val="0"/>
      <w:spacing w:before="360" w:after="120" w:line="276" w:lineRule="auto"/>
      <w:jc w:val="center"/>
    </w:pPr>
    <w:rPr>
      <w:rFonts w:ascii="黑体" w:hAnsi="Calibri" w:eastAsia="楷体_GB2312" w:cs="宋体"/>
      <w:b/>
      <w:bCs/>
      <w:snapToGrid w:val="0"/>
      <w:color w:val="000000"/>
      <w:spacing w:val="60"/>
      <w:kern w:val="0"/>
      <w:sz w:val="22"/>
      <w:szCs w:val="20"/>
      <w:lang w:eastAsia="en-US" w:bidi="en-US"/>
    </w:rPr>
  </w:style>
  <w:style w:type="character" w:customStyle="1" w:styleId="2504">
    <w:name w:val="docemphstrong"/>
    <w:qFormat/>
    <w:uiPriority w:val="0"/>
    <w:rPr>
      <w:rFonts w:ascii="Tahoma" w:hAnsi="Tahoma" w:eastAsia="宋体"/>
      <w:snapToGrid/>
      <w:kern w:val="2"/>
      <w:sz w:val="24"/>
      <w:lang w:val="en-US" w:eastAsia="zh-CN" w:bidi="ar-SA"/>
    </w:rPr>
  </w:style>
  <w:style w:type="paragraph" w:customStyle="1" w:styleId="2505">
    <w:name w:val="doc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6">
    <w:name w:val="项目3"/>
    <w:basedOn w:val="1"/>
    <w:qFormat/>
    <w:uiPriority w:val="0"/>
    <w:pPr>
      <w:spacing w:line="360" w:lineRule="auto"/>
      <w:ind w:firstLine="480" w:firstLineChars="200"/>
    </w:pPr>
    <w:rPr>
      <w:rFonts w:ascii="Times New Roman" w:hAnsi="Times New Roman" w:eastAsia="宋体" w:cs="Times New Roman"/>
      <w:bCs/>
      <w:sz w:val="24"/>
      <w:szCs w:val="24"/>
    </w:rPr>
  </w:style>
  <w:style w:type="paragraph" w:customStyle="1" w:styleId="2507">
    <w:name w:val="样式 首行缩进:  2 字符1"/>
    <w:basedOn w:val="1"/>
    <w:qFormat/>
    <w:uiPriority w:val="0"/>
    <w:pPr>
      <w:spacing w:line="360" w:lineRule="auto"/>
      <w:ind w:firstLine="480" w:firstLineChars="200"/>
    </w:pPr>
    <w:rPr>
      <w:rFonts w:ascii="Times New Roman" w:hAnsi="Times New Roman" w:eastAsia="宋体" w:cs="宋体"/>
      <w:sz w:val="24"/>
      <w:szCs w:val="20"/>
    </w:rPr>
  </w:style>
  <w:style w:type="character" w:customStyle="1" w:styleId="2508">
    <w:name w:val="MM Topic 3 Char"/>
    <w:link w:val="1375"/>
    <w:qFormat/>
    <w:uiPriority w:val="0"/>
    <w:rPr>
      <w:rFonts w:ascii="Calibri" w:hAnsi="Calibri" w:eastAsiaTheme="minorEastAsia"/>
      <w:kern w:val="2"/>
      <w:sz w:val="32"/>
      <w:szCs w:val="32"/>
    </w:rPr>
  </w:style>
  <w:style w:type="paragraph" w:customStyle="1" w:styleId="2509">
    <w:name w:val="CM202"/>
    <w:basedOn w:val="1"/>
    <w:next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2510">
    <w:name w:val="CM220"/>
    <w:basedOn w:val="1"/>
    <w:next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2511">
    <w:name w:val="Char Char2 Char Char Char Char Char Char"/>
    <w:basedOn w:val="1"/>
    <w:qFormat/>
    <w:uiPriority w:val="0"/>
    <w:rPr>
      <w:rFonts w:ascii="Times New Roman" w:hAnsi="Times New Roman" w:eastAsia="宋体" w:cs="Times New Roman"/>
      <w:szCs w:val="24"/>
    </w:rPr>
  </w:style>
  <w:style w:type="character" w:customStyle="1" w:styleId="2512">
    <w:name w:val="样式 宋体 Char"/>
    <w:qFormat/>
    <w:uiPriority w:val="0"/>
    <w:rPr>
      <w:rFonts w:ascii="宋体" w:hAnsi="宋体"/>
      <w:bCs/>
      <w:spacing w:val="24"/>
      <w:kern w:val="2"/>
      <w:sz w:val="21"/>
      <w:szCs w:val="28"/>
    </w:rPr>
  </w:style>
  <w:style w:type="paragraph" w:customStyle="1" w:styleId="2513">
    <w:name w:val="样式 宋体 加粗 左侧:  1 厘米 行距: 固定值 25 磅"/>
    <w:basedOn w:val="1"/>
    <w:qFormat/>
    <w:uiPriority w:val="0"/>
    <w:pPr>
      <w:spacing w:line="360" w:lineRule="auto"/>
      <w:ind w:firstLine="480" w:firstLineChars="200"/>
    </w:pPr>
    <w:rPr>
      <w:rFonts w:ascii="宋体" w:hAnsi="宋体" w:eastAsia="宋体" w:cs="宋体"/>
      <w:bCs/>
      <w:sz w:val="24"/>
      <w:szCs w:val="24"/>
    </w:rPr>
  </w:style>
  <w:style w:type="paragraph" w:customStyle="1" w:styleId="2514">
    <w:name w:val="Style1"/>
    <w:basedOn w:val="5"/>
    <w:qFormat/>
    <w:uiPriority w:val="0"/>
    <w:pPr>
      <w:numPr>
        <w:numId w:val="69"/>
      </w:numPr>
      <w:tabs>
        <w:tab w:val="left" w:pos="360"/>
        <w:tab w:val="left" w:pos="1800"/>
      </w:tabs>
      <w:spacing w:before="120" w:after="120" w:line="360" w:lineRule="auto"/>
      <w:ind w:left="0" w:firstLine="0"/>
      <w:jc w:val="left"/>
    </w:pPr>
    <w:rPr>
      <w:rFonts w:ascii="Arial" w:hAnsi="Arial" w:eastAsia="黑体" w:cs="Times New Roman"/>
      <w:sz w:val="32"/>
      <w:szCs w:val="32"/>
    </w:rPr>
  </w:style>
  <w:style w:type="paragraph" w:customStyle="1" w:styleId="2515">
    <w:name w:val="Style5.2.2"/>
    <w:basedOn w:val="1"/>
    <w:qFormat/>
    <w:uiPriority w:val="0"/>
    <w:pPr>
      <w:numPr>
        <w:ilvl w:val="3"/>
        <w:numId w:val="70"/>
      </w:numPr>
      <w:spacing w:line="360" w:lineRule="auto"/>
      <w:ind w:firstLine="0"/>
    </w:pPr>
    <w:rPr>
      <w:rFonts w:ascii="Times New Roman" w:hAnsi="Times New Roman" w:eastAsia="宋体" w:cs="Times New Roman"/>
      <w:sz w:val="24"/>
      <w:szCs w:val="24"/>
    </w:rPr>
  </w:style>
  <w:style w:type="paragraph" w:customStyle="1" w:styleId="2516">
    <w:name w:val="默认段落字体 Para Char Char Char Char Char Char Char"/>
    <w:basedOn w:val="1"/>
    <w:qFormat/>
    <w:uiPriority w:val="0"/>
    <w:rPr>
      <w:rFonts w:ascii="Tahoma" w:hAnsi="Tahoma" w:eastAsia="宋体" w:cs="Times New Roman"/>
      <w:sz w:val="24"/>
      <w:szCs w:val="20"/>
    </w:rPr>
  </w:style>
  <w:style w:type="character" w:customStyle="1" w:styleId="2517">
    <w:name w:val="unnamed11"/>
    <w:qFormat/>
    <w:uiPriority w:val="0"/>
    <w:rPr>
      <w:color w:val="000000"/>
      <w:sz w:val="18"/>
      <w:szCs w:val="18"/>
    </w:rPr>
  </w:style>
  <w:style w:type="paragraph" w:customStyle="1" w:styleId="2518">
    <w:name w:val="标题 5 + 首行缩进:  2 字符"/>
    <w:basedOn w:val="14"/>
    <w:next w:val="13"/>
    <w:qFormat/>
    <w:uiPriority w:val="0"/>
    <w:pPr>
      <w:keepNext w:val="0"/>
      <w:keepLines w:val="0"/>
      <w:numPr>
        <w:ilvl w:val="0"/>
        <w:numId w:val="0"/>
      </w:numPr>
      <w:tabs>
        <w:tab w:val="left" w:pos="2520"/>
      </w:tabs>
      <w:spacing w:before="0" w:after="0"/>
      <w:ind w:left="2520" w:hanging="420"/>
    </w:pPr>
    <w:rPr>
      <w:rFonts w:ascii="Arial" w:hAnsi="Arial" w:cs="Times New Roman"/>
      <w:color w:val="000000"/>
      <w:szCs w:val="20"/>
    </w:rPr>
  </w:style>
  <w:style w:type="character" w:customStyle="1" w:styleId="2519">
    <w:name w:val="t9h1"/>
    <w:qFormat/>
    <w:uiPriority w:val="0"/>
    <w:rPr>
      <w:rFonts w:hint="eastAsia" w:ascii="黑体" w:eastAsia="黑体"/>
      <w:b/>
      <w:bCs/>
    </w:rPr>
  </w:style>
  <w:style w:type="character" w:customStyle="1" w:styleId="2520">
    <w:name w:val="ss1"/>
    <w:qFormat/>
    <w:uiPriority w:val="0"/>
    <w:rPr>
      <w:rFonts w:hint="eastAsia" w:ascii="宋体" w:hAnsi="宋体" w:eastAsia="宋体"/>
      <w:sz w:val="18"/>
      <w:szCs w:val="18"/>
    </w:rPr>
  </w:style>
  <w:style w:type="paragraph" w:customStyle="1" w:styleId="2521">
    <w:name w:val="My标题1"/>
    <w:basedOn w:val="4"/>
    <w:next w:val="1"/>
    <w:qFormat/>
    <w:uiPriority w:val="0"/>
    <w:pPr>
      <w:tabs>
        <w:tab w:val="left" w:pos="425"/>
      </w:tabs>
      <w:adjustRightInd w:val="0"/>
      <w:spacing w:before="120" w:after="360" w:line="360" w:lineRule="auto"/>
      <w:ind w:left="425" w:hanging="425"/>
      <w:jc w:val="left"/>
      <w:textAlignment w:val="baseline"/>
    </w:pPr>
    <w:rPr>
      <w:rFonts w:ascii="Arial" w:hAnsi="Arial" w:cs="Times New Roman"/>
      <w:bCs w:val="0"/>
      <w:szCs w:val="20"/>
    </w:rPr>
  </w:style>
  <w:style w:type="paragraph" w:customStyle="1" w:styleId="2522">
    <w:name w:val="My标题2"/>
    <w:basedOn w:val="5"/>
    <w:next w:val="1"/>
    <w:qFormat/>
    <w:uiPriority w:val="0"/>
    <w:pPr>
      <w:numPr>
        <w:numId w:val="0"/>
      </w:numPr>
      <w:tabs>
        <w:tab w:val="left" w:pos="720"/>
      </w:tabs>
      <w:spacing w:before="360" w:after="120" w:line="360" w:lineRule="auto"/>
      <w:ind w:left="567" w:hanging="567"/>
      <w:jc w:val="left"/>
      <w:textAlignment w:val="baseline"/>
    </w:pPr>
    <w:rPr>
      <w:rFonts w:ascii="Arial" w:hAnsi="Arial" w:cs="Times New Roman"/>
      <w:bCs w:val="0"/>
      <w:kern w:val="0"/>
      <w:sz w:val="24"/>
      <w:szCs w:val="20"/>
    </w:rPr>
  </w:style>
  <w:style w:type="paragraph" w:customStyle="1" w:styleId="2523">
    <w:name w:val="My标题3"/>
    <w:basedOn w:val="7"/>
    <w:next w:val="1"/>
    <w:qFormat/>
    <w:uiPriority w:val="0"/>
    <w:pPr>
      <w:keepNext/>
      <w:keepLines/>
      <w:numPr>
        <w:numId w:val="0"/>
      </w:numPr>
      <w:tabs>
        <w:tab w:val="left" w:pos="1080"/>
      </w:tabs>
      <w:spacing w:before="260" w:after="260" w:line="416" w:lineRule="auto"/>
      <w:ind w:left="709" w:hanging="709"/>
    </w:pPr>
    <w:rPr>
      <w:rFonts w:ascii="Arial" w:hAnsi="Arial" w:eastAsia="宋体" w:cs="Times New Roman"/>
      <w:szCs w:val="20"/>
    </w:rPr>
  </w:style>
  <w:style w:type="paragraph" w:customStyle="1" w:styleId="2524">
    <w:name w:val="My标题4"/>
    <w:basedOn w:val="7"/>
    <w:next w:val="1"/>
    <w:qFormat/>
    <w:uiPriority w:val="0"/>
    <w:pPr>
      <w:keepNext/>
      <w:keepLines/>
      <w:numPr>
        <w:ilvl w:val="3"/>
        <w:numId w:val="0"/>
      </w:numPr>
      <w:tabs>
        <w:tab w:val="left" w:pos="425"/>
      </w:tabs>
      <w:spacing w:before="260" w:after="260" w:line="416" w:lineRule="auto"/>
      <w:ind w:left="425" w:hanging="425"/>
    </w:pPr>
    <w:rPr>
      <w:rFonts w:ascii="Times New Roman" w:hAnsi="Times New Roman" w:eastAsia="宋体" w:cs="Times New Roman"/>
      <w:szCs w:val="32"/>
    </w:rPr>
  </w:style>
  <w:style w:type="paragraph" w:customStyle="1" w:styleId="2525">
    <w:name w:val="My正文"/>
    <w:basedOn w:val="1"/>
    <w:qFormat/>
    <w:uiPriority w:val="0"/>
    <w:pPr>
      <w:adjustRightInd w:val="0"/>
      <w:spacing w:before="120" w:line="360" w:lineRule="auto"/>
      <w:ind w:firstLine="567"/>
      <w:textAlignment w:val="baseline"/>
    </w:pPr>
    <w:rPr>
      <w:rFonts w:ascii="Arial" w:hAnsi="Arial" w:eastAsia="宋体" w:cs="Times New Roman"/>
      <w:kern w:val="0"/>
      <w:sz w:val="24"/>
      <w:szCs w:val="20"/>
    </w:rPr>
  </w:style>
  <w:style w:type="paragraph" w:customStyle="1" w:styleId="2526">
    <w:name w:val="My编号1"/>
    <w:basedOn w:val="2525"/>
    <w:qFormat/>
    <w:uiPriority w:val="0"/>
    <w:pPr>
      <w:ind w:firstLine="0"/>
    </w:pPr>
  </w:style>
  <w:style w:type="paragraph" w:customStyle="1" w:styleId="2527">
    <w:name w:val="my标题5"/>
    <w:basedOn w:val="1"/>
    <w:qFormat/>
    <w:uiPriority w:val="0"/>
    <w:pPr>
      <w:tabs>
        <w:tab w:val="left" w:pos="992"/>
      </w:tabs>
      <w:ind w:left="992" w:hanging="992"/>
    </w:pPr>
    <w:rPr>
      <w:rFonts w:ascii="Times New Roman" w:hAnsi="Times New Roman" w:eastAsia="宋体" w:cs="Times New Roman"/>
      <w:sz w:val="24"/>
      <w:szCs w:val="24"/>
    </w:rPr>
  </w:style>
  <w:style w:type="paragraph" w:customStyle="1" w:styleId="2528">
    <w:name w:val="方点项目"/>
    <w:basedOn w:val="1"/>
    <w:qFormat/>
    <w:uiPriority w:val="0"/>
    <w:pPr>
      <w:tabs>
        <w:tab w:val="left" w:pos="896"/>
      </w:tabs>
      <w:spacing w:line="360" w:lineRule="auto"/>
      <w:ind w:left="896" w:hanging="420"/>
    </w:pPr>
    <w:rPr>
      <w:rFonts w:ascii="Arial" w:hAnsi="Arial" w:eastAsia="LineDraw" w:cs="Times New Roman"/>
      <w:sz w:val="24"/>
      <w:szCs w:val="20"/>
    </w:rPr>
  </w:style>
  <w:style w:type="character" w:customStyle="1" w:styleId="2529">
    <w:name w:val="textfont1"/>
    <w:qFormat/>
    <w:uiPriority w:val="0"/>
    <w:rPr>
      <w:spacing w:val="240"/>
      <w:sz w:val="26"/>
      <w:szCs w:val="26"/>
    </w:rPr>
  </w:style>
  <w:style w:type="paragraph" w:customStyle="1" w:styleId="2530">
    <w:name w:val="wtext"/>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2531">
    <w:name w:val="正文首行缩进1"/>
    <w:qFormat/>
    <w:uiPriority w:val="0"/>
    <w:rPr>
      <w:rFonts w:eastAsia="宋体"/>
      <w:kern w:val="2"/>
      <w:sz w:val="24"/>
      <w:lang w:val="en-US" w:eastAsia="zh-CN" w:bidi="ar-SA"/>
    </w:rPr>
  </w:style>
  <w:style w:type="paragraph" w:customStyle="1" w:styleId="2532">
    <w:name w:val="段正文缩进"/>
    <w:basedOn w:val="1"/>
    <w:qFormat/>
    <w:uiPriority w:val="0"/>
    <w:pPr>
      <w:adjustRightInd w:val="0"/>
      <w:snapToGrid w:val="0"/>
      <w:spacing w:before="50" w:line="360" w:lineRule="auto"/>
    </w:pPr>
    <w:rPr>
      <w:rFonts w:ascii="Times New Roman" w:hAnsi="Times New Roman" w:eastAsia="仿宋_GB2312" w:cs="Times New Roman"/>
      <w:sz w:val="30"/>
      <w:szCs w:val="20"/>
    </w:rPr>
  </w:style>
  <w:style w:type="paragraph" w:customStyle="1" w:styleId="2533">
    <w:name w:val="一级文字列表"/>
    <w:basedOn w:val="1"/>
    <w:qFormat/>
    <w:uiPriority w:val="0"/>
    <w:pPr>
      <w:spacing w:line="360" w:lineRule="auto"/>
      <w:jc w:val="left"/>
    </w:pPr>
    <w:rPr>
      <w:rFonts w:ascii="Times New Roman" w:hAnsi="Times New Roman" w:eastAsia="宋体" w:cs="Times New Roman"/>
      <w:sz w:val="24"/>
      <w:szCs w:val="24"/>
    </w:rPr>
  </w:style>
  <w:style w:type="paragraph" w:customStyle="1" w:styleId="2534">
    <w:name w:val="IBM 正文"/>
    <w:basedOn w:val="1"/>
    <w:qFormat/>
    <w:uiPriority w:val="0"/>
    <w:pPr>
      <w:spacing w:line="400" w:lineRule="exact"/>
    </w:pPr>
    <w:rPr>
      <w:rFonts w:ascii="Times New Roman" w:hAnsi="Times New Roman" w:eastAsia="宋体" w:cs="Times New Roman"/>
      <w:spacing w:val="20"/>
      <w:sz w:val="24"/>
      <w:szCs w:val="20"/>
    </w:rPr>
  </w:style>
  <w:style w:type="character" w:customStyle="1" w:styleId="2535">
    <w:name w:val="hei12cn1"/>
    <w:qFormat/>
    <w:uiPriority w:val="0"/>
    <w:rPr>
      <w:color w:val="000000"/>
      <w:spacing w:val="360"/>
      <w:sz w:val="18"/>
      <w:szCs w:val="18"/>
      <w:u w:val="none"/>
    </w:rPr>
  </w:style>
  <w:style w:type="character" w:customStyle="1" w:styleId="2536">
    <w:name w:val="test1"/>
    <w:qFormat/>
    <w:uiPriority w:val="0"/>
  </w:style>
  <w:style w:type="paragraph" w:customStyle="1" w:styleId="2537">
    <w:name w:val="List2"/>
    <w:basedOn w:val="1"/>
    <w:qFormat/>
    <w:uiPriority w:val="0"/>
    <w:pPr>
      <w:tabs>
        <w:tab w:val="left" w:pos="780"/>
      </w:tabs>
      <w:spacing w:line="360" w:lineRule="auto"/>
      <w:ind w:left="780" w:hanging="360"/>
    </w:pPr>
    <w:rPr>
      <w:rFonts w:ascii="Times New Roman" w:hAnsi="Times New Roman" w:eastAsia="宋体" w:cs="Times New Roman"/>
      <w:sz w:val="24"/>
      <w:szCs w:val="20"/>
    </w:rPr>
  </w:style>
  <w:style w:type="paragraph" w:customStyle="1" w:styleId="2538">
    <w:name w:val="二级文字列表"/>
    <w:basedOn w:val="2533"/>
    <w:qFormat/>
    <w:uiPriority w:val="0"/>
    <w:pPr>
      <w:tabs>
        <w:tab w:val="left" w:pos="1260"/>
      </w:tabs>
      <w:ind w:left="1260" w:hanging="420"/>
    </w:pPr>
  </w:style>
  <w:style w:type="character" w:customStyle="1" w:styleId="2539">
    <w:name w:val="正文首行缩进 Char Char Char Char Char Char Char Char Char Char Char Char Char Char Char Char Char Char Char Char Char Char Char Char Char Char"/>
    <w:qFormat/>
    <w:uiPriority w:val="0"/>
    <w:rPr>
      <w:rFonts w:eastAsia="宋体"/>
      <w:kern w:val="2"/>
      <w:sz w:val="24"/>
      <w:lang w:val="en-US" w:eastAsia="zh-CN" w:bidi="ar-SA"/>
    </w:rPr>
  </w:style>
  <w:style w:type="paragraph" w:customStyle="1" w:styleId="2540">
    <w:name w:val="文档正文（外部）"/>
    <w:basedOn w:val="1"/>
    <w:qFormat/>
    <w:uiPriority w:val="0"/>
    <w:pPr>
      <w:spacing w:line="360" w:lineRule="auto"/>
    </w:pPr>
    <w:rPr>
      <w:rFonts w:ascii="Times New Roman" w:hAnsi="Times New Roman" w:eastAsia="宋体" w:cs="Times New Roman"/>
      <w:sz w:val="28"/>
      <w:szCs w:val="24"/>
    </w:rPr>
  </w:style>
  <w:style w:type="paragraph" w:customStyle="1" w:styleId="254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宋体" w:cs="Times New Roman"/>
      <w:b/>
      <w:bCs/>
      <w:kern w:val="0"/>
      <w:sz w:val="20"/>
      <w:szCs w:val="20"/>
    </w:rPr>
  </w:style>
  <w:style w:type="paragraph" w:customStyle="1" w:styleId="254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8"/>
      <w:szCs w:val="18"/>
    </w:rPr>
  </w:style>
  <w:style w:type="paragraph" w:customStyle="1" w:styleId="254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8"/>
      <w:szCs w:val="18"/>
    </w:rPr>
  </w:style>
  <w:style w:type="paragraph" w:customStyle="1" w:styleId="254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54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254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kern w:val="0"/>
      <w:sz w:val="18"/>
      <w:szCs w:val="18"/>
    </w:rPr>
  </w:style>
  <w:style w:type="paragraph" w:customStyle="1" w:styleId="2547">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宋体" w:cs="Times New Roman"/>
      <w:b/>
      <w:bCs/>
      <w:kern w:val="0"/>
      <w:sz w:val="18"/>
      <w:szCs w:val="18"/>
    </w:rPr>
  </w:style>
  <w:style w:type="paragraph" w:customStyle="1" w:styleId="254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2549">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b/>
      <w:bCs/>
      <w:i/>
      <w:iCs/>
      <w:kern w:val="0"/>
      <w:sz w:val="20"/>
      <w:szCs w:val="20"/>
      <w:u w:val="single"/>
    </w:rPr>
  </w:style>
  <w:style w:type="paragraph" w:customStyle="1" w:styleId="2550">
    <w:name w:val="xl49"/>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551">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255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6"/>
      <w:szCs w:val="16"/>
    </w:rPr>
  </w:style>
  <w:style w:type="paragraph" w:customStyle="1" w:styleId="2553">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6"/>
      <w:szCs w:val="16"/>
    </w:rPr>
  </w:style>
  <w:style w:type="paragraph" w:customStyle="1" w:styleId="255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6"/>
      <w:szCs w:val="16"/>
    </w:rPr>
  </w:style>
  <w:style w:type="paragraph" w:customStyle="1" w:styleId="2555">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宋体" w:cs="Times New Roman"/>
      <w:kern w:val="0"/>
      <w:sz w:val="16"/>
      <w:szCs w:val="16"/>
    </w:rPr>
  </w:style>
  <w:style w:type="paragraph" w:customStyle="1" w:styleId="255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2557">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6"/>
      <w:szCs w:val="16"/>
    </w:rPr>
  </w:style>
  <w:style w:type="paragraph" w:customStyle="1" w:styleId="2558">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8"/>
      <w:szCs w:val="18"/>
    </w:rPr>
  </w:style>
  <w:style w:type="paragraph" w:customStyle="1" w:styleId="2559">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kern w:val="0"/>
      <w:sz w:val="18"/>
      <w:szCs w:val="18"/>
    </w:rPr>
  </w:style>
  <w:style w:type="paragraph" w:customStyle="1" w:styleId="256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8"/>
      <w:szCs w:val="18"/>
    </w:rPr>
  </w:style>
  <w:style w:type="paragraph" w:customStyle="1" w:styleId="2561">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imes New Roman" w:hAnsi="Times New Roman" w:eastAsia="宋体" w:cs="Times New Roman"/>
      <w:b/>
      <w:bCs/>
      <w:kern w:val="0"/>
      <w:sz w:val="18"/>
      <w:szCs w:val="18"/>
    </w:rPr>
  </w:style>
  <w:style w:type="paragraph" w:customStyle="1" w:styleId="2562">
    <w:name w:val="xl61"/>
    <w:basedOn w:val="1"/>
    <w:qFormat/>
    <w:uiPriority w:val="0"/>
    <w:pPr>
      <w:widowControl/>
      <w:pBdr>
        <w:top w:val="single" w:color="auto" w:sz="4" w:space="0"/>
        <w:left w:val="single" w:color="auto" w:sz="4" w:space="0"/>
        <w:bottom w:val="single" w:color="auto" w:sz="4" w:space="0"/>
        <w:right w:val="single" w:color="auto" w:sz="4" w:space="0"/>
      </w:pBdr>
      <w:shd w:val="pct10" w:color="auto" w:fill="auto"/>
      <w:spacing w:before="100" w:beforeAutospacing="1" w:after="100" w:afterAutospacing="1"/>
      <w:jc w:val="center"/>
      <w:textAlignment w:val="center"/>
    </w:pPr>
    <w:rPr>
      <w:rFonts w:ascii="Arial Unicode MS" w:hAnsi="Arial Unicode MS" w:eastAsia="宋体" w:cs="Times New Roman"/>
      <w:kern w:val="0"/>
      <w:szCs w:val="21"/>
    </w:rPr>
  </w:style>
  <w:style w:type="paragraph" w:customStyle="1" w:styleId="2563">
    <w:name w:val="样式 标题 1H1 + 三号"/>
    <w:basedOn w:val="4"/>
    <w:qFormat/>
    <w:uiPriority w:val="0"/>
    <w:pPr>
      <w:pageBreakBefore/>
      <w:numPr>
        <w:numId w:val="0"/>
      </w:numPr>
      <w:tabs>
        <w:tab w:val="left" w:pos="420"/>
      </w:tabs>
      <w:ind w:left="420" w:hanging="420"/>
      <w:jc w:val="both"/>
    </w:pPr>
    <w:rPr>
      <w:rFonts w:ascii="Times New Roman" w:hAnsi="Times New Roman" w:cs="Times New Roman"/>
      <w:szCs w:val="44"/>
    </w:rPr>
  </w:style>
  <w:style w:type="paragraph" w:customStyle="1" w:styleId="2564">
    <w:name w:val="样式 标题 22nd levelh22Header 2H2 + 四号 段前: 6 磅 段后: 6 磅 行距: 1..."/>
    <w:basedOn w:val="5"/>
    <w:qFormat/>
    <w:uiPriority w:val="0"/>
    <w:pPr>
      <w:numPr>
        <w:ilvl w:val="0"/>
        <w:numId w:val="0"/>
      </w:numPr>
      <w:tabs>
        <w:tab w:val="left" w:pos="840"/>
      </w:tabs>
      <w:spacing w:before="120" w:after="120" w:line="360" w:lineRule="auto"/>
      <w:ind w:left="840" w:hanging="420"/>
      <w:jc w:val="left"/>
    </w:pPr>
    <w:rPr>
      <w:rFonts w:ascii="Arial" w:hAnsi="Arial" w:cs="黑体"/>
    </w:rPr>
  </w:style>
  <w:style w:type="paragraph" w:customStyle="1" w:styleId="2565">
    <w:name w:val="文本正文"/>
    <w:basedOn w:val="1"/>
    <w:link w:val="2566"/>
    <w:qFormat/>
    <w:uiPriority w:val="0"/>
    <w:pPr>
      <w:spacing w:before="156" w:after="156" w:line="360" w:lineRule="auto"/>
      <w:ind w:firstLine="480"/>
    </w:pPr>
    <w:rPr>
      <w:rFonts w:ascii="Times New Roman" w:hAnsi="Times New Roman" w:eastAsia="宋体" w:cs="Times New Roman"/>
      <w:color w:val="000000"/>
      <w:szCs w:val="21"/>
    </w:rPr>
  </w:style>
  <w:style w:type="character" w:customStyle="1" w:styleId="2566">
    <w:name w:val="文本正文 Char"/>
    <w:link w:val="2565"/>
    <w:qFormat/>
    <w:uiPriority w:val="0"/>
    <w:rPr>
      <w:color w:val="000000"/>
      <w:kern w:val="2"/>
      <w:sz w:val="21"/>
      <w:szCs w:val="21"/>
    </w:rPr>
  </w:style>
  <w:style w:type="character" w:customStyle="1" w:styleId="2567">
    <w:name w:val="Default Char"/>
    <w:link w:val="1384"/>
    <w:qFormat/>
    <w:uiPriority w:val="0"/>
    <w:rPr>
      <w:rFonts w:ascii="幼圆" w:hAnsi="Calibri" w:eastAsia="幼圆" w:cs="幼圆"/>
      <w:color w:val="000000"/>
      <w:sz w:val="24"/>
      <w:szCs w:val="24"/>
    </w:rPr>
  </w:style>
  <w:style w:type="paragraph" w:customStyle="1" w:styleId="2568">
    <w:name w:val="项目2"/>
    <w:basedOn w:val="1"/>
    <w:qFormat/>
    <w:uiPriority w:val="0"/>
    <w:pPr>
      <w:tabs>
        <w:tab w:val="left" w:pos="1026"/>
      </w:tabs>
      <w:spacing w:line="360" w:lineRule="auto"/>
      <w:ind w:left="1026" w:hanging="600"/>
    </w:pPr>
    <w:rPr>
      <w:rFonts w:ascii="Times New Roman" w:hAnsi="Times New Roman" w:eastAsia="宋体" w:cs="Times New Roman"/>
      <w:sz w:val="24"/>
      <w:szCs w:val="24"/>
    </w:rPr>
  </w:style>
  <w:style w:type="paragraph" w:customStyle="1" w:styleId="2569">
    <w:name w:val="NUDT标题1"/>
    <w:basedOn w:val="1"/>
    <w:qFormat/>
    <w:uiPriority w:val="0"/>
    <w:pPr>
      <w:adjustRightInd w:val="0"/>
      <w:spacing w:beforeLines="100" w:afterLines="100" w:line="300" w:lineRule="auto"/>
      <w:jc w:val="center"/>
      <w:textAlignment w:val="baseline"/>
      <w:outlineLvl w:val="0"/>
    </w:pPr>
    <w:rPr>
      <w:rFonts w:ascii="Arial" w:hAnsi="Arial" w:eastAsia="黑体" w:cs="宋体"/>
      <w:sz w:val="32"/>
      <w:szCs w:val="32"/>
    </w:rPr>
  </w:style>
  <w:style w:type="paragraph" w:customStyle="1" w:styleId="2570">
    <w:name w:val="NUDT标题2"/>
    <w:basedOn w:val="2569"/>
    <w:qFormat/>
    <w:uiPriority w:val="0"/>
    <w:pPr>
      <w:outlineLvl w:val="1"/>
    </w:pPr>
    <w:rPr>
      <w:rFonts w:ascii="Times New Roman" w:hAnsi="Times New Roman" w:eastAsia="宋体"/>
      <w:b/>
      <w:sz w:val="28"/>
      <w:szCs w:val="28"/>
    </w:rPr>
  </w:style>
  <w:style w:type="paragraph" w:customStyle="1" w:styleId="2571">
    <w:name w:val="NUDT标题3"/>
    <w:basedOn w:val="1"/>
    <w:qFormat/>
    <w:uiPriority w:val="0"/>
    <w:pPr>
      <w:adjustRightInd w:val="0"/>
      <w:spacing w:beforeLines="100" w:afterLines="100" w:line="300" w:lineRule="auto"/>
      <w:ind w:firstLine="200" w:firstLineChars="200"/>
      <w:textAlignment w:val="baseline"/>
      <w:outlineLvl w:val="2"/>
    </w:pPr>
    <w:rPr>
      <w:rFonts w:ascii="Arial" w:hAnsi="Arial" w:eastAsia="黑体" w:cs="宋体"/>
      <w:bCs/>
      <w:sz w:val="24"/>
      <w:szCs w:val="24"/>
    </w:rPr>
  </w:style>
  <w:style w:type="paragraph" w:customStyle="1" w:styleId="2572">
    <w:name w:val="NUDT标题4"/>
    <w:basedOn w:val="2570"/>
    <w:qFormat/>
    <w:uiPriority w:val="0"/>
    <w:pPr>
      <w:spacing w:beforeLines="50" w:afterLines="0"/>
      <w:ind w:firstLine="482" w:firstLineChars="200"/>
      <w:jc w:val="both"/>
      <w:outlineLvl w:val="3"/>
    </w:pPr>
    <w:rPr>
      <w:bCs/>
      <w:sz w:val="24"/>
      <w:szCs w:val="24"/>
    </w:rPr>
  </w:style>
  <w:style w:type="paragraph" w:customStyle="1" w:styleId="2573">
    <w:name w:val="样式 标题 4（四级标题）H4PIM 4h4bulletblbbbullet1bl1bb1bullet2..."/>
    <w:basedOn w:val="14"/>
    <w:next w:val="30"/>
    <w:qFormat/>
    <w:uiPriority w:val="0"/>
    <w:pPr>
      <w:numPr>
        <w:ilvl w:val="0"/>
        <w:numId w:val="0"/>
      </w:numPr>
      <w:tabs>
        <w:tab w:val="left" w:pos="1008"/>
        <w:tab w:val="left" w:pos="2520"/>
      </w:tabs>
      <w:spacing w:before="280" w:after="290"/>
      <w:ind w:left="1008" w:right="240" w:rightChars="100" w:hanging="1008"/>
    </w:pPr>
    <w:rPr>
      <w:rFonts w:eastAsia="黑体" w:cs="宋体"/>
      <w:color w:val="000000"/>
      <w:szCs w:val="20"/>
    </w:rPr>
  </w:style>
  <w:style w:type="paragraph" w:customStyle="1" w:styleId="2574">
    <w:name w:val="段落正文"/>
    <w:basedOn w:val="1"/>
    <w:qFormat/>
    <w:uiPriority w:val="0"/>
    <w:pPr>
      <w:spacing w:beforeLines="50" w:line="360" w:lineRule="auto"/>
      <w:ind w:firstLine="200" w:firstLineChars="200"/>
    </w:pPr>
    <w:rPr>
      <w:rFonts w:ascii="Times New Roman" w:hAnsi="Times New Roman" w:eastAsia="宋体" w:cs="Times New Roman"/>
      <w:spacing w:val="2"/>
      <w:sz w:val="24"/>
      <w:szCs w:val="24"/>
    </w:rPr>
  </w:style>
  <w:style w:type="paragraph" w:customStyle="1" w:styleId="2575">
    <w:name w:val="zw1"/>
    <w:basedOn w:val="1"/>
    <w:qFormat/>
    <w:uiPriority w:val="0"/>
    <w:pPr>
      <w:widowControl/>
      <w:spacing w:line="360" w:lineRule="auto"/>
      <w:ind w:firstLine="540" w:firstLineChars="225"/>
    </w:pPr>
    <w:rPr>
      <w:rFonts w:ascii="宋体" w:hAnsi="宋体" w:eastAsia="宋体" w:cs="Times New Roman"/>
      <w:color w:val="000000"/>
      <w:kern w:val="0"/>
      <w:sz w:val="24"/>
      <w:szCs w:val="24"/>
    </w:rPr>
  </w:style>
  <w:style w:type="paragraph" w:customStyle="1" w:styleId="2576">
    <w:name w:val="a14"/>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577">
    <w:name w:val="内容with编号"/>
    <w:basedOn w:val="1"/>
    <w:qFormat/>
    <w:uiPriority w:val="0"/>
    <w:pPr>
      <w:widowControl/>
      <w:numPr>
        <w:ilvl w:val="0"/>
        <w:numId w:val="71"/>
      </w:numPr>
      <w:spacing w:line="360" w:lineRule="auto"/>
      <w:ind w:firstLine="0"/>
    </w:pPr>
    <w:rPr>
      <w:rFonts w:ascii="宋体" w:hAnsi="Times New Roman" w:eastAsia="宋体" w:cs="Times New Roman"/>
      <w:kern w:val="0"/>
      <w:sz w:val="24"/>
      <w:szCs w:val="20"/>
    </w:rPr>
  </w:style>
  <w:style w:type="character" w:customStyle="1" w:styleId="2578">
    <w:name w:val="font2_14_h1"/>
    <w:qFormat/>
    <w:uiPriority w:val="0"/>
    <w:rPr>
      <w:rFonts w:hint="default" w:ascii="ˎ̥" w:hAnsi="ˎ̥"/>
      <w:color w:val="000000"/>
      <w:sz w:val="16"/>
      <w:szCs w:val="16"/>
    </w:rPr>
  </w:style>
  <w:style w:type="character" w:customStyle="1" w:styleId="2579">
    <w:name w:val="Footer-Even Char"/>
    <w:qFormat/>
    <w:uiPriority w:val="0"/>
    <w:rPr>
      <w:kern w:val="2"/>
      <w:sz w:val="24"/>
      <w:szCs w:val="24"/>
    </w:rPr>
  </w:style>
  <w:style w:type="character" w:customStyle="1" w:styleId="2580">
    <w:name w:val="concon2007"/>
    <w:qFormat/>
    <w:uiPriority w:val="0"/>
  </w:style>
  <w:style w:type="paragraph" w:customStyle="1" w:styleId="2581">
    <w:name w:val="正文缩进(楷体)"/>
    <w:basedOn w:val="1"/>
    <w:qFormat/>
    <w:uiPriority w:val="0"/>
    <w:pPr>
      <w:spacing w:line="420" w:lineRule="exact"/>
      <w:ind w:firstLine="200" w:firstLineChars="200"/>
    </w:pPr>
    <w:rPr>
      <w:rFonts w:ascii="Calibri" w:hAnsi="Calibri" w:eastAsia="楷体_GB2312" w:cs="Times New Roman"/>
      <w:sz w:val="24"/>
      <w:szCs w:val="28"/>
    </w:rPr>
  </w:style>
  <w:style w:type="paragraph" w:customStyle="1" w:styleId="2582">
    <w:name w:val="Normal Indental"/>
    <w:basedOn w:val="1"/>
    <w:qFormat/>
    <w:uiPriority w:val="0"/>
    <w:pPr>
      <w:widowControl/>
      <w:overflowPunct w:val="0"/>
      <w:autoSpaceDE w:val="0"/>
      <w:autoSpaceDN w:val="0"/>
      <w:adjustRightInd w:val="0"/>
      <w:spacing w:after="240" w:line="360" w:lineRule="auto"/>
      <w:ind w:firstLine="520" w:firstLineChars="200"/>
      <w:textAlignment w:val="baseline"/>
    </w:pPr>
    <w:rPr>
      <w:rFonts w:ascii="Arial Narrow" w:hAnsi="Arial Narrow" w:eastAsia="楷体_GB2312" w:cs="Times New Roman"/>
      <w:spacing w:val="10"/>
      <w:kern w:val="0"/>
      <w:sz w:val="24"/>
      <w:szCs w:val="20"/>
    </w:rPr>
  </w:style>
  <w:style w:type="paragraph" w:customStyle="1" w:styleId="2583">
    <w:name w:val="Table Heading"/>
    <w:basedOn w:val="2584"/>
    <w:qFormat/>
    <w:uiPriority w:val="0"/>
    <w:pPr>
      <w:spacing w:before="120" w:after="120"/>
    </w:pPr>
    <w:rPr>
      <w:b/>
    </w:rPr>
  </w:style>
  <w:style w:type="paragraph" w:customStyle="1" w:styleId="2584">
    <w:name w:val="Table Text"/>
    <w:basedOn w:val="1"/>
    <w:qFormat/>
    <w:uiPriority w:val="0"/>
    <w:pPr>
      <w:keepLines/>
      <w:widowControl/>
      <w:overflowPunct w:val="0"/>
      <w:autoSpaceDE w:val="0"/>
      <w:autoSpaceDN w:val="0"/>
      <w:adjustRightInd w:val="0"/>
      <w:spacing w:line="360" w:lineRule="auto"/>
      <w:jc w:val="left"/>
      <w:textAlignment w:val="baseline"/>
    </w:pPr>
    <w:rPr>
      <w:rFonts w:ascii="Book Antiqua" w:hAnsi="Book Antiqua" w:eastAsia="宋体" w:cs="Times New Roman"/>
      <w:kern w:val="0"/>
      <w:sz w:val="16"/>
      <w:szCs w:val="20"/>
    </w:rPr>
  </w:style>
  <w:style w:type="paragraph" w:customStyle="1" w:styleId="2585">
    <w:name w:val="Default Text"/>
    <w:basedOn w:val="1"/>
    <w:qFormat/>
    <w:uiPriority w:val="0"/>
    <w:pPr>
      <w:widowControl/>
      <w:overflowPunct w:val="0"/>
      <w:autoSpaceDE w:val="0"/>
      <w:autoSpaceDN w:val="0"/>
      <w:adjustRightInd w:val="0"/>
      <w:spacing w:line="360" w:lineRule="exact"/>
      <w:textAlignment w:val="baseline"/>
    </w:pPr>
    <w:rPr>
      <w:rFonts w:ascii="Calibri" w:hAnsi="Calibri" w:eastAsia="宋体" w:cs="Times New Roman"/>
      <w:kern w:val="0"/>
      <w:sz w:val="24"/>
      <w:szCs w:val="20"/>
      <w:lang w:val="en-GB"/>
    </w:rPr>
  </w:style>
  <w:style w:type="paragraph" w:customStyle="1" w:styleId="2586">
    <w:name w:val="项目1"/>
    <w:basedOn w:val="28"/>
    <w:next w:val="28"/>
    <w:qFormat/>
    <w:uiPriority w:val="0"/>
    <w:pPr>
      <w:numPr>
        <w:ilvl w:val="3"/>
        <w:numId w:val="72"/>
      </w:numPr>
      <w:tabs>
        <w:tab w:val="left" w:pos="840"/>
      </w:tabs>
      <w:spacing w:line="240" w:lineRule="auto"/>
      <w:jc w:val="left"/>
    </w:pPr>
    <w:rPr>
      <w:rFonts w:ascii="楷体_GB2312" w:hAnsi="宋体"/>
      <w:bCs/>
      <w:sz w:val="21"/>
      <w:szCs w:val="22"/>
    </w:rPr>
  </w:style>
  <w:style w:type="paragraph" w:customStyle="1" w:styleId="2587">
    <w:name w:val="Char Char Char1 Char Char Char1 Char"/>
    <w:basedOn w:val="33"/>
    <w:semiHidden/>
    <w:qFormat/>
    <w:uiPriority w:val="0"/>
    <w:pPr>
      <w:shd w:val="clear" w:color="auto" w:fill="000080"/>
    </w:pPr>
    <w:rPr>
      <w:rFonts w:ascii="Tahoma" w:hAnsi="Tahoma" w:cs="Tahoma"/>
      <w:kern w:val="0"/>
      <w:sz w:val="24"/>
      <w:szCs w:val="24"/>
    </w:rPr>
  </w:style>
  <w:style w:type="paragraph" w:customStyle="1" w:styleId="2588">
    <w:name w:val="封面表格文本"/>
    <w:basedOn w:val="1"/>
    <w:qFormat/>
    <w:uiPriority w:val="0"/>
    <w:pPr>
      <w:widowControl/>
      <w:autoSpaceDE w:val="0"/>
      <w:autoSpaceDN w:val="0"/>
      <w:adjustRightInd w:val="0"/>
      <w:spacing w:after="200" w:line="360" w:lineRule="auto"/>
      <w:contextualSpacing/>
      <w:jc w:val="center"/>
    </w:pPr>
    <w:rPr>
      <w:rFonts w:ascii="Arial" w:hAnsi="Arial" w:eastAsia="宋体" w:cs="Arial"/>
      <w:kern w:val="0"/>
      <w:sz w:val="24"/>
    </w:rPr>
  </w:style>
  <w:style w:type="paragraph" w:customStyle="1" w:styleId="2589">
    <w:name w:val="水印"/>
    <w:basedOn w:val="1"/>
    <w:qFormat/>
    <w:uiPriority w:val="0"/>
    <w:pPr>
      <w:widowControl/>
      <w:adjustRightInd w:val="0"/>
      <w:spacing w:after="200" w:line="240" w:lineRule="atLeast"/>
      <w:contextualSpacing/>
      <w:jc w:val="left"/>
      <w:textAlignment w:val="baseline"/>
    </w:pPr>
    <w:rPr>
      <w:rFonts w:ascii="Arial" w:hAnsi="Calibri" w:eastAsia="宋体" w:cs="Times New Roman"/>
      <w:kern w:val="0"/>
      <w:sz w:val="24"/>
      <w:szCs w:val="20"/>
    </w:rPr>
  </w:style>
  <w:style w:type="paragraph" w:customStyle="1" w:styleId="2590">
    <w:name w:val="zhishi-neirong"/>
    <w:basedOn w:val="1"/>
    <w:qFormat/>
    <w:uiPriority w:val="0"/>
    <w:pPr>
      <w:widowControl/>
      <w:spacing w:before="100" w:beforeAutospacing="1" w:after="100" w:afterAutospacing="1" w:line="360" w:lineRule="auto"/>
      <w:contextualSpacing/>
      <w:jc w:val="left"/>
    </w:pPr>
    <w:rPr>
      <w:rFonts w:ascii="宋体" w:hAnsi="宋体" w:eastAsia="宋体" w:cs="宋体"/>
      <w:kern w:val="0"/>
      <w:sz w:val="24"/>
    </w:rPr>
  </w:style>
  <w:style w:type="character" w:customStyle="1" w:styleId="2591">
    <w:name w:val="zhishi-neirong1"/>
    <w:qFormat/>
    <w:uiPriority w:val="0"/>
  </w:style>
  <w:style w:type="character" w:customStyle="1" w:styleId="2592">
    <w:name w:val="明显引用 字符2"/>
    <w:basedOn w:val="136"/>
    <w:semiHidden/>
    <w:qFormat/>
    <w:uiPriority w:val="99"/>
    <w:rPr>
      <w:rFonts w:asciiTheme="minorHAnsi" w:hAnsiTheme="minorHAnsi" w:eastAsiaTheme="minorEastAsia" w:cstheme="minorBidi"/>
      <w:i/>
      <w:iCs/>
      <w:color w:val="4472C4" w:themeColor="accent1"/>
      <w:kern w:val="2"/>
      <w:sz w:val="21"/>
      <w:szCs w:val="22"/>
      <w14:textFill>
        <w14:solidFill>
          <w14:schemeClr w14:val="accent1"/>
        </w14:solidFill>
      </w14:textFill>
    </w:rPr>
  </w:style>
  <w:style w:type="paragraph" w:customStyle="1" w:styleId="2593">
    <w:name w:val="样式 行距: 1.5 倍行距1"/>
    <w:basedOn w:val="1"/>
    <w:qFormat/>
    <w:uiPriority w:val="0"/>
    <w:pPr>
      <w:spacing w:line="360" w:lineRule="auto"/>
    </w:pPr>
    <w:rPr>
      <w:rFonts w:ascii="Times New Roman" w:hAnsi="Times New Roman" w:eastAsia="宋体" w:cs="宋体"/>
      <w:sz w:val="24"/>
      <w:szCs w:val="20"/>
    </w:rPr>
  </w:style>
  <w:style w:type="paragraph" w:customStyle="1" w:styleId="2594">
    <w:name w:val="样式 行距: 1.5 倍行距"/>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2595">
    <w:name w:val="样式 首行缩进:  0.74 厘米 行距: 1.5 倍行距"/>
    <w:basedOn w:val="1"/>
    <w:qFormat/>
    <w:uiPriority w:val="0"/>
    <w:pPr>
      <w:spacing w:line="360" w:lineRule="auto"/>
      <w:ind w:firstLine="420"/>
    </w:pPr>
    <w:rPr>
      <w:rFonts w:ascii="Times New Roman" w:hAnsi="Times New Roman" w:eastAsia="宋体" w:cs="宋体"/>
      <w:sz w:val="24"/>
      <w:szCs w:val="20"/>
    </w:rPr>
  </w:style>
  <w:style w:type="character" w:customStyle="1" w:styleId="2596">
    <w:name w:val="para"/>
    <w:qFormat/>
    <w:uiPriority w:val="0"/>
  </w:style>
  <w:style w:type="paragraph" w:customStyle="1" w:styleId="2597">
    <w:name w:val="标准文件_二级项目符号"/>
    <w:basedOn w:val="1"/>
    <w:qFormat/>
    <w:uiPriority w:val="0"/>
    <w:pPr>
      <w:widowControl/>
      <w:numPr>
        <w:ilvl w:val="0"/>
        <w:numId w:val="73"/>
      </w:numPr>
      <w:tabs>
        <w:tab w:val="left" w:pos="0"/>
        <w:tab w:val="clear" w:pos="820"/>
      </w:tabs>
      <w:adjustRightInd w:val="0"/>
      <w:snapToGrid w:val="0"/>
      <w:spacing w:line="300" w:lineRule="auto"/>
      <w:ind w:left="400" w:firstLine="0"/>
      <w:jc w:val="left"/>
    </w:pPr>
    <w:rPr>
      <w:rFonts w:ascii="宋体" w:hAnsi="宋体" w:eastAsia="宋体" w:cs="Times New Roman"/>
      <w:bCs/>
      <w:color w:val="000000"/>
      <w:spacing w:val="2"/>
      <w:kern w:val="0"/>
      <w:sz w:val="24"/>
      <w:szCs w:val="24"/>
    </w:rPr>
  </w:style>
  <w:style w:type="paragraph" w:customStyle="1" w:styleId="2598">
    <w:name w:val="表注"/>
    <w:basedOn w:val="1"/>
    <w:qFormat/>
    <w:uiPriority w:val="0"/>
    <w:pPr>
      <w:spacing w:before="120" w:after="120" w:line="360" w:lineRule="exact"/>
      <w:jc w:val="center"/>
    </w:pPr>
    <w:rPr>
      <w:rFonts w:ascii="Times New Roman" w:hAnsi="Times New Roman" w:eastAsia="宋体" w:cs="Times New Roman"/>
      <w:szCs w:val="20"/>
    </w:rPr>
  </w:style>
  <w:style w:type="paragraph" w:customStyle="1" w:styleId="2599">
    <w:name w:val="项目"/>
    <w:basedOn w:val="10"/>
    <w:next w:val="10"/>
    <w:qFormat/>
    <w:uiPriority w:val="0"/>
    <w:pPr>
      <w:numPr>
        <w:ilvl w:val="0"/>
        <w:numId w:val="74"/>
      </w:numPr>
      <w:spacing w:after="0" w:line="360" w:lineRule="auto"/>
      <w:ind w:firstLine="0"/>
    </w:pPr>
    <w:rPr>
      <w:rFonts w:ascii="Times New Roman" w:hAnsi="Times New Roman" w:eastAsia="宋体" w:cs="Times New Roman"/>
      <w:kern w:val="0"/>
      <w:sz w:val="24"/>
      <w:szCs w:val="20"/>
    </w:rPr>
  </w:style>
  <w:style w:type="paragraph" w:customStyle="1" w:styleId="2600">
    <w:name w:val="样式"/>
    <w:basedOn w:val="1"/>
    <w:qFormat/>
    <w:uiPriority w:val="0"/>
    <w:pPr>
      <w:autoSpaceDE w:val="0"/>
      <w:autoSpaceDN w:val="0"/>
      <w:snapToGrid w:val="0"/>
      <w:spacing w:before="120" w:after="120" w:line="360" w:lineRule="auto"/>
    </w:pPr>
    <w:rPr>
      <w:rFonts w:ascii="宋体" w:hAnsi="Times New Roman" w:eastAsia="宋体" w:cs="Times New Roman"/>
      <w:sz w:val="24"/>
      <w:szCs w:val="20"/>
    </w:rPr>
  </w:style>
  <w:style w:type="character" w:customStyle="1" w:styleId="2601">
    <w:name w:val="style6"/>
    <w:qFormat/>
    <w:uiPriority w:val="0"/>
  </w:style>
  <w:style w:type="paragraph" w:customStyle="1" w:styleId="2602">
    <w:name w:val="默认段落字体 Para Char Char Char Char Char Char Char Char Char Char Char Char Char Char Char1 Char Char Char Char"/>
    <w:basedOn w:val="33"/>
    <w:qFormat/>
    <w:uiPriority w:val="0"/>
    <w:pPr>
      <w:shd w:val="clear" w:color="auto" w:fill="000080"/>
      <w:adjustRightInd w:val="0"/>
      <w:spacing w:line="436" w:lineRule="exact"/>
      <w:ind w:left="357"/>
      <w:jc w:val="left"/>
      <w:outlineLvl w:val="3"/>
    </w:pPr>
    <w:rPr>
      <w:rFonts w:ascii="Tahoma" w:hAnsi="Tahoma" w:cs="Times New Roman"/>
      <w:b/>
      <w:sz w:val="24"/>
      <w:szCs w:val="24"/>
    </w:rPr>
  </w:style>
  <w:style w:type="paragraph" w:customStyle="1" w:styleId="2603">
    <w:name w:val="功能点1"/>
    <w:basedOn w:val="1"/>
    <w:qFormat/>
    <w:uiPriority w:val="0"/>
    <w:pPr>
      <w:numPr>
        <w:ilvl w:val="0"/>
        <w:numId w:val="75"/>
      </w:numPr>
      <w:tabs>
        <w:tab w:val="left" w:pos="0"/>
      </w:tabs>
      <w:spacing w:line="360" w:lineRule="auto"/>
      <w:ind w:left="0" w:firstLine="643" w:firstLineChars="200"/>
    </w:pPr>
    <w:rPr>
      <w:rFonts w:ascii="Calibri" w:hAnsi="Calibri" w:eastAsia="宋体" w:cs="Times New Roman"/>
      <w:sz w:val="24"/>
      <w:szCs w:val="24"/>
    </w:rPr>
  </w:style>
  <w:style w:type="paragraph" w:customStyle="1" w:styleId="2604">
    <w:name w:val="_Style 281"/>
    <w:basedOn w:val="1"/>
    <w:next w:val="9"/>
    <w:qFormat/>
    <w:uiPriority w:val="99"/>
    <w:pPr>
      <w:autoSpaceDE w:val="0"/>
      <w:autoSpaceDN w:val="0"/>
      <w:adjustRightInd w:val="0"/>
      <w:spacing w:line="360" w:lineRule="auto"/>
      <w:ind w:firstLine="200" w:firstLineChars="200"/>
    </w:pPr>
    <w:rPr>
      <w:rFonts w:ascii="Times New Roman" w:hAnsi="Times New Roman" w:eastAsia="仿宋_GB2312" w:cs="Times New Roman"/>
      <w:kern w:val="0"/>
      <w:sz w:val="24"/>
      <w:szCs w:val="20"/>
    </w:rPr>
  </w:style>
  <w:style w:type="paragraph" w:customStyle="1" w:styleId="2605">
    <w:name w:val="B表头样式"/>
    <w:next w:val="1"/>
    <w:qFormat/>
    <w:uiPriority w:val="9"/>
    <w:pPr>
      <w:jc w:val="center"/>
    </w:pPr>
    <w:rPr>
      <w:rFonts w:ascii="Calibri" w:hAnsi="Calibri" w:eastAsia="黑体" w:cs="Times New Roman"/>
      <w:b/>
      <w:kern w:val="2"/>
      <w:sz w:val="21"/>
      <w:szCs w:val="21"/>
      <w:lang w:val="en-US" w:eastAsia="zh-CN" w:bidi="ar-SA"/>
    </w:rPr>
  </w:style>
  <w:style w:type="paragraph" w:customStyle="1" w:styleId="2606">
    <w:name w:val="_Style 285"/>
    <w:basedOn w:val="1"/>
    <w:next w:val="9"/>
    <w:qFormat/>
    <w:uiPriority w:val="99"/>
    <w:pPr>
      <w:autoSpaceDE w:val="0"/>
      <w:autoSpaceDN w:val="0"/>
      <w:adjustRightInd w:val="0"/>
      <w:spacing w:line="360" w:lineRule="auto"/>
      <w:ind w:firstLine="200" w:firstLineChars="200"/>
    </w:pPr>
    <w:rPr>
      <w:rFonts w:ascii="Times New Roman" w:hAnsi="Times New Roman" w:eastAsia="仿宋_GB2312" w:cs="Times New Roman"/>
      <w:kern w:val="0"/>
      <w:sz w:val="24"/>
      <w:szCs w:val="20"/>
    </w:rPr>
  </w:style>
  <w:style w:type="paragraph" w:customStyle="1" w:styleId="2607">
    <w:name w:val="biaoge"/>
    <w:basedOn w:val="1"/>
    <w:link w:val="2608"/>
    <w:qFormat/>
    <w:uiPriority w:val="0"/>
    <w:pPr>
      <w:spacing w:line="360" w:lineRule="auto"/>
    </w:pPr>
    <w:rPr>
      <w:rFonts w:ascii="Times New Roman" w:hAnsi="Times New Roman" w:eastAsia="宋体" w:cs="Times New Roman"/>
      <w:sz w:val="18"/>
      <w:szCs w:val="24"/>
    </w:rPr>
  </w:style>
  <w:style w:type="character" w:customStyle="1" w:styleId="2608">
    <w:name w:val="biaoge 字符"/>
    <w:link w:val="2607"/>
    <w:qFormat/>
    <w:uiPriority w:val="0"/>
    <w:rPr>
      <w:kern w:val="2"/>
      <w:sz w:val="18"/>
      <w:szCs w:val="24"/>
    </w:rPr>
  </w:style>
  <w:style w:type="paragraph" w:customStyle="1" w:styleId="2609">
    <w:name w:val="彩色底纹 - 着色 11"/>
    <w:semiHidden/>
    <w:qFormat/>
    <w:uiPriority w:val="99"/>
    <w:rPr>
      <w:rFonts w:ascii="Times New Roman" w:hAnsi="Times New Roman" w:eastAsia="宋体" w:cs="Times New Roman"/>
      <w:kern w:val="2"/>
      <w:sz w:val="21"/>
      <w:szCs w:val="24"/>
      <w:lang w:val="en-US" w:eastAsia="zh-CN" w:bidi="ar-SA"/>
    </w:rPr>
  </w:style>
  <w:style w:type="table" w:customStyle="1" w:styleId="2610">
    <w:name w:val="典雅型2"/>
    <w:basedOn w:val="90"/>
    <w:unhideWhenUsed/>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character" w:customStyle="1" w:styleId="2611">
    <w:name w:val="已访问的超链接1"/>
    <w:semiHidden/>
    <w:qFormat/>
    <w:uiPriority w:val="99"/>
    <w:rPr>
      <w:color w:val="800080"/>
      <w:u w:val="single"/>
    </w:rPr>
  </w:style>
  <w:style w:type="table" w:customStyle="1" w:styleId="2612">
    <w:name w:val="简明型 12"/>
    <w:basedOn w:val="90"/>
    <w:semiHidden/>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13">
    <w:name w:val="简明型 22"/>
    <w:basedOn w:val="90"/>
    <w:semiHidden/>
    <w:qFormat/>
    <w:uiPriority w:val="0"/>
    <w:tblStylePr w:type="lastCol">
      <w:rPr>
        <w:b/>
        <w:bCs/>
      </w:rPr>
      <w:tcPr>
        <w:tcBorders>
          <w:top w:val="nil"/>
          <w:left w:val="single" w:color="000000" w:sz="6" w:space="0"/>
          <w:bottom w:val="nil"/>
          <w:right w:val="nil"/>
          <w:insideH w:val="nil"/>
          <w:insideV w:val="nil"/>
          <w:tl2br w:val="nil"/>
          <w:tr2bl w:val="nil"/>
        </w:tcBorders>
      </w:tcPr>
    </w:tblStylePr>
  </w:style>
  <w:style w:type="table" w:customStyle="1" w:styleId="2614">
    <w:name w:val="古典型 42"/>
    <w:basedOn w:val="90"/>
    <w:semiHidden/>
    <w:qFormat/>
    <w:uiPriority w:val="0"/>
    <w:tblStylePr w:type="nwCell">
      <w:rPr>
        <w:b/>
        <w:bCs/>
      </w:rPr>
      <w:tcPr>
        <w:tcBorders>
          <w:top w:val="nil"/>
          <w:left w:val="nil"/>
          <w:bottom w:val="nil"/>
          <w:right w:val="nil"/>
          <w:insideH w:val="nil"/>
          <w:insideV w:val="nil"/>
          <w:tl2br w:val="nil"/>
          <w:tr2bl w:val="nil"/>
        </w:tcBorders>
      </w:tcPr>
    </w:tblStylePr>
  </w:style>
  <w:style w:type="table" w:customStyle="1" w:styleId="2615">
    <w:name w:val="彩色型 22"/>
    <w:basedOn w:val="90"/>
    <w:semiHidden/>
    <w:qFormat/>
    <w:uiPriority w:val="0"/>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16">
    <w:name w:val="彩色型 32"/>
    <w:basedOn w:val="90"/>
    <w:semiHidden/>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style>
  <w:style w:type="table" w:customStyle="1" w:styleId="2617">
    <w:name w:val="竖列型 12"/>
    <w:basedOn w:val="90"/>
    <w:semiHidden/>
    <w:qFormat/>
    <w:uiPriority w:val="0"/>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style>
  <w:style w:type="table" w:customStyle="1" w:styleId="2618">
    <w:name w:val="竖列型 32"/>
    <w:basedOn w:val="90"/>
    <w:semiHidden/>
    <w:qFormat/>
    <w:uiPriority w:val="0"/>
    <w:tblStylePr w:type="neCell">
      <w:rPr>
        <w:b/>
        <w:bCs/>
      </w:rPr>
      <w:tcPr>
        <w:tcBorders>
          <w:top w:val="nil"/>
          <w:left w:val="nil"/>
          <w:bottom w:val="nil"/>
          <w:right w:val="nil"/>
          <w:insideH w:val="nil"/>
          <w:insideV w:val="nil"/>
          <w:tl2br w:val="nil"/>
          <w:tr2bl w:val="nil"/>
        </w:tcBorders>
      </w:tcPr>
    </w:tblStylePr>
  </w:style>
  <w:style w:type="table" w:customStyle="1" w:styleId="2619">
    <w:name w:val="网格型 22"/>
    <w:basedOn w:val="90"/>
    <w:semiHidden/>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620">
    <w:name w:val="网格型 72"/>
    <w:basedOn w:val="90"/>
    <w:semiHidden/>
    <w:qFormat/>
    <w:uiPriority w:val="0"/>
    <w:tblStylePr w:type="nwCell">
      <w:tcPr>
        <w:tcBorders>
          <w:top w:val="nil"/>
          <w:left w:val="nil"/>
          <w:bottom w:val="nil"/>
          <w:right w:val="nil"/>
          <w:insideH w:val="nil"/>
          <w:insideV w:val="nil"/>
          <w:tl2br w:val="single" w:color="000000" w:sz="6" w:space="0"/>
          <w:tr2bl w:val="nil"/>
        </w:tcBorders>
      </w:tcPr>
    </w:tblStylePr>
  </w:style>
  <w:style w:type="table" w:customStyle="1" w:styleId="2621">
    <w:name w:val="列表型 22"/>
    <w:basedOn w:val="90"/>
    <w:semiHidden/>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style>
  <w:style w:type="table" w:customStyle="1" w:styleId="2622">
    <w:name w:val="列表型 72"/>
    <w:basedOn w:val="90"/>
    <w:semiHidden/>
    <w:qFormat/>
    <w:uiPriority w:val="0"/>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623">
    <w:name w:val="列表型 82"/>
    <w:basedOn w:val="90"/>
    <w:semiHidden/>
    <w:qFormat/>
    <w:uiPriority w:val="0"/>
    <w:tblStylePr w:type="nwCell">
      <w:tcPr>
        <w:tcBorders>
          <w:top w:val="nil"/>
          <w:left w:val="nil"/>
          <w:bottom w:val="nil"/>
          <w:right w:val="nil"/>
          <w:insideH w:val="nil"/>
          <w:insideV w:val="nil"/>
          <w:tl2br w:val="single" w:color="auto" w:sz="6" w:space="0"/>
          <w:tr2bl w:val="nil"/>
        </w:tcBorders>
      </w:tcPr>
    </w:tblStylePr>
  </w:style>
  <w:style w:type="table" w:customStyle="1" w:styleId="2624">
    <w:name w:val="标书网格型表格正文1"/>
    <w:basedOn w:val="90"/>
    <w:qFormat/>
    <w:uiPriority w:val="39"/>
    <w:pPr>
      <w:widowControl w:val="0"/>
      <w:spacing w:beforeLines="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25">
    <w:name w:val="访问过的超链接1"/>
    <w:unhideWhenUsed/>
    <w:qFormat/>
    <w:uiPriority w:val="99"/>
    <w:rPr>
      <w:color w:val="954F72"/>
      <w:u w:val="single"/>
    </w:rPr>
  </w:style>
  <w:style w:type="paragraph" w:customStyle="1" w:styleId="2626">
    <w:name w:val="索引 11"/>
    <w:basedOn w:val="1"/>
    <w:next w:val="1"/>
    <w:unhideWhenUsed/>
    <w:qFormat/>
    <w:uiPriority w:val="99"/>
    <w:pPr>
      <w:spacing w:line="360" w:lineRule="auto"/>
      <w:ind w:firstLine="200" w:firstLineChars="200"/>
    </w:pPr>
    <w:rPr>
      <w:rFonts w:ascii="等线" w:hAnsi="等线" w:eastAsia="宋体" w:cs="Times New Roman"/>
      <w:sz w:val="24"/>
      <w:szCs w:val="21"/>
    </w:rPr>
  </w:style>
  <w:style w:type="table" w:customStyle="1" w:styleId="2627">
    <w:name w:val="网格型浅色2"/>
    <w:basedOn w:val="90"/>
    <w:qFormat/>
    <w:uiPriority w:val="40"/>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2628">
    <w:name w:val="列表编号 21"/>
    <w:basedOn w:val="1"/>
    <w:next w:val="1"/>
    <w:unhideWhenUsed/>
    <w:qFormat/>
    <w:uiPriority w:val="99"/>
    <w:pPr>
      <w:spacing w:line="360" w:lineRule="auto"/>
      <w:ind w:left="620" w:hanging="420" w:firstLineChars="200"/>
      <w:contextualSpacing/>
    </w:pPr>
    <w:rPr>
      <w:rFonts w:ascii="等线" w:hAnsi="等线" w:eastAsia="宋体" w:cs="Times New Roman"/>
      <w:sz w:val="24"/>
      <w:szCs w:val="21"/>
    </w:rPr>
  </w:style>
  <w:style w:type="table" w:customStyle="1" w:styleId="2629">
    <w:name w:val="网格型浅色3"/>
    <w:basedOn w:val="90"/>
    <w:qFormat/>
    <w:uiPriority w:val="40"/>
    <w:rPr>
      <w:rFonts w:ascii="Calibri" w:hAnsi="Calibri"/>
      <w:kern w:val="2"/>
      <w:sz w:val="21"/>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630">
    <w:name w:val="简明型 13"/>
    <w:basedOn w:val="90"/>
    <w:unhideWhenUsed/>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31">
    <w:name w:val="简明型 23"/>
    <w:basedOn w:val="90"/>
    <w:unhideWhenUsed/>
    <w:qFormat/>
    <w:uiPriority w:val="0"/>
    <w:pPr>
      <w:widowControl w:val="0"/>
      <w:spacing w:line="360" w:lineRule="auto"/>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32">
    <w:name w:val="简明型 3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633">
    <w:name w:val="古典型 12"/>
    <w:basedOn w:val="90"/>
    <w:unhideWhenUsed/>
    <w:qFormat/>
    <w:uiPriority w:val="0"/>
    <w:pPr>
      <w:widowControl w:val="0"/>
      <w:spacing w:line="360" w:lineRule="auto"/>
      <w:jc w:val="both"/>
    </w:pPr>
    <w:rPr>
      <w:rFonts w:ascii="Calibri" w:hAnsi="Calibri"/>
    </w:rPr>
    <w:tblPr>
      <w:tblBorders>
        <w:top w:val="single" w:color="000000" w:sz="12" w:space="0"/>
        <w:bottom w:val="single" w:color="000000" w:sz="12" w:space="0"/>
      </w:tblBorders>
    </w:tbl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34">
    <w:name w:val="古典型 22"/>
    <w:basedOn w:val="90"/>
    <w:unhideWhenUsed/>
    <w:qFormat/>
    <w:uiPriority w:val="0"/>
    <w:pPr>
      <w:widowControl w:val="0"/>
      <w:spacing w:line="360" w:lineRule="auto"/>
      <w:jc w:val="both"/>
    </w:pPr>
    <w:rPr>
      <w:rFonts w:ascii="Calibri" w:hAnsi="Calibri"/>
    </w:rPr>
    <w:tblPr>
      <w:tblBorders>
        <w:top w:val="single" w:color="000000" w:sz="12" w:space="0"/>
        <w:bottom w:val="single" w:color="000000" w:sz="12" w:space="0"/>
      </w:tblBorders>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635">
    <w:name w:val="古典型 32"/>
    <w:basedOn w:val="90"/>
    <w:unhideWhenUsed/>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636">
    <w:name w:val="古典型 43"/>
    <w:basedOn w:val="90"/>
    <w:unhideWhenUsed/>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637">
    <w:name w:val="彩色型 12"/>
    <w:basedOn w:val="90"/>
    <w:unhideWhenUsed/>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38">
    <w:name w:val="彩色型 23"/>
    <w:basedOn w:val="90"/>
    <w:unhideWhenUsed/>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39">
    <w:name w:val="彩色型 33"/>
    <w:basedOn w:val="90"/>
    <w:unhideWhenUsed/>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640">
    <w:name w:val="竖列型 13"/>
    <w:basedOn w:val="90"/>
    <w:unhideWhenUsed/>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41">
    <w:name w:val="竖列型 22"/>
    <w:basedOn w:val="90"/>
    <w:unhideWhenUsed/>
    <w:qFormat/>
    <w:uiPriority w:val="0"/>
    <w:pPr>
      <w:widowControl w:val="0"/>
      <w:spacing w:line="360" w:lineRule="auto"/>
      <w:jc w:val="both"/>
    </w:pPr>
    <w:rPr>
      <w:rFonts w:ascii="Calibri" w:hAnsi="Calibri"/>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42">
    <w:name w:val="竖列型 33"/>
    <w:basedOn w:val="90"/>
    <w:unhideWhenUsed/>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643">
    <w:name w:val="竖列型 42"/>
    <w:basedOn w:val="90"/>
    <w:unhideWhenUsed/>
    <w:qFormat/>
    <w:uiPriority w:val="0"/>
    <w:pPr>
      <w:widowControl w:val="0"/>
      <w:spacing w:line="360" w:lineRule="auto"/>
      <w:jc w:val="both"/>
    </w:pPr>
    <w:rPr>
      <w:rFonts w:ascii="Calibri" w:hAnsi="Calibri"/>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644">
    <w:name w:val="竖列型 52"/>
    <w:basedOn w:val="90"/>
    <w:unhideWhenUsed/>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645">
    <w:name w:val="网格型 1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46">
    <w:name w:val="网格型 23"/>
    <w:basedOn w:val="90"/>
    <w:unhideWhenUsed/>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647">
    <w:name w:val="网格型 32"/>
    <w:basedOn w:val="90"/>
    <w:unhideWhenUsed/>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48">
    <w:name w:val="网格型 42"/>
    <w:basedOn w:val="90"/>
    <w:unhideWhenUsed/>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649">
    <w:name w:val="网格型 5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0">
    <w:name w:val="网格型 6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1">
    <w:name w:val="网格型 73"/>
    <w:basedOn w:val="90"/>
    <w:unhideWhenUsed/>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2">
    <w:name w:val="网格型 82"/>
    <w:basedOn w:val="90"/>
    <w:unhideWhenUsed/>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653">
    <w:name w:val="列表型 12"/>
    <w:basedOn w:val="90"/>
    <w:unhideWhenUsed/>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54">
    <w:name w:val="列表型 23"/>
    <w:basedOn w:val="90"/>
    <w:unhideWhenUsed/>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55">
    <w:name w:val="列表型 32"/>
    <w:basedOn w:val="90"/>
    <w:unhideWhenUsed/>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656">
    <w:name w:val="列表型 4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657">
    <w:name w:val="列表型 5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658">
    <w:name w:val="列表型 6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9">
    <w:name w:val="列表型 73"/>
    <w:basedOn w:val="90"/>
    <w:unhideWhenUsed/>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660">
    <w:name w:val="列表型 83"/>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661">
    <w:name w:val="表三维效果 13"/>
    <w:basedOn w:val="90"/>
    <w:unhideWhenUsed/>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662">
    <w:name w:val="表三维效果 33"/>
    <w:basedOn w:val="90"/>
    <w:unhideWhenUsed/>
    <w:qFormat/>
    <w:uiPriority w:val="0"/>
    <w:pPr>
      <w:widowControl w:val="0"/>
      <w:spacing w:line="360" w:lineRule="auto"/>
      <w:jc w:val="both"/>
    </w:pPr>
    <w:rPr>
      <w:rFonts w:ascii="Calibri" w:hAnsi="Calibri"/>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3">
    <w:name w:val="流行型2"/>
    <w:basedOn w:val="90"/>
    <w:unhideWhenUsed/>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664">
    <w:name w:val="典雅型3"/>
    <w:basedOn w:val="90"/>
    <w:unhideWhenUsed/>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2665">
    <w:name w:val="专业型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666">
    <w:name w:val="精巧型 12"/>
    <w:basedOn w:val="90"/>
    <w:unhideWhenUsed/>
    <w:qFormat/>
    <w:uiPriority w:val="0"/>
    <w:pPr>
      <w:widowControl w:val="0"/>
      <w:spacing w:line="360" w:lineRule="auto"/>
      <w:jc w:val="both"/>
    </w:pPr>
    <w:rPr>
      <w:rFonts w:ascii="Calibri" w:hAnsi="Calibri"/>
    </w:r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7">
    <w:name w:val="精巧型 22"/>
    <w:basedOn w:val="90"/>
    <w:unhideWhenUsed/>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8">
    <w:name w:val="网页型 12"/>
    <w:basedOn w:val="90"/>
    <w:unhideWhenUsed/>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669">
    <w:name w:val="网页型 22"/>
    <w:basedOn w:val="90"/>
    <w:unhideWhenUsed/>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670">
    <w:name w:val="网页型 32"/>
    <w:basedOn w:val="90"/>
    <w:unhideWhenUsed/>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671">
    <w:name w:val="浅色底纹12"/>
    <w:basedOn w:val="90"/>
    <w:semiHidden/>
    <w:qFormat/>
    <w:uiPriority w:val="60"/>
    <w:rPr>
      <w:rFonts w:ascii="Calibri" w:hAnsi="Calibri"/>
      <w:color w:val="000000"/>
    </w:rPr>
    <w:tblPr>
      <w:tblBorders>
        <w:top w:val="single" w:color="000000" w:sz="8" w:space="0"/>
        <w:bottom w:val="single" w:color="000000" w:sz="8" w:space="0"/>
      </w:tblBorders>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style>
  <w:style w:type="table" w:customStyle="1" w:styleId="2672">
    <w:name w:val="简明型 111"/>
    <w:basedOn w:val="90"/>
    <w:semiHidden/>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73">
    <w:name w:val="简明型 211"/>
    <w:basedOn w:val="90"/>
    <w:semiHidden/>
    <w:qFormat/>
    <w:uiPriority w:val="0"/>
    <w:tblStylePr w:type="lastCol">
      <w:rPr>
        <w:b/>
        <w:bCs/>
      </w:rPr>
      <w:tcPr>
        <w:tcBorders>
          <w:top w:val="nil"/>
          <w:left w:val="single" w:color="000000" w:sz="6" w:space="0"/>
          <w:bottom w:val="nil"/>
          <w:right w:val="nil"/>
          <w:insideH w:val="nil"/>
          <w:insideV w:val="nil"/>
          <w:tl2br w:val="nil"/>
          <w:tr2bl w:val="nil"/>
        </w:tcBorders>
      </w:tcPr>
    </w:tblStylePr>
  </w:style>
  <w:style w:type="table" w:customStyle="1" w:styleId="2674">
    <w:name w:val="古典型 411"/>
    <w:basedOn w:val="90"/>
    <w:semiHidden/>
    <w:qFormat/>
    <w:uiPriority w:val="0"/>
    <w:tblStylePr w:type="nwCell">
      <w:rPr>
        <w:b/>
        <w:bCs/>
      </w:rPr>
      <w:tcPr>
        <w:tcBorders>
          <w:top w:val="nil"/>
          <w:left w:val="nil"/>
          <w:bottom w:val="nil"/>
          <w:right w:val="nil"/>
          <w:insideH w:val="nil"/>
          <w:insideV w:val="nil"/>
          <w:tl2br w:val="nil"/>
          <w:tr2bl w:val="nil"/>
        </w:tcBorders>
      </w:tcPr>
    </w:tblStylePr>
  </w:style>
  <w:style w:type="table" w:customStyle="1" w:styleId="2675">
    <w:name w:val="彩色型 111"/>
    <w:basedOn w:val="90"/>
    <w:semiHidden/>
    <w:qFormat/>
    <w:uiPriority w:val="0"/>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76">
    <w:name w:val="彩色型 211"/>
    <w:basedOn w:val="90"/>
    <w:semiHidden/>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style>
  <w:style w:type="table" w:customStyle="1" w:styleId="2677">
    <w:name w:val="彩色型 311"/>
    <w:basedOn w:val="90"/>
    <w:semiHidden/>
    <w:qFormat/>
    <w:uiPriority w:val="0"/>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style>
  <w:style w:type="table" w:customStyle="1" w:styleId="2678">
    <w:name w:val="竖列型 111"/>
    <w:basedOn w:val="90"/>
    <w:semiHidden/>
    <w:qFormat/>
    <w:uiPriority w:val="0"/>
    <w:tblStylePr w:type="band1Vert">
      <w:rPr>
        <w:color w:val="auto"/>
      </w:rPr>
      <w:tcPr>
        <w:shd w:val="pct25" w:color="000000" w:fill="FFFFFF"/>
      </w:tcPr>
    </w:tblStylePr>
    <w:tblStylePr w:type="band2Vert">
      <w:rPr>
        <w:color w:val="auto"/>
      </w:rPr>
      <w:tcPr>
        <w:shd w:val="pct25" w:color="FFFF00" w:fill="FFFFFF"/>
      </w:tcPr>
    </w:tblStylePr>
  </w:style>
  <w:style w:type="table" w:customStyle="1" w:styleId="2679">
    <w:name w:val="竖列型 311"/>
    <w:basedOn w:val="90"/>
    <w:semiHidden/>
    <w:qFormat/>
    <w:uiPriority w:val="0"/>
    <w:tblStylePr w:type="neCell">
      <w:rPr>
        <w:b/>
        <w:bCs/>
      </w:rPr>
      <w:tcPr>
        <w:tcBorders>
          <w:top w:val="nil"/>
          <w:left w:val="nil"/>
          <w:bottom w:val="nil"/>
          <w:right w:val="nil"/>
          <w:insideH w:val="nil"/>
          <w:insideV w:val="nil"/>
          <w:tl2br w:val="nil"/>
          <w:tr2bl w:val="nil"/>
        </w:tcBorders>
      </w:tcPr>
    </w:tblStylePr>
  </w:style>
  <w:style w:type="table" w:customStyle="1" w:styleId="2680">
    <w:name w:val="网格型 211"/>
    <w:basedOn w:val="90"/>
    <w:semiHidden/>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681">
    <w:name w:val="网格型 711"/>
    <w:basedOn w:val="90"/>
    <w:semiHidden/>
    <w:qFormat/>
    <w:uiPriority w:val="0"/>
    <w:tblStylePr w:type="nwCell">
      <w:tcPr>
        <w:tcBorders>
          <w:top w:val="nil"/>
          <w:left w:val="nil"/>
          <w:bottom w:val="nil"/>
          <w:right w:val="nil"/>
          <w:insideH w:val="nil"/>
          <w:insideV w:val="nil"/>
          <w:tl2br w:val="single" w:color="000000" w:sz="6" w:space="0"/>
          <w:tr2bl w:val="nil"/>
        </w:tcBorders>
      </w:tcPr>
    </w:tblStylePr>
  </w:style>
  <w:style w:type="table" w:customStyle="1" w:styleId="2682">
    <w:name w:val="列表型 211"/>
    <w:basedOn w:val="90"/>
    <w:semiHidden/>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style>
  <w:style w:type="table" w:customStyle="1" w:styleId="2683">
    <w:name w:val="列表型 611"/>
    <w:basedOn w:val="90"/>
    <w:semiHidden/>
    <w:qFormat/>
    <w:uiPriority w:val="0"/>
    <w:tblStylePr w:type="band1Horz">
      <w:tcPr>
        <w:tcBorders>
          <w:top w:val="nil"/>
          <w:left w:val="nil"/>
          <w:bottom w:val="nil"/>
          <w:right w:val="nil"/>
          <w:insideH w:val="nil"/>
          <w:insideV w:val="nil"/>
          <w:tl2br w:val="nil"/>
          <w:tr2bl w:val="nil"/>
        </w:tcBorders>
        <w:shd w:val="pct25" w:color="000000" w:fill="FFFFFF"/>
      </w:tcPr>
    </w:tblStylePr>
  </w:style>
  <w:style w:type="table" w:customStyle="1" w:styleId="2684">
    <w:name w:val="列表型 811"/>
    <w:basedOn w:val="90"/>
    <w:semiHidden/>
    <w:qFormat/>
    <w:uiPriority w:val="0"/>
    <w:tblStylePr w:type="nwCell">
      <w:tcPr>
        <w:tcBorders>
          <w:top w:val="nil"/>
          <w:left w:val="nil"/>
          <w:bottom w:val="nil"/>
          <w:right w:val="nil"/>
          <w:insideH w:val="nil"/>
          <w:insideV w:val="nil"/>
          <w:tl2br w:val="single" w:color="auto" w:sz="6" w:space="0"/>
          <w:tr2bl w:val="nil"/>
        </w:tcBorders>
      </w:tcPr>
    </w:tblStylePr>
  </w:style>
  <w:style w:type="table" w:customStyle="1" w:styleId="2685">
    <w:name w:val="精巧型 111"/>
    <w:basedOn w:val="90"/>
    <w:semiHidden/>
    <w:qFormat/>
    <w:uiPriority w:val="0"/>
    <w:tblStylePr w:type="swCell">
      <w:rPr>
        <w:b/>
        <w:bCs/>
      </w:rPr>
      <w:tcPr>
        <w:tcBorders>
          <w:top w:val="nil"/>
          <w:left w:val="nil"/>
          <w:bottom w:val="nil"/>
          <w:right w:val="nil"/>
          <w:insideH w:val="nil"/>
          <w:insideV w:val="nil"/>
          <w:tl2br w:val="nil"/>
          <w:tr2bl w:val="nil"/>
        </w:tcBorders>
      </w:tcPr>
    </w:tblStylePr>
  </w:style>
  <w:style w:type="table" w:customStyle="1" w:styleId="2686">
    <w:name w:val="精巧型 211"/>
    <w:basedOn w:val="90"/>
    <w:semiHidden/>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style>
  <w:style w:type="table" w:customStyle="1" w:styleId="2687">
    <w:name w:val="简明型 121"/>
    <w:basedOn w:val="90"/>
    <w:semiHidden/>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88">
    <w:name w:val="简明型 221"/>
    <w:basedOn w:val="90"/>
    <w:semiHidden/>
    <w:qFormat/>
    <w:uiPriority w:val="0"/>
    <w:tblStylePr w:type="lastCol">
      <w:rPr>
        <w:b/>
        <w:bCs/>
      </w:rPr>
      <w:tcPr>
        <w:tcBorders>
          <w:top w:val="nil"/>
          <w:left w:val="single" w:color="000000" w:sz="6" w:space="0"/>
          <w:bottom w:val="nil"/>
          <w:right w:val="nil"/>
          <w:insideH w:val="nil"/>
          <w:insideV w:val="nil"/>
          <w:tl2br w:val="nil"/>
          <w:tr2bl w:val="nil"/>
        </w:tcBorders>
      </w:tcPr>
    </w:tblStylePr>
  </w:style>
  <w:style w:type="table" w:customStyle="1" w:styleId="2689">
    <w:name w:val="列表型 721"/>
    <w:basedOn w:val="90"/>
    <w:semiHidden/>
    <w:qFormat/>
    <w:uiPriority w:val="0"/>
  </w:style>
  <w:style w:type="character" w:customStyle="1" w:styleId="2690">
    <w:name w:val="不明显强调2"/>
    <w:qFormat/>
    <w:uiPriority w:val="19"/>
    <w:rPr>
      <w:i/>
      <w:iCs/>
      <w:color w:val="808080"/>
    </w:rPr>
  </w:style>
  <w:style w:type="character" w:customStyle="1" w:styleId="2691">
    <w:name w:val="明显强调2"/>
    <w:qFormat/>
    <w:uiPriority w:val="21"/>
    <w:rPr>
      <w:b/>
      <w:bCs/>
      <w:i/>
      <w:iCs/>
      <w:color w:val="4F81BD"/>
    </w:rPr>
  </w:style>
  <w:style w:type="character" w:customStyle="1" w:styleId="2692">
    <w:name w:val="不明显参考2"/>
    <w:qFormat/>
    <w:uiPriority w:val="31"/>
    <w:rPr>
      <w:smallCaps/>
      <w:color w:val="C0504D"/>
      <w:u w:val="single"/>
    </w:rPr>
  </w:style>
  <w:style w:type="character" w:customStyle="1" w:styleId="2693">
    <w:name w:val="明显参考2"/>
    <w:qFormat/>
    <w:uiPriority w:val="32"/>
    <w:rPr>
      <w:b/>
      <w:bCs/>
      <w:smallCaps/>
      <w:color w:val="C0504D"/>
      <w:spacing w:val="5"/>
      <w:u w:val="single"/>
    </w:rPr>
  </w:style>
  <w:style w:type="character" w:customStyle="1" w:styleId="2694">
    <w:name w:val="书籍标题2"/>
    <w:qFormat/>
    <w:uiPriority w:val="33"/>
    <w:rPr>
      <w:b/>
      <w:bCs/>
      <w:smallCaps/>
      <w:spacing w:val="5"/>
    </w:rPr>
  </w:style>
  <w:style w:type="paragraph" w:customStyle="1" w:styleId="2695">
    <w:name w:val="目录 11"/>
    <w:basedOn w:val="1"/>
    <w:next w:val="1"/>
    <w:qFormat/>
    <w:uiPriority w:val="39"/>
    <w:pPr>
      <w:widowControl/>
      <w:spacing w:line="360" w:lineRule="auto"/>
      <w:jc w:val="left"/>
    </w:pPr>
    <w:rPr>
      <w:rFonts w:ascii="宋体" w:hAnsi="宋体" w:eastAsia="宋体" w:cs="宋体"/>
      <w:kern w:val="0"/>
      <w:sz w:val="24"/>
      <w:szCs w:val="24"/>
    </w:rPr>
  </w:style>
  <w:style w:type="paragraph" w:customStyle="1" w:styleId="2696">
    <w:name w:val="目录 21"/>
    <w:basedOn w:val="1"/>
    <w:next w:val="1"/>
    <w:qFormat/>
    <w:uiPriority w:val="39"/>
    <w:pPr>
      <w:widowControl/>
      <w:spacing w:line="360" w:lineRule="auto"/>
      <w:ind w:left="100" w:leftChars="100"/>
      <w:jc w:val="left"/>
    </w:pPr>
    <w:rPr>
      <w:rFonts w:ascii="宋体" w:hAnsi="宋体" w:eastAsia="宋体" w:cs="宋体"/>
      <w:kern w:val="0"/>
      <w:szCs w:val="24"/>
    </w:rPr>
  </w:style>
  <w:style w:type="paragraph" w:customStyle="1" w:styleId="2697">
    <w:name w:val="目录 31"/>
    <w:basedOn w:val="1"/>
    <w:next w:val="1"/>
    <w:qFormat/>
    <w:uiPriority w:val="39"/>
    <w:pPr>
      <w:widowControl/>
      <w:spacing w:line="360" w:lineRule="auto"/>
      <w:ind w:left="200" w:leftChars="200"/>
      <w:jc w:val="left"/>
    </w:pPr>
    <w:rPr>
      <w:rFonts w:ascii="宋体" w:hAnsi="宋体" w:eastAsia="宋体" w:cs="宋体"/>
      <w:kern w:val="0"/>
      <w:szCs w:val="24"/>
    </w:rPr>
  </w:style>
  <w:style w:type="paragraph" w:customStyle="1" w:styleId="2698">
    <w:name w:val="网格表 31"/>
    <w:basedOn w:val="4"/>
    <w:next w:val="1"/>
    <w:qFormat/>
    <w:uiPriority w:val="99"/>
    <w:pPr>
      <w:keepNext w:val="0"/>
      <w:keepLines w:val="0"/>
      <w:widowControl/>
      <w:numPr>
        <w:numId w:val="0"/>
      </w:numPr>
      <w:spacing w:before="480" w:after="0" w:line="276" w:lineRule="auto"/>
      <w:outlineLvl w:val="9"/>
    </w:pPr>
    <w:rPr>
      <w:rFonts w:ascii="Cambria" w:hAnsi="Cambria" w:cs="宋体"/>
      <w:color w:val="365F91"/>
      <w:kern w:val="0"/>
      <w:sz w:val="28"/>
      <w:szCs w:val="28"/>
      <w:lang w:val="zh-CN"/>
    </w:rPr>
  </w:style>
  <w:style w:type="character" w:customStyle="1" w:styleId="2699">
    <w:name w:val="彩色列表 - 着色 1 字符"/>
    <w:link w:val="502"/>
    <w:qFormat/>
    <w:uiPriority w:val="34"/>
    <w:rPr>
      <w:rFonts w:ascii="Calibri" w:hAnsi="Calibri"/>
      <w:kern w:val="2"/>
      <w:sz w:val="21"/>
      <w:szCs w:val="22"/>
    </w:rPr>
  </w:style>
  <w:style w:type="paragraph" w:customStyle="1" w:styleId="2700">
    <w:name w:val="中等深浅网格 21"/>
    <w:qFormat/>
    <w:uiPriority w:val="1"/>
    <w:pPr>
      <w:widowControl w:val="0"/>
      <w:jc w:val="both"/>
    </w:pPr>
    <w:rPr>
      <w:rFonts w:ascii="Times New Roman" w:hAnsi="Times New Roman" w:eastAsia="宋体" w:cs="Times New Roman"/>
      <w:kern w:val="2"/>
      <w:szCs w:val="21"/>
      <w:lang w:val="en-US" w:eastAsia="zh-CN" w:bidi="ar-SA"/>
    </w:rPr>
  </w:style>
  <w:style w:type="paragraph" w:customStyle="1" w:styleId="2701">
    <w:name w:val="图中文字"/>
    <w:qFormat/>
    <w:uiPriority w:val="99"/>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2702">
    <w:name w:val="目录 41"/>
    <w:basedOn w:val="1"/>
    <w:next w:val="1"/>
    <w:unhideWhenUsed/>
    <w:qFormat/>
    <w:uiPriority w:val="39"/>
    <w:pPr>
      <w:widowControl/>
      <w:spacing w:line="360" w:lineRule="auto"/>
      <w:ind w:left="1260"/>
      <w:jc w:val="left"/>
    </w:pPr>
    <w:rPr>
      <w:rFonts w:ascii="Calibri" w:hAnsi="Calibri" w:eastAsia="宋体" w:cs="宋体"/>
      <w:kern w:val="0"/>
    </w:rPr>
  </w:style>
  <w:style w:type="paragraph" w:customStyle="1" w:styleId="2703">
    <w:name w:val="目录 51"/>
    <w:basedOn w:val="1"/>
    <w:next w:val="1"/>
    <w:unhideWhenUsed/>
    <w:qFormat/>
    <w:uiPriority w:val="39"/>
    <w:pPr>
      <w:widowControl/>
      <w:spacing w:line="360" w:lineRule="auto"/>
      <w:ind w:left="1680"/>
      <w:jc w:val="left"/>
    </w:pPr>
    <w:rPr>
      <w:rFonts w:ascii="Calibri" w:hAnsi="Calibri" w:eastAsia="宋体" w:cs="宋体"/>
      <w:kern w:val="0"/>
    </w:rPr>
  </w:style>
  <w:style w:type="paragraph" w:customStyle="1" w:styleId="2704">
    <w:name w:val="目录 61"/>
    <w:basedOn w:val="1"/>
    <w:next w:val="1"/>
    <w:unhideWhenUsed/>
    <w:qFormat/>
    <w:uiPriority w:val="39"/>
    <w:pPr>
      <w:widowControl/>
      <w:spacing w:line="360" w:lineRule="auto"/>
      <w:ind w:left="2100"/>
      <w:jc w:val="left"/>
    </w:pPr>
    <w:rPr>
      <w:rFonts w:ascii="Calibri" w:hAnsi="Calibri" w:eastAsia="宋体" w:cs="宋体"/>
      <w:kern w:val="0"/>
    </w:rPr>
  </w:style>
  <w:style w:type="paragraph" w:customStyle="1" w:styleId="2705">
    <w:name w:val="目录 71"/>
    <w:basedOn w:val="1"/>
    <w:next w:val="1"/>
    <w:unhideWhenUsed/>
    <w:qFormat/>
    <w:uiPriority w:val="39"/>
    <w:pPr>
      <w:widowControl/>
      <w:spacing w:line="360" w:lineRule="auto"/>
      <w:ind w:left="2520"/>
      <w:jc w:val="left"/>
    </w:pPr>
    <w:rPr>
      <w:rFonts w:ascii="Calibri" w:hAnsi="Calibri" w:eastAsia="宋体" w:cs="宋体"/>
      <w:kern w:val="0"/>
    </w:rPr>
  </w:style>
  <w:style w:type="paragraph" w:customStyle="1" w:styleId="2706">
    <w:name w:val="目录 81"/>
    <w:basedOn w:val="1"/>
    <w:next w:val="1"/>
    <w:unhideWhenUsed/>
    <w:qFormat/>
    <w:uiPriority w:val="39"/>
    <w:pPr>
      <w:widowControl/>
      <w:spacing w:line="360" w:lineRule="auto"/>
      <w:ind w:left="2940"/>
      <w:jc w:val="left"/>
    </w:pPr>
    <w:rPr>
      <w:rFonts w:ascii="Calibri" w:hAnsi="Calibri" w:eastAsia="宋体" w:cs="宋体"/>
      <w:kern w:val="0"/>
    </w:rPr>
  </w:style>
  <w:style w:type="paragraph" w:customStyle="1" w:styleId="2707">
    <w:name w:val="目录 91"/>
    <w:basedOn w:val="1"/>
    <w:next w:val="1"/>
    <w:unhideWhenUsed/>
    <w:qFormat/>
    <w:uiPriority w:val="39"/>
    <w:pPr>
      <w:widowControl/>
      <w:spacing w:line="360" w:lineRule="auto"/>
      <w:ind w:left="3360"/>
      <w:jc w:val="left"/>
    </w:pPr>
    <w:rPr>
      <w:rFonts w:ascii="Calibri" w:hAnsi="Calibri" w:eastAsia="宋体" w:cs="宋体"/>
      <w:kern w:val="0"/>
    </w:rPr>
  </w:style>
  <w:style w:type="paragraph" w:customStyle="1" w:styleId="2708">
    <w:name w:val="my文本"/>
    <w:basedOn w:val="1"/>
    <w:qFormat/>
    <w:uiPriority w:val="99"/>
    <w:pPr>
      <w:widowControl/>
      <w:spacing w:line="360" w:lineRule="auto"/>
      <w:ind w:firstLine="560"/>
      <w:jc w:val="left"/>
    </w:pPr>
    <w:rPr>
      <w:rFonts w:ascii="宋体" w:hAnsi="宋体" w:eastAsia="仿宋_GB2312" w:cs="宋体"/>
      <w:kern w:val="0"/>
      <w:sz w:val="24"/>
      <w:szCs w:val="20"/>
    </w:rPr>
  </w:style>
  <w:style w:type="paragraph" w:customStyle="1" w:styleId="2709">
    <w:name w:val="+正文"/>
    <w:basedOn w:val="1"/>
    <w:qFormat/>
    <w:uiPriority w:val="99"/>
    <w:pPr>
      <w:widowControl/>
      <w:spacing w:line="360" w:lineRule="auto"/>
      <w:jc w:val="left"/>
    </w:pPr>
    <w:rPr>
      <w:rFonts w:ascii="宋体" w:hAnsi="宋体" w:eastAsia="宋体" w:cs="宋体"/>
      <w:kern w:val="0"/>
      <w:sz w:val="24"/>
      <w:szCs w:val="28"/>
    </w:rPr>
  </w:style>
  <w:style w:type="character" w:customStyle="1" w:styleId="2710">
    <w:name w:val="black"/>
    <w:qFormat/>
    <w:uiPriority w:val="0"/>
  </w:style>
  <w:style w:type="paragraph" w:customStyle="1" w:styleId="2711">
    <w:name w:val="默认段落字体 Para Char Char Char1 Char"/>
    <w:basedOn w:val="1"/>
    <w:next w:val="1"/>
    <w:qFormat/>
    <w:uiPriority w:val="99"/>
    <w:pPr>
      <w:widowControl/>
      <w:spacing w:line="360" w:lineRule="auto"/>
      <w:ind w:left="420" w:firstLine="420"/>
      <w:jc w:val="left"/>
    </w:pPr>
    <w:rPr>
      <w:rFonts w:ascii="宋体" w:hAnsi="宋体" w:eastAsia="宋体" w:cs="宋体"/>
      <w:kern w:val="0"/>
      <w:sz w:val="24"/>
      <w:szCs w:val="24"/>
    </w:rPr>
  </w:style>
  <w:style w:type="character" w:customStyle="1" w:styleId="2712">
    <w:name w:val="t_tag"/>
    <w:qFormat/>
    <w:uiPriority w:val="0"/>
  </w:style>
  <w:style w:type="paragraph" w:customStyle="1" w:styleId="2713">
    <w:name w:val="我的样式标题一"/>
    <w:basedOn w:val="1"/>
    <w:qFormat/>
    <w:uiPriority w:val="99"/>
    <w:pPr>
      <w:widowControl/>
      <w:spacing w:line="360" w:lineRule="auto"/>
      <w:jc w:val="center"/>
    </w:pPr>
    <w:rPr>
      <w:rFonts w:ascii="宋体" w:hAnsi="宋体" w:eastAsia="黑体" w:cs="宋体"/>
      <w:b/>
      <w:kern w:val="0"/>
      <w:sz w:val="52"/>
      <w:szCs w:val="20"/>
    </w:rPr>
  </w:style>
  <w:style w:type="paragraph" w:customStyle="1" w:styleId="2714">
    <w:name w:val="font18"/>
    <w:basedOn w:val="1"/>
    <w:qFormat/>
    <w:uiPriority w:val="99"/>
    <w:pPr>
      <w:widowControl/>
      <w:spacing w:before="100" w:beforeAutospacing="1" w:after="100" w:afterAutospacing="1" w:line="360" w:lineRule="auto"/>
      <w:jc w:val="left"/>
    </w:pPr>
    <w:rPr>
      <w:rFonts w:ascii="宋体" w:hAnsi="宋体" w:eastAsia="宋体" w:cs="宋体"/>
      <w:color w:val="000000"/>
      <w:kern w:val="0"/>
      <w:sz w:val="18"/>
      <w:szCs w:val="18"/>
    </w:rPr>
  </w:style>
  <w:style w:type="paragraph" w:customStyle="1" w:styleId="2715">
    <w:name w:val="font19"/>
    <w:basedOn w:val="1"/>
    <w:qFormat/>
    <w:uiPriority w:val="99"/>
    <w:pPr>
      <w:widowControl/>
      <w:spacing w:before="100" w:beforeAutospacing="1" w:after="100" w:afterAutospacing="1" w:line="360" w:lineRule="auto"/>
      <w:jc w:val="left"/>
    </w:pPr>
    <w:rPr>
      <w:rFonts w:ascii="宋体" w:hAnsi="宋体" w:eastAsia="宋体" w:cs="宋体"/>
      <w:kern w:val="0"/>
      <w:sz w:val="18"/>
      <w:szCs w:val="18"/>
    </w:rPr>
  </w:style>
  <w:style w:type="paragraph" w:customStyle="1" w:styleId="2716">
    <w:name w:val="样式 加粗 倾斜 居中1"/>
    <w:basedOn w:val="1"/>
    <w:qFormat/>
    <w:uiPriority w:val="99"/>
    <w:pPr>
      <w:widowControl/>
      <w:spacing w:line="360" w:lineRule="auto"/>
      <w:jc w:val="center"/>
    </w:pPr>
    <w:rPr>
      <w:rFonts w:ascii="宋体" w:hAnsi="宋体" w:eastAsia="宋体" w:cs="宋体"/>
      <w:bCs/>
      <w:iCs/>
      <w:kern w:val="0"/>
      <w:szCs w:val="20"/>
    </w:rPr>
  </w:style>
  <w:style w:type="paragraph" w:customStyle="1" w:styleId="2717">
    <w:name w:val="Char Char1 Char Char Char Char Char Char Char Char Char Char Char Char Char Char Char"/>
    <w:basedOn w:val="1"/>
    <w:qFormat/>
    <w:uiPriority w:val="99"/>
    <w:pPr>
      <w:widowControl/>
      <w:spacing w:after="160" w:line="240" w:lineRule="exact"/>
      <w:jc w:val="left"/>
    </w:pPr>
    <w:rPr>
      <w:rFonts w:ascii="Verdana" w:hAnsi="Verdana" w:eastAsia="宋体" w:cs="宋体"/>
      <w:kern w:val="0"/>
      <w:sz w:val="20"/>
      <w:szCs w:val="20"/>
      <w:lang w:eastAsia="en-US"/>
    </w:rPr>
  </w:style>
  <w:style w:type="paragraph" w:customStyle="1" w:styleId="2718">
    <w:name w:val="样式 标题 5 + 小四"/>
    <w:basedOn w:val="14"/>
    <w:qFormat/>
    <w:uiPriority w:val="99"/>
    <w:pPr>
      <w:widowControl/>
      <w:numPr>
        <w:numId w:val="76"/>
      </w:numPr>
      <w:tabs>
        <w:tab w:val="left" w:pos="432"/>
        <w:tab w:val="left" w:pos="1008"/>
      </w:tabs>
      <w:spacing w:before="100" w:beforeAutospacing="1" w:after="100" w:afterAutospacing="1"/>
      <w:jc w:val="left"/>
    </w:pPr>
    <w:rPr>
      <w:rFonts w:ascii="Arial" w:hAnsi="Arial" w:cs="宋体"/>
      <w:bCs w:val="0"/>
      <w:kern w:val="0"/>
      <w:lang w:val="zh-CN"/>
    </w:rPr>
  </w:style>
  <w:style w:type="paragraph" w:customStyle="1" w:styleId="2719">
    <w:name w:val="样式 标题 5 + 小四 非加粗"/>
    <w:basedOn w:val="14"/>
    <w:qFormat/>
    <w:uiPriority w:val="99"/>
    <w:pPr>
      <w:widowControl/>
      <w:numPr>
        <w:numId w:val="77"/>
      </w:numPr>
      <w:tabs>
        <w:tab w:val="left" w:pos="432"/>
        <w:tab w:val="left" w:pos="1008"/>
      </w:tabs>
      <w:spacing w:before="120" w:after="120"/>
      <w:jc w:val="left"/>
    </w:pPr>
    <w:rPr>
      <w:rFonts w:ascii="Arial" w:hAnsi="Arial" w:cs="宋体"/>
      <w:b w:val="0"/>
      <w:kern w:val="0"/>
      <w:lang w:val="zh-CN"/>
    </w:rPr>
  </w:style>
  <w:style w:type="character" w:customStyle="1" w:styleId="2720">
    <w:name w:val="mall1"/>
    <w:qFormat/>
    <w:uiPriority w:val="0"/>
  </w:style>
  <w:style w:type="character" w:customStyle="1" w:styleId="2721">
    <w:name w:val="p101"/>
    <w:qFormat/>
    <w:uiPriority w:val="0"/>
    <w:rPr>
      <w:rFonts w:hint="eastAsia" w:ascii="宋体" w:hAnsi="宋体" w:eastAsia="宋体"/>
      <w:sz w:val="18"/>
      <w:szCs w:val="18"/>
    </w:rPr>
  </w:style>
  <w:style w:type="paragraph" w:customStyle="1" w:styleId="2722">
    <w:name w:val="nomal"/>
    <w:qFormat/>
    <w:uiPriority w:val="99"/>
    <w:pPr>
      <w:spacing w:line="360" w:lineRule="exact"/>
      <w:ind w:firstLine="454"/>
    </w:pPr>
    <w:rPr>
      <w:rFonts w:ascii="Times New Roman" w:hAnsi="Times New Roman" w:eastAsia="宋体" w:cs="Times New Roman"/>
      <w:sz w:val="24"/>
      <w:lang w:val="en-US" w:eastAsia="zh-CN" w:bidi="ar-SA"/>
    </w:rPr>
  </w:style>
  <w:style w:type="paragraph" w:customStyle="1" w:styleId="2723">
    <w:name w:val="anne 正文"/>
    <w:basedOn w:val="1"/>
    <w:link w:val="2724"/>
    <w:qFormat/>
    <w:uiPriority w:val="99"/>
    <w:pPr>
      <w:widowControl/>
      <w:numPr>
        <w:ilvl w:val="0"/>
        <w:numId w:val="78"/>
      </w:numPr>
      <w:spacing w:beforeLines="50" w:afterLines="50" w:line="240" w:lineRule="atLeast"/>
      <w:ind w:firstLine="0"/>
      <w:jc w:val="left"/>
    </w:pPr>
    <w:rPr>
      <w:rFonts w:ascii="仿宋_GB2312" w:hAnsi="Verdana" w:eastAsia="仿宋_GB2312" w:cs="宋体"/>
      <w:color w:val="000000"/>
      <w:kern w:val="0"/>
      <w:sz w:val="24"/>
      <w:szCs w:val="24"/>
      <w:lang w:val="zh-CN"/>
    </w:rPr>
  </w:style>
  <w:style w:type="character" w:customStyle="1" w:styleId="2724">
    <w:name w:val="anne 正文 Char"/>
    <w:link w:val="2723"/>
    <w:qFormat/>
    <w:uiPriority w:val="99"/>
    <w:rPr>
      <w:rFonts w:ascii="仿宋_GB2312" w:hAnsi="Verdana" w:eastAsia="仿宋_GB2312" w:cs="宋体"/>
      <w:color w:val="000000"/>
      <w:sz w:val="24"/>
      <w:szCs w:val="24"/>
      <w:lang w:val="zh-CN"/>
    </w:rPr>
  </w:style>
  <w:style w:type="paragraph" w:customStyle="1" w:styleId="2725">
    <w:name w:val="WY1"/>
    <w:basedOn w:val="1"/>
    <w:qFormat/>
    <w:uiPriority w:val="99"/>
    <w:pPr>
      <w:pageBreakBefore/>
      <w:widowControl/>
      <w:tabs>
        <w:tab w:val="left" w:pos="605"/>
      </w:tabs>
      <w:spacing w:before="360" w:after="240" w:line="240" w:lineRule="atLeast"/>
      <w:ind w:left="605" w:hanging="425"/>
      <w:jc w:val="left"/>
      <w:outlineLvl w:val="0"/>
    </w:pPr>
    <w:rPr>
      <w:rFonts w:ascii="宋体" w:hAnsi="宋体" w:eastAsia="黑体" w:cs="宋体"/>
      <w:b/>
      <w:kern w:val="0"/>
      <w:sz w:val="32"/>
      <w:szCs w:val="20"/>
    </w:rPr>
  </w:style>
  <w:style w:type="paragraph" w:customStyle="1" w:styleId="2726">
    <w:name w:val="WY1.1"/>
    <w:basedOn w:val="1"/>
    <w:qFormat/>
    <w:uiPriority w:val="99"/>
    <w:pPr>
      <w:widowControl/>
      <w:numPr>
        <w:ilvl w:val="1"/>
        <w:numId w:val="79"/>
      </w:numPr>
      <w:spacing w:before="240" w:after="240" w:line="240" w:lineRule="atLeast"/>
      <w:ind w:firstLine="0"/>
      <w:jc w:val="left"/>
    </w:pPr>
    <w:rPr>
      <w:rFonts w:ascii="宋体" w:hAnsi="宋体" w:eastAsia="黑体" w:cs="宋体"/>
      <w:b/>
      <w:kern w:val="0"/>
      <w:sz w:val="30"/>
      <w:szCs w:val="30"/>
    </w:rPr>
  </w:style>
  <w:style w:type="paragraph" w:customStyle="1" w:styleId="2727">
    <w:name w:val="WY1.1.1"/>
    <w:basedOn w:val="7"/>
    <w:qFormat/>
    <w:uiPriority w:val="99"/>
    <w:pPr>
      <w:keepNext/>
      <w:keepLines/>
      <w:widowControl/>
      <w:numPr>
        <w:ilvl w:val="3"/>
        <w:numId w:val="79"/>
      </w:numPr>
      <w:spacing w:line="240" w:lineRule="atLeast"/>
    </w:pPr>
    <w:rPr>
      <w:rFonts w:ascii="宋体" w:hAnsi="宋体" w:eastAsia="黑体" w:cs="宋体"/>
      <w:color w:val="171717"/>
      <w:kern w:val="0"/>
      <w:szCs w:val="28"/>
      <w:lang w:val="zh-CN"/>
    </w:rPr>
  </w:style>
  <w:style w:type="paragraph" w:customStyle="1" w:styleId="2728">
    <w:name w:val="WY项目符号"/>
    <w:basedOn w:val="1"/>
    <w:qFormat/>
    <w:uiPriority w:val="99"/>
    <w:pPr>
      <w:widowControl/>
      <w:tabs>
        <w:tab w:val="left" w:pos="0"/>
        <w:tab w:val="left" w:pos="334"/>
      </w:tabs>
      <w:spacing w:line="360" w:lineRule="auto"/>
      <w:ind w:firstLine="284"/>
      <w:jc w:val="left"/>
    </w:pPr>
    <w:rPr>
      <w:rFonts w:ascii="宋体" w:hAnsi="宋体" w:eastAsia="宋体" w:cs="宋体"/>
      <w:kern w:val="0"/>
      <w:sz w:val="24"/>
      <w:szCs w:val="24"/>
    </w:rPr>
  </w:style>
  <w:style w:type="paragraph" w:customStyle="1" w:styleId="2729">
    <w:name w:val="WY1.1.1.1"/>
    <w:basedOn w:val="2727"/>
    <w:qFormat/>
    <w:uiPriority w:val="99"/>
    <w:rPr>
      <w:szCs w:val="24"/>
    </w:rPr>
  </w:style>
  <w:style w:type="paragraph" w:customStyle="1" w:styleId="2730">
    <w:name w:val="样式 标题 2 + 四号"/>
    <w:basedOn w:val="5"/>
    <w:qFormat/>
    <w:uiPriority w:val="0"/>
    <w:pPr>
      <w:widowControl/>
      <w:numPr>
        <w:ilvl w:val="0"/>
        <w:numId w:val="0"/>
      </w:numPr>
      <w:tabs>
        <w:tab w:val="left" w:pos="567"/>
        <w:tab w:val="left" w:pos="780"/>
      </w:tabs>
      <w:spacing w:line="416" w:lineRule="auto"/>
      <w:ind w:left="567" w:leftChars="200" w:hanging="567" w:hangingChars="200"/>
    </w:pPr>
    <w:rPr>
      <w:rFonts w:ascii="Cambria" w:hAnsi="Cambria" w:cs="宋体"/>
      <w:kern w:val="0"/>
      <w:lang w:val="zh-CN"/>
    </w:rPr>
  </w:style>
  <w:style w:type="paragraph" w:customStyle="1" w:styleId="2731">
    <w:name w:val="CM29"/>
    <w:basedOn w:val="1384"/>
    <w:next w:val="1384"/>
    <w:qFormat/>
    <w:uiPriority w:val="99"/>
    <w:pPr>
      <w:spacing w:after="173"/>
    </w:pPr>
    <w:rPr>
      <w:rFonts w:ascii="ST Song" w:hAnsi="Times New Roman" w:eastAsia="ST Song" w:cs="Times New Roman"/>
      <w:color w:val="auto"/>
    </w:rPr>
  </w:style>
  <w:style w:type="paragraph" w:customStyle="1" w:styleId="2732">
    <w:name w:val="CM6"/>
    <w:basedOn w:val="1384"/>
    <w:next w:val="1384"/>
    <w:qFormat/>
    <w:uiPriority w:val="99"/>
    <w:pPr>
      <w:spacing w:line="316" w:lineRule="atLeast"/>
    </w:pPr>
    <w:rPr>
      <w:rFonts w:ascii="ST Song" w:hAnsi="Times New Roman" w:eastAsia="ST Song" w:cs="Times New Roman"/>
      <w:color w:val="auto"/>
    </w:rPr>
  </w:style>
  <w:style w:type="character" w:customStyle="1" w:styleId="2733">
    <w:name w:val="ca-11"/>
    <w:qFormat/>
    <w:uiPriority w:val="0"/>
    <w:rPr>
      <w:color w:val="000000"/>
      <w:sz w:val="32"/>
      <w:szCs w:val="32"/>
    </w:rPr>
  </w:style>
  <w:style w:type="character" w:customStyle="1" w:styleId="2734">
    <w:name w:val="ca-21"/>
    <w:qFormat/>
    <w:uiPriority w:val="0"/>
    <w:rPr>
      <w:rFonts w:hint="default" w:ascii="Verdana" w:hAnsi="Verdana"/>
      <w:color w:val="000000"/>
      <w:sz w:val="32"/>
      <w:szCs w:val="32"/>
    </w:rPr>
  </w:style>
  <w:style w:type="character" w:customStyle="1" w:styleId="2735">
    <w:name w:val="110-5-1"/>
    <w:qFormat/>
    <w:uiPriority w:val="0"/>
  </w:style>
  <w:style w:type="character" w:customStyle="1" w:styleId="2736">
    <w:name w:val="110-6-1"/>
    <w:qFormat/>
    <w:uiPriority w:val="0"/>
  </w:style>
  <w:style w:type="character" w:customStyle="1" w:styleId="2737">
    <w:name w:val="110-7-1"/>
    <w:qFormat/>
    <w:uiPriority w:val="0"/>
  </w:style>
  <w:style w:type="character" w:customStyle="1" w:styleId="2738">
    <w:name w:val="redbig1"/>
    <w:qFormat/>
    <w:uiPriority w:val="0"/>
    <w:rPr>
      <w:b/>
      <w:bCs/>
      <w:color w:val="D00018"/>
      <w:sz w:val="21"/>
      <w:szCs w:val="21"/>
    </w:rPr>
  </w:style>
  <w:style w:type="paragraph" w:customStyle="1" w:styleId="2739">
    <w:name w:val="Normal + 小四"/>
    <w:basedOn w:val="1"/>
    <w:qFormat/>
    <w:uiPriority w:val="99"/>
    <w:pPr>
      <w:widowControl/>
      <w:spacing w:line="360" w:lineRule="auto"/>
      <w:jc w:val="left"/>
    </w:pPr>
    <w:rPr>
      <w:rFonts w:ascii="宋体" w:hAnsi="宋体" w:eastAsia="宋体" w:cs="宋体"/>
      <w:kern w:val="0"/>
      <w:sz w:val="24"/>
      <w:szCs w:val="24"/>
    </w:rPr>
  </w:style>
  <w:style w:type="paragraph" w:customStyle="1" w:styleId="2740">
    <w:name w:val="2正文"/>
    <w:basedOn w:val="1"/>
    <w:qFormat/>
    <w:uiPriority w:val="99"/>
    <w:pPr>
      <w:widowControl/>
      <w:spacing w:line="300" w:lineRule="exact"/>
      <w:jc w:val="left"/>
    </w:pPr>
    <w:rPr>
      <w:rFonts w:ascii="宋体" w:hAnsi="宋体" w:eastAsia="宋体" w:cs="宋体"/>
      <w:kern w:val="0"/>
      <w:sz w:val="20"/>
      <w:szCs w:val="18"/>
    </w:rPr>
  </w:style>
  <w:style w:type="character" w:customStyle="1" w:styleId="2741">
    <w:name w:val="0级正文 Char"/>
    <w:link w:val="1906"/>
    <w:qFormat/>
    <w:locked/>
    <w:uiPriority w:val="0"/>
    <w:rPr>
      <w:rFonts w:ascii="楷体_GB2312" w:hAnsi="仿宋" w:eastAsia="楷体_GB2312"/>
      <w:kern w:val="2"/>
      <w:sz w:val="24"/>
      <w:szCs w:val="28"/>
    </w:rPr>
  </w:style>
  <w:style w:type="paragraph" w:customStyle="1" w:styleId="2742">
    <w:name w:val="AnnexSub"/>
    <w:basedOn w:val="1"/>
    <w:qFormat/>
    <w:uiPriority w:val="99"/>
    <w:pPr>
      <w:widowControl/>
      <w:numPr>
        <w:ilvl w:val="1"/>
        <w:numId w:val="80"/>
      </w:numPr>
      <w:tabs>
        <w:tab w:val="left" w:pos="1134"/>
      </w:tabs>
      <w:snapToGrid w:val="0"/>
      <w:spacing w:line="360" w:lineRule="auto"/>
      <w:ind w:firstLine="0"/>
      <w:jc w:val="left"/>
    </w:pPr>
    <w:rPr>
      <w:rFonts w:ascii="Arial Black" w:hAnsi="Arial Black" w:eastAsia="宋体" w:cs="宋体"/>
      <w:kern w:val="0"/>
      <w:sz w:val="22"/>
      <w:szCs w:val="24"/>
    </w:rPr>
  </w:style>
  <w:style w:type="paragraph" w:customStyle="1" w:styleId="2743">
    <w:name w:val="DLP正文"/>
    <w:basedOn w:val="1"/>
    <w:qFormat/>
    <w:uiPriority w:val="0"/>
    <w:pPr>
      <w:widowControl/>
      <w:snapToGrid w:val="0"/>
      <w:spacing w:line="360" w:lineRule="auto"/>
      <w:ind w:firstLine="473"/>
    </w:pPr>
    <w:rPr>
      <w:rFonts w:ascii="宋体" w:hAnsi="宋体" w:eastAsia="宋体" w:cs="宋体"/>
      <w:kern w:val="0"/>
      <w:sz w:val="24"/>
    </w:rPr>
  </w:style>
  <w:style w:type="paragraph" w:customStyle="1" w:styleId="2744">
    <w:name w:val="附录Heading 3"/>
    <w:basedOn w:val="7"/>
    <w:qFormat/>
    <w:uiPriority w:val="99"/>
    <w:pPr>
      <w:keepNext/>
      <w:widowControl/>
      <w:numPr>
        <w:ilvl w:val="1"/>
        <w:numId w:val="81"/>
      </w:numPr>
      <w:pBdr>
        <w:bottom w:val="single" w:color="auto" w:sz="4" w:space="1"/>
      </w:pBdr>
      <w:tabs>
        <w:tab w:val="left" w:pos="840"/>
        <w:tab w:val="left" w:pos="900"/>
      </w:tabs>
      <w:spacing w:before="240" w:line="288" w:lineRule="auto"/>
      <w:ind w:left="0"/>
      <w:jc w:val="left"/>
    </w:pPr>
    <w:rPr>
      <w:rFonts w:ascii="Microsoft Sans Serif" w:hAnsi="Microsoft Sans Serif" w:eastAsia="宋体" w:cs="Arial"/>
      <w:color w:val="171717"/>
      <w:kern w:val="0"/>
      <w:sz w:val="26"/>
      <w:szCs w:val="26"/>
      <w:lang w:val="zh-CN"/>
    </w:rPr>
  </w:style>
  <w:style w:type="paragraph" w:customStyle="1" w:styleId="2745">
    <w:name w:val="附录 Heading 2"/>
    <w:basedOn w:val="5"/>
    <w:qFormat/>
    <w:uiPriority w:val="99"/>
    <w:pPr>
      <w:widowControl/>
      <w:numPr>
        <w:ilvl w:val="0"/>
        <w:numId w:val="82"/>
      </w:numPr>
      <w:tabs>
        <w:tab w:val="left" w:pos="0"/>
      </w:tabs>
      <w:spacing w:before="480" w:after="0" w:line="288" w:lineRule="auto"/>
    </w:pPr>
    <w:rPr>
      <w:rFonts w:ascii="Microsoft Sans Serif" w:hAnsi="Microsoft Sans Serif" w:eastAsia="新宋体" w:cs="Microsoft Sans Serif"/>
      <w:b w:val="0"/>
      <w:bCs w:val="0"/>
      <w:iCs/>
      <w:kern w:val="0"/>
      <w:sz w:val="32"/>
      <w:u w:val="single"/>
      <w:lang w:val="zh-CN"/>
    </w:rPr>
  </w:style>
  <w:style w:type="paragraph" w:customStyle="1" w:styleId="2746">
    <w:name w:val="表号1"/>
    <w:basedOn w:val="10"/>
    <w:qFormat/>
    <w:uiPriority w:val="99"/>
    <w:pPr>
      <w:widowControl/>
      <w:numPr>
        <w:ilvl w:val="0"/>
        <w:numId w:val="83"/>
      </w:numPr>
      <w:tabs>
        <w:tab w:val="left" w:pos="360"/>
        <w:tab w:val="left" w:pos="648"/>
      </w:tabs>
      <w:overflowPunct w:val="0"/>
      <w:autoSpaceDE w:val="0"/>
      <w:autoSpaceDN w:val="0"/>
      <w:adjustRightInd w:val="0"/>
      <w:spacing w:before="120" w:line="360" w:lineRule="auto"/>
      <w:ind w:left="0" w:firstLine="480"/>
      <w:jc w:val="center"/>
      <w:textAlignment w:val="baseline"/>
    </w:pPr>
    <w:rPr>
      <w:rFonts w:ascii="宋体" w:hAnsi="宋体" w:eastAsia="宋体" w:cs="宋体"/>
      <w:kern w:val="0"/>
      <w:szCs w:val="20"/>
      <w:lang w:val="zh-CN"/>
    </w:rPr>
  </w:style>
  <w:style w:type="paragraph" w:customStyle="1" w:styleId="2747">
    <w:name w:val="2册标题1"/>
    <w:basedOn w:val="1"/>
    <w:next w:val="1"/>
    <w:qFormat/>
    <w:uiPriority w:val="0"/>
    <w:pPr>
      <w:widowControl/>
      <w:numPr>
        <w:ilvl w:val="0"/>
        <w:numId w:val="84"/>
      </w:numPr>
      <w:snapToGrid w:val="0"/>
      <w:spacing w:beforeLines="50" w:afterLines="50" w:line="300" w:lineRule="auto"/>
      <w:ind w:left="0" w:firstLine="0"/>
      <w:jc w:val="center"/>
      <w:outlineLvl w:val="0"/>
    </w:pPr>
    <w:rPr>
      <w:rFonts w:ascii="Arial" w:hAnsi="Arial" w:eastAsia="黑体" w:cs="宋体"/>
      <w:kern w:val="0"/>
      <w:sz w:val="32"/>
      <w:szCs w:val="32"/>
    </w:rPr>
  </w:style>
  <w:style w:type="paragraph" w:customStyle="1" w:styleId="2748">
    <w:name w:val="Notes Text list"/>
    <w:basedOn w:val="1"/>
    <w:qFormat/>
    <w:uiPriority w:val="99"/>
    <w:pPr>
      <w:widowControl/>
      <w:numPr>
        <w:ilvl w:val="0"/>
        <w:numId w:val="85"/>
      </w:numPr>
      <w:pBdr>
        <w:bottom w:val="single" w:color="auto" w:sz="8" w:space="5"/>
      </w:pBdr>
      <w:tabs>
        <w:tab w:val="left" w:pos="284"/>
      </w:tabs>
      <w:snapToGrid w:val="0"/>
      <w:spacing w:line="360" w:lineRule="auto"/>
      <w:ind w:left="1985" w:firstLine="0"/>
    </w:pPr>
    <w:rPr>
      <w:rFonts w:ascii="Arial" w:hAnsi="Arial" w:eastAsia="楷体_GB2312" w:cs="Arial"/>
      <w:color w:val="000000"/>
      <w:kern w:val="0"/>
      <w:sz w:val="24"/>
      <w:szCs w:val="24"/>
    </w:rPr>
  </w:style>
  <w:style w:type="paragraph" w:customStyle="1" w:styleId="2749">
    <w:name w:val="List Bullet2"/>
    <w:basedOn w:val="1"/>
    <w:qFormat/>
    <w:uiPriority w:val="99"/>
    <w:pPr>
      <w:widowControl/>
      <w:numPr>
        <w:ilvl w:val="0"/>
        <w:numId w:val="86"/>
      </w:numPr>
      <w:tabs>
        <w:tab w:val="left" w:pos="720"/>
      </w:tabs>
      <w:snapToGrid w:val="0"/>
      <w:spacing w:before="120" w:after="120" w:line="288" w:lineRule="auto"/>
      <w:ind w:right="340" w:firstLine="0"/>
      <w:jc w:val="left"/>
    </w:pPr>
    <w:rPr>
      <w:rFonts w:ascii="宋体" w:hAnsi="宋体" w:eastAsia="宋体" w:cs="宋体"/>
      <w:kern w:val="0"/>
      <w:sz w:val="24"/>
      <w:szCs w:val="24"/>
    </w:rPr>
  </w:style>
  <w:style w:type="paragraph" w:customStyle="1" w:styleId="2750">
    <w:name w:val="12312"/>
    <w:basedOn w:val="1"/>
    <w:qFormat/>
    <w:uiPriority w:val="99"/>
    <w:pPr>
      <w:widowControl/>
      <w:numPr>
        <w:ilvl w:val="0"/>
        <w:numId w:val="87"/>
      </w:numPr>
      <w:tabs>
        <w:tab w:val="left" w:pos="420"/>
      </w:tabs>
      <w:spacing w:before="100" w:beforeAutospacing="1" w:after="100" w:afterAutospacing="1" w:line="360" w:lineRule="auto"/>
      <w:ind w:left="420" w:firstLine="0"/>
      <w:jc w:val="left"/>
    </w:pPr>
    <w:rPr>
      <w:rFonts w:ascii="宋体" w:hAnsi="宋体" w:eastAsia="宋体" w:cs="宋体"/>
      <w:b/>
      <w:bCs/>
      <w:kern w:val="0"/>
      <w:sz w:val="24"/>
      <w:szCs w:val="24"/>
    </w:rPr>
  </w:style>
  <w:style w:type="paragraph" w:customStyle="1" w:styleId="2751">
    <w:name w:val="样式 标题 2 +"/>
    <w:basedOn w:val="5"/>
    <w:qFormat/>
    <w:uiPriority w:val="99"/>
    <w:pPr>
      <w:widowControl/>
      <w:numPr>
        <w:ilvl w:val="0"/>
        <w:numId w:val="88"/>
      </w:numPr>
      <w:tabs>
        <w:tab w:val="left" w:pos="360"/>
        <w:tab w:val="left" w:pos="720"/>
      </w:tabs>
      <w:spacing w:before="120" w:after="120" w:line="400" w:lineRule="atLeast"/>
      <w:ind w:left="432" w:hanging="432"/>
      <w:outlineLvl w:val="9"/>
    </w:pPr>
    <w:rPr>
      <w:rFonts w:ascii="Arial" w:hAnsi="Arial" w:cs="宋体"/>
      <w:kern w:val="0"/>
      <w:szCs w:val="24"/>
      <w:lang w:val="zh-CN"/>
    </w:rPr>
  </w:style>
  <w:style w:type="paragraph" w:customStyle="1" w:styleId="2752">
    <w:name w:val="成都辰宇页眉"/>
    <w:basedOn w:val="1"/>
    <w:qFormat/>
    <w:uiPriority w:val="99"/>
    <w:pPr>
      <w:widowControl/>
      <w:pBdr>
        <w:bottom w:val="single" w:color="auto" w:sz="4" w:space="0"/>
      </w:pBdr>
      <w:tabs>
        <w:tab w:val="right" w:pos="9180"/>
      </w:tabs>
      <w:snapToGrid w:val="0"/>
      <w:spacing w:line="0" w:lineRule="atLeast"/>
      <w:jc w:val="left"/>
    </w:pPr>
    <w:rPr>
      <w:rFonts w:ascii="宋体" w:hAnsi="宋体" w:eastAsia="微软雅黑" w:cs="宋体"/>
      <w:b/>
      <w:bCs/>
      <w:color w:val="0000FF"/>
      <w:kern w:val="0"/>
      <w:sz w:val="24"/>
      <w:szCs w:val="18"/>
    </w:rPr>
  </w:style>
  <w:style w:type="paragraph" w:customStyle="1" w:styleId="2753">
    <w:name w:val="标题3项目符号"/>
    <w:basedOn w:val="2754"/>
    <w:qFormat/>
    <w:uiPriority w:val="0"/>
    <w:pPr>
      <w:numPr>
        <w:ilvl w:val="0"/>
        <w:numId w:val="89"/>
      </w:numPr>
    </w:pPr>
  </w:style>
  <w:style w:type="paragraph" w:customStyle="1" w:styleId="2754">
    <w:name w:val="标题3正文"/>
    <w:basedOn w:val="1"/>
    <w:qFormat/>
    <w:uiPriority w:val="99"/>
    <w:pPr>
      <w:widowControl/>
      <w:snapToGrid w:val="0"/>
      <w:spacing w:afterLines="50" w:line="300" w:lineRule="auto"/>
      <w:jc w:val="left"/>
    </w:pPr>
    <w:rPr>
      <w:rFonts w:ascii="宋体" w:hAnsi="宋体" w:eastAsia="微软雅黑" w:cs="宋体"/>
      <w:snapToGrid w:val="0"/>
      <w:kern w:val="0"/>
      <w:sz w:val="24"/>
      <w:szCs w:val="24"/>
    </w:rPr>
  </w:style>
  <w:style w:type="paragraph" w:customStyle="1" w:styleId="2755">
    <w:name w:val="标题1正文"/>
    <w:basedOn w:val="2756"/>
    <w:qFormat/>
    <w:uiPriority w:val="0"/>
  </w:style>
  <w:style w:type="paragraph" w:customStyle="1" w:styleId="2756">
    <w:name w:val="标题5正文"/>
    <w:basedOn w:val="1"/>
    <w:qFormat/>
    <w:uiPriority w:val="99"/>
    <w:pPr>
      <w:widowControl/>
      <w:snapToGrid w:val="0"/>
      <w:spacing w:afterLines="50" w:line="300" w:lineRule="auto"/>
      <w:jc w:val="left"/>
    </w:pPr>
    <w:rPr>
      <w:rFonts w:ascii="宋体" w:hAnsi="宋体" w:eastAsia="微软雅黑" w:cs="宋体"/>
      <w:snapToGrid w:val="0"/>
      <w:kern w:val="0"/>
      <w:sz w:val="24"/>
      <w:szCs w:val="24"/>
    </w:rPr>
  </w:style>
  <w:style w:type="paragraph" w:customStyle="1" w:styleId="2757">
    <w:name w:val="标题4正文"/>
    <w:basedOn w:val="1"/>
    <w:qFormat/>
    <w:uiPriority w:val="99"/>
    <w:pPr>
      <w:widowControl/>
      <w:snapToGrid w:val="0"/>
      <w:spacing w:afterLines="50" w:line="300" w:lineRule="auto"/>
      <w:jc w:val="left"/>
    </w:pPr>
    <w:rPr>
      <w:rFonts w:ascii="宋体" w:hAnsi="宋体" w:eastAsia="微软雅黑" w:cs="宋体"/>
      <w:snapToGrid w:val="0"/>
      <w:color w:val="000000"/>
      <w:kern w:val="0"/>
      <w:sz w:val="24"/>
      <w:szCs w:val="24"/>
    </w:rPr>
  </w:style>
  <w:style w:type="paragraph" w:customStyle="1" w:styleId="2758">
    <w:name w:val="标题2正文"/>
    <w:basedOn w:val="2756"/>
    <w:qFormat/>
    <w:uiPriority w:val="99"/>
  </w:style>
  <w:style w:type="paragraph" w:customStyle="1" w:styleId="2759">
    <w:name w:val="标题6正文"/>
    <w:basedOn w:val="2756"/>
    <w:qFormat/>
    <w:uiPriority w:val="99"/>
  </w:style>
  <w:style w:type="paragraph" w:customStyle="1" w:styleId="2760">
    <w:name w:val="标题7正文"/>
    <w:basedOn w:val="2756"/>
    <w:qFormat/>
    <w:uiPriority w:val="99"/>
    <w:pPr>
      <w:spacing w:after="156"/>
      <w:ind w:firstLine="480"/>
    </w:pPr>
  </w:style>
  <w:style w:type="paragraph" w:customStyle="1" w:styleId="2761">
    <w:name w:val="标题5项目符号"/>
    <w:basedOn w:val="2756"/>
    <w:qFormat/>
    <w:uiPriority w:val="99"/>
    <w:pPr>
      <w:numPr>
        <w:ilvl w:val="0"/>
        <w:numId w:val="90"/>
      </w:numPr>
    </w:pPr>
  </w:style>
  <w:style w:type="paragraph" w:customStyle="1" w:styleId="2762">
    <w:name w:val="标题4项目符号"/>
    <w:basedOn w:val="2757"/>
    <w:qFormat/>
    <w:uiPriority w:val="99"/>
    <w:pPr>
      <w:numPr>
        <w:ilvl w:val="0"/>
        <w:numId w:val="91"/>
      </w:numPr>
    </w:pPr>
  </w:style>
  <w:style w:type="paragraph" w:customStyle="1" w:styleId="2763">
    <w:name w:val="标题6项目符号"/>
    <w:basedOn w:val="2759"/>
    <w:qFormat/>
    <w:uiPriority w:val="99"/>
    <w:pPr>
      <w:numPr>
        <w:ilvl w:val="0"/>
        <w:numId w:val="92"/>
      </w:numPr>
    </w:pPr>
  </w:style>
  <w:style w:type="paragraph" w:customStyle="1" w:styleId="2764">
    <w:name w:val="标题7项目符号"/>
    <w:basedOn w:val="2760"/>
    <w:qFormat/>
    <w:uiPriority w:val="99"/>
    <w:pPr>
      <w:numPr>
        <w:ilvl w:val="0"/>
        <w:numId w:val="93"/>
      </w:numPr>
      <w:spacing w:after="50"/>
    </w:pPr>
  </w:style>
  <w:style w:type="paragraph" w:customStyle="1" w:styleId="2765">
    <w:name w:val="标题3项目编号"/>
    <w:basedOn w:val="2754"/>
    <w:qFormat/>
    <w:uiPriority w:val="99"/>
  </w:style>
  <w:style w:type="paragraph" w:customStyle="1" w:styleId="2766">
    <w:name w:val="样式 标题3项目编号 + 段后: 0.5 行"/>
    <w:basedOn w:val="2765"/>
    <w:qFormat/>
    <w:uiPriority w:val="99"/>
    <w:pPr>
      <w:numPr>
        <w:ilvl w:val="0"/>
        <w:numId w:val="94"/>
      </w:numPr>
      <w:spacing w:after="156"/>
    </w:pPr>
    <w:rPr>
      <w:szCs w:val="20"/>
    </w:rPr>
  </w:style>
  <w:style w:type="paragraph" w:customStyle="1" w:styleId="2767">
    <w:name w:val="文档正文页脚"/>
    <w:basedOn w:val="1"/>
    <w:qFormat/>
    <w:uiPriority w:val="99"/>
    <w:pPr>
      <w:widowControl/>
      <w:pBdr>
        <w:top w:val="doubleWave" w:color="FF0000" w:sz="6" w:space="0"/>
      </w:pBdr>
      <w:tabs>
        <w:tab w:val="left" w:pos="3420"/>
        <w:tab w:val="right" w:pos="9072"/>
      </w:tabs>
      <w:snapToGrid w:val="0"/>
      <w:spacing w:line="360" w:lineRule="auto"/>
      <w:jc w:val="left"/>
    </w:pPr>
    <w:rPr>
      <w:rFonts w:ascii="宋体" w:hAnsi="宋体" w:eastAsia="微软雅黑" w:cs="宋体"/>
      <w:b/>
      <w:bCs/>
      <w:color w:val="0000FF"/>
      <w:kern w:val="0"/>
      <w:sz w:val="24"/>
      <w:szCs w:val="18"/>
    </w:rPr>
  </w:style>
  <w:style w:type="paragraph" w:customStyle="1" w:styleId="2768">
    <w:name w:val="标题8项目编号"/>
    <w:basedOn w:val="17"/>
    <w:qFormat/>
    <w:uiPriority w:val="99"/>
    <w:pPr>
      <w:widowControl/>
      <w:numPr>
        <w:ilvl w:val="0"/>
        <w:numId w:val="95"/>
      </w:numPr>
      <w:tabs>
        <w:tab w:val="left" w:pos="0"/>
        <w:tab w:val="left" w:pos="360"/>
        <w:tab w:val="left" w:pos="1080"/>
        <w:tab w:val="clear" w:pos="1211"/>
      </w:tabs>
      <w:spacing w:beforeLines="50" w:afterLines="50" w:line="360" w:lineRule="auto"/>
      <w:ind w:left="540" w:firstLine="0" w:firstLineChars="200"/>
      <w:jc w:val="left"/>
    </w:pPr>
    <w:rPr>
      <w:rFonts w:ascii="Times New Roman" w:hAnsi="Times New Roman" w:eastAsia="微软雅黑" w:cs="宋体"/>
      <w:kern w:val="0"/>
    </w:rPr>
  </w:style>
  <w:style w:type="paragraph" w:customStyle="1" w:styleId="2769">
    <w:name w:val="表格表头"/>
    <w:basedOn w:val="1"/>
    <w:qFormat/>
    <w:uiPriority w:val="0"/>
    <w:pPr>
      <w:widowControl/>
      <w:spacing w:line="0" w:lineRule="atLeast"/>
      <w:jc w:val="center"/>
    </w:pPr>
    <w:rPr>
      <w:rFonts w:ascii="宋体" w:hAnsi="宋体" w:eastAsia="黑体" w:cs="宋体"/>
      <w:kern w:val="0"/>
      <w:sz w:val="24"/>
      <w:szCs w:val="24"/>
    </w:rPr>
  </w:style>
  <w:style w:type="paragraph" w:customStyle="1" w:styleId="2770">
    <w:name w:val="样式 *正文 + 首行缩进:  2 字符"/>
    <w:basedOn w:val="1"/>
    <w:qFormat/>
    <w:uiPriority w:val="99"/>
    <w:pPr>
      <w:widowControl/>
      <w:spacing w:line="360" w:lineRule="auto"/>
    </w:pPr>
    <w:rPr>
      <w:rFonts w:ascii="宋体" w:hAnsi="宋体" w:eastAsia="微软雅黑" w:cs="宋体"/>
      <w:kern w:val="0"/>
      <w:sz w:val="24"/>
      <w:szCs w:val="20"/>
    </w:rPr>
  </w:style>
  <w:style w:type="character" w:customStyle="1" w:styleId="2771">
    <w:name w:val="图片标题 Char"/>
    <w:link w:val="2772"/>
    <w:qFormat/>
    <w:locked/>
    <w:uiPriority w:val="99"/>
    <w:rPr>
      <w:rFonts w:ascii="宋体" w:hAnsi="宋体" w:eastAsia="黑体" w:cs="宋体"/>
      <w:b/>
    </w:rPr>
  </w:style>
  <w:style w:type="paragraph" w:customStyle="1" w:styleId="2772">
    <w:name w:val="图片标题"/>
    <w:basedOn w:val="1"/>
    <w:link w:val="2771"/>
    <w:qFormat/>
    <w:uiPriority w:val="99"/>
    <w:pPr>
      <w:widowControl/>
      <w:numPr>
        <w:ilvl w:val="0"/>
        <w:numId w:val="96"/>
      </w:numPr>
      <w:spacing w:line="360" w:lineRule="auto"/>
      <w:ind w:firstLine="0"/>
      <w:jc w:val="center"/>
    </w:pPr>
    <w:rPr>
      <w:rFonts w:ascii="宋体" w:hAnsi="宋体" w:eastAsia="黑体" w:cs="宋体"/>
      <w:b/>
      <w:kern w:val="0"/>
      <w:sz w:val="20"/>
      <w:szCs w:val="20"/>
    </w:rPr>
  </w:style>
  <w:style w:type="paragraph" w:customStyle="1" w:styleId="2773">
    <w:name w:val="WO正文"/>
    <w:basedOn w:val="1"/>
    <w:link w:val="2774"/>
    <w:qFormat/>
    <w:uiPriority w:val="0"/>
    <w:pPr>
      <w:widowControl/>
      <w:spacing w:line="360" w:lineRule="auto"/>
      <w:ind w:left="420" w:leftChars="200" w:firstLine="560"/>
      <w:jc w:val="left"/>
    </w:pPr>
    <w:rPr>
      <w:rFonts w:ascii="宋体" w:hAnsi="宋体" w:eastAsia="微软雅黑" w:cs="宋体"/>
      <w:kern w:val="0"/>
      <w:sz w:val="24"/>
      <w:szCs w:val="28"/>
    </w:rPr>
  </w:style>
  <w:style w:type="character" w:customStyle="1" w:styleId="2774">
    <w:name w:val="WO正文 Char"/>
    <w:link w:val="2773"/>
    <w:qFormat/>
    <w:uiPriority w:val="0"/>
    <w:rPr>
      <w:rFonts w:ascii="宋体" w:hAnsi="宋体" w:eastAsia="微软雅黑" w:cs="宋体"/>
      <w:sz w:val="24"/>
      <w:szCs w:val="28"/>
    </w:rPr>
  </w:style>
  <w:style w:type="paragraph" w:customStyle="1" w:styleId="2775">
    <w:name w:val="xl320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776">
    <w:name w:val="xl320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77">
    <w:name w:val="xl3208"/>
    <w:basedOn w:val="1"/>
    <w:qFormat/>
    <w:uiPriority w:val="99"/>
    <w:pPr>
      <w:widowControl/>
      <w:spacing w:before="100" w:beforeAutospacing="1" w:after="100" w:afterAutospacing="1" w:line="0" w:lineRule="atLeast"/>
      <w:jc w:val="center"/>
    </w:pPr>
    <w:rPr>
      <w:rFonts w:ascii="宋体" w:hAnsi="宋体" w:eastAsia="微软雅黑" w:cs="宋体"/>
      <w:kern w:val="0"/>
      <w:sz w:val="20"/>
      <w:szCs w:val="20"/>
    </w:rPr>
  </w:style>
  <w:style w:type="paragraph" w:customStyle="1" w:styleId="2778">
    <w:name w:val="xl3209"/>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79">
    <w:name w:val="xl3210"/>
    <w:basedOn w:val="1"/>
    <w:qFormat/>
    <w:uiPriority w:val="99"/>
    <w:pPr>
      <w:widowControl/>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80">
    <w:name w:val="xl3211"/>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81">
    <w:name w:val="xl3212"/>
    <w:basedOn w:val="1"/>
    <w:qFormat/>
    <w:uiPriority w:val="99"/>
    <w:pPr>
      <w:widowControl/>
      <w:spacing w:before="100" w:beforeAutospacing="1" w:after="100" w:afterAutospacing="1" w:line="0" w:lineRule="atLeast"/>
      <w:jc w:val="left"/>
    </w:pPr>
    <w:rPr>
      <w:rFonts w:ascii="宋体" w:hAnsi="宋体" w:eastAsia="微软雅黑" w:cs="宋体"/>
      <w:kern w:val="0"/>
      <w:sz w:val="20"/>
      <w:szCs w:val="20"/>
    </w:rPr>
  </w:style>
  <w:style w:type="paragraph" w:customStyle="1" w:styleId="2782">
    <w:name w:val="xl32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83">
    <w:name w:val="xl321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84">
    <w:name w:val="xl321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785">
    <w:name w:val="xl321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786">
    <w:name w:val="xl321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87">
    <w:name w:val="xl321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88">
    <w:name w:val="xl321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89">
    <w:name w:val="xl322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0">
    <w:name w:val="xl322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1">
    <w:name w:val="xl32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2">
    <w:name w:val="xl3223"/>
    <w:basedOn w:val="1"/>
    <w:qFormat/>
    <w:uiPriority w:val="99"/>
    <w:pPr>
      <w:widowControl/>
      <w:spacing w:before="100" w:beforeAutospacing="1" w:after="100" w:afterAutospacing="1" w:line="0" w:lineRule="atLeast"/>
      <w:jc w:val="center"/>
    </w:pPr>
    <w:rPr>
      <w:rFonts w:ascii="宋体" w:hAnsi="宋体" w:eastAsia="微软雅黑" w:cs="宋体"/>
      <w:color w:val="FF0000"/>
      <w:kern w:val="0"/>
      <w:sz w:val="20"/>
      <w:szCs w:val="20"/>
    </w:rPr>
  </w:style>
  <w:style w:type="paragraph" w:customStyle="1" w:styleId="2793">
    <w:name w:val="xl3224"/>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color w:val="FF0000"/>
      <w:kern w:val="0"/>
      <w:sz w:val="20"/>
      <w:szCs w:val="20"/>
    </w:rPr>
  </w:style>
  <w:style w:type="paragraph" w:customStyle="1" w:styleId="2794">
    <w:name w:val="xl32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95">
    <w:name w:val="xl322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6">
    <w:name w:val="xl32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7">
    <w:name w:val="xl32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8">
    <w:name w:val="xl32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99">
    <w:name w:val="xl32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Courier New" w:hAnsi="Courier New" w:eastAsia="微软雅黑" w:cs="Courier New"/>
      <w:kern w:val="0"/>
      <w:sz w:val="20"/>
      <w:szCs w:val="20"/>
    </w:rPr>
  </w:style>
  <w:style w:type="paragraph" w:customStyle="1" w:styleId="2800">
    <w:name w:val="xl323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Courier New" w:hAnsi="Courier New" w:eastAsia="微软雅黑" w:cs="Courier New"/>
      <w:kern w:val="0"/>
      <w:sz w:val="20"/>
      <w:szCs w:val="20"/>
    </w:rPr>
  </w:style>
  <w:style w:type="paragraph" w:customStyle="1" w:styleId="2801">
    <w:name w:val="xl323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Courier New" w:hAnsi="Courier New" w:eastAsia="微软雅黑" w:cs="Courier New"/>
      <w:kern w:val="0"/>
      <w:sz w:val="20"/>
      <w:szCs w:val="20"/>
    </w:rPr>
  </w:style>
  <w:style w:type="paragraph" w:customStyle="1" w:styleId="2802">
    <w:name w:val="xl32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Courier New" w:hAnsi="Courier New" w:eastAsia="微软雅黑" w:cs="Courier New"/>
      <w:color w:val="000000"/>
      <w:kern w:val="0"/>
      <w:sz w:val="20"/>
      <w:szCs w:val="20"/>
    </w:rPr>
  </w:style>
  <w:style w:type="paragraph" w:customStyle="1" w:styleId="2803">
    <w:name w:val="xl323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04">
    <w:name w:val="xl323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05">
    <w:name w:val="xl323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06">
    <w:name w:val="xl323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07">
    <w:name w:val="xl323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08">
    <w:name w:val="xl323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09">
    <w:name w:val="xl324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0">
    <w:name w:val="xl324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color w:val="000000"/>
      <w:kern w:val="0"/>
      <w:sz w:val="20"/>
      <w:szCs w:val="20"/>
    </w:rPr>
  </w:style>
  <w:style w:type="paragraph" w:customStyle="1" w:styleId="2811">
    <w:name w:val="xl324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12">
    <w:name w:val="xl324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3">
    <w:name w:val="xl324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14">
    <w:name w:val="xl3245"/>
    <w:basedOn w:val="1"/>
    <w:qFormat/>
    <w:uiPriority w:val="99"/>
    <w:pPr>
      <w:widowControl/>
      <w:pBdr>
        <w:top w:val="single" w:color="auto" w:sz="4" w:space="0"/>
        <w:left w:val="single" w:color="auto" w:sz="4" w:space="0"/>
        <w:bottom w:val="single" w:color="auto" w:sz="4" w:space="0"/>
      </w:pBdr>
      <w:shd w:val="clear" w:color="000000"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15">
    <w:name w:val="xl3246"/>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6">
    <w:name w:val="xl324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7">
    <w:name w:val="xl324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8">
    <w:name w:val="xl324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9">
    <w:name w:val="xl325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20">
    <w:name w:val="xl325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1">
    <w:name w:val="xl325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2">
    <w:name w:val="xl325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3">
    <w:name w:val="xl3254"/>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4">
    <w:name w:val="xl3255"/>
    <w:basedOn w:val="1"/>
    <w:qFormat/>
    <w:uiPriority w:val="99"/>
    <w:pPr>
      <w:widowControl/>
      <w:pBdr>
        <w:top w:val="single" w:color="000000" w:sz="4" w:space="0"/>
        <w:left w:val="single" w:color="auto" w:sz="8" w:space="0"/>
        <w:bottom w:val="single" w:color="000000"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25">
    <w:name w:val="xl3256"/>
    <w:basedOn w:val="1"/>
    <w:qFormat/>
    <w:uiPriority w:val="99"/>
    <w:pPr>
      <w:widowControl/>
      <w:pBdr>
        <w:top w:val="single" w:color="000000" w:sz="4" w:space="0"/>
        <w:left w:val="single" w:color="000000" w:sz="4" w:space="0"/>
        <w:bottom w:val="single" w:color="000000" w:sz="4" w:space="0"/>
      </w:pBdr>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26">
    <w:name w:val="xl325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27">
    <w:name w:val="xl3258"/>
    <w:basedOn w:val="1"/>
    <w:qFormat/>
    <w:uiPriority w:val="99"/>
    <w:pPr>
      <w:widowControl/>
      <w:pBdr>
        <w:top w:val="single" w:color="000000" w:sz="4" w:space="0"/>
        <w:left w:val="single" w:color="000000" w:sz="4" w:space="0"/>
        <w:bottom w:val="single" w:color="000000"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8">
    <w:name w:val="xl325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9">
    <w:name w:val="xl3260"/>
    <w:basedOn w:val="1"/>
    <w:qFormat/>
    <w:uiPriority w:val="99"/>
    <w:pPr>
      <w:widowControl/>
      <w:pBdr>
        <w:top w:val="single" w:color="000000" w:sz="4" w:space="0"/>
        <w:left w:val="single" w:color="auto" w:sz="8"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0">
    <w:name w:val="xl3261"/>
    <w:basedOn w:val="1"/>
    <w:qFormat/>
    <w:uiPriority w:val="99"/>
    <w:pPr>
      <w:widowControl/>
      <w:pBdr>
        <w:top w:val="single" w:color="auto" w:sz="4" w:space="0"/>
        <w:left w:val="single" w:color="auto" w:sz="4" w:space="0"/>
        <w:right w:val="single" w:color="auto"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1">
    <w:name w:val="xl3262"/>
    <w:basedOn w:val="1"/>
    <w:qFormat/>
    <w:uiPriority w:val="99"/>
    <w:pPr>
      <w:widowControl/>
      <w:pBdr>
        <w:top w:val="single" w:color="000000" w:sz="4" w:space="0"/>
        <w:left w:val="single" w:color="auto" w:sz="8" w:space="0"/>
        <w:bottom w:val="single" w:color="000000" w:sz="4" w:space="0"/>
      </w:pBdr>
      <w:shd w:val="clear" w:color="FFFFFF"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32">
    <w:name w:val="xl3263"/>
    <w:basedOn w:val="1"/>
    <w:qFormat/>
    <w:uiPriority w:val="99"/>
    <w:pPr>
      <w:widowControl/>
      <w:pBdr>
        <w:top w:val="single" w:color="000000" w:sz="4" w:space="0"/>
        <w:left w:val="single" w:color="000000" w:sz="4" w:space="0"/>
        <w:bottom w:val="single" w:color="000000"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3">
    <w:name w:val="xl3264"/>
    <w:basedOn w:val="1"/>
    <w:qFormat/>
    <w:uiPriority w:val="99"/>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4">
    <w:name w:val="xl32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35">
    <w:name w:val="xl32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36">
    <w:name w:val="xl32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37">
    <w:name w:val="xl32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38">
    <w:name w:val="xl3269"/>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kern w:val="0"/>
      <w:sz w:val="20"/>
      <w:szCs w:val="20"/>
    </w:rPr>
  </w:style>
  <w:style w:type="paragraph" w:customStyle="1" w:styleId="2839">
    <w:name w:val="xl32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40">
    <w:name w:val="xl327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Courier New" w:hAnsi="Courier New" w:eastAsia="微软雅黑" w:cs="Courier New"/>
      <w:kern w:val="0"/>
      <w:sz w:val="20"/>
      <w:szCs w:val="20"/>
    </w:rPr>
  </w:style>
  <w:style w:type="paragraph" w:customStyle="1" w:styleId="2841">
    <w:name w:val="xl327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42">
    <w:name w:val="xl32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color w:val="000000"/>
      <w:kern w:val="0"/>
      <w:sz w:val="20"/>
      <w:szCs w:val="20"/>
    </w:rPr>
  </w:style>
  <w:style w:type="paragraph" w:customStyle="1" w:styleId="2843">
    <w:name w:val="xl3274"/>
    <w:basedOn w:val="1"/>
    <w:qFormat/>
    <w:uiPriority w:val="99"/>
    <w:pPr>
      <w:widowControl/>
      <w:pBdr>
        <w:top w:val="single" w:color="auto" w:sz="4" w:space="0"/>
        <w:left w:val="single" w:color="auto" w:sz="4" w:space="0"/>
        <w:right w:val="single" w:color="auto" w:sz="4" w:space="0"/>
      </w:pBdr>
      <w:spacing w:before="100" w:beforeAutospacing="1" w:after="100" w:afterAutospacing="1" w:line="0" w:lineRule="atLeast"/>
      <w:jc w:val="left"/>
    </w:pPr>
    <w:rPr>
      <w:rFonts w:ascii="宋体" w:hAnsi="宋体" w:eastAsia="微软雅黑" w:cs="宋体"/>
      <w:color w:val="000000"/>
      <w:kern w:val="0"/>
      <w:sz w:val="20"/>
      <w:szCs w:val="20"/>
    </w:rPr>
  </w:style>
  <w:style w:type="paragraph" w:customStyle="1" w:styleId="2844">
    <w:name w:val="xl3275"/>
    <w:basedOn w:val="1"/>
    <w:qFormat/>
    <w:uiPriority w:val="99"/>
    <w:pPr>
      <w:widowControl/>
      <w:spacing w:before="100" w:beforeAutospacing="1" w:after="100" w:afterAutospacing="1" w:line="0" w:lineRule="atLeast"/>
      <w:jc w:val="left"/>
    </w:pPr>
    <w:rPr>
      <w:rFonts w:ascii="宋体" w:hAnsi="宋体" w:eastAsia="微软雅黑" w:cs="宋体"/>
      <w:kern w:val="0"/>
      <w:sz w:val="20"/>
      <w:szCs w:val="20"/>
    </w:rPr>
  </w:style>
  <w:style w:type="paragraph" w:customStyle="1" w:styleId="2845">
    <w:name w:val="xl327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46">
    <w:name w:val="xl32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47">
    <w:name w:val="xl32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48">
    <w:name w:val="xl327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49">
    <w:name w:val="xl3280"/>
    <w:basedOn w:val="1"/>
    <w:qFormat/>
    <w:uiPriority w:val="99"/>
    <w:pPr>
      <w:widowControl/>
      <w:pBdr>
        <w:top w:val="single" w:color="auto" w:sz="4" w:space="0"/>
        <w:left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50">
    <w:name w:val="xl3281"/>
    <w:basedOn w:val="1"/>
    <w:qFormat/>
    <w:uiPriority w:val="99"/>
    <w:pPr>
      <w:widowControl/>
      <w:pBdr>
        <w:top w:val="single" w:color="000000" w:sz="4" w:space="0"/>
        <w:left w:val="single" w:color="000000" w:sz="4" w:space="0"/>
      </w:pBdr>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51">
    <w:name w:val="xl3282"/>
    <w:basedOn w:val="1"/>
    <w:qFormat/>
    <w:uiPriority w:val="99"/>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52">
    <w:name w:val="xl32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53">
    <w:name w:val="xl32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4">
    <w:name w:val="xl32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55">
    <w:name w:val="xl328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6">
    <w:name w:val="xl32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7">
    <w:name w:val="xl328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8">
    <w:name w:val="xl328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9">
    <w:name w:val="xl32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60">
    <w:name w:val="xl329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61">
    <w:name w:val="xl3292"/>
    <w:basedOn w:val="1"/>
    <w:qFormat/>
    <w:uiPriority w:val="99"/>
    <w:pPr>
      <w:widowControl/>
      <w:pBdr>
        <w:top w:val="single" w:color="auto" w:sz="4" w:space="0"/>
        <w:left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2">
    <w:name w:val="xl3293"/>
    <w:basedOn w:val="1"/>
    <w:qFormat/>
    <w:uiPriority w:val="99"/>
    <w:pPr>
      <w:widowControl/>
      <w:pBdr>
        <w:top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3">
    <w:name w:val="xl3294"/>
    <w:basedOn w:val="1"/>
    <w:qFormat/>
    <w:uiPriority w:val="99"/>
    <w:pPr>
      <w:widowControl/>
      <w:pBdr>
        <w:top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4">
    <w:name w:val="xl3295"/>
    <w:basedOn w:val="1"/>
    <w:qFormat/>
    <w:uiPriority w:val="99"/>
    <w:pPr>
      <w:widowControl/>
      <w:pBdr>
        <w:top w:val="single" w:color="auto" w:sz="4" w:space="0"/>
        <w:left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5">
    <w:name w:val="xl3296"/>
    <w:basedOn w:val="1"/>
    <w:qFormat/>
    <w:uiPriority w:val="99"/>
    <w:pPr>
      <w:widowControl/>
      <w:pBdr>
        <w:top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6">
    <w:name w:val="xl3297"/>
    <w:basedOn w:val="1"/>
    <w:qFormat/>
    <w:uiPriority w:val="99"/>
    <w:pPr>
      <w:widowControl/>
      <w:pBdr>
        <w:top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7">
    <w:name w:val="xl3298"/>
    <w:basedOn w:val="1"/>
    <w:qFormat/>
    <w:uiPriority w:val="99"/>
    <w:pPr>
      <w:widowControl/>
      <w:pBdr>
        <w:top w:val="single" w:color="auto" w:sz="4" w:space="0"/>
        <w:left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68">
    <w:name w:val="xl3299"/>
    <w:basedOn w:val="1"/>
    <w:qFormat/>
    <w:uiPriority w:val="99"/>
    <w:pPr>
      <w:widowControl/>
      <w:pBdr>
        <w:left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69">
    <w:name w:val="xl3300"/>
    <w:basedOn w:val="1"/>
    <w:qFormat/>
    <w:uiPriority w:val="99"/>
    <w:pPr>
      <w:widowControl/>
      <w:pBdr>
        <w:left w:val="single" w:color="auto" w:sz="4" w:space="0"/>
        <w:bottom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70">
    <w:name w:val="哈哈表格"/>
    <w:basedOn w:val="1"/>
    <w:qFormat/>
    <w:uiPriority w:val="0"/>
    <w:pPr>
      <w:widowControl/>
      <w:spacing w:line="360" w:lineRule="auto"/>
    </w:pPr>
    <w:rPr>
      <w:rFonts w:ascii="宋体" w:hAnsi="宋体" w:eastAsia="微软雅黑" w:cs="宋体"/>
      <w:kern w:val="0"/>
      <w:sz w:val="24"/>
      <w:szCs w:val="20"/>
    </w:rPr>
  </w:style>
  <w:style w:type="paragraph" w:customStyle="1" w:styleId="2871">
    <w:name w:val="xl33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right"/>
    </w:pPr>
    <w:rPr>
      <w:rFonts w:ascii="宋体" w:hAnsi="宋体" w:eastAsia="宋体" w:cs="宋体"/>
      <w:kern w:val="0"/>
      <w:sz w:val="20"/>
      <w:szCs w:val="20"/>
    </w:rPr>
  </w:style>
  <w:style w:type="paragraph" w:customStyle="1" w:styleId="2872">
    <w:name w:val="xl3302"/>
    <w:basedOn w:val="1"/>
    <w:qFormat/>
    <w:uiPriority w:val="99"/>
    <w:pPr>
      <w:widowControl/>
      <w:pBdr>
        <w:top w:val="single" w:color="000000" w:sz="4" w:space="0"/>
        <w:left w:val="single" w:color="auto" w:sz="8" w:space="0"/>
        <w:bottom w:val="single" w:color="000000" w:sz="4" w:space="0"/>
      </w:pBdr>
      <w:shd w:val="clear" w:color="FFFFFF" w:fill="FFFFFF"/>
      <w:spacing w:before="100" w:beforeAutospacing="1" w:after="100" w:afterAutospacing="1" w:line="360" w:lineRule="auto"/>
      <w:jc w:val="center"/>
    </w:pPr>
    <w:rPr>
      <w:rFonts w:ascii="宋体" w:hAnsi="宋体" w:eastAsia="宋体" w:cs="宋体"/>
      <w:color w:val="000000"/>
      <w:kern w:val="0"/>
      <w:sz w:val="20"/>
      <w:szCs w:val="20"/>
    </w:rPr>
  </w:style>
  <w:style w:type="paragraph" w:customStyle="1" w:styleId="2873">
    <w:name w:val="xl33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4">
    <w:name w:val="xl3304"/>
    <w:basedOn w:val="1"/>
    <w:qFormat/>
    <w:uiPriority w:val="99"/>
    <w:pPr>
      <w:widowControl/>
      <w:pBdr>
        <w:top w:val="single" w:color="auto" w:sz="4" w:space="0"/>
        <w:bottom w:val="single" w:color="000000" w:sz="4" w:space="0"/>
        <w:right w:val="single" w:color="000000"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5">
    <w:name w:val="xl3305"/>
    <w:basedOn w:val="1"/>
    <w:qFormat/>
    <w:uiPriority w:val="99"/>
    <w:pPr>
      <w:widowControl/>
      <w:pBdr>
        <w:top w:val="single" w:color="000000" w:sz="4" w:space="0"/>
        <w:left w:val="single" w:color="000000" w:sz="4" w:space="0"/>
        <w:bottom w:val="single" w:color="000000" w:sz="4" w:space="0"/>
      </w:pBdr>
      <w:spacing w:before="100" w:beforeAutospacing="1" w:after="100" w:afterAutospacing="1" w:line="360" w:lineRule="auto"/>
      <w:jc w:val="center"/>
    </w:pPr>
    <w:rPr>
      <w:rFonts w:ascii="宋体" w:hAnsi="宋体" w:eastAsia="宋体" w:cs="宋体"/>
      <w:color w:val="000000"/>
      <w:kern w:val="0"/>
      <w:sz w:val="20"/>
      <w:szCs w:val="20"/>
    </w:rPr>
  </w:style>
  <w:style w:type="paragraph" w:customStyle="1" w:styleId="2876">
    <w:name w:val="xl330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宋体"/>
      <w:color w:val="000000"/>
      <w:kern w:val="0"/>
      <w:sz w:val="20"/>
      <w:szCs w:val="20"/>
    </w:rPr>
  </w:style>
  <w:style w:type="paragraph" w:customStyle="1" w:styleId="2877">
    <w:name w:val="xl3307"/>
    <w:basedOn w:val="1"/>
    <w:qFormat/>
    <w:uiPriority w:val="99"/>
    <w:pPr>
      <w:widowControl/>
      <w:pBdr>
        <w:top w:val="single" w:color="000000" w:sz="4" w:space="0"/>
        <w:bottom w:val="single" w:color="000000" w:sz="4" w:space="0"/>
        <w:right w:val="single" w:color="000000"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8">
    <w:name w:val="xl330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9">
    <w:name w:val="xl3309"/>
    <w:basedOn w:val="1"/>
    <w:qFormat/>
    <w:uiPriority w:val="99"/>
    <w:pPr>
      <w:widowControl/>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80">
    <w:name w:val="xl33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1">
    <w:name w:val="xl331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kern w:val="0"/>
      <w:sz w:val="20"/>
      <w:szCs w:val="20"/>
    </w:rPr>
  </w:style>
  <w:style w:type="paragraph" w:customStyle="1" w:styleId="2882">
    <w:name w:val="xl331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83">
    <w:name w:val="xl33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84">
    <w:name w:val="xl331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kern w:val="0"/>
      <w:sz w:val="20"/>
      <w:szCs w:val="20"/>
    </w:rPr>
  </w:style>
  <w:style w:type="paragraph" w:customStyle="1" w:styleId="2885">
    <w:name w:val="xl3315"/>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360" w:lineRule="auto"/>
      <w:jc w:val="left"/>
    </w:pPr>
    <w:rPr>
      <w:rFonts w:ascii="宋体" w:hAnsi="宋体" w:eastAsia="宋体" w:cs="宋体"/>
      <w:kern w:val="0"/>
      <w:sz w:val="20"/>
      <w:szCs w:val="20"/>
    </w:rPr>
  </w:style>
  <w:style w:type="paragraph" w:customStyle="1" w:styleId="2886">
    <w:name w:val="xl3316"/>
    <w:basedOn w:val="1"/>
    <w:qFormat/>
    <w:uiPriority w:val="99"/>
    <w:pPr>
      <w:widowControl/>
      <w:pBdr>
        <w:top w:val="single" w:color="auto" w:sz="4" w:space="0"/>
        <w:left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7">
    <w:name w:val="xl3317"/>
    <w:basedOn w:val="1"/>
    <w:qFormat/>
    <w:uiPriority w:val="99"/>
    <w:pPr>
      <w:widowControl/>
      <w:pBdr>
        <w:top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8">
    <w:name w:val="xl3318"/>
    <w:basedOn w:val="1"/>
    <w:qFormat/>
    <w:uiPriority w:val="99"/>
    <w:pPr>
      <w:widowControl/>
      <w:pBdr>
        <w:top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9">
    <w:name w:val="xl3319"/>
    <w:basedOn w:val="1"/>
    <w:qFormat/>
    <w:uiPriority w:val="99"/>
    <w:pPr>
      <w:widowControl/>
      <w:pBdr>
        <w:top w:val="single" w:color="auto" w:sz="4" w:space="0"/>
        <w:left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90">
    <w:name w:val="xl3320"/>
    <w:basedOn w:val="1"/>
    <w:qFormat/>
    <w:uiPriority w:val="99"/>
    <w:pPr>
      <w:widowControl/>
      <w:pBdr>
        <w:top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91">
    <w:name w:val="xl3321"/>
    <w:basedOn w:val="1"/>
    <w:qFormat/>
    <w:uiPriority w:val="99"/>
    <w:pPr>
      <w:widowControl/>
      <w:pBdr>
        <w:top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92">
    <w:name w:val="xl33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宋体"/>
      <w:b/>
      <w:bCs/>
      <w:kern w:val="0"/>
      <w:sz w:val="20"/>
      <w:szCs w:val="20"/>
    </w:rPr>
  </w:style>
  <w:style w:type="paragraph" w:customStyle="1" w:styleId="2893">
    <w:name w:val="2级标题S"/>
    <w:basedOn w:val="5"/>
    <w:link w:val="2894"/>
    <w:qFormat/>
    <w:uiPriority w:val="0"/>
    <w:pPr>
      <w:widowControl/>
      <w:numPr>
        <w:ilvl w:val="0"/>
        <w:numId w:val="0"/>
      </w:numPr>
      <w:tabs>
        <w:tab w:val="left" w:pos="851"/>
      </w:tabs>
      <w:spacing w:before="120" w:after="120" w:line="360" w:lineRule="auto"/>
    </w:pPr>
    <w:rPr>
      <w:rFonts w:ascii="Cambria" w:hAnsi="Cambria" w:cs="宋体"/>
      <w:kern w:val="0"/>
      <w:sz w:val="36"/>
      <w:szCs w:val="36"/>
    </w:rPr>
  </w:style>
  <w:style w:type="character" w:customStyle="1" w:styleId="2894">
    <w:name w:val="2级标题S Char"/>
    <w:link w:val="2893"/>
    <w:qFormat/>
    <w:uiPriority w:val="0"/>
    <w:rPr>
      <w:rFonts w:ascii="Cambria" w:hAnsi="Cambria" w:cs="宋体"/>
      <w:b/>
      <w:bCs/>
      <w:sz w:val="36"/>
      <w:szCs w:val="36"/>
    </w:rPr>
  </w:style>
  <w:style w:type="character" w:customStyle="1" w:styleId="2895">
    <w:name w:val="style61"/>
    <w:qFormat/>
    <w:uiPriority w:val="0"/>
    <w:rPr>
      <w:sz w:val="18"/>
      <w:szCs w:val="18"/>
    </w:rPr>
  </w:style>
  <w:style w:type="character" w:customStyle="1" w:styleId="2896">
    <w:name w:val="EmailStyle621"/>
    <w:qFormat/>
    <w:uiPriority w:val="0"/>
    <w:rPr>
      <w:rFonts w:ascii="Arial" w:hAnsi="Arial" w:eastAsia="宋体" w:cs="Arial"/>
      <w:color w:val="auto"/>
      <w:sz w:val="20"/>
      <w:szCs w:val="20"/>
    </w:rPr>
  </w:style>
  <w:style w:type="character" w:customStyle="1" w:styleId="2897">
    <w:name w:val="EmailStyle631"/>
    <w:qFormat/>
    <w:uiPriority w:val="0"/>
    <w:rPr>
      <w:rFonts w:ascii="Arial" w:hAnsi="Arial" w:eastAsia="宋体" w:cs="Arial"/>
      <w:color w:val="auto"/>
      <w:sz w:val="20"/>
      <w:szCs w:val="20"/>
    </w:rPr>
  </w:style>
  <w:style w:type="character" w:customStyle="1" w:styleId="2898">
    <w:name w:val="text"/>
    <w:qFormat/>
    <w:uiPriority w:val="0"/>
  </w:style>
  <w:style w:type="character" w:customStyle="1" w:styleId="2899">
    <w:name w:val="EmailStyle129"/>
    <w:qFormat/>
    <w:uiPriority w:val="0"/>
    <w:rPr>
      <w:rFonts w:ascii="Arial" w:hAnsi="Arial" w:eastAsia="宋体" w:cs="Arial"/>
      <w:color w:val="auto"/>
      <w:sz w:val="20"/>
      <w:szCs w:val="20"/>
    </w:rPr>
  </w:style>
  <w:style w:type="paragraph" w:customStyle="1" w:styleId="2900">
    <w:name w:val="10图片标题S"/>
    <w:basedOn w:val="1"/>
    <w:link w:val="2901"/>
    <w:qFormat/>
    <w:uiPriority w:val="0"/>
    <w:pPr>
      <w:widowControl/>
      <w:spacing w:line="360" w:lineRule="auto"/>
      <w:ind w:firstLine="422"/>
    </w:pPr>
    <w:rPr>
      <w:rFonts w:ascii="宋体" w:hAnsi="宋体" w:eastAsia="宋体" w:cs="宋体"/>
      <w:b/>
      <w:kern w:val="0"/>
      <w:szCs w:val="24"/>
    </w:rPr>
  </w:style>
  <w:style w:type="character" w:customStyle="1" w:styleId="2901">
    <w:name w:val="10图片标题S Char"/>
    <w:link w:val="2900"/>
    <w:qFormat/>
    <w:uiPriority w:val="0"/>
    <w:rPr>
      <w:rFonts w:ascii="宋体" w:hAnsi="宋体" w:cs="宋体"/>
      <w:b/>
      <w:sz w:val="21"/>
      <w:szCs w:val="24"/>
    </w:rPr>
  </w:style>
  <w:style w:type="paragraph" w:customStyle="1" w:styleId="2902">
    <w:name w:val="1级标题S"/>
    <w:basedOn w:val="4"/>
    <w:link w:val="2903"/>
    <w:qFormat/>
    <w:uiPriority w:val="99"/>
    <w:pPr>
      <w:widowControl/>
      <w:numPr>
        <w:numId w:val="0"/>
      </w:numPr>
      <w:tabs>
        <w:tab w:val="left" w:pos="567"/>
        <w:tab w:val="left" w:pos="780"/>
      </w:tabs>
      <w:spacing w:before="120" w:beforeLines="50" w:after="120" w:afterLines="50"/>
      <w:ind w:left="780" w:leftChars="200" w:hanging="360" w:hangingChars="200"/>
    </w:pPr>
    <w:rPr>
      <w:rFonts w:ascii="Calibri" w:hAnsi="Calibri" w:cs="宋体"/>
      <w:sz w:val="44"/>
      <w:szCs w:val="44"/>
    </w:rPr>
  </w:style>
  <w:style w:type="character" w:customStyle="1" w:styleId="2903">
    <w:name w:val="1级标题S Char"/>
    <w:link w:val="2902"/>
    <w:qFormat/>
    <w:uiPriority w:val="99"/>
    <w:rPr>
      <w:rFonts w:ascii="Calibri" w:hAnsi="Calibri" w:cs="宋体"/>
      <w:b/>
      <w:bCs/>
      <w:kern w:val="44"/>
      <w:sz w:val="44"/>
      <w:szCs w:val="44"/>
    </w:rPr>
  </w:style>
  <w:style w:type="paragraph" w:customStyle="1" w:styleId="2904">
    <w:name w:val="3级标题S"/>
    <w:basedOn w:val="7"/>
    <w:link w:val="2905"/>
    <w:qFormat/>
    <w:uiPriority w:val="0"/>
    <w:pPr>
      <w:keepNext/>
      <w:keepLines/>
      <w:widowControl/>
      <w:numPr>
        <w:ilvl w:val="0"/>
        <w:numId w:val="0"/>
      </w:numPr>
      <w:tabs>
        <w:tab w:val="left" w:pos="1077"/>
      </w:tabs>
      <w:spacing w:line="415" w:lineRule="auto"/>
      <w:jc w:val="left"/>
    </w:pPr>
    <w:rPr>
      <w:rFonts w:ascii="Calibri" w:hAnsi="Calibri" w:eastAsia="宋体" w:cs="宋体"/>
      <w:color w:val="171717"/>
      <w:kern w:val="0"/>
      <w:sz w:val="32"/>
      <w:szCs w:val="32"/>
    </w:rPr>
  </w:style>
  <w:style w:type="character" w:customStyle="1" w:styleId="2905">
    <w:name w:val="3级标题S Char"/>
    <w:link w:val="2904"/>
    <w:qFormat/>
    <w:uiPriority w:val="0"/>
    <w:rPr>
      <w:rFonts w:ascii="Calibri" w:hAnsi="Calibri" w:cs="宋体"/>
      <w:b/>
      <w:bCs/>
      <w:color w:val="171717"/>
      <w:sz w:val="32"/>
      <w:szCs w:val="32"/>
    </w:rPr>
  </w:style>
  <w:style w:type="paragraph" w:customStyle="1" w:styleId="2906">
    <w:name w:val="4级标题S"/>
    <w:basedOn w:val="8"/>
    <w:link w:val="2907"/>
    <w:qFormat/>
    <w:uiPriority w:val="0"/>
    <w:pPr>
      <w:widowControl/>
      <w:numPr>
        <w:ilvl w:val="0"/>
        <w:numId w:val="0"/>
      </w:numPr>
      <w:tabs>
        <w:tab w:val="left" w:pos="1247"/>
      </w:tabs>
      <w:spacing w:before="120" w:after="120"/>
    </w:pPr>
    <w:rPr>
      <w:rFonts w:ascii="Cambria" w:hAnsi="Cambria" w:cs="宋体"/>
      <w:kern w:val="0"/>
      <w:sz w:val="30"/>
      <w:szCs w:val="30"/>
    </w:rPr>
  </w:style>
  <w:style w:type="character" w:customStyle="1" w:styleId="2907">
    <w:name w:val="4级标题S Char"/>
    <w:link w:val="2906"/>
    <w:qFormat/>
    <w:uiPriority w:val="0"/>
    <w:rPr>
      <w:rFonts w:ascii="Cambria" w:hAnsi="Cambria" w:cs="宋体"/>
      <w:b/>
      <w:bCs/>
      <w:sz w:val="30"/>
      <w:szCs w:val="30"/>
    </w:rPr>
  </w:style>
  <w:style w:type="paragraph" w:customStyle="1" w:styleId="2908">
    <w:name w:val="5级标题S"/>
    <w:basedOn w:val="14"/>
    <w:link w:val="2909"/>
    <w:qFormat/>
    <w:uiPriority w:val="0"/>
    <w:pPr>
      <w:widowControl/>
      <w:numPr>
        <w:ilvl w:val="0"/>
        <w:numId w:val="0"/>
      </w:numPr>
      <w:tabs>
        <w:tab w:val="left" w:pos="1531"/>
      </w:tabs>
      <w:spacing w:before="120" w:after="120"/>
    </w:pPr>
    <w:rPr>
      <w:rFonts w:ascii="Calibri" w:hAnsi="Calibri" w:cs="宋体"/>
      <w:kern w:val="0"/>
      <w:szCs w:val="28"/>
    </w:rPr>
  </w:style>
  <w:style w:type="character" w:customStyle="1" w:styleId="2909">
    <w:name w:val="5级标题S Char"/>
    <w:link w:val="2908"/>
    <w:qFormat/>
    <w:uiPriority w:val="0"/>
    <w:rPr>
      <w:rFonts w:ascii="Calibri" w:hAnsi="Calibri" w:cs="宋体"/>
      <w:b/>
      <w:bCs/>
      <w:sz w:val="24"/>
      <w:szCs w:val="28"/>
    </w:rPr>
  </w:style>
  <w:style w:type="character" w:customStyle="1" w:styleId="2910">
    <w:name w:val="6级标题S Char"/>
    <w:link w:val="1999"/>
    <w:qFormat/>
    <w:uiPriority w:val="0"/>
    <w:rPr>
      <w:rFonts w:ascii="宋体" w:hAnsi="宋体" w:cs="宋体"/>
      <w:b/>
      <w:bCs/>
      <w:color w:val="171717"/>
      <w:sz w:val="24"/>
      <w:szCs w:val="24"/>
    </w:rPr>
  </w:style>
  <w:style w:type="paragraph" w:customStyle="1" w:styleId="2911">
    <w:name w:val="7级标题S"/>
    <w:basedOn w:val="16"/>
    <w:link w:val="2912"/>
    <w:qFormat/>
    <w:uiPriority w:val="0"/>
    <w:pPr>
      <w:widowControl/>
      <w:numPr>
        <w:ilvl w:val="0"/>
        <w:numId w:val="0"/>
      </w:numPr>
      <w:tabs>
        <w:tab w:val="left" w:pos="1701"/>
        <w:tab w:val="left" w:pos="1985"/>
      </w:tabs>
      <w:spacing w:before="0" w:beforeLines="50" w:after="0" w:afterLines="50"/>
    </w:pPr>
    <w:rPr>
      <w:rFonts w:cs="宋体"/>
      <w:b w:val="0"/>
      <w:bCs w:val="0"/>
      <w:color w:val="171717"/>
      <w:kern w:val="0"/>
    </w:rPr>
  </w:style>
  <w:style w:type="character" w:customStyle="1" w:styleId="2912">
    <w:name w:val="7级标题S Char"/>
    <w:link w:val="2911"/>
    <w:qFormat/>
    <w:uiPriority w:val="0"/>
    <w:rPr>
      <w:rFonts w:ascii="Calibri" w:hAnsi="Calibri" w:cs="宋体"/>
      <w:color w:val="171717"/>
      <w:sz w:val="24"/>
      <w:szCs w:val="24"/>
    </w:rPr>
  </w:style>
  <w:style w:type="paragraph" w:customStyle="1" w:styleId="2913">
    <w:name w:val="警告"/>
    <w:basedOn w:val="1"/>
    <w:next w:val="1"/>
    <w:qFormat/>
    <w:uiPriority w:val="99"/>
    <w:pPr>
      <w:widowControl/>
      <w:numPr>
        <w:ilvl w:val="0"/>
        <w:numId w:val="97"/>
      </w:numPr>
      <w:shd w:val="clear" w:color="auto" w:fill="FFD1D1"/>
      <w:spacing w:beforeLines="100" w:afterLines="100" w:line="360" w:lineRule="auto"/>
      <w:ind w:firstLine="0"/>
    </w:pPr>
    <w:rPr>
      <w:rFonts w:ascii="宋体" w:hAnsi="宋体" w:eastAsia="楷体_GB2312" w:cs="宋体"/>
      <w:kern w:val="0"/>
      <w:szCs w:val="24"/>
    </w:rPr>
  </w:style>
  <w:style w:type="paragraph" w:customStyle="1" w:styleId="2914">
    <w:name w:val="_Style 89"/>
    <w:basedOn w:val="1"/>
    <w:next w:val="175"/>
    <w:qFormat/>
    <w:uiPriority w:val="34"/>
    <w:pPr>
      <w:widowControl/>
      <w:spacing w:line="360" w:lineRule="auto"/>
      <w:ind w:firstLine="420"/>
    </w:pPr>
    <w:rPr>
      <w:rFonts w:ascii="宋体" w:hAnsi="宋体" w:eastAsia="宋体" w:cs="宋体"/>
      <w:kern w:val="0"/>
      <w:szCs w:val="24"/>
    </w:rPr>
  </w:style>
  <w:style w:type="paragraph" w:customStyle="1" w:styleId="2915">
    <w:name w:val="TOC 标题21"/>
    <w:basedOn w:val="4"/>
    <w:next w:val="1"/>
    <w:unhideWhenUsed/>
    <w:qFormat/>
    <w:uiPriority w:val="39"/>
    <w:pPr>
      <w:widowControl/>
      <w:numPr>
        <w:numId w:val="0"/>
      </w:numPr>
      <w:spacing w:before="240" w:after="0" w:line="259" w:lineRule="auto"/>
      <w:outlineLvl w:val="9"/>
    </w:pPr>
    <w:rPr>
      <w:rFonts w:ascii="Calibri Light" w:hAnsi="Calibri Light" w:cs="Times New Roman"/>
      <w:b w:val="0"/>
      <w:bCs w:val="0"/>
      <w:color w:val="2E74B5"/>
      <w:kern w:val="0"/>
    </w:rPr>
  </w:style>
  <w:style w:type="paragraph" w:customStyle="1" w:styleId="2916">
    <w:name w:val="图表头"/>
    <w:basedOn w:val="2447"/>
    <w:qFormat/>
    <w:uiPriority w:val="99"/>
    <w:pPr>
      <w:spacing w:beforeLines="0" w:afterLines="0"/>
      <w:ind w:firstLine="520"/>
    </w:pPr>
    <w:rPr>
      <w:rFonts w:ascii="黑体" w:hAnsi="黑体" w:eastAsia="黑体" w:cs="黑体"/>
      <w:b w:val="0"/>
      <w:color w:val="auto"/>
      <w:spacing w:val="11"/>
      <w:sz w:val="21"/>
    </w:rPr>
  </w:style>
  <w:style w:type="paragraph" w:customStyle="1" w:styleId="2917">
    <w:name w:val="我的样式4级目录"/>
    <w:basedOn w:val="1"/>
    <w:qFormat/>
    <w:uiPriority w:val="99"/>
    <w:pPr>
      <w:widowControl/>
      <w:spacing w:line="360" w:lineRule="auto"/>
      <w:ind w:left="2580"/>
      <w:jc w:val="left"/>
    </w:pPr>
    <w:rPr>
      <w:rFonts w:ascii="Arial" w:hAnsi="宋体" w:eastAsia="宋体" w:cs="Arial"/>
      <w:b/>
      <w:kern w:val="0"/>
      <w:sz w:val="24"/>
      <w:szCs w:val="24"/>
    </w:rPr>
  </w:style>
  <w:style w:type="paragraph" w:customStyle="1" w:styleId="2918">
    <w:name w:val="Item List in Table"/>
    <w:qFormat/>
    <w:uiPriority w:val="99"/>
    <w:pPr>
      <w:tabs>
        <w:tab w:val="left" w:pos="284"/>
      </w:tabs>
      <w:spacing w:before="40" w:after="40"/>
      <w:ind w:left="900" w:hanging="420"/>
      <w:jc w:val="both"/>
    </w:pPr>
    <w:rPr>
      <w:rFonts w:ascii="Arial" w:hAnsi="Arial" w:eastAsia="宋体" w:cs="Arial"/>
      <w:kern w:val="2"/>
      <w:sz w:val="18"/>
      <w:szCs w:val="18"/>
      <w:lang w:val="en-US" w:eastAsia="zh-CN" w:bidi="ar-SA"/>
    </w:rPr>
  </w:style>
  <w:style w:type="paragraph" w:customStyle="1" w:styleId="2919">
    <w:name w:val="第三章表序"/>
    <w:basedOn w:val="1"/>
    <w:qFormat/>
    <w:uiPriority w:val="99"/>
    <w:pPr>
      <w:widowControl/>
      <w:numPr>
        <w:ilvl w:val="0"/>
        <w:numId w:val="98"/>
      </w:numPr>
      <w:tabs>
        <w:tab w:val="left" w:pos="840"/>
      </w:tabs>
      <w:spacing w:before="120" w:after="120" w:line="360" w:lineRule="auto"/>
      <w:ind w:firstLine="0"/>
      <w:jc w:val="center"/>
    </w:pPr>
    <w:rPr>
      <w:rFonts w:ascii="宋体" w:hAnsi="宋体" w:eastAsia="宋体" w:cs="宋体"/>
      <w:kern w:val="0"/>
      <w:szCs w:val="24"/>
    </w:rPr>
  </w:style>
  <w:style w:type="paragraph" w:customStyle="1" w:styleId="2920">
    <w:name w:val="第五章图序"/>
    <w:basedOn w:val="1"/>
    <w:qFormat/>
    <w:uiPriority w:val="99"/>
    <w:pPr>
      <w:widowControl/>
      <w:tabs>
        <w:tab w:val="left" w:pos="840"/>
      </w:tabs>
      <w:spacing w:before="120" w:after="240" w:line="360" w:lineRule="auto"/>
      <w:jc w:val="center"/>
    </w:pPr>
    <w:rPr>
      <w:rFonts w:ascii="宋体" w:hAnsi="宋体" w:eastAsia="宋体" w:cs="宋体"/>
      <w:b/>
      <w:kern w:val="0"/>
      <w:szCs w:val="24"/>
    </w:rPr>
  </w:style>
  <w:style w:type="paragraph" w:customStyle="1" w:styleId="2921">
    <w:name w:val="ljy05"/>
    <w:basedOn w:val="14"/>
    <w:qFormat/>
    <w:uiPriority w:val="99"/>
    <w:pPr>
      <w:widowControl/>
      <w:numPr>
        <w:ilvl w:val="0"/>
        <w:numId w:val="0"/>
      </w:numPr>
      <w:spacing w:before="280" w:after="290" w:line="374" w:lineRule="auto"/>
      <w:ind w:left="3259" w:hanging="850"/>
    </w:pPr>
    <w:rPr>
      <w:rFonts w:ascii="Cambria" w:hAnsi="Cambria" w:cs="宋体"/>
      <w:kern w:val="0"/>
      <w:sz w:val="28"/>
      <w:szCs w:val="28"/>
    </w:rPr>
  </w:style>
  <w:style w:type="paragraph" w:customStyle="1" w:styleId="2922">
    <w:name w:val="作者"/>
    <w:basedOn w:val="1"/>
    <w:qFormat/>
    <w:uiPriority w:val="99"/>
    <w:pPr>
      <w:widowControl/>
      <w:spacing w:line="360" w:lineRule="auto"/>
      <w:jc w:val="center"/>
    </w:pPr>
    <w:rPr>
      <w:rFonts w:ascii="宋体" w:hAnsi="宋体" w:eastAsia="宋体" w:cs="Angsana New"/>
      <w:kern w:val="0"/>
      <w:szCs w:val="24"/>
    </w:rPr>
  </w:style>
  <w:style w:type="character" w:customStyle="1" w:styleId="2923">
    <w:name w:val="z-窗体底端 Char"/>
    <w:qFormat/>
    <w:locked/>
    <w:uiPriority w:val="0"/>
    <w:rPr>
      <w:rFonts w:ascii="Arial" w:hAnsi="Arial" w:cs="Arial"/>
      <w:vanish/>
      <w:sz w:val="16"/>
      <w:szCs w:val="16"/>
    </w:rPr>
  </w:style>
  <w:style w:type="character" w:customStyle="1" w:styleId="2924">
    <w:name w:val="S表格文字 Char1"/>
    <w:link w:val="2925"/>
    <w:qFormat/>
    <w:locked/>
    <w:uiPriority w:val="0"/>
    <w:rPr>
      <w:rFonts w:ascii="宋体" w:hAnsi="宋体"/>
      <w:sz w:val="18"/>
      <w:szCs w:val="18"/>
    </w:rPr>
  </w:style>
  <w:style w:type="paragraph" w:customStyle="1" w:styleId="2925">
    <w:name w:val="S表格文字"/>
    <w:basedOn w:val="221"/>
    <w:link w:val="2924"/>
    <w:qFormat/>
    <w:uiPriority w:val="0"/>
    <w:pPr>
      <w:jc w:val="center"/>
    </w:pPr>
    <w:rPr>
      <w:rFonts w:ascii="宋体" w:hAnsi="宋体" w:eastAsia="宋体" w:cs="Times New Roman"/>
      <w:kern w:val="0"/>
      <w:sz w:val="18"/>
      <w:szCs w:val="18"/>
    </w:rPr>
  </w:style>
  <w:style w:type="character" w:customStyle="1" w:styleId="2926">
    <w:name w:val="S表内 Char"/>
    <w:link w:val="2927"/>
    <w:qFormat/>
    <w:locked/>
    <w:uiPriority w:val="0"/>
  </w:style>
  <w:style w:type="paragraph" w:customStyle="1" w:styleId="2927">
    <w:name w:val="S表内"/>
    <w:basedOn w:val="2925"/>
    <w:link w:val="2926"/>
    <w:qFormat/>
    <w:uiPriority w:val="0"/>
    <w:pPr>
      <w:jc w:val="left"/>
    </w:pPr>
    <w:rPr>
      <w:rFonts w:ascii="Times New Roman" w:hAnsi="Times New Roman"/>
      <w:sz w:val="20"/>
      <w:szCs w:val="20"/>
    </w:rPr>
  </w:style>
  <w:style w:type="paragraph" w:customStyle="1" w:styleId="2928">
    <w:name w:val="样式 标题 8表"/>
    <w:basedOn w:val="17"/>
    <w:qFormat/>
    <w:uiPriority w:val="99"/>
    <w:pPr>
      <w:keepNext w:val="0"/>
      <w:widowControl/>
      <w:numPr>
        <w:ilvl w:val="0"/>
        <w:numId w:val="0"/>
      </w:numPr>
      <w:spacing w:before="0" w:after="0" w:line="240" w:lineRule="auto"/>
      <w:jc w:val="center"/>
    </w:pPr>
    <w:rPr>
      <w:rFonts w:ascii="宋体" w:hAnsi="宋体" w:cs="宋体"/>
      <w:b/>
      <w:bCs/>
      <w:color w:val="000000"/>
      <w:kern w:val="0"/>
      <w:szCs w:val="21"/>
    </w:rPr>
  </w:style>
  <w:style w:type="character" w:customStyle="1" w:styleId="2929">
    <w:name w:val="FC正文 Char"/>
    <w:link w:val="2930"/>
    <w:qFormat/>
    <w:locked/>
    <w:uiPriority w:val="0"/>
    <w:rPr>
      <w:rFonts w:ascii="宋体" w:hAnsi="宋体" w:cs="宋体"/>
      <w:kern w:val="2"/>
      <w:sz w:val="24"/>
      <w:szCs w:val="21"/>
    </w:rPr>
  </w:style>
  <w:style w:type="paragraph" w:customStyle="1" w:styleId="2930">
    <w:name w:val="FC正文"/>
    <w:basedOn w:val="1"/>
    <w:link w:val="2929"/>
    <w:qFormat/>
    <w:uiPriority w:val="0"/>
    <w:pPr>
      <w:widowControl/>
      <w:snapToGrid w:val="0"/>
      <w:spacing w:beforeLines="50" w:line="360" w:lineRule="auto"/>
      <w:contextualSpacing/>
    </w:pPr>
    <w:rPr>
      <w:rFonts w:ascii="宋体" w:hAnsi="宋体" w:eastAsia="宋体" w:cs="宋体"/>
      <w:sz w:val="24"/>
      <w:szCs w:val="21"/>
    </w:rPr>
  </w:style>
  <w:style w:type="paragraph" w:customStyle="1" w:styleId="2931">
    <w:name w:val="样式 标题 3标题 3 Char Char标题 3 Char Char Char Char Char标题 31标题 3 ..."/>
    <w:basedOn w:val="7"/>
    <w:qFormat/>
    <w:uiPriority w:val="99"/>
    <w:pPr>
      <w:keepNext/>
      <w:keepLines/>
      <w:widowControl/>
      <w:numPr>
        <w:numId w:val="99"/>
      </w:numPr>
      <w:tabs>
        <w:tab w:val="left" w:pos="0"/>
        <w:tab w:val="left" w:pos="980"/>
      </w:tabs>
      <w:spacing w:before="260" w:after="120" w:line="360" w:lineRule="auto"/>
      <w:ind w:left="420" w:hanging="420"/>
    </w:pPr>
    <w:rPr>
      <w:rFonts w:ascii="黑体" w:hAnsi="黑体" w:eastAsia="黑体" w:cs="宋体"/>
      <w:color w:val="171717"/>
      <w:kern w:val="0"/>
      <w:sz w:val="32"/>
      <w:szCs w:val="28"/>
    </w:rPr>
  </w:style>
  <w:style w:type="paragraph" w:customStyle="1" w:styleId="2932">
    <w:name w:val="ordinary-output"/>
    <w:basedOn w:val="1"/>
    <w:qFormat/>
    <w:uiPriority w:val="99"/>
    <w:pPr>
      <w:widowControl/>
      <w:adjustRightInd w:val="0"/>
      <w:snapToGrid w:val="0"/>
      <w:spacing w:before="100" w:beforeAutospacing="1" w:after="75" w:line="330" w:lineRule="atLeast"/>
      <w:jc w:val="left"/>
    </w:pPr>
    <w:rPr>
      <w:rFonts w:ascii="宋体" w:hAnsi="宋体" w:eastAsia="宋体" w:cs="宋体"/>
      <w:color w:val="333333"/>
      <w:kern w:val="0"/>
      <w:szCs w:val="24"/>
    </w:rPr>
  </w:style>
  <w:style w:type="character" w:customStyle="1" w:styleId="2933">
    <w:name w:val="明显参考21"/>
    <w:qFormat/>
    <w:uiPriority w:val="32"/>
    <w:rPr>
      <w:rFonts w:hint="default" w:ascii="Times New Roman" w:hAnsi="Times New Roman" w:eastAsia="宋体" w:cs="Times New Roman"/>
      <w:b/>
      <w:bCs/>
      <w:smallCaps/>
      <w:color w:val="4472C4"/>
      <w:spacing w:val="5"/>
    </w:rPr>
  </w:style>
  <w:style w:type="character" w:customStyle="1" w:styleId="2934">
    <w:name w:val="font101"/>
    <w:qFormat/>
    <w:uiPriority w:val="0"/>
    <w:rPr>
      <w:rFonts w:hint="eastAsia" w:ascii="宋体" w:hAnsi="宋体" w:eastAsia="宋体" w:cs="宋体"/>
      <w:color w:val="000000"/>
      <w:sz w:val="22"/>
      <w:szCs w:val="22"/>
      <w:u w:val="none"/>
    </w:rPr>
  </w:style>
  <w:style w:type="paragraph" w:customStyle="1" w:styleId="2935">
    <w:name w:val="正文（1）"/>
    <w:basedOn w:val="1"/>
    <w:link w:val="2936"/>
    <w:qFormat/>
    <w:uiPriority w:val="0"/>
    <w:pPr>
      <w:spacing w:line="360" w:lineRule="auto"/>
      <w:ind w:left="420"/>
    </w:pPr>
    <w:rPr>
      <w:rFonts w:ascii="Times New Roman" w:hAnsi="Times New Roman" w:eastAsia="宋体" w:cs="Times New Roman"/>
      <w:sz w:val="24"/>
      <w:szCs w:val="21"/>
    </w:rPr>
  </w:style>
  <w:style w:type="character" w:customStyle="1" w:styleId="2936">
    <w:name w:val="正文（1） Char"/>
    <w:link w:val="2935"/>
    <w:qFormat/>
    <w:uiPriority w:val="0"/>
    <w:rPr>
      <w:kern w:val="2"/>
      <w:sz w:val="24"/>
      <w:szCs w:val="21"/>
    </w:rPr>
  </w:style>
  <w:style w:type="paragraph" w:customStyle="1" w:styleId="2937">
    <w:name w:val="样式 首行缩进:  0 字符"/>
    <w:basedOn w:val="1"/>
    <w:link w:val="2938"/>
    <w:qFormat/>
    <w:uiPriority w:val="0"/>
    <w:pPr>
      <w:spacing w:line="360" w:lineRule="auto"/>
      <w:ind w:firstLine="200" w:firstLineChars="200"/>
    </w:pPr>
    <w:rPr>
      <w:rFonts w:ascii="Times New Roman" w:hAnsi="Times New Roman" w:eastAsia="宋体" w:cs="Times New Roman"/>
      <w:sz w:val="24"/>
      <w:szCs w:val="21"/>
    </w:rPr>
  </w:style>
  <w:style w:type="character" w:customStyle="1" w:styleId="2938">
    <w:name w:val="样式 首行缩进:  0 字符 Char"/>
    <w:link w:val="2937"/>
    <w:qFormat/>
    <w:uiPriority w:val="0"/>
    <w:rPr>
      <w:kern w:val="2"/>
      <w:sz w:val="24"/>
      <w:szCs w:val="21"/>
    </w:rPr>
  </w:style>
  <w:style w:type="paragraph" w:customStyle="1" w:styleId="2939">
    <w:name w:val="正文1）"/>
    <w:basedOn w:val="1485"/>
    <w:link w:val="2940"/>
    <w:qFormat/>
    <w:uiPriority w:val="0"/>
    <w:pPr>
      <w:numPr>
        <w:ilvl w:val="0"/>
        <w:numId w:val="100"/>
      </w:numPr>
      <w:tabs>
        <w:tab w:val="left" w:pos="0"/>
      </w:tabs>
      <w:jc w:val="left"/>
    </w:pPr>
    <w:rPr>
      <w:rFonts w:ascii="Arial" w:hAnsi="Arial" w:eastAsia="微软雅黑" w:cs="宋体"/>
      <w:sz w:val="24"/>
      <w:szCs w:val="20"/>
    </w:rPr>
  </w:style>
  <w:style w:type="character" w:customStyle="1" w:styleId="2940">
    <w:name w:val="正文1） Char"/>
    <w:link w:val="2939"/>
    <w:qFormat/>
    <w:uiPriority w:val="0"/>
    <w:rPr>
      <w:rFonts w:ascii="Arial" w:hAnsi="Arial" w:eastAsia="微软雅黑" w:cs="宋体"/>
      <w:kern w:val="2"/>
      <w:sz w:val="24"/>
    </w:rPr>
  </w:style>
  <w:style w:type="paragraph" w:customStyle="1" w:styleId="2941">
    <w:name w:val="CM51"/>
    <w:basedOn w:val="1384"/>
    <w:next w:val="1384"/>
    <w:qFormat/>
    <w:uiPriority w:val="0"/>
    <w:pPr>
      <w:spacing w:after="103"/>
    </w:pPr>
    <w:rPr>
      <w:rFonts w:ascii="黑体" w:eastAsia="黑体" w:cs="Times New Roman"/>
      <w:color w:val="auto"/>
      <w:kern w:val="2"/>
    </w:rPr>
  </w:style>
  <w:style w:type="paragraph" w:customStyle="1" w:styleId="2942">
    <w:name w:val="编号，小四"/>
    <w:basedOn w:val="1"/>
    <w:link w:val="2943"/>
    <w:qFormat/>
    <w:uiPriority w:val="0"/>
    <w:pPr>
      <w:spacing w:line="360" w:lineRule="auto"/>
    </w:pPr>
    <w:rPr>
      <w:rFonts w:ascii="Arial" w:hAnsi="Arial" w:eastAsia="宋体" w:cs="宋体"/>
      <w:sz w:val="24"/>
      <w:szCs w:val="20"/>
    </w:rPr>
  </w:style>
  <w:style w:type="character" w:customStyle="1" w:styleId="2943">
    <w:name w:val="编号，小四 Char"/>
    <w:link w:val="2942"/>
    <w:qFormat/>
    <w:uiPriority w:val="0"/>
    <w:rPr>
      <w:rFonts w:ascii="Arial" w:hAnsi="Arial" w:cs="宋体"/>
      <w:kern w:val="2"/>
      <w:sz w:val="24"/>
    </w:rPr>
  </w:style>
  <w:style w:type="paragraph" w:customStyle="1" w:styleId="2944">
    <w:name w:val="样式 标题 7 +"/>
    <w:basedOn w:val="16"/>
    <w:qFormat/>
    <w:uiPriority w:val="0"/>
    <w:pPr>
      <w:widowControl/>
      <w:numPr>
        <w:ilvl w:val="0"/>
        <w:numId w:val="0"/>
      </w:numPr>
      <w:tabs>
        <w:tab w:val="left" w:pos="1701"/>
      </w:tabs>
      <w:spacing w:before="120" w:line="319" w:lineRule="auto"/>
      <w:jc w:val="center"/>
    </w:pPr>
    <w:rPr>
      <w:rFonts w:ascii="Arial" w:hAnsi="Arial" w:cs="宋体"/>
      <w:b w:val="0"/>
      <w:bCs w:val="0"/>
      <w:color w:val="171717"/>
      <w:kern w:val="0"/>
      <w:lang w:eastAsia="en-US"/>
    </w:rPr>
  </w:style>
  <w:style w:type="paragraph" w:customStyle="1" w:styleId="2945">
    <w:name w:val="正文黑体"/>
    <w:basedOn w:val="2937"/>
    <w:qFormat/>
    <w:uiPriority w:val="0"/>
    <w:pPr>
      <w:ind w:firstLine="480"/>
    </w:pPr>
    <w:rPr>
      <w:rFonts w:ascii="黑体" w:hAnsi="黑体" w:eastAsia="黑体" w:cs="宋体"/>
      <w:szCs w:val="20"/>
    </w:rPr>
  </w:style>
  <w:style w:type="paragraph" w:customStyle="1" w:styleId="2946">
    <w:name w:val="样式 标题6 + 左"/>
    <w:basedOn w:val="17"/>
    <w:qFormat/>
    <w:uiPriority w:val="0"/>
    <w:pPr>
      <w:numPr>
        <w:ilvl w:val="0"/>
        <w:numId w:val="0"/>
      </w:numPr>
      <w:spacing w:line="319" w:lineRule="auto"/>
      <w:jc w:val="left"/>
      <w:outlineLvl w:val="5"/>
    </w:pPr>
    <w:rPr>
      <w:rFonts w:ascii="Arial" w:hAnsi="Arial" w:eastAsia="黑体" w:cs="宋体"/>
      <w:b/>
      <w:bCs/>
      <w:szCs w:val="20"/>
    </w:rPr>
  </w:style>
  <w:style w:type="paragraph" w:customStyle="1" w:styleId="2947">
    <w:name w:val="样式 标题 8 + 左"/>
    <w:basedOn w:val="17"/>
    <w:qFormat/>
    <w:uiPriority w:val="0"/>
    <w:pPr>
      <w:numPr>
        <w:ilvl w:val="0"/>
        <w:numId w:val="0"/>
      </w:numPr>
      <w:spacing w:line="319" w:lineRule="auto"/>
      <w:jc w:val="left"/>
    </w:pPr>
    <w:rPr>
      <w:rFonts w:cs="宋体"/>
      <w:szCs w:val="20"/>
      <w:lang w:eastAsia="en-US"/>
    </w:rPr>
  </w:style>
  <w:style w:type="paragraph" w:customStyle="1" w:styleId="2948">
    <w:name w:val="样式 标题8 + 段前: 0.5 行 段后: 0.5 行"/>
    <w:basedOn w:val="1950"/>
    <w:next w:val="1"/>
    <w:qFormat/>
    <w:uiPriority w:val="0"/>
    <w:pPr>
      <w:tabs>
        <w:tab w:val="left" w:pos="0"/>
      </w:tabs>
      <w:spacing w:before="240" w:beforeLines="50" w:after="64" w:afterLines="50"/>
      <w:ind w:left="0" w:firstLine="0"/>
      <w:jc w:val="left"/>
    </w:pPr>
    <w:rPr>
      <w:rFonts w:ascii="Arial" w:hAnsi="Arial" w:eastAsia="黑体" w:cs="宋体"/>
      <w:b w:val="0"/>
      <w:sz w:val="21"/>
      <w:szCs w:val="20"/>
    </w:rPr>
  </w:style>
  <w:style w:type="paragraph" w:customStyle="1" w:styleId="2949">
    <w:name w:val="样式 标题 8 +"/>
    <w:basedOn w:val="17"/>
    <w:qFormat/>
    <w:uiPriority w:val="0"/>
    <w:pPr>
      <w:numPr>
        <w:ilvl w:val="0"/>
        <w:numId w:val="0"/>
      </w:numPr>
      <w:spacing w:line="319" w:lineRule="auto"/>
      <w:jc w:val="left"/>
    </w:pPr>
    <w:rPr>
      <w:lang w:eastAsia="en-US"/>
    </w:rPr>
  </w:style>
  <w:style w:type="paragraph" w:customStyle="1" w:styleId="2950">
    <w:name w:val="样式 标题 9 +"/>
    <w:basedOn w:val="1951"/>
    <w:qFormat/>
    <w:uiPriority w:val="0"/>
    <w:pPr>
      <w:numPr>
        <w:ilvl w:val="0"/>
        <w:numId w:val="0"/>
      </w:numPr>
    </w:pPr>
    <w:rPr>
      <w:rFonts w:ascii="Cambria" w:hAnsi="Cambria"/>
      <w:b w:val="0"/>
      <w:sz w:val="21"/>
      <w:lang w:eastAsia="en-US"/>
    </w:rPr>
  </w:style>
  <w:style w:type="character" w:customStyle="1" w:styleId="2951">
    <w:name w:val="标题4 Char"/>
    <w:qFormat/>
    <w:uiPriority w:val="0"/>
    <w:rPr>
      <w:kern w:val="2"/>
      <w:sz w:val="24"/>
      <w:szCs w:val="24"/>
    </w:rPr>
  </w:style>
  <w:style w:type="paragraph" w:customStyle="1" w:styleId="2952">
    <w:name w:val="编号，四号"/>
    <w:basedOn w:val="2942"/>
    <w:qFormat/>
    <w:uiPriority w:val="0"/>
    <w:pPr>
      <w:numPr>
        <w:ilvl w:val="0"/>
        <w:numId w:val="101"/>
      </w:numPr>
      <w:tabs>
        <w:tab w:val="left" w:pos="425"/>
        <w:tab w:val="left" w:pos="620"/>
        <w:tab w:val="left" w:pos="720"/>
      </w:tabs>
      <w:ind w:left="839" w:hanging="420"/>
    </w:pPr>
    <w:rPr>
      <w:rFonts w:ascii="Verdana" w:hAnsi="Verdana"/>
      <w:sz w:val="28"/>
    </w:rPr>
  </w:style>
  <w:style w:type="paragraph" w:customStyle="1" w:styleId="2953">
    <w:name w:val="GP正文(无首行缩进)"/>
    <w:basedOn w:val="1"/>
    <w:qFormat/>
    <w:uiPriority w:val="0"/>
    <w:pPr>
      <w:spacing w:line="360" w:lineRule="auto"/>
      <w:ind w:firstLine="200" w:firstLineChars="200"/>
      <w:jc w:val="left"/>
    </w:pPr>
    <w:rPr>
      <w:rFonts w:ascii="Arial" w:hAnsi="宋体" w:eastAsia="宋体" w:cs="宋体"/>
      <w:sz w:val="24"/>
      <w:szCs w:val="20"/>
    </w:rPr>
  </w:style>
  <w:style w:type="character" w:customStyle="1" w:styleId="2954">
    <w:name w:val="3级标题 Char"/>
    <w:link w:val="611"/>
    <w:qFormat/>
    <w:uiPriority w:val="0"/>
    <w:rPr>
      <w:rFonts w:ascii="宋体" w:eastAsia="仿宋"/>
      <w:b/>
      <w:sz w:val="28"/>
    </w:rPr>
  </w:style>
  <w:style w:type="paragraph" w:customStyle="1" w:styleId="2955">
    <w:name w:val="列表格式"/>
    <w:basedOn w:val="21"/>
    <w:link w:val="2956"/>
    <w:qFormat/>
    <w:uiPriority w:val="0"/>
    <w:pPr>
      <w:numPr>
        <w:numId w:val="0"/>
      </w:numPr>
      <w:tabs>
        <w:tab w:val="left" w:pos="360"/>
        <w:tab w:val="clear" w:pos="780"/>
      </w:tabs>
      <w:jc w:val="left"/>
    </w:pPr>
    <w:rPr>
      <w:rFonts w:ascii="Times New Roman" w:hAnsi="Times New Roman"/>
      <w:sz w:val="24"/>
      <w:szCs w:val="24"/>
    </w:rPr>
  </w:style>
  <w:style w:type="character" w:customStyle="1" w:styleId="2956">
    <w:name w:val="列表格式 Char"/>
    <w:link w:val="2955"/>
    <w:qFormat/>
    <w:uiPriority w:val="0"/>
    <w:rPr>
      <w:kern w:val="2"/>
      <w:sz w:val="24"/>
      <w:szCs w:val="24"/>
    </w:rPr>
  </w:style>
  <w:style w:type="paragraph" w:customStyle="1" w:styleId="2957">
    <w:name w:val="表正文1"/>
    <w:basedOn w:val="1"/>
    <w:next w:val="28"/>
    <w:qFormat/>
    <w:uiPriority w:val="0"/>
    <w:pPr>
      <w:widowControl/>
      <w:adjustRightInd w:val="0"/>
      <w:snapToGrid w:val="0"/>
      <w:spacing w:line="360" w:lineRule="auto"/>
      <w:ind w:firstLine="200" w:firstLineChars="200"/>
    </w:pPr>
    <w:rPr>
      <w:rFonts w:ascii="等线" w:hAnsi="华文细黑" w:eastAsia="等线" w:cs="Times New Roman"/>
      <w:kern w:val="0"/>
      <w:sz w:val="24"/>
      <w:szCs w:val="24"/>
    </w:rPr>
  </w:style>
  <w:style w:type="paragraph" w:customStyle="1" w:styleId="2958">
    <w:name w:val="符号样式"/>
    <w:basedOn w:val="2942"/>
    <w:link w:val="2959"/>
    <w:qFormat/>
    <w:uiPriority w:val="0"/>
    <w:pPr>
      <w:numPr>
        <w:ilvl w:val="0"/>
        <w:numId w:val="102"/>
      </w:numPr>
      <w:ind w:left="0" w:firstLine="200"/>
      <w:jc w:val="left"/>
    </w:pPr>
  </w:style>
  <w:style w:type="character" w:customStyle="1" w:styleId="2959">
    <w:name w:val="符号样式 Char"/>
    <w:link w:val="2958"/>
    <w:qFormat/>
    <w:uiPriority w:val="0"/>
    <w:rPr>
      <w:rFonts w:ascii="Arial" w:hAnsi="Arial" w:cs="宋体"/>
      <w:kern w:val="2"/>
      <w:sz w:val="24"/>
    </w:rPr>
  </w:style>
  <w:style w:type="paragraph" w:customStyle="1" w:styleId="2960">
    <w:name w:val="尖角符号样式"/>
    <w:basedOn w:val="2958"/>
    <w:link w:val="2961"/>
    <w:qFormat/>
    <w:uiPriority w:val="0"/>
    <w:pPr>
      <w:ind w:left="420" w:firstLine="0"/>
    </w:pPr>
  </w:style>
  <w:style w:type="character" w:customStyle="1" w:styleId="2961">
    <w:name w:val="尖角符号样式 Char"/>
    <w:link w:val="2960"/>
    <w:qFormat/>
    <w:uiPriority w:val="0"/>
    <w:rPr>
      <w:rFonts w:ascii="Arial" w:hAnsi="Arial" w:cs="宋体"/>
      <w:kern w:val="2"/>
      <w:sz w:val="24"/>
    </w:rPr>
  </w:style>
  <w:style w:type="character" w:customStyle="1" w:styleId="2962">
    <w:name w:val="No Spacing Char"/>
    <w:qFormat/>
    <w:uiPriority w:val="1"/>
    <w:rPr>
      <w:rFonts w:ascii="等线" w:hAnsi="等线" w:eastAsia="仿宋" w:cs="Times New Roman"/>
      <w:sz w:val="24"/>
    </w:rPr>
  </w:style>
  <w:style w:type="paragraph" w:customStyle="1" w:styleId="2963">
    <w:name w:val="样式 标题9 +"/>
    <w:basedOn w:val="1951"/>
    <w:qFormat/>
    <w:uiPriority w:val="0"/>
    <w:pPr>
      <w:numPr>
        <w:ilvl w:val="0"/>
        <w:numId w:val="0"/>
      </w:numPr>
      <w:ind w:left="3360" w:hanging="420"/>
    </w:pPr>
    <w:rPr>
      <w:rFonts w:ascii="Cambria" w:hAnsi="Cambria" w:eastAsia="黑体"/>
      <w:b w:val="0"/>
      <w:sz w:val="21"/>
      <w:lang w:eastAsia="en-US"/>
    </w:rPr>
  </w:style>
  <w:style w:type="paragraph" w:customStyle="1" w:styleId="2964">
    <w:name w:val="a 正文"/>
    <w:basedOn w:val="1"/>
    <w:link w:val="2965"/>
    <w:qFormat/>
    <w:uiPriority w:val="0"/>
    <w:pPr>
      <w:snapToGrid w:val="0"/>
      <w:spacing w:line="360" w:lineRule="auto"/>
      <w:ind w:firstLine="200" w:firstLineChars="200"/>
      <w:jc w:val="left"/>
    </w:pPr>
    <w:rPr>
      <w:rFonts w:ascii="宋体" w:hAnsi="宋体" w:eastAsia="宋体" w:cs="Times New Roman"/>
      <w:sz w:val="24"/>
      <w:szCs w:val="24"/>
    </w:rPr>
  </w:style>
  <w:style w:type="character" w:customStyle="1" w:styleId="2965">
    <w:name w:val="a 正文 Char"/>
    <w:link w:val="2964"/>
    <w:qFormat/>
    <w:uiPriority w:val="0"/>
    <w:rPr>
      <w:rFonts w:ascii="宋体" w:hAnsi="宋体"/>
      <w:kern w:val="2"/>
      <w:sz w:val="24"/>
      <w:szCs w:val="24"/>
    </w:rPr>
  </w:style>
  <w:style w:type="paragraph" w:customStyle="1" w:styleId="2966">
    <w:name w:val="图片编号"/>
    <w:basedOn w:val="175"/>
    <w:link w:val="2967"/>
    <w:qFormat/>
    <w:uiPriority w:val="0"/>
    <w:pPr>
      <w:numPr>
        <w:ilvl w:val="0"/>
        <w:numId w:val="103"/>
      </w:numPr>
      <w:spacing w:line="360" w:lineRule="auto"/>
      <w:ind w:left="0" w:firstLine="0" w:firstLineChars="0"/>
      <w:jc w:val="center"/>
    </w:pPr>
    <w:rPr>
      <w:rFonts w:ascii="Arial" w:hAnsi="Arial" w:eastAsia="宋体" w:cs="宋体"/>
      <w:szCs w:val="20"/>
    </w:rPr>
  </w:style>
  <w:style w:type="character" w:customStyle="1" w:styleId="2967">
    <w:name w:val="图片编号 Char"/>
    <w:link w:val="2966"/>
    <w:qFormat/>
    <w:uiPriority w:val="0"/>
    <w:rPr>
      <w:rFonts w:ascii="Arial" w:hAnsi="Arial" w:cs="宋体"/>
      <w:kern w:val="2"/>
      <w:sz w:val="21"/>
    </w:rPr>
  </w:style>
  <w:style w:type="paragraph" w:customStyle="1" w:styleId="2968">
    <w:name w:val="样式 题注图片信息主题题注(图注)题注(图注) + 居中BB题注 Char Char Char Char题注 Ch..."/>
    <w:basedOn w:val="29"/>
    <w:qFormat/>
    <w:uiPriority w:val="0"/>
    <w:pPr>
      <w:spacing w:before="0"/>
    </w:pPr>
    <w:rPr>
      <w:rFonts w:ascii="Arial Unicode MS" w:hAnsi="Arial Unicode MS" w:eastAsia="宋体" w:cs="宋体"/>
      <w:sz w:val="21"/>
    </w:rPr>
  </w:style>
  <w:style w:type="paragraph" w:customStyle="1" w:styleId="2969">
    <w:name w:val="样式 居中 首行缩进:  2 字符"/>
    <w:basedOn w:val="1"/>
    <w:qFormat/>
    <w:uiPriority w:val="0"/>
    <w:pPr>
      <w:spacing w:line="360" w:lineRule="auto"/>
      <w:jc w:val="center"/>
    </w:pPr>
    <w:rPr>
      <w:rFonts w:ascii="Arial" w:hAnsi="Arial" w:eastAsia="宋体" w:cs="宋体"/>
      <w:sz w:val="24"/>
      <w:szCs w:val="20"/>
    </w:rPr>
  </w:style>
  <w:style w:type="character" w:customStyle="1" w:styleId="2970">
    <w:name w:val="青海正文 Char Char"/>
    <w:link w:val="2971"/>
    <w:qFormat/>
    <w:uiPriority w:val="0"/>
    <w:rPr>
      <w:rFonts w:ascii="仿宋_GB2312" w:eastAsia="仿宋_GB2312"/>
      <w:sz w:val="28"/>
      <w:szCs w:val="28"/>
    </w:rPr>
  </w:style>
  <w:style w:type="paragraph" w:customStyle="1" w:styleId="2971">
    <w:name w:val="青海正文"/>
    <w:basedOn w:val="1"/>
    <w:link w:val="2970"/>
    <w:qFormat/>
    <w:uiPriority w:val="0"/>
    <w:pPr>
      <w:widowControl/>
      <w:ind w:firstLine="560"/>
      <w:jc w:val="left"/>
    </w:pPr>
    <w:rPr>
      <w:rFonts w:ascii="仿宋_GB2312" w:hAnsi="Times New Roman" w:eastAsia="仿宋_GB2312" w:cs="Times New Roman"/>
      <w:kern w:val="0"/>
      <w:sz w:val="28"/>
      <w:szCs w:val="28"/>
    </w:rPr>
  </w:style>
  <w:style w:type="paragraph" w:customStyle="1" w:styleId="2972">
    <w:name w:val="GP正文(首行缩进)"/>
    <w:basedOn w:val="1"/>
    <w:qFormat/>
    <w:uiPriority w:val="0"/>
    <w:pPr>
      <w:spacing w:line="440" w:lineRule="exact"/>
      <w:ind w:firstLine="200" w:firstLineChars="200"/>
      <w:jc w:val="left"/>
    </w:pPr>
    <w:rPr>
      <w:rFonts w:ascii="Times New Roman" w:hAnsi="Times New Roman" w:eastAsia="宋体" w:cs="Times New Roman"/>
      <w:sz w:val="24"/>
      <w:szCs w:val="21"/>
    </w:rPr>
  </w:style>
  <w:style w:type="paragraph" w:customStyle="1" w:styleId="2973">
    <w:name w:val="QB前言正文"/>
    <w:basedOn w:val="1"/>
    <w:qFormat/>
    <w:uiPriority w:val="0"/>
    <w:pPr>
      <w:widowControl/>
      <w:autoSpaceDE w:val="0"/>
      <w:autoSpaceDN w:val="0"/>
      <w:spacing w:line="360" w:lineRule="auto"/>
      <w:ind w:firstLine="200" w:firstLineChars="200"/>
    </w:pPr>
    <w:rPr>
      <w:rFonts w:ascii="宋体" w:hAnsi="Times New Roman" w:eastAsia="宋体" w:cs="Times New Roman"/>
      <w:kern w:val="0"/>
      <w:sz w:val="24"/>
      <w:szCs w:val="24"/>
    </w:rPr>
  </w:style>
  <w:style w:type="character" w:customStyle="1" w:styleId="2974">
    <w:name w:val="题注 Char2"/>
    <w:qFormat/>
    <w:uiPriority w:val="0"/>
    <w:rPr>
      <w:rFonts w:ascii="Arial Unicode MS" w:hAnsi="Arial Unicode MS"/>
      <w:kern w:val="2"/>
      <w:sz w:val="21"/>
    </w:rPr>
  </w:style>
  <w:style w:type="character" w:customStyle="1" w:styleId="2975">
    <w:name w:val="456 Char"/>
    <w:link w:val="2976"/>
    <w:qFormat/>
    <w:uiPriority w:val="0"/>
    <w:rPr>
      <w:rFonts w:ascii="宋体" w:hAnsi="宋体"/>
      <w:sz w:val="24"/>
      <w:szCs w:val="24"/>
    </w:rPr>
  </w:style>
  <w:style w:type="paragraph" w:customStyle="1" w:styleId="2976">
    <w:name w:val="456"/>
    <w:basedOn w:val="1"/>
    <w:link w:val="2975"/>
    <w:qFormat/>
    <w:uiPriority w:val="0"/>
    <w:pPr>
      <w:spacing w:line="360" w:lineRule="auto"/>
      <w:ind w:firstLine="480" w:firstLineChars="200"/>
    </w:pPr>
    <w:rPr>
      <w:rFonts w:ascii="宋体" w:hAnsi="宋体" w:eastAsia="宋体" w:cs="Times New Roman"/>
      <w:kern w:val="0"/>
      <w:sz w:val="24"/>
      <w:szCs w:val="24"/>
    </w:rPr>
  </w:style>
  <w:style w:type="character" w:customStyle="1" w:styleId="2977">
    <w:name w:val="编号，小四 字符"/>
    <w:qFormat/>
    <w:uiPriority w:val="0"/>
    <w:rPr>
      <w:rFonts w:ascii="Arial" w:hAnsi="Arial" w:eastAsia="宋体" w:cs="宋体"/>
      <w:sz w:val="24"/>
      <w:szCs w:val="20"/>
    </w:rPr>
  </w:style>
  <w:style w:type="paragraph" w:customStyle="1" w:styleId="2978">
    <w:name w:val="图片序号"/>
    <w:basedOn w:val="1"/>
    <w:link w:val="2979"/>
    <w:qFormat/>
    <w:uiPriority w:val="0"/>
    <w:pPr>
      <w:numPr>
        <w:ilvl w:val="0"/>
        <w:numId w:val="104"/>
      </w:numPr>
      <w:spacing w:line="360" w:lineRule="auto"/>
      <w:ind w:firstLine="0"/>
      <w:jc w:val="center"/>
    </w:pPr>
    <w:rPr>
      <w:rFonts w:ascii="等线" w:hAnsi="等线" w:eastAsia="宋体" w:cs="Times New Roman"/>
      <w:szCs w:val="21"/>
    </w:rPr>
  </w:style>
  <w:style w:type="character" w:customStyle="1" w:styleId="2979">
    <w:name w:val="图片序号 Char"/>
    <w:link w:val="2978"/>
    <w:qFormat/>
    <w:uiPriority w:val="0"/>
    <w:rPr>
      <w:rFonts w:ascii="等线" w:hAnsi="等线"/>
      <w:kern w:val="2"/>
      <w:sz w:val="21"/>
      <w:szCs w:val="21"/>
    </w:rPr>
  </w:style>
  <w:style w:type="paragraph" w:customStyle="1" w:styleId="2980">
    <w:name w:val="正文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2981">
    <w:name w:val="样式2 字符"/>
    <w:qFormat/>
    <w:uiPriority w:val="0"/>
    <w:rPr>
      <w:rFonts w:ascii="宋体" w:hAnsi="宋体" w:cs="宋体"/>
      <w:sz w:val="24"/>
      <w:szCs w:val="24"/>
    </w:rPr>
  </w:style>
  <w:style w:type="character" w:customStyle="1" w:styleId="2982">
    <w:name w:val="表格内容 Char Char"/>
    <w:qFormat/>
    <w:uiPriority w:val="0"/>
    <w:rPr>
      <w:sz w:val="21"/>
    </w:rPr>
  </w:style>
  <w:style w:type="paragraph" w:customStyle="1" w:styleId="2983">
    <w:name w:val="H2 Text"/>
    <w:basedOn w:val="1"/>
    <w:qFormat/>
    <w:uiPriority w:val="0"/>
    <w:pPr>
      <w:widowControl/>
      <w:tabs>
        <w:tab w:val="left" w:pos="1080"/>
        <w:tab w:val="left" w:pos="1170"/>
      </w:tabs>
      <w:spacing w:after="60"/>
      <w:ind w:left="810"/>
      <w:jc w:val="left"/>
    </w:pPr>
    <w:rPr>
      <w:rFonts w:ascii="Times" w:hAnsi="Times" w:eastAsia="仿宋_GB2312" w:cs="宋体"/>
      <w:kern w:val="0"/>
      <w:sz w:val="22"/>
      <w:szCs w:val="20"/>
      <w:lang w:eastAsia="en-US"/>
    </w:rPr>
  </w:style>
  <w:style w:type="paragraph" w:customStyle="1" w:styleId="2984">
    <w:name w:val="wy"/>
    <w:basedOn w:val="1"/>
    <w:link w:val="2985"/>
    <w:qFormat/>
    <w:uiPriority w:val="0"/>
    <w:pPr>
      <w:spacing w:line="360" w:lineRule="auto"/>
      <w:ind w:firstLine="200" w:firstLineChars="200"/>
    </w:pPr>
    <w:rPr>
      <w:rFonts w:ascii="宋体" w:hAnsi="宋体" w:eastAsia="宋体" w:cs="Times New Roman"/>
      <w:sz w:val="24"/>
      <w:szCs w:val="24"/>
      <w:lang w:val="zh-CN"/>
    </w:rPr>
  </w:style>
  <w:style w:type="character" w:customStyle="1" w:styleId="2985">
    <w:name w:val="wy Char"/>
    <w:link w:val="2984"/>
    <w:qFormat/>
    <w:uiPriority w:val="0"/>
    <w:rPr>
      <w:rFonts w:ascii="宋体" w:hAnsi="宋体"/>
      <w:kern w:val="2"/>
      <w:sz w:val="24"/>
      <w:szCs w:val="24"/>
      <w:lang w:val="zh-CN"/>
    </w:rPr>
  </w:style>
  <w:style w:type="character" w:customStyle="1" w:styleId="2986">
    <w:name w:val="不明显强调3"/>
    <w:qFormat/>
    <w:uiPriority w:val="19"/>
    <w:rPr>
      <w:i/>
      <w:iCs/>
      <w:color w:val="808080"/>
    </w:rPr>
  </w:style>
  <w:style w:type="character" w:customStyle="1" w:styleId="2987">
    <w:name w:val="明显强调3"/>
    <w:qFormat/>
    <w:uiPriority w:val="21"/>
    <w:rPr>
      <w:b/>
      <w:bCs/>
      <w:i/>
      <w:iCs/>
      <w:color w:val="4F81BD"/>
    </w:rPr>
  </w:style>
  <w:style w:type="character" w:customStyle="1" w:styleId="2988">
    <w:name w:val="不明显参考3"/>
    <w:qFormat/>
    <w:uiPriority w:val="31"/>
    <w:rPr>
      <w:smallCaps/>
      <w:color w:val="C0504D"/>
      <w:u w:val="single"/>
    </w:rPr>
  </w:style>
  <w:style w:type="character" w:customStyle="1" w:styleId="2989">
    <w:name w:val="明显参考3"/>
    <w:qFormat/>
    <w:uiPriority w:val="32"/>
    <w:rPr>
      <w:b/>
      <w:bCs/>
      <w:smallCaps/>
      <w:color w:val="C0504D"/>
      <w:spacing w:val="5"/>
      <w:u w:val="single"/>
    </w:rPr>
  </w:style>
  <w:style w:type="character" w:customStyle="1" w:styleId="2990">
    <w:name w:val="书籍标题3"/>
    <w:qFormat/>
    <w:uiPriority w:val="33"/>
    <w:rPr>
      <w:b/>
      <w:bCs/>
      <w:smallCaps/>
      <w:spacing w:val="5"/>
    </w:rPr>
  </w:style>
  <w:style w:type="table" w:customStyle="1" w:styleId="2991">
    <w:name w:val="标书网格型表格正文11"/>
    <w:basedOn w:val="90"/>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标书网格型表格正文2"/>
    <w:basedOn w:val="9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93">
    <w:name w:val="标书网格型表格正文12"/>
    <w:basedOn w:val="90"/>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标书网格型表格正文3"/>
    <w:basedOn w:val="9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95">
    <w:name w:val="标书网格型表格正文13"/>
    <w:basedOn w:val="90"/>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96">
    <w:name w:val="编号4"/>
    <w:basedOn w:val="1"/>
    <w:qFormat/>
    <w:uiPriority w:val="0"/>
    <w:pPr>
      <w:spacing w:line="360" w:lineRule="auto"/>
    </w:pPr>
    <w:rPr>
      <w:rFonts w:ascii="Times New Roman" w:hAnsi="Times New Roman" w:eastAsia="仿宋" w:cs="Times New Roman"/>
      <w:sz w:val="24"/>
      <w:szCs w:val="21"/>
    </w:rPr>
  </w:style>
  <w:style w:type="character" w:customStyle="1" w:styleId="2997">
    <w:name w:val="题注 Char3"/>
    <w:qFormat/>
    <w:uiPriority w:val="35"/>
    <w:rPr>
      <w:rFonts w:ascii="Times New Roman" w:hAnsi="Times New Roman"/>
      <w:b/>
      <w:kern w:val="2"/>
      <w:sz w:val="24"/>
      <w:szCs w:val="24"/>
    </w:rPr>
  </w:style>
  <w:style w:type="paragraph" w:customStyle="1" w:styleId="2998">
    <w:name w:val="样式 样式 S3 + 段前: 1 行 段后: 0.5 行 + 宋体 小四 居中 左侧:  0 厘米 首行缩进:  0 厘..."/>
    <w:basedOn w:val="1"/>
    <w:qFormat/>
    <w:uiPriority w:val="0"/>
    <w:pPr>
      <w:tabs>
        <w:tab w:val="left" w:pos="720"/>
        <w:tab w:val="left" w:pos="1620"/>
      </w:tabs>
      <w:ind w:left="720" w:hanging="720"/>
      <w:jc w:val="center"/>
      <w:outlineLvl w:val="2"/>
    </w:pPr>
    <w:rPr>
      <w:rFonts w:ascii="宋体" w:hAnsi="宋体" w:eastAsia="宋体" w:cs="Times New Roman"/>
      <w:b/>
      <w:color w:val="000000"/>
      <w:kern w:val="44"/>
      <w:szCs w:val="20"/>
    </w:rPr>
  </w:style>
  <w:style w:type="paragraph" w:customStyle="1" w:styleId="2999">
    <w:name w:val="@正文"/>
    <w:qFormat/>
    <w:uiPriority w:val="0"/>
    <w:pPr>
      <w:spacing w:line="360" w:lineRule="auto"/>
      <w:ind w:firstLine="200" w:firstLineChars="200"/>
      <w:jc w:val="both"/>
    </w:pPr>
    <w:rPr>
      <w:rFonts w:ascii="Times New Roman" w:hAnsi="Times New Roman" w:eastAsia="宋体" w:cs="Times New Roman"/>
      <w:kern w:val="2"/>
      <w:sz w:val="24"/>
      <w:lang w:val="en-US" w:eastAsia="zh-CN" w:bidi="ar-SA"/>
    </w:rPr>
  </w:style>
  <w:style w:type="paragraph" w:customStyle="1" w:styleId="3000">
    <w:name w:val="列表（编号一级）（深信服）"/>
    <w:basedOn w:val="1"/>
    <w:qFormat/>
    <w:uiPriority w:val="0"/>
    <w:pPr>
      <w:widowControl/>
      <w:numPr>
        <w:ilvl w:val="0"/>
        <w:numId w:val="105"/>
      </w:numPr>
      <w:tabs>
        <w:tab w:val="left" w:pos="420"/>
      </w:tabs>
      <w:adjustRightInd w:val="0"/>
      <w:snapToGrid w:val="0"/>
      <w:spacing w:line="360" w:lineRule="auto"/>
      <w:ind w:firstLine="0"/>
    </w:pPr>
    <w:rPr>
      <w:rFonts w:ascii="Times New Roman" w:hAnsi="Times New Roman" w:eastAsia="宋体" w:cs="Times New Roman"/>
      <w:kern w:val="0"/>
      <w:sz w:val="24"/>
      <w:szCs w:val="21"/>
    </w:rPr>
  </w:style>
  <w:style w:type="paragraph" w:customStyle="1" w:styleId="3001">
    <w:name w:val="样式29"/>
    <w:basedOn w:val="1"/>
    <w:qFormat/>
    <w:uiPriority w:val="0"/>
    <w:pPr>
      <w:widowControl/>
      <w:spacing w:line="440" w:lineRule="exact"/>
      <w:ind w:firstLine="200" w:firstLineChars="200"/>
      <w:jc w:val="left"/>
    </w:pPr>
    <w:rPr>
      <w:rFonts w:ascii="Times New Roman" w:hAnsi="Times New Roman" w:eastAsia="楷体_GB2312" w:cs="Times New Roman"/>
      <w:spacing w:val="6"/>
      <w:kern w:val="0"/>
      <w:sz w:val="24"/>
      <w:szCs w:val="20"/>
    </w:rPr>
  </w:style>
  <w:style w:type="paragraph" w:customStyle="1" w:styleId="3002">
    <w:name w:val="表格(五号)"/>
    <w:basedOn w:val="1"/>
    <w:qFormat/>
    <w:uiPriority w:val="0"/>
    <w:pPr>
      <w:adjustRightInd w:val="0"/>
      <w:snapToGrid w:val="0"/>
      <w:spacing w:before="60" w:after="60"/>
      <w:ind w:left="11"/>
      <w:jc w:val="center"/>
    </w:pPr>
    <w:rPr>
      <w:rFonts w:ascii="Times New Roman" w:hAnsi="Times New Roman" w:eastAsia="宋体" w:cs="Times New Roman"/>
      <w:kern w:val="0"/>
      <w:szCs w:val="20"/>
    </w:rPr>
  </w:style>
  <w:style w:type="paragraph" w:customStyle="1" w:styleId="3003">
    <w:name w:val="样式 宋体 小四 行距: 1.5 倍行距"/>
    <w:basedOn w:val="1"/>
    <w:link w:val="3004"/>
    <w:qFormat/>
    <w:uiPriority w:val="0"/>
    <w:pPr>
      <w:spacing w:before="156" w:after="156" w:line="360" w:lineRule="auto"/>
      <w:ind w:firstLine="480" w:firstLineChars="200"/>
    </w:pPr>
    <w:rPr>
      <w:rFonts w:ascii="宋体" w:hAnsi="宋体" w:eastAsia="宋体" w:cs="Times New Roman"/>
      <w:kern w:val="0"/>
      <w:sz w:val="24"/>
      <w:szCs w:val="20"/>
    </w:rPr>
  </w:style>
  <w:style w:type="character" w:customStyle="1" w:styleId="3004">
    <w:name w:val="样式 宋体 小四 行距: 1.5 倍行距 Char"/>
    <w:link w:val="3003"/>
    <w:qFormat/>
    <w:uiPriority w:val="0"/>
    <w:rPr>
      <w:rFonts w:ascii="宋体" w:hAnsi="宋体"/>
      <w:sz w:val="24"/>
    </w:rPr>
  </w:style>
  <w:style w:type="paragraph" w:customStyle="1" w:styleId="3005">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3006">
    <w:name w:val="0正文 Char"/>
    <w:link w:val="1408"/>
    <w:qFormat/>
    <w:uiPriority w:val="0"/>
    <w:rPr>
      <w:rFonts w:ascii="Verdana" w:hAnsi="Verdana" w:eastAsia="仿宋"/>
      <w:kern w:val="2"/>
      <w:sz w:val="24"/>
      <w:szCs w:val="24"/>
    </w:rPr>
  </w:style>
  <w:style w:type="paragraph" w:customStyle="1" w:styleId="3007">
    <w:name w:val="_"/>
    <w:basedOn w:val="1"/>
    <w:qFormat/>
    <w:uiPriority w:val="0"/>
    <w:pPr>
      <w:adjustRightInd w:val="0"/>
      <w:spacing w:line="360" w:lineRule="auto"/>
      <w:ind w:left="480"/>
      <w:textAlignment w:val="baseline"/>
    </w:pPr>
    <w:rPr>
      <w:rFonts w:ascii="Times New Roman" w:hAnsi="Times New Roman" w:eastAsia="宋体" w:cs="Times New Roman"/>
      <w:kern w:val="0"/>
      <w:sz w:val="24"/>
      <w:szCs w:val="20"/>
    </w:rPr>
  </w:style>
  <w:style w:type="paragraph" w:customStyle="1" w:styleId="3008">
    <w:name w:val="插图居中"/>
    <w:next w:val="1"/>
    <w:qFormat/>
    <w:uiPriority w:val="0"/>
    <w:pPr>
      <w:spacing w:beforeLines="50" w:afterLines="50" w:line="360" w:lineRule="auto"/>
      <w:jc w:val="center"/>
    </w:pPr>
    <w:rPr>
      <w:rFonts w:ascii="Times New Roman" w:hAnsi="Times New Roman" w:eastAsia="宋体" w:cs="Times New Roman"/>
      <w:kern w:val="2"/>
      <w:sz w:val="24"/>
      <w:szCs w:val="24"/>
      <w:lang w:val="en-US" w:eastAsia="zh-CN" w:bidi="ar-SA"/>
    </w:rPr>
  </w:style>
  <w:style w:type="character" w:customStyle="1" w:styleId="3009">
    <w:name w:val="A正文小四 Char Char"/>
    <w:link w:val="3010"/>
    <w:qFormat/>
    <w:uiPriority w:val="0"/>
  </w:style>
  <w:style w:type="paragraph" w:customStyle="1" w:styleId="3010">
    <w:name w:val="A正文小四"/>
    <w:basedOn w:val="1"/>
    <w:link w:val="3009"/>
    <w:qFormat/>
    <w:uiPriority w:val="0"/>
    <w:pPr>
      <w:spacing w:line="360" w:lineRule="auto"/>
      <w:ind w:firstLine="200" w:firstLineChars="200"/>
    </w:pPr>
    <w:rPr>
      <w:rFonts w:ascii="Times New Roman" w:hAnsi="Times New Roman" w:eastAsia="宋体" w:cs="Times New Roman"/>
      <w:kern w:val="0"/>
      <w:sz w:val="20"/>
      <w:szCs w:val="20"/>
    </w:rPr>
  </w:style>
  <w:style w:type="paragraph" w:customStyle="1" w:styleId="3011">
    <w:name w:val="5节标题"/>
    <w:basedOn w:val="1"/>
    <w:qFormat/>
    <w:uiPriority w:val="0"/>
    <w:pPr>
      <w:tabs>
        <w:tab w:val="left" w:pos="0"/>
      </w:tabs>
      <w:spacing w:line="360" w:lineRule="auto"/>
    </w:pPr>
    <w:rPr>
      <w:rFonts w:ascii="楷体_GB2312" w:hAnsi="宋体" w:eastAsia="楷体_GB2312" w:cs="Times New Roman"/>
      <w:color w:val="000000"/>
      <w:sz w:val="28"/>
      <w:szCs w:val="28"/>
    </w:rPr>
  </w:style>
  <w:style w:type="paragraph" w:customStyle="1" w:styleId="3012">
    <w:name w:val="_Style 82"/>
    <w:basedOn w:val="13"/>
    <w:next w:val="12"/>
    <w:qFormat/>
    <w:uiPriority w:val="0"/>
    <w:pPr>
      <w:spacing w:line="240" w:lineRule="auto"/>
      <w:ind w:firstLine="420"/>
    </w:pPr>
    <w:rPr>
      <w:rFonts w:ascii="Times New Roman" w:hAnsi="Times New Roman" w:eastAsia="宋体" w:cs="Times New Roman"/>
      <w:sz w:val="21"/>
      <w:szCs w:val="24"/>
    </w:rPr>
  </w:style>
  <w:style w:type="character" w:customStyle="1" w:styleId="3013">
    <w:name w:val="页脚 Char"/>
    <w:qFormat/>
    <w:uiPriority w:val="99"/>
    <w:rPr>
      <w:kern w:val="2"/>
      <w:sz w:val="18"/>
      <w:szCs w:val="18"/>
    </w:rPr>
  </w:style>
  <w:style w:type="character" w:customStyle="1" w:styleId="3014">
    <w:name w:val="fontstyle21"/>
    <w:qFormat/>
    <w:uiPriority w:val="0"/>
    <w:rPr>
      <w:rFonts w:hint="default" w:ascii="TimesNewRomanPSMT" w:hAnsi="TimesNewRomanPSMT"/>
      <w:color w:val="000000"/>
      <w:sz w:val="22"/>
      <w:szCs w:val="22"/>
    </w:rPr>
  </w:style>
  <w:style w:type="character" w:customStyle="1" w:styleId="3015">
    <w:name w:val="页眉 Char"/>
    <w:qFormat/>
    <w:uiPriority w:val="0"/>
    <w:rPr>
      <w:kern w:val="2"/>
      <w:sz w:val="18"/>
      <w:szCs w:val="18"/>
    </w:rPr>
  </w:style>
  <w:style w:type="paragraph" w:customStyle="1" w:styleId="3016">
    <w:name w:val="090909"/>
    <w:basedOn w:val="1"/>
    <w:qFormat/>
    <w:uiPriority w:val="0"/>
    <w:pPr>
      <w:ind w:firstLine="200" w:firstLineChars="200"/>
      <w:outlineLvl w:val="0"/>
    </w:pPr>
    <w:rPr>
      <w:rFonts w:ascii="宋体" w:hAnsi="Times New Roman" w:eastAsia="宋体" w:cs="Times New Roman"/>
      <w:szCs w:val="21"/>
    </w:rPr>
  </w:style>
  <w:style w:type="paragraph" w:customStyle="1" w:styleId="3017">
    <w:name w:val="_Style 222"/>
    <w:basedOn w:val="13"/>
    <w:next w:val="12"/>
    <w:qFormat/>
    <w:uiPriority w:val="0"/>
    <w:pPr>
      <w:spacing w:line="240" w:lineRule="auto"/>
      <w:ind w:firstLine="420"/>
    </w:pPr>
    <w:rPr>
      <w:rFonts w:ascii="Times New Roman" w:hAnsi="Times New Roman" w:eastAsia="宋体" w:cs="Times New Roman"/>
      <w:sz w:val="21"/>
      <w:szCs w:val="24"/>
    </w:rPr>
  </w:style>
  <w:style w:type="paragraph" w:customStyle="1" w:styleId="3018">
    <w:name w:val="_Style 223"/>
    <w:basedOn w:val="13"/>
    <w:next w:val="12"/>
    <w:qFormat/>
    <w:uiPriority w:val="0"/>
    <w:pPr>
      <w:spacing w:line="240" w:lineRule="auto"/>
      <w:ind w:firstLine="420"/>
    </w:pPr>
    <w:rPr>
      <w:rFonts w:ascii="Times New Roman" w:hAnsi="Times New Roman" w:eastAsia="宋体" w:cs="Times New Roman"/>
      <w:sz w:val="21"/>
      <w:szCs w:val="24"/>
    </w:rPr>
  </w:style>
  <w:style w:type="paragraph" w:customStyle="1" w:styleId="3019">
    <w:name w:val="列表段落4"/>
    <w:basedOn w:val="1"/>
    <w:qFormat/>
    <w:uiPriority w:val="34"/>
    <w:pPr>
      <w:widowControl/>
      <w:ind w:firstLine="420" w:firstLineChars="200"/>
      <w:jc w:val="left"/>
    </w:pPr>
    <w:rPr>
      <w:rFonts w:ascii="宋体" w:hAnsi="宋体" w:eastAsia="宋体" w:cs="宋体"/>
      <w:kern w:val="0"/>
      <w:sz w:val="24"/>
      <w:szCs w:val="24"/>
    </w:rPr>
  </w:style>
  <w:style w:type="paragraph" w:customStyle="1" w:styleId="3020">
    <w:name w:val="List Paragraph1"/>
    <w:basedOn w:val="1"/>
    <w:qFormat/>
    <w:uiPriority w:val="0"/>
    <w:pPr>
      <w:spacing w:line="384" w:lineRule="auto"/>
      <w:ind w:firstLine="420"/>
    </w:pPr>
    <w:rPr>
      <w:rFonts w:ascii="宋体" w:hAnsi="宋体" w:eastAsia="宋体" w:cs="微软雅黑"/>
      <w:color w:val="000000"/>
      <w:sz w:val="24"/>
      <w:szCs w:val="24"/>
    </w:rPr>
  </w:style>
  <w:style w:type="paragraph" w:customStyle="1" w:styleId="3021">
    <w:name w:val="方案正文-2字符"/>
    <w:basedOn w:val="1"/>
    <w:qFormat/>
    <w:uiPriority w:val="0"/>
    <w:pPr>
      <w:wordWrap w:val="0"/>
      <w:topLinePunct/>
      <w:spacing w:line="360" w:lineRule="auto"/>
      <w:ind w:firstLine="480" w:firstLineChars="200"/>
      <w:contextualSpacing/>
      <w:textAlignment w:val="center"/>
    </w:pPr>
    <w:rPr>
      <w:rFonts w:ascii="仿宋_GB2312" w:hAnsi="华文宋体" w:eastAsia="仿宋_GB2312" w:cs="Arial"/>
      <w:sz w:val="24"/>
    </w:rPr>
  </w:style>
  <w:style w:type="paragraph" w:customStyle="1" w:styleId="3022">
    <w:name w:val="1正文文本"/>
    <w:basedOn w:val="1"/>
    <w:link w:val="3024"/>
    <w:qFormat/>
    <w:uiPriority w:val="0"/>
    <w:pPr>
      <w:spacing w:line="560" w:lineRule="exact"/>
      <w:ind w:firstLine="482" w:firstLineChars="200"/>
    </w:pPr>
    <w:rPr>
      <w:rFonts w:ascii="方正仿宋_GBK" w:hAnsi="方正仿宋_GBK" w:eastAsia="方正仿宋_GBK" w:cs="Times New Roman"/>
      <w:sz w:val="28"/>
      <w:szCs w:val="24"/>
    </w:rPr>
  </w:style>
  <w:style w:type="character" w:customStyle="1" w:styleId="3023">
    <w:name w:val="1正文文本 Char"/>
    <w:qFormat/>
    <w:uiPriority w:val="0"/>
    <w:rPr>
      <w:rFonts w:ascii="方正仿宋_GBK" w:hAnsi="方正仿宋_GBK" w:eastAsia="方正仿宋_GBK" w:cs="Times New Roman"/>
      <w:sz w:val="28"/>
      <w:szCs w:val="24"/>
    </w:rPr>
  </w:style>
  <w:style w:type="character" w:customStyle="1" w:styleId="3024">
    <w:name w:val="1正文文本 Char1"/>
    <w:link w:val="3022"/>
    <w:qFormat/>
    <w:uiPriority w:val="0"/>
    <w:rPr>
      <w:rFonts w:ascii="方正仿宋_GBK" w:hAnsi="方正仿宋_GBK" w:eastAsia="方正仿宋_GBK"/>
      <w:kern w:val="2"/>
      <w:sz w:val="28"/>
      <w:szCs w:val="24"/>
    </w:rPr>
  </w:style>
  <w:style w:type="paragraph" w:customStyle="1" w:styleId="3025">
    <w:name w:val="00.建设方案正文字体"/>
    <w:basedOn w:val="1"/>
    <w:qFormat/>
    <w:uiPriority w:val="0"/>
    <w:pPr>
      <w:widowControl/>
      <w:adjustRightInd w:val="0"/>
      <w:spacing w:line="600" w:lineRule="exact"/>
      <w:ind w:firstLine="200" w:firstLineChars="200"/>
    </w:pPr>
    <w:rPr>
      <w:rFonts w:ascii="Times New Roman" w:hAnsi="Times New Roman" w:eastAsia="方正仿宋_GBK" w:cs="宋体"/>
      <w:kern w:val="0"/>
      <w:sz w:val="32"/>
      <w:szCs w:val="28"/>
    </w:rPr>
  </w:style>
  <w:style w:type="paragraph" w:customStyle="1" w:styleId="3026">
    <w:name w:val="说明"/>
    <w:basedOn w:val="1"/>
    <w:semiHidden/>
    <w:qFormat/>
    <w:uiPriority w:val="0"/>
    <w:pPr>
      <w:spacing w:line="0" w:lineRule="atLeast"/>
    </w:pPr>
    <w:rPr>
      <w:rFonts w:ascii="Arial" w:hAnsi="Arial" w:eastAsia="微软简行楷" w:cs="Times New Roman"/>
      <w:sz w:val="24"/>
      <w:szCs w:val="20"/>
    </w:rPr>
  </w:style>
  <w:style w:type="character" w:customStyle="1" w:styleId="3027">
    <w:name w:val="样式 仿宋"/>
    <w:qFormat/>
    <w:uiPriority w:val="99"/>
    <w:rPr>
      <w:rFonts w:ascii="仿宋" w:hAnsi="仿宋" w:eastAsia="仿宋"/>
      <w:kern w:val="2"/>
    </w:rPr>
  </w:style>
  <w:style w:type="character" w:customStyle="1" w:styleId="3028">
    <w:name w:val="封面大字"/>
    <w:qFormat/>
    <w:uiPriority w:val="0"/>
    <w:rPr>
      <w:rFonts w:eastAsia="黑体"/>
      <w:b/>
      <w:bCs/>
      <w:spacing w:val="161"/>
      <w:kern w:val="0"/>
      <w:sz w:val="72"/>
    </w:rPr>
  </w:style>
  <w:style w:type="character" w:customStyle="1" w:styleId="3029">
    <w:name w:val="样式 封面大字 + 加宽量  18.05 磅"/>
    <w:qFormat/>
    <w:uiPriority w:val="0"/>
    <w:rPr>
      <w:rFonts w:eastAsia="黑体"/>
      <w:b/>
      <w:bCs/>
      <w:spacing w:val="361"/>
      <w:kern w:val="0"/>
      <w:sz w:val="72"/>
    </w:rPr>
  </w:style>
  <w:style w:type="character" w:customStyle="1" w:styleId="3030">
    <w:name w:val="lblue11"/>
    <w:qFormat/>
    <w:uiPriority w:val="0"/>
    <w:rPr>
      <w:color w:val="333333"/>
      <w:u w:val="none"/>
    </w:rPr>
  </w:style>
  <w:style w:type="character" w:customStyle="1" w:styleId="3031">
    <w:name w:val="正文二"/>
    <w:qFormat/>
    <w:uiPriority w:val="0"/>
    <w:rPr>
      <w:rFonts w:eastAsia="宋体"/>
      <w:b/>
      <w:sz w:val="21"/>
      <w:szCs w:val="21"/>
      <w:vertAlign w:val="baseline"/>
    </w:rPr>
  </w:style>
  <w:style w:type="paragraph" w:customStyle="1" w:styleId="3032">
    <w:name w:val="样式 标题 3H3l3CTh33rd levelLevel 3 HeadHeading 3 - oldISO2..."/>
    <w:basedOn w:val="7"/>
    <w:qFormat/>
    <w:uiPriority w:val="0"/>
    <w:pPr>
      <w:numPr>
        <w:numId w:val="0"/>
      </w:numPr>
      <w:tabs>
        <w:tab w:val="left" w:pos="720"/>
      </w:tabs>
      <w:spacing w:line="360" w:lineRule="auto"/>
      <w:ind w:left="737" w:hanging="539"/>
    </w:pPr>
    <w:rPr>
      <w:rFonts w:ascii="宋体" w:hAnsi="宋体" w:eastAsia="宋体" w:cs="宋体"/>
      <w:szCs w:val="20"/>
    </w:rPr>
  </w:style>
  <w:style w:type="character" w:customStyle="1" w:styleId="3033">
    <w:name w:val="正文文本缩进 Char1"/>
    <w:basedOn w:val="136"/>
    <w:semiHidden/>
    <w:qFormat/>
    <w:uiPriority w:val="99"/>
    <w:rPr>
      <w:rFonts w:ascii="Times New Roman" w:hAnsi="Times New Roman" w:eastAsia="仿宋" w:cs="Times New Roman"/>
      <w:sz w:val="24"/>
      <w:szCs w:val="20"/>
    </w:rPr>
  </w:style>
  <w:style w:type="paragraph" w:customStyle="1" w:styleId="3034">
    <w:name w:val="细项"/>
    <w:basedOn w:val="1"/>
    <w:qFormat/>
    <w:uiPriority w:val="0"/>
    <w:pPr>
      <w:tabs>
        <w:tab w:val="left" w:pos="425"/>
      </w:tabs>
      <w:autoSpaceDE w:val="0"/>
      <w:autoSpaceDN w:val="0"/>
      <w:spacing w:line="360" w:lineRule="auto"/>
      <w:ind w:left="425" w:hanging="425"/>
      <w:jc w:val="left"/>
    </w:pPr>
    <w:rPr>
      <w:rFonts w:ascii="宋体" w:hAnsi="Times New Roman" w:eastAsia="宋体" w:cs="Times New Roman"/>
      <w:color w:val="000000"/>
      <w:kern w:val="0"/>
      <w:sz w:val="28"/>
      <w:szCs w:val="24"/>
    </w:rPr>
  </w:style>
  <w:style w:type="paragraph" w:customStyle="1" w:styleId="3035">
    <w:name w:val="数字编号"/>
    <w:basedOn w:val="1"/>
    <w:qFormat/>
    <w:uiPriority w:val="0"/>
    <w:rPr>
      <w:rFonts w:ascii="Times New Roman" w:hAnsi="Times New Roman" w:eastAsia="宋体" w:cs="Times New Roman"/>
      <w:szCs w:val="24"/>
    </w:rPr>
  </w:style>
  <w:style w:type="paragraph" w:customStyle="1" w:styleId="3036">
    <w:name w:val="样式 标题 3 + 小四"/>
    <w:basedOn w:val="7"/>
    <w:qFormat/>
    <w:uiPriority w:val="0"/>
    <w:pPr>
      <w:keepNext/>
      <w:keepLines/>
      <w:widowControl/>
      <w:numPr>
        <w:ilvl w:val="0"/>
        <w:numId w:val="0"/>
      </w:numPr>
      <w:tabs>
        <w:tab w:val="left" w:pos="709"/>
      </w:tabs>
      <w:spacing w:before="260" w:after="260" w:line="416" w:lineRule="auto"/>
      <w:ind w:left="1740" w:hanging="420"/>
      <w:jc w:val="left"/>
    </w:pPr>
    <w:rPr>
      <w:rFonts w:ascii="Times New Roman" w:hAnsi="Times New Roman" w:eastAsia="宋体" w:cs="Times New Roman"/>
      <w:kern w:val="0"/>
      <w:szCs w:val="32"/>
    </w:rPr>
  </w:style>
  <w:style w:type="paragraph" w:customStyle="1" w:styleId="3037">
    <w:name w:val="样式 标题 5 + 段前: 0.5 行 段后: 0.5 行"/>
    <w:basedOn w:val="14"/>
    <w:qFormat/>
    <w:uiPriority w:val="0"/>
    <w:pPr>
      <w:widowControl/>
      <w:numPr>
        <w:numId w:val="0"/>
      </w:numPr>
      <w:tabs>
        <w:tab w:val="left" w:pos="1008"/>
      </w:tabs>
      <w:spacing w:before="156" w:beforeLines="50" w:after="156" w:afterLines="50" w:line="377" w:lineRule="auto"/>
      <w:jc w:val="left"/>
    </w:pPr>
    <w:rPr>
      <w:rFonts w:ascii="Times New Roman" w:hAnsi="Times New Roman" w:eastAsia="黑体" w:cs="宋体"/>
      <w:sz w:val="28"/>
      <w:szCs w:val="20"/>
    </w:rPr>
  </w:style>
  <w:style w:type="paragraph" w:customStyle="1" w:styleId="3038">
    <w:name w:val="附件小标题"/>
    <w:basedOn w:val="1"/>
    <w:qFormat/>
    <w:uiPriority w:val="0"/>
    <w:pPr>
      <w:tabs>
        <w:tab w:val="left" w:pos="2238"/>
        <w:tab w:val="left" w:pos="2356"/>
      </w:tabs>
      <w:ind w:left="1984" w:hanging="708"/>
    </w:pPr>
    <w:rPr>
      <w:rFonts w:ascii="Times New Roman" w:hAnsi="Times New Roman" w:eastAsia="宋体" w:cs="Times New Roman"/>
      <w:szCs w:val="24"/>
    </w:rPr>
  </w:style>
  <w:style w:type="paragraph" w:customStyle="1" w:styleId="3039">
    <w:name w:val="正文文本缩进 Char Char"/>
    <w:basedOn w:val="1"/>
    <w:next w:val="1"/>
    <w:qFormat/>
    <w:uiPriority w:val="0"/>
    <w:pPr>
      <w:widowControl/>
      <w:ind w:right="-71" w:firstLine="540"/>
    </w:pPr>
    <w:rPr>
      <w:rFonts w:ascii="Times New Roman" w:hAnsi="Times New Roman" w:eastAsia="宋体" w:cs="Times New Roman"/>
      <w:color w:val="000000"/>
      <w:sz w:val="24"/>
      <w:szCs w:val="20"/>
    </w:rPr>
  </w:style>
  <w:style w:type="paragraph" w:customStyle="1" w:styleId="3040">
    <w:name w:val="正文缩进 Char Char"/>
    <w:basedOn w:val="1"/>
    <w:next w:val="1"/>
    <w:qFormat/>
    <w:uiPriority w:val="0"/>
    <w:pPr>
      <w:widowControl/>
      <w:ind w:firstLine="420"/>
    </w:pPr>
    <w:rPr>
      <w:rFonts w:ascii="Times New Roman" w:hAnsi="Times New Roman" w:eastAsia="宋体" w:cs="Times New Roman"/>
      <w:szCs w:val="20"/>
    </w:rPr>
  </w:style>
  <w:style w:type="paragraph" w:customStyle="1" w:styleId="3041">
    <w:name w:val="目录项"/>
    <w:basedOn w:val="1"/>
    <w:qFormat/>
    <w:uiPriority w:val="0"/>
    <w:pPr>
      <w:spacing w:before="100" w:beforeAutospacing="1" w:after="624" w:afterLines="200"/>
      <w:jc w:val="center"/>
    </w:pPr>
    <w:rPr>
      <w:rFonts w:ascii="Times New Roman" w:hAnsi="Times New Roman" w:eastAsia="黑体" w:cs="Times New Roman"/>
      <w:color w:val="000000"/>
      <w:kern w:val="30"/>
      <w:sz w:val="30"/>
      <w:szCs w:val="30"/>
    </w:rPr>
  </w:style>
  <w:style w:type="paragraph" w:customStyle="1" w:styleId="3042">
    <w:name w:val="我的大标题"/>
    <w:basedOn w:val="1"/>
    <w:qFormat/>
    <w:uiPriority w:val="0"/>
    <w:pPr>
      <w:spacing w:before="100" w:beforeAutospacing="1" w:after="100" w:afterAutospacing="1"/>
      <w:ind w:left="420" w:hanging="420"/>
    </w:pPr>
    <w:rPr>
      <w:rFonts w:ascii="Times New Roman" w:hAnsi="Times New Roman" w:eastAsia="宋体" w:cs="Times New Roman"/>
      <w:b/>
      <w:bCs/>
      <w:szCs w:val="21"/>
    </w:rPr>
  </w:style>
  <w:style w:type="paragraph" w:customStyle="1" w:styleId="3043">
    <w:name w:val="我的正文"/>
    <w:basedOn w:val="1"/>
    <w:qFormat/>
    <w:uiPriority w:val="0"/>
    <w:pPr>
      <w:keepNext/>
      <w:spacing w:before="156" w:beforeLines="50" w:line="360" w:lineRule="auto"/>
      <w:ind w:firstLine="480" w:firstLineChars="200"/>
      <w:jc w:val="center"/>
    </w:pPr>
    <w:rPr>
      <w:rFonts w:ascii="Times New Roman" w:hAnsi="Times New Roman" w:eastAsia="宋体" w:cs="Times New Roman"/>
      <w:color w:val="000000"/>
      <w:kern w:val="0"/>
      <w:sz w:val="24"/>
      <w:szCs w:val="24"/>
    </w:rPr>
  </w:style>
  <w:style w:type="paragraph" w:customStyle="1" w:styleId="3044">
    <w:name w:val="子项目内容"/>
    <w:basedOn w:val="1"/>
    <w:qFormat/>
    <w:uiPriority w:val="0"/>
    <w:pPr>
      <w:tabs>
        <w:tab w:val="left" w:pos="360"/>
      </w:tabs>
      <w:autoSpaceDE w:val="0"/>
      <w:autoSpaceDN w:val="0"/>
      <w:spacing w:line="288" w:lineRule="auto"/>
      <w:ind w:left="900" w:hanging="420"/>
      <w:jc w:val="left"/>
    </w:pPr>
    <w:rPr>
      <w:rFonts w:ascii="宋体" w:hAnsi="宋体" w:eastAsia="宋体" w:cs="Times New Roman"/>
      <w:bCs/>
      <w:kern w:val="0"/>
      <w:sz w:val="24"/>
      <w:szCs w:val="20"/>
    </w:rPr>
  </w:style>
  <w:style w:type="paragraph" w:customStyle="1" w:styleId="3045">
    <w:name w:val="样式 标题 5H5PIM 5h5Second SubheadingTable labell5hmmh2Modu..."/>
    <w:basedOn w:val="14"/>
    <w:qFormat/>
    <w:uiPriority w:val="0"/>
    <w:pPr>
      <w:keepNext w:val="0"/>
      <w:keepLines w:val="0"/>
      <w:numPr>
        <w:numId w:val="0"/>
      </w:numPr>
      <w:tabs>
        <w:tab w:val="left" w:pos="1008"/>
      </w:tabs>
      <w:spacing w:before="0" w:beforeLines="50" w:after="0" w:afterLines="50"/>
    </w:pPr>
    <w:rPr>
      <w:rFonts w:ascii="Times New Roman" w:hAnsi="Times New Roman" w:eastAsia="黑体" w:cs="Times New Roman"/>
      <w:b w:val="0"/>
      <w:color w:val="000000"/>
      <w:szCs w:val="28"/>
    </w:rPr>
  </w:style>
  <w:style w:type="paragraph" w:customStyle="1" w:styleId="3046">
    <w:name w:val="附件"/>
    <w:basedOn w:val="7"/>
    <w:qFormat/>
    <w:uiPriority w:val="0"/>
    <w:pPr>
      <w:numPr>
        <w:numId w:val="0"/>
      </w:numPr>
      <w:tabs>
        <w:tab w:val="left" w:pos="1440"/>
      </w:tabs>
      <w:spacing w:before="120" w:after="120" w:line="240" w:lineRule="atLeast"/>
      <w:ind w:left="720" w:hanging="720"/>
    </w:pPr>
    <w:rPr>
      <w:rFonts w:ascii="Times New Roman" w:hAnsi="Times New Roman" w:eastAsia="宋体" w:cs="Times New Roman"/>
      <w:sz w:val="30"/>
      <w:szCs w:val="30"/>
    </w:rPr>
  </w:style>
  <w:style w:type="paragraph" w:customStyle="1" w:styleId="3047">
    <w:name w:val="第四级标题"/>
    <w:basedOn w:val="1"/>
    <w:qFormat/>
    <w:uiPriority w:val="0"/>
    <w:pPr>
      <w:tabs>
        <w:tab w:val="left" w:pos="1260"/>
      </w:tabs>
      <w:spacing w:before="156" w:beforeLines="50" w:line="300" w:lineRule="auto"/>
      <w:ind w:left="1320" w:hanging="1260"/>
      <w:outlineLvl w:val="1"/>
    </w:pPr>
    <w:rPr>
      <w:rFonts w:ascii="Times New Roman" w:hAnsi="Times New Roman" w:eastAsia="宋体" w:cs="Times New Roman"/>
      <w:b/>
      <w:sz w:val="28"/>
      <w:szCs w:val="28"/>
    </w:rPr>
  </w:style>
  <w:style w:type="paragraph" w:customStyle="1" w:styleId="3048">
    <w:name w:val="小项目"/>
    <w:basedOn w:val="1"/>
    <w:qFormat/>
    <w:uiPriority w:val="0"/>
    <w:pPr>
      <w:tabs>
        <w:tab w:val="left" w:pos="839"/>
      </w:tabs>
      <w:spacing w:after="156" w:afterLines="50" w:line="288" w:lineRule="auto"/>
      <w:ind w:left="900" w:hanging="420"/>
    </w:pPr>
    <w:rPr>
      <w:rFonts w:ascii="Times New Roman" w:hAnsi="Times New Roman" w:eastAsia="宋体" w:cs="Times New Roman"/>
      <w:bCs/>
      <w:sz w:val="24"/>
      <w:szCs w:val="24"/>
    </w:rPr>
  </w:style>
  <w:style w:type="paragraph" w:customStyle="1" w:styleId="3049">
    <w:name w:val="S3"/>
    <w:basedOn w:val="3050"/>
    <w:qFormat/>
    <w:uiPriority w:val="0"/>
    <w:pPr>
      <w:tabs>
        <w:tab w:val="left" w:pos="1695"/>
      </w:tabs>
      <w:spacing w:before="50"/>
      <w:ind w:left="709" w:hanging="420"/>
      <w:outlineLvl w:val="2"/>
    </w:pPr>
  </w:style>
  <w:style w:type="paragraph" w:customStyle="1" w:styleId="3050">
    <w:name w:val="样式 样式 2节标题 + 楷体_GB2312 小三 加粗 自动设置 + 段前: 0.5 行 段后: 0.5 行"/>
    <w:basedOn w:val="1"/>
    <w:qFormat/>
    <w:uiPriority w:val="0"/>
    <w:pPr>
      <w:spacing w:before="100" w:beforeLines="100" w:after="50" w:afterLines="50"/>
      <w:ind w:left="567" w:hanging="567"/>
      <w:outlineLvl w:val="1"/>
    </w:pPr>
    <w:rPr>
      <w:rFonts w:ascii="楷体_GB2312" w:hAnsi="楷体_GB2312" w:eastAsia="楷体_GB2312" w:cs="Times New Roman"/>
      <w:b/>
      <w:bCs/>
      <w:color w:val="000000"/>
      <w:kern w:val="44"/>
      <w:sz w:val="32"/>
      <w:szCs w:val="20"/>
    </w:rPr>
  </w:style>
  <w:style w:type="paragraph" w:customStyle="1" w:styleId="3051">
    <w:name w:val="小小项目"/>
    <w:basedOn w:val="3043"/>
    <w:qFormat/>
    <w:uiPriority w:val="0"/>
    <w:pPr>
      <w:tabs>
        <w:tab w:val="left" w:pos="946"/>
      </w:tabs>
      <w:ind w:left="946" w:hanging="360"/>
    </w:pPr>
  </w:style>
  <w:style w:type="paragraph" w:customStyle="1" w:styleId="3052">
    <w:name w:val="项目内容"/>
    <w:basedOn w:val="1"/>
    <w:qFormat/>
    <w:uiPriority w:val="0"/>
    <w:pPr>
      <w:autoSpaceDE w:val="0"/>
      <w:autoSpaceDN w:val="0"/>
      <w:spacing w:before="62" w:beforeLines="20" w:line="288" w:lineRule="auto"/>
      <w:jc w:val="left"/>
    </w:pPr>
    <w:rPr>
      <w:rFonts w:ascii="宋体" w:hAnsi="宋体" w:eastAsia="宋体" w:cs="Times New Roman"/>
      <w:b/>
      <w:kern w:val="0"/>
      <w:sz w:val="24"/>
      <w:szCs w:val="20"/>
    </w:rPr>
  </w:style>
  <w:style w:type="paragraph" w:customStyle="1" w:styleId="3053">
    <w:name w:val="表格说明"/>
    <w:basedOn w:val="1"/>
    <w:qFormat/>
    <w:uiPriority w:val="0"/>
    <w:pPr>
      <w:spacing w:before="100" w:beforeLines="100" w:line="288" w:lineRule="auto"/>
      <w:jc w:val="left"/>
    </w:pPr>
    <w:rPr>
      <w:rFonts w:ascii="Times New Roman" w:hAnsi="Times New Roman" w:eastAsia="仿宋_GB2312" w:cs="Times New Roman"/>
      <w:sz w:val="24"/>
      <w:szCs w:val="24"/>
    </w:rPr>
  </w:style>
  <w:style w:type="paragraph" w:customStyle="1" w:styleId="3054">
    <w:name w:val="表格的附加说明"/>
    <w:basedOn w:val="1"/>
    <w:qFormat/>
    <w:uiPriority w:val="0"/>
    <w:pPr>
      <w:widowControl/>
      <w:spacing w:line="320" w:lineRule="exact"/>
      <w:ind w:firstLine="840" w:firstLineChars="400"/>
    </w:pPr>
    <w:rPr>
      <w:rFonts w:ascii="Times New Roman" w:hAnsi="Times New Roman" w:eastAsia="黑体" w:cs="Times New Roman"/>
      <w:color w:val="000000"/>
      <w:szCs w:val="21"/>
    </w:rPr>
  </w:style>
  <w:style w:type="paragraph" w:customStyle="1" w:styleId="3055">
    <w:name w:val="下级项目内容"/>
    <w:basedOn w:val="1"/>
    <w:qFormat/>
    <w:uiPriority w:val="0"/>
    <w:pPr>
      <w:tabs>
        <w:tab w:val="left" w:pos="360"/>
      </w:tabs>
      <w:autoSpaceDE w:val="0"/>
      <w:autoSpaceDN w:val="0"/>
      <w:spacing w:line="288" w:lineRule="auto"/>
      <w:jc w:val="left"/>
    </w:pPr>
    <w:rPr>
      <w:rFonts w:ascii="宋体" w:hAnsi="宋体" w:eastAsia="宋体" w:cs="Times New Roman"/>
      <w:bCs/>
      <w:kern w:val="0"/>
      <w:sz w:val="24"/>
      <w:szCs w:val="20"/>
    </w:rPr>
  </w:style>
  <w:style w:type="paragraph" w:customStyle="1" w:styleId="3056">
    <w:name w:val="每章引子"/>
    <w:basedOn w:val="3043"/>
    <w:qFormat/>
    <w:uiPriority w:val="0"/>
    <w:pPr>
      <w:pBdr>
        <w:top w:val="single" w:color="auto" w:sz="18" w:space="1"/>
        <w:bottom w:val="single" w:color="auto" w:sz="18" w:space="1"/>
      </w:pBdr>
      <w:spacing w:before="312" w:beforeLines="100" w:after="480"/>
      <w:jc w:val="both"/>
    </w:pPr>
    <w:rPr>
      <w:rFonts w:ascii="仿宋_GB2312" w:eastAsia="仿宋_GB2312"/>
    </w:rPr>
  </w:style>
  <w:style w:type="paragraph" w:customStyle="1" w:styleId="3057">
    <w:name w:val="(a)"/>
    <w:basedOn w:val="1"/>
    <w:qFormat/>
    <w:uiPriority w:val="0"/>
    <w:pPr>
      <w:widowControl/>
      <w:tabs>
        <w:tab w:val="left" w:pos="1418"/>
      </w:tabs>
      <w:spacing w:line="360" w:lineRule="exact"/>
      <w:ind w:left="1418" w:hanging="511"/>
    </w:pPr>
    <w:rPr>
      <w:rFonts w:ascii="Times New Roman" w:hAnsi="Times New Roman" w:eastAsia="宋体" w:cs="Times New Roman"/>
      <w:sz w:val="24"/>
      <w:szCs w:val="24"/>
    </w:rPr>
  </w:style>
  <w:style w:type="paragraph" w:customStyle="1" w:styleId="3058">
    <w:name w:val="样式 首行缩进:  2 字符"/>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3059">
    <w:name w:val="xl22"/>
    <w:basedOn w:val="1"/>
    <w:qFormat/>
    <w:uiPriority w:val="0"/>
    <w:pPr>
      <w:widowControl/>
      <w:spacing w:before="100" w:beforeAutospacing="1" w:after="100" w:afterAutospacing="1"/>
      <w:jc w:val="center"/>
    </w:pPr>
    <w:rPr>
      <w:rFonts w:ascii="宋体" w:hAnsi="宋体" w:eastAsia="宋体" w:cs="Times New Roman"/>
      <w:kern w:val="0"/>
      <w:sz w:val="24"/>
      <w:szCs w:val="24"/>
    </w:rPr>
  </w:style>
  <w:style w:type="paragraph" w:customStyle="1" w:styleId="3060">
    <w:name w:val="xl2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kern w:val="0"/>
      <w:sz w:val="24"/>
      <w:szCs w:val="24"/>
    </w:rPr>
  </w:style>
  <w:style w:type="paragraph" w:customStyle="1" w:styleId="3061">
    <w:name w:val="样式 标题 1 + 居中"/>
    <w:basedOn w:val="4"/>
    <w:qFormat/>
    <w:uiPriority w:val="0"/>
    <w:pPr>
      <w:numPr>
        <w:numId w:val="0"/>
      </w:numPr>
      <w:tabs>
        <w:tab w:val="left" w:pos="432"/>
      </w:tabs>
    </w:pPr>
    <w:rPr>
      <w:rFonts w:cs="宋体"/>
      <w:sz w:val="36"/>
      <w:szCs w:val="20"/>
    </w:rPr>
  </w:style>
  <w:style w:type="paragraph" w:customStyle="1" w:styleId="30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3063">
    <w:name w:val="样式 标题 3 + 字距调整二号"/>
    <w:basedOn w:val="7"/>
    <w:qFormat/>
    <w:uiPriority w:val="0"/>
    <w:pPr>
      <w:keepNext/>
      <w:keepLines/>
      <w:numPr>
        <w:numId w:val="0"/>
      </w:numPr>
      <w:tabs>
        <w:tab w:val="left" w:pos="720"/>
      </w:tabs>
      <w:spacing w:line="360" w:lineRule="auto"/>
    </w:pPr>
    <w:rPr>
      <w:rFonts w:ascii="Times New Roman" w:hAnsi="Times New Roman" w:eastAsia="宋体" w:cs="Times New Roman"/>
      <w:kern w:val="44"/>
      <w:sz w:val="28"/>
      <w:szCs w:val="32"/>
    </w:rPr>
  </w:style>
  <w:style w:type="character" w:customStyle="1" w:styleId="3064">
    <w:name w:val="_表格文字 Char"/>
    <w:link w:val="3065"/>
    <w:qFormat/>
    <w:uiPriority w:val="0"/>
    <w:rPr>
      <w:rFonts w:ascii="宋体" w:hAnsi="宋体"/>
      <w:szCs w:val="24"/>
    </w:rPr>
  </w:style>
  <w:style w:type="paragraph" w:customStyle="1" w:styleId="3065">
    <w:name w:val="_表格文字"/>
    <w:basedOn w:val="1"/>
    <w:link w:val="3064"/>
    <w:qFormat/>
    <w:uiPriority w:val="0"/>
    <w:pPr>
      <w:jc w:val="left"/>
    </w:pPr>
    <w:rPr>
      <w:rFonts w:ascii="宋体" w:hAnsi="宋体" w:eastAsia="宋体" w:cs="Times New Roman"/>
      <w:kern w:val="0"/>
      <w:sz w:val="20"/>
      <w:szCs w:val="24"/>
    </w:rPr>
  </w:style>
  <w:style w:type="character" w:customStyle="1" w:styleId="3066">
    <w:name w:val="_表格标题 Char"/>
    <w:link w:val="3067"/>
    <w:qFormat/>
    <w:uiPriority w:val="0"/>
    <w:rPr>
      <w:rFonts w:ascii="宋体" w:hAnsi="宋体"/>
      <w:b/>
      <w:szCs w:val="24"/>
    </w:rPr>
  </w:style>
  <w:style w:type="paragraph" w:customStyle="1" w:styleId="3067">
    <w:name w:val="_表格标题"/>
    <w:basedOn w:val="3065"/>
    <w:link w:val="3066"/>
    <w:qFormat/>
    <w:uiPriority w:val="0"/>
    <w:pPr>
      <w:spacing w:before="24" w:after="24"/>
      <w:jc w:val="center"/>
    </w:pPr>
    <w:rPr>
      <w:b/>
    </w:rPr>
  </w:style>
  <w:style w:type="paragraph" w:customStyle="1" w:styleId="3068">
    <w:name w:val="封面中部"/>
    <w:basedOn w:val="1"/>
    <w:qFormat/>
    <w:uiPriority w:val="0"/>
    <w:pPr>
      <w:tabs>
        <w:tab w:val="left" w:pos="2977"/>
      </w:tabs>
      <w:adjustRightInd w:val="0"/>
      <w:spacing w:line="880" w:lineRule="exact"/>
      <w:ind w:left="125" w:firstLine="403"/>
      <w:jc w:val="center"/>
      <w:textAlignment w:val="baseline"/>
    </w:pPr>
    <w:rPr>
      <w:rFonts w:ascii="宋体" w:hAnsi="宋体" w:eastAsia="黑体" w:cs="Times New Roman"/>
      <w:kern w:val="0"/>
      <w:sz w:val="36"/>
      <w:szCs w:val="36"/>
    </w:rPr>
  </w:style>
  <w:style w:type="paragraph" w:customStyle="1" w:styleId="3069">
    <w:name w:val="封面**"/>
    <w:basedOn w:val="3068"/>
    <w:qFormat/>
    <w:uiPriority w:val="0"/>
    <w:pPr>
      <w:spacing w:before="78" w:line="360" w:lineRule="auto"/>
      <w:ind w:left="0" w:firstLine="0"/>
    </w:pPr>
    <w:rPr>
      <w:rFonts w:eastAsia="Times New Roman"/>
      <w:sz w:val="24"/>
      <w:szCs w:val="24"/>
    </w:rPr>
  </w:style>
  <w:style w:type="paragraph" w:customStyle="1" w:styleId="3070">
    <w:name w:val="表格题注"/>
    <w:basedOn w:val="29"/>
    <w:qFormat/>
    <w:uiPriority w:val="0"/>
    <w:pPr>
      <w:autoSpaceDE w:val="0"/>
      <w:autoSpaceDN w:val="0"/>
      <w:adjustRightInd w:val="0"/>
      <w:spacing w:before="0"/>
      <w:jc w:val="both"/>
      <w:textAlignment w:val="baseline"/>
    </w:pPr>
    <w:rPr>
      <w:rFonts w:asciiTheme="majorHAnsi" w:hAnsiTheme="majorHAnsi" w:cstheme="majorBidi"/>
    </w:rPr>
  </w:style>
  <w:style w:type="paragraph" w:customStyle="1" w:styleId="3071">
    <w:name w:val="正文首行缩进 宋体小四 1.5倍行距"/>
    <w:basedOn w:val="1"/>
    <w:qFormat/>
    <w:uiPriority w:val="0"/>
    <w:pPr>
      <w:spacing w:line="360" w:lineRule="auto"/>
      <w:ind w:firstLine="200" w:firstLineChars="200"/>
    </w:pPr>
    <w:rPr>
      <w:sz w:val="24"/>
    </w:rPr>
  </w:style>
  <w:style w:type="paragraph" w:customStyle="1" w:styleId="3072">
    <w:name w:val="图形题注"/>
    <w:basedOn w:val="29"/>
    <w:qFormat/>
    <w:uiPriority w:val="0"/>
    <w:pPr>
      <w:widowControl/>
      <w:spacing w:before="0" w:beforeLines="50" w:afterLines="100"/>
      <w:jc w:val="both"/>
    </w:pPr>
    <w:rPr>
      <w:rFonts w:asciiTheme="majorHAnsi" w:hAnsiTheme="majorHAnsi" w:cstheme="majorBidi"/>
    </w:rPr>
  </w:style>
  <w:style w:type="paragraph" w:customStyle="1" w:styleId="3073">
    <w:name w:val="封面2底部-日期"/>
    <w:qFormat/>
    <w:uiPriority w:val="0"/>
    <w:pPr>
      <w:widowControl w:val="0"/>
      <w:snapToGrid w:val="0"/>
      <w:spacing w:before="78" w:after="78" w:line="336" w:lineRule="auto"/>
      <w:jc w:val="center"/>
    </w:pPr>
    <w:rPr>
      <w:rFonts w:ascii="隶书" w:hAnsi="隶书" w:eastAsia="隶书" w:cs="Times New Roman"/>
      <w:b/>
      <w:snapToGrid w:val="0"/>
      <w:spacing w:val="34"/>
      <w:sz w:val="28"/>
      <w:szCs w:val="22"/>
      <w:lang w:val="en-US" w:eastAsia="zh-CN" w:bidi="ar-SA"/>
    </w:rPr>
  </w:style>
  <w:style w:type="paragraph" w:customStyle="1" w:styleId="3074">
    <w:name w:val="公司名称"/>
    <w:basedOn w:val="1"/>
    <w:next w:val="1"/>
    <w:qFormat/>
    <w:uiPriority w:val="0"/>
    <w:pPr>
      <w:spacing w:line="300" w:lineRule="auto"/>
      <w:ind w:firstLine="200" w:firstLineChars="200"/>
      <w:jc w:val="center"/>
    </w:pPr>
    <w:rPr>
      <w:rFonts w:ascii="华文细黑" w:hAnsi="华文细黑" w:eastAsia="微软雅黑"/>
      <w:sz w:val="28"/>
      <w:szCs w:val="21"/>
    </w:rPr>
  </w:style>
  <w:style w:type="paragraph" w:customStyle="1" w:styleId="3075">
    <w:name w:val="04-正文"/>
    <w:qFormat/>
    <w:uiPriority w:val="0"/>
    <w:pPr>
      <w:spacing w:line="360" w:lineRule="exact"/>
      <w:ind w:firstLine="420"/>
    </w:pPr>
    <w:rPr>
      <w:rFonts w:ascii="Times New Roman" w:hAnsi="Times New Roman" w:eastAsia="宋体" w:cs="Times New Roman"/>
      <w:szCs w:val="24"/>
      <w:lang w:val="en-US" w:eastAsia="zh-CN" w:bidi="ar-SA"/>
    </w:rPr>
  </w:style>
  <w:style w:type="paragraph" w:customStyle="1" w:styleId="3076">
    <w:name w:val="图书辅助信息"/>
    <w:basedOn w:val="1"/>
    <w:qFormat/>
    <w:uiPriority w:val="0"/>
    <w:pPr>
      <w:adjustRightInd w:val="0"/>
      <w:snapToGrid w:val="0"/>
      <w:spacing w:line="360" w:lineRule="auto"/>
      <w:ind w:firstLine="200" w:firstLineChars="200"/>
      <w:jc w:val="center"/>
    </w:pPr>
    <w:rPr>
      <w:rFonts w:ascii="微软雅黑" w:hAnsi="微软雅黑" w:eastAsia="微软雅黑"/>
      <w:sz w:val="13"/>
      <w:szCs w:val="16"/>
    </w:rPr>
  </w:style>
  <w:style w:type="paragraph" w:customStyle="1" w:styleId="3077">
    <w:name w:val="1）"/>
    <w:qFormat/>
    <w:uiPriority w:val="0"/>
    <w:rPr>
      <w:rFonts w:ascii="Times New Roman" w:hAnsi="Times New Roman" w:eastAsia="宋体" w:cs="Times New Roman"/>
      <w:lang w:val="en-US" w:eastAsia="zh-CN" w:bidi="ar-SA"/>
    </w:rPr>
  </w:style>
  <w:style w:type="paragraph" w:customStyle="1" w:styleId="3078">
    <w:name w:val="1、"/>
    <w:basedOn w:val="1"/>
    <w:qFormat/>
    <w:uiPriority w:val="0"/>
    <w:pPr>
      <w:numPr>
        <w:ilvl w:val="1"/>
        <w:numId w:val="106"/>
      </w:numPr>
      <w:spacing w:line="360" w:lineRule="auto"/>
    </w:pPr>
    <w:rPr>
      <w:sz w:val="24"/>
    </w:rPr>
  </w:style>
  <w:style w:type="paragraph" w:customStyle="1" w:styleId="3079">
    <w:name w:val="_Style 8"/>
    <w:basedOn w:val="1"/>
    <w:qFormat/>
    <w:uiPriority w:val="0"/>
    <w:pPr>
      <w:spacing w:line="360" w:lineRule="auto"/>
      <w:ind w:firstLine="420" w:firstLineChars="200"/>
    </w:pPr>
    <w:rPr>
      <w:rFonts w:ascii="Times New Roman" w:hAnsi="Times New Roman"/>
      <w:sz w:val="24"/>
    </w:rPr>
  </w:style>
  <w:style w:type="character" w:customStyle="1" w:styleId="3080">
    <w:name w:val="font191"/>
    <w:basedOn w:val="136"/>
    <w:qFormat/>
    <w:uiPriority w:val="0"/>
    <w:rPr>
      <w:rFonts w:hint="eastAsia" w:ascii="宋体" w:hAnsi="宋体" w:eastAsia="宋体" w:cs="宋体"/>
      <w:color w:val="000000"/>
      <w:sz w:val="20"/>
      <w:szCs w:val="20"/>
      <w:u w:val="none"/>
    </w:rPr>
  </w:style>
  <w:style w:type="character" w:customStyle="1" w:styleId="3081">
    <w:name w:val="font141"/>
    <w:basedOn w:val="136"/>
    <w:qFormat/>
    <w:uiPriority w:val="0"/>
    <w:rPr>
      <w:rFonts w:ascii="Calibri" w:hAnsi="Calibri" w:cs="Calibri"/>
      <w:color w:val="000000"/>
      <w:sz w:val="20"/>
      <w:szCs w:val="20"/>
      <w:u w:val="none"/>
    </w:rPr>
  </w:style>
  <w:style w:type="character" w:customStyle="1" w:styleId="3082">
    <w:name w:val="标书正文:  0.74 厘米 Char"/>
    <w:link w:val="3083"/>
    <w:qFormat/>
    <w:locked/>
    <w:uiPriority w:val="0"/>
    <w:rPr>
      <w:rFonts w:ascii="宋体" w:hAnsi="宋体" w:cs="宋体"/>
      <w:sz w:val="24"/>
    </w:rPr>
  </w:style>
  <w:style w:type="paragraph" w:customStyle="1" w:styleId="3083">
    <w:name w:val="标书正文:  0.74 厘米"/>
    <w:basedOn w:val="1"/>
    <w:link w:val="3082"/>
    <w:qFormat/>
    <w:uiPriority w:val="0"/>
    <w:pPr>
      <w:snapToGrid w:val="0"/>
      <w:spacing w:line="360" w:lineRule="auto"/>
      <w:ind w:firstLine="420"/>
    </w:pPr>
    <w:rPr>
      <w:rFonts w:ascii="宋体" w:hAnsi="宋体" w:eastAsia="宋体" w:cs="宋体"/>
      <w:kern w:val="0"/>
      <w:sz w:val="24"/>
      <w:szCs w:val="20"/>
    </w:rPr>
  </w:style>
  <w:style w:type="character" w:customStyle="1" w:styleId="3084">
    <w:name w:val="表头文字 Char"/>
    <w:link w:val="563"/>
    <w:qFormat/>
    <w:uiPriority w:val="0"/>
    <w:rPr>
      <w:kern w:val="2"/>
      <w:sz w:val="18"/>
    </w:rPr>
  </w:style>
  <w:style w:type="character" w:customStyle="1" w:styleId="3085">
    <w:name w:val="*正文 Char Char"/>
    <w:qFormat/>
    <w:uiPriority w:val="0"/>
    <w:rPr>
      <w:rFonts w:ascii="宋体" w:hAnsi="宋体"/>
      <w:sz w:val="24"/>
      <w:szCs w:val="24"/>
    </w:rPr>
  </w:style>
  <w:style w:type="paragraph" w:customStyle="1" w:styleId="3086">
    <w:name w:val="GEO正文"/>
    <w:basedOn w:val="1"/>
    <w:link w:val="3087"/>
    <w:qFormat/>
    <w:uiPriority w:val="0"/>
    <w:pPr>
      <w:widowControl/>
      <w:spacing w:line="360" w:lineRule="auto"/>
      <w:ind w:firstLine="200" w:firstLineChars="200"/>
    </w:pPr>
    <w:rPr>
      <w:rFonts w:ascii="Times New Roman" w:hAnsi="Times New Roman" w:eastAsia="宋体" w:cs="Times New Roman"/>
      <w:kern w:val="0"/>
      <w:sz w:val="28"/>
      <w:szCs w:val="20"/>
      <w:lang w:val="zh-CN"/>
    </w:rPr>
  </w:style>
  <w:style w:type="character" w:customStyle="1" w:styleId="3087">
    <w:name w:val="GEO正文 Char"/>
    <w:link w:val="3086"/>
    <w:qFormat/>
    <w:uiPriority w:val="0"/>
    <w:rPr>
      <w:sz w:val="28"/>
      <w:lang w:val="zh-CN"/>
    </w:rPr>
  </w:style>
  <w:style w:type="paragraph" w:customStyle="1" w:styleId="3088">
    <w:name w:val="正文（用这个）"/>
    <w:basedOn w:val="1"/>
    <w:link w:val="3089"/>
    <w:qFormat/>
    <w:uiPriority w:val="0"/>
    <w:pPr>
      <w:spacing w:line="360" w:lineRule="auto"/>
      <w:ind w:firstLine="200" w:firstLineChars="200"/>
    </w:pPr>
    <w:rPr>
      <w:rFonts w:eastAsia="宋体"/>
      <w:sz w:val="28"/>
    </w:rPr>
  </w:style>
  <w:style w:type="character" w:customStyle="1" w:styleId="3089">
    <w:name w:val="正文（用这个） 字符"/>
    <w:basedOn w:val="136"/>
    <w:link w:val="3088"/>
    <w:qFormat/>
    <w:uiPriority w:val="0"/>
    <w:rPr>
      <w:rFonts w:asciiTheme="minorHAnsi" w:hAnsiTheme="minorHAnsi" w:cstheme="minorBidi"/>
      <w:kern w:val="2"/>
      <w:sz w:val="28"/>
      <w:szCs w:val="22"/>
    </w:rPr>
  </w:style>
  <w:style w:type="paragraph" w:customStyle="1" w:styleId="3090">
    <w:name w:val="默认段落字体 Para Char Char Char Char Char Char Char Char Char1 Char Char Char Char"/>
    <w:basedOn w:val="1"/>
    <w:qFormat/>
    <w:uiPriority w:val="0"/>
    <w:pPr>
      <w:spacing w:line="360" w:lineRule="auto"/>
      <w:ind w:firstLine="420"/>
    </w:pPr>
    <w:rPr>
      <w:rFonts w:ascii="宋体" w:hAnsi="宋体" w:eastAsia="宋体"/>
      <w:sz w:val="24"/>
    </w:rPr>
  </w:style>
  <w:style w:type="character" w:customStyle="1" w:styleId="3091">
    <w:name w:val="未处理的提及8"/>
    <w:basedOn w:val="136"/>
    <w:semiHidden/>
    <w:unhideWhenUsed/>
    <w:qFormat/>
    <w:uiPriority w:val="99"/>
    <w:rPr>
      <w:color w:val="605E5C"/>
      <w:shd w:val="clear" w:color="auto" w:fill="E1DFDD"/>
    </w:rPr>
  </w:style>
  <w:style w:type="character" w:customStyle="1" w:styleId="3092">
    <w:name w:val="未处理的提及9"/>
    <w:basedOn w:val="136"/>
    <w:semiHidden/>
    <w:unhideWhenUsed/>
    <w:qFormat/>
    <w:uiPriority w:val="99"/>
    <w:rPr>
      <w:color w:val="605E5C"/>
      <w:shd w:val="clear" w:color="auto" w:fill="E1DFDD"/>
    </w:rPr>
  </w:style>
  <w:style w:type="character" w:customStyle="1" w:styleId="3093">
    <w:name w:val="未处理的提及10"/>
    <w:basedOn w:val="136"/>
    <w:semiHidden/>
    <w:unhideWhenUsed/>
    <w:qFormat/>
    <w:uiPriority w:val="99"/>
    <w:rPr>
      <w:color w:val="605E5C"/>
      <w:shd w:val="clear" w:color="auto" w:fill="E1DFDD"/>
    </w:rPr>
  </w:style>
  <w:style w:type="paragraph" w:customStyle="1" w:styleId="3094">
    <w:name w:val="TOC 标题4"/>
    <w:basedOn w:val="4"/>
    <w:next w:val="1"/>
    <w:unhideWhenUsed/>
    <w:qFormat/>
    <w:uiPriority w:val="0"/>
    <w:pPr>
      <w:widowControl/>
      <w:numPr>
        <w:numId w:val="0"/>
      </w:numPr>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3095">
    <w:name w:val="方案副标题"/>
    <w:basedOn w:val="1"/>
    <w:link w:val="3096"/>
    <w:qFormat/>
    <w:uiPriority w:val="0"/>
    <w:pPr>
      <w:spacing w:after="25" w:afterLines="25" w:line="360" w:lineRule="auto"/>
    </w:pPr>
    <w:rPr>
      <w:rFonts w:eastAsia="宋体"/>
      <w:sz w:val="24"/>
    </w:rPr>
  </w:style>
  <w:style w:type="character" w:customStyle="1" w:styleId="3096">
    <w:name w:val="方案副标题 字符"/>
    <w:basedOn w:val="136"/>
    <w:link w:val="3095"/>
    <w:qFormat/>
    <w:uiPriority w:val="0"/>
    <w:rPr>
      <w:rFonts w:asciiTheme="minorHAnsi" w:hAnsiTheme="minorHAnsi" w:cstheme="minorBidi"/>
      <w:kern w:val="2"/>
      <w:sz w:val="24"/>
      <w:szCs w:val="22"/>
    </w:rPr>
  </w:style>
  <w:style w:type="character" w:customStyle="1" w:styleId="3097">
    <w:name w:val="纯文本 Char"/>
    <w:qFormat/>
    <w:uiPriority w:val="0"/>
    <w:rPr>
      <w:rFonts w:ascii="宋体" w:hAnsi="Courier New" w:eastAsia="宋体" w:cs="Courier New"/>
      <w:szCs w:val="21"/>
    </w:rPr>
  </w:style>
  <w:style w:type="paragraph" w:customStyle="1" w:styleId="3098">
    <w:name w:val="样式 样式 正文首行缩进 + 首行缩进:  1 字符 + 首行缩进:  1 字符"/>
    <w:basedOn w:val="1"/>
    <w:qFormat/>
    <w:uiPriority w:val="0"/>
    <w:pPr>
      <w:spacing w:after="60" w:afterLines="25" w:line="360" w:lineRule="auto"/>
      <w:ind w:firstLine="480" w:firstLineChars="200"/>
    </w:pPr>
    <w:rPr>
      <w:rFonts w:ascii="Times New Roman" w:hAnsi="Times New Roman" w:eastAsia="华文宋体" w:cs="Times New Roman"/>
      <w:sz w:val="24"/>
      <w:szCs w:val="20"/>
    </w:rPr>
  </w:style>
  <w:style w:type="paragraph" w:customStyle="1" w:styleId="3099">
    <w:name w:val="样式 正文缩进特点表正文正文非缩进段1标题4ALT+Z水上软件正文双线正文（图说明文字居中）首行缩进标题四...4"/>
    <w:basedOn w:val="55"/>
    <w:next w:val="55"/>
    <w:semiHidden/>
    <w:qFormat/>
    <w:uiPriority w:val="0"/>
    <w:pPr>
      <w:adjustRightInd w:val="0"/>
      <w:spacing w:before="50" w:beforeLines="50" w:after="50" w:afterLines="50" w:line="300" w:lineRule="auto"/>
      <w:ind w:left="0" w:leftChars="0" w:firstLine="480" w:firstLineChars="200"/>
    </w:pPr>
    <w:rPr>
      <w:rFonts w:ascii="Times New Roman" w:hAnsi="Times New Roman" w:eastAsia="华文宋体" w:cs="宋体"/>
      <w:sz w:val="24"/>
      <w:szCs w:val="20"/>
      <w:lang w:val="zh-CN"/>
    </w:rPr>
  </w:style>
  <w:style w:type="paragraph" w:customStyle="1" w:styleId="3100">
    <w:name w:val="4号正文"/>
    <w:basedOn w:val="28"/>
    <w:link w:val="3101"/>
    <w:qFormat/>
    <w:uiPriority w:val="0"/>
    <w:pPr>
      <w:spacing w:after="156" w:afterLines="50"/>
      <w:ind w:firstLine="560" w:firstLineChars="200"/>
    </w:pPr>
    <w:rPr>
      <w:rFonts w:eastAsia="华文宋体"/>
      <w:sz w:val="28"/>
      <w:szCs w:val="28"/>
      <w:lang w:val="zh-CN"/>
    </w:rPr>
  </w:style>
  <w:style w:type="character" w:customStyle="1" w:styleId="3101">
    <w:name w:val="4号正文 Char"/>
    <w:link w:val="3100"/>
    <w:qFormat/>
    <w:uiPriority w:val="0"/>
    <w:rPr>
      <w:rFonts w:eastAsia="华文宋体"/>
      <w:kern w:val="2"/>
      <w:sz w:val="28"/>
      <w:szCs w:val="28"/>
      <w:lang w:val="zh-CN"/>
    </w:rPr>
  </w:style>
  <w:style w:type="paragraph" w:customStyle="1" w:styleId="3102">
    <w:name w:val="哈哈图"/>
    <w:basedOn w:val="1"/>
    <w:qFormat/>
    <w:uiPriority w:val="0"/>
    <w:pPr>
      <w:spacing w:after="60" w:afterLines="25" w:line="360" w:lineRule="auto"/>
      <w:ind w:firstLine="480" w:firstLineChars="200"/>
      <w:jc w:val="center"/>
    </w:pPr>
    <w:rPr>
      <w:rFonts w:ascii="Times New Roman" w:hAnsi="Times New Roman" w:eastAsia="华文宋体" w:cs="Times New Roman"/>
      <w:sz w:val="24"/>
      <w:szCs w:val="24"/>
    </w:rPr>
  </w:style>
  <w:style w:type="character" w:customStyle="1" w:styleId="3103">
    <w:name w:val="正文 首行缩进:  2 字符 Char Char Char Char Char Char"/>
    <w:qFormat/>
    <w:uiPriority w:val="0"/>
    <w:rPr>
      <w:rFonts w:ascii="宋体" w:hAnsi="宋体" w:cs="宋体"/>
      <w:sz w:val="24"/>
      <w:szCs w:val="24"/>
    </w:rPr>
  </w:style>
  <w:style w:type="character" w:customStyle="1" w:styleId="3104">
    <w:name w:val="ptitle1"/>
    <w:qFormat/>
    <w:uiPriority w:val="0"/>
    <w:rPr>
      <w:rFonts w:hint="default" w:ascii="Arial" w:hAnsi="Arial" w:cs="Arial"/>
      <w:b/>
      <w:bCs/>
      <w:i/>
      <w:iCs/>
      <w:color w:val="7D847C"/>
      <w:sz w:val="38"/>
      <w:szCs w:val="38"/>
    </w:rPr>
  </w:style>
  <w:style w:type="character" w:customStyle="1" w:styleId="3105">
    <w:name w:val="style11"/>
    <w:qFormat/>
    <w:uiPriority w:val="0"/>
    <w:rPr>
      <w:rFonts w:ascii="Tahoma" w:hAnsi="Tahoma" w:eastAsia="宋体"/>
      <w:b/>
      <w:bCs/>
      <w:color w:val="000000"/>
      <w:kern w:val="2"/>
      <w:sz w:val="24"/>
      <w:szCs w:val="24"/>
      <w:lang w:val="en-US" w:eastAsia="zh-CN" w:bidi="ar-SA"/>
    </w:rPr>
  </w:style>
  <w:style w:type="character" w:customStyle="1" w:styleId="3106">
    <w:name w:val="style27"/>
    <w:qFormat/>
    <w:uiPriority w:val="0"/>
  </w:style>
  <w:style w:type="character" w:customStyle="1" w:styleId="3107">
    <w:name w:val="普通文字1 Char Char"/>
    <w:qFormat/>
    <w:uiPriority w:val="0"/>
    <w:rPr>
      <w:rFonts w:ascii="宋体" w:hAnsi="Courier New" w:eastAsia="宋体"/>
      <w:kern w:val="2"/>
      <w:sz w:val="21"/>
      <w:lang w:val="en-US" w:eastAsia="zh-CN"/>
    </w:rPr>
  </w:style>
  <w:style w:type="character" w:customStyle="1" w:styleId="3108">
    <w:name w:val="font10pt"/>
    <w:basedOn w:val="136"/>
    <w:qFormat/>
    <w:uiPriority w:val="0"/>
  </w:style>
  <w:style w:type="character" w:customStyle="1" w:styleId="3109">
    <w:name w:val="Char Char15"/>
    <w:qFormat/>
    <w:uiPriority w:val="0"/>
    <w:rPr>
      <w:kern w:val="2"/>
      <w:sz w:val="21"/>
    </w:rPr>
  </w:style>
  <w:style w:type="character" w:customStyle="1" w:styleId="3110">
    <w:name w:val="标准正文 Char Char Char"/>
    <w:qFormat/>
    <w:uiPriority w:val="0"/>
    <w:rPr>
      <w:rFonts w:eastAsia="仿宋_GB2312"/>
      <w:sz w:val="30"/>
      <w:szCs w:val="30"/>
    </w:rPr>
  </w:style>
  <w:style w:type="character" w:customStyle="1" w:styleId="3111">
    <w:name w:val="a91"/>
    <w:qFormat/>
    <w:uiPriority w:val="0"/>
    <w:rPr>
      <w:sz w:val="18"/>
      <w:szCs w:val="18"/>
    </w:rPr>
  </w:style>
  <w:style w:type="character" w:customStyle="1" w:styleId="3112">
    <w:name w:val="图名 Char Char"/>
    <w:qFormat/>
    <w:uiPriority w:val="0"/>
    <w:rPr>
      <w:rFonts w:ascii="Calibri" w:hAnsi="Calibri" w:eastAsia="黑体" w:cstheme="minorBidi"/>
      <w:b/>
      <w:kern w:val="2"/>
      <w:sz w:val="24"/>
      <w:szCs w:val="22"/>
    </w:rPr>
  </w:style>
  <w:style w:type="character" w:customStyle="1" w:styleId="3113">
    <w:name w:val="（符号）三标题1.1 Char Char"/>
    <w:qFormat/>
    <w:uiPriority w:val="0"/>
    <w:rPr>
      <w:rFonts w:ascii="宋体" w:hAnsi="宋体"/>
      <w:kern w:val="2"/>
      <w:sz w:val="24"/>
      <w:szCs w:val="24"/>
    </w:rPr>
  </w:style>
  <w:style w:type="character" w:customStyle="1" w:styleId="3114">
    <w:name w:val="Char Char5"/>
    <w:qFormat/>
    <w:uiPriority w:val="0"/>
    <w:rPr>
      <w:rFonts w:ascii="宋体"/>
      <w:sz w:val="28"/>
    </w:rPr>
  </w:style>
  <w:style w:type="character" w:customStyle="1" w:styleId="3115">
    <w:name w:val="h Char1"/>
    <w:qFormat/>
    <w:uiPriority w:val="0"/>
    <w:rPr>
      <w:rFonts w:ascii="宋体"/>
      <w:sz w:val="18"/>
    </w:rPr>
  </w:style>
  <w:style w:type="character" w:customStyle="1" w:styleId="3116">
    <w:name w:val="华昊6 Char"/>
    <w:qFormat/>
    <w:uiPriority w:val="9"/>
    <w:rPr>
      <w:rFonts w:ascii="Arial" w:hAnsi="Arial" w:eastAsia="黑体"/>
      <w:b/>
      <w:kern w:val="2"/>
      <w:sz w:val="24"/>
    </w:rPr>
  </w:style>
  <w:style w:type="character" w:customStyle="1" w:styleId="3117">
    <w:name w:val="zw"/>
    <w:qFormat/>
    <w:uiPriority w:val="0"/>
  </w:style>
  <w:style w:type="character" w:customStyle="1" w:styleId="3118">
    <w:name w:val="（符号）三标题1.1 Char"/>
    <w:link w:val="3119"/>
    <w:qFormat/>
    <w:locked/>
    <w:uiPriority w:val="0"/>
    <w:rPr>
      <w:rFonts w:ascii="宋体" w:hAnsi="宋体"/>
      <w:sz w:val="24"/>
      <w:szCs w:val="24"/>
    </w:rPr>
  </w:style>
  <w:style w:type="paragraph" w:customStyle="1" w:styleId="3119">
    <w:name w:val="（符号）三标题1.1"/>
    <w:basedOn w:val="1"/>
    <w:link w:val="3118"/>
    <w:qFormat/>
    <w:uiPriority w:val="0"/>
    <w:pPr>
      <w:tabs>
        <w:tab w:val="left" w:pos="700"/>
      </w:tabs>
      <w:spacing w:after="60" w:afterLines="25" w:line="500" w:lineRule="exact"/>
      <w:ind w:left="840" w:hanging="420" w:firstLineChars="200"/>
    </w:pPr>
    <w:rPr>
      <w:rFonts w:ascii="宋体" w:hAnsi="宋体" w:eastAsia="宋体" w:cs="Times New Roman"/>
      <w:kern w:val="0"/>
      <w:sz w:val="24"/>
      <w:szCs w:val="24"/>
    </w:rPr>
  </w:style>
  <w:style w:type="character" w:customStyle="1" w:styleId="3120">
    <w:name w:val="Char Char23"/>
    <w:qFormat/>
    <w:uiPriority w:val="0"/>
    <w:rPr>
      <w:rFonts w:ascii="Arial" w:hAnsi="Arial" w:eastAsia="黑体"/>
      <w:b/>
      <w:kern w:val="2"/>
      <w:sz w:val="28"/>
    </w:rPr>
  </w:style>
  <w:style w:type="character" w:customStyle="1" w:styleId="3121">
    <w:name w:val="style21"/>
    <w:qFormat/>
    <w:uiPriority w:val="0"/>
    <w:rPr>
      <w:b/>
      <w:bCs/>
      <w:color w:val="FF9900"/>
    </w:rPr>
  </w:style>
  <w:style w:type="character" w:customStyle="1" w:styleId="3122">
    <w:name w:val="fo Char"/>
    <w:qFormat/>
    <w:uiPriority w:val="0"/>
    <w:rPr>
      <w:rFonts w:ascii="宋体"/>
      <w:sz w:val="18"/>
    </w:rPr>
  </w:style>
  <w:style w:type="character" w:customStyle="1" w:styleId="3123">
    <w:name w:val="unnamed21"/>
    <w:qFormat/>
    <w:uiPriority w:val="0"/>
  </w:style>
  <w:style w:type="character" w:customStyle="1" w:styleId="3124">
    <w:name w:val="font81"/>
    <w:qFormat/>
    <w:uiPriority w:val="0"/>
    <w:rPr>
      <w:rFonts w:hint="eastAsia" w:ascii="宋体" w:hAnsi="宋体" w:eastAsia="宋体" w:cs="宋体"/>
      <w:color w:val="000000"/>
      <w:sz w:val="21"/>
      <w:szCs w:val="21"/>
    </w:rPr>
  </w:style>
  <w:style w:type="character" w:customStyle="1" w:styleId="3125">
    <w:name w:val="textnorm_chn1"/>
    <w:qFormat/>
    <w:uiPriority w:val="0"/>
    <w:rPr>
      <w:rFonts w:hint="default" w:ascii="Arial" w:hAnsi="Arial" w:cs="Arial"/>
      <w:color w:val="21254A"/>
      <w:sz w:val="22"/>
      <w:szCs w:val="22"/>
    </w:rPr>
  </w:style>
  <w:style w:type="character" w:customStyle="1" w:styleId="3126">
    <w:name w:val="正文（缩进） Char Char"/>
    <w:qFormat/>
    <w:uiPriority w:val="0"/>
    <w:rPr>
      <w:sz w:val="24"/>
      <w:szCs w:val="24"/>
    </w:rPr>
  </w:style>
  <w:style w:type="character" w:customStyle="1" w:styleId="3127">
    <w:name w:val="正文文字缩进 2 Char Char"/>
    <w:qFormat/>
    <w:locked/>
    <w:uiPriority w:val="0"/>
    <w:rPr>
      <w:rFonts w:ascii="宋体"/>
      <w:kern w:val="2"/>
      <w:sz w:val="28"/>
    </w:rPr>
  </w:style>
  <w:style w:type="character" w:customStyle="1" w:styleId="3128">
    <w:name w:val="a21"/>
    <w:qFormat/>
    <w:uiPriority w:val="0"/>
    <w:rPr>
      <w:rFonts w:hint="default" w:ascii="??" w:hAnsi="??" w:cs="??"/>
      <w:sz w:val="18"/>
      <w:szCs w:val="18"/>
    </w:rPr>
  </w:style>
  <w:style w:type="character" w:customStyle="1" w:styleId="3129">
    <w:name w:val="black11"/>
    <w:qFormat/>
    <w:uiPriority w:val="0"/>
  </w:style>
  <w:style w:type="character" w:customStyle="1" w:styleId="3130">
    <w:name w:val="Char Char7"/>
    <w:qFormat/>
    <w:uiPriority w:val="0"/>
    <w:rPr>
      <w:rFonts w:ascii="宋体"/>
      <w:sz w:val="28"/>
    </w:rPr>
  </w:style>
  <w:style w:type="character" w:customStyle="1" w:styleId="3131">
    <w:name w:val="Char Char22"/>
    <w:qFormat/>
    <w:uiPriority w:val="0"/>
    <w:rPr>
      <w:b/>
      <w:kern w:val="2"/>
      <w:sz w:val="28"/>
    </w:rPr>
  </w:style>
  <w:style w:type="character" w:customStyle="1" w:styleId="3132">
    <w:name w:val="font111"/>
    <w:qFormat/>
    <w:uiPriority w:val="0"/>
    <w:rPr>
      <w:rFonts w:hint="eastAsia" w:ascii="宋体" w:hAnsi="宋体" w:eastAsia="宋体" w:cs="宋体"/>
      <w:color w:val="000000"/>
      <w:sz w:val="22"/>
      <w:szCs w:val="22"/>
    </w:rPr>
  </w:style>
  <w:style w:type="character" w:customStyle="1" w:styleId="3133">
    <w:name w:val="lineitems1"/>
    <w:qFormat/>
    <w:uiPriority w:val="0"/>
    <w:rPr>
      <w:sz w:val="17"/>
      <w:szCs w:val="17"/>
    </w:rPr>
  </w:style>
  <w:style w:type="character" w:customStyle="1" w:styleId="3134">
    <w:name w:val="（符号）邀请函中一、"/>
    <w:qFormat/>
    <w:uiPriority w:val="0"/>
    <w:rPr>
      <w:rFonts w:hint="eastAsia" w:ascii="黑体" w:hAnsi="黑体" w:eastAsia="黑体"/>
      <w:b/>
      <w:bCs/>
      <w:sz w:val="24"/>
    </w:rPr>
  </w:style>
  <w:style w:type="character" w:customStyle="1" w:styleId="3135">
    <w:name w:val="Char Char24"/>
    <w:qFormat/>
    <w:uiPriority w:val="0"/>
    <w:rPr>
      <w:b/>
      <w:kern w:val="2"/>
      <w:sz w:val="32"/>
    </w:rPr>
  </w:style>
  <w:style w:type="character" w:customStyle="1" w:styleId="3136">
    <w:name w:val="正文（居中） Char Char"/>
    <w:link w:val="3137"/>
    <w:qFormat/>
    <w:uiPriority w:val="0"/>
    <w:rPr>
      <w:rFonts w:ascii="宋体" w:hAnsi="宋体"/>
      <w:sz w:val="24"/>
      <w:szCs w:val="24"/>
    </w:rPr>
  </w:style>
  <w:style w:type="paragraph" w:customStyle="1" w:styleId="3137">
    <w:name w:val="正文（居中）"/>
    <w:basedOn w:val="1"/>
    <w:link w:val="3136"/>
    <w:qFormat/>
    <w:uiPriority w:val="0"/>
    <w:pPr>
      <w:spacing w:before="156" w:beforeLines="50" w:after="156" w:afterLines="50" w:line="360" w:lineRule="auto"/>
      <w:ind w:left="992" w:hanging="992" w:firstLineChars="200"/>
      <w:jc w:val="center"/>
    </w:pPr>
    <w:rPr>
      <w:rFonts w:ascii="宋体" w:hAnsi="宋体" w:eastAsia="宋体" w:cs="Times New Roman"/>
      <w:kern w:val="0"/>
      <w:sz w:val="24"/>
      <w:szCs w:val="24"/>
    </w:rPr>
  </w:style>
  <w:style w:type="character" w:customStyle="1" w:styleId="3138">
    <w:name w:val="段落 Char1"/>
    <w:link w:val="3139"/>
    <w:qFormat/>
    <w:uiPriority w:val="0"/>
    <w:rPr>
      <w:rFonts w:eastAsia="仿宋_GB2312"/>
      <w:sz w:val="28"/>
      <w:szCs w:val="24"/>
    </w:rPr>
  </w:style>
  <w:style w:type="paragraph" w:customStyle="1" w:styleId="3139">
    <w:name w:val="段落"/>
    <w:link w:val="3138"/>
    <w:qFormat/>
    <w:uiPriority w:val="0"/>
    <w:pPr>
      <w:adjustRightInd w:val="0"/>
      <w:snapToGrid w:val="0"/>
      <w:spacing w:before="120" w:after="120" w:line="360" w:lineRule="auto"/>
      <w:ind w:firstLine="560" w:firstLineChars="200"/>
      <w:jc w:val="both"/>
    </w:pPr>
    <w:rPr>
      <w:rFonts w:ascii="Times New Roman" w:hAnsi="Times New Roman" w:eastAsia="仿宋_GB2312" w:cs="Times New Roman"/>
      <w:sz w:val="28"/>
      <w:szCs w:val="24"/>
      <w:lang w:val="en-US" w:eastAsia="zh-CN" w:bidi="ar-SA"/>
    </w:rPr>
  </w:style>
  <w:style w:type="character" w:customStyle="1" w:styleId="3140">
    <w:name w:val="文字 Char Char"/>
    <w:qFormat/>
    <w:uiPriority w:val="0"/>
    <w:rPr>
      <w:rFonts w:ascii="宋体"/>
      <w:sz w:val="28"/>
    </w:rPr>
  </w:style>
  <w:style w:type="character" w:customStyle="1" w:styleId="3141">
    <w:name w:val="content_20061"/>
    <w:qFormat/>
    <w:uiPriority w:val="0"/>
    <w:rPr>
      <w:color w:val="000000"/>
      <w:sz w:val="21"/>
      <w:szCs w:val="21"/>
    </w:rPr>
  </w:style>
  <w:style w:type="character" w:customStyle="1" w:styleId="3142">
    <w:name w:val="11-正文 Char Char"/>
    <w:link w:val="1926"/>
    <w:qFormat/>
    <w:uiPriority w:val="0"/>
    <w:rPr>
      <w:rFonts w:ascii="Calibri" w:hAnsi="Calibri" w:cs="宋体"/>
    </w:rPr>
  </w:style>
  <w:style w:type="character" w:customStyle="1" w:styleId="3143">
    <w:name w:val="测试样式 Char Char"/>
    <w:qFormat/>
    <w:uiPriority w:val="0"/>
    <w:rPr>
      <w:rFonts w:ascii="宋体" w:hAnsi="宋体"/>
      <w:color w:val="000000"/>
      <w:kern w:val="2"/>
      <w:sz w:val="28"/>
      <w:szCs w:val="28"/>
    </w:rPr>
  </w:style>
  <w:style w:type="character" w:customStyle="1" w:styleId="3144">
    <w:name w:val="Char Char17"/>
    <w:qFormat/>
    <w:uiPriority w:val="0"/>
    <w:rPr>
      <w:b/>
      <w:bCs/>
      <w:kern w:val="2"/>
      <w:sz w:val="21"/>
    </w:rPr>
  </w:style>
  <w:style w:type="character" w:customStyle="1" w:styleId="3145">
    <w:name w:val="标准正文 Char Char Char Char"/>
    <w:qFormat/>
    <w:uiPriority w:val="0"/>
    <w:rPr>
      <w:rFonts w:ascii="Verdana" w:hAnsi="Verdana"/>
      <w:kern w:val="2"/>
      <w:sz w:val="24"/>
      <w:szCs w:val="24"/>
    </w:rPr>
  </w:style>
  <w:style w:type="character" w:customStyle="1" w:styleId="3146">
    <w:name w:val="样式 小四 行距: 1.5 倍行距 首行缩进:  2 字符 Char Char"/>
    <w:qFormat/>
    <w:uiPriority w:val="0"/>
    <w:rPr>
      <w:sz w:val="24"/>
      <w:lang w:bidi="ar-SA"/>
    </w:rPr>
  </w:style>
  <w:style w:type="character" w:customStyle="1" w:styleId="3147">
    <w:name w:val="样式 宋体 小四"/>
    <w:qFormat/>
    <w:uiPriority w:val="0"/>
    <w:rPr>
      <w:sz w:val="24"/>
    </w:rPr>
  </w:style>
  <w:style w:type="character" w:customStyle="1" w:styleId="3148">
    <w:name w:val="Char Char21"/>
    <w:qFormat/>
    <w:uiPriority w:val="0"/>
    <w:rPr>
      <w:rFonts w:ascii="Arial" w:hAnsi="Arial" w:eastAsia="黑体"/>
      <w:b/>
      <w:kern w:val="2"/>
      <w:sz w:val="24"/>
    </w:rPr>
  </w:style>
  <w:style w:type="character" w:customStyle="1" w:styleId="3149">
    <w:name w:val="c lh15"/>
    <w:basedOn w:val="136"/>
    <w:qFormat/>
    <w:uiPriority w:val="0"/>
  </w:style>
  <w:style w:type="character" w:customStyle="1" w:styleId="3150">
    <w:name w:val="报告书正文 Char Char Char"/>
    <w:qFormat/>
    <w:uiPriority w:val="0"/>
    <w:rPr>
      <w:rFonts w:ascii="Times" w:hAnsi="Times" w:eastAsia="宋体" w:cs="Times New Roman"/>
      <w:kern w:val="0"/>
      <w:sz w:val="24"/>
    </w:rPr>
  </w:style>
  <w:style w:type="character" w:customStyle="1" w:styleId="3151">
    <w:name w:val="z9unnamed2"/>
    <w:qFormat/>
    <w:uiPriority w:val="0"/>
  </w:style>
  <w:style w:type="character" w:customStyle="1" w:styleId="3152">
    <w:name w:val="表格样式居中 Char Char"/>
    <w:link w:val="3153"/>
    <w:qFormat/>
    <w:uiPriority w:val="0"/>
    <w:rPr>
      <w:rFonts w:eastAsia="仿宋_GB2312"/>
      <w:bCs/>
      <w:kern w:val="44"/>
      <w:szCs w:val="44"/>
    </w:rPr>
  </w:style>
  <w:style w:type="paragraph" w:customStyle="1" w:styleId="3153">
    <w:name w:val="表格样式居中"/>
    <w:link w:val="3152"/>
    <w:qFormat/>
    <w:uiPriority w:val="0"/>
    <w:pPr>
      <w:adjustRightInd w:val="0"/>
      <w:snapToGrid w:val="0"/>
      <w:jc w:val="center"/>
    </w:pPr>
    <w:rPr>
      <w:rFonts w:ascii="Times New Roman" w:hAnsi="Times New Roman" w:eastAsia="仿宋_GB2312" w:cs="Times New Roman"/>
      <w:bCs/>
      <w:kern w:val="44"/>
      <w:szCs w:val="44"/>
      <w:lang w:val="en-US" w:eastAsia="zh-CN" w:bidi="ar-SA"/>
    </w:rPr>
  </w:style>
  <w:style w:type="character" w:customStyle="1" w:styleId="3154">
    <w:name w:val="明显强调4"/>
    <w:qFormat/>
    <w:uiPriority w:val="0"/>
    <w:rPr>
      <w:b/>
      <w:bCs/>
      <w:i/>
      <w:iCs/>
      <w:color w:val="4F81BD"/>
    </w:rPr>
  </w:style>
  <w:style w:type="character" w:customStyle="1" w:styleId="3155">
    <w:name w:val="Char Char19"/>
    <w:qFormat/>
    <w:uiPriority w:val="0"/>
    <w:rPr>
      <w:rFonts w:ascii="Arial" w:hAnsi="Arial" w:eastAsia="黑体"/>
      <w:kern w:val="2"/>
      <w:sz w:val="24"/>
    </w:rPr>
  </w:style>
  <w:style w:type="character" w:customStyle="1" w:styleId="3156">
    <w:name w:val="Char Char14"/>
    <w:qFormat/>
    <w:uiPriority w:val="0"/>
    <w:rPr>
      <w:rFonts w:ascii="宋体" w:hAnsi="宋体"/>
      <w:color w:val="000000"/>
      <w:kern w:val="2"/>
      <w:sz w:val="21"/>
    </w:rPr>
  </w:style>
  <w:style w:type="character" w:customStyle="1" w:styleId="3157">
    <w:name w:val="macro Char"/>
    <w:link w:val="1882"/>
    <w:qFormat/>
    <w:uiPriority w:val="0"/>
    <w:rPr>
      <w:rFonts w:ascii="Courier New" w:hAnsi="Courier New" w:cs="Courier New" w:eastAsiaTheme="minorEastAsia"/>
      <w:kern w:val="2"/>
      <w:sz w:val="24"/>
      <w:szCs w:val="24"/>
    </w:rPr>
  </w:style>
  <w:style w:type="character" w:customStyle="1" w:styleId="3158">
    <w:name w:val="highlight1"/>
    <w:qFormat/>
    <w:uiPriority w:val="0"/>
    <w:rPr>
      <w:sz w:val="13"/>
      <w:szCs w:val="13"/>
    </w:rPr>
  </w:style>
  <w:style w:type="character" w:customStyle="1" w:styleId="3159">
    <w:name w:val="PIM 7 Char"/>
    <w:qFormat/>
    <w:uiPriority w:val="0"/>
    <w:rPr>
      <w:b/>
      <w:kern w:val="2"/>
      <w:sz w:val="24"/>
    </w:rPr>
  </w:style>
  <w:style w:type="character" w:customStyle="1" w:styleId="3160">
    <w:name w:val="上款两地分居奥斯卡的发生空间阿斯顿发生的发生的 Char Char"/>
    <w:qFormat/>
    <w:uiPriority w:val="0"/>
    <w:rPr>
      <w:rFonts w:ascii="宋体" w:hAnsi="宋体"/>
      <w:color w:val="000000"/>
      <w:kern w:val="2"/>
      <w:sz w:val="28"/>
      <w:szCs w:val="28"/>
    </w:rPr>
  </w:style>
  <w:style w:type="character" w:customStyle="1" w:styleId="3161">
    <w:name w:val="样式 宋体 小四 红色 下划线"/>
    <w:qFormat/>
    <w:uiPriority w:val="0"/>
    <w:rPr>
      <w:color w:val="FF0000"/>
      <w:sz w:val="24"/>
      <w:u w:val="single"/>
    </w:rPr>
  </w:style>
  <w:style w:type="character" w:customStyle="1" w:styleId="3162">
    <w:name w:val="Char Char13"/>
    <w:qFormat/>
    <w:uiPriority w:val="0"/>
    <w:rPr>
      <w:rFonts w:ascii="宋体"/>
      <w:sz w:val="28"/>
    </w:rPr>
  </w:style>
  <w:style w:type="character" w:customStyle="1" w:styleId="3163">
    <w:name w:val="哈哈正文 Char Char"/>
    <w:qFormat/>
    <w:uiPriority w:val="0"/>
    <w:rPr>
      <w:rFonts w:ascii="宋体" w:hAnsi="宋体"/>
      <w:sz w:val="24"/>
      <w:lang w:bidi="ar-SA"/>
    </w:rPr>
  </w:style>
  <w:style w:type="character" w:customStyle="1" w:styleId="3164">
    <w:name w:val="f111"/>
    <w:qFormat/>
    <w:uiPriority w:val="0"/>
    <w:rPr>
      <w:sz w:val="22"/>
      <w:szCs w:val="22"/>
    </w:rPr>
  </w:style>
  <w:style w:type="character" w:customStyle="1" w:styleId="3165">
    <w:name w:val="表格样式居左 Char Char"/>
    <w:link w:val="3166"/>
    <w:qFormat/>
    <w:uiPriority w:val="0"/>
    <w:rPr>
      <w:rFonts w:eastAsia="仿宋_GB2312"/>
      <w:bCs/>
      <w:color w:val="000000"/>
      <w:szCs w:val="44"/>
    </w:rPr>
  </w:style>
  <w:style w:type="paragraph" w:customStyle="1" w:styleId="3166">
    <w:name w:val="表格样式居左"/>
    <w:link w:val="3165"/>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3167">
    <w:name w:val="ft-hanggao1"/>
    <w:qFormat/>
    <w:uiPriority w:val="0"/>
    <w:rPr>
      <w:color w:val="000000"/>
      <w:sz w:val="21"/>
      <w:szCs w:val="21"/>
    </w:rPr>
  </w:style>
  <w:style w:type="character" w:customStyle="1" w:styleId="3168">
    <w:name w:val="1.正文 Char Char"/>
    <w:link w:val="3169"/>
    <w:qFormat/>
    <w:uiPriority w:val="0"/>
    <w:rPr>
      <w:sz w:val="24"/>
      <w:szCs w:val="24"/>
    </w:rPr>
  </w:style>
  <w:style w:type="paragraph" w:customStyle="1" w:styleId="3169">
    <w:name w:val="1.正文"/>
    <w:basedOn w:val="1"/>
    <w:link w:val="3168"/>
    <w:qFormat/>
    <w:uiPriority w:val="0"/>
    <w:pPr>
      <w:spacing w:after="60" w:afterLines="25" w:line="360" w:lineRule="auto"/>
      <w:ind w:left="540" w:leftChars="225" w:firstLine="540" w:firstLineChars="225"/>
    </w:pPr>
    <w:rPr>
      <w:rFonts w:ascii="Times New Roman" w:hAnsi="Times New Roman" w:eastAsia="宋体" w:cs="Times New Roman"/>
      <w:kern w:val="0"/>
      <w:sz w:val="24"/>
      <w:szCs w:val="24"/>
    </w:rPr>
  </w:style>
  <w:style w:type="character" w:customStyle="1" w:styleId="3170">
    <w:name w:val="Char Char16"/>
    <w:qFormat/>
    <w:uiPriority w:val="0"/>
    <w:rPr>
      <w:rFonts w:ascii="Cambria" w:hAnsi="Cambria" w:eastAsia="黑体"/>
      <w:kern w:val="2"/>
    </w:rPr>
  </w:style>
  <w:style w:type="character" w:customStyle="1" w:styleId="3171">
    <w:name w:val="样式 小四 行距: 1.5 倍行距 首行缩进:  2 字符 Char Char Char"/>
    <w:qFormat/>
    <w:uiPriority w:val="0"/>
    <w:rPr>
      <w:rFonts w:ascii="Times New Roman" w:hAnsi="Times New Roman" w:eastAsia="宋体" w:cs="宋体"/>
      <w:sz w:val="24"/>
      <w:szCs w:val="20"/>
    </w:rPr>
  </w:style>
  <w:style w:type="character" w:customStyle="1" w:styleId="3172">
    <w:name w:val="bt_content1"/>
    <w:qFormat/>
    <w:uiPriority w:val="0"/>
    <w:rPr>
      <w:sz w:val="24"/>
      <w:szCs w:val="24"/>
    </w:rPr>
  </w:style>
  <w:style w:type="character" w:customStyle="1" w:styleId="3173">
    <w:name w:val="标准正文 Char Char"/>
    <w:qFormat/>
    <w:locked/>
    <w:uiPriority w:val="0"/>
    <w:rPr>
      <w:rFonts w:ascii="Verdana" w:hAnsi="Verdana"/>
      <w:sz w:val="24"/>
      <w:szCs w:val="24"/>
    </w:rPr>
  </w:style>
  <w:style w:type="character" w:customStyle="1" w:styleId="3174">
    <w:name w:val="Char Char10"/>
    <w:qFormat/>
    <w:uiPriority w:val="0"/>
    <w:rPr>
      <w:rFonts w:ascii="Arial" w:hAnsi="Arial" w:eastAsia="黑体"/>
      <w:kern w:val="2"/>
      <w:sz w:val="21"/>
    </w:rPr>
  </w:style>
  <w:style w:type="character" w:customStyle="1" w:styleId="3175">
    <w:name w:val="f101"/>
    <w:qFormat/>
    <w:uiPriority w:val="0"/>
    <w:rPr>
      <w:sz w:val="21"/>
      <w:szCs w:val="21"/>
    </w:rPr>
  </w:style>
  <w:style w:type="character" w:customStyle="1" w:styleId="3176">
    <w:name w:val="Char Char12"/>
    <w:qFormat/>
    <w:uiPriority w:val="0"/>
    <w:rPr>
      <w:kern w:val="2"/>
      <w:sz w:val="18"/>
    </w:rPr>
  </w:style>
  <w:style w:type="character" w:customStyle="1" w:styleId="3177">
    <w:name w:val="Char Char25"/>
    <w:qFormat/>
    <w:uiPriority w:val="0"/>
    <w:rPr>
      <w:rFonts w:ascii="Arial" w:hAnsi="Arial" w:eastAsia="黑体"/>
      <w:b/>
      <w:sz w:val="32"/>
    </w:rPr>
  </w:style>
  <w:style w:type="character" w:customStyle="1" w:styleId="3178">
    <w:name w:val="报告书正文 Char Char"/>
    <w:link w:val="3179"/>
    <w:qFormat/>
    <w:uiPriority w:val="0"/>
    <w:rPr>
      <w:rFonts w:ascii="Times" w:hAnsi="Times"/>
      <w:sz w:val="24"/>
    </w:rPr>
  </w:style>
  <w:style w:type="paragraph" w:customStyle="1" w:styleId="3179">
    <w:name w:val="报告书正文"/>
    <w:basedOn w:val="1"/>
    <w:link w:val="3178"/>
    <w:qFormat/>
    <w:uiPriority w:val="0"/>
    <w:pPr>
      <w:widowControl/>
      <w:adjustRightInd w:val="0"/>
      <w:snapToGrid w:val="0"/>
      <w:spacing w:after="60" w:afterLines="25" w:line="360" w:lineRule="auto"/>
      <w:ind w:firstLine="480" w:firstLineChars="200"/>
      <w:jc w:val="left"/>
    </w:pPr>
    <w:rPr>
      <w:rFonts w:ascii="Times" w:hAnsi="Times" w:eastAsia="宋体" w:cs="Times New Roman"/>
      <w:kern w:val="0"/>
      <w:sz w:val="24"/>
      <w:szCs w:val="20"/>
    </w:rPr>
  </w:style>
  <w:style w:type="character" w:customStyle="1" w:styleId="3180">
    <w:name w:val="正文（黑体） Char Char"/>
    <w:link w:val="3181"/>
    <w:qFormat/>
    <w:uiPriority w:val="0"/>
    <w:rPr>
      <w:rFonts w:ascii="黑体" w:eastAsia="黑体"/>
      <w:color w:val="000080"/>
      <w:sz w:val="24"/>
      <w:szCs w:val="24"/>
    </w:rPr>
  </w:style>
  <w:style w:type="paragraph" w:customStyle="1" w:styleId="3181">
    <w:name w:val="正文（黑体）"/>
    <w:basedOn w:val="1"/>
    <w:next w:val="1"/>
    <w:link w:val="3180"/>
    <w:qFormat/>
    <w:uiPriority w:val="0"/>
    <w:pPr>
      <w:spacing w:before="156" w:beforeLines="50" w:after="156" w:afterLines="50" w:line="360" w:lineRule="auto"/>
      <w:ind w:firstLine="480" w:firstLineChars="200"/>
    </w:pPr>
    <w:rPr>
      <w:rFonts w:ascii="黑体" w:hAnsi="Times New Roman" w:eastAsia="黑体" w:cs="Times New Roman"/>
      <w:color w:val="000080"/>
      <w:kern w:val="0"/>
      <w:sz w:val="24"/>
      <w:szCs w:val="24"/>
    </w:rPr>
  </w:style>
  <w:style w:type="character" w:customStyle="1" w:styleId="3182">
    <w:name w:val="body text Char Char"/>
    <w:qFormat/>
    <w:uiPriority w:val="0"/>
    <w:rPr>
      <w:rFonts w:ascii="宋体" w:hAnsi="宋体"/>
      <w:color w:val="000000"/>
      <w:sz w:val="21"/>
    </w:rPr>
  </w:style>
  <w:style w:type="character" w:customStyle="1" w:styleId="3183">
    <w:name w:val="报告书正文 Char"/>
    <w:qFormat/>
    <w:uiPriority w:val="0"/>
    <w:rPr>
      <w:rFonts w:ascii="Times" w:hAnsi="Times" w:eastAsia="宋体" w:cs="Times New Roman"/>
      <w:kern w:val="0"/>
      <w:sz w:val="24"/>
    </w:rPr>
  </w:style>
  <w:style w:type="character" w:customStyle="1" w:styleId="3184">
    <w:name w:val="Char Char18"/>
    <w:qFormat/>
    <w:uiPriority w:val="0"/>
    <w:rPr>
      <w:rFonts w:ascii="Arial" w:hAnsi="Arial" w:eastAsia="黑体"/>
      <w:kern w:val="2"/>
      <w:sz w:val="21"/>
    </w:rPr>
  </w:style>
  <w:style w:type="character" w:customStyle="1" w:styleId="3185">
    <w:name w:val="正文 居中 Char Char"/>
    <w:qFormat/>
    <w:uiPriority w:val="0"/>
    <w:rPr>
      <w:kern w:val="2"/>
      <w:sz w:val="24"/>
    </w:rPr>
  </w:style>
  <w:style w:type="character" w:customStyle="1" w:styleId="3186">
    <w:name w:val="方案正文段落 Char Char"/>
    <w:qFormat/>
    <w:uiPriority w:val="0"/>
    <w:rPr>
      <w:color w:val="000000"/>
      <w:kern w:val="2"/>
      <w:sz w:val="24"/>
      <w:szCs w:val="24"/>
    </w:rPr>
  </w:style>
  <w:style w:type="character" w:customStyle="1" w:styleId="3187">
    <w:name w:val="word1"/>
    <w:qFormat/>
    <w:uiPriority w:val="0"/>
    <w:rPr>
      <w:sz w:val="18"/>
      <w:szCs w:val="18"/>
    </w:rPr>
  </w:style>
  <w:style w:type="character" w:customStyle="1" w:styleId="3188">
    <w:name w:val="font91"/>
    <w:qFormat/>
    <w:uiPriority w:val="0"/>
    <w:rPr>
      <w:rFonts w:hint="eastAsia" w:ascii="宋体" w:hAnsi="宋体" w:eastAsia="宋体" w:cs="宋体"/>
      <w:b/>
      <w:color w:val="000000"/>
      <w:sz w:val="22"/>
      <w:szCs w:val="22"/>
    </w:rPr>
  </w:style>
  <w:style w:type="character" w:customStyle="1" w:styleId="3189">
    <w:name w:val="Char Char6"/>
    <w:qFormat/>
    <w:uiPriority w:val="0"/>
    <w:rPr>
      <w:kern w:val="2"/>
      <w:sz w:val="18"/>
    </w:rPr>
  </w:style>
  <w:style w:type="character" w:customStyle="1" w:styleId="3190">
    <w:name w:val="Char Char26"/>
    <w:qFormat/>
    <w:uiPriority w:val="0"/>
    <w:rPr>
      <w:b/>
      <w:kern w:val="44"/>
      <w:sz w:val="44"/>
    </w:rPr>
  </w:style>
  <w:style w:type="character" w:customStyle="1" w:styleId="3191">
    <w:name w:val="Plain Text Char"/>
    <w:qFormat/>
    <w:uiPriority w:val="0"/>
    <w:rPr>
      <w:rFonts w:hint="eastAsia" w:ascii="宋体" w:hAnsi="Courier New" w:eastAsia="宋体" w:cs="Courier New"/>
      <w:kern w:val="2"/>
      <w:sz w:val="21"/>
      <w:szCs w:val="21"/>
      <w:lang w:val="en-US" w:eastAsia="zh-CN" w:bidi="ar-SA"/>
    </w:rPr>
  </w:style>
  <w:style w:type="character" w:customStyle="1" w:styleId="3192">
    <w:name w:val="Char Char11"/>
    <w:qFormat/>
    <w:uiPriority w:val="0"/>
    <w:rPr>
      <w:rFonts w:ascii="Arial" w:hAnsi="Arial" w:eastAsia="黑体"/>
      <w:kern w:val="2"/>
      <w:sz w:val="24"/>
    </w:rPr>
  </w:style>
  <w:style w:type="character" w:customStyle="1" w:styleId="3193">
    <w:name w:val="a71"/>
    <w:qFormat/>
    <w:uiPriority w:val="0"/>
    <w:rPr>
      <w:rFonts w:hint="default" w:ascii="??" w:hAnsi="??" w:cs="??"/>
      <w:sz w:val="20"/>
      <w:szCs w:val="20"/>
    </w:rPr>
  </w:style>
  <w:style w:type="character" w:customStyle="1" w:styleId="3194">
    <w:name w:val="哈哈正文 Char Char Char"/>
    <w:qFormat/>
    <w:uiPriority w:val="0"/>
    <w:rPr>
      <w:rFonts w:ascii="宋体" w:hAnsi="宋体"/>
      <w:kern w:val="2"/>
      <w:sz w:val="24"/>
    </w:rPr>
  </w:style>
  <w:style w:type="character" w:customStyle="1" w:styleId="3195">
    <w:name w:val="正文缩进2格 Char Char"/>
    <w:link w:val="3196"/>
    <w:qFormat/>
    <w:locked/>
    <w:uiPriority w:val="0"/>
    <w:rPr>
      <w:rFonts w:ascii="仿宋_GB2312" w:hAnsi="宋体" w:eastAsia="仿宋_GB2312"/>
      <w:sz w:val="28"/>
      <w:szCs w:val="28"/>
    </w:rPr>
  </w:style>
  <w:style w:type="paragraph" w:customStyle="1" w:styleId="3196">
    <w:name w:val="正文缩进2格"/>
    <w:basedOn w:val="1"/>
    <w:link w:val="3195"/>
    <w:qFormat/>
    <w:uiPriority w:val="0"/>
    <w:pPr>
      <w:spacing w:after="60" w:afterLines="25" w:line="600" w:lineRule="exact"/>
      <w:ind w:firstLine="639" w:firstLineChars="206"/>
    </w:pPr>
    <w:rPr>
      <w:rFonts w:ascii="仿宋_GB2312" w:hAnsi="宋体" w:eastAsia="仿宋_GB2312" w:cs="Times New Roman"/>
      <w:kern w:val="0"/>
      <w:sz w:val="28"/>
      <w:szCs w:val="28"/>
    </w:rPr>
  </w:style>
  <w:style w:type="character" w:customStyle="1" w:styleId="3197">
    <w:name w:val="Char Char20"/>
    <w:qFormat/>
    <w:uiPriority w:val="0"/>
    <w:rPr>
      <w:b/>
      <w:kern w:val="2"/>
      <w:sz w:val="24"/>
    </w:rPr>
  </w:style>
  <w:style w:type="paragraph" w:customStyle="1" w:styleId="3198">
    <w:name w:val="p28"/>
    <w:basedOn w:val="1"/>
    <w:qFormat/>
    <w:uiPriority w:val="0"/>
    <w:pPr>
      <w:widowControl/>
      <w:spacing w:after="60" w:afterLines="25" w:line="360" w:lineRule="auto"/>
      <w:ind w:firstLine="420" w:firstLineChars="200"/>
    </w:pPr>
    <w:rPr>
      <w:rFonts w:ascii="Times New Roman" w:hAnsi="Times New Roman" w:eastAsia="华文宋体" w:cs="Times New Roman"/>
      <w:kern w:val="0"/>
      <w:sz w:val="24"/>
      <w:szCs w:val="24"/>
    </w:rPr>
  </w:style>
  <w:style w:type="paragraph" w:customStyle="1" w:styleId="3199">
    <w:name w:val="Char31"/>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00">
    <w:name w:val="圆点标号"/>
    <w:basedOn w:val="1"/>
    <w:qFormat/>
    <w:uiPriority w:val="0"/>
    <w:pPr>
      <w:tabs>
        <w:tab w:val="left" w:pos="900"/>
      </w:tabs>
      <w:spacing w:after="60" w:afterLines="25" w:line="360" w:lineRule="auto"/>
      <w:ind w:left="839" w:hanging="357" w:firstLineChars="200"/>
    </w:pPr>
    <w:rPr>
      <w:rFonts w:ascii="Times New Roman" w:hAnsi="Times New Roman" w:eastAsia="华文宋体" w:cs="Times New Roman"/>
      <w:sz w:val="24"/>
      <w:szCs w:val="24"/>
    </w:rPr>
  </w:style>
  <w:style w:type="paragraph" w:customStyle="1" w:styleId="3201">
    <w:name w:val="p31"/>
    <w:basedOn w:val="1"/>
    <w:qFormat/>
    <w:uiPriority w:val="0"/>
    <w:pPr>
      <w:widowControl/>
      <w:spacing w:after="60" w:afterLines="25" w:line="360" w:lineRule="auto"/>
      <w:ind w:firstLine="420" w:firstLineChars="200"/>
    </w:pPr>
    <w:rPr>
      <w:rFonts w:ascii="Times New Roman" w:hAnsi="Times New Roman" w:eastAsia="华文宋体" w:cs="Times New Roman"/>
      <w:kern w:val="0"/>
      <w:sz w:val="24"/>
      <w:szCs w:val="24"/>
    </w:rPr>
  </w:style>
  <w:style w:type="paragraph" w:customStyle="1" w:styleId="3202">
    <w:name w:val="样式 ˎ̥ 左 首行缩进:  2 字符"/>
    <w:basedOn w:val="1"/>
    <w:qFormat/>
    <w:uiPriority w:val="0"/>
    <w:pPr>
      <w:spacing w:after="60" w:afterLines="25" w:line="360" w:lineRule="auto"/>
      <w:ind w:firstLine="480" w:firstLineChars="200"/>
      <w:jc w:val="left"/>
    </w:pPr>
    <w:rPr>
      <w:rFonts w:ascii="ˎ̥" w:hAnsi="ˎ̥" w:eastAsia="华文宋体" w:cs="Times New Roman"/>
      <w:kern w:val="0"/>
      <w:sz w:val="24"/>
      <w:szCs w:val="20"/>
    </w:rPr>
  </w:style>
  <w:style w:type="paragraph" w:customStyle="1" w:styleId="3203">
    <w:name w:val="（符号）二标题总则"/>
    <w:basedOn w:val="3204"/>
    <w:qFormat/>
    <w:uiPriority w:val="0"/>
  </w:style>
  <w:style w:type="paragraph" w:customStyle="1" w:styleId="3204">
    <w:name w:val="(符号)一标题第一部分"/>
    <w:basedOn w:val="1"/>
    <w:qFormat/>
    <w:uiPriority w:val="0"/>
    <w:pPr>
      <w:spacing w:before="312" w:beforeLines="100" w:after="312" w:afterLines="100" w:line="500" w:lineRule="exact"/>
      <w:ind w:left="90" w:firstLine="480" w:firstLineChars="200"/>
      <w:jc w:val="center"/>
      <w:outlineLvl w:val="1"/>
    </w:pPr>
    <w:rPr>
      <w:rFonts w:ascii="黑体" w:hAnsi="Times New Roman" w:eastAsia="黑体" w:cs="宋体"/>
      <w:b/>
      <w:bCs/>
      <w:sz w:val="32"/>
      <w:szCs w:val="32"/>
    </w:rPr>
  </w:style>
  <w:style w:type="paragraph" w:customStyle="1" w:styleId="3205">
    <w:name w:val="2册标题5"/>
    <w:basedOn w:val="3206"/>
    <w:next w:val="1"/>
    <w:qFormat/>
    <w:uiPriority w:val="0"/>
    <w:pPr>
      <w:ind w:left="720" w:leftChars="300"/>
      <w:outlineLvl w:val="4"/>
    </w:pPr>
    <w:rPr>
      <w:rFonts w:eastAsia="楷体_GB2312"/>
      <w:b/>
    </w:rPr>
  </w:style>
  <w:style w:type="paragraph" w:customStyle="1" w:styleId="3206">
    <w:name w:val="2册标题4"/>
    <w:basedOn w:val="1"/>
    <w:next w:val="1"/>
    <w:qFormat/>
    <w:uiPriority w:val="0"/>
    <w:pPr>
      <w:spacing w:before="156" w:beforeLines="50" w:after="156" w:afterLines="50" w:line="360" w:lineRule="auto"/>
      <w:ind w:left="480" w:leftChars="200" w:firstLine="480" w:firstLineChars="200"/>
      <w:outlineLvl w:val="3"/>
    </w:pPr>
    <w:rPr>
      <w:rFonts w:ascii="Arial" w:hAnsi="Arial" w:eastAsia="黑体" w:cs="Times New Roman"/>
      <w:sz w:val="24"/>
      <w:szCs w:val="20"/>
    </w:rPr>
  </w:style>
  <w:style w:type="paragraph" w:customStyle="1" w:styleId="3207">
    <w:name w:val="正文居中"/>
    <w:basedOn w:val="1"/>
    <w:next w:val="9"/>
    <w:qFormat/>
    <w:uiPriority w:val="0"/>
    <w:pPr>
      <w:adjustRightInd w:val="0"/>
      <w:snapToGrid w:val="0"/>
      <w:spacing w:after="60" w:afterLines="25" w:line="312" w:lineRule="auto"/>
      <w:ind w:firstLine="480" w:firstLineChars="200"/>
      <w:jc w:val="center"/>
    </w:pPr>
    <w:rPr>
      <w:rFonts w:ascii="Times New Roman" w:hAnsi="Times New Roman" w:eastAsia="华文宋体" w:cs="Times New Roman"/>
      <w:sz w:val="24"/>
      <w:szCs w:val="24"/>
    </w:rPr>
  </w:style>
  <w:style w:type="paragraph" w:customStyle="1" w:styleId="3208">
    <w:name w:val="列表正文"/>
    <w:basedOn w:val="1"/>
    <w:qFormat/>
    <w:uiPriority w:val="0"/>
    <w:pPr>
      <w:adjustRightInd w:val="0"/>
      <w:snapToGrid w:val="0"/>
      <w:spacing w:after="60" w:afterLines="25" w:line="312" w:lineRule="auto"/>
      <w:ind w:left="200" w:leftChars="200" w:firstLine="150" w:firstLineChars="150"/>
    </w:pPr>
    <w:rPr>
      <w:rFonts w:ascii="Times New Roman" w:hAnsi="Times New Roman" w:eastAsia="华文宋体" w:cs="Times New Roman"/>
      <w:sz w:val="24"/>
      <w:szCs w:val="24"/>
    </w:rPr>
  </w:style>
  <w:style w:type="paragraph" w:customStyle="1" w:styleId="3209">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3210">
    <w:name w:val="Char14"/>
    <w:basedOn w:val="1"/>
    <w:qFormat/>
    <w:uiPriority w:val="0"/>
    <w:pPr>
      <w:adjustRightInd w:val="0"/>
      <w:spacing w:after="60" w:afterLines="25" w:line="360" w:lineRule="auto"/>
      <w:ind w:firstLine="480" w:firstLineChars="200"/>
    </w:pPr>
    <w:rPr>
      <w:rFonts w:ascii="Times New Roman" w:hAnsi="Times New Roman" w:eastAsia="华文宋体" w:cs="Times New Roman"/>
      <w:kern w:val="0"/>
      <w:sz w:val="24"/>
      <w:szCs w:val="20"/>
    </w:rPr>
  </w:style>
  <w:style w:type="paragraph" w:customStyle="1" w:styleId="3211">
    <w:name w:val="12册标题"/>
    <w:basedOn w:val="1"/>
    <w:next w:val="1"/>
    <w:qFormat/>
    <w:uiPriority w:val="0"/>
    <w:pPr>
      <w:spacing w:before="156" w:beforeLines="50" w:after="156" w:afterLines="50" w:line="360" w:lineRule="auto"/>
      <w:ind w:firstLine="480" w:firstLineChars="200"/>
      <w:jc w:val="center"/>
      <w:outlineLvl w:val="0"/>
    </w:pPr>
    <w:rPr>
      <w:rFonts w:ascii="Arial" w:hAnsi="Arial" w:eastAsia="黑体" w:cs="Times New Roman"/>
      <w:sz w:val="44"/>
      <w:szCs w:val="20"/>
    </w:rPr>
  </w:style>
  <w:style w:type="paragraph" w:customStyle="1" w:styleId="3212">
    <w:name w:val="表"/>
    <w:basedOn w:val="1"/>
    <w:qFormat/>
    <w:uiPriority w:val="0"/>
    <w:pPr>
      <w:adjustRightInd w:val="0"/>
      <w:snapToGrid w:val="0"/>
      <w:spacing w:after="60" w:afterLines="25" w:line="360" w:lineRule="auto"/>
      <w:ind w:firstLine="480" w:firstLineChars="200"/>
    </w:pPr>
    <w:rPr>
      <w:rFonts w:ascii="Times New Roman" w:hAnsi="Times New Roman" w:eastAsia="华文宋体" w:cs="Times New Roman"/>
      <w:color w:val="000000"/>
      <w:kern w:val="0"/>
      <w:sz w:val="24"/>
      <w:szCs w:val="21"/>
    </w:rPr>
  </w:style>
  <w:style w:type="paragraph" w:customStyle="1" w:styleId="3213">
    <w:name w:val="样式 样式 小四 右侧:  0.03 厘米 行距: 1.5 倍行距 + 首行缩进:  2 字符"/>
    <w:basedOn w:val="1"/>
    <w:qFormat/>
    <w:uiPriority w:val="0"/>
    <w:pPr>
      <w:spacing w:after="60" w:afterLines="25" w:line="360" w:lineRule="auto"/>
      <w:ind w:right="17" w:firstLine="420" w:firstLineChars="200"/>
    </w:pPr>
    <w:rPr>
      <w:rFonts w:ascii="Times New Roman" w:hAnsi="Times New Roman" w:eastAsia="华文宋体" w:cs="宋体"/>
      <w:sz w:val="24"/>
      <w:szCs w:val="20"/>
    </w:rPr>
  </w:style>
  <w:style w:type="paragraph" w:customStyle="1" w:styleId="3214">
    <w:name w:val="（符号）目录2"/>
    <w:basedOn w:val="1"/>
    <w:qFormat/>
    <w:uiPriority w:val="0"/>
    <w:pPr>
      <w:spacing w:after="60" w:afterLines="25" w:line="500" w:lineRule="exact"/>
      <w:ind w:left="480" w:firstLine="480" w:firstLineChars="200"/>
    </w:pPr>
    <w:rPr>
      <w:rFonts w:ascii="Times New Roman" w:hAnsi="Times New Roman" w:eastAsia="华文宋体" w:cs="宋体"/>
      <w:sz w:val="24"/>
      <w:szCs w:val="20"/>
    </w:rPr>
  </w:style>
  <w:style w:type="paragraph" w:customStyle="1" w:styleId="3215">
    <w:name w:val="样式 首行缩进:  0.85 厘米"/>
    <w:basedOn w:val="1"/>
    <w:qFormat/>
    <w:uiPriority w:val="0"/>
    <w:pPr>
      <w:spacing w:after="60" w:afterLines="25" w:line="360" w:lineRule="auto"/>
      <w:ind w:firstLine="480" w:firstLineChars="200"/>
    </w:pPr>
    <w:rPr>
      <w:rFonts w:ascii="Times New Roman" w:hAnsi="Times New Roman" w:eastAsia="华文宋体" w:cs="Times New Roman"/>
      <w:sz w:val="24"/>
      <w:szCs w:val="24"/>
    </w:rPr>
  </w:style>
  <w:style w:type="paragraph" w:customStyle="1" w:styleId="3216">
    <w:name w:val="Char1 Char Char Char2"/>
    <w:basedOn w:val="1"/>
    <w:qFormat/>
    <w:uiPriority w:val="0"/>
    <w:pPr>
      <w:tabs>
        <w:tab w:val="left" w:pos="624"/>
      </w:tabs>
      <w:spacing w:after="60" w:afterLines="25" w:line="360" w:lineRule="auto"/>
      <w:ind w:left="360" w:hanging="360" w:firstLineChars="200"/>
    </w:pPr>
    <w:rPr>
      <w:rFonts w:ascii="Times New Roman" w:hAnsi="Times New Roman" w:eastAsia="华文宋体" w:cs="Times New Roman"/>
      <w:sz w:val="24"/>
      <w:szCs w:val="24"/>
    </w:rPr>
  </w:style>
  <w:style w:type="paragraph" w:customStyle="1" w:styleId="3217">
    <w:name w:val="样式 段 + 四号 首行缩进:  2 字符 行距: 1.5 倍行距"/>
    <w:basedOn w:val="1"/>
    <w:qFormat/>
    <w:uiPriority w:val="0"/>
    <w:pPr>
      <w:widowControl/>
      <w:overflowPunct w:val="0"/>
      <w:autoSpaceDE w:val="0"/>
      <w:spacing w:after="60" w:afterLines="25" w:line="360" w:lineRule="auto"/>
      <w:ind w:firstLine="560" w:firstLineChars="200"/>
    </w:pPr>
    <w:rPr>
      <w:rFonts w:ascii="宋体" w:hAnsi="宋体" w:eastAsia="华文宋体" w:cs="宋体"/>
      <w:kern w:val="1"/>
      <w:sz w:val="24"/>
      <w:szCs w:val="24"/>
    </w:rPr>
  </w:style>
  <w:style w:type="paragraph" w:customStyle="1" w:styleId="3218">
    <w:name w:val="Char3"/>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19">
    <w:name w:val="样式 题注 Char Char Char Char Char Char Char CharChar Char Char C..."/>
    <w:basedOn w:val="29"/>
    <w:qFormat/>
    <w:uiPriority w:val="0"/>
    <w:pPr>
      <w:spacing w:before="152" w:after="160" w:afterLines="25"/>
      <w:ind w:firstLine="480" w:firstLineChars="200"/>
    </w:pPr>
    <w:rPr>
      <w:rFonts w:ascii="黑体" w:hAnsi="黑体" w:cs="宋体"/>
      <w:color w:val="000000"/>
      <w:sz w:val="24"/>
    </w:rPr>
  </w:style>
  <w:style w:type="paragraph" w:customStyle="1" w:styleId="3220">
    <w:name w:val="2册标题3"/>
    <w:basedOn w:val="1"/>
    <w:next w:val="1"/>
    <w:qFormat/>
    <w:uiPriority w:val="0"/>
    <w:pPr>
      <w:spacing w:before="156" w:beforeLines="50" w:after="156" w:afterLines="50" w:line="360" w:lineRule="auto"/>
      <w:ind w:left="100" w:leftChars="100" w:firstLine="480" w:firstLineChars="200"/>
      <w:outlineLvl w:val="2"/>
    </w:pPr>
    <w:rPr>
      <w:rFonts w:ascii="Arial" w:hAnsi="Arial" w:eastAsia="黑体" w:cs="Times New Roman"/>
      <w:sz w:val="28"/>
      <w:szCs w:val="20"/>
    </w:rPr>
  </w:style>
  <w:style w:type="paragraph" w:customStyle="1" w:styleId="3221">
    <w:name w:val="Char Char Char"/>
    <w:basedOn w:val="1"/>
    <w:qFormat/>
    <w:uiPriority w:val="0"/>
    <w:pPr>
      <w:spacing w:after="60" w:afterLines="25" w:line="360" w:lineRule="auto"/>
      <w:ind w:firstLine="480" w:firstLineChars="200"/>
    </w:pPr>
    <w:rPr>
      <w:rFonts w:ascii="Tahoma" w:hAnsi="Tahoma" w:eastAsia="华文宋体" w:cs="Times New Roman"/>
      <w:sz w:val="24"/>
      <w:szCs w:val="20"/>
    </w:rPr>
  </w:style>
  <w:style w:type="paragraph" w:customStyle="1" w:styleId="3222">
    <w:name w:val="图标题"/>
    <w:basedOn w:val="1"/>
    <w:next w:val="1"/>
    <w:qFormat/>
    <w:uiPriority w:val="0"/>
    <w:pPr>
      <w:overflowPunct w:val="0"/>
      <w:spacing w:before="120" w:after="240" w:afterLines="25" w:line="360" w:lineRule="auto"/>
      <w:ind w:firstLine="480" w:firstLineChars="200"/>
      <w:jc w:val="center"/>
    </w:pPr>
    <w:rPr>
      <w:rFonts w:ascii="Times New Roman" w:hAnsi="Times New Roman" w:eastAsia="华文宋体" w:cs="Times New Roman"/>
      <w:sz w:val="24"/>
      <w:szCs w:val="20"/>
      <w:lang w:val="en-GB"/>
    </w:rPr>
  </w:style>
  <w:style w:type="paragraph" w:customStyle="1" w:styleId="3223">
    <w:name w:val="1册标题1"/>
    <w:basedOn w:val="1"/>
    <w:next w:val="1"/>
    <w:qFormat/>
    <w:uiPriority w:val="0"/>
    <w:pPr>
      <w:spacing w:before="156" w:beforeLines="50" w:after="156" w:afterLines="50" w:line="360" w:lineRule="auto"/>
      <w:ind w:firstLine="480" w:firstLineChars="200"/>
      <w:jc w:val="center"/>
      <w:outlineLvl w:val="0"/>
    </w:pPr>
    <w:rPr>
      <w:rFonts w:ascii="宋体" w:hAnsi="宋体" w:eastAsia="华文宋体" w:cs="Times New Roman"/>
      <w:b/>
      <w:sz w:val="36"/>
      <w:szCs w:val="20"/>
    </w:rPr>
  </w:style>
  <w:style w:type="paragraph" w:customStyle="1" w:styleId="3224">
    <w:name w:val="p30"/>
    <w:basedOn w:val="1"/>
    <w:qFormat/>
    <w:uiPriority w:val="0"/>
    <w:pPr>
      <w:widowControl/>
      <w:spacing w:before="260" w:after="260" w:afterLines="25" w:line="410" w:lineRule="auto"/>
      <w:ind w:left="425" w:hanging="425" w:firstLineChars="200"/>
    </w:pPr>
    <w:rPr>
      <w:rFonts w:ascii="华文宋体" w:hAnsi="华文宋体" w:eastAsia="华文宋体" w:cs="宋体"/>
      <w:b/>
      <w:bCs/>
      <w:kern w:val="0"/>
      <w:sz w:val="32"/>
      <w:szCs w:val="32"/>
    </w:rPr>
  </w:style>
  <w:style w:type="paragraph" w:customStyle="1" w:styleId="3225">
    <w:name w:val="样式 (西文) Times New Roman 四号 段后: 6 磅 行距: 固定值 20 磅 首行缩进:  1.92 ..."/>
    <w:basedOn w:val="1"/>
    <w:qFormat/>
    <w:uiPriority w:val="0"/>
    <w:pPr>
      <w:spacing w:before="156" w:beforeLines="50" w:after="156" w:afterLines="50" w:line="360" w:lineRule="auto"/>
      <w:ind w:firstLine="480" w:firstLineChars="200"/>
    </w:pPr>
    <w:rPr>
      <w:rFonts w:ascii="Times New Roman" w:hAnsi="Times New Roman" w:eastAsia="华文宋体" w:cs="宋体"/>
      <w:sz w:val="28"/>
      <w:szCs w:val="20"/>
    </w:rPr>
  </w:style>
  <w:style w:type="paragraph" w:customStyle="1" w:styleId="3226">
    <w:name w:val="（符号）投标一、"/>
    <w:basedOn w:val="1"/>
    <w:qFormat/>
    <w:uiPriority w:val="0"/>
    <w:pPr>
      <w:tabs>
        <w:tab w:val="left" w:pos="1578"/>
      </w:tabs>
      <w:spacing w:after="60" w:afterLines="25" w:line="460" w:lineRule="exact"/>
      <w:ind w:left="420" w:hanging="420" w:firstLineChars="200"/>
    </w:pPr>
    <w:rPr>
      <w:rFonts w:ascii="Times New Roman" w:hAnsi="Times New Roman" w:eastAsia="华文宋体" w:cs="Times New Roman"/>
      <w:sz w:val="24"/>
      <w:szCs w:val="24"/>
    </w:rPr>
  </w:style>
  <w:style w:type="paragraph" w:customStyle="1" w:styleId="3227">
    <w:name w:val="缺省文本"/>
    <w:basedOn w:val="1"/>
    <w:qFormat/>
    <w:uiPriority w:val="0"/>
    <w:pPr>
      <w:autoSpaceDE w:val="0"/>
      <w:autoSpaceDN w:val="0"/>
      <w:adjustRightInd w:val="0"/>
      <w:spacing w:after="60" w:afterLines="25" w:line="360" w:lineRule="auto"/>
      <w:ind w:firstLine="480" w:firstLineChars="200"/>
      <w:jc w:val="left"/>
    </w:pPr>
    <w:rPr>
      <w:rFonts w:ascii="Times New Roman" w:hAnsi="Times New Roman" w:eastAsia="华文宋体" w:cs="Times New Roman"/>
      <w:kern w:val="0"/>
      <w:sz w:val="24"/>
      <w:szCs w:val="20"/>
    </w:rPr>
  </w:style>
  <w:style w:type="paragraph" w:customStyle="1" w:styleId="3228">
    <w:name w:val="ncgp标题3"/>
    <w:basedOn w:val="1"/>
    <w:qFormat/>
    <w:uiPriority w:val="0"/>
    <w:pPr>
      <w:spacing w:after="60" w:afterLines="25" w:line="360" w:lineRule="auto"/>
      <w:ind w:firstLine="480" w:firstLineChars="200"/>
      <w:outlineLvl w:val="2"/>
    </w:pPr>
    <w:rPr>
      <w:rFonts w:ascii="华文宋体" w:hAnsi="华文宋体" w:eastAsia="华文宋体" w:cs="Calibri"/>
      <w:sz w:val="24"/>
      <w:szCs w:val="20"/>
    </w:rPr>
  </w:style>
  <w:style w:type="paragraph" w:customStyle="1" w:styleId="3229">
    <w:name w:val="列表内容"/>
    <w:basedOn w:val="1"/>
    <w:qFormat/>
    <w:uiPriority w:val="0"/>
    <w:pPr>
      <w:widowControl/>
      <w:tabs>
        <w:tab w:val="left" w:pos="425"/>
      </w:tabs>
      <w:spacing w:before="46" w:beforeLines="15" w:after="46" w:afterLines="15" w:line="260" w:lineRule="exact"/>
      <w:ind w:left="704" w:hanging="420" w:firstLineChars="200"/>
      <w:jc w:val="left"/>
    </w:pPr>
    <w:rPr>
      <w:rFonts w:ascii="Times New Roman" w:hAnsi="Times New Roman" w:eastAsia="华文宋体" w:cs="Times New Roman"/>
      <w:kern w:val="0"/>
      <w:sz w:val="18"/>
      <w:szCs w:val="18"/>
    </w:rPr>
  </w:style>
  <w:style w:type="paragraph" w:customStyle="1" w:styleId="3230">
    <w:name w:val="样式 文档正文 + 首行缩进:  2 字符1"/>
    <w:basedOn w:val="1"/>
    <w:qFormat/>
    <w:uiPriority w:val="0"/>
    <w:pPr>
      <w:widowControl/>
      <w:adjustRightInd w:val="0"/>
      <w:spacing w:after="60" w:afterLines="25" w:line="360" w:lineRule="auto"/>
      <w:ind w:firstLine="480" w:firstLineChars="200"/>
      <w:jc w:val="left"/>
      <w:textAlignment w:val="baseline"/>
    </w:pPr>
    <w:rPr>
      <w:rFonts w:ascii="Times New Roman" w:hAnsi="Times New Roman" w:eastAsia="华文宋体" w:cs="Times New Roman"/>
      <w:kern w:val="0"/>
      <w:sz w:val="24"/>
      <w:szCs w:val="20"/>
    </w:rPr>
  </w:style>
  <w:style w:type="paragraph" w:customStyle="1" w:styleId="3231">
    <w:name w:val="Char32"/>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32">
    <w:name w:val="我的重点"/>
    <w:basedOn w:val="3233"/>
    <w:qFormat/>
    <w:uiPriority w:val="0"/>
    <w:pPr>
      <w:ind w:left="0"/>
    </w:pPr>
    <w:rPr>
      <w:rFonts w:eastAsia="华文楷体"/>
      <w:i/>
      <w:iCs/>
    </w:rPr>
  </w:style>
  <w:style w:type="paragraph" w:customStyle="1" w:styleId="3233">
    <w:name w:val="重点"/>
    <w:basedOn w:val="1"/>
    <w:qFormat/>
    <w:uiPriority w:val="0"/>
    <w:pPr>
      <w:spacing w:after="60" w:afterLines="25" w:line="360" w:lineRule="auto"/>
      <w:ind w:left="284" w:firstLine="480" w:firstLineChars="200"/>
    </w:pPr>
    <w:rPr>
      <w:rFonts w:ascii="Arial Black" w:hAnsi="Arial Black" w:eastAsia="楷体_GB2312" w:cs="Arial Black"/>
      <w:b/>
      <w:bCs/>
      <w:sz w:val="28"/>
      <w:szCs w:val="28"/>
    </w:rPr>
  </w:style>
  <w:style w:type="paragraph" w:customStyle="1" w:styleId="3234">
    <w:name w:val="（符号）内容二标题1"/>
    <w:basedOn w:val="1"/>
    <w:qFormat/>
    <w:uiPriority w:val="0"/>
    <w:pPr>
      <w:tabs>
        <w:tab w:val="left" w:pos="420"/>
      </w:tabs>
      <w:spacing w:before="140" w:after="140" w:afterLines="25" w:line="500" w:lineRule="exact"/>
      <w:ind w:left="900" w:hanging="420" w:firstLineChars="200"/>
      <w:outlineLvl w:val="1"/>
    </w:pPr>
    <w:rPr>
      <w:rFonts w:ascii="楷体_GB2312" w:hAnsi="Times New Roman" w:eastAsia="楷体_GB2312" w:cs="宋体"/>
      <w:b/>
      <w:bCs/>
      <w:sz w:val="28"/>
      <w:szCs w:val="20"/>
    </w:rPr>
  </w:style>
  <w:style w:type="paragraph" w:customStyle="1" w:styleId="3235">
    <w:name w:val="默认段落字体 Para Char Char Char Char Char Char Char Char Char2 Char"/>
    <w:basedOn w:val="1"/>
    <w:qFormat/>
    <w:uiPriority w:val="0"/>
    <w:pPr>
      <w:spacing w:after="60" w:afterLines="25" w:line="360" w:lineRule="auto"/>
      <w:ind w:firstLine="480" w:firstLineChars="200"/>
    </w:pPr>
    <w:rPr>
      <w:rFonts w:ascii="Tahoma" w:hAnsi="Tahoma" w:eastAsia="华文宋体" w:cs="Times New Roman"/>
      <w:sz w:val="24"/>
      <w:szCs w:val="20"/>
    </w:rPr>
  </w:style>
  <w:style w:type="paragraph" w:customStyle="1" w:styleId="3236">
    <w:name w:val="样式 小四 左 首行缩进:  0.77 厘米"/>
    <w:basedOn w:val="1"/>
    <w:qFormat/>
    <w:uiPriority w:val="0"/>
    <w:pPr>
      <w:spacing w:after="60" w:afterLines="25" w:line="360" w:lineRule="auto"/>
      <w:ind w:firstLine="435" w:firstLineChars="200"/>
      <w:jc w:val="left"/>
    </w:pPr>
    <w:rPr>
      <w:rFonts w:ascii="Times New Roman" w:hAnsi="Times New Roman" w:eastAsia="华文宋体" w:cs="宋体"/>
      <w:sz w:val="24"/>
      <w:szCs w:val="20"/>
    </w:rPr>
  </w:style>
  <w:style w:type="paragraph" w:customStyle="1" w:styleId="3237">
    <w:name w:val="样式 小四 行距: 固定值 25 磅"/>
    <w:basedOn w:val="1"/>
    <w:next w:val="3238"/>
    <w:qFormat/>
    <w:uiPriority w:val="0"/>
    <w:pPr>
      <w:spacing w:after="60" w:afterLines="25" w:line="500" w:lineRule="exact"/>
      <w:ind w:firstLine="480" w:firstLineChars="200"/>
    </w:pPr>
    <w:rPr>
      <w:rFonts w:ascii="Times New Roman" w:hAnsi="Times New Roman" w:eastAsia="华文宋体" w:cs="宋体"/>
      <w:sz w:val="24"/>
      <w:szCs w:val="20"/>
    </w:rPr>
  </w:style>
  <w:style w:type="paragraph" w:customStyle="1" w:styleId="3238">
    <w:name w:val="（符号）目录1"/>
    <w:basedOn w:val="1"/>
    <w:qFormat/>
    <w:uiPriority w:val="0"/>
    <w:pPr>
      <w:spacing w:after="60" w:afterLines="25" w:line="500" w:lineRule="exact"/>
      <w:ind w:firstLine="480" w:firstLineChars="200"/>
    </w:pPr>
    <w:rPr>
      <w:rFonts w:ascii="Times New Roman" w:hAnsi="Times New Roman" w:eastAsia="华文宋体" w:cs="宋体"/>
      <w:sz w:val="24"/>
      <w:szCs w:val="20"/>
    </w:rPr>
  </w:style>
  <w:style w:type="paragraph" w:customStyle="1" w:styleId="3239">
    <w:name w:val="p20"/>
    <w:basedOn w:val="1"/>
    <w:qFormat/>
    <w:uiPriority w:val="0"/>
    <w:pPr>
      <w:widowControl/>
      <w:pBdr>
        <w:bottom w:val="single" w:color="000000" w:sz="6" w:space="1"/>
      </w:pBdr>
      <w:spacing w:after="60" w:afterLines="25" w:line="360" w:lineRule="auto"/>
      <w:ind w:firstLine="480" w:firstLineChars="200"/>
      <w:jc w:val="center"/>
    </w:pPr>
    <w:rPr>
      <w:rFonts w:ascii="华文宋体" w:hAnsi="华文宋体" w:eastAsia="华文宋体" w:cs="宋体"/>
      <w:kern w:val="0"/>
      <w:sz w:val="18"/>
      <w:szCs w:val="18"/>
    </w:rPr>
  </w:style>
  <w:style w:type="paragraph" w:customStyle="1" w:styleId="3240">
    <w:name w:val="A1.宋体小四→首行缩进"/>
    <w:basedOn w:val="1"/>
    <w:qFormat/>
    <w:uiPriority w:val="0"/>
    <w:pPr>
      <w:spacing w:before="60" w:after="60" w:afterLines="25" w:line="360" w:lineRule="auto"/>
      <w:ind w:firstLine="480" w:firstLineChars="200"/>
    </w:pPr>
    <w:rPr>
      <w:rFonts w:ascii="Times New Roman" w:hAnsi="Times New Roman" w:eastAsia="华文宋体" w:cs="宋体"/>
      <w:kern w:val="24"/>
      <w:sz w:val="24"/>
      <w:szCs w:val="20"/>
    </w:rPr>
  </w:style>
  <w:style w:type="paragraph" w:customStyle="1" w:styleId="3241">
    <w:name w:val="No Spacing2"/>
    <w:basedOn w:val="1"/>
    <w:qFormat/>
    <w:uiPriority w:val="0"/>
    <w:pPr>
      <w:spacing w:after="60" w:afterLines="25" w:line="360" w:lineRule="auto"/>
      <w:ind w:firstLine="480" w:firstLineChars="200"/>
    </w:pPr>
    <w:rPr>
      <w:rFonts w:ascii="华文宋体" w:hAnsi="华文宋体" w:eastAsia="华文宋体" w:cs="Times New Roman"/>
      <w:b/>
      <w:bCs/>
      <w:sz w:val="32"/>
      <w:szCs w:val="32"/>
    </w:rPr>
  </w:style>
  <w:style w:type="paragraph" w:customStyle="1" w:styleId="3242">
    <w:name w:val="Char Char Char Char Char Char1 Char"/>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43">
    <w:name w:val="p29"/>
    <w:basedOn w:val="1"/>
    <w:qFormat/>
    <w:uiPriority w:val="0"/>
    <w:pPr>
      <w:widowControl/>
      <w:spacing w:before="180" w:after="60" w:afterLines="25" w:line="180" w:lineRule="atLeast"/>
      <w:ind w:firstLine="480" w:firstLineChars="200"/>
      <w:jc w:val="center"/>
    </w:pPr>
    <w:rPr>
      <w:rFonts w:ascii="宋体" w:hAnsi="宋体" w:eastAsia="华文宋体" w:cs="宋体"/>
      <w:kern w:val="0"/>
      <w:sz w:val="24"/>
      <w:szCs w:val="21"/>
    </w:rPr>
  </w:style>
  <w:style w:type="paragraph" w:customStyle="1" w:styleId="3244">
    <w:name w:val="p24"/>
    <w:basedOn w:val="1"/>
    <w:qFormat/>
    <w:uiPriority w:val="0"/>
    <w:pPr>
      <w:widowControl/>
      <w:spacing w:after="120" w:afterLines="25" w:line="360" w:lineRule="auto"/>
      <w:ind w:firstLine="480" w:firstLineChars="200"/>
    </w:pPr>
    <w:rPr>
      <w:rFonts w:ascii="华文宋体" w:hAnsi="华文宋体" w:eastAsia="华文宋体" w:cs="宋体"/>
      <w:kern w:val="0"/>
      <w:sz w:val="24"/>
      <w:szCs w:val="21"/>
    </w:rPr>
  </w:style>
  <w:style w:type="paragraph" w:customStyle="1" w:styleId="3245">
    <w:name w:val="(符号)标书正文"/>
    <w:basedOn w:val="1"/>
    <w:qFormat/>
    <w:uiPriority w:val="0"/>
    <w:pPr>
      <w:spacing w:after="60" w:afterLines="25" w:line="440" w:lineRule="exact"/>
      <w:ind w:left="709" w:firstLine="480" w:firstLineChars="200"/>
    </w:pPr>
    <w:rPr>
      <w:rFonts w:ascii="宋体" w:hAnsi="宋体" w:eastAsia="华文宋体" w:cs="宋体"/>
      <w:sz w:val="24"/>
      <w:szCs w:val="20"/>
    </w:rPr>
  </w:style>
  <w:style w:type="paragraph" w:customStyle="1" w:styleId="3246">
    <w:name w:val="（符号）普通正文"/>
    <w:basedOn w:val="1"/>
    <w:qFormat/>
    <w:uiPriority w:val="0"/>
    <w:pPr>
      <w:spacing w:after="60" w:afterLines="25" w:line="460" w:lineRule="exact"/>
      <w:ind w:firstLine="480" w:firstLineChars="200"/>
    </w:pPr>
    <w:rPr>
      <w:rFonts w:ascii="宋体" w:hAnsi="宋体" w:eastAsia="华文宋体" w:cs="宋体"/>
      <w:sz w:val="24"/>
      <w:szCs w:val="20"/>
    </w:rPr>
  </w:style>
  <w:style w:type="paragraph" w:customStyle="1" w:styleId="3247">
    <w:name w:val="菱形标号"/>
    <w:basedOn w:val="1"/>
    <w:qFormat/>
    <w:uiPriority w:val="0"/>
    <w:pPr>
      <w:tabs>
        <w:tab w:val="left" w:pos="420"/>
      </w:tabs>
      <w:spacing w:after="60" w:afterLines="25" w:line="360" w:lineRule="auto"/>
      <w:ind w:left="902" w:hanging="420" w:firstLineChars="200"/>
    </w:pPr>
    <w:rPr>
      <w:rFonts w:ascii="Times New Roman" w:hAnsi="Times New Roman" w:eastAsia="华文宋体" w:cs="Times New Roman"/>
      <w:sz w:val="24"/>
      <w:szCs w:val="24"/>
    </w:rPr>
  </w:style>
  <w:style w:type="paragraph" w:customStyle="1" w:styleId="3248">
    <w:name w:val="Standard o abs"/>
    <w:basedOn w:val="1"/>
    <w:qFormat/>
    <w:uiPriority w:val="0"/>
    <w:pPr>
      <w:widowControl/>
      <w:tabs>
        <w:tab w:val="left" w:pos="2835"/>
        <w:tab w:val="left" w:pos="3119"/>
        <w:tab w:val="left" w:pos="3402"/>
        <w:tab w:val="left" w:pos="3686"/>
        <w:tab w:val="left" w:pos="3969"/>
        <w:tab w:val="left" w:pos="4253"/>
      </w:tabs>
      <w:spacing w:after="60" w:afterLines="25" w:line="360" w:lineRule="auto"/>
      <w:ind w:left="2552" w:firstLine="480" w:firstLineChars="200"/>
      <w:jc w:val="left"/>
    </w:pPr>
    <w:rPr>
      <w:rFonts w:ascii="Syntax" w:hAnsi="Syntax" w:eastAsia="华文宋体" w:cs="Times New Roman"/>
      <w:kern w:val="0"/>
      <w:sz w:val="20"/>
      <w:szCs w:val="20"/>
      <w:lang w:val="de-DE" w:eastAsia="de-DE"/>
    </w:rPr>
  </w:style>
  <w:style w:type="paragraph" w:customStyle="1" w:styleId="3249">
    <w:name w:val="No Spacing1"/>
    <w:basedOn w:val="1"/>
    <w:qFormat/>
    <w:uiPriority w:val="0"/>
    <w:pPr>
      <w:spacing w:after="60" w:afterLines="25" w:line="360" w:lineRule="auto"/>
      <w:ind w:firstLine="480" w:firstLineChars="200"/>
    </w:pPr>
    <w:rPr>
      <w:rFonts w:ascii="华文宋体" w:hAnsi="华文宋体" w:eastAsia="华文宋体" w:cs="Times New Roman"/>
      <w:b/>
      <w:bCs/>
      <w:sz w:val="32"/>
      <w:szCs w:val="32"/>
    </w:rPr>
  </w:style>
  <w:style w:type="paragraph" w:customStyle="1" w:styleId="3250">
    <w:name w:val="正文首行缩进两字符"/>
    <w:basedOn w:val="1"/>
    <w:qFormat/>
    <w:uiPriority w:val="0"/>
    <w:pPr>
      <w:spacing w:after="60" w:afterLines="25" w:line="360" w:lineRule="auto"/>
      <w:ind w:firstLine="480" w:firstLineChars="200"/>
    </w:pPr>
    <w:rPr>
      <w:rFonts w:ascii="Times New Roman" w:hAnsi="Times New Roman" w:eastAsia="华文宋体" w:cs="Times New Roman"/>
      <w:sz w:val="24"/>
      <w:szCs w:val="24"/>
    </w:rPr>
  </w:style>
  <w:style w:type="paragraph" w:customStyle="1" w:styleId="325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252">
    <w:name w:val="p26"/>
    <w:basedOn w:val="1"/>
    <w:qFormat/>
    <w:uiPriority w:val="0"/>
    <w:pPr>
      <w:widowControl/>
      <w:spacing w:after="60" w:afterLines="25" w:line="360" w:lineRule="auto"/>
      <w:ind w:firstLine="480" w:firstLineChars="200"/>
      <w:jc w:val="center"/>
    </w:pPr>
    <w:rPr>
      <w:rFonts w:ascii="Times New Roman" w:hAnsi="Times New Roman" w:eastAsia="华文宋体" w:cs="Times New Roman"/>
      <w:kern w:val="0"/>
      <w:sz w:val="24"/>
      <w:szCs w:val="24"/>
    </w:rPr>
  </w:style>
  <w:style w:type="paragraph" w:customStyle="1" w:styleId="3253">
    <w:name w:val="Char Char Char Char Char Char1 Char1"/>
    <w:basedOn w:val="33"/>
    <w:qFormat/>
    <w:uiPriority w:val="0"/>
    <w:pPr>
      <w:shd w:val="clear" w:color="auto" w:fill="000080"/>
      <w:spacing w:after="60" w:afterLines="25" w:line="360" w:lineRule="auto"/>
      <w:ind w:firstLine="480" w:firstLineChars="200"/>
    </w:pPr>
    <w:rPr>
      <w:rFonts w:ascii="Tahoma" w:hAnsi="Tahoma" w:eastAsia="华文宋体" w:cs="Times New Roman"/>
      <w:sz w:val="24"/>
      <w:szCs w:val="24"/>
    </w:rPr>
  </w:style>
  <w:style w:type="paragraph" w:customStyle="1" w:styleId="3254">
    <w:name w:val="(符号)五标题1.1.1"/>
    <w:basedOn w:val="1"/>
    <w:qFormat/>
    <w:uiPriority w:val="0"/>
    <w:pPr>
      <w:tabs>
        <w:tab w:val="left" w:pos="1000"/>
      </w:tabs>
      <w:spacing w:after="60" w:afterLines="25" w:line="500" w:lineRule="exact"/>
      <w:ind w:left="1742" w:hanging="420" w:firstLineChars="200"/>
    </w:pPr>
    <w:rPr>
      <w:rFonts w:ascii="宋体" w:hAnsi="宋体" w:eastAsia="华文宋体" w:cs="宋体"/>
      <w:color w:val="000000"/>
      <w:sz w:val="24"/>
      <w:szCs w:val="20"/>
    </w:rPr>
  </w:style>
  <w:style w:type="paragraph" w:customStyle="1" w:styleId="3255">
    <w:name w:val="样式 宋体 四号 段前: 6 磅 段后: 6 磅 行距: 1.5 倍行距"/>
    <w:basedOn w:val="1"/>
    <w:qFormat/>
    <w:uiPriority w:val="0"/>
    <w:pPr>
      <w:spacing w:before="120" w:after="120" w:afterLines="25" w:line="360" w:lineRule="auto"/>
      <w:ind w:firstLine="560" w:firstLineChars="200"/>
    </w:pPr>
    <w:rPr>
      <w:rFonts w:ascii="宋体" w:hAnsi="宋体" w:eastAsia="华文宋体" w:cs="宋体"/>
      <w:sz w:val="24"/>
      <w:szCs w:val="20"/>
    </w:rPr>
  </w:style>
  <w:style w:type="paragraph" w:customStyle="1" w:styleId="3256">
    <w:name w:val="LED标题1"/>
    <w:basedOn w:val="1"/>
    <w:next w:val="1"/>
    <w:qFormat/>
    <w:uiPriority w:val="0"/>
    <w:pPr>
      <w:spacing w:before="156" w:beforeLines="50" w:after="156" w:afterLines="50" w:line="360" w:lineRule="auto"/>
      <w:ind w:firstLine="320" w:firstLineChars="100"/>
      <w:jc w:val="center"/>
      <w:outlineLvl w:val="0"/>
    </w:pPr>
    <w:rPr>
      <w:rFonts w:ascii="Arial" w:hAnsi="Arial" w:eastAsia="黑体" w:cs="Times New Roman"/>
      <w:color w:val="FF0000"/>
      <w:sz w:val="32"/>
      <w:szCs w:val="20"/>
    </w:rPr>
  </w:style>
  <w:style w:type="paragraph" w:customStyle="1" w:styleId="3257">
    <w:name w:val="（符号）内容三标题1.1"/>
    <w:basedOn w:val="1"/>
    <w:qFormat/>
    <w:uiPriority w:val="0"/>
    <w:pPr>
      <w:spacing w:after="60" w:afterLines="25" w:line="500" w:lineRule="exact"/>
      <w:ind w:firstLine="480" w:firstLineChars="200"/>
    </w:pPr>
    <w:rPr>
      <w:rFonts w:ascii="黑体" w:hAnsi="宋体" w:eastAsia="黑体" w:cs="Times New Roman"/>
      <w:b/>
      <w:bCs/>
      <w:sz w:val="24"/>
      <w:szCs w:val="24"/>
    </w:rPr>
  </w:style>
  <w:style w:type="paragraph" w:customStyle="1" w:styleId="3258">
    <w:name w:val="日期1"/>
    <w:basedOn w:val="1"/>
    <w:next w:val="1"/>
    <w:qFormat/>
    <w:uiPriority w:val="0"/>
    <w:pPr>
      <w:suppressAutoHyphens/>
      <w:spacing w:after="60" w:afterLines="25" w:line="360" w:lineRule="auto"/>
      <w:ind w:left="100" w:firstLine="480" w:firstLineChars="200"/>
    </w:pPr>
    <w:rPr>
      <w:rFonts w:ascii="Times New Roman" w:hAnsi="Times New Roman" w:eastAsia="楷体_GB2312" w:cs="Times New Roman"/>
      <w:b/>
      <w:sz w:val="36"/>
      <w:szCs w:val="30"/>
      <w:lang w:eastAsia="ar-SA"/>
    </w:rPr>
  </w:style>
  <w:style w:type="paragraph" w:customStyle="1" w:styleId="3259">
    <w:name w:val="样式 标题 4 + 左侧:  1.11 厘米"/>
    <w:basedOn w:val="8"/>
    <w:qFormat/>
    <w:uiPriority w:val="0"/>
    <w:pPr>
      <w:widowControl/>
      <w:numPr>
        <w:ilvl w:val="0"/>
        <w:numId w:val="0"/>
      </w:numPr>
      <w:spacing w:before="280" w:beforeLines="50" w:after="290" w:afterLines="50" w:line="376" w:lineRule="auto"/>
      <w:jc w:val="left"/>
    </w:pPr>
    <w:rPr>
      <w:rFonts w:ascii="Arial" w:hAnsi="Arial" w:eastAsia="黑体" w:cs="Arial"/>
      <w:snapToGrid w:val="0"/>
      <w:color w:val="000000" w:themeColor="text1"/>
      <w:sz w:val="30"/>
      <w:szCs w:val="30"/>
      <w:lang w:val="zh-CN"/>
      <w14:textFill>
        <w14:solidFill>
          <w14:schemeClr w14:val="tx1"/>
        </w14:solidFill>
      </w14:textFill>
    </w:rPr>
  </w:style>
  <w:style w:type="paragraph" w:customStyle="1" w:styleId="3260">
    <w:name w:val="(符号)四标题1.1"/>
    <w:basedOn w:val="1"/>
    <w:qFormat/>
    <w:uiPriority w:val="0"/>
    <w:pPr>
      <w:tabs>
        <w:tab w:val="left" w:pos="567"/>
      </w:tabs>
      <w:spacing w:after="60" w:afterLines="25" w:line="500" w:lineRule="exact"/>
      <w:ind w:left="1322" w:hanging="420" w:firstLineChars="200"/>
    </w:pPr>
    <w:rPr>
      <w:rFonts w:ascii="宋体" w:hAnsi="宋体" w:eastAsia="华文宋体" w:cs="宋体"/>
      <w:color w:val="000000"/>
      <w:kern w:val="0"/>
      <w:sz w:val="24"/>
      <w:szCs w:val="20"/>
    </w:rPr>
  </w:style>
  <w:style w:type="paragraph" w:customStyle="1" w:styleId="3261">
    <w:name w:val="正文，首行缩进"/>
    <w:basedOn w:val="1"/>
    <w:qFormat/>
    <w:uiPriority w:val="0"/>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60" w:afterLines="25" w:line="400" w:lineRule="exact"/>
      <w:ind w:firstLine="480" w:firstLineChars="200"/>
    </w:pPr>
    <w:rPr>
      <w:rFonts w:ascii="楷体" w:hAnsi="Arial" w:eastAsia="华文宋体" w:cs="楷体"/>
      <w:kern w:val="0"/>
      <w:sz w:val="24"/>
      <w:szCs w:val="24"/>
      <w:lang w:val="de-DE"/>
    </w:rPr>
  </w:style>
  <w:style w:type="paragraph" w:customStyle="1" w:styleId="3262">
    <w:name w:val="封面副标题"/>
    <w:basedOn w:val="1"/>
    <w:next w:val="1"/>
    <w:qFormat/>
    <w:uiPriority w:val="0"/>
    <w:pPr>
      <w:autoSpaceDE w:val="0"/>
      <w:autoSpaceDN w:val="0"/>
      <w:adjustRightInd w:val="0"/>
      <w:spacing w:after="60" w:afterLines="25" w:line="360" w:lineRule="auto"/>
      <w:ind w:firstLine="480" w:firstLineChars="200"/>
      <w:jc w:val="center"/>
    </w:pPr>
    <w:rPr>
      <w:rFonts w:ascii="黑体" w:hAnsi="Times New Roman" w:eastAsia="黑体" w:cs="Times New Roman"/>
      <w:b/>
      <w:kern w:val="0"/>
      <w:sz w:val="36"/>
      <w:szCs w:val="36"/>
    </w:rPr>
  </w:style>
  <w:style w:type="paragraph" w:customStyle="1" w:styleId="3263">
    <w:name w:val="(符号)三标题1.1"/>
    <w:basedOn w:val="1"/>
    <w:qFormat/>
    <w:uiPriority w:val="0"/>
    <w:pPr>
      <w:tabs>
        <w:tab w:val="left" w:pos="420"/>
      </w:tabs>
      <w:spacing w:before="140" w:after="140" w:afterLines="25" w:line="500" w:lineRule="exact"/>
      <w:ind w:left="902" w:hanging="420" w:firstLineChars="200"/>
      <w:outlineLvl w:val="2"/>
    </w:pPr>
    <w:rPr>
      <w:rFonts w:ascii="楷体_GB2312" w:hAnsi="宋体" w:eastAsia="楷体_GB2312" w:cs="宋体"/>
      <w:b/>
      <w:bCs/>
      <w:sz w:val="28"/>
      <w:szCs w:val="20"/>
    </w:rPr>
  </w:style>
  <w:style w:type="paragraph" w:customStyle="1" w:styleId="3264">
    <w:name w:val="（符号）目录3"/>
    <w:basedOn w:val="1"/>
    <w:qFormat/>
    <w:uiPriority w:val="0"/>
    <w:pPr>
      <w:spacing w:after="60" w:afterLines="25" w:line="500" w:lineRule="exact"/>
      <w:ind w:left="1000" w:firstLine="480" w:firstLineChars="200"/>
    </w:pPr>
    <w:rPr>
      <w:rFonts w:ascii="Times New Roman" w:hAnsi="Times New Roman" w:eastAsia="华文宋体" w:cs="宋体"/>
      <w:sz w:val="24"/>
      <w:szCs w:val="20"/>
    </w:rPr>
  </w:style>
  <w:style w:type="paragraph" w:customStyle="1" w:styleId="3265">
    <w:name w:val="Normal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3266">
    <w:name w:val="1册标题2"/>
    <w:basedOn w:val="5"/>
    <w:next w:val="1"/>
    <w:qFormat/>
    <w:uiPriority w:val="0"/>
    <w:pPr>
      <w:keepNext w:val="0"/>
      <w:keepLines w:val="0"/>
      <w:numPr>
        <w:ilvl w:val="0"/>
        <w:numId w:val="0"/>
      </w:numPr>
      <w:spacing w:before="120" w:beforeLines="50" w:after="120" w:afterLines="50" w:line="312" w:lineRule="auto"/>
      <w:jc w:val="center"/>
      <w:outlineLvl w:val="9"/>
    </w:pPr>
    <w:rPr>
      <w:rFonts w:eastAsia="华文宋体" w:cs="Times New Roman"/>
      <w:bCs w:val="0"/>
      <w:sz w:val="32"/>
      <w:szCs w:val="20"/>
      <w:lang w:val="zh-CN"/>
    </w:rPr>
  </w:style>
  <w:style w:type="paragraph" w:customStyle="1" w:styleId="3267">
    <w:name w:val="文件正文"/>
    <w:basedOn w:val="1"/>
    <w:qFormat/>
    <w:uiPriority w:val="0"/>
    <w:pPr>
      <w:spacing w:after="60" w:afterLines="25" w:line="360" w:lineRule="auto"/>
      <w:ind w:firstLine="480" w:firstLineChars="200"/>
    </w:pPr>
    <w:rPr>
      <w:rFonts w:ascii="Times New Roman" w:hAnsi="Times New Roman" w:eastAsia="仿宋_GB2312" w:cs="Times New Roman"/>
      <w:sz w:val="24"/>
      <w:szCs w:val="20"/>
    </w:rPr>
  </w:style>
  <w:style w:type="paragraph" w:customStyle="1" w:styleId="3268">
    <w:name w:val="第12册用标题"/>
    <w:basedOn w:val="1"/>
    <w:next w:val="1"/>
    <w:qFormat/>
    <w:uiPriority w:val="0"/>
    <w:pPr>
      <w:spacing w:before="156" w:beforeLines="50" w:after="156" w:afterLines="50" w:line="360" w:lineRule="auto"/>
      <w:ind w:firstLine="480" w:firstLineChars="200"/>
      <w:jc w:val="center"/>
      <w:outlineLvl w:val="0"/>
    </w:pPr>
    <w:rPr>
      <w:rFonts w:ascii="Arial" w:hAnsi="Arial" w:eastAsia="黑体" w:cs="Times New Roman"/>
      <w:sz w:val="44"/>
      <w:szCs w:val="20"/>
    </w:rPr>
  </w:style>
  <w:style w:type="paragraph" w:customStyle="1" w:styleId="3269">
    <w:name w:val="样式 标题 4 + 行距: 多倍行距 1.57 字行"/>
    <w:basedOn w:val="8"/>
    <w:qFormat/>
    <w:uiPriority w:val="0"/>
    <w:pPr>
      <w:widowControl/>
      <w:numPr>
        <w:ilvl w:val="0"/>
        <w:numId w:val="0"/>
      </w:numPr>
      <w:spacing w:before="280" w:beforeLines="50" w:after="290" w:afterLines="50" w:line="376" w:lineRule="auto"/>
      <w:ind w:left="150" w:leftChars="50"/>
      <w:jc w:val="left"/>
    </w:pPr>
    <w:rPr>
      <w:rFonts w:ascii="Arial" w:hAnsi="Arial" w:eastAsia="仿宋_GB2312" w:cs="Arial"/>
      <w:snapToGrid w:val="0"/>
      <w:color w:val="000000" w:themeColor="text1"/>
      <w:sz w:val="30"/>
      <w:szCs w:val="30"/>
      <w:lang w:val="zh-CN"/>
      <w14:textFill>
        <w14:solidFill>
          <w14:schemeClr w14:val="tx1"/>
        </w14:solidFill>
      </w14:textFill>
    </w:rPr>
  </w:style>
  <w:style w:type="paragraph" w:customStyle="1" w:styleId="3270">
    <w:name w:val="p25"/>
    <w:basedOn w:val="1"/>
    <w:qFormat/>
    <w:uiPriority w:val="0"/>
    <w:pPr>
      <w:widowControl/>
      <w:spacing w:after="60" w:afterLines="25" w:line="360" w:lineRule="auto"/>
      <w:ind w:firstLine="480" w:firstLineChars="200"/>
      <w:jc w:val="left"/>
    </w:pPr>
    <w:rPr>
      <w:rFonts w:ascii="华文宋体" w:hAnsi="华文宋体" w:eastAsia="华文宋体" w:cs="宋体"/>
      <w:kern w:val="0"/>
      <w:sz w:val="18"/>
      <w:szCs w:val="18"/>
    </w:rPr>
  </w:style>
  <w:style w:type="paragraph" w:customStyle="1" w:styleId="3271">
    <w:name w:val="表图名"/>
    <w:basedOn w:val="1"/>
    <w:qFormat/>
    <w:uiPriority w:val="0"/>
    <w:pPr>
      <w:spacing w:after="60" w:afterLines="25" w:line="360" w:lineRule="auto"/>
      <w:ind w:firstLine="480" w:firstLineChars="200"/>
    </w:pPr>
    <w:rPr>
      <w:rFonts w:ascii="Arial" w:hAnsi="Arial" w:eastAsia="华文宋体" w:cs="Times New Roman"/>
      <w:sz w:val="24"/>
      <w:szCs w:val="20"/>
    </w:rPr>
  </w:style>
  <w:style w:type="paragraph" w:customStyle="1" w:styleId="3272">
    <w:name w:val="2册标题2"/>
    <w:basedOn w:val="1"/>
    <w:next w:val="1"/>
    <w:qFormat/>
    <w:uiPriority w:val="0"/>
    <w:pPr>
      <w:spacing w:before="156" w:beforeLines="50" w:after="156" w:afterLines="50" w:line="360" w:lineRule="auto"/>
      <w:ind w:firstLine="480" w:firstLineChars="200"/>
      <w:outlineLvl w:val="1"/>
    </w:pPr>
    <w:rPr>
      <w:rFonts w:ascii="Arial" w:hAnsi="Arial" w:eastAsia="黑体" w:cs="Times New Roman"/>
      <w:sz w:val="30"/>
      <w:szCs w:val="20"/>
    </w:rPr>
  </w:style>
  <w:style w:type="paragraph" w:customStyle="1" w:styleId="3273">
    <w:name w:val="(符号)三标题1."/>
    <w:basedOn w:val="1"/>
    <w:qFormat/>
    <w:uiPriority w:val="0"/>
    <w:pPr>
      <w:tabs>
        <w:tab w:val="left" w:pos="420"/>
      </w:tabs>
      <w:spacing w:before="140" w:after="140" w:afterLines="25" w:line="500" w:lineRule="exact"/>
      <w:ind w:left="430" w:hanging="430" w:firstLineChars="200"/>
      <w:outlineLvl w:val="2"/>
    </w:pPr>
    <w:rPr>
      <w:rFonts w:ascii="楷体_GB2312" w:hAnsi="宋体" w:eastAsia="楷体_GB2312" w:cs="宋体"/>
      <w:b/>
      <w:bCs/>
      <w:sz w:val="28"/>
      <w:szCs w:val="20"/>
    </w:rPr>
  </w:style>
  <w:style w:type="paragraph" w:customStyle="1" w:styleId="3274">
    <w:name w:val="1册标题3"/>
    <w:basedOn w:val="1"/>
    <w:next w:val="1"/>
    <w:qFormat/>
    <w:uiPriority w:val="0"/>
    <w:pPr>
      <w:keepNext/>
      <w:keepLines/>
      <w:adjustRightInd w:val="0"/>
      <w:spacing w:before="156" w:beforeLines="50" w:after="156" w:afterLines="50" w:line="360" w:lineRule="auto"/>
      <w:ind w:firstLine="480" w:firstLineChars="200"/>
      <w:textAlignment w:val="baseline"/>
      <w:outlineLvl w:val="2"/>
    </w:pPr>
    <w:rPr>
      <w:rFonts w:ascii="宋体" w:hAnsi="宋体" w:eastAsia="华文宋体" w:cs="Times New Roman"/>
      <w:b/>
      <w:kern w:val="0"/>
      <w:sz w:val="24"/>
      <w:szCs w:val="20"/>
    </w:rPr>
  </w:style>
  <w:style w:type="paragraph" w:customStyle="1" w:styleId="3275">
    <w:name w:val="a2"/>
    <w:basedOn w:val="1"/>
    <w:qFormat/>
    <w:uiPriority w:val="0"/>
    <w:pPr>
      <w:widowControl/>
      <w:spacing w:before="100" w:beforeAutospacing="1" w:after="100" w:afterLines="25" w:afterAutospacing="1" w:line="360" w:lineRule="auto"/>
      <w:ind w:firstLine="480" w:firstLineChars="200"/>
      <w:jc w:val="left"/>
    </w:pPr>
    <w:rPr>
      <w:rFonts w:ascii="宋体" w:hAnsi="宋体" w:eastAsia="华文宋体" w:cs="宋体"/>
      <w:kern w:val="0"/>
      <w:sz w:val="24"/>
      <w:szCs w:val="24"/>
    </w:rPr>
  </w:style>
  <w:style w:type="paragraph" w:customStyle="1" w:styleId="3276">
    <w:name w:val="p33"/>
    <w:basedOn w:val="1"/>
    <w:qFormat/>
    <w:uiPriority w:val="0"/>
    <w:pPr>
      <w:widowControl/>
      <w:spacing w:after="60" w:afterLines="25" w:line="360" w:lineRule="auto"/>
      <w:ind w:firstLine="420" w:firstLineChars="200"/>
    </w:pPr>
    <w:rPr>
      <w:rFonts w:ascii="宋体" w:hAnsi="宋体" w:eastAsia="华文宋体" w:cs="宋体"/>
      <w:kern w:val="0"/>
      <w:sz w:val="24"/>
      <w:szCs w:val="24"/>
    </w:rPr>
  </w:style>
  <w:style w:type="paragraph" w:customStyle="1" w:styleId="3277">
    <w:name w:val="p21"/>
    <w:basedOn w:val="1"/>
    <w:qFormat/>
    <w:uiPriority w:val="0"/>
    <w:pPr>
      <w:widowControl/>
      <w:spacing w:after="60" w:afterLines="25" w:line="360" w:lineRule="auto"/>
      <w:ind w:firstLine="480" w:firstLineChars="200"/>
      <w:jc w:val="left"/>
    </w:pPr>
    <w:rPr>
      <w:rFonts w:ascii="华文宋体" w:hAnsi="华文宋体" w:eastAsia="华文宋体" w:cs="宋体"/>
      <w:kern w:val="0"/>
      <w:sz w:val="24"/>
      <w:szCs w:val="21"/>
    </w:rPr>
  </w:style>
  <w:style w:type="paragraph" w:customStyle="1" w:styleId="3278">
    <w:name w:val="10 f"/>
    <w:basedOn w:val="1"/>
    <w:qFormat/>
    <w:uiPriority w:val="0"/>
    <w:pPr>
      <w:widowControl/>
      <w:tabs>
        <w:tab w:val="left" w:pos="2835"/>
        <w:tab w:val="left" w:pos="3119"/>
        <w:tab w:val="left" w:pos="3402"/>
        <w:tab w:val="left" w:pos="3686"/>
        <w:tab w:val="left" w:pos="3969"/>
        <w:tab w:val="left" w:pos="4253"/>
      </w:tabs>
      <w:spacing w:after="120" w:afterLines="25" w:line="360" w:lineRule="auto"/>
      <w:ind w:left="2552" w:firstLine="480" w:firstLineChars="200"/>
      <w:jc w:val="left"/>
    </w:pPr>
    <w:rPr>
      <w:rFonts w:ascii="Syntax" w:hAnsi="Syntax" w:eastAsia="华文宋体" w:cs="Times New Roman"/>
      <w:b/>
      <w:kern w:val="0"/>
      <w:sz w:val="20"/>
      <w:szCs w:val="20"/>
      <w:lang w:val="de-DE" w:eastAsia="de-DE"/>
    </w:rPr>
  </w:style>
  <w:style w:type="paragraph" w:customStyle="1" w:styleId="3279">
    <w:name w:val="马森攀马森攀马森攀马森攀马森攀马森攀马森攀马森攀马森攀"/>
    <w:basedOn w:val="1"/>
    <w:link w:val="3280"/>
    <w:qFormat/>
    <w:uiPriority w:val="0"/>
    <w:pPr>
      <w:spacing w:after="60" w:afterLines="25" w:line="360" w:lineRule="auto"/>
      <w:ind w:firstLine="480" w:firstLineChars="200"/>
    </w:pPr>
    <w:rPr>
      <w:rFonts w:ascii="Times New Roman" w:hAnsi="Times New Roman" w:eastAsia="华文宋体" w:cs="Times New Roman"/>
      <w:sz w:val="24"/>
      <w:szCs w:val="20"/>
      <w:lang w:val="zh-CN"/>
    </w:rPr>
  </w:style>
  <w:style w:type="character" w:customStyle="1" w:styleId="3280">
    <w:name w:val="马森攀马森攀马森攀马森攀马森攀马森攀马森攀马森攀马森攀 Char"/>
    <w:link w:val="3279"/>
    <w:qFormat/>
    <w:locked/>
    <w:uiPriority w:val="0"/>
    <w:rPr>
      <w:rFonts w:eastAsia="华文宋体"/>
      <w:kern w:val="2"/>
      <w:sz w:val="24"/>
      <w:lang w:val="zh-CN"/>
    </w:rPr>
  </w:style>
  <w:style w:type="character" w:customStyle="1" w:styleId="3281">
    <w:name w:val="样式 正文缩进特点表正文正文非缩进段1标题4ALT+Z水上软件正文双线正文（图说明文字居中）首行缩进标题四...3 Char"/>
    <w:link w:val="3282"/>
    <w:semiHidden/>
    <w:qFormat/>
    <w:locked/>
    <w:uiPriority w:val="0"/>
    <w:rPr>
      <w:rFonts w:ascii="宋体" w:hAnsi="宋体" w:cs="宋体"/>
      <w:sz w:val="24"/>
    </w:rPr>
  </w:style>
  <w:style w:type="paragraph" w:customStyle="1" w:styleId="3282">
    <w:name w:val="样式 正文缩进特点表正文正文非缩进段1标题4ALT+Z水上软件正文双线正文（图说明文字居中）首行缩进标题四...3"/>
    <w:basedOn w:val="28"/>
    <w:link w:val="3281"/>
    <w:semiHidden/>
    <w:qFormat/>
    <w:uiPriority w:val="0"/>
    <w:pPr>
      <w:adjustRightInd w:val="0"/>
      <w:spacing w:after="180" w:afterLines="25" w:line="300" w:lineRule="auto"/>
      <w:ind w:left="840" w:firstLine="200" w:firstLineChars="200"/>
    </w:pPr>
    <w:rPr>
      <w:rFonts w:ascii="宋体" w:hAnsi="宋体" w:cs="宋体"/>
      <w:kern w:val="0"/>
    </w:rPr>
  </w:style>
  <w:style w:type="paragraph" w:customStyle="1" w:styleId="3283">
    <w:name w:val="Char13"/>
    <w:basedOn w:val="1"/>
    <w:qFormat/>
    <w:uiPriority w:val="0"/>
    <w:pPr>
      <w:spacing w:after="60" w:afterLines="25" w:line="360" w:lineRule="auto"/>
      <w:ind w:firstLine="480" w:firstLineChars="200"/>
    </w:pPr>
    <w:rPr>
      <w:rFonts w:ascii="仿宋_GB2312" w:hAnsi="Times New Roman" w:eastAsia="仿宋_GB2312" w:cs="Times New Roman"/>
      <w:b/>
      <w:sz w:val="32"/>
      <w:szCs w:val="32"/>
    </w:rPr>
  </w:style>
  <w:style w:type="paragraph" w:customStyle="1" w:styleId="3284">
    <w:name w:val="题注4"/>
    <w:basedOn w:val="1"/>
    <w:next w:val="29"/>
    <w:qFormat/>
    <w:uiPriority w:val="0"/>
    <w:pPr>
      <w:spacing w:after="60" w:afterLines="25"/>
      <w:ind w:left="-132" w:leftChars="-64" w:right="-105" w:rightChars="-50" w:hanging="2"/>
      <w:jc w:val="center"/>
    </w:pPr>
    <w:rPr>
      <w:rFonts w:ascii="Times New Roman" w:hAnsi="Times New Roman" w:eastAsia="宋体" w:cs="Times New Roman"/>
      <w:b/>
      <w:color w:val="FF0000"/>
      <w:sz w:val="24"/>
      <w:szCs w:val="24"/>
      <w:lang w:val="en-GB"/>
    </w:rPr>
  </w:style>
  <w:style w:type="paragraph" w:customStyle="1" w:styleId="3285">
    <w:name w:val="正文_17"/>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3286">
    <w:name w:val="正文_16"/>
    <w:qFormat/>
    <w:uiPriority w:val="0"/>
    <w:pPr>
      <w:widowControl w:val="0"/>
      <w:jc w:val="both"/>
    </w:pPr>
    <w:rPr>
      <w:rFonts w:ascii="Calibri" w:hAnsi="Calibri" w:eastAsia="宋体" w:cs="Times New Roman"/>
      <w:kern w:val="2"/>
      <w:sz w:val="21"/>
      <w:szCs w:val="24"/>
      <w:lang w:val="en-US" w:eastAsia="zh-CN" w:bidi="ar-SA"/>
    </w:rPr>
  </w:style>
  <w:style w:type="paragraph" w:customStyle="1" w:styleId="3287">
    <w:name w:val="Char Char2 Char"/>
    <w:basedOn w:val="1"/>
    <w:qFormat/>
    <w:uiPriority w:val="0"/>
    <w:pPr>
      <w:spacing w:after="60" w:afterLines="25"/>
    </w:pPr>
    <w:rPr>
      <w:rFonts w:ascii="宋体" w:hAnsi="宋体" w:eastAsia="宋体" w:cs="Times New Roman"/>
      <w:b/>
      <w:sz w:val="28"/>
      <w:szCs w:val="28"/>
    </w:rPr>
  </w:style>
  <w:style w:type="paragraph" w:customStyle="1" w:styleId="3288">
    <w:name w:val="题注5"/>
    <w:basedOn w:val="1"/>
    <w:next w:val="29"/>
    <w:qFormat/>
    <w:uiPriority w:val="0"/>
    <w:pPr>
      <w:spacing w:after="60" w:afterLines="25"/>
      <w:jc w:val="center"/>
    </w:pPr>
    <w:rPr>
      <w:rFonts w:ascii="华文宋体" w:hAnsi="华文宋体" w:eastAsia="华文宋体" w:cs="Times New Roman"/>
      <w:color w:val="000000" w:themeColor="text1"/>
      <w:sz w:val="24"/>
      <w:szCs w:val="24"/>
      <w14:textFill>
        <w14:solidFill>
          <w14:schemeClr w14:val="tx1"/>
        </w14:solidFill>
      </w14:textFill>
    </w:rPr>
  </w:style>
  <w:style w:type="paragraph" w:customStyle="1" w:styleId="3289">
    <w:name w:val="Char Char Char Char Char Char Char Char Char Char Char Char1 Char Char Char Char"/>
    <w:basedOn w:val="1"/>
    <w:qFormat/>
    <w:uiPriority w:val="0"/>
    <w:pPr>
      <w:widowControl/>
      <w:spacing w:after="160" w:afterLines="25" w:line="240" w:lineRule="exact"/>
      <w:jc w:val="center"/>
    </w:pPr>
    <w:rPr>
      <w:rFonts w:ascii="黑体" w:hAnsi="Verdana" w:eastAsia="黑体" w:cs="Times New Roman"/>
      <w:kern w:val="0"/>
      <w:sz w:val="32"/>
      <w:szCs w:val="32"/>
      <w:lang w:eastAsia="en-US"/>
    </w:rPr>
  </w:style>
  <w:style w:type="paragraph" w:customStyle="1" w:styleId="3290">
    <w:name w:val="1 Char Char Char Char"/>
    <w:basedOn w:val="1"/>
    <w:qFormat/>
    <w:uiPriority w:val="0"/>
    <w:pPr>
      <w:widowControl/>
      <w:spacing w:after="160" w:afterLines="25" w:line="240" w:lineRule="exact"/>
      <w:jc w:val="left"/>
    </w:pPr>
    <w:rPr>
      <w:rFonts w:ascii="Times New Roman" w:hAnsi="宋体" w:eastAsia="宋体" w:cs="宋体"/>
      <w:b/>
      <w:bCs/>
      <w:sz w:val="32"/>
      <w:szCs w:val="32"/>
    </w:rPr>
  </w:style>
  <w:style w:type="paragraph" w:customStyle="1" w:styleId="3291">
    <w:name w:val="正文缩进4格"/>
    <w:basedOn w:val="3196"/>
    <w:qFormat/>
    <w:uiPriority w:val="0"/>
    <w:pPr>
      <w:ind w:firstLine="650" w:firstLineChars="203"/>
    </w:pPr>
    <w:rPr>
      <w:sz w:val="31"/>
    </w:rPr>
  </w:style>
  <w:style w:type="character" w:customStyle="1" w:styleId="3292">
    <w:name w:val="p105"/>
    <w:basedOn w:val="136"/>
    <w:qFormat/>
    <w:uiPriority w:val="0"/>
  </w:style>
  <w:style w:type="character" w:customStyle="1" w:styleId="3293">
    <w:name w:val="Highlighted Variable"/>
    <w:qFormat/>
    <w:uiPriority w:val="0"/>
    <w:rPr>
      <w:color w:val="000000"/>
    </w:rPr>
  </w:style>
  <w:style w:type="character" w:customStyle="1" w:styleId="3294">
    <w:name w:val="DAS正文 Char"/>
    <w:qFormat/>
    <w:uiPriority w:val="0"/>
    <w:rPr>
      <w:rFonts w:ascii="Verdana" w:hAnsi="Verdana" w:eastAsia="宋体"/>
      <w:kern w:val="2"/>
      <w:sz w:val="21"/>
      <w:szCs w:val="21"/>
      <w:lang w:val="en-US" w:eastAsia="zh-CN" w:bidi="ar-SA"/>
    </w:rPr>
  </w:style>
  <w:style w:type="character" w:customStyle="1" w:styleId="3295">
    <w:name w:val="keyfeatures1"/>
    <w:qFormat/>
    <w:uiPriority w:val="0"/>
    <w:rPr>
      <w:rFonts w:hint="default" w:ascii="Arial" w:hAnsi="Arial" w:cs="Arial"/>
      <w:color w:val="003366"/>
      <w:sz w:val="17"/>
      <w:szCs w:val="17"/>
      <w:u w:val="none"/>
    </w:rPr>
  </w:style>
  <w:style w:type="character" w:customStyle="1" w:styleId="3296">
    <w:name w:val="f141"/>
    <w:qFormat/>
    <w:uiPriority w:val="0"/>
    <w:rPr>
      <w:sz w:val="21"/>
      <w:szCs w:val="21"/>
    </w:rPr>
  </w:style>
  <w:style w:type="character" w:customStyle="1" w:styleId="3297">
    <w:name w:val="meuncn1"/>
    <w:qFormat/>
    <w:uiPriority w:val="0"/>
    <w:rPr>
      <w:rFonts w:hint="eastAsia" w:ascii="宋体" w:hAnsi="宋体" w:eastAsia="宋体"/>
      <w:color w:val="666666"/>
      <w:sz w:val="18"/>
      <w:u w:val="none"/>
    </w:rPr>
  </w:style>
  <w:style w:type="character" w:customStyle="1" w:styleId="3298">
    <w:name w:val="bold1"/>
    <w:qFormat/>
    <w:uiPriority w:val="0"/>
    <w:rPr>
      <w:sz w:val="32"/>
    </w:rPr>
  </w:style>
  <w:style w:type="character" w:customStyle="1" w:styleId="3299">
    <w:name w:val="wctjfont1"/>
    <w:qFormat/>
    <w:uiPriority w:val="0"/>
    <w:rPr>
      <w:sz w:val="18"/>
    </w:rPr>
  </w:style>
  <w:style w:type="paragraph" w:customStyle="1" w:styleId="3300">
    <w:name w:val="表中文字"/>
    <w:basedOn w:val="1"/>
    <w:qFormat/>
    <w:uiPriority w:val="0"/>
    <w:pPr>
      <w:autoSpaceDE w:val="0"/>
      <w:autoSpaceDN w:val="0"/>
      <w:adjustRightInd w:val="0"/>
      <w:spacing w:after="60" w:afterLines="25" w:line="400" w:lineRule="atLeast"/>
      <w:ind w:left="35" w:leftChars="14" w:hanging="1"/>
      <w:jc w:val="center"/>
      <w:textAlignment w:val="baseline"/>
    </w:pPr>
    <w:rPr>
      <w:rFonts w:ascii="Verdana" w:hAnsi="Verdana" w:eastAsia="宋体" w:cs="Times New Roman"/>
      <w:kern w:val="0"/>
      <w:szCs w:val="28"/>
    </w:rPr>
  </w:style>
  <w:style w:type="paragraph" w:customStyle="1" w:styleId="3301">
    <w:name w:val="样式 标题 3Level 3 HeadH3Heading 3 - oldh3sect1.2.3Head33l3..."/>
    <w:basedOn w:val="7"/>
    <w:qFormat/>
    <w:uiPriority w:val="0"/>
    <w:pPr>
      <w:numPr>
        <w:ilvl w:val="0"/>
        <w:numId w:val="0"/>
      </w:numPr>
      <w:tabs>
        <w:tab w:val="left" w:pos="720"/>
      </w:tabs>
      <w:spacing w:line="360" w:lineRule="auto"/>
      <w:ind w:left="720" w:hanging="720"/>
    </w:pPr>
    <w:rPr>
      <w:rFonts w:ascii="华文宋体" w:hAnsi="华文宋体" w:eastAsia="宋体" w:cs="宋体"/>
      <w:sz w:val="21"/>
      <w:szCs w:val="20"/>
      <w:lang w:val="zh-CN"/>
    </w:rPr>
  </w:style>
  <w:style w:type="paragraph" w:customStyle="1" w:styleId="3302">
    <w:name w:val="保留正文"/>
    <w:basedOn w:val="10"/>
    <w:qFormat/>
    <w:uiPriority w:val="0"/>
    <w:pPr>
      <w:keepNext/>
      <w:spacing w:after="160"/>
    </w:pPr>
    <w:rPr>
      <w:rFonts w:ascii="Times New Roman" w:hAnsi="Times New Roman" w:eastAsia="宋体" w:cs="Times New Roman"/>
      <w:szCs w:val="24"/>
    </w:rPr>
  </w:style>
  <w:style w:type="paragraph" w:customStyle="1" w:styleId="3303">
    <w:name w:val="DAS正文"/>
    <w:basedOn w:val="1"/>
    <w:qFormat/>
    <w:uiPriority w:val="0"/>
    <w:pPr>
      <w:spacing w:after="60" w:afterLines="25" w:line="360" w:lineRule="exact"/>
    </w:pPr>
    <w:rPr>
      <w:rFonts w:ascii="Verdana" w:hAnsi="Verdana" w:eastAsia="宋体" w:cs="Times New Roman"/>
      <w:szCs w:val="21"/>
    </w:rPr>
  </w:style>
  <w:style w:type="paragraph" w:customStyle="1" w:styleId="3304">
    <w:name w:val="投标文件格式"/>
    <w:basedOn w:val="49"/>
    <w:qFormat/>
    <w:uiPriority w:val="0"/>
    <w:pPr>
      <w:widowControl w:val="0"/>
      <w:spacing w:before="0" w:beforeAutospacing="0" w:after="60" w:afterLines="25" w:afterAutospacing="0"/>
      <w:jc w:val="center"/>
    </w:pPr>
    <w:rPr>
      <w:rFonts w:hAnsi="Times New Roman" w:cs="Times New Roman"/>
      <w:b/>
      <w:sz w:val="21"/>
      <w:szCs w:val="20"/>
    </w:rPr>
  </w:style>
  <w:style w:type="paragraph" w:customStyle="1" w:styleId="3305">
    <w:name w:val="日期右"/>
    <w:basedOn w:val="54"/>
    <w:qFormat/>
    <w:uiPriority w:val="0"/>
    <w:pPr>
      <w:spacing w:after="60" w:afterLines="25" w:line="600" w:lineRule="exact"/>
      <w:ind w:left="0" w:leftChars="0"/>
      <w:jc w:val="right"/>
    </w:pPr>
    <w:rPr>
      <w:rFonts w:ascii="Times New Roman" w:hAnsi="Times New Roman" w:eastAsia="仿宋_GB2312"/>
      <w:sz w:val="31"/>
      <w:szCs w:val="24"/>
    </w:rPr>
  </w:style>
  <w:style w:type="paragraph" w:customStyle="1" w:styleId="3306">
    <w:name w:val="正文缩进6格"/>
    <w:basedOn w:val="3291"/>
    <w:qFormat/>
    <w:uiPriority w:val="0"/>
    <w:pPr>
      <w:ind w:left="1758" w:leftChars="854" w:firstLine="608" w:firstLineChars="196"/>
    </w:pPr>
    <w:rPr>
      <w:color w:val="000000"/>
    </w:rPr>
  </w:style>
  <w:style w:type="paragraph" w:customStyle="1" w:styleId="3307">
    <w:name w:val="正文无缩进"/>
    <w:basedOn w:val="3196"/>
    <w:qFormat/>
    <w:uiPriority w:val="0"/>
    <w:pPr>
      <w:ind w:firstLine="0" w:firstLineChars="0"/>
    </w:pPr>
    <w:rPr>
      <w:sz w:val="31"/>
    </w:rPr>
  </w:style>
  <w:style w:type="paragraph" w:customStyle="1" w:styleId="3308">
    <w:name w:val="标题 3.5"/>
    <w:basedOn w:val="7"/>
    <w:qFormat/>
    <w:uiPriority w:val="0"/>
    <w:pPr>
      <w:numPr>
        <w:ilvl w:val="0"/>
        <w:numId w:val="0"/>
      </w:numPr>
      <w:spacing w:line="600" w:lineRule="exact"/>
      <w:outlineLvl w:val="9"/>
    </w:pPr>
    <w:rPr>
      <w:rFonts w:ascii="华文宋体" w:hAnsi="华文宋体" w:eastAsia="仿宋_GB2312" w:cs="Times New Roman"/>
      <w:sz w:val="31"/>
      <w:lang w:val="zh-CN"/>
    </w:rPr>
  </w:style>
  <w:style w:type="paragraph" w:customStyle="1" w:styleId="3309">
    <w:name w:val="进度表"/>
    <w:basedOn w:val="28"/>
    <w:qFormat/>
    <w:uiPriority w:val="0"/>
    <w:pPr>
      <w:snapToGrid w:val="0"/>
      <w:spacing w:after="60" w:afterLines="25" w:line="440" w:lineRule="atLeast"/>
      <w:ind w:hanging="130"/>
    </w:pPr>
    <w:rPr>
      <w:rFonts w:ascii="宋体"/>
      <w:color w:val="000000"/>
      <w:position w:val="-6"/>
      <w:sz w:val="28"/>
    </w:rPr>
  </w:style>
  <w:style w:type="paragraph" w:customStyle="1" w:styleId="3310">
    <w:name w:val="技术响应2"/>
    <w:basedOn w:val="1"/>
    <w:qFormat/>
    <w:uiPriority w:val="0"/>
    <w:pPr>
      <w:numPr>
        <w:ilvl w:val="0"/>
        <w:numId w:val="107"/>
      </w:numPr>
      <w:tabs>
        <w:tab w:val="left" w:pos="420"/>
      </w:tabs>
      <w:spacing w:after="60" w:afterLines="25"/>
      <w:ind w:firstLine="0"/>
    </w:pPr>
    <w:rPr>
      <w:rFonts w:ascii="宋体" w:hAnsi="宋体" w:eastAsia="宋体" w:cs="Times New Roman"/>
      <w:b/>
      <w:bCs/>
      <w:szCs w:val="20"/>
    </w:rPr>
  </w:style>
  <w:style w:type="paragraph" w:customStyle="1" w:styleId="3311">
    <w:name w:val="需求书2"/>
    <w:basedOn w:val="1"/>
    <w:qFormat/>
    <w:uiPriority w:val="0"/>
    <w:pPr>
      <w:spacing w:after="60" w:afterLines="25"/>
    </w:pPr>
    <w:rPr>
      <w:rFonts w:ascii="宋体" w:hAnsi="宋体" w:eastAsia="宋体" w:cs="Times New Roman"/>
      <w:spacing w:val="10"/>
      <w:sz w:val="18"/>
      <w:szCs w:val="20"/>
    </w:rPr>
  </w:style>
  <w:style w:type="paragraph" w:customStyle="1" w:styleId="3312">
    <w:name w:val="技术响应1"/>
    <w:basedOn w:val="1"/>
    <w:qFormat/>
    <w:uiPriority w:val="0"/>
    <w:pPr>
      <w:widowControl/>
      <w:spacing w:after="60" w:afterLines="25" w:line="360" w:lineRule="auto"/>
      <w:ind w:firstLine="588"/>
      <w:jc w:val="center"/>
    </w:pPr>
    <w:rPr>
      <w:rFonts w:ascii="宋体" w:hAnsi="Times New Roman" w:eastAsia="宋体" w:cs="Times New Roman"/>
      <w:b/>
      <w:kern w:val="0"/>
      <w:sz w:val="28"/>
      <w:szCs w:val="20"/>
    </w:rPr>
  </w:style>
  <w:style w:type="paragraph" w:customStyle="1" w:styleId="3313">
    <w:name w:val="目录"/>
    <w:basedOn w:val="1"/>
    <w:link w:val="3326"/>
    <w:qFormat/>
    <w:uiPriority w:val="0"/>
    <w:pPr>
      <w:widowControl/>
      <w:spacing w:after="60" w:afterLines="25" w:line="480" w:lineRule="auto"/>
      <w:jc w:val="center"/>
    </w:pPr>
    <w:rPr>
      <w:rFonts w:ascii="Calibri" w:hAnsi="Calibri" w:eastAsia="宋体" w:cs="Times New Roman"/>
      <w:bCs/>
      <w:caps/>
    </w:rPr>
  </w:style>
  <w:style w:type="paragraph" w:customStyle="1" w:styleId="3314">
    <w:name w:val="表格栏头"/>
    <w:basedOn w:val="1485"/>
    <w:next w:val="1485"/>
    <w:qFormat/>
    <w:uiPriority w:val="0"/>
    <w:pPr>
      <w:widowControl/>
      <w:overflowPunct w:val="0"/>
      <w:autoSpaceDE w:val="0"/>
      <w:autoSpaceDN w:val="0"/>
      <w:adjustRightInd w:val="0"/>
      <w:spacing w:before="312" w:after="312" w:afterLines="25"/>
      <w:jc w:val="left"/>
      <w:textAlignment w:val="baseline"/>
    </w:pPr>
    <w:rPr>
      <w:rFonts w:hAnsi="Tahoma" w:eastAsia="宋体"/>
      <w:b/>
      <w:kern w:val="0"/>
      <w:sz w:val="24"/>
      <w:szCs w:val="20"/>
    </w:rPr>
  </w:style>
  <w:style w:type="paragraph" w:customStyle="1" w:styleId="3315">
    <w:name w:val="1"/>
    <w:basedOn w:val="1"/>
    <w:qFormat/>
    <w:uiPriority w:val="0"/>
    <w:pPr>
      <w:widowControl/>
      <w:spacing w:after="160" w:afterLines="25" w:line="240" w:lineRule="exact"/>
      <w:jc w:val="left"/>
    </w:pPr>
    <w:rPr>
      <w:rFonts w:ascii="Verdana" w:hAnsi="Verdana" w:eastAsia="楷体_GB2312" w:cs="Times New Roman"/>
      <w:b/>
      <w:i/>
      <w:iCs/>
      <w:color w:val="000000"/>
      <w:kern w:val="0"/>
      <w:sz w:val="20"/>
      <w:szCs w:val="20"/>
      <w:lang w:eastAsia="en-US"/>
    </w:rPr>
  </w:style>
  <w:style w:type="paragraph" w:customStyle="1" w:styleId="3316">
    <w:name w:val="样式 我的标题 + 两端对齐"/>
    <w:basedOn w:val="4"/>
    <w:qFormat/>
    <w:uiPriority w:val="0"/>
    <w:pPr>
      <w:numPr>
        <w:numId w:val="0"/>
      </w:numPr>
      <w:spacing w:beforeLines="50" w:afterLines="50"/>
    </w:pPr>
    <w:rPr>
      <w:rFonts w:ascii="Times New Roman" w:hAnsi="Times New Roman" w:cs="宋体"/>
      <w:b w:val="0"/>
      <w:szCs w:val="20"/>
    </w:rPr>
  </w:style>
  <w:style w:type="paragraph" w:customStyle="1" w:styleId="3317">
    <w:name w:val="Char Char Char Char Char Char Char Char Char Char Char Char Char"/>
    <w:basedOn w:val="1"/>
    <w:qFormat/>
    <w:uiPriority w:val="0"/>
    <w:pPr>
      <w:widowControl/>
      <w:spacing w:after="160" w:afterLines="25" w:line="240" w:lineRule="exact"/>
      <w:jc w:val="left"/>
    </w:pPr>
    <w:rPr>
      <w:rFonts w:ascii="Times New Roman" w:hAnsi="Times New Roman" w:eastAsia="宋体" w:cs="Times New Roman"/>
      <w:szCs w:val="24"/>
    </w:rPr>
  </w:style>
  <w:style w:type="paragraph" w:customStyle="1" w:styleId="3318">
    <w:name w:val="正文列表"/>
    <w:basedOn w:val="1"/>
    <w:qFormat/>
    <w:uiPriority w:val="0"/>
    <w:pPr>
      <w:autoSpaceDE w:val="0"/>
      <w:autoSpaceDN w:val="0"/>
      <w:adjustRightInd w:val="0"/>
      <w:spacing w:after="60" w:afterLines="25"/>
      <w:jc w:val="center"/>
      <w:textAlignment w:val="baseline"/>
    </w:pPr>
    <w:rPr>
      <w:rFonts w:ascii="宋体" w:hAnsi="宋体" w:eastAsia="宋体" w:cs="Times New Roman"/>
      <w:kern w:val="0"/>
      <w:sz w:val="24"/>
      <w:szCs w:val="20"/>
    </w:rPr>
  </w:style>
  <w:style w:type="paragraph" w:customStyle="1" w:styleId="3319">
    <w:name w:val="普通(Web)"/>
    <w:basedOn w:val="1"/>
    <w:qFormat/>
    <w:uiPriority w:val="0"/>
    <w:pPr>
      <w:widowControl/>
      <w:spacing w:before="100" w:beforeAutospacing="1" w:after="100" w:afterLines="25" w:afterAutospacing="1" w:line="240" w:lineRule="atLeast"/>
      <w:ind w:firstLine="360"/>
      <w:jc w:val="left"/>
    </w:pPr>
    <w:rPr>
      <w:rFonts w:ascii="宋体" w:hAnsi="宋体" w:eastAsia="宋体" w:cs="Times New Roman"/>
      <w:kern w:val="0"/>
      <w:sz w:val="18"/>
      <w:szCs w:val="20"/>
    </w:rPr>
  </w:style>
  <w:style w:type="paragraph" w:customStyle="1" w:styleId="3320">
    <w:name w:val="信息标题2"/>
    <w:basedOn w:val="29"/>
    <w:next w:val="29"/>
    <w:qFormat/>
    <w:uiPriority w:val="0"/>
    <w:pPr>
      <w:spacing w:before="156" w:beforeLines="50" w:after="156" w:afterLines="50" w:line="240" w:lineRule="auto"/>
      <w:ind w:left="422" w:hanging="422" w:hangingChars="200"/>
      <w:jc w:val="left"/>
    </w:pPr>
    <w:rPr>
      <w:rFonts w:ascii="Arial Black" w:hAnsi="Arial Black" w:eastAsia="宋体"/>
      <w:b/>
      <w:sz w:val="30"/>
    </w:rPr>
  </w:style>
  <w:style w:type="paragraph" w:customStyle="1" w:styleId="3321">
    <w:name w:val="版权"/>
    <w:basedOn w:val="1"/>
    <w:qFormat/>
    <w:uiPriority w:val="0"/>
    <w:pPr>
      <w:spacing w:before="312" w:after="312" w:afterLines="25"/>
      <w:jc w:val="center"/>
      <w:outlineLvl w:val="0"/>
    </w:pPr>
    <w:rPr>
      <w:rFonts w:ascii="华文中宋" w:hAnsi="华文中宋" w:eastAsia="宋体" w:cs="Times New Roman"/>
      <w:b/>
      <w:sz w:val="24"/>
      <w:szCs w:val="20"/>
    </w:rPr>
  </w:style>
  <w:style w:type="paragraph" w:customStyle="1" w:styleId="3322">
    <w:name w:val="题目副题"/>
    <w:basedOn w:val="68"/>
    <w:qFormat/>
    <w:uiPriority w:val="0"/>
    <w:pPr>
      <w:spacing w:before="0" w:after="312" w:afterLines="25"/>
      <w:ind w:left="240" w:firstLine="600"/>
      <w:jc w:val="left"/>
      <w:outlineLvl w:val="9"/>
    </w:pPr>
    <w:rPr>
      <w:rFonts w:ascii="宋体" w:hAnsi="宋体" w:cs="Times New Roman"/>
      <w:bCs w:val="0"/>
      <w:sz w:val="30"/>
      <w:szCs w:val="20"/>
    </w:rPr>
  </w:style>
  <w:style w:type="paragraph" w:customStyle="1" w:styleId="3323">
    <w:name w:val="_Style 202"/>
    <w:basedOn w:val="1"/>
    <w:qFormat/>
    <w:uiPriority w:val="0"/>
    <w:pPr>
      <w:tabs>
        <w:tab w:val="left" w:pos="360"/>
      </w:tabs>
      <w:spacing w:after="60" w:afterLines="25"/>
    </w:pPr>
    <w:rPr>
      <w:rFonts w:ascii="Times New Roman" w:hAnsi="Times New Roman" w:eastAsia="宋体" w:cs="Times New Roman"/>
      <w:szCs w:val="24"/>
    </w:rPr>
  </w:style>
  <w:style w:type="paragraph" w:customStyle="1" w:styleId="3324">
    <w:name w:val="方案－正文"/>
    <w:basedOn w:val="1"/>
    <w:qFormat/>
    <w:uiPriority w:val="0"/>
    <w:pPr>
      <w:spacing w:after="60" w:afterLines="25" w:line="360" w:lineRule="auto"/>
      <w:ind w:firstLine="480" w:firstLineChars="200"/>
    </w:pPr>
    <w:rPr>
      <w:rFonts w:ascii="仿宋_GB2312" w:hAnsi="宋体" w:eastAsia="宋体" w:cs="黑体"/>
    </w:rPr>
  </w:style>
  <w:style w:type="character" w:customStyle="1" w:styleId="3325">
    <w:name w:val="TOC 1 字符"/>
    <w:basedOn w:val="136"/>
    <w:link w:val="63"/>
    <w:qFormat/>
    <w:locked/>
    <w:uiPriority w:val="39"/>
    <w:rPr>
      <w:rFonts w:ascii="Calibri" w:hAnsi="Calibri"/>
      <w:kern w:val="2"/>
      <w:sz w:val="21"/>
      <w:szCs w:val="22"/>
    </w:rPr>
  </w:style>
  <w:style w:type="character" w:customStyle="1" w:styleId="3326">
    <w:name w:val="目录 Char"/>
    <w:basedOn w:val="3325"/>
    <w:link w:val="3313"/>
    <w:qFormat/>
    <w:locked/>
    <w:uiPriority w:val="0"/>
    <w:rPr>
      <w:rFonts w:ascii="Calibri" w:hAnsi="Calibri"/>
      <w:bCs/>
      <w:caps/>
      <w:kern w:val="2"/>
      <w:sz w:val="21"/>
      <w:szCs w:val="22"/>
    </w:rPr>
  </w:style>
  <w:style w:type="paragraph" w:customStyle="1" w:styleId="3327">
    <w:name w:val="图样式"/>
    <w:basedOn w:val="1"/>
    <w:qFormat/>
    <w:uiPriority w:val="99"/>
    <w:pPr>
      <w:spacing w:before="156" w:after="156" w:line="360" w:lineRule="auto"/>
      <w:jc w:val="center"/>
    </w:pPr>
    <w:rPr>
      <w:rFonts w:ascii="宋体" w:hAnsi="宋体" w:eastAsia="宋体" w:cs="Times New Roman"/>
      <w:sz w:val="24"/>
      <w:szCs w:val="24"/>
    </w:rPr>
  </w:style>
  <w:style w:type="paragraph" w:customStyle="1" w:styleId="3328">
    <w:name w:val="表格样式"/>
    <w:basedOn w:val="1"/>
    <w:qFormat/>
    <w:uiPriority w:val="99"/>
    <w:pPr>
      <w:spacing w:before="156" w:after="156"/>
    </w:pPr>
    <w:rPr>
      <w:rFonts w:ascii="宋体" w:hAnsi="宋体" w:eastAsia="宋体" w:cs="Times New Roman"/>
      <w:sz w:val="18"/>
      <w:szCs w:val="18"/>
    </w:rPr>
  </w:style>
  <w:style w:type="paragraph" w:customStyle="1" w:styleId="3329">
    <w:name w:val="Char Char2 Char Char Char Char Char Char Char Char"/>
    <w:basedOn w:val="1"/>
    <w:qFormat/>
    <w:uiPriority w:val="99"/>
    <w:rPr>
      <w:rFonts w:ascii="Tahoma" w:hAnsi="Tahoma" w:eastAsia="宋体" w:cs="Times New Roman"/>
      <w:sz w:val="24"/>
      <w:szCs w:val="20"/>
    </w:rPr>
  </w:style>
  <w:style w:type="character" w:customStyle="1" w:styleId="3330">
    <w:name w:val="列出段落 字符1"/>
    <w:link w:val="192"/>
    <w:qFormat/>
    <w:locked/>
    <w:uiPriority w:val="0"/>
    <w:rPr>
      <w:rFonts w:ascii="Calibri" w:hAnsi="Calibri" w:cs="黑体"/>
      <w:kern w:val="2"/>
      <w:sz w:val="21"/>
      <w:szCs w:val="22"/>
    </w:rPr>
  </w:style>
  <w:style w:type="character" w:customStyle="1" w:styleId="3331">
    <w:name w:val="正文、宋体、小四、首行缩进、1.5倍行距 Char"/>
    <w:link w:val="3332"/>
    <w:qFormat/>
    <w:locked/>
    <w:uiPriority w:val="0"/>
    <w:rPr>
      <w:rFonts w:ascii="宋体" w:hAnsi="宋体"/>
      <w:sz w:val="24"/>
      <w:szCs w:val="24"/>
      <w:lang w:val="zh-CN" w:bidi="en-US"/>
    </w:rPr>
  </w:style>
  <w:style w:type="paragraph" w:customStyle="1" w:styleId="3332">
    <w:name w:val="正文、宋体、小四、首行缩进、1.5倍行距"/>
    <w:basedOn w:val="1"/>
    <w:link w:val="3331"/>
    <w:qFormat/>
    <w:uiPriority w:val="0"/>
    <w:pPr>
      <w:widowControl/>
      <w:spacing w:line="360" w:lineRule="auto"/>
      <w:ind w:firstLine="422" w:firstLineChars="200"/>
    </w:pPr>
    <w:rPr>
      <w:rFonts w:ascii="宋体" w:hAnsi="宋体" w:eastAsia="宋体" w:cs="Times New Roman"/>
      <w:kern w:val="0"/>
      <w:sz w:val="24"/>
      <w:szCs w:val="24"/>
      <w:lang w:val="zh-CN" w:bidi="en-US"/>
    </w:rPr>
  </w:style>
  <w:style w:type="character" w:customStyle="1" w:styleId="3333">
    <w:name w:val="页码1"/>
    <w:basedOn w:val="136"/>
    <w:qFormat/>
    <w:uiPriority w:val="0"/>
  </w:style>
  <w:style w:type="paragraph" w:customStyle="1" w:styleId="3334">
    <w:name w:val="标书标题3"/>
    <w:basedOn w:val="1"/>
    <w:qFormat/>
    <w:uiPriority w:val="0"/>
    <w:pPr>
      <w:tabs>
        <w:tab w:val="left" w:pos="7920"/>
      </w:tabs>
      <w:adjustRightInd w:val="0"/>
      <w:snapToGrid w:val="0"/>
      <w:spacing w:line="360" w:lineRule="auto"/>
    </w:pPr>
    <w:rPr>
      <w:rFonts w:ascii="宋体" w:hAnsi="宋体" w:eastAsia="华文宋体" w:cs="Times New Roman"/>
      <w:color w:val="000000"/>
      <w:sz w:val="24"/>
      <w:szCs w:val="20"/>
    </w:rPr>
  </w:style>
  <w:style w:type="paragraph" w:customStyle="1" w:styleId="3335">
    <w:name w:val="正文（小四+1.25倍行距）"/>
    <w:basedOn w:val="1"/>
    <w:link w:val="3336"/>
    <w:qFormat/>
    <w:uiPriority w:val="0"/>
    <w:pPr>
      <w:spacing w:line="360" w:lineRule="auto"/>
      <w:ind w:firstLine="200" w:firstLineChars="200"/>
    </w:pPr>
    <w:rPr>
      <w:rFonts w:eastAsia="仿宋" w:cs="Times New Roman" w:asciiTheme="minorEastAsia"/>
      <w:kern w:val="0"/>
      <w:sz w:val="24"/>
      <w:szCs w:val="24"/>
    </w:rPr>
  </w:style>
  <w:style w:type="character" w:customStyle="1" w:styleId="3336">
    <w:name w:val="正文（小四+1.25倍行距） Char"/>
    <w:basedOn w:val="136"/>
    <w:link w:val="3335"/>
    <w:qFormat/>
    <w:uiPriority w:val="0"/>
    <w:rPr>
      <w:rFonts w:eastAsia="仿宋" w:asciiTheme="minorEastAsia" w:hAnsiTheme="minorHAnsi"/>
      <w:sz w:val="24"/>
      <w:szCs w:val="24"/>
    </w:rPr>
  </w:style>
  <w:style w:type="paragraph" w:customStyle="1" w:styleId="3337">
    <w:name w:val="CM15"/>
    <w:basedOn w:val="1"/>
    <w:next w:val="1"/>
    <w:qFormat/>
    <w:uiPriority w:val="99"/>
    <w:pPr>
      <w:autoSpaceDE w:val="0"/>
      <w:autoSpaceDN w:val="0"/>
      <w:adjustRightInd w:val="0"/>
      <w:spacing w:line="471" w:lineRule="atLeast"/>
      <w:jc w:val="left"/>
    </w:pPr>
    <w:rPr>
      <w:rFonts w:ascii="宋体" w:eastAsia="宋体"/>
      <w:kern w:val="0"/>
      <w:sz w:val="24"/>
      <w:szCs w:val="24"/>
    </w:rPr>
  </w:style>
  <w:style w:type="paragraph" w:customStyle="1" w:styleId="3338">
    <w:name w:val="公文标题三"/>
    <w:basedOn w:val="7"/>
    <w:qFormat/>
    <w:uiPriority w:val="0"/>
    <w:pPr>
      <w:keepNext/>
      <w:keepLines/>
      <w:widowControl/>
      <w:numPr>
        <w:ilvl w:val="0"/>
        <w:numId w:val="108"/>
      </w:numPr>
      <w:spacing w:before="260" w:after="260" w:line="415" w:lineRule="auto"/>
      <w:ind w:firstLine="0"/>
    </w:pPr>
    <w:rPr>
      <w:rFonts w:ascii="楷体" w:hAnsi="楷体" w:eastAsia="楷体" w:cs="Times New Roman"/>
      <w:kern w:val="0"/>
    </w:rPr>
  </w:style>
  <w:style w:type="paragraph" w:customStyle="1" w:styleId="3339">
    <w:name w:val="_正文段落"/>
    <w:basedOn w:val="1"/>
    <w:qFormat/>
    <w:uiPriority w:val="0"/>
    <w:pPr>
      <w:widowControl/>
      <w:spacing w:line="360" w:lineRule="auto"/>
      <w:ind w:firstLine="200" w:firstLineChars="200"/>
      <w:jc w:val="left"/>
    </w:pPr>
    <w:rPr>
      <w:rFonts w:ascii="Times New Roman" w:hAnsi="Times New Roman" w:eastAsia="宋体" w:cs="宋体"/>
      <w:sz w:val="24"/>
      <w:szCs w:val="20"/>
    </w:rPr>
  </w:style>
  <w:style w:type="paragraph" w:customStyle="1" w:styleId="3340">
    <w:name w:val="中等深浅网格 1 - 着色 21"/>
    <w:basedOn w:val="1"/>
    <w:link w:val="3341"/>
    <w:qFormat/>
    <w:uiPriority w:val="34"/>
    <w:pPr>
      <w:spacing w:line="360" w:lineRule="auto"/>
    </w:pPr>
    <w:rPr>
      <w:rFonts w:ascii="Times New Roman" w:hAnsi="Times New Roman" w:eastAsia="宋体" w:cs="Times New Roman"/>
      <w:color w:val="000000"/>
      <w:sz w:val="24"/>
      <w:szCs w:val="20"/>
    </w:rPr>
  </w:style>
  <w:style w:type="character" w:customStyle="1" w:styleId="3341">
    <w:name w:val="中等深浅网格 1 - 着色 2 字符"/>
    <w:link w:val="3340"/>
    <w:qFormat/>
    <w:uiPriority w:val="34"/>
    <w:rPr>
      <w:color w:val="000000"/>
      <w:kern w:val="2"/>
      <w:sz w:val="24"/>
    </w:rPr>
  </w:style>
  <w:style w:type="paragraph" w:customStyle="1" w:styleId="3342">
    <w:name w:val="正文XXXX"/>
    <w:basedOn w:val="1"/>
    <w:qFormat/>
    <w:uiPriority w:val="0"/>
    <w:pPr>
      <w:widowControl/>
      <w:spacing w:line="360" w:lineRule="auto"/>
      <w:ind w:firstLine="480"/>
      <w:jc w:val="left"/>
    </w:pPr>
    <w:rPr>
      <w:rFonts w:ascii="宋体" w:hAnsi="宋体" w:eastAsia="仿宋" w:cs="仿宋_GB2312"/>
      <w:color w:val="000000"/>
      <w:sz w:val="24"/>
      <w:szCs w:val="24"/>
      <w:lang w:val="zh-CN"/>
    </w:rPr>
  </w:style>
  <w:style w:type="paragraph" w:customStyle="1" w:styleId="3343">
    <w:name w:val="表头格式"/>
    <w:basedOn w:val="1"/>
    <w:qFormat/>
    <w:uiPriority w:val="0"/>
    <w:pPr>
      <w:widowControl/>
      <w:jc w:val="center"/>
    </w:pPr>
    <w:rPr>
      <w:rFonts w:ascii="Times New Roman" w:hAnsi="Times New Roman" w:eastAsia="宋体" w:cs="Times New Roman"/>
      <w:b/>
      <w:bCs/>
      <w:kern w:val="0"/>
      <w:sz w:val="24"/>
      <w:szCs w:val="24"/>
    </w:rPr>
  </w:style>
  <w:style w:type="paragraph" w:customStyle="1" w:styleId="3344">
    <w:name w:val="表正文格式"/>
    <w:basedOn w:val="28"/>
    <w:qFormat/>
    <w:uiPriority w:val="0"/>
    <w:pPr>
      <w:widowControl/>
      <w:spacing w:line="240" w:lineRule="auto"/>
      <w:ind w:firstLine="0"/>
    </w:pPr>
    <w:rPr>
      <w:kern w:val="0"/>
      <w:position w:val="-4"/>
      <w:sz w:val="20"/>
    </w:rPr>
  </w:style>
  <w:style w:type="paragraph" w:customStyle="1" w:styleId="3345">
    <w:name w:val="T图形居中"/>
    <w:next w:val="1"/>
    <w:link w:val="3346"/>
    <w:qFormat/>
    <w:uiPriority w:val="9"/>
    <w:pPr>
      <w:jc w:val="center"/>
    </w:pPr>
    <w:rPr>
      <w:rFonts w:asciiTheme="minorHAnsi" w:hAnsiTheme="minorHAnsi" w:eastAsiaTheme="minorEastAsia" w:cstheme="minorBidi"/>
      <w:kern w:val="2"/>
      <w:sz w:val="24"/>
      <w:szCs w:val="21"/>
      <w:lang w:val="en-US" w:eastAsia="zh-CN" w:bidi="ar-SA"/>
    </w:rPr>
  </w:style>
  <w:style w:type="character" w:customStyle="1" w:styleId="3346">
    <w:name w:val="T图形居中 Char"/>
    <w:link w:val="3345"/>
    <w:qFormat/>
    <w:uiPriority w:val="9"/>
    <w:rPr>
      <w:rFonts w:asciiTheme="minorHAnsi" w:hAnsiTheme="minorHAnsi" w:eastAsiaTheme="minorEastAsia" w:cstheme="minorBidi"/>
      <w:kern w:val="2"/>
      <w:sz w:val="24"/>
      <w:szCs w:val="21"/>
    </w:rPr>
  </w:style>
  <w:style w:type="paragraph" w:customStyle="1" w:styleId="3347">
    <w:name w:val="R文档6"/>
    <w:basedOn w:val="3348"/>
    <w:next w:val="188"/>
    <w:link w:val="3351"/>
    <w:qFormat/>
    <w:uiPriority w:val="0"/>
    <w:pPr>
      <w:numPr>
        <w:ilvl w:val="0"/>
        <w:numId w:val="0"/>
      </w:numPr>
      <w:ind w:firstLine="200" w:firstLineChars="200"/>
      <w:outlineLvl w:val="5"/>
    </w:pPr>
  </w:style>
  <w:style w:type="paragraph" w:customStyle="1" w:styleId="3348">
    <w:name w:val="R文档5"/>
    <w:basedOn w:val="3349"/>
    <w:next w:val="188"/>
    <w:link w:val="3365"/>
    <w:qFormat/>
    <w:uiPriority w:val="0"/>
    <w:pPr>
      <w:numPr>
        <w:ilvl w:val="4"/>
      </w:numPr>
      <w:outlineLvl w:val="4"/>
    </w:pPr>
  </w:style>
  <w:style w:type="paragraph" w:customStyle="1" w:styleId="3349">
    <w:name w:val="R文档4"/>
    <w:basedOn w:val="3350"/>
    <w:next w:val="188"/>
    <w:qFormat/>
    <w:uiPriority w:val="0"/>
    <w:pPr>
      <w:numPr>
        <w:ilvl w:val="3"/>
      </w:numPr>
      <w:spacing w:after="0" w:afterLines="0"/>
      <w:outlineLvl w:val="3"/>
    </w:pPr>
    <w:rPr>
      <w:rFonts w:eastAsia="微软雅黑" w:asciiTheme="minorHAnsi" w:hAnsiTheme="minorHAnsi" w:cstheme="minorBidi"/>
      <w:sz w:val="24"/>
    </w:rPr>
  </w:style>
  <w:style w:type="paragraph" w:customStyle="1" w:styleId="3350">
    <w:name w:val="R文档2"/>
    <w:basedOn w:val="1"/>
    <w:link w:val="3361"/>
    <w:qFormat/>
    <w:uiPriority w:val="0"/>
    <w:pPr>
      <w:numPr>
        <w:ilvl w:val="1"/>
        <w:numId w:val="109"/>
      </w:numPr>
      <w:spacing w:before="50" w:beforeLines="50" w:after="50" w:afterLines="50" w:line="360" w:lineRule="auto"/>
      <w:ind w:firstLine="200" w:firstLineChars="200"/>
      <w:jc w:val="left"/>
      <w:outlineLvl w:val="1"/>
    </w:pPr>
    <w:rPr>
      <w:rFonts w:ascii="Calibri" w:hAnsi="Calibri" w:eastAsia="Times New Roman" w:cs="Times New Roman"/>
      <w:sz w:val="32"/>
    </w:rPr>
  </w:style>
  <w:style w:type="character" w:customStyle="1" w:styleId="3351">
    <w:name w:val="R文档6 Char"/>
    <w:basedOn w:val="3352"/>
    <w:link w:val="3347"/>
    <w:qFormat/>
    <w:uiPriority w:val="0"/>
    <w:rPr>
      <w:rFonts w:eastAsia="微软雅黑" w:asciiTheme="minorHAnsi" w:hAnsiTheme="minorHAnsi" w:cstheme="minorBidi"/>
      <w:kern w:val="2"/>
      <w:sz w:val="24"/>
      <w:szCs w:val="22"/>
    </w:rPr>
  </w:style>
  <w:style w:type="character" w:customStyle="1" w:styleId="3352">
    <w:name w:val="R文档5 Char"/>
    <w:basedOn w:val="3353"/>
    <w:link w:val="3357"/>
    <w:qFormat/>
    <w:uiPriority w:val="0"/>
    <w:rPr>
      <w:rFonts w:eastAsia="Times New Roman" w:asciiTheme="minorHAnsi" w:hAnsiTheme="minorHAnsi"/>
      <w:kern w:val="2"/>
      <w:sz w:val="24"/>
      <w:szCs w:val="22"/>
    </w:rPr>
  </w:style>
  <w:style w:type="character" w:customStyle="1" w:styleId="3353">
    <w:name w:val="R文档4 Char"/>
    <w:basedOn w:val="3354"/>
    <w:link w:val="3356"/>
    <w:qFormat/>
    <w:uiPriority w:val="0"/>
    <w:rPr>
      <w:rFonts w:ascii="Calibri" w:hAnsi="Calibri" w:eastAsia="Times New Roman"/>
      <w:kern w:val="2"/>
      <w:sz w:val="24"/>
      <w:szCs w:val="22"/>
    </w:rPr>
  </w:style>
  <w:style w:type="character" w:customStyle="1" w:styleId="3354">
    <w:name w:val="R文档2 Char"/>
    <w:basedOn w:val="136"/>
    <w:link w:val="3355"/>
    <w:qFormat/>
    <w:uiPriority w:val="0"/>
    <w:rPr>
      <w:rFonts w:ascii="Calibri" w:hAnsi="Calibri" w:eastAsia="微软雅黑"/>
      <w:kern w:val="2"/>
      <w:sz w:val="32"/>
      <w:szCs w:val="22"/>
    </w:rPr>
  </w:style>
  <w:style w:type="paragraph" w:customStyle="1" w:styleId="3355">
    <w:name w:val="R文档211"/>
    <w:basedOn w:val="1"/>
    <w:link w:val="3354"/>
    <w:qFormat/>
    <w:uiPriority w:val="0"/>
    <w:pPr>
      <w:numPr>
        <w:ilvl w:val="1"/>
        <w:numId w:val="110"/>
      </w:numPr>
      <w:spacing w:before="50" w:beforeLines="50" w:after="50" w:afterLines="50" w:line="360" w:lineRule="auto"/>
      <w:ind w:firstLine="200" w:firstLineChars="200"/>
      <w:jc w:val="left"/>
      <w:outlineLvl w:val="1"/>
    </w:pPr>
    <w:rPr>
      <w:rFonts w:ascii="Calibri" w:hAnsi="Calibri" w:eastAsia="微软雅黑" w:cs="Times New Roman"/>
      <w:sz w:val="32"/>
    </w:rPr>
  </w:style>
  <w:style w:type="paragraph" w:customStyle="1" w:styleId="3356">
    <w:name w:val="R文档41"/>
    <w:basedOn w:val="3350"/>
    <w:link w:val="3353"/>
    <w:qFormat/>
    <w:uiPriority w:val="0"/>
    <w:pPr>
      <w:numPr>
        <w:ilvl w:val="3"/>
        <w:numId w:val="110"/>
      </w:numPr>
      <w:tabs>
        <w:tab w:val="left" w:pos="1680"/>
        <w:tab w:val="left" w:pos="2160"/>
      </w:tabs>
      <w:spacing w:after="0" w:afterLines="0"/>
      <w:ind w:left="2160" w:hanging="420"/>
      <w:outlineLvl w:val="3"/>
    </w:pPr>
    <w:rPr>
      <w:sz w:val="24"/>
    </w:rPr>
  </w:style>
  <w:style w:type="paragraph" w:customStyle="1" w:styleId="3357">
    <w:name w:val="R文档51"/>
    <w:basedOn w:val="3356"/>
    <w:next w:val="3358"/>
    <w:link w:val="3352"/>
    <w:qFormat/>
    <w:uiPriority w:val="0"/>
    <w:pPr>
      <w:numPr>
        <w:ilvl w:val="4"/>
      </w:numPr>
      <w:tabs>
        <w:tab w:val="left" w:pos="2580"/>
      </w:tabs>
      <w:ind w:left="2580" w:hanging="420"/>
      <w:outlineLvl w:val="4"/>
    </w:pPr>
    <w:rPr>
      <w:rFonts w:asciiTheme="minorHAnsi" w:hAnsiTheme="minorHAnsi"/>
    </w:rPr>
  </w:style>
  <w:style w:type="paragraph" w:customStyle="1" w:styleId="3358">
    <w:name w:val="*正文1"/>
    <w:basedOn w:val="553"/>
    <w:qFormat/>
    <w:uiPriority w:val="0"/>
    <w:pPr>
      <w:widowControl w:val="0"/>
      <w:ind w:firstLine="200" w:firstLineChars="200"/>
      <w:jc w:val="both"/>
    </w:pPr>
    <w:rPr>
      <w:rFonts w:ascii="宋体" w:hAnsi="宋体" w:eastAsia="宋体"/>
      <w:kern w:val="0"/>
      <w:szCs w:val="24"/>
    </w:rPr>
  </w:style>
  <w:style w:type="paragraph" w:customStyle="1" w:styleId="3359">
    <w:name w:val="*正文11"/>
    <w:basedOn w:val="3360"/>
    <w:qFormat/>
    <w:uiPriority w:val="0"/>
    <w:rPr>
      <w:rFonts w:ascii="宋体" w:hAnsi="宋体"/>
      <w:color w:val="000000"/>
    </w:rPr>
  </w:style>
  <w:style w:type="paragraph" w:customStyle="1" w:styleId="3360">
    <w:name w:val="正文样式11"/>
    <w:basedOn w:val="1"/>
    <w:qFormat/>
    <w:uiPriority w:val="7"/>
    <w:pPr>
      <w:spacing w:line="360" w:lineRule="auto"/>
      <w:ind w:firstLine="200" w:firstLineChars="200"/>
    </w:pPr>
    <w:rPr>
      <w:rFonts w:ascii="Calibri" w:hAnsi="Calibri" w:eastAsia="宋体" w:cs="Times New Roman"/>
      <w:kern w:val="0"/>
      <w:sz w:val="24"/>
      <w:szCs w:val="24"/>
    </w:rPr>
  </w:style>
  <w:style w:type="character" w:customStyle="1" w:styleId="3361">
    <w:name w:val="R文档2 Char1"/>
    <w:basedOn w:val="136"/>
    <w:link w:val="3350"/>
    <w:qFormat/>
    <w:uiPriority w:val="0"/>
    <w:rPr>
      <w:rFonts w:ascii="Calibri" w:hAnsi="Calibri" w:eastAsia="Times New Roman"/>
      <w:kern w:val="2"/>
      <w:sz w:val="32"/>
      <w:szCs w:val="22"/>
    </w:rPr>
  </w:style>
  <w:style w:type="paragraph" w:customStyle="1" w:styleId="3362">
    <w:name w:val="R文档1"/>
    <w:basedOn w:val="1"/>
    <w:qFormat/>
    <w:uiPriority w:val="0"/>
    <w:pPr>
      <w:numPr>
        <w:ilvl w:val="0"/>
        <w:numId w:val="109"/>
      </w:numPr>
      <w:spacing w:line="360" w:lineRule="auto"/>
      <w:ind w:firstLine="200" w:firstLineChars="200"/>
    </w:pPr>
    <w:rPr>
      <w:rFonts w:eastAsia="微软雅黑"/>
      <w:sz w:val="24"/>
    </w:rPr>
  </w:style>
  <w:style w:type="paragraph" w:customStyle="1" w:styleId="3363">
    <w:name w:val="R文档21"/>
    <w:basedOn w:val="1"/>
    <w:qFormat/>
    <w:uiPriority w:val="0"/>
    <w:pPr>
      <w:numPr>
        <w:ilvl w:val="1"/>
        <w:numId w:val="111"/>
      </w:numPr>
      <w:spacing w:line="360" w:lineRule="auto"/>
      <w:ind w:firstLine="200" w:firstLineChars="200"/>
    </w:pPr>
    <w:rPr>
      <w:rFonts w:eastAsia="微软雅黑"/>
      <w:sz w:val="24"/>
    </w:rPr>
  </w:style>
  <w:style w:type="paragraph" w:customStyle="1" w:styleId="3364">
    <w:name w:val="R文档3"/>
    <w:basedOn w:val="1"/>
    <w:qFormat/>
    <w:uiPriority w:val="0"/>
    <w:pPr>
      <w:numPr>
        <w:ilvl w:val="2"/>
        <w:numId w:val="109"/>
      </w:numPr>
      <w:spacing w:line="360" w:lineRule="auto"/>
      <w:ind w:firstLine="200" w:firstLineChars="200"/>
    </w:pPr>
    <w:rPr>
      <w:rFonts w:eastAsia="微软雅黑"/>
      <w:sz w:val="24"/>
    </w:rPr>
  </w:style>
  <w:style w:type="character" w:customStyle="1" w:styleId="3365">
    <w:name w:val="R文档5 Char1"/>
    <w:basedOn w:val="3353"/>
    <w:link w:val="3348"/>
    <w:qFormat/>
    <w:uiPriority w:val="0"/>
    <w:rPr>
      <w:rFonts w:eastAsia="微软雅黑" w:asciiTheme="minorHAnsi" w:hAnsiTheme="minorHAnsi" w:cstheme="minorBidi"/>
      <w:kern w:val="2"/>
      <w:sz w:val="24"/>
      <w:szCs w:val="22"/>
    </w:rPr>
  </w:style>
  <w:style w:type="paragraph" w:customStyle="1" w:styleId="3366">
    <w:name w:val="标题 2_2"/>
    <w:basedOn w:val="1"/>
    <w:link w:val="3367"/>
    <w:qFormat/>
    <w:uiPriority w:val="0"/>
    <w:pPr>
      <w:widowControl/>
      <w:spacing w:line="360" w:lineRule="auto"/>
      <w:ind w:firstLine="1807" w:firstLineChars="200"/>
      <w:contextualSpacing/>
      <w:jc w:val="center"/>
      <w:outlineLvl w:val="1"/>
    </w:pPr>
    <w:rPr>
      <w:rFonts w:ascii="Calibri" w:hAnsi="Calibri" w:eastAsia="宋体" w:cs="Times New Roman"/>
      <w:b/>
      <w:bCs/>
      <w:sz w:val="28"/>
      <w:szCs w:val="28"/>
    </w:rPr>
  </w:style>
  <w:style w:type="character" w:customStyle="1" w:styleId="3367">
    <w:name w:val="标题 2 Char_2"/>
    <w:link w:val="3366"/>
    <w:qFormat/>
    <w:uiPriority w:val="0"/>
    <w:rPr>
      <w:rFonts w:ascii="Calibri" w:hAnsi="Calibri"/>
      <w:b/>
      <w:bCs/>
      <w:kern w:val="2"/>
      <w:sz w:val="28"/>
      <w:szCs w:val="28"/>
    </w:rPr>
  </w:style>
  <w:style w:type="paragraph" w:customStyle="1" w:styleId="3368">
    <w:name w:val="正文-lgs"/>
    <w:basedOn w:val="1"/>
    <w:qFormat/>
    <w:uiPriority w:val="0"/>
    <w:pPr>
      <w:spacing w:line="360" w:lineRule="auto"/>
      <w:ind w:firstLine="1807" w:firstLineChars="200"/>
    </w:pPr>
    <w:rPr>
      <w:rFonts w:ascii="Calibri" w:hAnsi="Calibri" w:eastAsia="宋体" w:cs="Times New Roman"/>
      <w:sz w:val="24"/>
    </w:rPr>
  </w:style>
  <w:style w:type="paragraph" w:customStyle="1" w:styleId="3369">
    <w:name w:val="样式 首行缩进:  2 字符5"/>
    <w:basedOn w:val="1"/>
    <w:qFormat/>
    <w:uiPriority w:val="0"/>
    <w:pPr>
      <w:spacing w:line="360" w:lineRule="auto"/>
      <w:ind w:firstLine="480" w:firstLineChars="200"/>
    </w:pPr>
    <w:rPr>
      <w:rFonts w:ascii="Calibri" w:hAnsi="Calibri" w:eastAsia="宋体" w:cs="宋体"/>
      <w:sz w:val="24"/>
      <w:szCs w:val="20"/>
    </w:rPr>
  </w:style>
  <w:style w:type="paragraph" w:customStyle="1" w:styleId="3370">
    <w:name w:val="我的正文样式"/>
    <w:qFormat/>
    <w:uiPriority w:val="0"/>
    <w:pPr>
      <w:adjustRightInd w:val="0"/>
      <w:snapToGrid w:val="0"/>
      <w:spacing w:line="360" w:lineRule="auto"/>
      <w:ind w:firstLine="200" w:firstLineChars="200"/>
    </w:pPr>
    <w:rPr>
      <w:rFonts w:ascii="宋体" w:hAnsi="宋体" w:eastAsia="宋体" w:cs="Times New Roman"/>
      <w:color w:val="000000"/>
      <w:kern w:val="2"/>
      <w:sz w:val="24"/>
      <w:szCs w:val="24"/>
      <w:lang w:val="en-US" w:eastAsia="zh-CN" w:bidi="ar-SA"/>
    </w:rPr>
  </w:style>
  <w:style w:type="paragraph" w:customStyle="1" w:styleId="3371">
    <w:name w:val="正文-图片行"/>
    <w:next w:val="1"/>
    <w:qFormat/>
    <w:uiPriority w:val="0"/>
    <w:pPr>
      <w:jc w:val="center"/>
    </w:pPr>
    <w:rPr>
      <w:rFonts w:ascii="仿宋_GB2312" w:hAnsi="Calibri" w:eastAsia="仿宋_GB2312" w:cs="Times New Roman"/>
      <w:color w:val="000000"/>
      <w:kern w:val="2"/>
      <w:sz w:val="32"/>
      <w:szCs w:val="32"/>
      <w:lang w:val="en-US" w:eastAsia="zh-CN" w:bidi="ar-SA"/>
    </w:rPr>
  </w:style>
  <w:style w:type="paragraph" w:customStyle="1" w:styleId="3372">
    <w:name w:val="正文首行缩进2字符"/>
    <w:basedOn w:val="1"/>
    <w:qFormat/>
    <w:uiPriority w:val="0"/>
    <w:pPr>
      <w:spacing w:line="360" w:lineRule="auto"/>
      <w:ind w:firstLine="482" w:firstLineChars="200"/>
    </w:pPr>
    <w:rPr>
      <w:rFonts w:ascii="Calibri" w:hAnsi="Calibri" w:eastAsia="宋体" w:cs="Times New Roman"/>
      <w:iCs/>
      <w:sz w:val="24"/>
    </w:rPr>
  </w:style>
  <w:style w:type="paragraph" w:customStyle="1" w:styleId="3373">
    <w:name w:val="编号2"/>
    <w:basedOn w:val="1"/>
    <w:qFormat/>
    <w:uiPriority w:val="0"/>
    <w:pPr>
      <w:numPr>
        <w:ilvl w:val="0"/>
        <w:numId w:val="112"/>
      </w:numPr>
      <w:spacing w:line="360" w:lineRule="auto"/>
      <w:ind w:firstLine="200" w:firstLineChars="200"/>
    </w:pPr>
    <w:rPr>
      <w:rFonts w:ascii="Calibri" w:hAnsi="Calibri" w:eastAsia="宋体" w:cs="Arial"/>
      <w:sz w:val="24"/>
    </w:rPr>
  </w:style>
  <w:style w:type="character" w:customStyle="1" w:styleId="3374">
    <w:name w:val="**正文 Char Char"/>
    <w:link w:val="3375"/>
    <w:qFormat/>
    <w:uiPriority w:val="0"/>
    <w:rPr>
      <w:rFonts w:ascii="宋体" w:hAnsi="宋体"/>
      <w:sz w:val="28"/>
      <w:szCs w:val="24"/>
    </w:rPr>
  </w:style>
  <w:style w:type="paragraph" w:customStyle="1" w:styleId="3375">
    <w:name w:val="**正文"/>
    <w:basedOn w:val="1"/>
    <w:link w:val="3374"/>
    <w:qFormat/>
    <w:uiPriority w:val="0"/>
    <w:pPr>
      <w:spacing w:line="360" w:lineRule="auto"/>
      <w:ind w:firstLine="482"/>
      <w:contextualSpacing/>
    </w:pPr>
    <w:rPr>
      <w:rFonts w:ascii="宋体" w:hAnsi="宋体" w:eastAsia="宋体" w:cs="Times New Roman"/>
      <w:kern w:val="0"/>
      <w:sz w:val="28"/>
      <w:szCs w:val="24"/>
    </w:rPr>
  </w:style>
  <w:style w:type="paragraph" w:customStyle="1" w:styleId="3376">
    <w:name w:val="T图形题注"/>
    <w:basedOn w:val="1"/>
    <w:next w:val="1"/>
    <w:qFormat/>
    <w:uiPriority w:val="9"/>
    <w:pPr>
      <w:numPr>
        <w:ilvl w:val="0"/>
        <w:numId w:val="113"/>
      </w:numPr>
      <w:spacing w:before="50" w:beforeLines="50" w:after="50" w:afterLines="50" w:line="360" w:lineRule="auto"/>
      <w:ind w:firstLine="0"/>
      <w:jc w:val="center"/>
    </w:pPr>
    <w:rPr>
      <w:rFonts w:ascii="Calibri" w:hAnsi="Calibri" w:eastAsia="黑体" w:cs="Times New Roman"/>
      <w:b/>
      <w:szCs w:val="21"/>
    </w:rPr>
  </w:style>
  <w:style w:type="paragraph" w:customStyle="1" w:styleId="3377">
    <w:name w:val="Z正文强调"/>
    <w:basedOn w:val="1"/>
    <w:next w:val="1"/>
    <w:qFormat/>
    <w:uiPriority w:val="9"/>
    <w:pPr>
      <w:spacing w:before="50" w:beforeLines="50" w:after="50" w:afterLines="50" w:line="360" w:lineRule="auto"/>
      <w:ind w:firstLine="200" w:firstLineChars="200"/>
    </w:pPr>
    <w:rPr>
      <w:rFonts w:ascii="Calibri" w:hAnsi="Calibri" w:eastAsia="宋体" w:cs="Times New Roman"/>
      <w:b/>
      <w:sz w:val="24"/>
      <w:szCs w:val="21"/>
    </w:rPr>
  </w:style>
  <w:style w:type="paragraph" w:customStyle="1" w:styleId="3378">
    <w:name w:val="B表格题注"/>
    <w:next w:val="1"/>
    <w:qFormat/>
    <w:uiPriority w:val="9"/>
    <w:pPr>
      <w:numPr>
        <w:ilvl w:val="0"/>
        <w:numId w:val="114"/>
      </w:numPr>
      <w:spacing w:line="360" w:lineRule="auto"/>
      <w:ind w:left="0" w:firstLine="0"/>
      <w:jc w:val="center"/>
    </w:pPr>
    <w:rPr>
      <w:rFonts w:ascii="Calibri" w:hAnsi="Calibri" w:eastAsia="黑体" w:cs="Times New Roman"/>
      <w:b/>
      <w:kern w:val="2"/>
      <w:sz w:val="21"/>
      <w:szCs w:val="21"/>
      <w:lang w:val="en-US" w:eastAsia="zh-CN" w:bidi="ar-SA"/>
    </w:rPr>
  </w:style>
  <w:style w:type="paragraph" w:customStyle="1" w:styleId="3379">
    <w:name w:val="B表格正文"/>
    <w:qFormat/>
    <w:uiPriority w:val="9"/>
    <w:rPr>
      <w:rFonts w:ascii="Calibri" w:hAnsi="Calibri" w:eastAsia="宋体" w:cs="Times New Roman"/>
      <w:kern w:val="2"/>
      <w:sz w:val="21"/>
      <w:szCs w:val="21"/>
      <w:lang w:val="en-US" w:eastAsia="zh-CN" w:bidi="ar-SA"/>
    </w:rPr>
  </w:style>
  <w:style w:type="paragraph" w:customStyle="1" w:styleId="3380">
    <w:name w:val="B表格序号"/>
    <w:basedOn w:val="3379"/>
    <w:semiHidden/>
    <w:qFormat/>
    <w:uiPriority w:val="9"/>
    <w:pPr>
      <w:jc w:val="center"/>
    </w:pPr>
  </w:style>
  <w:style w:type="paragraph" w:customStyle="1" w:styleId="3381">
    <w:name w:val="M目录名称"/>
    <w:basedOn w:val="1"/>
    <w:next w:val="1"/>
    <w:qFormat/>
    <w:uiPriority w:val="9"/>
    <w:pPr>
      <w:widowControl/>
      <w:adjustRightInd w:val="0"/>
      <w:snapToGrid w:val="0"/>
      <w:spacing w:before="50" w:beforeLines="50" w:after="50" w:afterLines="50" w:line="360" w:lineRule="auto"/>
      <w:jc w:val="center"/>
    </w:pPr>
    <w:rPr>
      <w:rFonts w:ascii="黑体" w:hAnsi="黑体" w:eastAsia="黑体" w:cs="Times New Roman"/>
      <w:b/>
      <w:bCs/>
      <w:snapToGrid w:val="0"/>
      <w:color w:val="000000"/>
      <w:spacing w:val="60"/>
      <w:kern w:val="0"/>
      <w:sz w:val="44"/>
      <w:szCs w:val="30"/>
    </w:rPr>
  </w:style>
  <w:style w:type="paragraph" w:customStyle="1" w:styleId="3382">
    <w:name w:val="Z正文标题"/>
    <w:basedOn w:val="1"/>
    <w:next w:val="1"/>
    <w:qFormat/>
    <w:uiPriority w:val="9"/>
    <w:pPr>
      <w:spacing w:before="50" w:beforeLines="50" w:after="50" w:afterLines="50" w:line="360" w:lineRule="auto"/>
      <w:ind w:firstLine="200" w:firstLineChars="200"/>
    </w:pPr>
    <w:rPr>
      <w:rFonts w:ascii="Calibri" w:hAnsi="Calibri" w:eastAsia="宋体" w:cs="Times New Roman"/>
      <w:b/>
      <w:szCs w:val="21"/>
    </w:rPr>
  </w:style>
  <w:style w:type="paragraph" w:customStyle="1" w:styleId="3383">
    <w:name w:val="B表格编号"/>
    <w:basedOn w:val="3379"/>
    <w:qFormat/>
    <w:uiPriority w:val="9"/>
    <w:pPr>
      <w:spacing w:line="360" w:lineRule="auto"/>
      <w:jc w:val="center"/>
    </w:pPr>
  </w:style>
  <w:style w:type="table" w:customStyle="1" w:styleId="3384">
    <w:name w:val="IPO分析表格样式"/>
    <w:basedOn w:val="90"/>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shd w:val="clear" w:color="auto" w:fill="F3F3F3"/>
    </w:tcPr>
  </w:style>
  <w:style w:type="character" w:customStyle="1" w:styleId="3385">
    <w:name w:val="标题 7 Char2"/>
    <w:semiHidden/>
    <w:qFormat/>
    <w:uiPriority w:val="9"/>
    <w:rPr>
      <w:rFonts w:cs="Times New Roman"/>
      <w:b/>
      <w:bCs/>
      <w:kern w:val="2"/>
      <w:sz w:val="24"/>
      <w:szCs w:val="24"/>
    </w:rPr>
  </w:style>
  <w:style w:type="character" w:customStyle="1" w:styleId="3386">
    <w:name w:val="标题 8 Char2"/>
    <w:semiHidden/>
    <w:qFormat/>
    <w:uiPriority w:val="9"/>
    <w:rPr>
      <w:rFonts w:ascii="Cambria" w:hAnsi="Cambria" w:eastAsia="宋体" w:cs="Times New Roman"/>
      <w:kern w:val="2"/>
      <w:sz w:val="24"/>
      <w:szCs w:val="24"/>
    </w:rPr>
  </w:style>
  <w:style w:type="character" w:customStyle="1" w:styleId="3387">
    <w:name w:val="标题 9 Char2"/>
    <w:semiHidden/>
    <w:qFormat/>
    <w:uiPriority w:val="9"/>
    <w:rPr>
      <w:rFonts w:ascii="Cambria" w:hAnsi="Cambria" w:eastAsia="宋体" w:cs="Times New Roman"/>
      <w:kern w:val="2"/>
      <w:sz w:val="21"/>
      <w:szCs w:val="21"/>
    </w:rPr>
  </w:style>
  <w:style w:type="paragraph" w:customStyle="1" w:styleId="3388">
    <w:name w:val="Revision"/>
    <w:hidden/>
    <w:semiHidden/>
    <w:qFormat/>
    <w:uiPriority w:val="99"/>
    <w:rPr>
      <w:rFonts w:ascii="Times New Roman" w:hAnsi="Times New Roman" w:eastAsia="宋体" w:cs="Times New Roman"/>
      <w:kern w:val="2"/>
      <w:sz w:val="24"/>
      <w:szCs w:val="24"/>
      <w:lang w:val="en-US" w:eastAsia="zh-CN" w:bidi="ar-SA"/>
    </w:rPr>
  </w:style>
  <w:style w:type="character" w:customStyle="1" w:styleId="3389">
    <w:name w:val="Unresolved Mention"/>
    <w:basedOn w:val="136"/>
    <w:semiHidden/>
    <w:unhideWhenUsed/>
    <w:qFormat/>
    <w:uiPriority w:val="99"/>
    <w:rPr>
      <w:color w:val="605E5C"/>
      <w:shd w:val="clear" w:color="auto" w:fill="E1DFDD"/>
    </w:rPr>
  </w:style>
  <w:style w:type="character" w:customStyle="1" w:styleId="3390">
    <w:name w:val="不明显强调11"/>
    <w:basedOn w:val="278"/>
    <w:qFormat/>
    <w:uiPriority w:val="19"/>
    <w:rPr>
      <w:rFonts w:ascii="Times New Roman" w:hAnsi="Times New Roman" w:eastAsia="宋体" w:cs="Times New Roman"/>
      <w:b/>
      <w:iCs/>
      <w:color w:val="404040" w:themeColor="text1" w:themeTint="BF"/>
      <w:kern w:val="2"/>
      <w:sz w:val="24"/>
      <w:szCs w:val="24"/>
      <w14:textFill>
        <w14:solidFill>
          <w14:schemeClr w14:val="tx1">
            <w14:lumMod w14:val="75000"/>
            <w14:lumOff w14:val="25000"/>
          </w14:schemeClr>
        </w14:solidFill>
      </w14:textFill>
    </w:rPr>
  </w:style>
  <w:style w:type="paragraph" w:customStyle="1" w:styleId="3391">
    <w:name w:val="1-Tencent-0-文章正文"/>
    <w:basedOn w:val="1"/>
    <w:qFormat/>
    <w:uiPriority w:val="0"/>
    <w:pPr>
      <w:tabs>
        <w:tab w:val="left" w:pos="3119"/>
      </w:tabs>
      <w:spacing w:line="360" w:lineRule="auto"/>
      <w:ind w:firstLine="420" w:firstLineChars="200"/>
    </w:pPr>
    <w:rPr>
      <w:rFonts w:ascii="Times New Roman" w:hAnsi="Times New Roman" w:eastAsia="宋体" w:cs="Times New Roman"/>
      <w:sz w:val="28"/>
      <w:szCs w:val="24"/>
    </w:rPr>
  </w:style>
  <w:style w:type="paragraph" w:customStyle="1" w:styleId="3392">
    <w:name w:val="1-Tencent-1-一级标题"/>
    <w:basedOn w:val="4"/>
    <w:next w:val="3391"/>
    <w:qFormat/>
    <w:uiPriority w:val="0"/>
    <w:pPr>
      <w:numPr>
        <w:ilvl w:val="0"/>
        <w:numId w:val="115"/>
      </w:numPr>
      <w:ind w:firstLine="0"/>
      <w:jc w:val="both"/>
    </w:pPr>
    <w:rPr>
      <w:rFonts w:ascii="Times New Roman" w:hAnsi="Times New Roman" w:eastAsia="黑体" w:cs="Times New Roman"/>
      <w:sz w:val="36"/>
      <w:szCs w:val="44"/>
    </w:rPr>
  </w:style>
  <w:style w:type="paragraph" w:customStyle="1" w:styleId="3393">
    <w:name w:val="1-Tencent-2-二级标题"/>
    <w:basedOn w:val="5"/>
    <w:next w:val="3391"/>
    <w:qFormat/>
    <w:uiPriority w:val="0"/>
    <w:pPr>
      <w:numPr>
        <w:numId w:val="115"/>
      </w:numPr>
      <w:ind w:firstLine="0"/>
    </w:pPr>
    <w:rPr>
      <w:rFonts w:ascii="Times New Roman" w:hAnsi="Times New Roman" w:eastAsia="黑体" w:cs="Times New Roman"/>
      <w:sz w:val="32"/>
      <w:szCs w:val="32"/>
    </w:rPr>
  </w:style>
  <w:style w:type="paragraph" w:customStyle="1" w:styleId="3394">
    <w:name w:val="1-Tencent-3-三级标题"/>
    <w:basedOn w:val="7"/>
    <w:qFormat/>
    <w:uiPriority w:val="0"/>
    <w:pPr>
      <w:keepNext/>
      <w:keepLines/>
      <w:numPr>
        <w:numId w:val="115"/>
      </w:numPr>
      <w:spacing w:before="260" w:after="260" w:line="415" w:lineRule="auto"/>
      <w:ind w:firstLine="0"/>
    </w:pPr>
    <w:rPr>
      <w:rFonts w:ascii="Times New Roman" w:hAnsi="Times New Roman" w:eastAsia="黑体" w:cs="Times New Roman"/>
      <w:sz w:val="30"/>
      <w:szCs w:val="32"/>
    </w:rPr>
  </w:style>
  <w:style w:type="paragraph" w:customStyle="1" w:styleId="3395">
    <w:name w:val="1-Tencent-4-四级标题"/>
    <w:basedOn w:val="8"/>
    <w:next w:val="3391"/>
    <w:qFormat/>
    <w:uiPriority w:val="0"/>
    <w:pPr>
      <w:numPr>
        <w:numId w:val="115"/>
      </w:numPr>
      <w:spacing w:before="280" w:after="290" w:line="377" w:lineRule="auto"/>
      <w:ind w:firstLine="0"/>
    </w:pPr>
    <w:rPr>
      <w:rFonts w:ascii="Times New Roman" w:hAnsi="Times New Roman" w:eastAsia="黑体" w:cs="Times New Roman"/>
      <w:sz w:val="28"/>
      <w:szCs w:val="28"/>
    </w:rPr>
  </w:style>
  <w:style w:type="paragraph" w:customStyle="1" w:styleId="3396">
    <w:name w:val="1-Tencent-5-五级标题"/>
    <w:basedOn w:val="14"/>
    <w:next w:val="3391"/>
    <w:qFormat/>
    <w:uiPriority w:val="0"/>
    <w:pPr>
      <w:numPr>
        <w:numId w:val="115"/>
      </w:numPr>
      <w:spacing w:before="280" w:after="290" w:line="377" w:lineRule="auto"/>
    </w:pPr>
    <w:rPr>
      <w:rFonts w:ascii="黑体" w:hAnsi="黑体" w:eastAsia="黑体" w:cs="Times New Roman"/>
      <w:sz w:val="28"/>
    </w:rPr>
  </w:style>
  <w:style w:type="paragraph" w:customStyle="1" w:styleId="3397">
    <w:name w:val="1-Tencent-6-图标题"/>
    <w:basedOn w:val="29"/>
    <w:next w:val="3391"/>
    <w:qFormat/>
    <w:uiPriority w:val="0"/>
    <w:pPr>
      <w:numPr>
        <w:ilvl w:val="8"/>
        <w:numId w:val="115"/>
      </w:numPr>
      <w:spacing w:before="0"/>
    </w:pPr>
    <w:rPr>
      <w:rFonts w:ascii="Times New Roman" w:hAnsi="Times New Roman" w:cstheme="majorBidi"/>
      <w:sz w:val="24"/>
      <w:szCs w:val="24"/>
    </w:rPr>
  </w:style>
  <w:style w:type="paragraph" w:customStyle="1" w:styleId="3398">
    <w:name w:val="1-Tencent-6-图片样式"/>
    <w:next w:val="3397"/>
    <w:qFormat/>
    <w:uiPriority w:val="0"/>
    <w:pPr>
      <w:spacing w:line="360" w:lineRule="auto"/>
      <w:jc w:val="center"/>
    </w:pPr>
    <w:rPr>
      <w:rFonts w:ascii="Times New Roman" w:hAnsi="Times New Roman" w:eastAsia="宋体" w:cs="Times New Roman"/>
      <w:kern w:val="2"/>
      <w:sz w:val="24"/>
      <w:szCs w:val="24"/>
      <w:lang w:val="en-US" w:eastAsia="zh-CN" w:bidi="ar-SA"/>
    </w:rPr>
  </w:style>
  <w:style w:type="paragraph" w:customStyle="1" w:styleId="3399">
    <w:name w:val="1-Tencent-7-表标题"/>
    <w:next w:val="3391"/>
    <w:qFormat/>
    <w:uiPriority w:val="0"/>
    <w:pPr>
      <w:numPr>
        <w:ilvl w:val="7"/>
        <w:numId w:val="115"/>
      </w:numPr>
      <w:spacing w:line="360" w:lineRule="auto"/>
      <w:jc w:val="center"/>
    </w:pPr>
    <w:rPr>
      <w:rFonts w:ascii="Times New Roman" w:hAnsi="Times New Roman" w:eastAsia="黑体" w:cs="Times New Roman"/>
      <w:kern w:val="2"/>
      <w:sz w:val="24"/>
      <w:szCs w:val="24"/>
      <w:lang w:val="en-US" w:eastAsia="zh-CN" w:bidi="ar-SA"/>
    </w:rPr>
  </w:style>
  <w:style w:type="paragraph" w:customStyle="1" w:styleId="3400">
    <w:name w:val="1-Tencent-图标题"/>
    <w:basedOn w:val="29"/>
    <w:next w:val="1"/>
    <w:qFormat/>
    <w:uiPriority w:val="0"/>
    <w:pPr>
      <w:widowControl/>
      <w:snapToGrid w:val="0"/>
      <w:spacing w:before="0"/>
      <w:ind w:firstLine="200" w:firstLineChars="200"/>
      <w:textAlignment w:val="baseline"/>
    </w:pPr>
    <w:rPr>
      <w:rFonts w:ascii="Times New Roman" w:hAnsi="Times New Roman" w:cstheme="majorBidi"/>
      <w:sz w:val="24"/>
      <w:szCs w:val="24"/>
    </w:rPr>
  </w:style>
  <w:style w:type="paragraph" w:customStyle="1" w:styleId="3401">
    <w:name w:val="p2"/>
    <w:basedOn w:val="1"/>
    <w:qFormat/>
    <w:uiPriority w:val="0"/>
    <w:pPr>
      <w:widowControl/>
      <w:jc w:val="left"/>
    </w:pPr>
    <w:rPr>
      <w:rFonts w:ascii=".PingFang SC" w:hAnsi=".PingFang SC" w:eastAsia=".PingFang SC" w:cs="宋体"/>
      <w:kern w:val="0"/>
      <w:sz w:val="26"/>
      <w:szCs w:val="26"/>
    </w:rPr>
  </w:style>
  <w:style w:type="paragraph" w:customStyle="1" w:styleId="3402">
    <w:name w:val="0段落文字"/>
    <w:basedOn w:val="1"/>
    <w:qFormat/>
    <w:locked/>
    <w:uiPriority w:val="0"/>
    <w:pPr>
      <w:spacing w:line="360" w:lineRule="auto"/>
      <w:ind w:firstLine="200" w:firstLineChars="200"/>
    </w:pPr>
    <w:rPr>
      <w:rFonts w:ascii="Times New Roman" w:hAnsi="Times New Roman" w:eastAsia="宋体" w:cs="Times New Roman"/>
      <w:sz w:val="24"/>
      <w:szCs w:val="21"/>
    </w:rPr>
  </w:style>
  <w:style w:type="paragraph" w:customStyle="1" w:styleId="3403">
    <w:name w:val="样式 目录 5 + 左侧:  8 字符 首行缩进:  2 字符"/>
    <w:basedOn w:val="1"/>
    <w:next w:val="1"/>
    <w:semiHidden/>
    <w:qFormat/>
    <w:uiPriority w:val="0"/>
    <w:pPr>
      <w:spacing w:line="360" w:lineRule="auto"/>
      <w:ind w:firstLine="720" w:firstLineChars="300"/>
    </w:pPr>
    <w:rPr>
      <w:rFonts w:ascii="Times New Roman" w:hAnsi="Times New Roman" w:eastAsia="宋体" w:cs="宋体"/>
      <w:kern w:val="0"/>
      <w:sz w:val="24"/>
      <w:szCs w:val="24"/>
    </w:rPr>
  </w:style>
  <w:style w:type="character" w:customStyle="1" w:styleId="3404">
    <w:name w:val="正文（宋体，小四，1.5倍行距） Char"/>
    <w:link w:val="3405"/>
    <w:qFormat/>
    <w:locked/>
    <w:uiPriority w:val="0"/>
    <w:rPr>
      <w:rFonts w:ascii="宋体" w:hAnsi="宋体"/>
      <w:sz w:val="24"/>
      <w:szCs w:val="24"/>
    </w:rPr>
  </w:style>
  <w:style w:type="paragraph" w:customStyle="1" w:styleId="3405">
    <w:name w:val="正文（宋体，小四，1.5倍行距）"/>
    <w:basedOn w:val="1"/>
    <w:link w:val="3404"/>
    <w:qFormat/>
    <w:uiPriority w:val="0"/>
    <w:pPr>
      <w:spacing w:line="360" w:lineRule="auto"/>
      <w:ind w:firstLine="480" w:firstLineChars="200"/>
    </w:pPr>
    <w:rPr>
      <w:rFonts w:ascii="宋体" w:hAnsi="宋体" w:eastAsia="宋体" w:cs="Times New Roman"/>
      <w:kern w:val="0"/>
      <w:sz w:val="24"/>
      <w:szCs w:val="24"/>
    </w:rPr>
  </w:style>
  <w:style w:type="character" w:customStyle="1" w:styleId="3406">
    <w:name w:val="段落文字 Char"/>
    <w:link w:val="3407"/>
    <w:qFormat/>
    <w:uiPriority w:val="99"/>
    <w:rPr>
      <w:sz w:val="24"/>
      <w:szCs w:val="24"/>
    </w:rPr>
  </w:style>
  <w:style w:type="paragraph" w:customStyle="1" w:styleId="3407">
    <w:name w:val="段落文字"/>
    <w:basedOn w:val="1"/>
    <w:link w:val="3406"/>
    <w:qFormat/>
    <w:uiPriority w:val="99"/>
    <w:pPr>
      <w:spacing w:line="398" w:lineRule="auto"/>
      <w:ind w:firstLine="480" w:firstLineChars="200"/>
    </w:pPr>
    <w:rPr>
      <w:rFonts w:ascii="Times New Roman" w:hAnsi="Times New Roman" w:eastAsia="宋体" w:cs="Times New Roman"/>
      <w:kern w:val="0"/>
      <w:sz w:val="24"/>
      <w:szCs w:val="24"/>
    </w:rPr>
  </w:style>
  <w:style w:type="paragraph" w:customStyle="1" w:styleId="3408">
    <w:name w:val="样式 样式 标题 1 + 段前: 15.6 磅 段后: 7.8 磅 底端: (单实线 自动设置  1.5 磅 行宽) 行距:....."/>
    <w:basedOn w:val="1"/>
    <w:qFormat/>
    <w:uiPriority w:val="0"/>
    <w:pPr>
      <w:numPr>
        <w:ilvl w:val="2"/>
        <w:numId w:val="116"/>
      </w:numPr>
      <w:ind w:firstLine="0"/>
    </w:pPr>
    <w:rPr>
      <w:rFonts w:ascii="Calibri" w:hAnsi="Calibri" w:eastAsia="宋体" w:cs="Times New Roman"/>
      <w:szCs w:val="24"/>
    </w:rPr>
  </w:style>
  <w:style w:type="paragraph" w:customStyle="1" w:styleId="3409">
    <w:name w:val="项目符号1"/>
    <w:basedOn w:val="1"/>
    <w:next w:val="1"/>
    <w:qFormat/>
    <w:uiPriority w:val="0"/>
    <w:pPr>
      <w:numPr>
        <w:ilvl w:val="0"/>
        <w:numId w:val="117"/>
      </w:numPr>
      <w:tabs>
        <w:tab w:val="left" w:pos="720"/>
        <w:tab w:val="clear" w:pos="360"/>
      </w:tabs>
      <w:wordWrap w:val="0"/>
      <w:spacing w:line="360" w:lineRule="auto"/>
      <w:ind w:left="0" w:firstLine="200" w:firstLineChars="200"/>
      <w:jc w:val="left"/>
    </w:pPr>
    <w:rPr>
      <w:rFonts w:ascii="宋体" w:hAnsi="宋体" w:eastAsia="宋体" w:cs="Times New Roman"/>
      <w:color w:val="000000"/>
      <w:sz w:val="24"/>
    </w:rPr>
  </w:style>
  <w:style w:type="paragraph" w:customStyle="1" w:styleId="3410">
    <w:name w:val="带符号正文（缩进）"/>
    <w:qFormat/>
    <w:uiPriority w:val="0"/>
    <w:pPr>
      <w:tabs>
        <w:tab w:val="left" w:pos="360"/>
      </w:tabs>
      <w:spacing w:before="100" w:beforeAutospacing="1" w:after="100" w:afterAutospacing="1" w:line="360" w:lineRule="auto"/>
      <w:ind w:left="360"/>
    </w:pPr>
    <w:rPr>
      <w:rFonts w:ascii="Times New Roman" w:hAnsi="Times New Roman" w:eastAsia="宋体" w:cs="Times New Roman"/>
      <w:sz w:val="24"/>
      <w:lang w:val="en-US" w:eastAsia="zh-CN" w:bidi="ar-SA"/>
    </w:rPr>
  </w:style>
  <w:style w:type="character" w:customStyle="1" w:styleId="3411">
    <w:name w:val="正文文本 + 间距 0 pt"/>
    <w:basedOn w:val="136"/>
    <w:qFormat/>
    <w:uiPriority w:val="99"/>
    <w:rPr>
      <w:rFonts w:ascii="MingLiU" w:eastAsia="MingLiU" w:cs="MingLiU"/>
      <w:spacing w:val="0"/>
      <w:sz w:val="22"/>
      <w:szCs w:val="22"/>
      <w:u w:val="none"/>
      <w:lang w:val="en-US" w:eastAsia="en-US"/>
    </w:rPr>
  </w:style>
  <w:style w:type="paragraph" w:customStyle="1" w:styleId="3412">
    <w:name w:val="正文 2"/>
    <w:basedOn w:val="1"/>
    <w:qFormat/>
    <w:uiPriority w:val="0"/>
    <w:pPr>
      <w:spacing w:line="360" w:lineRule="auto"/>
      <w:ind w:firstLine="480"/>
    </w:pPr>
    <w:rPr>
      <w:rFonts w:ascii="宋体" w:hAnsi="宋体" w:eastAsia="宋体" w:cs="Times New Roman"/>
      <w:sz w:val="24"/>
      <w:szCs w:val="28"/>
    </w:rPr>
  </w:style>
  <w:style w:type="paragraph" w:customStyle="1" w:styleId="3413">
    <w:name w:val="I1项目编号"/>
    <w:basedOn w:val="28"/>
    <w:qFormat/>
    <w:uiPriority w:val="0"/>
    <w:pPr>
      <w:autoSpaceDE w:val="0"/>
      <w:autoSpaceDN w:val="0"/>
      <w:ind w:firstLine="0"/>
    </w:pPr>
    <w:rPr>
      <w:b/>
      <w:sz w:val="21"/>
      <w:szCs w:val="24"/>
      <w:lang w:val="zh-CN"/>
    </w:rPr>
  </w:style>
  <w:style w:type="character" w:customStyle="1" w:styleId="3414">
    <w:name w:val="插图居中01 字符"/>
    <w:basedOn w:val="136"/>
    <w:link w:val="3415"/>
    <w:qFormat/>
    <w:uiPriority w:val="0"/>
    <w:rPr>
      <w:sz w:val="24"/>
      <w:szCs w:val="24"/>
    </w:rPr>
  </w:style>
  <w:style w:type="paragraph" w:customStyle="1" w:styleId="3415">
    <w:name w:val="插图居中01"/>
    <w:basedOn w:val="1"/>
    <w:link w:val="3414"/>
    <w:qFormat/>
    <w:uiPriority w:val="0"/>
    <w:pPr>
      <w:widowControl/>
      <w:spacing w:before="156" w:beforeLines="50" w:after="156" w:afterLines="50" w:line="360" w:lineRule="auto"/>
      <w:jc w:val="center"/>
    </w:pPr>
    <w:rPr>
      <w:rFonts w:ascii="Times New Roman" w:hAnsi="Times New Roman" w:eastAsia="宋体" w:cs="Times New Roman"/>
      <w:kern w:val="0"/>
      <w:sz w:val="24"/>
      <w:szCs w:val="24"/>
    </w:rPr>
  </w:style>
  <w:style w:type="paragraph" w:customStyle="1" w:styleId="3416">
    <w:name w:val="题注01"/>
    <w:basedOn w:val="29"/>
    <w:qFormat/>
    <w:uiPriority w:val="0"/>
    <w:pPr>
      <w:adjustRightInd w:val="0"/>
      <w:snapToGrid w:val="0"/>
      <w:spacing w:before="0"/>
    </w:pPr>
    <w:rPr>
      <w:rFonts w:ascii="Arial" w:hAnsi="Arial" w:cs="Arial"/>
      <w:bCs/>
      <w:sz w:val="28"/>
    </w:rPr>
  </w:style>
  <w:style w:type="paragraph" w:customStyle="1" w:styleId="3417">
    <w:name w:val="WW-纯文本"/>
    <w:basedOn w:val="1"/>
    <w:qFormat/>
    <w:uiPriority w:val="99"/>
    <w:rPr>
      <w:rFonts w:ascii="宋体" w:hAnsi="宋体" w:eastAsia="宋体" w:cs="Times New Roman"/>
      <w:kern w:val="1"/>
      <w:szCs w:val="20"/>
      <w:lang w:eastAsia="ar-SA"/>
    </w:rPr>
  </w:style>
  <w:style w:type="character" w:customStyle="1" w:styleId="3418">
    <w:name w:val="投标-正文 Char"/>
    <w:link w:val="3419"/>
    <w:qFormat/>
    <w:locked/>
    <w:uiPriority w:val="0"/>
    <w:rPr>
      <w:sz w:val="24"/>
    </w:rPr>
  </w:style>
  <w:style w:type="paragraph" w:customStyle="1" w:styleId="3419">
    <w:name w:val="投标-正文"/>
    <w:basedOn w:val="1"/>
    <w:link w:val="3418"/>
    <w:qFormat/>
    <w:uiPriority w:val="0"/>
    <w:pPr>
      <w:spacing w:line="360" w:lineRule="auto"/>
      <w:ind w:firstLine="200" w:firstLineChars="200"/>
      <w:jc w:val="left"/>
    </w:pPr>
    <w:rPr>
      <w:rFonts w:ascii="Times New Roman" w:hAnsi="Times New Roman" w:eastAsia="宋体" w:cs="Times New Roman"/>
      <w:kern w:val="0"/>
      <w:sz w:val="24"/>
      <w:szCs w:val="20"/>
    </w:rPr>
  </w:style>
  <w:style w:type="character" w:customStyle="1" w:styleId="3420">
    <w:name w:val="richtext"/>
    <w:qFormat/>
    <w:uiPriority w:val="0"/>
  </w:style>
  <w:style w:type="paragraph" w:customStyle="1" w:styleId="3421">
    <w:name w:val="正文段落"/>
    <w:qFormat/>
    <w:uiPriority w:val="0"/>
    <w:pPr>
      <w:widowControl w:val="0"/>
      <w:spacing w:line="300" w:lineRule="auto"/>
      <w:ind w:firstLine="510"/>
      <w:jc w:val="both"/>
    </w:pPr>
    <w:rPr>
      <w:rFonts w:ascii="Times New Roman" w:hAnsi="Times New Roman" w:eastAsia="宋体" w:cs="Times New Roman"/>
      <w:kern w:val="2"/>
      <w:sz w:val="24"/>
      <w:lang w:val="en-US" w:eastAsia="zh-CN" w:bidi="ar-SA"/>
    </w:rPr>
  </w:style>
  <w:style w:type="paragraph" w:customStyle="1" w:styleId="3422">
    <w:name w:val="footnotes"/>
    <w:qFormat/>
    <w:uiPriority w:val="0"/>
    <w:pPr>
      <w:numPr>
        <w:ilvl w:val="0"/>
        <w:numId w:val="118"/>
      </w:numPr>
      <w:autoSpaceDE w:val="0"/>
      <w:autoSpaceDN w:val="0"/>
      <w:adjustRightInd w:val="0"/>
      <w:spacing w:after="90" w:line="360" w:lineRule="auto"/>
      <w:ind w:firstLine="0"/>
      <w:jc w:val="both"/>
    </w:pPr>
    <w:rPr>
      <w:rFonts w:ascii="宋体" w:hAnsi="宋体" w:eastAsia="宋体" w:cs="Times New Roman"/>
      <w:snapToGrid w:val="0"/>
      <w:sz w:val="18"/>
      <w:szCs w:val="21"/>
      <w:lang w:val="zh-CN" w:eastAsia="zh-CN" w:bidi="ar-SA"/>
    </w:rPr>
  </w:style>
  <w:style w:type="paragraph" w:customStyle="1" w:styleId="3423">
    <w:name w:val="编号 1."/>
    <w:basedOn w:val="1"/>
    <w:qFormat/>
    <w:uiPriority w:val="0"/>
    <w:pPr>
      <w:adjustRightInd w:val="0"/>
      <w:snapToGrid w:val="0"/>
      <w:spacing w:line="400" w:lineRule="exact"/>
      <w:ind w:left="425"/>
      <w:textAlignment w:val="center"/>
    </w:pPr>
    <w:rPr>
      <w:rFonts w:ascii="Times New Roman" w:hAnsi="Times New Roman" w:eastAsia="宋体" w:cs="Times New Roman"/>
      <w:sz w:val="24"/>
    </w:rPr>
  </w:style>
  <w:style w:type="paragraph" w:customStyle="1" w:styleId="3424">
    <w:name w:val="C503-数字列项"/>
    <w:basedOn w:val="1"/>
    <w:qFormat/>
    <w:uiPriority w:val="0"/>
    <w:pPr>
      <w:numPr>
        <w:ilvl w:val="1"/>
        <w:numId w:val="119"/>
      </w:numPr>
      <w:tabs>
        <w:tab w:val="left" w:pos="240"/>
      </w:tabs>
      <w:spacing w:line="360" w:lineRule="auto"/>
      <w:ind w:firstLine="200" w:firstLineChars="200"/>
    </w:pPr>
    <w:rPr>
      <w:rFonts w:ascii="Times New Roman" w:hAnsi="Times New Roman" w:eastAsia="宋体" w:cs="Times New Roman"/>
      <w:sz w:val="24"/>
      <w:szCs w:val="24"/>
    </w:rPr>
  </w:style>
  <w:style w:type="paragraph" w:customStyle="1" w:styleId="3425">
    <w:name w:val="C503-字母列项"/>
    <w:basedOn w:val="1"/>
    <w:qFormat/>
    <w:uiPriority w:val="0"/>
    <w:pPr>
      <w:numPr>
        <w:ilvl w:val="0"/>
        <w:numId w:val="119"/>
      </w:numPr>
      <w:tabs>
        <w:tab w:val="left" w:pos="0"/>
      </w:tabs>
      <w:spacing w:line="360" w:lineRule="auto"/>
      <w:ind w:firstLine="200" w:firstLineChars="200"/>
    </w:pPr>
    <w:rPr>
      <w:rFonts w:ascii="Times New Roman" w:hAnsi="Times New Roman" w:eastAsia="宋体" w:cs="Times New Roman"/>
      <w:sz w:val="24"/>
      <w:szCs w:val="24"/>
    </w:rPr>
  </w:style>
  <w:style w:type="character" w:customStyle="1" w:styleId="3426">
    <w:name w:val="普通(网站) 字符2"/>
    <w:qFormat/>
    <w:uiPriority w:val="0"/>
    <w:rPr>
      <w:rFonts w:hint="eastAsia" w:ascii="宋体" w:hAnsi="宋体" w:eastAsia="宋体" w:cs="宋体"/>
      <w:sz w:val="24"/>
      <w:szCs w:val="24"/>
    </w:rPr>
  </w:style>
  <w:style w:type="character" w:customStyle="1" w:styleId="3427">
    <w:name w:val="A正文小四 Char"/>
    <w:qFormat/>
    <w:uiPriority w:val="0"/>
    <w:rPr>
      <w:rFonts w:ascii="Times New Roman" w:hAnsi="Times New Roman" w:eastAsia="宋体" w:cs="Times New Roman"/>
      <w:sz w:val="24"/>
      <w:szCs w:val="24"/>
    </w:rPr>
  </w:style>
  <w:style w:type="paragraph" w:customStyle="1" w:styleId="3428">
    <w:name w:val="正文文本格式"/>
    <w:basedOn w:val="1"/>
    <w:link w:val="3429"/>
    <w:qFormat/>
    <w:uiPriority w:val="0"/>
    <w:pPr>
      <w:spacing w:line="360" w:lineRule="auto"/>
      <w:ind w:firstLine="200" w:firstLineChars="200"/>
      <w:jc w:val="left"/>
    </w:pPr>
    <w:rPr>
      <w:rFonts w:ascii="Times New Roman" w:hAnsi="Times New Roman" w:eastAsia="宋体"/>
      <w:sz w:val="24"/>
    </w:rPr>
  </w:style>
  <w:style w:type="character" w:customStyle="1" w:styleId="3429">
    <w:name w:val="正文文本格式 字符"/>
    <w:basedOn w:val="136"/>
    <w:link w:val="3428"/>
    <w:qFormat/>
    <w:uiPriority w:val="0"/>
    <w:rPr>
      <w:rFonts w:cstheme="minorBidi"/>
      <w:kern w:val="2"/>
      <w:sz w:val="24"/>
      <w:szCs w:val="22"/>
    </w:rPr>
  </w:style>
  <w:style w:type="character" w:customStyle="1" w:styleId="3430">
    <w:name w:val="文档正文 Char1"/>
    <w:qFormat/>
    <w:uiPriority w:val="0"/>
    <w:rPr>
      <w:rFonts w:eastAsia="宋体"/>
      <w:spacing w:val="4"/>
      <w:sz w:val="24"/>
      <w:lang w:val="en-US" w:eastAsia="zh-CN" w:bidi="ar-SA"/>
    </w:rPr>
  </w:style>
  <w:style w:type="character" w:customStyle="1" w:styleId="3431">
    <w:name w:val="封面黑体内容 Char Char"/>
    <w:link w:val="3432"/>
    <w:qFormat/>
    <w:uiPriority w:val="0"/>
    <w:rPr>
      <w:rFonts w:ascii="黑体" w:eastAsia="黑体"/>
      <w:sz w:val="32"/>
      <w:szCs w:val="32"/>
    </w:rPr>
  </w:style>
  <w:style w:type="paragraph" w:customStyle="1" w:styleId="3432">
    <w:name w:val="封面黑体内容"/>
    <w:link w:val="3431"/>
    <w:qFormat/>
    <w:uiPriority w:val="0"/>
    <w:pPr>
      <w:tabs>
        <w:tab w:val="left" w:pos="2280"/>
        <w:tab w:val="right" w:pos="4200"/>
        <w:tab w:val="left" w:pos="4440"/>
      </w:tabs>
    </w:pPr>
    <w:rPr>
      <w:rFonts w:ascii="黑体" w:hAnsi="Times New Roman" w:eastAsia="黑体" w:cs="Times New Roman"/>
      <w:sz w:val="32"/>
      <w:szCs w:val="32"/>
      <w:lang w:val="en-US" w:eastAsia="zh-CN" w:bidi="ar-SA"/>
    </w:rPr>
  </w:style>
  <w:style w:type="paragraph" w:customStyle="1" w:styleId="3433">
    <w:name w:val="工程全称"/>
    <w:qFormat/>
    <w:uiPriority w:val="0"/>
    <w:pPr>
      <w:widowControl w:val="0"/>
      <w:adjustRightInd w:val="0"/>
      <w:spacing w:before="120" w:after="120" w:line="312" w:lineRule="atLeast"/>
      <w:ind w:right="879" w:firstLine="839"/>
      <w:jc w:val="center"/>
    </w:pPr>
    <w:rPr>
      <w:rFonts w:ascii="黑体" w:hAnsi="Times New Roman" w:eastAsia="黑体" w:cs="Times New Roman"/>
      <w:b/>
      <w:sz w:val="36"/>
      <w:lang w:val="en-US" w:eastAsia="zh-CN" w:bidi="ar-SA"/>
    </w:rPr>
  </w:style>
  <w:style w:type="paragraph" w:customStyle="1" w:styleId="3434">
    <w:name w:val="正文首行缩进2"/>
    <w:basedOn w:val="1"/>
    <w:qFormat/>
    <w:uiPriority w:val="0"/>
    <w:pPr>
      <w:spacing w:line="300" w:lineRule="auto"/>
      <w:ind w:firstLine="476"/>
    </w:pPr>
    <w:rPr>
      <w:rFonts w:ascii="黑体" w:hAnsi="黑体" w:eastAsia="黑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package" Target="embeddings/Microsoft_Visio___2.vsdx"/><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46A9E9-B069-4243-98C5-F880C393C1FD}">
  <ds:schemaRefs/>
</ds:datastoreItem>
</file>

<file path=docProps/app.xml><?xml version="1.0" encoding="utf-8"?>
<Properties xmlns="http://schemas.openxmlformats.org/officeDocument/2006/extended-properties" xmlns:vt="http://schemas.openxmlformats.org/officeDocument/2006/docPropsVTypes">
  <Template>Normal</Template>
  <Pages>211</Pages>
  <Words>5028</Words>
  <Characters>5631</Characters>
  <Lines>8750</Lines>
  <Paragraphs>9587</Paragraphs>
  <TotalTime>7</TotalTime>
  <ScaleCrop>false</ScaleCrop>
  <LinksUpToDate>false</LinksUpToDate>
  <CharactersWithSpaces>5665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2025-12-12T00:44:00Z</dcterms:created>
  <dc:creator>锦鲤君</dc:creator>
  <cp:lastModifiedBy>草莓熊</cp:lastModifiedBy>
  <cp:lastPrinted>2024-06-13T07:20:00Z</cp:lastPrinted>
  <dcterms:modified xsi:type="dcterms:W3CDTF">2026-03-21T02:56:07Z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eyJoZGlkIjoiZjIwNDlhOTY0NGU2MzFhNGI1MjNlMjI4NmRmZWY1NmQiLCJ1c2VySWQiOiI2OTIyNjM3NzAifQ==</vt:lpwstr>
  </property>
  <property fmtid="{D5CDD505-2E9C-101B-9397-08002B2CF9AE}" pid="4" name="ICV">
    <vt:lpwstr>1F7AE04909314C54B4ABFADE827FA13B_13</vt:lpwstr>
  </property>
</Properties>
</file>