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433626">
      <w:pPr>
        <w:jc w:val="right"/>
        <w:rPr>
          <w:rFonts w:ascii="宋体" w:hAnsi="宋体"/>
          <w:color w:val="auto"/>
          <w:sz w:val="36"/>
          <w:highlight w:val="none"/>
        </w:rPr>
      </w:pPr>
    </w:p>
    <w:p w14:paraId="2815E8AC">
      <w:pPr>
        <w:keepNext w:val="0"/>
        <w:keepLines w:val="0"/>
        <w:pageBreakBefore w:val="0"/>
        <w:widowControl w:val="0"/>
        <w:wordWrap w:val="0"/>
        <w:spacing w:line="360" w:lineRule="auto"/>
        <w:jc w:val="right"/>
        <w:rPr>
          <w:rFonts w:hint="default" w:ascii="宋体" w:hAnsi="宋体" w:eastAsia="宋体" w:cs="宋体"/>
          <w:color w:val="auto"/>
          <w:sz w:val="24"/>
          <w:szCs w:val="24"/>
          <w:highlight w:val="none"/>
          <w:lang w:val="en-US"/>
        </w:rPr>
      </w:pPr>
      <w:r>
        <w:rPr>
          <w:rFonts w:hint="eastAsia" w:ascii="宋体" w:hAnsi="宋体" w:eastAsia="宋体" w:cs="宋体"/>
          <w:color w:val="auto"/>
          <w:sz w:val="28"/>
          <w:szCs w:val="28"/>
          <w:highlight w:val="none"/>
        </w:rPr>
        <w:t>编号</w:t>
      </w:r>
      <w:r>
        <w:rPr>
          <w:rFonts w:hint="eastAsia" w:ascii="宋体" w:hAnsi="宋体" w:cs="宋体"/>
          <w:color w:val="auto"/>
          <w:sz w:val="28"/>
          <w:szCs w:val="28"/>
          <w:highlight w:val="none"/>
          <w:lang w:val="en-US" w:eastAsia="zh-CN"/>
        </w:rPr>
        <w:t>:</w:t>
      </w:r>
      <w:r>
        <w:rPr>
          <w:rFonts w:hint="eastAsia" w:ascii="宋体" w:hAnsi="宋体" w:cs="宋体"/>
          <w:color w:val="auto"/>
          <w:sz w:val="28"/>
          <w:szCs w:val="28"/>
          <w:highlight w:val="none"/>
          <w:u w:val="single"/>
          <w:lang w:val="en-US" w:eastAsia="zh-CN"/>
        </w:rPr>
        <w:t>JSZC-321012-JSZC-G2026-0008</w:t>
      </w:r>
    </w:p>
    <w:p w14:paraId="63968FF6">
      <w:pPr>
        <w:keepNext w:val="0"/>
        <w:keepLines w:val="0"/>
        <w:pageBreakBefore w:val="0"/>
        <w:widowControl w:val="0"/>
        <w:spacing w:line="360" w:lineRule="auto"/>
        <w:jc w:val="center"/>
        <w:rPr>
          <w:rFonts w:hint="eastAsia" w:ascii="宋体" w:hAnsi="宋体" w:cs="宋体"/>
          <w:color w:val="auto"/>
          <w:sz w:val="32"/>
          <w:szCs w:val="32"/>
          <w:highlight w:val="none"/>
          <w:lang w:val="en-US" w:eastAsia="zh-CN"/>
        </w:rPr>
      </w:pPr>
    </w:p>
    <w:p w14:paraId="2F64E78C">
      <w:pPr>
        <w:keepNext w:val="0"/>
        <w:keepLines w:val="0"/>
        <w:pageBreakBefore w:val="0"/>
        <w:widowControl w:val="0"/>
        <w:spacing w:line="360" w:lineRule="auto"/>
        <w:jc w:val="center"/>
        <w:rPr>
          <w:rFonts w:hint="eastAsia" w:ascii="宋体" w:hAnsi="宋体" w:eastAsia="宋体" w:cs="宋体"/>
          <w:color w:val="auto"/>
          <w:sz w:val="32"/>
          <w:szCs w:val="32"/>
          <w:highlight w:val="none"/>
        </w:rPr>
      </w:pPr>
      <w:r>
        <w:rPr>
          <w:rFonts w:hint="eastAsia" w:ascii="宋体" w:hAnsi="宋体" w:cs="宋体"/>
          <w:color w:val="auto"/>
          <w:sz w:val="32"/>
          <w:szCs w:val="32"/>
          <w:highlight w:val="none"/>
          <w:lang w:val="en-US" w:eastAsia="zh-CN"/>
        </w:rPr>
        <w:t>扬州市江都区教育局城北教育集中区建设工程高中部分家具（第三批）采购项目</w:t>
      </w:r>
      <w:r>
        <w:rPr>
          <w:rFonts w:hint="eastAsia" w:ascii="宋体" w:hAnsi="宋体" w:eastAsia="宋体" w:cs="宋体"/>
          <w:color w:val="auto"/>
          <w:sz w:val="32"/>
          <w:szCs w:val="32"/>
          <w:highlight w:val="none"/>
        </w:rPr>
        <w:t>公开招标文件</w:t>
      </w:r>
    </w:p>
    <w:p w14:paraId="52F21D84">
      <w:pPr>
        <w:pStyle w:val="192"/>
        <w:rPr>
          <w:rFonts w:hint="eastAsia"/>
          <w:color w:val="auto"/>
          <w:highlight w:val="none"/>
        </w:rPr>
      </w:pPr>
    </w:p>
    <w:p w14:paraId="454A30FB">
      <w:pPr>
        <w:jc w:val="center"/>
        <w:rPr>
          <w:rFonts w:ascii="宋体" w:hAnsi="宋体"/>
          <w:color w:val="auto"/>
          <w:sz w:val="36"/>
          <w:highlight w:val="none"/>
        </w:rPr>
      </w:pPr>
    </w:p>
    <w:p w14:paraId="5022F03F">
      <w:pPr>
        <w:jc w:val="center"/>
        <w:rPr>
          <w:rFonts w:hint="eastAsia" w:asciiTheme="majorEastAsia" w:hAnsiTheme="majorEastAsia" w:eastAsiaTheme="majorEastAsia" w:cstheme="majorEastAsia"/>
          <w:color w:val="auto"/>
          <w:sz w:val="36"/>
          <w:szCs w:val="36"/>
          <w:highlight w:val="none"/>
        </w:rPr>
      </w:pPr>
      <w:r>
        <w:rPr>
          <w:rFonts w:hint="eastAsia" w:ascii="宋体" w:hAnsi="宋体"/>
          <w:color w:val="auto"/>
          <w:kern w:val="0"/>
          <w:sz w:val="20"/>
          <w:szCs w:val="20"/>
          <w:highlight w:val="none"/>
        </w:rPr>
        <w:drawing>
          <wp:inline distT="0" distB="0" distL="114300" distR="114300">
            <wp:extent cx="1922780" cy="3279775"/>
            <wp:effectExtent l="0" t="0" r="1270" b="15875"/>
            <wp:docPr id="2" name="图片 2" descr="志诚标志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志诚标志3"/>
                    <pic:cNvPicPr>
                      <a:picLocks noChangeAspect="1"/>
                    </pic:cNvPicPr>
                  </pic:nvPicPr>
                  <pic:blipFill>
                    <a:blip r:embed="rId12"/>
                    <a:stretch>
                      <a:fillRect/>
                    </a:stretch>
                  </pic:blipFill>
                  <pic:spPr>
                    <a:xfrm>
                      <a:off x="0" y="0"/>
                      <a:ext cx="1922780" cy="3279775"/>
                    </a:xfrm>
                    <a:prstGeom prst="rect">
                      <a:avLst/>
                    </a:prstGeom>
                    <a:noFill/>
                    <a:ln>
                      <a:noFill/>
                    </a:ln>
                  </pic:spPr>
                </pic:pic>
              </a:graphicData>
            </a:graphic>
          </wp:inline>
        </w:drawing>
      </w:r>
    </w:p>
    <w:p w14:paraId="53566EBE">
      <w:pPr>
        <w:pStyle w:val="201"/>
        <w:ind w:left="0" w:firstLine="0"/>
        <w:jc w:val="center"/>
        <w:rPr>
          <w:color w:val="auto"/>
          <w:sz w:val="52"/>
          <w:szCs w:val="52"/>
          <w:highlight w:val="none"/>
        </w:rPr>
      </w:pPr>
    </w:p>
    <w:p w14:paraId="3FD521C5">
      <w:pPr>
        <w:pStyle w:val="201"/>
        <w:rPr>
          <w:color w:val="auto"/>
          <w:highlight w:val="none"/>
        </w:rPr>
      </w:pPr>
    </w:p>
    <w:p w14:paraId="50EA1B08">
      <w:pPr>
        <w:keepNext w:val="0"/>
        <w:keepLines w:val="0"/>
        <w:pageBreakBefore w:val="0"/>
        <w:widowControl w:val="0"/>
        <w:spacing w:line="360" w:lineRule="auto"/>
        <w:ind w:right="934" w:firstLine="1600" w:firstLineChars="500"/>
        <w:jc w:val="both"/>
        <w:rPr>
          <w:rFonts w:hint="default" w:ascii="宋体" w:hAnsi="宋体" w:eastAsia="宋体"/>
          <w:color w:val="auto"/>
          <w:sz w:val="32"/>
          <w:szCs w:val="32"/>
          <w:highlight w:val="none"/>
          <w:lang w:val="en-US" w:eastAsia="zh-CN"/>
        </w:rPr>
      </w:pPr>
      <w:r>
        <w:rPr>
          <w:rFonts w:hint="eastAsia" w:ascii="宋体" w:hAnsi="宋体"/>
          <w:color w:val="auto"/>
          <w:sz w:val="32"/>
          <w:szCs w:val="32"/>
          <w:highlight w:val="none"/>
        </w:rPr>
        <w:t>采</w:t>
      </w:r>
      <w:r>
        <w:rPr>
          <w:rFonts w:hint="eastAsia" w:ascii="宋体" w:hAnsi="宋体"/>
          <w:color w:val="auto"/>
          <w:sz w:val="32"/>
          <w:szCs w:val="32"/>
          <w:highlight w:val="none"/>
          <w:lang w:val="en-US" w:eastAsia="zh-CN"/>
        </w:rPr>
        <w:t xml:space="preserve"> </w:t>
      </w:r>
      <w:r>
        <w:rPr>
          <w:rFonts w:hint="eastAsia" w:ascii="宋体" w:hAnsi="宋体"/>
          <w:color w:val="auto"/>
          <w:sz w:val="32"/>
          <w:szCs w:val="32"/>
          <w:highlight w:val="none"/>
        </w:rPr>
        <w:t>购</w:t>
      </w:r>
      <w:r>
        <w:rPr>
          <w:rFonts w:hint="eastAsia" w:ascii="宋体" w:hAnsi="宋体"/>
          <w:color w:val="auto"/>
          <w:sz w:val="32"/>
          <w:szCs w:val="32"/>
          <w:highlight w:val="none"/>
          <w:lang w:val="en-US" w:eastAsia="zh-CN"/>
        </w:rPr>
        <w:t xml:space="preserve"> </w:t>
      </w:r>
      <w:r>
        <w:rPr>
          <w:rFonts w:hint="eastAsia" w:ascii="宋体" w:hAnsi="宋体"/>
          <w:color w:val="auto"/>
          <w:sz w:val="32"/>
          <w:szCs w:val="32"/>
          <w:highlight w:val="none"/>
        </w:rPr>
        <w:t>人：</w:t>
      </w:r>
      <w:r>
        <w:rPr>
          <w:rFonts w:hint="eastAsia" w:ascii="宋体" w:hAnsi="宋体"/>
          <w:color w:val="auto"/>
          <w:sz w:val="32"/>
          <w:szCs w:val="32"/>
          <w:highlight w:val="none"/>
          <w:lang w:eastAsia="zh-CN"/>
        </w:rPr>
        <w:t>扬州市江都区教育局</w:t>
      </w:r>
    </w:p>
    <w:p w14:paraId="78314136">
      <w:pPr>
        <w:keepNext w:val="0"/>
        <w:keepLines w:val="0"/>
        <w:pageBreakBefore w:val="0"/>
        <w:widowControl w:val="0"/>
        <w:spacing w:line="360" w:lineRule="auto"/>
        <w:ind w:left="0" w:right="934" w:firstLine="838"/>
        <w:jc w:val="both"/>
        <w:rPr>
          <w:rFonts w:hint="eastAsia" w:ascii="宋体" w:hAnsi="宋体"/>
          <w:color w:val="auto"/>
          <w:sz w:val="32"/>
          <w:szCs w:val="32"/>
          <w:highlight w:val="none"/>
          <w:lang w:eastAsia="zh-CN"/>
        </w:rPr>
      </w:pPr>
      <w:r>
        <w:rPr>
          <w:rFonts w:hint="eastAsia" w:ascii="宋体" w:hAnsi="宋体"/>
          <w:color w:val="auto"/>
          <w:sz w:val="32"/>
          <w:szCs w:val="32"/>
          <w:highlight w:val="none"/>
        </w:rPr>
        <w:t>代理机构：</w:t>
      </w:r>
      <w:r>
        <w:rPr>
          <w:rFonts w:hint="eastAsia" w:ascii="宋体" w:hAnsi="宋体"/>
          <w:color w:val="auto"/>
          <w:sz w:val="32"/>
          <w:szCs w:val="32"/>
          <w:highlight w:val="none"/>
          <w:lang w:eastAsia="zh-CN"/>
        </w:rPr>
        <w:t>江苏志诚工程咨询管理有限公司</w:t>
      </w:r>
    </w:p>
    <w:p w14:paraId="00FE78D6">
      <w:pPr>
        <w:keepNext w:val="0"/>
        <w:keepLines w:val="0"/>
        <w:pageBreakBefore w:val="0"/>
        <w:widowControl w:val="0"/>
        <w:spacing w:line="360" w:lineRule="auto"/>
        <w:ind w:left="0" w:right="934" w:firstLine="720"/>
        <w:jc w:val="center"/>
        <w:rPr>
          <w:rFonts w:hint="eastAsia" w:ascii="宋体" w:hAnsi="宋体" w:eastAsia="宋体" w:cs="Times New Roman"/>
          <w:color w:val="auto"/>
          <w:sz w:val="32"/>
          <w:szCs w:val="32"/>
          <w:highlight w:val="none"/>
          <w:lang w:val="en-US" w:eastAsia="zh-CN"/>
        </w:rPr>
        <w:sectPr>
          <w:headerReference r:id="rId4" w:type="first"/>
          <w:footerReference r:id="rId6" w:type="first"/>
          <w:headerReference r:id="rId3" w:type="default"/>
          <w:footerReference r:id="rId5" w:type="default"/>
          <w:pgSz w:w="11906" w:h="16838"/>
          <w:pgMar w:top="1440" w:right="1800" w:bottom="1440" w:left="1800" w:header="851" w:footer="850" w:gutter="0"/>
          <w:pgBorders>
            <w:top w:val="none" w:sz="0" w:space="0"/>
            <w:left w:val="none" w:sz="0" w:space="0"/>
            <w:bottom w:val="none" w:sz="0" w:space="0"/>
            <w:right w:val="none" w:sz="0" w:space="0"/>
          </w:pgBorders>
          <w:pgNumType w:start="1"/>
          <w:cols w:space="720" w:num="1"/>
          <w:titlePg/>
          <w:docGrid w:linePitch="360" w:charSpace="0"/>
        </w:sectPr>
      </w:pPr>
      <w:r>
        <w:rPr>
          <w:rFonts w:hint="eastAsia" w:ascii="宋体" w:hAnsi="宋体" w:eastAsia="宋体" w:cs="Times New Roman"/>
          <w:color w:val="auto"/>
          <w:sz w:val="32"/>
          <w:szCs w:val="32"/>
          <w:highlight w:val="none"/>
          <w:lang w:val="en-US" w:eastAsia="zh-CN"/>
        </w:rPr>
        <w:t>二〇二</w:t>
      </w:r>
      <w:r>
        <w:rPr>
          <w:rFonts w:hint="eastAsia" w:ascii="宋体" w:hAnsi="宋体" w:cs="Times New Roman"/>
          <w:color w:val="auto"/>
          <w:sz w:val="32"/>
          <w:szCs w:val="32"/>
          <w:highlight w:val="none"/>
          <w:lang w:val="en-US" w:eastAsia="zh-CN"/>
        </w:rPr>
        <w:t>六</w:t>
      </w:r>
      <w:r>
        <w:rPr>
          <w:rFonts w:hint="eastAsia" w:ascii="宋体" w:hAnsi="宋体" w:eastAsia="宋体" w:cs="Times New Roman"/>
          <w:color w:val="auto"/>
          <w:sz w:val="32"/>
          <w:szCs w:val="32"/>
          <w:highlight w:val="none"/>
          <w:lang w:val="en-US" w:eastAsia="zh-CN"/>
        </w:rPr>
        <w:t>年</w:t>
      </w:r>
      <w:r>
        <w:rPr>
          <w:rFonts w:hint="eastAsia" w:ascii="宋体" w:hAnsi="宋体" w:cs="Times New Roman"/>
          <w:color w:val="auto"/>
          <w:sz w:val="32"/>
          <w:szCs w:val="32"/>
          <w:highlight w:val="none"/>
          <w:lang w:val="en-US" w:eastAsia="zh-CN"/>
        </w:rPr>
        <w:t>二</w:t>
      </w:r>
      <w:r>
        <w:rPr>
          <w:rFonts w:hint="eastAsia" w:ascii="宋体" w:hAnsi="宋体" w:eastAsia="宋体" w:cs="Times New Roman"/>
          <w:color w:val="auto"/>
          <w:sz w:val="32"/>
          <w:szCs w:val="32"/>
          <w:highlight w:val="none"/>
          <w:lang w:val="en-US" w:eastAsia="zh-CN"/>
        </w:rPr>
        <w:t>月</w:t>
      </w:r>
    </w:p>
    <w:p w14:paraId="0A6423EB">
      <w:pPr>
        <w:spacing w:line="360" w:lineRule="auto"/>
        <w:jc w:val="center"/>
        <w:rPr>
          <w:rFonts w:ascii="宋体" w:hAnsi="宋体"/>
          <w:b/>
          <w:bCs/>
          <w:color w:val="auto"/>
          <w:sz w:val="44"/>
          <w:szCs w:val="44"/>
          <w:highlight w:val="none"/>
        </w:rPr>
      </w:pPr>
      <w:r>
        <w:rPr>
          <w:rFonts w:hint="eastAsia" w:ascii="宋体" w:hAnsi="宋体"/>
          <w:b/>
          <w:bCs/>
          <w:color w:val="auto"/>
          <w:sz w:val="44"/>
          <w:szCs w:val="44"/>
          <w:highlight w:val="none"/>
        </w:rPr>
        <w:t>目 录</w:t>
      </w:r>
    </w:p>
    <w:p w14:paraId="44948E08">
      <w:pPr>
        <w:pStyle w:val="26"/>
        <w:tabs>
          <w:tab w:val="right" w:leader="dot" w:pos="8296"/>
        </w:tabs>
        <w:spacing w:line="360" w:lineRule="auto"/>
        <w:rPr>
          <w:rFonts w:hint="eastAsia" w:asciiTheme="majorEastAsia" w:hAnsiTheme="majorEastAsia" w:eastAsiaTheme="majorEastAsia" w:cstheme="majorEastAsia"/>
          <w:color w:val="auto"/>
          <w:sz w:val="24"/>
          <w:szCs w:val="24"/>
          <w:highlight w:val="none"/>
        </w:rPr>
      </w:pPr>
    </w:p>
    <w:p w14:paraId="272277C1">
      <w:pPr>
        <w:pStyle w:val="26"/>
        <w:tabs>
          <w:tab w:val="right" w:leader="dot" w:pos="8306"/>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TOC \o "1-3" \f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en-US" w:eastAsia="zh-CN"/>
        </w:rPr>
        <w:t>第一章 招标公告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_Toc20022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rPr>
        <w:fldChar w:fldCharType="end"/>
      </w:r>
    </w:p>
    <w:p w14:paraId="3690A88A">
      <w:pPr>
        <w:pStyle w:val="26"/>
        <w:tabs>
          <w:tab w:val="right" w:leader="dot" w:pos="8306"/>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lang w:val="en-US" w:eastAsia="zh-CN"/>
        </w:rPr>
        <w:t>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_Toc25750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5</w:t>
      </w:r>
      <w:r>
        <w:rPr>
          <w:rFonts w:hint="eastAsia" w:ascii="宋体" w:hAnsi="宋体" w:eastAsia="宋体" w:cs="宋体"/>
          <w:color w:val="auto"/>
          <w:sz w:val="28"/>
          <w:szCs w:val="28"/>
          <w:highlight w:val="none"/>
        </w:rPr>
        <w:fldChar w:fldCharType="end"/>
      </w:r>
    </w:p>
    <w:p w14:paraId="652F09E7">
      <w:pPr>
        <w:pStyle w:val="26"/>
        <w:tabs>
          <w:tab w:val="right" w:leader="dot" w:pos="8306"/>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lang w:val="en-US" w:eastAsia="zh-CN"/>
        </w:rPr>
        <w:t>第三章 合同条款及格式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_Toc16060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16</w:t>
      </w:r>
      <w:r>
        <w:rPr>
          <w:rFonts w:hint="eastAsia" w:ascii="宋体" w:hAnsi="宋体" w:eastAsia="宋体" w:cs="宋体"/>
          <w:color w:val="auto"/>
          <w:sz w:val="28"/>
          <w:szCs w:val="28"/>
          <w:highlight w:val="none"/>
        </w:rPr>
        <w:fldChar w:fldCharType="end"/>
      </w:r>
    </w:p>
    <w:p w14:paraId="78600B3D">
      <w:pPr>
        <w:pStyle w:val="26"/>
        <w:tabs>
          <w:tab w:val="right" w:leader="dot" w:pos="8306"/>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lang w:val="en-US" w:eastAsia="zh-CN"/>
        </w:rPr>
        <w:t>第四章 项目需求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_Toc22063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21</w:t>
      </w:r>
      <w:r>
        <w:rPr>
          <w:rFonts w:hint="eastAsia" w:ascii="宋体" w:hAnsi="宋体" w:eastAsia="宋体" w:cs="宋体"/>
          <w:color w:val="auto"/>
          <w:sz w:val="28"/>
          <w:szCs w:val="28"/>
          <w:highlight w:val="none"/>
        </w:rPr>
        <w:fldChar w:fldCharType="end"/>
      </w:r>
    </w:p>
    <w:p w14:paraId="748A47C1">
      <w:pPr>
        <w:pStyle w:val="26"/>
        <w:tabs>
          <w:tab w:val="right" w:leader="dot" w:pos="8306"/>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lang w:val="en-US" w:eastAsia="zh-CN"/>
        </w:rPr>
        <w:t>第五章 评标方法及评标标准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_Toc25878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22</w:t>
      </w:r>
      <w:r>
        <w:rPr>
          <w:rFonts w:hint="eastAsia" w:ascii="宋体" w:hAnsi="宋体" w:eastAsia="宋体" w:cs="宋体"/>
          <w:color w:val="auto"/>
          <w:sz w:val="28"/>
          <w:szCs w:val="28"/>
          <w:highlight w:val="none"/>
        </w:rPr>
        <w:fldChar w:fldCharType="end"/>
      </w:r>
    </w:p>
    <w:p w14:paraId="4D4AD247">
      <w:pPr>
        <w:pStyle w:val="26"/>
        <w:tabs>
          <w:tab w:val="right" w:leader="dot" w:pos="8306"/>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lang w:val="en-US" w:eastAsia="zh-CN"/>
        </w:rPr>
        <w:t>第六章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_Toc9166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rPr>
        <w:fldChar w:fldCharType="end"/>
      </w:r>
    </w:p>
    <w:p w14:paraId="1DB1008F">
      <w:pPr>
        <w:spacing w:line="360" w:lineRule="auto"/>
        <w:rPr>
          <w:rFonts w:ascii="宋体" w:hAnsi="宋体"/>
          <w:color w:val="auto"/>
          <w:sz w:val="28"/>
          <w:highlight w:val="none"/>
        </w:rPr>
      </w:pPr>
      <w:r>
        <w:rPr>
          <w:rFonts w:hint="eastAsia" w:ascii="宋体" w:hAnsi="宋体" w:eastAsia="宋体" w:cs="宋体"/>
          <w:color w:val="auto"/>
          <w:sz w:val="28"/>
          <w:szCs w:val="28"/>
          <w:highlight w:val="none"/>
        </w:rPr>
        <w:fldChar w:fldCharType="end"/>
      </w:r>
    </w:p>
    <w:p w14:paraId="7FF55C38">
      <w:pPr>
        <w:pStyle w:val="2"/>
        <w:keepNext/>
        <w:keepLines/>
        <w:pageBreakBefore w:val="0"/>
        <w:widowControl w:val="0"/>
        <w:spacing w:before="0" w:after="0" w:line="360" w:lineRule="auto"/>
        <w:jc w:val="center"/>
        <w:rPr>
          <w:rFonts w:hint="eastAsia" w:ascii="宋体" w:hAnsi="宋体" w:eastAsia="宋体" w:cs="Times New Roman"/>
          <w:b/>
          <w:bCs/>
          <w:color w:val="auto"/>
          <w:sz w:val="36"/>
          <w:szCs w:val="36"/>
          <w:highlight w:val="none"/>
          <w:lang w:val="en-US" w:eastAsia="zh-CN"/>
        </w:rPr>
        <w:sectPr>
          <w:headerReference r:id="rId7" w:type="default"/>
          <w:footerReference r:id="rId8" w:type="default"/>
          <w:pgSz w:w="11906" w:h="16838"/>
          <w:pgMar w:top="1440" w:right="1800" w:bottom="1440" w:left="1800" w:header="851" w:footer="850" w:gutter="0"/>
          <w:pgBorders>
            <w:top w:val="none" w:sz="0" w:space="0"/>
            <w:left w:val="none" w:sz="0" w:space="0"/>
            <w:bottom w:val="none" w:sz="0" w:space="0"/>
            <w:right w:val="none" w:sz="0" w:space="0"/>
          </w:pgBorders>
          <w:cols w:space="720" w:num="1"/>
          <w:docGrid w:linePitch="360" w:charSpace="0"/>
        </w:sectPr>
      </w:pPr>
      <w:bookmarkStart w:id="0" w:name="_Toc55204177"/>
    </w:p>
    <w:p w14:paraId="7F024FD3">
      <w:pPr>
        <w:pStyle w:val="2"/>
        <w:keepNext/>
        <w:keepLines/>
        <w:pageBreakBefore w:val="0"/>
        <w:widowControl w:val="0"/>
        <w:spacing w:before="0" w:after="0" w:line="360" w:lineRule="auto"/>
        <w:jc w:val="center"/>
        <w:rPr>
          <w:rFonts w:hint="eastAsia" w:ascii="宋体" w:hAnsi="宋体" w:eastAsia="宋体" w:cs="Times New Roman"/>
          <w:b/>
          <w:bCs/>
          <w:color w:val="auto"/>
          <w:sz w:val="28"/>
          <w:szCs w:val="28"/>
          <w:highlight w:val="none"/>
          <w:lang w:val="en-US" w:eastAsia="zh-CN"/>
        </w:rPr>
      </w:pPr>
      <w:bookmarkStart w:id="1" w:name="_Toc20022"/>
      <w:r>
        <w:rPr>
          <w:rFonts w:hint="eastAsia" w:ascii="宋体" w:hAnsi="宋体" w:eastAsia="宋体" w:cs="Times New Roman"/>
          <w:b/>
          <w:bCs/>
          <w:color w:val="auto"/>
          <w:sz w:val="28"/>
          <w:szCs w:val="28"/>
          <w:highlight w:val="none"/>
          <w:lang w:val="en-US" w:eastAsia="zh-CN"/>
        </w:rPr>
        <w:t xml:space="preserve">第一章 </w:t>
      </w:r>
      <w:r>
        <w:rPr>
          <w:rFonts w:hint="eastAsia" w:ascii="宋体" w:hAnsi="宋体" w:cs="Times New Roman"/>
          <w:b/>
          <w:bCs/>
          <w:color w:val="auto"/>
          <w:sz w:val="28"/>
          <w:szCs w:val="28"/>
          <w:highlight w:val="none"/>
          <w:lang w:val="en-US" w:eastAsia="zh-CN"/>
        </w:rPr>
        <w:t>扬州市江都区教育局城北教育集中区建设工程高中部分家具（第三批）采购项目</w:t>
      </w:r>
      <w:r>
        <w:rPr>
          <w:rFonts w:hint="eastAsia" w:ascii="宋体" w:hAnsi="宋体" w:eastAsia="宋体" w:cs="Times New Roman"/>
          <w:b/>
          <w:bCs/>
          <w:color w:val="auto"/>
          <w:sz w:val="28"/>
          <w:szCs w:val="28"/>
          <w:highlight w:val="none"/>
          <w:lang w:val="en-US" w:eastAsia="zh-CN"/>
        </w:rPr>
        <w:t>的招标公告</w:t>
      </w:r>
      <w:bookmarkEnd w:id="0"/>
      <w:bookmarkEnd w:id="1"/>
    </w:p>
    <w:p w14:paraId="29965DDA">
      <w:pPr>
        <w:pBdr>
          <w:top w:val="single" w:color="auto" w:sz="4" w:space="1"/>
          <w:left w:val="single" w:color="auto" w:sz="4" w:space="4"/>
          <w:bottom w:val="single" w:color="auto" w:sz="4" w:space="1"/>
          <w:right w:val="single" w:color="auto" w:sz="4" w:space="4"/>
        </w:pBdr>
        <w:spacing w:line="360" w:lineRule="auto"/>
        <w:rPr>
          <w:rFonts w:ascii="宋体" w:hAnsi="宋体" w:cs="宋体"/>
          <w:b/>
          <w:bCs/>
          <w:color w:val="auto"/>
          <w:highlight w:val="none"/>
        </w:rPr>
      </w:pPr>
      <w:r>
        <w:rPr>
          <w:rFonts w:hint="eastAsia" w:ascii="宋体" w:hAnsi="宋体" w:cs="宋体"/>
          <w:b/>
          <w:bCs/>
          <w:color w:val="auto"/>
          <w:highlight w:val="none"/>
        </w:rPr>
        <w:t>项目概况</w:t>
      </w:r>
    </w:p>
    <w:p w14:paraId="3918684D">
      <w:pPr>
        <w:pBdr>
          <w:top w:val="single" w:color="auto" w:sz="4" w:space="1"/>
          <w:left w:val="single" w:color="auto" w:sz="4" w:space="4"/>
          <w:bottom w:val="single" w:color="auto" w:sz="4" w:space="1"/>
          <w:right w:val="single" w:color="auto" w:sz="4" w:space="4"/>
        </w:pBdr>
        <w:spacing w:line="360" w:lineRule="auto"/>
        <w:ind w:firstLine="420"/>
        <w:rPr>
          <w:rFonts w:ascii="宋体" w:hAnsi="宋体" w:cs="宋体"/>
          <w:color w:val="auto"/>
          <w:highlight w:val="none"/>
        </w:rPr>
      </w:pPr>
      <w:r>
        <w:rPr>
          <w:rFonts w:hint="eastAsia" w:ascii="宋体" w:hAnsi="宋体" w:cs="宋体"/>
          <w:color w:val="auto"/>
          <w:highlight w:val="none"/>
          <w:u w:val="single"/>
          <w:lang w:val="en-US" w:eastAsia="zh-CN"/>
        </w:rPr>
        <w:t>扬州市江都区教育局城北教育集中区建设工程高中部分家具（第三批）采购项目</w:t>
      </w:r>
      <w:r>
        <w:rPr>
          <w:rFonts w:hint="eastAsia" w:ascii="宋体" w:hAnsi="宋体" w:eastAsia="宋体" w:cs="宋体"/>
          <w:color w:val="auto"/>
          <w:highlight w:val="none"/>
          <w:u w:val="single"/>
          <w:lang w:val="en-US" w:eastAsia="zh-CN"/>
        </w:rPr>
        <w:t xml:space="preserve"> </w:t>
      </w:r>
      <w:r>
        <w:rPr>
          <w:rFonts w:hint="eastAsia" w:ascii="宋体" w:hAnsi="宋体" w:cs="宋体"/>
          <w:color w:val="auto"/>
          <w:highlight w:val="none"/>
        </w:rPr>
        <w:t>招标项目的潜在投标人可在</w:t>
      </w:r>
      <w:r>
        <w:rPr>
          <w:rFonts w:hint="eastAsia" w:ascii="宋体" w:hAnsi="宋体" w:eastAsia="宋体" w:cs="宋体"/>
          <w:bCs/>
          <w:color w:val="auto"/>
          <w:szCs w:val="21"/>
          <w:highlight w:val="none"/>
          <w:u w:val="single"/>
          <w:lang w:val="en-US" w:eastAsia="zh-CN"/>
        </w:rPr>
        <w:t>“扬州市政府采购网”、“江苏省政府采购网”、“中国政府采购网”和“苏采云”系统</w:t>
      </w:r>
      <w:r>
        <w:rPr>
          <w:rFonts w:hint="eastAsia" w:ascii="宋体" w:hAnsi="宋体" w:cs="宋体"/>
          <w:color w:val="auto"/>
          <w:szCs w:val="21"/>
          <w:highlight w:val="none"/>
          <w:u w:val="none"/>
        </w:rPr>
        <w:t>自行免费下载</w:t>
      </w:r>
      <w:r>
        <w:rPr>
          <w:rFonts w:hint="eastAsia" w:ascii="宋体" w:hAnsi="宋体" w:cs="宋体"/>
          <w:color w:val="auto"/>
          <w:highlight w:val="none"/>
        </w:rPr>
        <w:t>招标文件，并于</w:t>
      </w:r>
      <w:r>
        <w:rPr>
          <w:rFonts w:hint="eastAsia" w:ascii="宋体" w:hAnsi="宋体" w:cs="宋体"/>
          <w:bCs/>
          <w:color w:val="auto"/>
          <w:highlight w:val="none"/>
          <w:u w:val="single"/>
          <w:lang w:val="en-US" w:eastAsia="zh-CN"/>
        </w:rPr>
        <w:t>2026年3月26日</w:t>
      </w:r>
      <w:r>
        <w:rPr>
          <w:rFonts w:hint="eastAsia" w:ascii="宋体" w:hAnsi="宋体" w:cs="宋体"/>
          <w:bCs/>
          <w:color w:val="auto"/>
          <w:szCs w:val="21"/>
          <w:highlight w:val="none"/>
          <w:u w:val="single"/>
          <w:lang w:val="en-US" w:eastAsia="zh-CN"/>
        </w:rPr>
        <w:t>9</w:t>
      </w:r>
      <w:r>
        <w:rPr>
          <w:rFonts w:ascii="宋体" w:hAnsi="宋体" w:cs="宋体"/>
          <w:bCs/>
          <w:color w:val="auto"/>
          <w:szCs w:val="21"/>
          <w:highlight w:val="none"/>
          <w:u w:val="single"/>
        </w:rPr>
        <w:t>点</w:t>
      </w:r>
      <w:r>
        <w:rPr>
          <w:rFonts w:hint="eastAsia" w:ascii="宋体" w:hAnsi="宋体" w:cs="宋体"/>
          <w:bCs/>
          <w:color w:val="auto"/>
          <w:szCs w:val="21"/>
          <w:highlight w:val="none"/>
          <w:u w:val="single"/>
          <w:lang w:val="en-US" w:eastAsia="zh-CN"/>
        </w:rPr>
        <w:t>30</w:t>
      </w:r>
      <w:r>
        <w:rPr>
          <w:rFonts w:ascii="宋体" w:hAnsi="宋体" w:cs="宋体"/>
          <w:bCs/>
          <w:color w:val="auto"/>
          <w:szCs w:val="21"/>
          <w:highlight w:val="none"/>
          <w:u w:val="single"/>
        </w:rPr>
        <w:t>分</w:t>
      </w:r>
      <w:r>
        <w:rPr>
          <w:rFonts w:hint="eastAsia" w:ascii="宋体" w:hAnsi="宋体" w:cs="宋体"/>
          <w:bCs/>
          <w:color w:val="auto"/>
          <w:highlight w:val="none"/>
          <w:u w:val="none"/>
        </w:rPr>
        <w:t>（</w:t>
      </w:r>
      <w:r>
        <w:rPr>
          <w:rFonts w:hint="eastAsia" w:ascii="宋体" w:hAnsi="宋体" w:cs="宋体"/>
          <w:bCs/>
          <w:color w:val="auto"/>
          <w:highlight w:val="none"/>
        </w:rPr>
        <w:t>北京时间）前递交投标文件</w:t>
      </w:r>
      <w:r>
        <w:rPr>
          <w:rFonts w:hint="eastAsia" w:ascii="宋体" w:hAnsi="宋体" w:cs="宋体"/>
          <w:color w:val="auto"/>
          <w:highlight w:val="none"/>
        </w:rPr>
        <w:t>。</w:t>
      </w:r>
    </w:p>
    <w:p w14:paraId="3A0DF905">
      <w:pPr>
        <w:tabs>
          <w:tab w:val="left" w:pos="266"/>
        </w:tabs>
        <w:spacing w:line="360" w:lineRule="auto"/>
        <w:rPr>
          <w:rFonts w:ascii="宋体" w:hAnsi="宋体" w:cs="宋体"/>
          <w:b/>
          <w:bCs/>
          <w:color w:val="auto"/>
          <w:highlight w:val="none"/>
        </w:rPr>
      </w:pPr>
      <w:bookmarkStart w:id="2" w:name="_Toc35393790"/>
      <w:bookmarkStart w:id="3" w:name="_Toc28359079"/>
      <w:bookmarkStart w:id="4" w:name="_Toc28359002"/>
      <w:bookmarkStart w:id="5" w:name="_Toc38985263"/>
      <w:bookmarkStart w:id="6" w:name="_Toc35393621"/>
      <w:bookmarkStart w:id="7" w:name="_Hlk24379207"/>
      <w:r>
        <w:rPr>
          <w:rFonts w:hint="eastAsia" w:ascii="宋体" w:hAnsi="宋体" w:cs="宋体"/>
          <w:b/>
          <w:bCs/>
          <w:color w:val="auto"/>
          <w:highlight w:val="none"/>
        </w:rPr>
        <w:t>一、项目基本情况</w:t>
      </w:r>
      <w:bookmarkEnd w:id="2"/>
      <w:bookmarkEnd w:id="3"/>
      <w:bookmarkEnd w:id="4"/>
      <w:bookmarkEnd w:id="5"/>
      <w:bookmarkEnd w:id="6"/>
    </w:p>
    <w:p w14:paraId="4C0BFABA">
      <w:pPr>
        <w:spacing w:line="360" w:lineRule="auto"/>
        <w:ind w:firstLine="420"/>
        <w:rPr>
          <w:rFonts w:hint="default" w:ascii="宋体" w:hAnsi="宋体" w:eastAsia="宋体" w:cs="宋体"/>
          <w:color w:val="auto"/>
          <w:szCs w:val="21"/>
          <w:highlight w:val="none"/>
          <w:lang w:val="en-US" w:eastAsia="zh-CN"/>
        </w:rPr>
      </w:pPr>
      <w:r>
        <w:rPr>
          <w:rFonts w:hint="eastAsia" w:ascii="宋体" w:hAnsi="宋体" w:cs="宋体"/>
          <w:color w:val="auto"/>
          <w:highlight w:val="none"/>
        </w:rPr>
        <w:t>1.项目编号：</w:t>
      </w:r>
      <w:r>
        <w:rPr>
          <w:rFonts w:hint="eastAsia" w:ascii="宋体" w:hAnsi="宋体" w:cs="宋体"/>
          <w:color w:val="auto"/>
          <w:highlight w:val="none"/>
          <w:u w:val="single"/>
          <w:lang w:val="en-US" w:eastAsia="zh-CN"/>
        </w:rPr>
        <w:t>JSZC-321012-JSZC-G2026-0008</w:t>
      </w:r>
    </w:p>
    <w:p w14:paraId="1140C021">
      <w:pPr>
        <w:spacing w:line="360" w:lineRule="auto"/>
        <w:ind w:firstLine="420"/>
        <w:rPr>
          <w:rFonts w:ascii="宋体" w:hAnsi="宋体" w:cs="宋体"/>
          <w:color w:val="auto"/>
          <w:highlight w:val="none"/>
        </w:rPr>
      </w:pPr>
      <w:r>
        <w:rPr>
          <w:rFonts w:hint="eastAsia" w:ascii="宋体" w:hAnsi="宋体" w:cs="宋体"/>
          <w:color w:val="auto"/>
          <w:highlight w:val="none"/>
        </w:rPr>
        <w:t>2.项目名称：</w:t>
      </w:r>
      <w:bookmarkEnd w:id="7"/>
      <w:r>
        <w:rPr>
          <w:rFonts w:hint="eastAsia" w:ascii="宋体" w:hAnsi="宋体" w:cs="宋体"/>
          <w:color w:val="auto"/>
          <w:highlight w:val="none"/>
          <w:lang w:val="en-US" w:eastAsia="zh-CN"/>
        </w:rPr>
        <w:t>扬州市江都区教育局城北教育集中区建设工程高中部分家具（第三批）采购项目</w:t>
      </w:r>
    </w:p>
    <w:p w14:paraId="4BB88942">
      <w:pPr>
        <w:spacing w:line="360" w:lineRule="auto"/>
        <w:ind w:firstLine="420"/>
        <w:rPr>
          <w:rFonts w:hint="eastAsia" w:ascii="宋体" w:hAnsi="宋体" w:cs="宋体"/>
          <w:color w:val="auto"/>
          <w:highlight w:val="none"/>
        </w:rPr>
      </w:pPr>
      <w:r>
        <w:rPr>
          <w:rFonts w:hint="eastAsia" w:ascii="宋体" w:hAnsi="宋体" w:cs="宋体"/>
          <w:color w:val="auto"/>
          <w:highlight w:val="none"/>
          <w:lang w:val="en-US" w:eastAsia="zh-CN"/>
        </w:rPr>
        <w:t>3.</w:t>
      </w:r>
      <w:r>
        <w:rPr>
          <w:rFonts w:hint="eastAsia" w:ascii="宋体" w:hAnsi="宋体" w:cs="宋体"/>
          <w:color w:val="auto"/>
          <w:highlight w:val="none"/>
        </w:rPr>
        <w:t xml:space="preserve">采购方式：□竞争性谈判 □竞争性磋商 </w:t>
      </w:r>
      <w:r>
        <w:rPr>
          <w:rFonts w:hint="eastAsia" w:ascii="宋体" w:hAnsi="宋体" w:cs="宋体"/>
          <w:color w:val="auto"/>
          <w:highlight w:val="none"/>
          <w:lang w:eastAsia="zh-CN"/>
        </w:rPr>
        <w:t>□</w:t>
      </w:r>
      <w:r>
        <w:rPr>
          <w:rFonts w:hint="eastAsia" w:ascii="宋体" w:hAnsi="宋体" w:cs="宋体"/>
          <w:color w:val="auto"/>
          <w:highlight w:val="none"/>
        </w:rPr>
        <w:t>询价 ☑公开招标</w:t>
      </w:r>
    </w:p>
    <w:p w14:paraId="6B8601DE">
      <w:pPr>
        <w:spacing w:line="360" w:lineRule="auto"/>
        <w:ind w:firstLine="420"/>
        <w:rPr>
          <w:rFonts w:ascii="宋体" w:hAnsi="宋体" w:cs="宋体"/>
          <w:color w:val="auto"/>
          <w:highlight w:val="none"/>
        </w:rPr>
      </w:pPr>
      <w:r>
        <w:rPr>
          <w:rFonts w:hint="eastAsia" w:ascii="宋体" w:hAnsi="宋体" w:cs="宋体"/>
          <w:color w:val="auto"/>
          <w:highlight w:val="none"/>
          <w:lang w:val="en-US" w:eastAsia="zh-CN"/>
        </w:rPr>
        <w:t>4</w:t>
      </w:r>
      <w:r>
        <w:rPr>
          <w:rFonts w:hint="eastAsia" w:ascii="宋体" w:hAnsi="宋体" w:cs="宋体"/>
          <w:color w:val="auto"/>
          <w:highlight w:val="none"/>
        </w:rPr>
        <w:t>.预算金额：</w:t>
      </w:r>
      <w:r>
        <w:rPr>
          <w:rFonts w:hint="eastAsia" w:ascii="宋体" w:hAnsi="宋体" w:cs="宋体"/>
          <w:color w:val="auto"/>
          <w:highlight w:val="none"/>
          <w:lang w:val="en-US" w:eastAsia="zh-CN"/>
        </w:rPr>
        <w:t>118.73万元</w:t>
      </w:r>
    </w:p>
    <w:p w14:paraId="0A2D0635">
      <w:pPr>
        <w:spacing w:line="360" w:lineRule="auto"/>
        <w:ind w:firstLine="420"/>
        <w:rPr>
          <w:rFonts w:hint="default" w:ascii="宋体" w:hAnsi="宋体" w:eastAsia="宋体" w:cs="宋体"/>
          <w:i w:val="0"/>
          <w:iCs w:val="0"/>
          <w:caps w:val="0"/>
          <w:color w:val="auto"/>
          <w:spacing w:val="0"/>
          <w:sz w:val="21"/>
          <w:szCs w:val="21"/>
          <w:highlight w:val="none"/>
          <w:u w:val="none"/>
          <w:shd w:val="clear" w:color="auto" w:fill="FFFFFF"/>
          <w:lang w:val="en-US" w:eastAsia="zh-CN"/>
        </w:rPr>
      </w:pPr>
      <w:bookmarkStart w:id="8" w:name="_Toc35393622"/>
      <w:bookmarkStart w:id="9" w:name="_Toc35393791"/>
      <w:bookmarkStart w:id="10" w:name="_Toc28359080"/>
      <w:bookmarkStart w:id="11" w:name="_Toc38985264"/>
      <w:bookmarkStart w:id="12" w:name="_Toc28359003"/>
      <w:r>
        <w:rPr>
          <w:rFonts w:hint="eastAsia" w:ascii="宋体" w:hAnsi="宋体" w:eastAsia="宋体" w:cs="宋体"/>
          <w:color w:val="auto"/>
          <w:szCs w:val="21"/>
          <w:highlight w:val="none"/>
          <w:u w:val="none"/>
          <w:lang w:val="en-US" w:eastAsia="zh-CN"/>
        </w:rPr>
        <w:t>5.</w:t>
      </w:r>
      <w:r>
        <w:rPr>
          <w:rFonts w:hint="eastAsia" w:ascii="宋体" w:hAnsi="宋体" w:eastAsia="宋体" w:cs="宋体"/>
          <w:i w:val="0"/>
          <w:iCs w:val="0"/>
          <w:caps w:val="0"/>
          <w:color w:val="auto"/>
          <w:spacing w:val="0"/>
          <w:sz w:val="21"/>
          <w:szCs w:val="21"/>
          <w:highlight w:val="none"/>
          <w:u w:val="none"/>
          <w:shd w:val="clear" w:color="auto" w:fill="FFFFFF"/>
          <w:lang w:val="en-US" w:eastAsia="zh-CN"/>
        </w:rPr>
        <w:t>最高限价：</w:t>
      </w:r>
      <w:r>
        <w:rPr>
          <w:rFonts w:hint="eastAsia" w:ascii="宋体" w:hAnsi="宋体" w:cs="宋体"/>
          <w:i w:val="0"/>
          <w:iCs w:val="0"/>
          <w:caps w:val="0"/>
          <w:color w:val="auto"/>
          <w:spacing w:val="0"/>
          <w:sz w:val="21"/>
          <w:szCs w:val="21"/>
          <w:highlight w:val="none"/>
          <w:u w:val="none"/>
          <w:shd w:val="clear" w:color="auto" w:fill="FFFFFF"/>
          <w:lang w:val="en-US" w:eastAsia="zh-CN"/>
        </w:rPr>
        <w:t>118.73万元；</w:t>
      </w:r>
      <w:r>
        <w:rPr>
          <w:rFonts w:hint="eastAsia" w:ascii="宋体" w:hAnsi="宋体" w:cs="宋体"/>
          <w:i w:val="0"/>
          <w:iCs w:val="0"/>
          <w:caps w:val="0"/>
          <w:color w:val="auto"/>
          <w:spacing w:val="0"/>
          <w:sz w:val="21"/>
          <w:szCs w:val="21"/>
          <w:highlight w:val="none"/>
          <w:u w:val="single"/>
          <w:shd w:val="clear" w:color="auto" w:fill="FFFFFF"/>
          <w:lang w:val="en-US" w:eastAsia="zh-CN"/>
        </w:rPr>
        <w:t>包1（边柜、办公桌）最高限价：48.05万元，包2（椅子、柜子）最高限45.14万元，包3（学生课桌椅）最高限价：25.54万元。</w:t>
      </w:r>
    </w:p>
    <w:p w14:paraId="4876F3BE">
      <w:pPr>
        <w:spacing w:line="360" w:lineRule="auto"/>
        <w:ind w:firstLine="420"/>
        <w:rPr>
          <w:rFonts w:hint="eastAsia" w:ascii="宋体" w:hAnsi="宋体" w:cs="宋体"/>
          <w:color w:val="auto"/>
          <w:highlight w:val="none"/>
          <w:lang w:val="en-US" w:eastAsia="zh-CN"/>
        </w:rPr>
      </w:pPr>
      <w:r>
        <w:rPr>
          <w:rFonts w:hint="eastAsia" w:ascii="宋体" w:hAnsi="宋体" w:cs="宋体"/>
          <w:color w:val="auto"/>
          <w:highlight w:val="none"/>
          <w:lang w:val="en-US" w:eastAsia="zh-CN"/>
        </w:rPr>
        <w:t>6.采购需求：项目分为3个包，</w:t>
      </w:r>
      <w:r>
        <w:rPr>
          <w:rFonts w:hint="eastAsia" w:ascii="宋体" w:hAnsi="宋体" w:cs="宋体"/>
          <w:i w:val="0"/>
          <w:iCs w:val="0"/>
          <w:caps w:val="0"/>
          <w:color w:val="auto"/>
          <w:spacing w:val="0"/>
          <w:sz w:val="21"/>
          <w:szCs w:val="21"/>
          <w:highlight w:val="none"/>
          <w:u w:val="none"/>
          <w:shd w:val="clear" w:color="auto" w:fill="FFFFFF"/>
          <w:lang w:val="en-US" w:eastAsia="zh-CN"/>
        </w:rPr>
        <w:t>包1：边柜、办公桌采购，包2：椅子、柜子采购，包3：学生课桌椅采购。</w:t>
      </w:r>
      <w:r>
        <w:rPr>
          <w:rFonts w:hint="eastAsia" w:ascii="宋体" w:hAnsi="宋体" w:cs="宋体"/>
          <w:color w:val="auto"/>
          <w:highlight w:val="none"/>
          <w:lang w:val="en-US" w:eastAsia="zh-CN"/>
        </w:rPr>
        <w:t>供应商可参加三个个包的投标，但只可按开标顺序中其中一个包，若包1中标，则不参与包2、包3评审，若包2中标，则不参与包3评审，详见采购文件第四章</w:t>
      </w:r>
    </w:p>
    <w:p w14:paraId="2B46A577">
      <w:pPr>
        <w:spacing w:line="360" w:lineRule="auto"/>
        <w:ind w:firstLine="420"/>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.合同履行期限：</w:t>
      </w:r>
      <w:r>
        <w:rPr>
          <w:rFonts w:hint="eastAsia" w:ascii="宋体" w:hAnsi="宋体" w:cs="宋体"/>
          <w:color w:val="auto"/>
          <w:sz w:val="21"/>
          <w:szCs w:val="21"/>
          <w:highlight w:val="none"/>
          <w:lang w:eastAsia="zh-CN"/>
        </w:rPr>
        <w:t>合同签订之日起20日</w:t>
      </w:r>
      <w:r>
        <w:rPr>
          <w:rFonts w:hint="eastAsia" w:ascii="宋体" w:hAnsi="宋体" w:eastAsia="宋体" w:cs="宋体"/>
          <w:color w:val="auto"/>
          <w:sz w:val="21"/>
          <w:szCs w:val="21"/>
          <w:highlight w:val="none"/>
        </w:rPr>
        <w:t>（除不可抗力、非中标人原因）全部供货及安装完毕，并完成全部验收、文档整理工作。若因供应商原因导致货物不能按要求安装使用，采购人有权追究其责任。供应商可先到项目地点充分了解地理位置、情况、道路、储存空间、装卸限制及施工配合等任何其他足以影响投标报价的情况，任何因忽视或误解项目现场而导致的索赔或工期延长申请将不被批准。</w:t>
      </w:r>
    </w:p>
    <w:p w14:paraId="67FD8AEF">
      <w:pPr>
        <w:spacing w:line="360" w:lineRule="auto"/>
        <w:ind w:firstLine="42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8</w:t>
      </w:r>
      <w:r>
        <w:rPr>
          <w:rFonts w:hint="eastAsia" w:ascii="宋体" w:hAnsi="宋体" w:eastAsia="宋体" w:cs="宋体"/>
          <w:color w:val="auto"/>
          <w:highlight w:val="none"/>
        </w:rPr>
        <w:t>.本项目（是/否）接受联合体投标：</w:t>
      </w:r>
      <w:r>
        <w:rPr>
          <w:rFonts w:hint="eastAsia" w:ascii="宋体" w:hAnsi="宋体" w:eastAsia="宋体" w:cs="宋体"/>
          <w:color w:val="auto"/>
          <w:highlight w:val="none"/>
          <w:lang w:val="en-US" w:eastAsia="zh-CN"/>
        </w:rPr>
        <w:t>否</w:t>
      </w:r>
    </w:p>
    <w:p w14:paraId="4BE1D6F0">
      <w:pPr>
        <w:spacing w:line="360" w:lineRule="auto"/>
        <w:ind w:firstLine="420"/>
        <w:rPr>
          <w:rFonts w:hint="default" w:eastAsia="宋体"/>
          <w:color w:val="auto"/>
          <w:highlight w:val="none"/>
          <w:lang w:val="en-US" w:eastAsia="zh-CN"/>
        </w:rPr>
      </w:pPr>
      <w:r>
        <w:rPr>
          <w:rFonts w:hint="eastAsia" w:ascii="宋体" w:hAnsi="宋体" w:cs="宋体"/>
          <w:color w:val="auto"/>
          <w:highlight w:val="none"/>
          <w:lang w:val="en-US" w:eastAsia="zh-CN"/>
        </w:rPr>
        <w:t>9</w:t>
      </w:r>
      <w:r>
        <w:rPr>
          <w:rFonts w:hint="eastAsia" w:ascii="宋体" w:hAnsi="宋体" w:cs="宋体"/>
          <w:color w:val="auto"/>
          <w:highlight w:val="none"/>
        </w:rPr>
        <w:t>.</w:t>
      </w:r>
      <w:r>
        <w:rPr>
          <w:rFonts w:hint="eastAsia" w:ascii="宋体" w:hAnsi="宋体" w:eastAsia="宋体" w:cs="宋体"/>
          <w:color w:val="auto"/>
          <w:highlight w:val="none"/>
        </w:rPr>
        <w:t>本项目（是/否）接受</w:t>
      </w:r>
      <w:r>
        <w:rPr>
          <w:rFonts w:hint="eastAsia" w:ascii="宋体" w:hAnsi="宋体" w:cs="宋体"/>
          <w:color w:val="auto"/>
          <w:highlight w:val="none"/>
        </w:rPr>
        <w:t>进口产品</w:t>
      </w:r>
      <w:r>
        <w:rPr>
          <w:rFonts w:hint="eastAsia" w:ascii="宋体" w:hAnsi="宋体" w:eastAsia="宋体" w:cs="宋体"/>
          <w:color w:val="auto"/>
          <w:highlight w:val="none"/>
        </w:rPr>
        <w:t>投标</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否</w:t>
      </w:r>
    </w:p>
    <w:p w14:paraId="57AF66ED">
      <w:pPr>
        <w:tabs>
          <w:tab w:val="left" w:pos="266"/>
        </w:tabs>
        <w:spacing w:line="360" w:lineRule="auto"/>
        <w:rPr>
          <w:rFonts w:ascii="宋体" w:hAnsi="宋体" w:cs="宋体"/>
          <w:b/>
          <w:bCs/>
          <w:color w:val="auto"/>
          <w:highlight w:val="none"/>
        </w:rPr>
      </w:pPr>
      <w:r>
        <w:rPr>
          <w:rFonts w:hint="eastAsia" w:ascii="宋体" w:hAnsi="宋体" w:cs="宋体"/>
          <w:b/>
          <w:bCs/>
          <w:color w:val="auto"/>
          <w:highlight w:val="none"/>
        </w:rPr>
        <w:t>二、申请人的资格要求：</w:t>
      </w:r>
      <w:bookmarkEnd w:id="8"/>
      <w:bookmarkEnd w:id="9"/>
      <w:bookmarkEnd w:id="10"/>
      <w:bookmarkEnd w:id="11"/>
      <w:bookmarkEnd w:id="12"/>
    </w:p>
    <w:p w14:paraId="69852899">
      <w:pPr>
        <w:spacing w:line="360" w:lineRule="auto"/>
        <w:ind w:firstLine="420"/>
        <w:rPr>
          <w:rFonts w:ascii="宋体" w:hAnsi="宋体" w:cs="宋体"/>
          <w:color w:val="auto"/>
          <w:szCs w:val="21"/>
          <w:highlight w:val="none"/>
        </w:rPr>
      </w:pPr>
      <w:bookmarkStart w:id="13" w:name="_Toc28359004"/>
      <w:bookmarkStart w:id="14" w:name="_Toc35393623"/>
      <w:bookmarkStart w:id="15" w:name="_Toc38985265"/>
      <w:bookmarkStart w:id="16" w:name="_Toc28359081"/>
      <w:bookmarkStart w:id="17" w:name="_Toc35393792"/>
      <w:r>
        <w:rPr>
          <w:rFonts w:hint="eastAsia" w:ascii="宋体" w:hAnsi="宋体" w:cs="宋体"/>
          <w:color w:val="auto"/>
          <w:szCs w:val="21"/>
          <w:highlight w:val="none"/>
        </w:rPr>
        <w:t>1.满足《中华人民共和国政府采购法》第二十二条规定，并提供下列材料：</w:t>
      </w:r>
    </w:p>
    <w:p w14:paraId="1AD762E7">
      <w:pPr>
        <w:pageBreakBefore w:val="0"/>
        <w:spacing w:line="360" w:lineRule="auto"/>
        <w:ind w:firstLine="420"/>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1.1法人或者其他组织的营业执照等证明文件，自然人的身份证明</w:t>
      </w:r>
      <w:r>
        <w:rPr>
          <w:rFonts w:hint="eastAsia" w:ascii="宋体" w:hAnsi="宋体" w:eastAsia="宋体" w:cs="宋体"/>
          <w:b/>
          <w:bCs/>
          <w:i/>
          <w:iCs/>
          <w:color w:val="auto"/>
          <w:sz w:val="21"/>
          <w:szCs w:val="21"/>
          <w:highlight w:val="none"/>
          <w:u w:val="single"/>
        </w:rPr>
        <w:t>（身份证为正、反面）</w:t>
      </w:r>
    </w:p>
    <w:p w14:paraId="682B1B1A">
      <w:pPr>
        <w:pageBreakBefore w:val="0"/>
        <w:spacing w:line="360" w:lineRule="auto"/>
        <w:ind w:firstLine="420"/>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1.2 依法缴纳职工社会保障资金的证明材料</w:t>
      </w:r>
      <w:r>
        <w:rPr>
          <w:rFonts w:hint="eastAsia" w:ascii="宋体" w:hAnsi="宋体" w:eastAsia="宋体" w:cs="宋体"/>
          <w:b/>
          <w:bCs/>
          <w:i/>
          <w:iCs/>
          <w:color w:val="auto"/>
          <w:sz w:val="21"/>
          <w:szCs w:val="21"/>
          <w:highlight w:val="none"/>
          <w:u w:val="single"/>
        </w:rPr>
        <w:t>（可提供“基本资格条件承诺函”）</w:t>
      </w:r>
    </w:p>
    <w:p w14:paraId="79DD49F2">
      <w:pPr>
        <w:pageBreakBefore w:val="0"/>
        <w:spacing w:line="360" w:lineRule="auto"/>
        <w:ind w:firstLine="420"/>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1.3 依法纳税的缴款凭证</w:t>
      </w:r>
      <w:r>
        <w:rPr>
          <w:rFonts w:hint="eastAsia" w:ascii="宋体" w:hAnsi="宋体" w:eastAsia="宋体" w:cs="宋体"/>
          <w:b/>
          <w:bCs/>
          <w:i/>
          <w:iCs/>
          <w:color w:val="auto"/>
          <w:sz w:val="21"/>
          <w:szCs w:val="21"/>
          <w:highlight w:val="none"/>
          <w:u w:val="single"/>
        </w:rPr>
        <w:t>（可提供“基本资格条件承诺函”）</w:t>
      </w:r>
    </w:p>
    <w:p w14:paraId="310E3BD9">
      <w:pPr>
        <w:pageBreakBefore w:val="0"/>
        <w:spacing w:line="360" w:lineRule="auto"/>
        <w:ind w:firstLine="420"/>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1.4 具有良好的商业信誉和健全的财务会计制度</w:t>
      </w:r>
      <w:r>
        <w:rPr>
          <w:rFonts w:hint="eastAsia" w:ascii="宋体" w:hAnsi="宋体" w:eastAsia="宋体" w:cs="宋体"/>
          <w:b/>
          <w:bCs/>
          <w:i/>
          <w:iCs/>
          <w:color w:val="auto"/>
          <w:sz w:val="21"/>
          <w:szCs w:val="21"/>
          <w:highlight w:val="none"/>
          <w:u w:val="single"/>
        </w:rPr>
        <w:t>（可提供“基本资格条件承诺函”）</w:t>
      </w:r>
    </w:p>
    <w:p w14:paraId="0C1D083C">
      <w:pPr>
        <w:pageBreakBefore w:val="0"/>
        <w:spacing w:line="360" w:lineRule="auto"/>
        <w:ind w:firstLine="420"/>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1.5  具备履行合同所必需的设备和专业技术能力</w:t>
      </w:r>
      <w:r>
        <w:rPr>
          <w:rFonts w:hint="eastAsia" w:ascii="宋体" w:hAnsi="宋体" w:eastAsia="宋体" w:cs="宋体"/>
          <w:b/>
          <w:bCs/>
          <w:i/>
          <w:iCs/>
          <w:color w:val="auto"/>
          <w:sz w:val="21"/>
          <w:szCs w:val="21"/>
          <w:highlight w:val="none"/>
          <w:u w:val="single"/>
        </w:rPr>
        <w:t>（可提供“基本资格条件承诺函”）</w:t>
      </w:r>
    </w:p>
    <w:p w14:paraId="78B98FD6">
      <w:pPr>
        <w:pageBreakBefore w:val="0"/>
        <w:spacing w:line="360" w:lineRule="auto"/>
        <w:ind w:firstLine="420"/>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1.6 参加本次政府采购活动前3年内在经营活动中没有重大违法记录的书面声明</w:t>
      </w:r>
      <w:r>
        <w:rPr>
          <w:rFonts w:hint="eastAsia" w:ascii="宋体" w:hAnsi="宋体" w:eastAsia="宋体" w:cs="宋体"/>
          <w:b/>
          <w:bCs/>
          <w:i/>
          <w:iCs/>
          <w:color w:val="auto"/>
          <w:sz w:val="21"/>
          <w:szCs w:val="21"/>
          <w:highlight w:val="none"/>
          <w:u w:val="single"/>
        </w:rPr>
        <w:t>（可提供“基本资格条件承诺函”）</w:t>
      </w:r>
    </w:p>
    <w:p w14:paraId="36BBED73">
      <w:pPr>
        <w:keepNext w:val="0"/>
        <w:keepLines w:val="0"/>
        <w:pageBreakBefore w:val="0"/>
        <w:widowControl w:val="0"/>
        <w:spacing w:line="360" w:lineRule="auto"/>
        <w:ind w:firstLine="420"/>
        <w:jc w:val="left"/>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1.7 未被“信用中国”网站（www.creditchina.gov.cn）、“中国政府采购网"</w:t>
      </w:r>
      <w:r>
        <w:rPr>
          <w:rFonts w:hint="eastAsia" w:ascii="宋体" w:hAnsi="宋体" w:cs="宋体"/>
          <w:i/>
          <w:iCs/>
          <w:color w:val="auto"/>
          <w:sz w:val="21"/>
          <w:szCs w:val="21"/>
          <w:highlight w:val="none"/>
          <w:u w:val="single"/>
          <w:lang w:eastAsia="zh-CN"/>
        </w:rPr>
        <w:t>（</w:t>
      </w:r>
      <w:r>
        <w:rPr>
          <w:rFonts w:hint="eastAsia" w:ascii="宋体" w:hAnsi="宋体" w:eastAsia="宋体" w:cs="宋体"/>
          <w:i/>
          <w:iCs/>
          <w:color w:val="auto"/>
          <w:sz w:val="21"/>
          <w:szCs w:val="21"/>
          <w:highlight w:val="none"/>
          <w:u w:val="single"/>
        </w:rPr>
        <w:t>www.ccgp.gov.cn）列入失信被执行人、重大税收违法案件当事人名单、政府采购严重违法失信行为记录名单</w:t>
      </w:r>
      <w:r>
        <w:rPr>
          <w:rFonts w:hint="eastAsia" w:ascii="宋体" w:hAnsi="宋体" w:eastAsia="宋体" w:cs="宋体"/>
          <w:b/>
          <w:bCs/>
          <w:i/>
          <w:iCs/>
          <w:color w:val="auto"/>
          <w:sz w:val="21"/>
          <w:szCs w:val="21"/>
          <w:highlight w:val="none"/>
          <w:u w:val="single"/>
        </w:rPr>
        <w:t>（可提供“基本资格条件承诺函”）</w:t>
      </w:r>
    </w:p>
    <w:p w14:paraId="48D77A7E">
      <w:pPr>
        <w:pageBreakBefore w:val="0"/>
        <w:spacing w:line="360" w:lineRule="auto"/>
        <w:ind w:firstLine="420"/>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1.8供应商信用承诺函</w:t>
      </w:r>
    </w:p>
    <w:p w14:paraId="40E6755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宋体"/>
          <w:color w:val="auto"/>
          <w:sz w:val="24"/>
          <w:szCs w:val="24"/>
          <w:highlight w:val="none"/>
        </w:rPr>
      </w:pPr>
      <w:r>
        <w:rPr>
          <w:rFonts w:hint="eastAsia" w:ascii="宋体" w:hAnsi="宋体" w:cs="宋体"/>
          <w:color w:val="auto"/>
          <w:szCs w:val="21"/>
          <w:highlight w:val="none"/>
        </w:rPr>
        <w:t>2.落实政府采购政策需满足的资格要求：</w:t>
      </w:r>
      <w:r>
        <w:rPr>
          <w:rFonts w:hint="eastAsia" w:ascii="宋体" w:hAnsi="宋体" w:cs="宋体"/>
          <w:i/>
          <w:iCs/>
          <w:color w:val="auto"/>
          <w:szCs w:val="21"/>
          <w:highlight w:val="none"/>
          <w:u w:val="single"/>
          <w:lang w:val="en-US" w:eastAsia="zh-CN"/>
        </w:rPr>
        <w:t>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p>
    <w:p w14:paraId="3EDA7EC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宋体" w:hAnsi="宋体" w:eastAsia="宋体" w:cs="宋体"/>
          <w:i/>
          <w:iCs/>
          <w:caps w:val="0"/>
          <w:color w:val="auto"/>
          <w:spacing w:val="0"/>
          <w:sz w:val="21"/>
          <w:szCs w:val="21"/>
          <w:highlight w:val="none"/>
          <w:u w:val="single"/>
          <w:shd w:val="clear" w:color="auto" w:fill="FFFFFF"/>
          <w:lang w:val="en-US" w:eastAsia="zh-CN"/>
        </w:rPr>
      </w:pPr>
      <w:r>
        <w:rPr>
          <w:rFonts w:hint="eastAsia" w:ascii="宋体" w:hAnsi="宋体" w:cs="宋体"/>
          <w:color w:val="auto"/>
          <w:szCs w:val="21"/>
          <w:highlight w:val="none"/>
        </w:rPr>
        <w:t>3.本项目的特定资格要求：</w:t>
      </w:r>
      <w:r>
        <w:rPr>
          <w:rFonts w:hint="eastAsia" w:ascii="宋体" w:hAnsi="宋体" w:cs="宋体"/>
          <w:i/>
          <w:iCs/>
          <w:caps w:val="0"/>
          <w:color w:val="auto"/>
          <w:spacing w:val="0"/>
          <w:sz w:val="21"/>
          <w:szCs w:val="21"/>
          <w:highlight w:val="none"/>
          <w:u w:val="single"/>
          <w:shd w:val="clear" w:color="auto" w:fill="FFFFFF"/>
          <w:lang w:val="en-US" w:eastAsia="zh-CN"/>
        </w:rPr>
        <w:t>无</w:t>
      </w:r>
    </w:p>
    <w:p w14:paraId="585C0450">
      <w:pPr>
        <w:tabs>
          <w:tab w:val="left" w:pos="266"/>
        </w:tabs>
        <w:spacing w:line="360" w:lineRule="auto"/>
        <w:rPr>
          <w:rFonts w:ascii="宋体" w:hAnsi="宋体" w:cs="宋体"/>
          <w:b/>
          <w:bCs/>
          <w:color w:val="auto"/>
          <w:highlight w:val="none"/>
        </w:rPr>
      </w:pPr>
      <w:r>
        <w:rPr>
          <w:rFonts w:hint="eastAsia" w:ascii="宋体" w:hAnsi="宋体" w:cs="宋体"/>
          <w:b/>
          <w:bCs/>
          <w:color w:val="auto"/>
          <w:highlight w:val="none"/>
        </w:rPr>
        <w:t>三、获取招标文件</w:t>
      </w:r>
      <w:bookmarkEnd w:id="13"/>
      <w:bookmarkEnd w:id="14"/>
      <w:bookmarkEnd w:id="15"/>
      <w:bookmarkEnd w:id="16"/>
      <w:bookmarkEnd w:id="17"/>
    </w:p>
    <w:p w14:paraId="1C0028DC">
      <w:pPr>
        <w:pStyle w:val="20"/>
        <w:keepNext w:val="0"/>
        <w:keepLines w:val="0"/>
        <w:pageBreakBefore w:val="0"/>
        <w:widowControl w:val="0"/>
        <w:spacing w:line="360" w:lineRule="auto"/>
        <w:ind w:firstLine="420"/>
        <w:rPr>
          <w:rFonts w:hint="eastAsia" w:ascii="宋体" w:hAnsi="宋体" w:eastAsia="宋体" w:cs="宋体"/>
          <w:i w:val="0"/>
          <w:iCs w:val="0"/>
          <w:caps w:val="0"/>
          <w:color w:val="auto"/>
          <w:spacing w:val="0"/>
          <w:sz w:val="21"/>
          <w:szCs w:val="21"/>
          <w:highlight w:val="none"/>
          <w:shd w:val="clear" w:color="auto" w:fill="FFFFFF"/>
          <w:lang w:val="en-US" w:eastAsia="zh-CN"/>
        </w:rPr>
      </w:pPr>
      <w:bookmarkStart w:id="18" w:name="_Toc28359082"/>
      <w:bookmarkStart w:id="19" w:name="_Toc28359005"/>
      <w:bookmarkStart w:id="20" w:name="_Toc38985266"/>
      <w:bookmarkStart w:id="21" w:name="_Toc35393624"/>
      <w:bookmarkStart w:id="22" w:name="_Toc35393793"/>
      <w:r>
        <w:rPr>
          <w:rFonts w:hint="eastAsia" w:ascii="宋体" w:hAnsi="宋体" w:eastAsia="宋体" w:cs="宋体"/>
          <w:i w:val="0"/>
          <w:iCs w:val="0"/>
          <w:caps w:val="0"/>
          <w:color w:val="auto"/>
          <w:spacing w:val="0"/>
          <w:sz w:val="21"/>
          <w:szCs w:val="21"/>
          <w:highlight w:val="none"/>
          <w:shd w:val="clear" w:color="auto" w:fill="FFFFFF"/>
          <w:lang w:val="en-US" w:eastAsia="zh-CN"/>
        </w:rPr>
        <w:t>1.时间：自招标文件公告发布之日起5个工作日。5个工作日后仍可下载招标文件，但不作为供应商权益受到损害的证明材料和依据</w:t>
      </w:r>
    </w:p>
    <w:p w14:paraId="4A8EE24B">
      <w:pPr>
        <w:pStyle w:val="20"/>
        <w:keepNext w:val="0"/>
        <w:keepLines w:val="0"/>
        <w:pageBreakBefore w:val="0"/>
        <w:widowControl w:val="0"/>
        <w:spacing w:line="360" w:lineRule="auto"/>
        <w:ind w:firstLine="42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2.地点：</w:t>
      </w:r>
      <w:r>
        <w:rPr>
          <w:rFonts w:hint="eastAsia" w:ascii="宋体" w:hAnsi="宋体" w:eastAsia="宋体" w:cs="宋体"/>
          <w:i w:val="0"/>
          <w:iCs w:val="0"/>
          <w:caps w:val="0"/>
          <w:color w:val="auto"/>
          <w:spacing w:val="0"/>
          <w:sz w:val="21"/>
          <w:szCs w:val="21"/>
          <w:highlight w:val="none"/>
          <w:shd w:val="clear" w:color="auto" w:fill="FFFFFF"/>
        </w:rPr>
        <w:t>“扬州市政府采购网”</w:t>
      </w:r>
      <w:r>
        <w:rPr>
          <w:rFonts w:hint="eastAsia" w:ascii="宋体" w:hAnsi="宋体" w:eastAsia="宋体" w:cs="宋体"/>
          <w:i w:val="0"/>
          <w:iCs w:val="0"/>
          <w:caps w:val="0"/>
          <w:color w:val="auto"/>
          <w:spacing w:val="0"/>
          <w:sz w:val="21"/>
          <w:szCs w:val="21"/>
          <w:highlight w:val="none"/>
          <w:shd w:val="clear" w:color="auto" w:fill="FFFFFF"/>
          <w:lang w:eastAsia="zh-CN"/>
        </w:rPr>
        <w:t>、</w:t>
      </w:r>
      <w:r>
        <w:rPr>
          <w:rFonts w:hint="eastAsia" w:ascii="宋体" w:hAnsi="宋体" w:eastAsia="宋体" w:cs="宋体"/>
          <w:i w:val="0"/>
          <w:iCs w:val="0"/>
          <w:caps w:val="0"/>
          <w:color w:val="auto"/>
          <w:spacing w:val="0"/>
          <w:sz w:val="21"/>
          <w:szCs w:val="21"/>
          <w:highlight w:val="none"/>
          <w:shd w:val="clear" w:color="auto" w:fill="FFFFFF"/>
        </w:rPr>
        <w:t>“江苏省政府采购网”</w:t>
      </w:r>
      <w:r>
        <w:rPr>
          <w:rFonts w:hint="eastAsia" w:ascii="宋体" w:hAnsi="宋体" w:eastAsia="宋体" w:cs="宋体"/>
          <w:i w:val="0"/>
          <w:iCs w:val="0"/>
          <w:caps w:val="0"/>
          <w:color w:val="auto"/>
          <w:spacing w:val="0"/>
          <w:sz w:val="21"/>
          <w:szCs w:val="21"/>
          <w:highlight w:val="none"/>
          <w:shd w:val="clear" w:color="auto" w:fill="FFFFFF"/>
          <w:lang w:eastAsia="zh-CN"/>
        </w:rPr>
        <w:t>、</w:t>
      </w:r>
      <w:r>
        <w:rPr>
          <w:rFonts w:hint="eastAsia" w:ascii="宋体" w:hAnsi="宋体" w:eastAsia="宋体" w:cs="宋体"/>
          <w:i w:val="0"/>
          <w:iCs w:val="0"/>
          <w:caps w:val="0"/>
          <w:color w:val="auto"/>
          <w:spacing w:val="0"/>
          <w:sz w:val="21"/>
          <w:szCs w:val="21"/>
          <w:highlight w:val="none"/>
          <w:shd w:val="clear" w:color="auto" w:fill="FFFFFF"/>
        </w:rPr>
        <w:t>“中国政府采购网”</w:t>
      </w:r>
      <w:r>
        <w:rPr>
          <w:rFonts w:hint="eastAsia" w:ascii="宋体" w:hAnsi="宋体" w:eastAsia="宋体" w:cs="宋体"/>
          <w:i w:val="0"/>
          <w:iCs w:val="0"/>
          <w:caps w:val="0"/>
          <w:color w:val="auto"/>
          <w:spacing w:val="0"/>
          <w:sz w:val="21"/>
          <w:szCs w:val="21"/>
          <w:highlight w:val="none"/>
          <w:shd w:val="clear" w:color="auto" w:fill="FFFFFF"/>
          <w:lang w:val="en-US" w:eastAsia="zh-CN"/>
        </w:rPr>
        <w:t>和</w:t>
      </w:r>
      <w:r>
        <w:rPr>
          <w:rFonts w:hint="eastAsia" w:ascii="宋体" w:hAnsi="宋体" w:eastAsia="宋体" w:cs="宋体"/>
          <w:i w:val="0"/>
          <w:iCs w:val="0"/>
          <w:caps w:val="0"/>
          <w:color w:val="auto"/>
          <w:spacing w:val="0"/>
          <w:sz w:val="21"/>
          <w:szCs w:val="21"/>
          <w:highlight w:val="none"/>
          <w:shd w:val="clear" w:color="auto" w:fill="FFFFFF"/>
          <w:lang w:eastAsia="zh-CN"/>
        </w:rPr>
        <w:t>“苏采云”系统</w:t>
      </w:r>
    </w:p>
    <w:p w14:paraId="5C5F446D">
      <w:pPr>
        <w:pStyle w:val="20"/>
        <w:keepNext w:val="0"/>
        <w:keepLines w:val="0"/>
        <w:pageBreakBefore w:val="0"/>
        <w:widowControl w:val="0"/>
        <w:spacing w:line="360" w:lineRule="auto"/>
        <w:ind w:firstLine="420"/>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lang w:val="en-US" w:eastAsia="zh-CN"/>
        </w:rPr>
        <w:t>3</w:t>
      </w:r>
      <w:r>
        <w:rPr>
          <w:rFonts w:hint="eastAsia" w:ascii="宋体" w:hAnsi="宋体" w:eastAsia="宋体" w:cs="宋体"/>
          <w:i w:val="0"/>
          <w:iCs w:val="0"/>
          <w:caps w:val="0"/>
          <w:color w:val="auto"/>
          <w:spacing w:val="0"/>
          <w:sz w:val="21"/>
          <w:szCs w:val="21"/>
          <w:highlight w:val="none"/>
          <w:shd w:val="clear" w:color="auto" w:fill="FFFFFF"/>
        </w:rPr>
        <w:t>.方式：</w:t>
      </w:r>
      <w:r>
        <w:rPr>
          <w:rFonts w:hint="eastAsia" w:ascii="宋体" w:hAnsi="宋体" w:eastAsia="宋体" w:cs="宋体"/>
          <w:i w:val="0"/>
          <w:iCs w:val="0"/>
          <w:caps w:val="0"/>
          <w:color w:val="auto"/>
          <w:spacing w:val="0"/>
          <w:sz w:val="21"/>
          <w:szCs w:val="21"/>
          <w:highlight w:val="none"/>
          <w:shd w:val="clear" w:color="auto" w:fill="FFFFFF"/>
          <w:lang w:eastAsia="zh-CN"/>
        </w:rPr>
        <w:t>网上注册登记</w:t>
      </w:r>
    </w:p>
    <w:p w14:paraId="772F8660">
      <w:pPr>
        <w:pStyle w:val="20"/>
        <w:keepNext w:val="0"/>
        <w:keepLines w:val="0"/>
        <w:pageBreakBefore w:val="0"/>
        <w:widowControl w:val="0"/>
        <w:spacing w:line="360" w:lineRule="auto"/>
        <w:ind w:firstLine="420"/>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4.</w:t>
      </w:r>
      <w:r>
        <w:rPr>
          <w:rFonts w:hint="eastAsia" w:ascii="宋体" w:hAnsi="宋体" w:eastAsia="宋体" w:cs="宋体"/>
          <w:i w:val="0"/>
          <w:iCs w:val="0"/>
          <w:caps w:val="0"/>
          <w:color w:val="auto"/>
          <w:spacing w:val="0"/>
          <w:sz w:val="21"/>
          <w:szCs w:val="21"/>
          <w:highlight w:val="none"/>
          <w:shd w:val="clear" w:color="auto" w:fill="FFFFFF"/>
        </w:rPr>
        <w:t>售价：0.00元</w:t>
      </w:r>
    </w:p>
    <w:p w14:paraId="073551DB">
      <w:pPr>
        <w:tabs>
          <w:tab w:val="left" w:pos="266"/>
        </w:tabs>
        <w:spacing w:line="360" w:lineRule="auto"/>
        <w:rPr>
          <w:rFonts w:ascii="宋体" w:hAnsi="宋体" w:cs="宋体"/>
          <w:b/>
          <w:bCs/>
          <w:color w:val="auto"/>
          <w:highlight w:val="none"/>
        </w:rPr>
      </w:pPr>
      <w:r>
        <w:rPr>
          <w:rFonts w:hint="eastAsia" w:ascii="宋体" w:hAnsi="宋体" w:cs="宋体"/>
          <w:b/>
          <w:bCs/>
          <w:color w:val="auto"/>
          <w:highlight w:val="none"/>
        </w:rPr>
        <w:t>四、提交投标文件</w:t>
      </w:r>
      <w:bookmarkEnd w:id="18"/>
      <w:bookmarkEnd w:id="19"/>
      <w:r>
        <w:rPr>
          <w:rFonts w:hint="eastAsia" w:ascii="宋体" w:hAnsi="宋体" w:cs="宋体"/>
          <w:b/>
          <w:bCs/>
          <w:color w:val="auto"/>
          <w:highlight w:val="none"/>
        </w:rPr>
        <w:t>截止时间、开标时间和地点</w:t>
      </w:r>
      <w:bookmarkEnd w:id="20"/>
      <w:bookmarkEnd w:id="21"/>
      <w:bookmarkEnd w:id="22"/>
    </w:p>
    <w:p w14:paraId="20B2F72D">
      <w:pPr>
        <w:spacing w:line="360" w:lineRule="auto"/>
        <w:ind w:firstLine="420"/>
        <w:rPr>
          <w:rFonts w:ascii="宋体" w:hAnsi="宋体" w:cs="宋体"/>
          <w:bCs/>
          <w:color w:val="auto"/>
          <w:szCs w:val="21"/>
          <w:highlight w:val="none"/>
          <w:u w:val="single"/>
        </w:rPr>
      </w:pPr>
      <w:r>
        <w:rPr>
          <w:rFonts w:hint="eastAsia" w:ascii="宋体" w:hAnsi="宋体" w:cs="宋体"/>
          <w:color w:val="auto"/>
          <w:highlight w:val="none"/>
        </w:rPr>
        <w:t>1.时间：</w:t>
      </w:r>
      <w:r>
        <w:rPr>
          <w:rFonts w:hint="eastAsia" w:ascii="宋体" w:hAnsi="宋体" w:cs="宋体"/>
          <w:bCs/>
          <w:color w:val="auto"/>
          <w:highlight w:val="none"/>
          <w:u w:val="single"/>
          <w:lang w:val="en-US" w:eastAsia="zh-CN"/>
        </w:rPr>
        <w:t>2026年3月26日</w:t>
      </w:r>
      <w:r>
        <w:rPr>
          <w:rFonts w:hint="eastAsia" w:ascii="宋体" w:hAnsi="宋体" w:cs="宋体"/>
          <w:bCs/>
          <w:color w:val="auto"/>
          <w:szCs w:val="21"/>
          <w:highlight w:val="none"/>
          <w:u w:val="single"/>
          <w:lang w:val="en-US" w:eastAsia="zh-CN"/>
        </w:rPr>
        <w:t>9</w:t>
      </w:r>
      <w:r>
        <w:rPr>
          <w:rFonts w:ascii="宋体" w:hAnsi="宋体" w:cs="宋体"/>
          <w:bCs/>
          <w:color w:val="auto"/>
          <w:szCs w:val="21"/>
          <w:highlight w:val="none"/>
          <w:u w:val="single"/>
        </w:rPr>
        <w:t>点</w:t>
      </w:r>
      <w:r>
        <w:rPr>
          <w:rFonts w:hint="eastAsia" w:ascii="宋体" w:hAnsi="宋体" w:cs="宋体"/>
          <w:bCs/>
          <w:color w:val="auto"/>
          <w:szCs w:val="21"/>
          <w:highlight w:val="none"/>
          <w:u w:val="single"/>
          <w:lang w:val="en-US" w:eastAsia="zh-CN"/>
        </w:rPr>
        <w:t>30</w:t>
      </w:r>
      <w:r>
        <w:rPr>
          <w:rFonts w:ascii="宋体" w:hAnsi="宋体" w:cs="宋体"/>
          <w:bCs/>
          <w:color w:val="auto"/>
          <w:szCs w:val="21"/>
          <w:highlight w:val="none"/>
          <w:u w:val="single"/>
        </w:rPr>
        <w:t>分</w:t>
      </w:r>
      <w:r>
        <w:rPr>
          <w:rFonts w:hint="eastAsia" w:ascii="宋体" w:hAnsi="宋体" w:cs="宋体"/>
          <w:bCs/>
          <w:color w:val="auto"/>
          <w:highlight w:val="none"/>
        </w:rPr>
        <w:t>（北京时间）</w:t>
      </w:r>
    </w:p>
    <w:p w14:paraId="41D602AA">
      <w:pPr>
        <w:spacing w:line="360" w:lineRule="auto"/>
        <w:ind w:firstLine="420"/>
        <w:rPr>
          <w:rFonts w:ascii="宋体" w:hAnsi="宋体" w:cs="宋体"/>
          <w:bCs/>
          <w:color w:val="auto"/>
          <w:highlight w:val="none"/>
          <w:u w:val="single"/>
        </w:rPr>
      </w:pPr>
      <w:r>
        <w:rPr>
          <w:rFonts w:hint="eastAsia" w:ascii="宋体" w:hAnsi="宋体" w:cs="宋体"/>
          <w:color w:val="auto"/>
          <w:highlight w:val="none"/>
        </w:rPr>
        <w:t>2.开标地点：</w:t>
      </w:r>
      <w:r>
        <w:rPr>
          <w:rFonts w:hint="eastAsia" w:ascii="宋体" w:hAnsi="宋体"/>
          <w:b/>
          <w:color w:val="auto"/>
          <w:szCs w:val="21"/>
          <w:highlight w:val="none"/>
        </w:rPr>
        <w:t>“苏采云”系统（网址：http://jszfcg.jsczt.cn/）“开标大厅”</w:t>
      </w:r>
    </w:p>
    <w:p w14:paraId="23002C1B">
      <w:pPr>
        <w:tabs>
          <w:tab w:val="left" w:pos="266"/>
        </w:tabs>
        <w:spacing w:line="360" w:lineRule="auto"/>
        <w:rPr>
          <w:rFonts w:ascii="宋体" w:hAnsi="宋体" w:cs="宋体"/>
          <w:b/>
          <w:bCs/>
          <w:color w:val="auto"/>
          <w:highlight w:val="none"/>
        </w:rPr>
      </w:pPr>
      <w:bookmarkStart w:id="23" w:name="_Toc28359007"/>
      <w:bookmarkStart w:id="24" w:name="_Toc28359084"/>
      <w:bookmarkStart w:id="25" w:name="_Toc35393625"/>
      <w:bookmarkStart w:id="26" w:name="_Toc35393794"/>
      <w:bookmarkStart w:id="27" w:name="_Toc38985267"/>
      <w:r>
        <w:rPr>
          <w:rFonts w:hint="eastAsia" w:ascii="宋体" w:hAnsi="宋体" w:cs="宋体"/>
          <w:b/>
          <w:bCs/>
          <w:color w:val="auto"/>
          <w:highlight w:val="none"/>
        </w:rPr>
        <w:t>五、公告期限</w:t>
      </w:r>
      <w:bookmarkEnd w:id="23"/>
      <w:bookmarkEnd w:id="24"/>
      <w:bookmarkEnd w:id="25"/>
      <w:bookmarkEnd w:id="26"/>
      <w:bookmarkEnd w:id="27"/>
    </w:p>
    <w:p w14:paraId="2EE31DE3">
      <w:pPr>
        <w:spacing w:line="360" w:lineRule="auto"/>
        <w:ind w:firstLine="420"/>
        <w:rPr>
          <w:rFonts w:hint="eastAsia" w:ascii="宋体" w:hAnsi="宋体" w:cs="宋体"/>
          <w:b w:val="0"/>
          <w:bCs w:val="0"/>
          <w:color w:val="auto"/>
          <w:szCs w:val="21"/>
          <w:highlight w:val="none"/>
        </w:rPr>
      </w:pPr>
      <w:bookmarkStart w:id="28" w:name="_Toc35393795"/>
      <w:bookmarkStart w:id="29" w:name="_Toc38985268"/>
      <w:bookmarkStart w:id="30" w:name="_Toc35393626"/>
      <w:r>
        <w:rPr>
          <w:rFonts w:hint="eastAsia" w:ascii="宋体" w:hAnsi="宋体" w:cs="宋体"/>
          <w:b w:val="0"/>
          <w:bCs w:val="0"/>
          <w:color w:val="auto"/>
          <w:szCs w:val="21"/>
          <w:highlight w:val="none"/>
        </w:rPr>
        <w:t>自本公告发布之日起5个工作日。</w:t>
      </w:r>
    </w:p>
    <w:p w14:paraId="644BF921">
      <w:pPr>
        <w:tabs>
          <w:tab w:val="left" w:pos="266"/>
        </w:tabs>
        <w:spacing w:line="360" w:lineRule="auto"/>
        <w:rPr>
          <w:rFonts w:ascii="宋体" w:hAnsi="宋体" w:cs="宋体"/>
          <w:b/>
          <w:bCs/>
          <w:color w:val="auto"/>
          <w:highlight w:val="none"/>
        </w:rPr>
      </w:pPr>
      <w:r>
        <w:rPr>
          <w:rFonts w:hint="eastAsia" w:ascii="宋体" w:hAnsi="宋体" w:cs="宋体"/>
          <w:b/>
          <w:bCs/>
          <w:color w:val="auto"/>
          <w:highlight w:val="none"/>
        </w:rPr>
        <w:t>六、其他补充事宜</w:t>
      </w:r>
      <w:bookmarkEnd w:id="28"/>
      <w:bookmarkEnd w:id="29"/>
      <w:bookmarkEnd w:id="30"/>
    </w:p>
    <w:p w14:paraId="5D84B7FB">
      <w:pPr>
        <w:pStyle w:val="20"/>
        <w:keepNext w:val="0"/>
        <w:keepLines w:val="0"/>
        <w:pageBreakBefore w:val="0"/>
        <w:widowControl w:val="0"/>
        <w:spacing w:line="360" w:lineRule="auto"/>
        <w:ind w:firstLine="422"/>
        <w:rPr>
          <w:rFonts w:hint="default" w:ascii="宋体" w:hAnsi="宋体" w:eastAsia="宋体" w:cs="宋体"/>
          <w:b/>
          <w:color w:val="auto"/>
          <w:sz w:val="21"/>
          <w:szCs w:val="21"/>
          <w:highlight w:val="none"/>
          <w:lang w:val="en-US" w:eastAsia="zh-CN"/>
        </w:rPr>
      </w:pPr>
      <w:bookmarkStart w:id="31" w:name="_Toc28359008"/>
      <w:bookmarkStart w:id="32" w:name="_Toc38985269"/>
      <w:bookmarkStart w:id="33" w:name="_Toc35393627"/>
      <w:bookmarkStart w:id="34" w:name="_Toc35393796"/>
      <w:bookmarkStart w:id="35" w:name="_Toc28359085"/>
      <w:r>
        <w:rPr>
          <w:rFonts w:hint="eastAsia" w:ascii="宋体" w:hAnsi="宋体" w:eastAsia="宋体" w:cs="宋体"/>
          <w:b/>
          <w:color w:val="auto"/>
          <w:sz w:val="21"/>
          <w:szCs w:val="21"/>
          <w:highlight w:val="none"/>
          <w:lang w:val="en-US" w:eastAsia="zh-CN"/>
        </w:rPr>
        <w:t>（一）获取采购文件</w:t>
      </w:r>
    </w:p>
    <w:p w14:paraId="35AFA2F7">
      <w:pPr>
        <w:pStyle w:val="20"/>
        <w:keepNext w:val="0"/>
        <w:keepLines w:val="0"/>
        <w:pageBreakBefore w:val="0"/>
        <w:widowControl w:val="0"/>
        <w:spacing w:line="360" w:lineRule="auto"/>
        <w:ind w:firstLine="42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1.时间：自招标文件公告发布之日起5个工作日。5个工作日后仍可下载招标文件，但不作为供应商权益受到损害的证明材料和依据。</w:t>
      </w:r>
    </w:p>
    <w:p w14:paraId="21C04391">
      <w:pPr>
        <w:pStyle w:val="20"/>
        <w:keepNext w:val="0"/>
        <w:keepLines w:val="0"/>
        <w:pageBreakBefore w:val="0"/>
        <w:widowControl w:val="0"/>
        <w:spacing w:line="360" w:lineRule="auto"/>
        <w:ind w:firstLine="42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2.获取方式：本项目采用网上注册登记方式。</w:t>
      </w:r>
    </w:p>
    <w:p w14:paraId="7CA34940">
      <w:pPr>
        <w:pStyle w:val="20"/>
        <w:keepNext w:val="0"/>
        <w:keepLines w:val="0"/>
        <w:pageBreakBefore w:val="0"/>
        <w:widowControl w:val="0"/>
        <w:spacing w:line="360" w:lineRule="auto"/>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3.潜在供应商访问政府采购管理交易系统（苏采云）的网络地址和方法：</w:t>
      </w:r>
    </w:p>
    <w:p w14:paraId="669CCB38">
      <w:pPr>
        <w:pStyle w:val="20"/>
        <w:keepNext w:val="0"/>
        <w:keepLines w:val="0"/>
        <w:pageBreakBefore w:val="0"/>
        <w:widowControl w:val="0"/>
        <w:spacing w:line="360" w:lineRule="auto"/>
        <w:ind w:firstLine="42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70556AC2">
      <w:pPr>
        <w:pStyle w:val="20"/>
        <w:keepNext w:val="0"/>
        <w:keepLines w:val="0"/>
        <w:pageBreakBefore w:val="0"/>
        <w:widowControl w:val="0"/>
        <w:spacing w:line="360" w:lineRule="auto"/>
        <w:ind w:firstLine="42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（2）“CA数字证书”的获取：供应商需办理CA锁，“苏采云”系统目前仅支持“苏采云”系统下的政务CA，省内各地区办理的“苏采云”系统下的政务CA全省通用。</w:t>
      </w:r>
    </w:p>
    <w:p w14:paraId="47D4C9F0">
      <w:pPr>
        <w:pStyle w:val="20"/>
        <w:keepNext w:val="0"/>
        <w:keepLines w:val="0"/>
        <w:pageBreakBefore w:val="0"/>
        <w:widowControl w:val="0"/>
        <w:spacing w:line="360" w:lineRule="auto"/>
        <w:ind w:firstLine="42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（3）“CA数字证书”的办理材料以及供应商操作手册详见：</w:t>
      </w:r>
    </w:p>
    <w:p w14:paraId="101F7B50">
      <w:pPr>
        <w:pStyle w:val="20"/>
        <w:keepNext w:val="0"/>
        <w:keepLines w:val="0"/>
        <w:pageBreakBefore w:val="0"/>
        <w:widowControl w:val="0"/>
        <w:spacing w:line="360" w:lineRule="auto"/>
        <w:ind w:firstLine="42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http://zfcg.yangzhou.gov.cn/zfcg/xzzx/202309/4d7de1f7865f4a2894fc22bc452f94d8.shtml。</w:t>
      </w:r>
    </w:p>
    <w:p w14:paraId="2DCF56DA">
      <w:pPr>
        <w:pStyle w:val="20"/>
        <w:keepNext w:val="0"/>
        <w:keepLines w:val="0"/>
        <w:pageBreakBefore w:val="0"/>
        <w:widowControl w:val="0"/>
        <w:spacing w:line="360" w:lineRule="auto"/>
        <w:ind w:firstLine="42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（4）潜在供应商访问“苏采云”系统的网络地址和方法：“苏采云”系统的网址：</w:t>
      </w:r>
      <w:r>
        <w:rPr>
          <w:rFonts w:hint="eastAsia" w:ascii="宋体" w:hAnsi="宋体" w:eastAsia="宋体" w:cs="宋体"/>
          <w:b/>
          <w:color w:val="auto"/>
          <w:sz w:val="21"/>
          <w:szCs w:val="21"/>
          <w:highlight w:val="none"/>
          <w:lang w:val="en-US" w:eastAsia="zh-CN"/>
        </w:rPr>
        <w:fldChar w:fldCharType="begin"/>
      </w:r>
      <w:r>
        <w:rPr>
          <w:rFonts w:hint="eastAsia" w:ascii="宋体" w:hAnsi="宋体" w:eastAsia="宋体" w:cs="宋体"/>
          <w:b/>
          <w:color w:val="auto"/>
          <w:sz w:val="21"/>
          <w:szCs w:val="21"/>
          <w:highlight w:val="none"/>
          <w:lang w:val="en-US" w:eastAsia="zh-CN"/>
        </w:rPr>
        <w:instrText xml:space="preserve"> HYPERLINK "http://jszfcg.jsczt.cn/jszc/login" </w:instrText>
      </w:r>
      <w:r>
        <w:rPr>
          <w:rFonts w:hint="eastAsia" w:ascii="宋体" w:hAnsi="宋体" w:eastAsia="宋体" w:cs="宋体"/>
          <w:b/>
          <w:color w:val="auto"/>
          <w:sz w:val="21"/>
          <w:szCs w:val="21"/>
          <w:highlight w:val="none"/>
          <w:lang w:val="en-US" w:eastAsia="zh-CN"/>
        </w:rPr>
        <w:fldChar w:fldCharType="separate"/>
      </w:r>
      <w:r>
        <w:rPr>
          <w:rStyle w:val="42"/>
          <w:rFonts w:hint="eastAsia" w:ascii="宋体" w:hAnsi="宋体" w:eastAsia="宋体" w:cs="宋体"/>
          <w:b/>
          <w:sz w:val="21"/>
          <w:szCs w:val="21"/>
          <w:highlight w:val="none"/>
          <w:lang w:val="en-US" w:eastAsia="zh-CN"/>
        </w:rPr>
        <w:t>http://jszfcg.jsczt.cn/jszc/login</w:t>
      </w:r>
      <w:r>
        <w:rPr>
          <w:rFonts w:hint="eastAsia" w:ascii="宋体" w:hAnsi="宋体" w:eastAsia="宋体" w:cs="宋体"/>
          <w:b/>
          <w:color w:val="auto"/>
          <w:sz w:val="21"/>
          <w:szCs w:val="21"/>
          <w:highlight w:val="none"/>
          <w:lang w:val="en-US" w:eastAsia="zh-CN"/>
        </w:rPr>
        <w:fldChar w:fldCharType="end"/>
      </w:r>
    </w:p>
    <w:p w14:paraId="72AE9EA6">
      <w:pPr>
        <w:pStyle w:val="20"/>
        <w:keepNext w:val="0"/>
        <w:keepLines w:val="0"/>
        <w:pageBreakBefore w:val="0"/>
        <w:widowControl w:val="0"/>
        <w:spacing w:line="360" w:lineRule="auto"/>
        <w:ind w:firstLine="42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（5）采购文件（后缀名为“.kedt”）、供应商操作手册及政府采购客户端工具也可通过“苏采云”系统--已报名项目--报名详情页面内相应链接进行下载。</w:t>
      </w:r>
    </w:p>
    <w:p w14:paraId="3DA105B3">
      <w:pPr>
        <w:pStyle w:val="20"/>
        <w:keepNext w:val="0"/>
        <w:keepLines w:val="0"/>
        <w:pageBreakBefore w:val="0"/>
        <w:widowControl w:val="0"/>
        <w:spacing w:line="360" w:lineRule="auto"/>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（6）招标代理机构（采购代理机构）将数据电文形式的采购文件加载至“苏采云”系统，供潜在供应商下载或者查阅。     </w:t>
      </w:r>
    </w:p>
    <w:p w14:paraId="6DC063F9">
      <w:pPr>
        <w:pStyle w:val="20"/>
        <w:keepNext w:val="0"/>
        <w:keepLines w:val="0"/>
        <w:pageBreakBefore w:val="0"/>
        <w:widowControl w:val="0"/>
        <w:spacing w:line="360" w:lineRule="auto"/>
        <w:ind w:firstLine="42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（7）苏采云系统使用谷歌浏览器参与不见面开标。</w:t>
      </w:r>
    </w:p>
    <w:p w14:paraId="0AFC2863">
      <w:pPr>
        <w:pStyle w:val="20"/>
        <w:keepNext w:val="0"/>
        <w:keepLines w:val="0"/>
        <w:pageBreakBefore w:val="0"/>
        <w:widowControl w:val="0"/>
        <w:spacing w:line="360" w:lineRule="auto"/>
        <w:ind w:firstLine="422"/>
        <w:rPr>
          <w:rFonts w:hint="eastAsia" w:hAnsi="宋体" w:cs="宋体"/>
          <w:color w:val="auto"/>
          <w:sz w:val="21"/>
          <w:szCs w:val="21"/>
          <w:highlight w:val="none"/>
        </w:rPr>
      </w:pPr>
      <w:r>
        <w:rPr>
          <w:rFonts w:hint="eastAsia" w:hAnsi="宋体" w:cs="宋体"/>
          <w:b/>
          <w:bCs/>
          <w:color w:val="auto"/>
          <w:sz w:val="21"/>
          <w:szCs w:val="21"/>
          <w:highlight w:val="none"/>
          <w:lang w:val="en-US" w:eastAsia="zh-CN"/>
        </w:rPr>
        <w:t>（二）</w:t>
      </w:r>
      <w:r>
        <w:rPr>
          <w:rFonts w:hint="eastAsia" w:hAnsi="宋体" w:cs="宋体"/>
          <w:b/>
          <w:color w:val="auto"/>
          <w:sz w:val="21"/>
          <w:szCs w:val="21"/>
          <w:highlight w:val="none"/>
        </w:rPr>
        <w:t>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p>
    <w:p w14:paraId="0A717C70">
      <w:pPr>
        <w:widowControl/>
        <w:spacing w:line="360" w:lineRule="auto"/>
        <w:ind w:firstLine="422"/>
        <w:jc w:val="left"/>
        <w:rPr>
          <w:rFonts w:hint="default"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（三）其他</w:t>
      </w:r>
    </w:p>
    <w:p w14:paraId="4FB554D4">
      <w:pPr>
        <w:widowControl/>
        <w:spacing w:line="360" w:lineRule="auto"/>
        <w:ind w:firstLine="422"/>
        <w:jc w:val="left"/>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p>
    <w:p w14:paraId="5DE0C284">
      <w:pPr>
        <w:widowControl/>
        <w:spacing w:line="360" w:lineRule="auto"/>
        <w:ind w:firstLine="422"/>
        <w:jc w:val="left"/>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2.供应商如确定参加投标，可自行下载采购文件及有关资料，按照《操作手册》进行注册，领取CA和办理电子签章，并按《操作手册》要求制作、上传电子投标文件，技术支持联系方式：13813140731。</w:t>
      </w:r>
    </w:p>
    <w:p w14:paraId="4BA7A529">
      <w:pPr>
        <w:widowControl/>
        <w:spacing w:line="360" w:lineRule="auto"/>
        <w:ind w:firstLine="422"/>
        <w:jc w:val="left"/>
        <w:rPr>
          <w:rFonts w:hint="eastAsia" w:ascii="宋体" w:hAnsi="宋体" w:eastAsia="宋体" w:cs="宋体"/>
          <w:b/>
          <w:color w:val="auto"/>
          <w:highlight w:val="none"/>
        </w:rPr>
      </w:pPr>
      <w:r>
        <w:rPr>
          <w:rFonts w:hint="eastAsia" w:ascii="宋体" w:hAnsi="宋体" w:cs="宋体"/>
          <w:b/>
          <w:color w:val="auto"/>
          <w:highlight w:val="none"/>
          <w:lang w:val="en-US" w:eastAsia="zh-CN"/>
        </w:rPr>
        <w:t>3</w:t>
      </w:r>
      <w:r>
        <w:rPr>
          <w:rFonts w:ascii="宋体" w:hAnsi="宋体" w:cs="宋体"/>
          <w:b/>
          <w:color w:val="auto"/>
          <w:highlight w:val="none"/>
        </w:rPr>
        <w:t>.</w:t>
      </w:r>
      <w:r>
        <w:rPr>
          <w:rFonts w:hint="eastAsia" w:ascii="宋体" w:hAnsi="宋体" w:eastAsia="宋体" w:cs="宋体"/>
          <w:b/>
          <w:color w:val="auto"/>
          <w:highlight w:val="none"/>
          <w:lang w:val="en-US" w:eastAsia="zh-CN"/>
        </w:rPr>
        <w:t>供应商对于投标产品的包装应按照“财办库〔2020〕123号《关于印发《商品包装政府采购需求标准（试行）》、《快递包装政府采购需求标准（试行）》的通知》”执行。</w:t>
      </w:r>
    </w:p>
    <w:p w14:paraId="7B818CF5">
      <w:pPr>
        <w:widowControl/>
        <w:spacing w:line="360" w:lineRule="auto"/>
        <w:ind w:firstLine="422"/>
        <w:jc w:val="left"/>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4.落实好政府采购履约资金扶持政策。中标/成交供应商可凭政府采购合同办理融资贷款，详见江苏政府采购网“政采贷”专栏。</w:t>
      </w:r>
    </w:p>
    <w:p w14:paraId="115F78A9">
      <w:pPr>
        <w:widowControl/>
        <w:spacing w:line="360" w:lineRule="auto"/>
        <w:ind w:firstLine="422"/>
        <w:jc w:val="left"/>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13E7CAC3">
      <w:pPr>
        <w:widowControl/>
        <w:spacing w:line="360" w:lineRule="auto"/>
        <w:ind w:firstLine="422"/>
        <w:jc w:val="left"/>
        <w:rPr>
          <w:rFonts w:hint="eastAsia" w:ascii="宋体" w:hAnsi="宋体" w:cs="宋体"/>
          <w:b/>
          <w:color w:val="auto"/>
          <w:highlight w:val="none"/>
        </w:rPr>
      </w:pPr>
      <w:r>
        <w:rPr>
          <w:rFonts w:hint="eastAsia" w:ascii="宋体" w:hAnsi="宋体" w:cs="宋体"/>
          <w:b/>
          <w:color w:val="auto"/>
          <w:highlight w:val="none"/>
          <w:lang w:val="en-US" w:eastAsia="zh-CN"/>
        </w:rPr>
        <w:t>6.</w:t>
      </w:r>
      <w:r>
        <w:rPr>
          <w:rFonts w:hint="eastAsia" w:ascii="宋体" w:hAnsi="宋体" w:cs="宋体"/>
          <w:b/>
          <w:color w:val="auto"/>
          <w:highlight w:val="none"/>
        </w:rPr>
        <w:t>潜在供应商对采购文件项目需求部分的询问、质疑请向采购人提出，由采购人负责答复。</w:t>
      </w:r>
    </w:p>
    <w:p w14:paraId="792B78CB">
      <w:pPr>
        <w:spacing w:line="360" w:lineRule="auto"/>
        <w:ind w:firstLine="420"/>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7.</w:t>
      </w:r>
      <w:r>
        <w:rPr>
          <w:rFonts w:hint="eastAsia" w:ascii="宋体" w:hAnsi="宋体" w:eastAsia="宋体" w:cs="Times New Roman"/>
          <w:color w:val="auto"/>
          <w:highlight w:val="none"/>
        </w:rPr>
        <w:t>本次采购不收取保证金。</w:t>
      </w:r>
    </w:p>
    <w:p w14:paraId="553758F5">
      <w:pPr>
        <w:spacing w:line="360" w:lineRule="auto"/>
        <w:ind w:firstLine="420"/>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8</w:t>
      </w:r>
      <w:r>
        <w:rPr>
          <w:rFonts w:hint="eastAsia" w:ascii="宋体" w:hAnsi="宋体" w:eastAsia="宋体" w:cs="Times New Roman"/>
          <w:color w:val="auto"/>
          <w:highlight w:val="none"/>
        </w:rPr>
        <w:t>.有关本次采购的事项若存在变动或修改，敬请及时关注“扬州市政府采购网”、”江苏省政府采购网”发布的信息。</w:t>
      </w:r>
    </w:p>
    <w:p w14:paraId="562737F3">
      <w:pPr>
        <w:spacing w:line="360" w:lineRule="auto"/>
        <w:ind w:firstLine="422"/>
        <w:rPr>
          <w:rFonts w:hint="eastAsia" w:ascii="宋体" w:hAnsi="宋体" w:cs="宋体"/>
          <w:b/>
          <w:i/>
          <w:iCs/>
          <w:color w:val="auto"/>
          <w:highlight w:val="none"/>
          <w:u w:val="single"/>
        </w:rPr>
      </w:pPr>
      <w:r>
        <w:rPr>
          <w:rFonts w:hint="eastAsia" w:ascii="宋体" w:hAnsi="宋体" w:eastAsia="宋体" w:cs="Times New Roman"/>
          <w:color w:val="auto"/>
          <w:highlight w:val="none"/>
          <w:lang w:val="en-US" w:eastAsia="zh-CN"/>
        </w:rPr>
        <w:t>9</w:t>
      </w:r>
      <w:r>
        <w:rPr>
          <w:rFonts w:hint="eastAsia" w:ascii="宋体" w:hAnsi="宋体" w:cs="宋体"/>
          <w:b/>
          <w:i/>
          <w:iCs/>
          <w:color w:val="auto"/>
          <w:highlight w:val="none"/>
          <w:u w:val="single"/>
        </w:rPr>
        <w:t>.本项目采购文件中所有斜体下划线部分为实质性条款，如不满足，则为无效响应。</w:t>
      </w:r>
    </w:p>
    <w:p w14:paraId="62AA74C6">
      <w:pPr>
        <w:tabs>
          <w:tab w:val="left" w:pos="266"/>
        </w:tabs>
        <w:spacing w:line="360" w:lineRule="auto"/>
        <w:rPr>
          <w:rFonts w:ascii="宋体" w:hAnsi="宋体" w:cs="宋体"/>
          <w:b/>
          <w:bCs/>
          <w:color w:val="auto"/>
          <w:highlight w:val="none"/>
        </w:rPr>
      </w:pPr>
      <w:r>
        <w:rPr>
          <w:rFonts w:hint="eastAsia" w:ascii="宋体" w:hAnsi="宋体" w:cs="宋体"/>
          <w:b/>
          <w:bCs/>
          <w:color w:val="auto"/>
          <w:highlight w:val="none"/>
        </w:rPr>
        <w:t>七、本次招标联系方式</w:t>
      </w:r>
      <w:bookmarkEnd w:id="31"/>
      <w:bookmarkEnd w:id="32"/>
      <w:bookmarkEnd w:id="33"/>
      <w:bookmarkEnd w:id="34"/>
      <w:bookmarkEnd w:id="35"/>
    </w:p>
    <w:p w14:paraId="38D4A1D2">
      <w:pPr>
        <w:pStyle w:val="20"/>
        <w:spacing w:line="360" w:lineRule="auto"/>
        <w:ind w:firstLine="420"/>
        <w:rPr>
          <w:rFonts w:hint="eastAsia" w:hAnsi="宋体" w:cs="宋体"/>
          <w:color w:val="auto"/>
          <w:sz w:val="21"/>
          <w:szCs w:val="21"/>
          <w:highlight w:val="none"/>
        </w:rPr>
      </w:pPr>
      <w:r>
        <w:rPr>
          <w:rFonts w:hint="eastAsia" w:hAnsi="宋体" w:cs="宋体"/>
          <w:color w:val="auto"/>
          <w:sz w:val="21"/>
          <w:szCs w:val="21"/>
          <w:highlight w:val="none"/>
        </w:rPr>
        <w:t>1.采购人信息</w:t>
      </w:r>
    </w:p>
    <w:p w14:paraId="0AF19C48">
      <w:pPr>
        <w:spacing w:line="360" w:lineRule="auto"/>
        <w:ind w:firstLine="420"/>
        <w:jc w:val="left"/>
        <w:rPr>
          <w:rFonts w:hint="default" w:ascii="宋体" w:hAnsi="宋体" w:eastAsia="宋体" w:cs="宋体"/>
          <w:color w:val="auto"/>
          <w:highlight w:val="none"/>
          <w:lang w:val="en-US" w:eastAsia="zh-CN"/>
        </w:rPr>
      </w:pPr>
      <w:r>
        <w:rPr>
          <w:rFonts w:hint="eastAsia" w:ascii="宋体" w:hAnsi="宋体" w:cs="宋体"/>
          <w:color w:val="auto"/>
          <w:highlight w:val="none"/>
        </w:rPr>
        <w:t>名 称：</w:t>
      </w:r>
      <w:r>
        <w:rPr>
          <w:rFonts w:hint="eastAsia" w:ascii="宋体" w:hAnsi="宋体" w:cs="宋体"/>
          <w:color w:val="auto"/>
          <w:highlight w:val="none"/>
          <w:u w:val="single"/>
          <w:lang w:val="en-US" w:eastAsia="zh-CN"/>
        </w:rPr>
        <w:t>扬州市江都区教育局</w:t>
      </w:r>
    </w:p>
    <w:p w14:paraId="59A1F57B">
      <w:pPr>
        <w:spacing w:line="360" w:lineRule="auto"/>
        <w:ind w:firstLine="420"/>
        <w:jc w:val="left"/>
        <w:rPr>
          <w:rFonts w:hint="eastAsia" w:ascii="宋体" w:hAnsi="宋体" w:eastAsia="宋体" w:cs="宋体"/>
          <w:color w:val="auto"/>
          <w:highlight w:val="none"/>
        </w:rPr>
      </w:pPr>
      <w:r>
        <w:rPr>
          <w:rFonts w:hint="eastAsia" w:ascii="宋体" w:hAnsi="宋体" w:eastAsia="宋体" w:cs="宋体"/>
          <w:color w:val="auto"/>
          <w:highlight w:val="none"/>
        </w:rPr>
        <w:t>地 址：</w:t>
      </w:r>
      <w:r>
        <w:rPr>
          <w:rFonts w:hint="eastAsia" w:ascii="宋体" w:hAnsi="宋体" w:eastAsia="宋体" w:cs="宋体"/>
          <w:color w:val="auto"/>
          <w:highlight w:val="none"/>
          <w:u w:val="single"/>
          <w:lang w:val="en-US" w:eastAsia="zh-CN"/>
        </w:rPr>
        <w:t>扬州市江都区</w:t>
      </w:r>
    </w:p>
    <w:p w14:paraId="69F82AAA">
      <w:pPr>
        <w:spacing w:line="360" w:lineRule="auto"/>
        <w:ind w:firstLine="420"/>
        <w:jc w:val="left"/>
        <w:rPr>
          <w:rFonts w:hint="eastAsia" w:ascii="宋体" w:hAnsi="宋体" w:eastAsia="宋体" w:cs="宋体"/>
          <w:color w:val="auto"/>
          <w:highlight w:val="none"/>
          <w:lang w:eastAsia="zh-CN"/>
        </w:rPr>
      </w:pPr>
      <w:r>
        <w:rPr>
          <w:rFonts w:hint="eastAsia" w:ascii="宋体" w:hAnsi="宋体" w:cs="宋体"/>
          <w:color w:val="auto"/>
          <w:highlight w:val="none"/>
        </w:rPr>
        <w:t>联系人：</w:t>
      </w:r>
      <w:r>
        <w:rPr>
          <w:rFonts w:hint="eastAsia" w:ascii="宋体" w:hAnsi="宋体" w:cs="宋体"/>
          <w:color w:val="auto"/>
          <w:highlight w:val="none"/>
          <w:u w:val="single"/>
          <w:lang w:val="en-US" w:eastAsia="zh-CN"/>
        </w:rPr>
        <w:t>张先生</w:t>
      </w:r>
    </w:p>
    <w:p w14:paraId="32583DC4">
      <w:pPr>
        <w:spacing w:line="360" w:lineRule="auto"/>
        <w:ind w:firstLine="420"/>
        <w:jc w:val="left"/>
        <w:rPr>
          <w:rFonts w:ascii="宋体" w:hAnsi="宋体" w:cs="宋体"/>
          <w:color w:val="auto"/>
          <w:highlight w:val="none"/>
          <w:u w:val="single"/>
        </w:rPr>
      </w:pPr>
      <w:r>
        <w:rPr>
          <w:rFonts w:hint="eastAsia" w:ascii="宋体" w:hAnsi="宋体" w:eastAsia="宋体" w:cs="宋体"/>
          <w:color w:val="auto"/>
          <w:highlight w:val="none"/>
          <w:u w:val="none"/>
          <w:lang w:val="en-US" w:eastAsia="zh-CN"/>
        </w:rPr>
        <w:t>联系方式：</w:t>
      </w:r>
      <w:r>
        <w:rPr>
          <w:rFonts w:hint="eastAsia" w:ascii="宋体" w:hAnsi="宋体" w:eastAsia="宋体" w:cs="宋体"/>
          <w:color w:val="auto"/>
          <w:highlight w:val="none"/>
          <w:u w:val="single"/>
          <w:lang w:val="en-US" w:eastAsia="zh-CN"/>
        </w:rPr>
        <w:t>15952566869</w:t>
      </w:r>
    </w:p>
    <w:p w14:paraId="2F851235">
      <w:pPr>
        <w:pStyle w:val="20"/>
        <w:spacing w:line="360" w:lineRule="auto"/>
        <w:ind w:firstLine="420"/>
        <w:rPr>
          <w:rFonts w:hint="eastAsia" w:hAnsi="宋体" w:cs="宋体"/>
          <w:color w:val="auto"/>
          <w:sz w:val="21"/>
          <w:szCs w:val="21"/>
          <w:highlight w:val="none"/>
        </w:rPr>
      </w:pPr>
      <w:r>
        <w:rPr>
          <w:rFonts w:hint="eastAsia" w:hAnsi="宋体" w:cs="宋体"/>
          <w:color w:val="auto"/>
          <w:sz w:val="21"/>
          <w:szCs w:val="21"/>
          <w:highlight w:val="none"/>
        </w:rPr>
        <w:t>2.代理</w:t>
      </w:r>
      <w:r>
        <w:rPr>
          <w:rFonts w:hint="eastAsia" w:hAnsi="宋体" w:cs="宋体"/>
          <w:color w:val="auto"/>
          <w:sz w:val="21"/>
          <w:szCs w:val="21"/>
          <w:highlight w:val="none"/>
          <w:lang w:val="en-US" w:eastAsia="zh-CN"/>
        </w:rPr>
        <w:t>机构</w:t>
      </w:r>
      <w:r>
        <w:rPr>
          <w:rFonts w:hint="eastAsia" w:hAnsi="宋体" w:cs="宋体"/>
          <w:color w:val="auto"/>
          <w:sz w:val="21"/>
          <w:szCs w:val="21"/>
          <w:highlight w:val="none"/>
        </w:rPr>
        <w:t>信息</w:t>
      </w:r>
    </w:p>
    <w:p w14:paraId="755AC920">
      <w:pPr>
        <w:spacing w:line="360" w:lineRule="auto"/>
        <w:ind w:firstLine="420"/>
        <w:jc w:val="lef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名</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 称：</w:t>
      </w:r>
      <w:r>
        <w:rPr>
          <w:rFonts w:hint="eastAsia" w:ascii="宋体" w:hAnsi="宋体" w:cs="宋体"/>
          <w:color w:val="auto"/>
          <w:sz w:val="21"/>
          <w:szCs w:val="21"/>
          <w:highlight w:val="none"/>
          <w:u w:val="single"/>
          <w:lang w:val="en-US" w:eastAsia="zh-CN"/>
        </w:rPr>
        <w:t>江苏志诚工程咨询管理有限公司</w:t>
      </w:r>
    </w:p>
    <w:p w14:paraId="28AA1A93">
      <w:pPr>
        <w:pStyle w:val="20"/>
        <w:spacing w:line="360" w:lineRule="auto"/>
        <w:ind w:firstLine="420"/>
        <w:rPr>
          <w:rFonts w:hint="eastAsia" w:hAnsi="宋体" w:cs="宋体"/>
          <w:color w:val="auto"/>
          <w:sz w:val="21"/>
          <w:szCs w:val="21"/>
          <w:highlight w:val="none"/>
          <w:u w:val="single"/>
        </w:rPr>
      </w:pPr>
      <w:r>
        <w:rPr>
          <w:rFonts w:hint="eastAsia" w:hAnsi="宋体" w:cs="宋体"/>
          <w:color w:val="auto"/>
          <w:sz w:val="21"/>
          <w:szCs w:val="21"/>
          <w:highlight w:val="none"/>
        </w:rPr>
        <w:t>地　　址：</w:t>
      </w:r>
      <w:r>
        <w:rPr>
          <w:rFonts w:hint="eastAsia" w:hAnsi="宋体" w:cs="宋体"/>
          <w:color w:val="auto"/>
          <w:sz w:val="21"/>
          <w:szCs w:val="21"/>
          <w:highlight w:val="none"/>
          <w:u w:val="single"/>
          <w:lang w:val="en-US" w:eastAsia="zh-CN" w:bidi="ar-SA"/>
        </w:rPr>
        <w:t>扬州市江都区浦江路38号五楼</w:t>
      </w:r>
    </w:p>
    <w:p w14:paraId="63D6F864">
      <w:pPr>
        <w:pStyle w:val="20"/>
        <w:spacing w:line="360" w:lineRule="auto"/>
        <w:ind w:firstLine="420"/>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rPr>
        <w:t>联</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系</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人：</w:t>
      </w:r>
      <w:r>
        <w:rPr>
          <w:rFonts w:hint="eastAsia" w:hAnsi="宋体" w:cs="宋体"/>
          <w:color w:val="auto"/>
          <w:sz w:val="21"/>
          <w:szCs w:val="21"/>
          <w:highlight w:val="none"/>
          <w:u w:val="single"/>
          <w:lang w:val="en-US" w:eastAsia="zh-CN"/>
        </w:rPr>
        <w:t>庄先生</w:t>
      </w:r>
    </w:p>
    <w:p w14:paraId="5C1DFC2D">
      <w:pPr>
        <w:pStyle w:val="20"/>
        <w:spacing w:line="360" w:lineRule="auto"/>
        <w:ind w:firstLine="420"/>
        <w:rPr>
          <w:rFonts w:hAnsi="宋体" w:cs="宋体"/>
          <w:b w:val="0"/>
          <w:bCs w:val="0"/>
          <w:color w:val="auto"/>
          <w:sz w:val="21"/>
          <w:szCs w:val="21"/>
          <w:highlight w:val="none"/>
          <w:u w:val="single"/>
        </w:rPr>
      </w:pPr>
      <w:r>
        <w:rPr>
          <w:rFonts w:hint="eastAsia" w:hAnsi="宋体" w:cs="宋体"/>
          <w:b w:val="0"/>
          <w:bCs w:val="0"/>
          <w:color w:val="auto"/>
          <w:sz w:val="21"/>
          <w:szCs w:val="21"/>
          <w:highlight w:val="none"/>
        </w:rPr>
        <w:t>联系方式：</w:t>
      </w:r>
      <w:r>
        <w:rPr>
          <w:rFonts w:hint="eastAsia" w:hAnsi="宋体" w:cs="宋体"/>
          <w:color w:val="auto"/>
          <w:sz w:val="21"/>
          <w:szCs w:val="21"/>
          <w:highlight w:val="none"/>
          <w:u w:val="single"/>
          <w:lang w:val="en-US" w:eastAsia="zh-CN"/>
        </w:rPr>
        <w:t>0514-86538233</w:t>
      </w:r>
    </w:p>
    <w:p w14:paraId="21961C75">
      <w:pPr>
        <w:rPr>
          <w:rFonts w:hint="eastAsia" w:ascii="宋体" w:hAnsi="宋体" w:eastAsia="宋体" w:cs="Times New Roman"/>
          <w:b/>
          <w:bCs/>
          <w:color w:val="auto"/>
          <w:sz w:val="36"/>
          <w:szCs w:val="36"/>
          <w:highlight w:val="none"/>
          <w:lang w:val="en-US" w:eastAsia="zh-CN"/>
        </w:rPr>
      </w:pPr>
      <w:r>
        <w:rPr>
          <w:color w:val="auto"/>
          <w:highlight w:val="none"/>
        </w:rPr>
        <w:br w:type="page" w:clear="all"/>
      </w:r>
    </w:p>
    <w:p w14:paraId="387F1A77">
      <w:pPr>
        <w:pStyle w:val="2"/>
        <w:keepNext/>
        <w:keepLines/>
        <w:pageBreakBefore w:val="0"/>
        <w:widowControl w:val="0"/>
        <w:spacing w:before="0" w:after="0" w:line="360" w:lineRule="auto"/>
        <w:jc w:val="center"/>
        <w:rPr>
          <w:color w:val="auto"/>
          <w:highlight w:val="none"/>
        </w:rPr>
      </w:pPr>
      <w:bookmarkStart w:id="36" w:name="_Toc55204178"/>
      <w:bookmarkStart w:id="37" w:name="_Toc25750"/>
      <w:r>
        <w:rPr>
          <w:rFonts w:hint="eastAsia" w:ascii="宋体" w:hAnsi="宋体" w:eastAsia="宋体" w:cs="Times New Roman"/>
          <w:b/>
          <w:bCs/>
          <w:color w:val="auto"/>
          <w:sz w:val="36"/>
          <w:szCs w:val="36"/>
          <w:highlight w:val="none"/>
          <w:lang w:val="en-US" w:eastAsia="zh-CN"/>
        </w:rPr>
        <w:t>第二章 投标人须知</w:t>
      </w:r>
      <w:bookmarkEnd w:id="36"/>
      <w:bookmarkEnd w:id="37"/>
    </w:p>
    <w:p w14:paraId="0DD67BE3">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1、招标方式</w:t>
      </w:r>
    </w:p>
    <w:p w14:paraId="38FF229D">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1.1 本次招标采取公开招标方式，本招标文件仅适用于</w:t>
      </w:r>
      <w:r>
        <w:rPr>
          <w:rFonts w:hint="eastAsia" w:ascii="宋体" w:hAnsi="宋体" w:cs="宋体"/>
          <w:bCs/>
          <w:color w:val="auto"/>
          <w:szCs w:val="21"/>
          <w:highlight w:val="none"/>
          <w:u w:val="single"/>
          <w:lang w:val="en-US" w:eastAsia="zh-CN"/>
        </w:rPr>
        <w:t>JSZC-321012-JSZC-G2026-0008</w:t>
      </w:r>
      <w:r>
        <w:rPr>
          <w:rFonts w:hint="eastAsia" w:ascii="宋体" w:hAnsi="宋体" w:eastAsia="宋体" w:cs="宋体"/>
          <w:bCs/>
          <w:color w:val="auto"/>
          <w:szCs w:val="21"/>
          <w:highlight w:val="none"/>
        </w:rPr>
        <w:t>号项目。</w:t>
      </w:r>
    </w:p>
    <w:p w14:paraId="0CD8E112">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2、投标人</w:t>
      </w:r>
    </w:p>
    <w:p w14:paraId="42842F4B">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2.1 本招标文件中“供应商”，即“投标人”，是指参加投标竞争，并符合招标文件规定资格条件的法人、其他组织或者自然人。</w:t>
      </w:r>
    </w:p>
    <w:p w14:paraId="2017B5B2">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2.2合格的投标人</w:t>
      </w:r>
    </w:p>
    <w:p w14:paraId="4895E853">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2.2.1 满足招标公告中供应商的资格条件要求的规定。</w:t>
      </w:r>
    </w:p>
    <w:p w14:paraId="1584AECA">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2.2.2 满足本文件实质性条款的规定。</w:t>
      </w:r>
    </w:p>
    <w:p w14:paraId="34C6B460">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3、适用法律</w:t>
      </w:r>
    </w:p>
    <w:p w14:paraId="55C9E0CD">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3.1 本次招标及由此产生的合同受中华人民共和国有关的法律法规制约和保护。</w:t>
      </w:r>
    </w:p>
    <w:p w14:paraId="228190C7">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4、投标费用</w:t>
      </w:r>
    </w:p>
    <w:p w14:paraId="7B99754A">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4.1 投标人应自行承担所有与参加投标有关的费用，无论投标过程中的做法和结果如 何，代理机构在任何情况下均无义务和责任承担这些费用。 </w:t>
      </w:r>
    </w:p>
    <w:p w14:paraId="3749C408">
      <w:pPr>
        <w:spacing w:line="360" w:lineRule="auto"/>
        <w:ind w:firstLine="420" w:firstLineChars="200"/>
        <w:rPr>
          <w:color w:val="auto"/>
          <w:highlight w:val="none"/>
        </w:rPr>
      </w:pPr>
      <w:r>
        <w:rPr>
          <w:color w:val="auto"/>
          <w:highlight w:val="none"/>
        </w:rPr>
        <w:t>4.</w:t>
      </w:r>
      <w:r>
        <w:rPr>
          <w:rFonts w:hint="eastAsia"/>
          <w:color w:val="auto"/>
          <w:highlight w:val="none"/>
        </w:rPr>
        <w:t>2本项目代理服务费参照《招标采购代理规范》相关规定按发改价格(2011)534号文标准</w:t>
      </w:r>
      <w:r>
        <w:rPr>
          <w:rFonts w:hint="eastAsia"/>
          <w:color w:val="auto"/>
          <w:highlight w:val="none"/>
          <w:lang w:val="en-US" w:eastAsia="zh-CN"/>
        </w:rPr>
        <w:t>的6.5折</w:t>
      </w:r>
      <w:r>
        <w:rPr>
          <w:rFonts w:hint="eastAsia"/>
          <w:color w:val="auto"/>
          <w:highlight w:val="none"/>
        </w:rPr>
        <w:t>一次性支付给招标代理机构代理服务费。</w:t>
      </w:r>
    </w:p>
    <w:p w14:paraId="3C4CE70D">
      <w:pPr>
        <w:spacing w:line="360" w:lineRule="auto"/>
        <w:ind w:firstLine="420" w:firstLineChars="200"/>
        <w:rPr>
          <w:color w:val="auto"/>
          <w:highlight w:val="none"/>
        </w:rPr>
      </w:pPr>
      <w:r>
        <w:rPr>
          <w:color w:val="auto"/>
          <w:highlight w:val="none"/>
        </w:rPr>
        <w:t>（1）代理服务费以人民币支付；</w:t>
      </w:r>
    </w:p>
    <w:p w14:paraId="50BF9CBE">
      <w:pPr>
        <w:spacing w:line="360" w:lineRule="auto"/>
        <w:ind w:firstLine="420" w:firstLineChars="200"/>
        <w:rPr>
          <w:color w:val="auto"/>
          <w:highlight w:val="none"/>
        </w:rPr>
      </w:pPr>
      <w:r>
        <w:rPr>
          <w:color w:val="auto"/>
          <w:highlight w:val="none"/>
        </w:rPr>
        <w:t>（2）代理服务费一次性以电汇、转账等非现金形式支付；</w:t>
      </w:r>
    </w:p>
    <w:p w14:paraId="10D688F1">
      <w:pPr>
        <w:spacing w:line="360" w:lineRule="auto"/>
        <w:ind w:firstLine="420" w:firstLineChars="200"/>
        <w:rPr>
          <w:color w:val="auto"/>
          <w:highlight w:val="none"/>
        </w:rPr>
      </w:pPr>
      <w:r>
        <w:rPr>
          <w:color w:val="auto"/>
          <w:highlight w:val="none"/>
        </w:rPr>
        <w:t>（3）招标代理服务费不在投标报价中单列，包含在投标总价中，由中标单位支付给代理机构。</w:t>
      </w:r>
    </w:p>
    <w:p w14:paraId="4D9BD218">
      <w:pPr>
        <w:spacing w:line="360" w:lineRule="auto"/>
        <w:ind w:firstLine="420" w:firstLineChars="200"/>
        <w:rPr>
          <w:color w:val="auto"/>
          <w:highlight w:val="none"/>
        </w:rPr>
      </w:pPr>
      <w:r>
        <w:rPr>
          <w:color w:val="auto"/>
          <w:highlight w:val="none"/>
        </w:rPr>
        <w:t>招标代理服务费开户银行：</w:t>
      </w:r>
      <w:r>
        <w:rPr>
          <w:rFonts w:hint="eastAsia"/>
          <w:color w:val="auto"/>
          <w:highlight w:val="none"/>
        </w:rPr>
        <w:t>中国建设银行股份有限公司扬州江中支行</w:t>
      </w:r>
    </w:p>
    <w:p w14:paraId="0F509C0C">
      <w:pPr>
        <w:spacing w:line="360" w:lineRule="auto"/>
        <w:ind w:firstLine="420" w:firstLineChars="200"/>
        <w:rPr>
          <w:color w:val="auto"/>
          <w:highlight w:val="none"/>
        </w:rPr>
      </w:pPr>
      <w:r>
        <w:rPr>
          <w:color w:val="auto"/>
          <w:highlight w:val="none"/>
        </w:rPr>
        <w:t>开户名称：</w:t>
      </w:r>
      <w:r>
        <w:rPr>
          <w:rFonts w:hint="eastAsia"/>
          <w:color w:val="auto"/>
          <w:highlight w:val="none"/>
        </w:rPr>
        <w:t>江苏志诚工程咨询管理有限公司江都分公司</w:t>
      </w:r>
    </w:p>
    <w:p w14:paraId="6F016798">
      <w:pPr>
        <w:spacing w:line="360" w:lineRule="auto"/>
        <w:ind w:firstLine="420" w:firstLineChars="200"/>
        <w:rPr>
          <w:color w:val="auto"/>
          <w:highlight w:val="none"/>
        </w:rPr>
      </w:pPr>
      <w:r>
        <w:rPr>
          <w:color w:val="auto"/>
          <w:highlight w:val="none"/>
        </w:rPr>
        <w:t>开户帐号：32050174775200000059</w:t>
      </w:r>
    </w:p>
    <w:p w14:paraId="156225A5">
      <w:pPr>
        <w:spacing w:line="360" w:lineRule="auto"/>
        <w:ind w:firstLine="420"/>
        <w:rPr>
          <w:rFonts w:hint="eastAsia" w:ascii="宋体" w:hAnsi="宋体" w:eastAsia="宋体" w:cs="宋体"/>
          <w:color w:val="auto"/>
          <w:highlight w:val="none"/>
        </w:rPr>
      </w:pPr>
      <w:r>
        <w:rPr>
          <w:color w:val="auto"/>
          <w:highlight w:val="none"/>
        </w:rPr>
        <w:t>4.</w:t>
      </w:r>
      <w:r>
        <w:rPr>
          <w:rFonts w:hint="eastAsia"/>
          <w:color w:val="auto"/>
          <w:highlight w:val="none"/>
        </w:rPr>
        <w:t>3</w:t>
      </w:r>
      <w:r>
        <w:rPr>
          <w:color w:val="auto"/>
          <w:highlight w:val="none"/>
        </w:rPr>
        <w:t>专家评审费按扬财购【2020】40 号文《关于</w:t>
      </w:r>
      <w:r>
        <w:rPr>
          <w:rFonts w:hint="eastAsia"/>
          <w:color w:val="auto"/>
          <w:highlight w:val="none"/>
        </w:rPr>
        <w:t>进一步</w:t>
      </w:r>
      <w:r>
        <w:rPr>
          <w:color w:val="auto"/>
          <w:highlight w:val="none"/>
        </w:rPr>
        <w:t>规范扬州市政府采购专家评审费标准的通知》执行。</w:t>
      </w:r>
    </w:p>
    <w:p w14:paraId="3C4672A7">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5、招标文件的约束力</w:t>
      </w:r>
    </w:p>
    <w:p w14:paraId="1B1E5742">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5.1 投标人一旦参加本项目采购活动，即被认为接受了本招标文件的规定和约束。</w:t>
      </w:r>
    </w:p>
    <w:p w14:paraId="7E6E5542">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6、招标文件构成</w:t>
      </w:r>
    </w:p>
    <w:p w14:paraId="3B5571C1">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6.1 招标文件有以下部分组成：</w:t>
      </w:r>
    </w:p>
    <w:p w14:paraId="7705E33E">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（1）招标公告</w:t>
      </w:r>
    </w:p>
    <w:p w14:paraId="1256702C">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（2）投标人须知</w:t>
      </w:r>
      <w:r>
        <w:rPr>
          <w:rFonts w:hint="eastAsia" w:ascii="宋体" w:hAnsi="宋体" w:eastAsia="宋体" w:cs="宋体"/>
          <w:bCs/>
          <w:color w:val="auto"/>
          <w:szCs w:val="21"/>
          <w:highlight w:val="none"/>
        </w:rPr>
        <w:tab/>
      </w:r>
    </w:p>
    <w:p w14:paraId="21EEAC4B">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（3）合同条款及格式</w:t>
      </w:r>
    </w:p>
    <w:p w14:paraId="63AEFE58">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（4）项目需求</w:t>
      </w:r>
    </w:p>
    <w:p w14:paraId="540FFC89">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（5）评标方法与评标标准</w:t>
      </w:r>
    </w:p>
    <w:p w14:paraId="7425CCAE">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（6）投标文件格式</w:t>
      </w:r>
    </w:p>
    <w:p w14:paraId="54A847AF">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请仔细检查招标文件是否齐全，如有缺漏请立即与代理机构联系解决。</w:t>
      </w:r>
    </w:p>
    <w:p w14:paraId="4214FDAC">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6.2 招标的最小单位是包。招标服务数量及技术要求中未分包的，供应商对要求提供的服务不得部分投标；招标服务数量及技术要求中已经分包的，应当以包为单位投标。</w:t>
      </w:r>
    </w:p>
    <w:p w14:paraId="05BE2FFF">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6.3 招标文件如果要求供应商提交备选投标方案的，供应商可以提交备选方案；否则，备选方案将被拒绝。</w:t>
      </w:r>
    </w:p>
    <w:p w14:paraId="1883F4EC">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5F36CA0">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7、招标文件的澄清</w:t>
      </w:r>
    </w:p>
    <w:p w14:paraId="19832935">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7.1 任何要求对招标文件进行澄清的投标人，应在投标截止日期的十日前按招标公告中的通讯地址，以书面形式通知代理机构。</w:t>
      </w:r>
    </w:p>
    <w:p w14:paraId="7141BB15">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8、招标文件的修改</w:t>
      </w:r>
    </w:p>
    <w:p w14:paraId="0B9D81A2">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8.1 在投标截止时间前，代理机构可以对招标文件进行修改。</w:t>
      </w:r>
    </w:p>
    <w:p w14:paraId="412A469E">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8.2代理机构在招标文件要求提交投标文件截止时间前，有权按照法定要求推迟投标截止时间和开标时间。</w:t>
      </w:r>
    </w:p>
    <w:p w14:paraId="63AC4280">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8.3招标文件的修改将在“扬州市政府采购网”、“江苏省政府采购网”公布，补充文件将作为招标文件的组成部分，并对投标人具有约束力。</w:t>
      </w:r>
    </w:p>
    <w:p w14:paraId="3991F5DC">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9、投标文件的语言、度量衡单位、货币</w:t>
      </w:r>
    </w:p>
    <w:p w14:paraId="6BF75BDE">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9.1投标人提交的投标文件以及投标人与代理机构就有关投标的所有来往通知、函件和文件均应使用简体中文。</w:t>
      </w:r>
    </w:p>
    <w:p w14:paraId="47013C53">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9.2 除技术性能另有规定外，投标文件所使用的度量衡单位，均须采用国家法定计量单位。</w:t>
      </w:r>
    </w:p>
    <w:p w14:paraId="55C72308">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9.3投标人应使用人民币报价。</w:t>
      </w:r>
    </w:p>
    <w:p w14:paraId="2DA436D1">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10、投标文件构成</w:t>
      </w:r>
    </w:p>
    <w:p w14:paraId="4454489C">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10.1投标文件由以下部分组成</w:t>
      </w:r>
    </w:p>
    <w:p w14:paraId="2702A911">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（1）资格审查响应对照表</w:t>
      </w:r>
    </w:p>
    <w:p w14:paraId="754EBBE2">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（2）符合性审查响应对照表</w:t>
      </w:r>
    </w:p>
    <w:p w14:paraId="1EB6347F">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（3）非实质性响应对照表</w:t>
      </w:r>
    </w:p>
    <w:p w14:paraId="1F871E37">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（4）开标一览表 </w:t>
      </w:r>
    </w:p>
    <w:p w14:paraId="3C7C9AB4">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（5）分项报价表 </w:t>
      </w:r>
    </w:p>
    <w:p w14:paraId="7BE18932">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（6）技术参数响应及偏离表 </w:t>
      </w:r>
    </w:p>
    <w:p w14:paraId="0BEAF875">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（7）商务条款响应及偏离表 </w:t>
      </w:r>
    </w:p>
    <w:p w14:paraId="72816083">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（8）其他 （投标人认为有必要提供的声明和文件，如有自拟并自行添加）</w:t>
      </w:r>
    </w:p>
    <w:p w14:paraId="4FCF087E">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10.2投标人应当根据招标文件要求编制投标文件，投标文件应对招标文件提出的要求和条件作出响应，并在相应的投标文件中逐条标明满足与否。</w:t>
      </w:r>
    </w:p>
    <w:p w14:paraId="35FD5BAD">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11、证明投标人资格及符合招标文件规定的文件</w:t>
      </w:r>
    </w:p>
    <w:p w14:paraId="12AE0C67">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11.1投标人应按要求提交资格证明文件及符合招标文件规定的文件。</w:t>
      </w:r>
    </w:p>
    <w:p w14:paraId="62EEABF2">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11.2投标人应提交证明其有资格参加投标和中标后有能力独立履行合同的文件。</w:t>
      </w:r>
    </w:p>
    <w:p w14:paraId="001475F4">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11.3投标人除必须具有履行合同所需提供的产品或服务的能力外，还必须具备相应的财务、技术方面的能力。</w:t>
      </w:r>
    </w:p>
    <w:p w14:paraId="24DF38D0">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11.4投标人应提交根据合同要求提供的证明服务质量合格以及符合招标文件规定的证明文件。</w:t>
      </w:r>
    </w:p>
    <w:p w14:paraId="04C05969">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11.5证明投标人所提供服务与招标文件的要求相一致的文件可以是手册、图纸、文字资料和数据。</w:t>
      </w:r>
    </w:p>
    <w:p w14:paraId="6071C986">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12、投标配置与分项报价表</w:t>
      </w:r>
    </w:p>
    <w:p w14:paraId="1A86580B">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p>
    <w:p w14:paraId="5145FC15">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12.2 标的物</w:t>
      </w:r>
    </w:p>
    <w:p w14:paraId="6243B466">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采购人需求的服务供应、安装，调试及有关技术服务等。</w:t>
      </w:r>
    </w:p>
    <w:p w14:paraId="59624EF5">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12.3有关费用处理</w:t>
      </w:r>
    </w:p>
    <w:p w14:paraId="56DEC6D2">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p>
    <w:p w14:paraId="6E51C5CA">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12.4其它费用处理</w:t>
      </w:r>
    </w:p>
    <w:p w14:paraId="7AB23424">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招标文件未列明，而投标人认为必需的费用也需列入报价。</w:t>
      </w:r>
    </w:p>
    <w:p w14:paraId="357C0EC4">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12.5投标货币</w:t>
      </w:r>
    </w:p>
    <w:p w14:paraId="69C66FEB">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投标文件中的服务单价和总价无特殊规定的采用人民币报价，以元为单位标注。招标文件中另有规定的按规定执行。</w:t>
      </w:r>
    </w:p>
    <w:p w14:paraId="6ED2C221">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12.6 投标配置与分项报价表上的价格应按下列方式分开填写：</w:t>
      </w:r>
    </w:p>
    <w:p w14:paraId="62F8420B">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1、项目总价：包括采购人需求的产品价格、质量保证费用、培训费用及售后服务费用，项目在指定地点、环境交付、安装、调试、验收所需费用和所有相关税金费用及为完成整个项目所产生的其他所有费用。</w:t>
      </w:r>
    </w:p>
    <w:p w14:paraId="437E85BD">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2、项目单价按投标配置及分项报价表中要求填报。</w:t>
      </w:r>
    </w:p>
    <w:p w14:paraId="66AEB5BA">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13、技术参数响应及偏离表、商务条款响应及偏离表及投标货物说明</w:t>
      </w:r>
    </w:p>
    <w:p w14:paraId="349AEA3B">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13.1 对招标文件中的技术与商务条款要求逐项作出响应或偏离，并说明原因；</w:t>
      </w:r>
    </w:p>
    <w:p w14:paraId="2B720A17">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13.2 提供参加本项目类似案例简介；</w:t>
      </w:r>
    </w:p>
    <w:p w14:paraId="21DC72EC">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13.3 培训计划；</w:t>
      </w:r>
    </w:p>
    <w:p w14:paraId="519129D2">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13.4 详细阐述所投货物的主要组成部分、功能设计、实现思路及关键技术；</w:t>
      </w:r>
    </w:p>
    <w:p w14:paraId="1C5C52A5">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13.5 投标人认为需要的其他技术文件或说明。</w:t>
      </w:r>
    </w:p>
    <w:p w14:paraId="2581992A">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14、服务承诺及售后服务机构、人员的情况介绍</w:t>
      </w:r>
    </w:p>
    <w:p w14:paraId="6EAC2CCE">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14.1投标人的服务承诺应按不低于招标文件中商务要求的标准。</w:t>
      </w:r>
    </w:p>
    <w:p w14:paraId="2E19B99F">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14.2提供投标人有关售后服务的管理制度、售后服务机构的分布情况、售后服务人员的数量、素质、技术水平及售后服务的反应能力。</w:t>
      </w:r>
    </w:p>
    <w:p w14:paraId="1E4CEA60">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15、投标函和开标一览表</w:t>
      </w:r>
    </w:p>
    <w:p w14:paraId="16AFF821">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15.1 投标人应按照招标文件中提供的格式完整、正确填写投标函、开标一览表。</w:t>
      </w:r>
    </w:p>
    <w:p w14:paraId="594CC2BE">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15.2 开标一览表中的价格应与投标文件中分项报价表中的价格一致，如不一致，不作为无效投标处理，但评标时按开标一览表中价格为准。</w:t>
      </w:r>
    </w:p>
    <w:p w14:paraId="1386B01B">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16、投标有效期</w:t>
      </w:r>
    </w:p>
    <w:p w14:paraId="661D0E6F">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16.1 投标有效期为开标之日起六十（60）天。投标有效期比规定短的将被视为非响应性投标而予以拒绝。</w:t>
      </w:r>
    </w:p>
    <w:p w14:paraId="6B9CAB95">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p>
    <w:p w14:paraId="2A5F9D41">
      <w:pPr>
        <w:spacing w:line="360" w:lineRule="auto"/>
        <w:ind w:firstLine="422"/>
        <w:rPr>
          <w:rFonts w:hint="eastAsia" w:ascii="宋体" w:hAnsi="宋体" w:eastAsia="宋体" w:cs="宋体"/>
          <w:b/>
          <w:color w:val="auto"/>
          <w:szCs w:val="21"/>
          <w:highlight w:val="none"/>
        </w:rPr>
      </w:pPr>
      <w:bookmarkStart w:id="38" w:name="_Toc513029225"/>
      <w:bookmarkStart w:id="39" w:name="_Toc462564084"/>
      <w:bookmarkStart w:id="40" w:name="_Toc20823297"/>
      <w:bookmarkStart w:id="41" w:name="_Toc16938541"/>
      <w:r>
        <w:rPr>
          <w:rFonts w:hint="eastAsia" w:ascii="宋体" w:hAnsi="宋体" w:eastAsia="宋体" w:cs="宋体"/>
          <w:b/>
          <w:color w:val="auto"/>
          <w:szCs w:val="21"/>
          <w:highlight w:val="none"/>
        </w:rPr>
        <w:t>17、投标文件</w:t>
      </w:r>
      <w:bookmarkEnd w:id="38"/>
      <w:bookmarkEnd w:id="39"/>
      <w:bookmarkEnd w:id="40"/>
      <w:bookmarkEnd w:id="41"/>
      <w:r>
        <w:rPr>
          <w:rFonts w:hint="eastAsia" w:ascii="宋体" w:hAnsi="宋体" w:eastAsia="宋体" w:cs="宋体"/>
          <w:b/>
          <w:color w:val="auto"/>
          <w:szCs w:val="21"/>
          <w:highlight w:val="none"/>
        </w:rPr>
        <w:t>的递交</w:t>
      </w:r>
    </w:p>
    <w:p w14:paraId="579D0BD4">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17.1 电子投标文件的递交投标人应当按照《操作手册》规定，在投标截止时间前制作并上传电子投标文件。</w:t>
      </w:r>
      <w:bookmarkStart w:id="42" w:name="_Toc20823298"/>
      <w:bookmarkStart w:id="43" w:name="_Toc513029226"/>
      <w:bookmarkStart w:id="44" w:name="_Toc16938542"/>
    </w:p>
    <w:p w14:paraId="48DCB402">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17.2</w:t>
      </w:r>
      <w:r>
        <w:rPr>
          <w:rFonts w:hint="eastAsia" w:ascii="宋体" w:hAnsi="宋体" w:eastAsia="宋体" w:cs="宋体"/>
          <w:b/>
          <w:bCs/>
          <w:color w:val="auto"/>
          <w:szCs w:val="21"/>
          <w:highlight w:val="none"/>
        </w:rPr>
        <w:t>政府采购管理交易系统（苏采云）</w:t>
      </w:r>
      <w:r>
        <w:rPr>
          <w:rFonts w:hint="eastAsia" w:ascii="宋体" w:hAnsi="宋体" w:eastAsia="宋体" w:cs="宋体"/>
          <w:b/>
          <w:color w:val="auto"/>
          <w:szCs w:val="21"/>
          <w:highlight w:val="none"/>
        </w:rPr>
        <w:t>相关要求是本招标文件的组成部分。</w:t>
      </w:r>
    </w:p>
    <w:p w14:paraId="781E77D1">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17.3投标人应对 CA 证书妥善保管，如被他人盗用投标，因此带来的结果均由投标人自行承担。</w:t>
      </w:r>
    </w:p>
    <w:p w14:paraId="57A2255C">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17.4投标人应当对招标文件提出的要求和条件作出实质性响应，并在电子投标系统逐条应答。</w:t>
      </w:r>
    </w:p>
    <w:p w14:paraId="4E3C73F9">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17.5投标人应对要求提供的资格证明文件（如资质证书、资格证书）、技术资料（如白皮书、彩页、手册、检测报告等）扫描上传至投标系统。</w:t>
      </w:r>
    </w:p>
    <w:p w14:paraId="653FEA41">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17.6投标人应当在招标文件要求提交投标文件的截止时间前，将投标文件提交至“苏采云”系统，逾期提交的投标文件，“苏采云”系统将自动拒收。</w:t>
      </w:r>
    </w:p>
    <w:p w14:paraId="1CEB6489">
      <w:pPr>
        <w:spacing w:line="360" w:lineRule="auto"/>
        <w:ind w:firstLine="422"/>
        <w:rPr>
          <w:rFonts w:hint="eastAsia" w:ascii="宋体" w:hAnsi="宋体" w:eastAsia="宋体" w:cs="宋体"/>
          <w:color w:val="auto"/>
          <w:highlight w:val="none"/>
        </w:rPr>
      </w:pPr>
      <w:r>
        <w:rPr>
          <w:rFonts w:hint="eastAsia" w:ascii="宋体" w:hAnsi="宋体" w:eastAsia="宋体" w:cs="宋体"/>
          <w:b/>
          <w:color w:val="auto"/>
          <w:szCs w:val="21"/>
          <w:highlight w:val="none"/>
        </w:rPr>
        <w:t>17.7各投标人应在规定时间内凭CA证书进行网上解密。</w:t>
      </w:r>
    </w:p>
    <w:p w14:paraId="24A38C04">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18、投标截止日期</w:t>
      </w:r>
      <w:bookmarkEnd w:id="42"/>
      <w:bookmarkEnd w:id="43"/>
      <w:bookmarkEnd w:id="44"/>
    </w:p>
    <w:p w14:paraId="7C15B85E">
      <w:pPr>
        <w:spacing w:line="360" w:lineRule="auto"/>
        <w:ind w:firstLine="420"/>
        <w:rPr>
          <w:rFonts w:hint="eastAsia" w:ascii="宋体" w:hAnsi="宋体" w:eastAsia="宋体" w:cs="宋体"/>
          <w:bCs/>
          <w:i/>
          <w:iCs/>
          <w:color w:val="auto"/>
          <w:szCs w:val="21"/>
          <w:highlight w:val="none"/>
          <w:u w:val="single"/>
        </w:rPr>
      </w:pPr>
      <w:r>
        <w:rPr>
          <w:rFonts w:hint="eastAsia" w:ascii="宋体" w:hAnsi="宋体" w:eastAsia="宋体" w:cs="宋体"/>
          <w:bCs/>
          <w:i/>
          <w:iCs/>
          <w:color w:val="auto"/>
          <w:szCs w:val="21"/>
          <w:highlight w:val="none"/>
          <w:u w:val="single"/>
        </w:rPr>
        <w:t>18.1 投标人上传电子投标文件的时间不得迟于招标公告中规定的投标截止时间。</w:t>
      </w:r>
    </w:p>
    <w:p w14:paraId="11DB5612">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投标人应充分考虑到网络环境、网络带宽等风险因素，如因投标人自身原因造成的电子投标文件上传不成功由投标人自行承担全部责任。</w:t>
      </w:r>
    </w:p>
    <w:p w14:paraId="445A57D9">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18.2 代理机构可以按照规定，通过修改招标文件延长投标截止日期，在此情况下，投标人的所有权利和义务以及投标人受制的截止日期均应以延长后新的截止日期为准。</w:t>
      </w:r>
    </w:p>
    <w:p w14:paraId="59D68EAE">
      <w:pPr>
        <w:spacing w:line="360" w:lineRule="auto"/>
        <w:ind w:firstLine="422"/>
        <w:rPr>
          <w:rFonts w:hint="eastAsia" w:ascii="宋体" w:hAnsi="宋体" w:eastAsia="宋体" w:cs="宋体"/>
          <w:b/>
          <w:color w:val="auto"/>
          <w:szCs w:val="21"/>
          <w:highlight w:val="none"/>
        </w:rPr>
      </w:pPr>
      <w:bookmarkStart w:id="45" w:name="_Toc513029227"/>
      <w:bookmarkStart w:id="46" w:name="_Toc16938543"/>
      <w:bookmarkStart w:id="47" w:name="_Toc20823299"/>
      <w:r>
        <w:rPr>
          <w:rFonts w:hint="eastAsia" w:ascii="宋体" w:hAnsi="宋体" w:eastAsia="宋体" w:cs="宋体"/>
          <w:b/>
          <w:color w:val="auto"/>
          <w:szCs w:val="21"/>
          <w:highlight w:val="none"/>
        </w:rPr>
        <w:t>19、投标文件</w:t>
      </w:r>
      <w:bookmarkEnd w:id="45"/>
      <w:bookmarkEnd w:id="46"/>
      <w:bookmarkEnd w:id="47"/>
      <w:r>
        <w:rPr>
          <w:rFonts w:hint="eastAsia" w:ascii="宋体" w:hAnsi="宋体" w:eastAsia="宋体" w:cs="宋体"/>
          <w:b/>
          <w:color w:val="auto"/>
          <w:szCs w:val="21"/>
          <w:highlight w:val="none"/>
        </w:rPr>
        <w:t>的拒收</w:t>
      </w:r>
    </w:p>
    <w:p w14:paraId="76E7E75B">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19.1代理机构拒绝接收在其规定的投标截止时间后上传的任何投标文件。</w:t>
      </w:r>
    </w:p>
    <w:p w14:paraId="0DECC526">
      <w:pPr>
        <w:spacing w:line="360" w:lineRule="auto"/>
        <w:ind w:firstLine="422"/>
        <w:rPr>
          <w:rFonts w:hint="eastAsia" w:ascii="宋体" w:hAnsi="宋体" w:eastAsia="宋体" w:cs="宋体"/>
          <w:b/>
          <w:color w:val="auto"/>
          <w:szCs w:val="21"/>
          <w:highlight w:val="none"/>
        </w:rPr>
      </w:pPr>
      <w:bookmarkStart w:id="48" w:name="_Toc20823300"/>
      <w:bookmarkStart w:id="49" w:name="_Toc16938544"/>
      <w:bookmarkStart w:id="50" w:name="_Toc513029228"/>
      <w:r>
        <w:rPr>
          <w:rFonts w:hint="eastAsia" w:ascii="宋体" w:hAnsi="宋体" w:eastAsia="宋体" w:cs="宋体"/>
          <w:b/>
          <w:color w:val="auto"/>
          <w:szCs w:val="21"/>
          <w:highlight w:val="none"/>
        </w:rPr>
        <w:t>20、投标文件的撤回和修改</w:t>
      </w:r>
      <w:bookmarkEnd w:id="48"/>
      <w:bookmarkEnd w:id="49"/>
      <w:bookmarkEnd w:id="50"/>
    </w:p>
    <w:p w14:paraId="682ECD81">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20.1 投标文件的撤回</w:t>
      </w:r>
    </w:p>
    <w:p w14:paraId="635714D2">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20.1.1 电子投标文件的撤回</w:t>
      </w:r>
    </w:p>
    <w:p w14:paraId="1E5EE64A">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投标人可在投标截止时间前，撤回其电子投标文件，具体操作方法见《操作手册》。</w:t>
      </w:r>
    </w:p>
    <w:p w14:paraId="46E017C3">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20.1.2 投标人撤回电子投标文件，则认为其不再参与本项目投标活动。</w:t>
      </w:r>
    </w:p>
    <w:p w14:paraId="7CF39A71">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20.2 投标文件的修改</w:t>
      </w:r>
    </w:p>
    <w:p w14:paraId="201DFEBA">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投标人可在投标截止时间前，对其电子投标文件进行修改，具体操作方法见《操作手册》。</w:t>
      </w:r>
    </w:p>
    <w:p w14:paraId="68938B10">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20.3 在投标截止时间之后，投标人不得对其电子投标文件作任何修改。</w:t>
      </w:r>
    </w:p>
    <w:p w14:paraId="2E8BB479">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20.4 在投标截止时间至招标文件中规定的投标有效期满之间的这段时间内，投标人不得撤回其投标。</w:t>
      </w:r>
    </w:p>
    <w:p w14:paraId="46446DF8">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21、开标</w:t>
      </w:r>
    </w:p>
    <w:p w14:paraId="333B58F0">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21.1 代理机构将在招标公告中规定的时间和地点组织公开开标。投标人应当按照《操作手册》规定，参加开标活动。投标人未参加开标的，视同认可开标结果。</w:t>
      </w:r>
    </w:p>
    <w:p w14:paraId="2156F01F">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rPr>
          <w:rFonts w:hint="eastAsia" w:ascii="宋体" w:hAnsi="宋体" w:eastAsia="宋体" w:cs="宋体"/>
          <w:b/>
          <w:color w:val="auto"/>
          <w:szCs w:val="21"/>
          <w:highlight w:val="none"/>
        </w:rPr>
        <w:t>21.2开标仪式由代理机构组织。“政府采购管理交易系统（苏采云）”将自动对项目进行开标，并宣读各投标人的《开标一览表》。</w:t>
      </w:r>
    </w:p>
    <w:p w14:paraId="0DD89485">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21.3投标人在开标过程中涉及到的投标文件解密、开标结果确认等工作，应按照《操作手册》规定执行。</w:t>
      </w:r>
    </w:p>
    <w:p w14:paraId="2C3EAF63">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22、评标委员会</w:t>
      </w:r>
    </w:p>
    <w:p w14:paraId="4467C5FE">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22.1 开标后，代理机构将立即组织评标委员会（以下简称评委会）进行评标。</w:t>
      </w:r>
    </w:p>
    <w:p w14:paraId="76A845DF">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22.2 评委会由采购人代表和有关技术、经济等方面的专家组成，且人员构成符合政府采购有关规定。</w:t>
      </w:r>
    </w:p>
    <w:p w14:paraId="1BD10FBD">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22.3评委会独立工作，负责评审所有投标文件并确定中标候选人。</w:t>
      </w:r>
    </w:p>
    <w:p w14:paraId="3926CF3A">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23、评标过程的保密与公正</w:t>
      </w:r>
    </w:p>
    <w:p w14:paraId="4A4A38BA">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23.1公开开标后，直至签订合同之日止，凡是与审查、澄清、评价和比较投标的有关资料以及授标建议等，采购人、评委、代理机构工作人员均不得向投标人或与评标无关的其他人员透露。</w:t>
      </w:r>
    </w:p>
    <w:p w14:paraId="353C998A">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23.2在评标过程中，投标人不得以任何行为影响评标过程，否则其投标文件将被作为无效投标文件。</w:t>
      </w:r>
    </w:p>
    <w:p w14:paraId="06693C99">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23.3 在评标期间，代理机构将设专门工作人员与投标人联系。</w:t>
      </w:r>
    </w:p>
    <w:p w14:paraId="7AC3B190">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23.4 代理机构和评委会不向未中标的投标人解释未中标原因，也不公布评标过程中的相关细节。</w:t>
      </w:r>
    </w:p>
    <w:p w14:paraId="5D7BE2DB">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23.5 采用综合评分法的项目，未中标的投标人可于中标结果公告期限届满之日起通过“政府采购管理交易系统（苏采云）”查看自己的评审得分及排序情况。</w:t>
      </w:r>
    </w:p>
    <w:p w14:paraId="2C1B0FA2">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24、投标的澄清</w:t>
      </w:r>
    </w:p>
    <w:p w14:paraId="20B645DE">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24.1评标期间，为有助于对投标文件的审查、评价和比较，评委会有权以电子函件形式要求投标人对其投标文件进行澄清，但并非对每个投标人都作澄清要求。</w:t>
      </w:r>
    </w:p>
    <w:p w14:paraId="1A5E6EEA">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p>
    <w:p w14:paraId="446E10F5">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24.3 接到评委会澄清要求的投标人如未按规定做出澄清，其风险由投标人自行承担。</w:t>
      </w:r>
    </w:p>
    <w:p w14:paraId="0C91F35B">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25、对投标文件的初审</w:t>
      </w:r>
    </w:p>
    <w:p w14:paraId="32D21D23">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25.1投标文件初审分为资格审查和符合性审查。</w:t>
      </w:r>
    </w:p>
    <w:p w14:paraId="4DB63C7B">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25.1.1资格审查：依据法律法规和招标文件的规定，由采购人对投标文件中的资格证明文件进行审查。并将审查结论以书面形式向评委会反馈。</w:t>
      </w:r>
    </w:p>
    <w:p w14:paraId="4D557DCC">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p>
    <w:p w14:paraId="745ABEE2">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若接受联合体投标的项目，两个以上的自然人、法人或者其他组织组成一个联合体，以一个供应商的身份共同参加政府采购活动的,联合体成员存在不良信用记录的，视同联合体存在不良信用记录。</w:t>
      </w:r>
    </w:p>
    <w:p w14:paraId="7505F639">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25.1.2符合性检查：依据招标文件的规定，由评委会从投标文件的有效性、完整性和对招标文件的响应程度进行审查，以确定是否对招标文件的实质性要求作出响应。</w:t>
      </w:r>
    </w:p>
    <w:p w14:paraId="00E55367">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25.1.3 未通过资格审查或符合性审查的投标人，代理机构将在“政府采购管理交易系统（苏采云）”中告知未通过资格审查或符合性审查的原因，评审结束后，代理机构将不再告知未通过资格审查或符合性审查的原因。</w:t>
      </w:r>
    </w:p>
    <w:p w14:paraId="7C1EC9B3">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1A0A3EF2">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p>
    <w:p w14:paraId="1E4E5348">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25.3如果投标文件实质上没有响应招标文件的要求，评委会将予以拒绝，投标人不得通过修改或撤销不合要求的偏离或保留而使其投标成为实质性响应的投标。</w:t>
      </w:r>
    </w:p>
    <w:p w14:paraId="5D27DDE2">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25.4评委会将对确定为实质性响应的投标进行进一步审核，看其是否有计算上或累加上的算术错误，修正错误的原则如下：</w:t>
      </w:r>
    </w:p>
    <w:p w14:paraId="3F023650">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（1）投标文件中开标一览表内容与投标文件中相应内容不一致的，以开标一览表为准。</w:t>
      </w:r>
    </w:p>
    <w:p w14:paraId="7AB19C7B">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（2）大写金额与小写金额不一致的，以大写金额为准。</w:t>
      </w:r>
    </w:p>
    <w:p w14:paraId="60BC9F20">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（3）单价金额小数点或者百分比有明显错位的，以开标一览表的总价为准，并修改单价。</w:t>
      </w:r>
    </w:p>
    <w:p w14:paraId="773D868D">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（4）总价金额与按单价汇总金额不一致的，以单价金额计算结果为准。</w:t>
      </w:r>
    </w:p>
    <w:p w14:paraId="57D21DF1">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同时出现两种以上错误的，按照前款规定的顺序修正。</w:t>
      </w:r>
    </w:p>
    <w:p w14:paraId="54A8890F">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25.5评委会将按上述修正错误的方法调整投标文件中的投标报价，并通过“政府采购管理交易系统（苏采云）”告知投标人，调整后的价格应对投标人具有约束力。如果投标人不接受修正后的价格，则其投标将被拒绝。</w:t>
      </w:r>
    </w:p>
    <w:p w14:paraId="792B7945">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25.6评委会将允许修正投标文件中不构成重大偏离的、微小的、非正规的、不一致的或不规则的地方，但这些修改不能影响任何投标人相应的名次排列。</w:t>
      </w:r>
    </w:p>
    <w:p w14:paraId="61B4F8E8">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p>
    <w:p w14:paraId="648707B5">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p>
    <w:p w14:paraId="31D9FB6C">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非单一产品采购项目，招标文件中将载明其中的核心产品。多家投标人提供的核心产品品牌相同的，按前两款规定处理。</w:t>
      </w:r>
    </w:p>
    <w:p w14:paraId="7B1E6798">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25.8 投标人在开、评标全过程中应保持通讯畅通，并安排专人与代理机构及评委会联系。</w:t>
      </w:r>
    </w:p>
    <w:p w14:paraId="064B8833">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26、无效投标、废标及投标人不足三家的处理</w:t>
      </w:r>
    </w:p>
    <w:p w14:paraId="41E6F7F7">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26.1无效投标条款</w:t>
      </w:r>
    </w:p>
    <w:p w14:paraId="40CE6A67">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26.1.1 投标人未成功解密电子投标文件的。</w:t>
      </w:r>
    </w:p>
    <w:p w14:paraId="2AC60301">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26.1.2 投标人未按照招标文件要求上传电子投标文件的。</w:t>
      </w:r>
    </w:p>
    <w:p w14:paraId="7ADBF0C7">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26.1.3投标人在报价时采用选择性报价的。</w:t>
      </w:r>
    </w:p>
    <w:p w14:paraId="56037F84">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26.1.4投标人不具备招标文件中规定资格要求的。</w:t>
      </w:r>
    </w:p>
    <w:p w14:paraId="1FBF65F6">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26.1.5投标人的报价超过了采购预算或最高限价的。</w:t>
      </w:r>
    </w:p>
    <w:p w14:paraId="62ECD8EE">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26.1.6未通过符合性审查的。</w:t>
      </w:r>
    </w:p>
    <w:p w14:paraId="6A2B26F8">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26.1.7不符合招标文件中规定的其他实质性要求和条件的（</w:t>
      </w:r>
      <w:r>
        <w:rPr>
          <w:rFonts w:hint="eastAsia" w:ascii="宋体" w:hAnsi="宋体" w:eastAsia="宋体" w:cs="宋体"/>
          <w:bCs/>
          <w:i/>
          <w:iCs/>
          <w:color w:val="auto"/>
          <w:szCs w:val="21"/>
          <w:highlight w:val="none"/>
          <w:u w:val="single"/>
        </w:rPr>
        <w:t>本招标文件中斜体且有下划线部分为实质性要求和条件</w:t>
      </w:r>
      <w:r>
        <w:rPr>
          <w:rFonts w:hint="eastAsia" w:ascii="宋体" w:hAnsi="宋体" w:eastAsia="宋体" w:cs="宋体"/>
          <w:bCs/>
          <w:color w:val="auto"/>
          <w:szCs w:val="21"/>
          <w:highlight w:val="none"/>
        </w:rPr>
        <w:t>）。</w:t>
      </w:r>
    </w:p>
    <w:p w14:paraId="02158B99">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p>
    <w:p w14:paraId="2FBD4D7C">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26.1.9  投标文件含有采购人不能接受的附加条件的。</w:t>
      </w:r>
    </w:p>
    <w:p w14:paraId="259722F3">
      <w:pPr>
        <w:spacing w:line="360" w:lineRule="auto"/>
        <w:ind w:firstLine="420"/>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26.1.10 异常低价投标（响应）</w:t>
      </w:r>
    </w:p>
    <w:p w14:paraId="6E080D48">
      <w:pPr>
        <w:spacing w:line="360" w:lineRule="auto"/>
        <w:ind w:firstLine="420"/>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26.1.10.1投标（响应）报价低于全部通过符合性审查供应商投标（响应）报价平均值50%的，即投标（响应）报价&lt;全部通过符合性审查供应商投标（响应）报价平均值×50%；</w:t>
      </w:r>
    </w:p>
    <w:p w14:paraId="698C9936">
      <w:pPr>
        <w:spacing w:line="360" w:lineRule="auto"/>
        <w:ind w:firstLine="420"/>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26.1.10.2投标（响应）报价低于通过符合性审查的次低报价供应商投标（响应）报价50%的，即投标（响应）报价&lt;通过符合性审查的次低报价供应商投标（响应）报价×50%；</w:t>
      </w:r>
    </w:p>
    <w:p w14:paraId="6BCC49EE">
      <w:pPr>
        <w:spacing w:line="360" w:lineRule="auto"/>
        <w:ind w:firstLine="420"/>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26.1.10.3投标（响应）报价低于采购项目最高限价 45% 的，即投标（响应）报价&lt;采购项目最高限价×45% ；</w:t>
      </w:r>
    </w:p>
    <w:p w14:paraId="2973C7EF">
      <w:pPr>
        <w:spacing w:line="360" w:lineRule="auto"/>
        <w:ind w:firstLine="420"/>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26.1.10.4评审委员会认定的供应商报价过低、有可能影响产品质量或者不能诚信履约的其他情形。</w:t>
      </w:r>
    </w:p>
    <w:p w14:paraId="5249E925">
      <w:pPr>
        <w:spacing w:line="360" w:lineRule="auto"/>
        <w:ind w:firstLine="420"/>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26.1.10.5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F6DB5CC">
      <w:pPr>
        <w:spacing w:line="360" w:lineRule="auto"/>
        <w:ind w:firstLine="420"/>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0B88AFC">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
          <w:bCs w:val="0"/>
          <w:color w:val="auto"/>
          <w:szCs w:val="21"/>
          <w:highlight w:val="none"/>
        </w:rPr>
        <w:t>异常低价投标（响应）审查的启动原因、审查意见和审查结果应当在评审报告中记录，并随供应商提供的相关书面说明及证明材料，以及评审委员会有关互联网浏览、查询历史一并归档。</w:t>
      </w:r>
    </w:p>
    <w:p w14:paraId="6C68B7B4">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26.1.11 本项目采购产品被财政部、国家发改委、生态环境部等列入“节能产品品目清单”、“环境标志产品品目清单”强制采购范围，而投标人所投标产品不在强制采购范围内的。</w:t>
      </w:r>
    </w:p>
    <w:p w14:paraId="7FA5C1C0">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26.1.12 投标文件未按照招标文件要求加盖电子签章。</w:t>
      </w:r>
    </w:p>
    <w:p w14:paraId="0559690A">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26.1.13其他法律、法规及本招标文件规定的属无效投标的情形。</w:t>
      </w:r>
    </w:p>
    <w:p w14:paraId="4EC91DB4">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26.2废标条款：</w:t>
      </w:r>
    </w:p>
    <w:p w14:paraId="512121B5">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26.2.1符合专业条件的供应商或者对招标文件作实质响应的供应商不足三家的。26.2.2出现影响采购公正的违法、违规行为的。</w:t>
      </w:r>
    </w:p>
    <w:p w14:paraId="6054B9A3">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26.2.3因重大变故，采购任务取消的。</w:t>
      </w:r>
    </w:p>
    <w:p w14:paraId="15E046E0">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26.2.4评委会认定招标文件存在歧义、重大缺陷导致评审工作无法进行。</w:t>
      </w:r>
    </w:p>
    <w:p w14:paraId="74BA4184">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26.3 投标截止时间结束后参加投标的供应商不足三家的处理：</w:t>
      </w:r>
    </w:p>
    <w:p w14:paraId="4457E94A">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26.3.1如出现投标截止时间结束后参加投标的供应商或者在评标期间对招标文件做出实质性响应的供应商不足三家情况，按政府采购相关规定执行。</w:t>
      </w:r>
    </w:p>
    <w:p w14:paraId="0746759A">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27、确定中标单位</w:t>
      </w:r>
    </w:p>
    <w:p w14:paraId="2FAC9874">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27.1评委会根据本招标文件规定评标方法与评标标准向采购人推荐出中标候选人。</w:t>
      </w:r>
    </w:p>
    <w:p w14:paraId="68BA53AB">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27.2 采购人应根据评委会推荐的中标候选人确定中标人。</w:t>
      </w:r>
    </w:p>
    <w:p w14:paraId="44F3AC00">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27.3代理机构将在“扬州市政府采购网”、“江苏省政府采购网”发布中标公告，公告期限为1个工作日。</w:t>
      </w:r>
    </w:p>
    <w:p w14:paraId="14B383B2">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27.4若有充分证据证明，中标人出现下列情况之一的，一经查实，将被取消中标资格：</w:t>
      </w:r>
    </w:p>
    <w:p w14:paraId="2F0E1A9E">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27.4.1提供虚假材料谋取中标的；</w:t>
      </w:r>
    </w:p>
    <w:p w14:paraId="1253D43D">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27.4.2向采购人、代理机构行贿或者提供其他不正当利益的；</w:t>
      </w:r>
    </w:p>
    <w:p w14:paraId="7AECA701">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27.4.3恶意竞争，投标总报价明显低于其自身合理成本且又无法提供证明的；</w:t>
      </w:r>
    </w:p>
    <w:p w14:paraId="1C79CC87">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27.4.4属于本文件规定的无效条件，但在评标过程中又未被评委会发现的；</w:t>
      </w:r>
    </w:p>
    <w:p w14:paraId="38CA00E2">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27.4.5与采购人或者其他投标人恶意串通的；</w:t>
      </w:r>
    </w:p>
    <w:p w14:paraId="5DADA448">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27.4.6采取不正当手段诋毁、排挤其他供应商的；</w:t>
      </w:r>
    </w:p>
    <w:p w14:paraId="4E65E4D8">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27.4.7不符合法律、法规的规定的。</w:t>
      </w:r>
    </w:p>
    <w:p w14:paraId="235C7DCA">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27.5. 有下列情形之一的，视为投标人串通投标，投标无效：</w:t>
      </w:r>
    </w:p>
    <w:p w14:paraId="3B60228F">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27.5.1不同投标人的投标文件由同一单位或者个人编制。</w:t>
      </w:r>
    </w:p>
    <w:p w14:paraId="2020EB5D">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27.5.2不同投标人委托同一单位或者个人办理投标事宜。</w:t>
      </w:r>
    </w:p>
    <w:p w14:paraId="228CB872">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27.5.3 不同投标人的投标文件载明的项目管理成员或者联系人员为同一人。</w:t>
      </w:r>
    </w:p>
    <w:p w14:paraId="2E76EA5C">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27.5.4不同投标人的投标文件异常一致或者投标报价呈规律性差异。</w:t>
      </w:r>
    </w:p>
    <w:p w14:paraId="5B361054">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27.5.5不同投标人的投标文件相互混装。</w:t>
      </w:r>
    </w:p>
    <w:p w14:paraId="48F31308">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28、质疑处理</w:t>
      </w:r>
    </w:p>
    <w:p w14:paraId="5BC62226">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28.1提出质疑的供应商应当是参与所质疑项目采购活动的供应商。潜在供应商依法获取其可质疑的采购文件的，可以对采购文件提出质疑。</w:t>
      </w:r>
    </w:p>
    <w:p w14:paraId="39A40969">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对项目需求部分的质疑，潜在供应商应向采购人提出，由采购人负责答复。</w:t>
      </w:r>
    </w:p>
    <w:p w14:paraId="0A7B8A77">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28.2投标人认为采购文件、采购过程和中标或成交结果使自己的权益受到损害的，可以在知道或应知其权益受到损害之日起7个工作日内，以书面形式向采购人或代理机构提出质疑。</w:t>
      </w:r>
    </w:p>
    <w:p w14:paraId="60092E7F">
      <w:pPr>
        <w:spacing w:line="360" w:lineRule="auto"/>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28.2.1对采购文件提出质疑的，应当在获取采购文件之日或者采购文件公告期限届满之日起7个工作日内提出。</w:t>
      </w:r>
      <w:r>
        <w:rPr>
          <w:rFonts w:hint="eastAsia" w:ascii="宋体" w:hAnsi="宋体" w:eastAsia="宋体" w:cs="宋体"/>
          <w:bCs/>
          <w:color w:val="auto"/>
          <w:szCs w:val="21"/>
          <w:highlight w:val="none"/>
        </w:rPr>
        <w:br w:type="textWrapping"/>
      </w:r>
      <w:r>
        <w:rPr>
          <w:rFonts w:hint="eastAsia" w:ascii="宋体" w:hAnsi="宋体" w:eastAsia="宋体" w:cs="宋体"/>
          <w:bCs/>
          <w:color w:val="auto"/>
          <w:szCs w:val="21"/>
          <w:highlight w:val="none"/>
        </w:rPr>
        <w:t xml:space="preserve">    28.2.2对采购过程提出质疑的，为各采购程序环节结束之日起7个工作日内提出。</w:t>
      </w:r>
      <w:r>
        <w:rPr>
          <w:rFonts w:hint="eastAsia" w:ascii="宋体" w:hAnsi="宋体" w:eastAsia="宋体" w:cs="宋体"/>
          <w:bCs/>
          <w:color w:val="auto"/>
          <w:szCs w:val="21"/>
          <w:highlight w:val="none"/>
        </w:rPr>
        <w:br w:type="textWrapping"/>
      </w:r>
      <w:r>
        <w:rPr>
          <w:rFonts w:hint="eastAsia" w:ascii="宋体" w:hAnsi="宋体" w:eastAsia="宋体" w:cs="宋体"/>
          <w:bCs/>
          <w:color w:val="auto"/>
          <w:szCs w:val="21"/>
          <w:highlight w:val="none"/>
        </w:rPr>
        <w:t xml:space="preserve">    28.2.3对中标结果提出质疑的，为中标结果公告期限届满之日起7个工作日内提出。</w:t>
      </w:r>
    </w:p>
    <w:p w14:paraId="08540761">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28.3供应商应在法定质疑期内一次性提出针对同一采购程序环节的质疑。供应商如在法定期限内对同一采购程序环节提出多次质疑的，代理机构、采购人将只对供应商第一次质疑作出答复。</w:t>
      </w:r>
    </w:p>
    <w:p w14:paraId="29212426">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p>
    <w:p w14:paraId="1BBF9285">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28.5 代理机构及采购人只接收以纸质原件形式送达的质疑。</w:t>
      </w:r>
    </w:p>
    <w:p w14:paraId="0044F7EC">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采购人质疑接收人及联系方式见招标文件第一章。</w:t>
      </w:r>
    </w:p>
    <w:p w14:paraId="7BCF6E0B">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28.6代理机构收到质疑申请后，将对质疑的形式和内容进行审查，如质疑内容、格式不符合规定，代理机构将告知质疑人进行补正。</w:t>
      </w:r>
    </w:p>
    <w:p w14:paraId="27B7C272">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28.7质疑人应当在法定质疑期限内进行补正并重新提交质疑函。</w:t>
      </w:r>
    </w:p>
    <w:p w14:paraId="5528C63F">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28.8 以下情形的质疑不予受理</w:t>
      </w:r>
    </w:p>
    <w:p w14:paraId="217B4BB2">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28.8.1 内容不符合《政府采购质疑和投诉办法》第十二条规定的质疑。</w:t>
      </w:r>
    </w:p>
    <w:p w14:paraId="1BC7B31D">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28.8.2 超出政府采购法定期限的质疑。</w:t>
      </w:r>
    </w:p>
    <w:p w14:paraId="2693814C">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28.8.3 以传真、电子邮件等方式递交的非原件形式的质疑。</w:t>
      </w:r>
    </w:p>
    <w:p w14:paraId="2E080C32">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28.8.4 未参加投标活动的供应商或在投标活动中自身权益未受到损害的供应商所提出的质疑。</w:t>
      </w:r>
    </w:p>
    <w:p w14:paraId="6C0BB90D">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28.8.5供应商组成联合体参加投标，联合体中任何一方或多方未按要求签字、盖章、加盖公章的质疑。</w:t>
      </w:r>
    </w:p>
    <w:p w14:paraId="40CE2B38">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14:paraId="51EE86B8">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28.10代理机构应当在收到供应商的书面质疑后7个工作日内作出答复，并以书面形式通知质疑供应商和其他有关供应商，但答复的内容不得涉及商业秘密。</w:t>
      </w:r>
    </w:p>
    <w:p w14:paraId="6494675E">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29、中标通知书</w:t>
      </w:r>
    </w:p>
    <w:p w14:paraId="533D5624">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29.l 中标结果确定后，代理机构将向中标人发出中标通知书。</w:t>
      </w:r>
    </w:p>
    <w:p w14:paraId="51CED746">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29.2 中标人可在“政府采购管理交易系统（苏采云）”中标通知书下载模块中自行下载中标通知书。</w:t>
      </w:r>
    </w:p>
    <w:p w14:paraId="7FF4186C">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29.3中标通知书将是合同的一个组成部分。对采购人和中标人均具有法律效力。中标通知书发出后，采购人改变中标结果的，或者中标人放弃中标项目的，应当依法承担法律责任。</w:t>
      </w:r>
    </w:p>
    <w:p w14:paraId="1E96A01B">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30、 签订合同</w:t>
      </w:r>
    </w:p>
    <w:p w14:paraId="49C39B4C">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30.l中标人应在中标通知书发出之日起十五日内，按照招标文件确定的事项与采购人签订政府采购合同。</w:t>
      </w:r>
    </w:p>
    <w:p w14:paraId="00BA3C0C">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30.2 招标文件、中标人的投标文件及招标过程中有关澄清、承诺文件均应作为合同附件。</w:t>
      </w:r>
    </w:p>
    <w:p w14:paraId="54EE6B9A">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30.3 合同在“政府采购管理交易系统（苏采云）”中签订，签订合同后，</w:t>
      </w:r>
      <w:r>
        <w:rPr>
          <w:rFonts w:hint="eastAsia" w:ascii="宋体" w:hAnsi="宋体" w:eastAsia="宋体" w:cs="宋体"/>
          <w:bCs/>
          <w:i/>
          <w:iCs/>
          <w:color w:val="auto"/>
          <w:szCs w:val="21"/>
          <w:highlight w:val="none"/>
          <w:u w:val="single"/>
        </w:rPr>
        <w:t>中标人不得将货物或服务及其他服务进行转包</w:t>
      </w:r>
      <w:r>
        <w:rPr>
          <w:rFonts w:hint="eastAsia" w:ascii="宋体" w:hAnsi="宋体" w:eastAsia="宋体" w:cs="宋体"/>
          <w:bCs/>
          <w:color w:val="auto"/>
          <w:szCs w:val="21"/>
          <w:highlight w:val="none"/>
        </w:rPr>
        <w:t>。未经采购人同意，中标人也不得采用分包的形式履行合同，否则采购人有权终止合同，中标人的履约保证金将不予退还。转包或分包造成采购人损失的，中标人应承担赔偿责任。</w:t>
      </w:r>
    </w:p>
    <w:p w14:paraId="01208A6D">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30.4采购人不得向中标人提出任何不合理的要求作为签订合同的条件，不得与中标人私下订立背离合同实质性内容的协议。所签订的合同不得对招标文件确定事项和中标人投标文件作实质性修改。</w:t>
      </w:r>
    </w:p>
    <w:p w14:paraId="751595EA">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31、电子投标文件要求</w:t>
      </w:r>
    </w:p>
    <w:p w14:paraId="625AF643">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31.1</w:t>
      </w:r>
      <w:r>
        <w:rPr>
          <w:rFonts w:hint="eastAsia" w:ascii="宋体" w:hAnsi="宋体" w:eastAsia="宋体" w:cs="宋体"/>
          <w:b/>
          <w:bCs/>
          <w:color w:val="auto"/>
          <w:szCs w:val="21"/>
          <w:highlight w:val="none"/>
        </w:rPr>
        <w:t>政府采购管理交易系统（苏采云）</w:t>
      </w:r>
      <w:r>
        <w:rPr>
          <w:rFonts w:hint="eastAsia" w:ascii="宋体" w:hAnsi="宋体" w:eastAsia="宋体" w:cs="宋体"/>
          <w:b/>
          <w:color w:val="auto"/>
          <w:szCs w:val="21"/>
          <w:highlight w:val="none"/>
        </w:rPr>
        <w:t>相关要求是本招标文件的组成部分。</w:t>
      </w:r>
    </w:p>
    <w:p w14:paraId="08E41328">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31.2投标人应对 CA 证书妥善保管，如被他人盗用投标，因此带来的结果均由投标人自行承担。</w:t>
      </w:r>
    </w:p>
    <w:p w14:paraId="503CF095">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31.3投标人应当对招标文件提出的要求和条件作出实质性响应，并在电子投标系统逐条应答。</w:t>
      </w:r>
    </w:p>
    <w:p w14:paraId="3084E2A8">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31.4投标人应对要求提供的资格证明文件（如资质证书、资格证书）、技术资料（如白皮书、彩页、手册、检测报告等）扫描上传至投标系统。</w:t>
      </w:r>
    </w:p>
    <w:p w14:paraId="4FEAFE10">
      <w:pPr>
        <w:numPr>
          <w:ilvl w:val="0"/>
          <w:numId w:val="1"/>
        </w:num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提交投标文件的截止时间（投标截止时间）</w:t>
      </w:r>
    </w:p>
    <w:p w14:paraId="18C488D9">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32.1投标人应当在招标文件要求提交投标文件的截止时间前，将投标文件提交至“苏采云”系统，逾期提交的投标文件，“苏采云”系统将自动拒收。</w:t>
      </w:r>
    </w:p>
    <w:p w14:paraId="144AF3BB">
      <w:pPr>
        <w:spacing w:line="360" w:lineRule="auto"/>
        <w:ind w:firstLine="422"/>
        <w:rPr>
          <w:rFonts w:hint="eastAsia" w:ascii="宋体" w:hAnsi="宋体" w:eastAsia="宋体" w:cs="宋体"/>
          <w:color w:val="auto"/>
          <w:highlight w:val="none"/>
        </w:rPr>
      </w:pPr>
      <w:r>
        <w:rPr>
          <w:rFonts w:hint="eastAsia" w:ascii="宋体" w:hAnsi="宋体" w:eastAsia="宋体" w:cs="宋体"/>
          <w:b/>
          <w:color w:val="auto"/>
          <w:szCs w:val="21"/>
          <w:highlight w:val="none"/>
        </w:rPr>
        <w:t>32.2各投标人应在规定时间内凭CA证书进行网上解密。</w:t>
      </w:r>
    </w:p>
    <w:p w14:paraId="7491C3D6">
      <w:pPr>
        <w:spacing w:line="360" w:lineRule="auto"/>
        <w:ind w:firstLine="422"/>
        <w:jc w:val="left"/>
        <w:rPr>
          <w:rFonts w:hint="eastAsia" w:ascii="宋体" w:hAnsi="宋体" w:eastAsia="宋体" w:cs="宋体"/>
          <w:bCs/>
          <w:color w:val="auto"/>
          <w:szCs w:val="21"/>
          <w:highlight w:val="none"/>
        </w:rPr>
      </w:pPr>
      <w:r>
        <w:rPr>
          <w:rFonts w:hint="eastAsia" w:ascii="宋体" w:hAnsi="宋体" w:eastAsia="宋体" w:cs="宋体"/>
          <w:b/>
          <w:bCs/>
          <w:color w:val="auto"/>
          <w:highlight w:val="none"/>
        </w:rPr>
        <w:t>33、其他</w:t>
      </w:r>
      <w:r>
        <w:rPr>
          <w:rFonts w:hint="eastAsia" w:ascii="宋体" w:hAnsi="宋体" w:eastAsia="宋体" w:cs="宋体"/>
          <w:color w:val="auto"/>
          <w:highlight w:val="none"/>
        </w:rPr>
        <w:br w:type="textWrapping"/>
      </w:r>
      <w:r>
        <w:rPr>
          <w:rFonts w:hint="eastAsia" w:ascii="宋体" w:hAnsi="宋体" w:eastAsia="宋体" w:cs="宋体"/>
          <w:color w:val="auto"/>
          <w:highlight w:val="none"/>
        </w:rPr>
        <w:t xml:space="preserve">    33.1 依据《政府采购促进中小企业发展管理办法》享受享受扶持政策获得政府采购合同的，小微企业不得将合同分包给大中型企业，中型企业不得将合同分包给大型企业。</w:t>
      </w:r>
    </w:p>
    <w:p w14:paraId="2BA8030E">
      <w:pPr>
        <w:spacing w:line="360" w:lineRule="auto"/>
        <w:ind w:firstLine="420"/>
        <w:rPr>
          <w:rFonts w:ascii="宋体" w:hAnsi="宋体"/>
          <w:bCs/>
          <w:color w:val="auto"/>
          <w:szCs w:val="21"/>
          <w:highlight w:val="none"/>
        </w:rPr>
      </w:pPr>
      <w:r>
        <w:rPr>
          <w:rFonts w:hint="eastAsia" w:ascii="宋体" w:hAnsi="宋体"/>
          <w:bCs/>
          <w:color w:val="auto"/>
          <w:szCs w:val="21"/>
          <w:highlight w:val="none"/>
        </w:rPr>
        <w:br w:type="page" w:clear="all"/>
      </w:r>
    </w:p>
    <w:p w14:paraId="47406A5F">
      <w:pPr>
        <w:pStyle w:val="2"/>
        <w:keepNext/>
        <w:keepLines/>
        <w:pageBreakBefore w:val="0"/>
        <w:widowControl w:val="0"/>
        <w:spacing w:before="0" w:after="0" w:line="360" w:lineRule="auto"/>
        <w:jc w:val="center"/>
        <w:rPr>
          <w:rFonts w:hint="eastAsia" w:ascii="宋体" w:hAnsi="宋体" w:eastAsia="宋体" w:cs="Times New Roman"/>
          <w:b/>
          <w:bCs/>
          <w:color w:val="auto"/>
          <w:sz w:val="36"/>
          <w:szCs w:val="36"/>
          <w:highlight w:val="none"/>
          <w:lang w:val="en-US" w:eastAsia="zh-CN"/>
        </w:rPr>
      </w:pPr>
      <w:bookmarkStart w:id="51" w:name="_Toc16060"/>
      <w:bookmarkStart w:id="52" w:name="_Toc55204179"/>
      <w:r>
        <w:rPr>
          <w:rFonts w:hint="eastAsia" w:ascii="宋体" w:hAnsi="宋体" w:eastAsia="宋体" w:cs="Times New Roman"/>
          <w:b/>
          <w:bCs/>
          <w:color w:val="auto"/>
          <w:sz w:val="36"/>
          <w:szCs w:val="36"/>
          <w:highlight w:val="none"/>
          <w:lang w:val="en-US" w:eastAsia="zh-CN"/>
        </w:rPr>
        <w:t>第三章 合同条款及格式</w:t>
      </w:r>
      <w:bookmarkEnd w:id="51"/>
      <w:bookmarkEnd w:id="52"/>
    </w:p>
    <w:p w14:paraId="6DF9C5DF">
      <w:pPr>
        <w:spacing w:line="500" w:lineRule="exact"/>
        <w:rPr>
          <w:rFonts w:hint="eastAsia" w:ascii="宋体" w:hAnsi="宋体"/>
          <w:bCs/>
          <w:color w:val="auto"/>
          <w:sz w:val="24"/>
          <w:szCs w:val="24"/>
          <w:highlight w:val="none"/>
        </w:rPr>
      </w:pPr>
    </w:p>
    <w:p w14:paraId="6C1BC853">
      <w:pPr>
        <w:pStyle w:val="15"/>
        <w:jc w:val="center"/>
        <w:rPr>
          <w:rFonts w:ascii="宋体" w:hAnsi="宋体" w:eastAsia="宋体" w:cs="宋体"/>
          <w:b/>
          <w:bCs/>
          <w:color w:val="auto"/>
          <w:spacing w:val="-20"/>
          <w:sz w:val="32"/>
          <w:szCs w:val="32"/>
          <w:highlight w:val="none"/>
        </w:rPr>
      </w:pPr>
    </w:p>
    <w:p w14:paraId="7242F72E">
      <w:pPr>
        <w:pStyle w:val="15"/>
        <w:jc w:val="center"/>
        <w:rPr>
          <w:rFonts w:ascii="宋体" w:hAnsi="宋体" w:eastAsia="宋体" w:cs="宋体"/>
          <w:b/>
          <w:bCs/>
          <w:color w:val="auto"/>
          <w:spacing w:val="-20"/>
          <w:sz w:val="32"/>
          <w:szCs w:val="32"/>
          <w:highlight w:val="none"/>
        </w:rPr>
      </w:pPr>
    </w:p>
    <w:p w14:paraId="03523803">
      <w:pPr>
        <w:pStyle w:val="15"/>
        <w:jc w:val="center"/>
        <w:rPr>
          <w:rFonts w:ascii="宋体" w:hAnsi="宋体" w:eastAsia="宋体" w:cs="宋体"/>
          <w:b/>
          <w:bCs/>
          <w:color w:val="auto"/>
          <w:spacing w:val="-20"/>
          <w:sz w:val="32"/>
          <w:szCs w:val="32"/>
          <w:highlight w:val="none"/>
        </w:rPr>
      </w:pPr>
      <w:r>
        <w:rPr>
          <w:rFonts w:hint="eastAsia" w:ascii="宋体" w:hAnsi="宋体" w:eastAsia="宋体" w:cs="宋体"/>
          <w:b/>
          <w:bCs/>
          <w:color w:val="auto"/>
          <w:spacing w:val="-20"/>
          <w:sz w:val="32"/>
          <w:szCs w:val="32"/>
          <w:highlight w:val="none"/>
        </w:rPr>
        <w:t>财政部 政府采购货物买卖合同（试行）</w:t>
      </w:r>
    </w:p>
    <w:p w14:paraId="5E8E00A2">
      <w:pPr>
        <w:pStyle w:val="15"/>
        <w:jc w:val="center"/>
        <w:rPr>
          <w:rFonts w:ascii="宋体" w:hAnsi="宋体" w:eastAsia="宋体" w:cs="宋体"/>
          <w:b/>
          <w:bCs/>
          <w:color w:val="auto"/>
          <w:spacing w:val="-20"/>
          <w:sz w:val="32"/>
          <w:szCs w:val="32"/>
          <w:highlight w:val="none"/>
        </w:rPr>
      </w:pPr>
      <w:r>
        <w:rPr>
          <w:rFonts w:hint="eastAsia" w:ascii="宋体" w:hAnsi="宋体" w:eastAsia="宋体" w:cs="宋体"/>
          <w:b/>
          <w:bCs/>
          <w:color w:val="auto"/>
          <w:spacing w:val="-20"/>
          <w:sz w:val="32"/>
          <w:szCs w:val="32"/>
          <w:highlight w:val="none"/>
        </w:rPr>
        <w:t>范    本</w:t>
      </w:r>
    </w:p>
    <w:p w14:paraId="46563801">
      <w:pPr>
        <w:rPr>
          <w:rFonts w:ascii="宋体" w:hAnsi="宋体" w:cs="宋体"/>
          <w:b/>
          <w:bCs/>
          <w:color w:val="auto"/>
          <w:spacing w:val="-20"/>
          <w:sz w:val="40"/>
          <w:szCs w:val="40"/>
          <w:highlight w:val="none"/>
        </w:rPr>
      </w:pPr>
    </w:p>
    <w:p w14:paraId="34D75B36">
      <w:pPr>
        <w:rPr>
          <w:rFonts w:ascii="宋体" w:hAnsi="宋体" w:cs="宋体"/>
          <w:b/>
          <w:bCs/>
          <w:color w:val="auto"/>
          <w:spacing w:val="-20"/>
          <w:sz w:val="40"/>
          <w:szCs w:val="40"/>
          <w:highlight w:val="none"/>
        </w:rPr>
      </w:pPr>
    </w:p>
    <w:p w14:paraId="539BD707">
      <w:pPr>
        <w:rPr>
          <w:rFonts w:ascii="宋体" w:hAnsi="宋体" w:cs="宋体"/>
          <w:b/>
          <w:bCs/>
          <w:color w:val="auto"/>
          <w:spacing w:val="-20"/>
          <w:sz w:val="40"/>
          <w:szCs w:val="40"/>
          <w:highlight w:val="none"/>
        </w:rPr>
      </w:pPr>
    </w:p>
    <w:p w14:paraId="4544E188">
      <w:pPr>
        <w:spacing w:line="360" w:lineRule="auto"/>
        <w:ind w:left="420"/>
        <w:rPr>
          <w:color w:val="auto"/>
          <w:sz w:val="28"/>
          <w:szCs w:val="28"/>
          <w:highlight w:val="none"/>
        </w:rPr>
      </w:pPr>
      <w:r>
        <w:rPr>
          <w:rFonts w:hint="eastAsia" w:ascii="宋体" w:hAnsi="宋体" w:cs="宋体"/>
          <w:color w:val="auto"/>
          <w:sz w:val="28"/>
          <w:szCs w:val="28"/>
          <w:highlight w:val="none"/>
        </w:rPr>
        <w:t>项目名称：</w:t>
      </w:r>
      <w:r>
        <w:rPr>
          <w:rFonts w:hint="eastAsia"/>
          <w:color w:val="auto"/>
          <w:sz w:val="28"/>
          <w:szCs w:val="28"/>
          <w:highlight w:val="none"/>
          <w:u w:val="single"/>
        </w:rPr>
        <w:t xml:space="preserve">                             </w:t>
      </w:r>
    </w:p>
    <w:p w14:paraId="776DABA7">
      <w:pPr>
        <w:spacing w:line="360" w:lineRule="auto"/>
        <w:ind w:left="420"/>
        <w:rPr>
          <w:color w:val="auto"/>
          <w:sz w:val="28"/>
          <w:szCs w:val="28"/>
          <w:highlight w:val="none"/>
          <w:u w:val="single"/>
        </w:rPr>
      </w:pPr>
      <w:r>
        <w:rPr>
          <w:rFonts w:hint="eastAsia"/>
          <w:color w:val="auto"/>
          <w:sz w:val="28"/>
          <w:szCs w:val="28"/>
          <w:highlight w:val="none"/>
        </w:rPr>
        <w:t>合同编号：</w:t>
      </w:r>
      <w:r>
        <w:rPr>
          <w:rFonts w:hint="eastAsia"/>
          <w:color w:val="auto"/>
          <w:sz w:val="28"/>
          <w:szCs w:val="28"/>
          <w:highlight w:val="none"/>
          <w:u w:val="single"/>
        </w:rPr>
        <w:t xml:space="preserve">                             </w:t>
      </w:r>
    </w:p>
    <w:p w14:paraId="409315B6">
      <w:pPr>
        <w:spacing w:line="360" w:lineRule="auto"/>
        <w:ind w:left="420"/>
        <w:rPr>
          <w:color w:val="auto"/>
          <w:sz w:val="28"/>
          <w:szCs w:val="28"/>
          <w:highlight w:val="none"/>
        </w:rPr>
      </w:pPr>
      <w:r>
        <w:rPr>
          <w:rFonts w:hint="eastAsia"/>
          <w:color w:val="auto"/>
          <w:sz w:val="28"/>
          <w:szCs w:val="28"/>
          <w:highlight w:val="none"/>
        </w:rPr>
        <w:t>甲    方：</w:t>
      </w:r>
      <w:r>
        <w:rPr>
          <w:rFonts w:hint="eastAsia"/>
          <w:color w:val="auto"/>
          <w:sz w:val="28"/>
          <w:szCs w:val="28"/>
          <w:highlight w:val="none"/>
          <w:u w:val="single"/>
        </w:rPr>
        <w:t xml:space="preserve">                             </w:t>
      </w:r>
    </w:p>
    <w:p w14:paraId="00C912CC">
      <w:pPr>
        <w:spacing w:line="360" w:lineRule="auto"/>
        <w:ind w:left="420"/>
        <w:rPr>
          <w:color w:val="auto"/>
          <w:sz w:val="28"/>
          <w:szCs w:val="28"/>
          <w:highlight w:val="none"/>
          <w:u w:val="single"/>
        </w:rPr>
      </w:pPr>
      <w:r>
        <w:rPr>
          <w:rFonts w:hint="eastAsia"/>
          <w:color w:val="auto"/>
          <w:sz w:val="28"/>
          <w:szCs w:val="28"/>
          <w:highlight w:val="none"/>
        </w:rPr>
        <w:t>乙    方：</w:t>
      </w:r>
      <w:r>
        <w:rPr>
          <w:rFonts w:hint="eastAsia"/>
          <w:color w:val="auto"/>
          <w:sz w:val="28"/>
          <w:szCs w:val="28"/>
          <w:highlight w:val="none"/>
          <w:u w:val="single"/>
        </w:rPr>
        <w:t xml:space="preserve">                             </w:t>
      </w:r>
    </w:p>
    <w:p w14:paraId="503BFC81">
      <w:pPr>
        <w:spacing w:line="360" w:lineRule="auto"/>
        <w:ind w:left="420"/>
        <w:rPr>
          <w:color w:val="auto"/>
          <w:sz w:val="28"/>
          <w:szCs w:val="28"/>
          <w:highlight w:val="none"/>
        </w:rPr>
      </w:pPr>
      <w:r>
        <w:rPr>
          <w:rFonts w:hint="eastAsia"/>
          <w:color w:val="auto"/>
          <w:sz w:val="28"/>
          <w:szCs w:val="28"/>
          <w:highlight w:val="none"/>
        </w:rPr>
        <w:t>签订时间：</w:t>
      </w:r>
      <w:r>
        <w:rPr>
          <w:rFonts w:hint="eastAsia"/>
          <w:color w:val="auto"/>
          <w:sz w:val="28"/>
          <w:szCs w:val="28"/>
          <w:highlight w:val="none"/>
          <w:u w:val="single"/>
        </w:rPr>
        <w:t xml:space="preserve">      </w:t>
      </w:r>
      <w:r>
        <w:rPr>
          <w:color w:val="auto"/>
          <w:sz w:val="28"/>
          <w:szCs w:val="28"/>
          <w:highlight w:val="none"/>
          <w:u w:val="single"/>
        </w:rPr>
        <w:t xml:space="preserve">           </w:t>
      </w:r>
      <w:r>
        <w:rPr>
          <w:rFonts w:hint="eastAsia"/>
          <w:color w:val="auto"/>
          <w:sz w:val="28"/>
          <w:szCs w:val="28"/>
          <w:highlight w:val="none"/>
          <w:u w:val="single"/>
        </w:rPr>
        <w:t xml:space="preserve">            </w:t>
      </w:r>
    </w:p>
    <w:p w14:paraId="146C1FC1">
      <w:pPr>
        <w:rPr>
          <w:color w:val="auto"/>
          <w:highlight w:val="none"/>
        </w:rPr>
      </w:pPr>
    </w:p>
    <w:p w14:paraId="20D7CFFF">
      <w:pPr>
        <w:rPr>
          <w:rFonts w:eastAsia="黑体"/>
          <w:color w:val="auto"/>
          <w:sz w:val="44"/>
          <w:szCs w:val="44"/>
          <w:highlight w:val="none"/>
        </w:rPr>
      </w:pPr>
      <w:r>
        <w:rPr>
          <w:rFonts w:eastAsia="黑体"/>
          <w:color w:val="auto"/>
          <w:sz w:val="44"/>
          <w:szCs w:val="44"/>
          <w:highlight w:val="none"/>
        </w:rPr>
        <w:br w:type="page" w:clear="all"/>
      </w:r>
    </w:p>
    <w:p w14:paraId="3535D08E">
      <w:pPr>
        <w:jc w:val="center"/>
        <w:rPr>
          <w:rFonts w:ascii="宋体" w:hAnsi="宋体"/>
          <w:color w:val="auto"/>
          <w:sz w:val="32"/>
          <w:szCs w:val="32"/>
          <w:highlight w:val="none"/>
        </w:rPr>
      </w:pPr>
      <w:r>
        <w:rPr>
          <w:rFonts w:hint="eastAsia" w:ascii="宋体" w:hAnsi="宋体"/>
          <w:color w:val="auto"/>
          <w:sz w:val="32"/>
          <w:szCs w:val="32"/>
          <w:highlight w:val="none"/>
        </w:rPr>
        <w:t>使 用 说 明</w:t>
      </w:r>
    </w:p>
    <w:p w14:paraId="4A107CA8">
      <w:pPr>
        <w:ind w:firstLine="640"/>
        <w:rPr>
          <w:rFonts w:ascii="仿宋_GB2312" w:hAnsi="仿宋_GB2312" w:eastAsia="仿宋_GB2312" w:cs="仿宋_GB2312"/>
          <w:color w:val="auto"/>
          <w:sz w:val="32"/>
          <w:szCs w:val="32"/>
          <w:highlight w:val="none"/>
        </w:rPr>
      </w:pPr>
    </w:p>
    <w:p w14:paraId="364E0703">
      <w:pPr>
        <w:ind w:firstLine="560"/>
        <w:rPr>
          <w:rFonts w:ascii="宋体" w:hAnsi="宋体" w:cs="仿宋_GB2312"/>
          <w:color w:val="auto"/>
          <w:sz w:val="28"/>
          <w:szCs w:val="28"/>
          <w:highlight w:val="none"/>
        </w:rPr>
      </w:pPr>
      <w:r>
        <w:rPr>
          <w:rFonts w:hint="eastAsia" w:ascii="宋体" w:hAnsi="宋体" w:cs="仿宋_GB2312"/>
          <w:color w:val="auto"/>
          <w:sz w:val="28"/>
          <w:szCs w:val="28"/>
          <w:highlight w:val="none"/>
        </w:rPr>
        <w:t>1.本合同标准文本适用于购买现成货物的采购项目，不包括需要供应商定制开发、创新研发的货物采购项目。</w:t>
      </w:r>
    </w:p>
    <w:p w14:paraId="617F0DC6">
      <w:pPr>
        <w:rPr>
          <w:rFonts w:ascii="宋体" w:hAnsi="宋体"/>
          <w:color w:val="auto"/>
          <w:sz w:val="28"/>
          <w:szCs w:val="28"/>
          <w:highlight w:val="none"/>
        </w:rPr>
      </w:pPr>
      <w:r>
        <w:rPr>
          <w:rFonts w:hint="eastAsia" w:ascii="宋体" w:hAnsi="宋体"/>
          <w:color w:val="auto"/>
          <w:sz w:val="28"/>
          <w:szCs w:val="28"/>
          <w:highlight w:val="none"/>
        </w:rPr>
        <w:t xml:space="preserve">   </w:t>
      </w:r>
      <w:r>
        <w:rPr>
          <w:rFonts w:ascii="宋体" w:hAnsi="宋体"/>
          <w:color w:val="auto"/>
          <w:sz w:val="28"/>
          <w:szCs w:val="28"/>
          <w:highlight w:val="none"/>
        </w:rPr>
        <w:t xml:space="preserve"> </w:t>
      </w:r>
      <w:r>
        <w:rPr>
          <w:rFonts w:hint="eastAsia" w:ascii="宋体" w:hAnsi="宋体" w:cs="仿宋_GB2312"/>
          <w:color w:val="auto"/>
          <w:sz w:val="28"/>
          <w:szCs w:val="28"/>
          <w:highlight w:val="none"/>
        </w:rPr>
        <w:t>2.本合同标准文本为政府采购货物买卖合同编制提供参考，可以结合采购项目具体情况，对文本作必要的调整修订后使用。</w:t>
      </w:r>
    </w:p>
    <w:p w14:paraId="327E0D16">
      <w:pPr>
        <w:ind w:firstLine="560"/>
        <w:rPr>
          <w:rFonts w:ascii="宋体" w:hAnsi="宋体" w:cs="仿宋_GB2312"/>
          <w:color w:val="auto"/>
          <w:sz w:val="28"/>
          <w:szCs w:val="28"/>
          <w:highlight w:val="none"/>
        </w:rPr>
      </w:pPr>
      <w:r>
        <w:rPr>
          <w:rFonts w:hint="eastAsia" w:ascii="宋体" w:hAnsi="宋体" w:cs="仿宋_GB2312"/>
          <w:color w:val="auto"/>
          <w:sz w:val="28"/>
          <w:szCs w:val="28"/>
          <w:highlight w:val="none"/>
        </w:rPr>
        <w:t>3.本合同标准文本各条款中，如涉及填写多家供应商、制造商，多种采购标的、分包主要内容等信息的，可根据采购项目具体情况添加信息项。</w:t>
      </w:r>
    </w:p>
    <w:p w14:paraId="23A54860">
      <w:pPr>
        <w:ind w:firstLine="880"/>
        <w:rPr>
          <w:rFonts w:eastAsia="黑体"/>
          <w:color w:val="auto"/>
          <w:sz w:val="44"/>
          <w:szCs w:val="44"/>
          <w:highlight w:val="none"/>
        </w:rPr>
        <w:sectPr>
          <w:footerReference r:id="rId9" w:type="default"/>
          <w:pgSz w:w="11906" w:h="16838"/>
          <w:pgMar w:top="1440" w:right="1797" w:bottom="1440" w:left="1797" w:header="851" w:footer="992" w:gutter="0"/>
          <w:pgNumType w:start="1"/>
          <w:cols w:space="720" w:num="1"/>
          <w:docGrid w:linePitch="360" w:charSpace="0"/>
        </w:sectPr>
      </w:pPr>
    </w:p>
    <w:p w14:paraId="148C3E2A">
      <w:pPr>
        <w:pStyle w:val="3"/>
        <w:spacing w:line="400" w:lineRule="exact"/>
        <w:rPr>
          <w:rFonts w:ascii="黑体" w:hAnsi="华文中宋" w:eastAsia="黑体"/>
          <w:b w:val="0"/>
          <w:bCs w:val="0"/>
          <w:color w:val="auto"/>
          <w:sz w:val="28"/>
          <w:szCs w:val="28"/>
          <w:highlight w:val="none"/>
        </w:rPr>
      </w:pPr>
      <w:r>
        <w:rPr>
          <w:rFonts w:hint="eastAsia" w:ascii="黑体" w:hAnsi="黑体" w:eastAsia="黑体"/>
          <w:b w:val="0"/>
          <w:bCs w:val="0"/>
          <w:color w:val="auto"/>
          <w:sz w:val="28"/>
          <w:szCs w:val="28"/>
          <w:highlight w:val="none"/>
        </w:rPr>
        <w:t xml:space="preserve">第一节 </w:t>
      </w:r>
      <w:r>
        <w:rPr>
          <w:rFonts w:hint="eastAsia" w:ascii="黑体" w:hAnsi="华文中宋" w:eastAsia="黑体"/>
          <w:b w:val="0"/>
          <w:bCs w:val="0"/>
          <w:color w:val="auto"/>
          <w:sz w:val="28"/>
          <w:szCs w:val="28"/>
          <w:highlight w:val="none"/>
        </w:rPr>
        <w:t>政府采购合同协议书</w:t>
      </w:r>
    </w:p>
    <w:p w14:paraId="6A985AD4">
      <w:pPr>
        <w:pStyle w:val="3"/>
        <w:spacing w:line="400" w:lineRule="exact"/>
        <w:rPr>
          <w:rFonts w:ascii="黑体" w:hAnsi="华文中宋" w:eastAsia="黑体"/>
          <w:b w:val="0"/>
          <w:bCs w:val="0"/>
          <w:color w:val="auto"/>
          <w:sz w:val="28"/>
          <w:szCs w:val="28"/>
          <w:highlight w:val="none"/>
        </w:rPr>
      </w:pPr>
    </w:p>
    <w:p w14:paraId="23AEA4E9">
      <w:pPr>
        <w:spacing w:line="400" w:lineRule="exact"/>
        <w:rPr>
          <w:rFonts w:ascii="宋体" w:hAnsi="宋体"/>
          <w:color w:val="auto"/>
          <w:szCs w:val="21"/>
          <w:highlight w:val="none"/>
        </w:rPr>
      </w:pPr>
      <w:r>
        <w:rPr>
          <w:rFonts w:hint="eastAsia" w:ascii="宋体" w:hAnsi="宋体"/>
          <w:color w:val="auto"/>
          <w:szCs w:val="21"/>
          <w:highlight w:val="none"/>
        </w:rPr>
        <w:t>甲方（全称）：</w:t>
      </w:r>
      <w:r>
        <w:rPr>
          <w:rFonts w:hint="eastAsia" w:ascii="宋体" w:hAnsi="宋体"/>
          <w:color w:val="auto"/>
          <w:szCs w:val="21"/>
          <w:highlight w:val="none"/>
          <w:u w:val="single"/>
        </w:rPr>
        <w:t xml:space="preserve"> </w:t>
      </w:r>
      <w:r>
        <w:rPr>
          <w:rFonts w:hint="eastAsia" w:hAnsi="宋体" w:cs="Times New Roman"/>
          <w:color w:val="auto"/>
          <w:sz w:val="21"/>
          <w:szCs w:val="21"/>
          <w:highlight w:val="none"/>
          <w:u w:val="single"/>
        </w:rPr>
        <w:t>扬州市江都区教育局</w:t>
      </w:r>
      <w:r>
        <w:rPr>
          <w:rFonts w:hint="eastAsia" w:ascii="宋体" w:hAnsi="宋体"/>
          <w:color w:val="auto"/>
          <w:szCs w:val="21"/>
          <w:highlight w:val="none"/>
          <w:u w:val="single"/>
        </w:rPr>
        <w:t xml:space="preserve"> </w:t>
      </w:r>
      <w:r>
        <w:rPr>
          <w:rFonts w:hint="eastAsia" w:ascii="宋体" w:hAnsi="宋体"/>
          <w:color w:val="auto"/>
          <w:szCs w:val="21"/>
          <w:highlight w:val="none"/>
        </w:rPr>
        <w:t>（采购人、受采购人委托签订合同的单位或采购文件约定的合同甲方）</w:t>
      </w:r>
    </w:p>
    <w:p w14:paraId="2D64CC05">
      <w:pPr>
        <w:spacing w:line="400" w:lineRule="exact"/>
        <w:rPr>
          <w:rFonts w:ascii="宋体" w:hAnsi="宋体"/>
          <w:color w:val="auto"/>
          <w:szCs w:val="21"/>
          <w:highlight w:val="none"/>
        </w:rPr>
      </w:pPr>
      <w:r>
        <w:rPr>
          <w:rFonts w:hint="eastAsia" w:ascii="宋体" w:hAnsi="宋体"/>
          <w:color w:val="auto"/>
          <w:szCs w:val="21"/>
          <w:highlight w:val="none"/>
        </w:rPr>
        <w:t>乙方1（全称）：</w:t>
      </w:r>
      <w:r>
        <w:rPr>
          <w:rFonts w:hint="eastAsia" w:ascii="宋体" w:hAnsi="宋体"/>
          <w:color w:val="auto"/>
          <w:szCs w:val="21"/>
          <w:highlight w:val="none"/>
          <w:u w:val="single"/>
        </w:rPr>
        <w:t xml:space="preserve">                       </w:t>
      </w:r>
      <w:r>
        <w:rPr>
          <w:rFonts w:hint="eastAsia" w:ascii="宋体" w:hAnsi="宋体"/>
          <w:color w:val="auto"/>
          <w:szCs w:val="21"/>
          <w:highlight w:val="none"/>
        </w:rPr>
        <w:t>（供应商）</w:t>
      </w:r>
    </w:p>
    <w:p w14:paraId="614EEAA1">
      <w:pPr>
        <w:spacing w:line="400" w:lineRule="exact"/>
        <w:rPr>
          <w:rFonts w:ascii="宋体" w:hAnsi="宋体"/>
          <w:color w:val="auto"/>
          <w:szCs w:val="21"/>
          <w:highlight w:val="none"/>
        </w:rPr>
      </w:pPr>
      <w:r>
        <w:rPr>
          <w:rFonts w:hint="eastAsia" w:ascii="宋体" w:hAnsi="宋体"/>
          <w:color w:val="auto"/>
          <w:szCs w:val="21"/>
          <w:highlight w:val="none"/>
        </w:rPr>
        <w:t>乙方2（全称）：</w:t>
      </w:r>
      <w:r>
        <w:rPr>
          <w:rFonts w:hint="eastAsia" w:ascii="宋体" w:hAnsi="宋体"/>
          <w:color w:val="auto"/>
          <w:szCs w:val="21"/>
          <w:highlight w:val="none"/>
          <w:u w:val="single"/>
        </w:rPr>
        <w:t xml:space="preserve">                        </w:t>
      </w:r>
      <w:r>
        <w:rPr>
          <w:rFonts w:hint="eastAsia" w:ascii="宋体" w:hAnsi="宋体"/>
          <w:color w:val="auto"/>
          <w:szCs w:val="21"/>
          <w:highlight w:val="none"/>
        </w:rPr>
        <w:t>（联合体成员供应商或其他合同主体）（如有）</w:t>
      </w:r>
    </w:p>
    <w:p w14:paraId="255E2BE6">
      <w:pPr>
        <w:spacing w:line="400" w:lineRule="exact"/>
        <w:rPr>
          <w:rFonts w:ascii="宋体" w:hAnsi="宋体"/>
          <w:color w:val="auto"/>
          <w:szCs w:val="21"/>
          <w:highlight w:val="none"/>
        </w:rPr>
      </w:pPr>
      <w:r>
        <w:rPr>
          <w:rFonts w:hint="eastAsia"/>
          <w:color w:val="auto"/>
          <w:highlight w:val="none"/>
        </w:rPr>
        <w:t>乙方</w:t>
      </w:r>
      <w:r>
        <w:rPr>
          <w:rFonts w:hint="eastAsia" w:ascii="宋体" w:hAnsi="宋体"/>
          <w:color w:val="auto"/>
          <w:szCs w:val="21"/>
          <w:highlight w:val="none"/>
        </w:rPr>
        <w:t>3</w:t>
      </w:r>
      <w:r>
        <w:rPr>
          <w:rFonts w:hint="eastAsia"/>
          <w:color w:val="auto"/>
          <w:highlight w:val="none"/>
        </w:rPr>
        <w:t>（全称）</w:t>
      </w:r>
      <w:r>
        <w:rPr>
          <w:rFonts w:hint="eastAsia" w:ascii="宋体" w:hAnsi="宋体"/>
          <w:color w:val="auto"/>
          <w:szCs w:val="21"/>
          <w:highlight w:val="none"/>
          <w:u w:val="single"/>
        </w:rPr>
        <w:t xml:space="preserve">                          </w:t>
      </w:r>
      <w:r>
        <w:rPr>
          <w:rFonts w:hint="eastAsia" w:ascii="宋体" w:hAnsi="宋体"/>
          <w:color w:val="auto"/>
          <w:szCs w:val="21"/>
          <w:highlight w:val="none"/>
        </w:rPr>
        <w:t>（联合体成员供应商或其他合同主体）（如有）</w:t>
      </w:r>
    </w:p>
    <w:p w14:paraId="14F083BD">
      <w:pPr>
        <w:spacing w:line="400" w:lineRule="exact"/>
        <w:rPr>
          <w:color w:val="auto"/>
          <w:highlight w:val="none"/>
        </w:rPr>
      </w:pPr>
    </w:p>
    <w:p w14:paraId="1800082A">
      <w:pPr>
        <w:pStyle w:val="16"/>
        <w:spacing w:after="0" w:line="400" w:lineRule="exact"/>
        <w:ind w:left="0" w:firstLine="420"/>
        <w:rPr>
          <w:rFonts w:ascii="宋体" w:hAnsi="宋体"/>
          <w:color w:val="auto"/>
          <w:szCs w:val="21"/>
          <w:highlight w:val="none"/>
        </w:rPr>
      </w:pPr>
      <w:r>
        <w:rPr>
          <w:rFonts w:hint="eastAsia" w:ascii="宋体" w:hAnsi="宋体"/>
          <w:color w:val="auto"/>
          <w:szCs w:val="21"/>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p>
    <w:p w14:paraId="36D78D2D">
      <w:pPr>
        <w:numPr>
          <w:ilvl w:val="0"/>
          <w:numId w:val="2"/>
        </w:numPr>
        <w:spacing w:line="400" w:lineRule="exact"/>
        <w:ind w:firstLine="420"/>
        <w:rPr>
          <w:rFonts w:ascii="宋体" w:hAnsi="宋体"/>
          <w:b/>
          <w:color w:val="auto"/>
          <w:szCs w:val="21"/>
          <w:highlight w:val="none"/>
        </w:rPr>
      </w:pPr>
      <w:r>
        <w:rPr>
          <w:rFonts w:hint="eastAsia" w:ascii="宋体" w:hAnsi="宋体"/>
          <w:b/>
          <w:color w:val="auto"/>
          <w:szCs w:val="21"/>
          <w:highlight w:val="none"/>
        </w:rPr>
        <w:t>项目信息</w:t>
      </w:r>
    </w:p>
    <w:p w14:paraId="79893044">
      <w:pPr>
        <w:pStyle w:val="16"/>
        <w:numPr>
          <w:ilvl w:val="0"/>
          <w:numId w:val="3"/>
        </w:numPr>
        <w:spacing w:after="0" w:line="400" w:lineRule="exact"/>
        <w:ind w:left="0" w:firstLine="420"/>
        <w:rPr>
          <w:rFonts w:ascii="宋体" w:hAnsi="宋体"/>
          <w:color w:val="auto"/>
          <w:szCs w:val="21"/>
          <w:highlight w:val="none"/>
          <w:u w:val="single"/>
        </w:rPr>
      </w:pPr>
      <w:r>
        <w:rPr>
          <w:rFonts w:hint="eastAsia" w:ascii="宋体" w:hAnsi="宋体"/>
          <w:color w:val="auto"/>
          <w:szCs w:val="21"/>
          <w:highlight w:val="none"/>
        </w:rPr>
        <w:t>采购项目名称：</w:t>
      </w:r>
      <w:r>
        <w:rPr>
          <w:rFonts w:hint="eastAsia" w:ascii="宋体" w:hAnsi="宋体"/>
          <w:color w:val="auto"/>
          <w:szCs w:val="21"/>
          <w:highlight w:val="none"/>
          <w:u w:val="single"/>
          <w:lang w:val="en-US" w:eastAsia="zh-CN"/>
        </w:rPr>
        <w:t xml:space="preserve">                                          </w:t>
      </w:r>
    </w:p>
    <w:p w14:paraId="40A3161F">
      <w:pPr>
        <w:pStyle w:val="16"/>
        <w:tabs>
          <w:tab w:val="left" w:pos="999"/>
        </w:tabs>
        <w:spacing w:after="0" w:line="400" w:lineRule="exact"/>
        <w:ind w:left="0"/>
        <w:rPr>
          <w:rFonts w:ascii="宋体" w:hAnsi="宋体"/>
          <w:color w:val="auto"/>
          <w:szCs w:val="21"/>
          <w:highlight w:val="none"/>
        </w:rPr>
      </w:pPr>
      <w:r>
        <w:rPr>
          <w:rFonts w:hint="eastAsia" w:ascii="宋体" w:hAnsi="宋体"/>
          <w:color w:val="auto"/>
          <w:szCs w:val="21"/>
          <w:highlight w:val="none"/>
        </w:rPr>
        <w:t xml:space="preserve">         采购项目编号：</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p>
    <w:p w14:paraId="14B154CF">
      <w:pPr>
        <w:pStyle w:val="16"/>
        <w:spacing w:after="0" w:line="400" w:lineRule="exact"/>
        <w:ind w:left="0" w:firstLine="420"/>
        <w:rPr>
          <w:rFonts w:ascii="宋体" w:hAnsi="宋体"/>
          <w:color w:val="auto"/>
          <w:szCs w:val="21"/>
          <w:highlight w:val="none"/>
        </w:rPr>
      </w:pPr>
      <w:r>
        <w:rPr>
          <w:rFonts w:hint="eastAsia" w:ascii="宋体" w:hAnsi="宋体"/>
          <w:color w:val="auto"/>
          <w:szCs w:val="21"/>
          <w:highlight w:val="none"/>
        </w:rPr>
        <w:t>（2）采购计划编号：</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p>
    <w:p w14:paraId="42983ADE">
      <w:pPr>
        <w:spacing w:line="400" w:lineRule="exact"/>
        <w:ind w:firstLine="420"/>
        <w:rPr>
          <w:rFonts w:ascii="宋体" w:hAnsi="宋体"/>
          <w:color w:val="auto"/>
          <w:szCs w:val="21"/>
          <w:highlight w:val="none"/>
        </w:rPr>
      </w:pPr>
      <w:r>
        <w:rPr>
          <w:rFonts w:hint="eastAsia" w:ascii="宋体" w:hAnsi="宋体"/>
          <w:color w:val="auto"/>
          <w:szCs w:val="21"/>
          <w:highlight w:val="none"/>
        </w:rPr>
        <w:t>（3）项目内容：</w:t>
      </w:r>
    </w:p>
    <w:p w14:paraId="3F6F6CF4">
      <w:pPr>
        <w:spacing w:line="400" w:lineRule="exact"/>
        <w:ind w:firstLine="420"/>
        <w:rPr>
          <w:rFonts w:ascii="宋体" w:hAnsi="宋体"/>
          <w:color w:val="auto"/>
          <w:szCs w:val="21"/>
          <w:highlight w:val="none"/>
        </w:rPr>
      </w:pPr>
      <w:r>
        <w:rPr>
          <w:rFonts w:hint="eastAsia" w:ascii="宋体" w:hAnsi="宋体"/>
          <w:color w:val="auto"/>
          <w:szCs w:val="21"/>
          <w:highlight w:val="none"/>
        </w:rPr>
        <w:t xml:space="preserve">     采购标的及数量（台/套</w:t>
      </w:r>
      <w:r>
        <w:rPr>
          <w:rFonts w:ascii="宋体" w:hAnsi="宋体"/>
          <w:color w:val="auto"/>
          <w:szCs w:val="21"/>
          <w:highlight w:val="none"/>
          <w:lang w:val="en"/>
        </w:rPr>
        <w:t>/</w:t>
      </w:r>
      <w:r>
        <w:rPr>
          <w:rFonts w:hint="eastAsia" w:ascii="宋体" w:hAnsi="宋体"/>
          <w:color w:val="auto"/>
          <w:szCs w:val="21"/>
          <w:highlight w:val="none"/>
          <w:lang w:val="en"/>
        </w:rPr>
        <w:t>个</w:t>
      </w:r>
      <w:r>
        <w:rPr>
          <w:rFonts w:ascii="宋体" w:hAnsi="宋体"/>
          <w:color w:val="auto"/>
          <w:szCs w:val="21"/>
          <w:highlight w:val="none"/>
          <w:lang w:val="en"/>
        </w:rPr>
        <w:t>/</w:t>
      </w:r>
      <w:r>
        <w:rPr>
          <w:rFonts w:hint="eastAsia" w:ascii="宋体" w:hAnsi="宋体"/>
          <w:color w:val="auto"/>
          <w:szCs w:val="21"/>
          <w:highlight w:val="none"/>
          <w:lang w:val="en"/>
        </w:rPr>
        <w:t>架</w:t>
      </w:r>
      <w:r>
        <w:rPr>
          <w:rFonts w:ascii="宋体" w:hAnsi="宋体"/>
          <w:color w:val="auto"/>
          <w:szCs w:val="21"/>
          <w:highlight w:val="none"/>
          <w:lang w:val="en"/>
        </w:rPr>
        <w:t>/</w:t>
      </w:r>
      <w:r>
        <w:rPr>
          <w:rFonts w:hint="eastAsia" w:ascii="宋体" w:hAnsi="宋体"/>
          <w:color w:val="auto"/>
          <w:szCs w:val="21"/>
          <w:highlight w:val="none"/>
          <w:lang w:val="en"/>
        </w:rPr>
        <w:t>组等</w:t>
      </w:r>
      <w:r>
        <w:rPr>
          <w:rFonts w:hint="eastAsia" w:ascii="宋体" w:hAnsi="宋体"/>
          <w:color w:val="auto"/>
          <w:szCs w:val="21"/>
          <w:highlight w:val="none"/>
        </w:rPr>
        <w:t>）：</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p>
    <w:p w14:paraId="331DAA92">
      <w:pPr>
        <w:spacing w:line="400" w:lineRule="exact"/>
        <w:ind w:firstLine="420"/>
        <w:rPr>
          <w:rFonts w:ascii="宋体" w:hAnsi="宋体" w:cs="宋体"/>
          <w:color w:val="auto"/>
          <w:szCs w:val="21"/>
          <w:highlight w:val="none"/>
          <w:lang w:val="en"/>
        </w:rPr>
      </w:pPr>
      <w:r>
        <w:rPr>
          <w:rFonts w:hint="eastAsia" w:ascii="宋体" w:hAnsi="宋体"/>
          <w:color w:val="auto"/>
          <w:szCs w:val="21"/>
          <w:highlight w:val="none"/>
        </w:rPr>
        <w:t xml:space="preserve">     </w:t>
      </w:r>
      <w:r>
        <w:rPr>
          <w:rFonts w:hint="eastAsia" w:ascii="宋体" w:hAnsi="宋体" w:cs="宋体"/>
          <w:color w:val="auto"/>
          <w:szCs w:val="21"/>
          <w:highlight w:val="none"/>
        </w:rPr>
        <w:t>品牌：</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lang w:val="en"/>
        </w:rPr>
        <w:t xml:space="preserve">     </w:t>
      </w:r>
      <w:r>
        <w:rPr>
          <w:rFonts w:hint="eastAsia" w:ascii="宋体" w:hAnsi="宋体" w:cs="宋体"/>
          <w:color w:val="auto"/>
          <w:szCs w:val="21"/>
          <w:highlight w:val="none"/>
        </w:rPr>
        <w:t>规格型号：</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p>
    <w:p w14:paraId="6AA2A1DA">
      <w:pPr>
        <w:spacing w:line="400" w:lineRule="exact"/>
        <w:ind w:firstLine="945"/>
        <w:rPr>
          <w:rFonts w:ascii="宋体" w:hAnsi="宋体"/>
          <w:color w:val="auto"/>
          <w:szCs w:val="21"/>
          <w:highlight w:val="none"/>
          <w:u w:val="single"/>
        </w:rPr>
      </w:pPr>
      <w:r>
        <w:rPr>
          <w:rFonts w:hint="eastAsia" w:ascii="宋体" w:hAnsi="宋体"/>
          <w:color w:val="auto"/>
          <w:szCs w:val="21"/>
          <w:highlight w:val="none"/>
        </w:rPr>
        <w:t>采购标的的技术要求、商务要求具体见附件。</w:t>
      </w:r>
    </w:p>
    <w:p w14:paraId="2FC1C732">
      <w:pPr>
        <w:spacing w:line="400" w:lineRule="exact"/>
        <w:ind w:firstLine="945"/>
        <w:rPr>
          <w:rFonts w:ascii="宋体" w:hAnsi="宋体" w:cs="宋体"/>
          <w:color w:val="auto"/>
          <w:szCs w:val="21"/>
          <w:highlight w:val="none"/>
        </w:rPr>
      </w:pPr>
      <w:r>
        <w:rPr>
          <w:rFonts w:hint="eastAsia" w:ascii="汉仪书宋二S" w:hAnsi="汉仪书宋二S" w:eastAsia="汉仪书宋二S" w:cs="汉仪书宋二S"/>
          <w:color w:val="auto"/>
          <w:szCs w:val="21"/>
          <w:highlight w:val="none"/>
        </w:rPr>
        <w:t>①</w:t>
      </w:r>
      <w:r>
        <w:rPr>
          <w:rFonts w:hint="eastAsia" w:ascii="宋体" w:hAnsi="宋体" w:cs="宋体"/>
          <w:color w:val="auto"/>
          <w:szCs w:val="21"/>
          <w:highlight w:val="none"/>
        </w:rPr>
        <w:t>涉及信息类产品，请填写该产品关键部件的品牌、型号：</w:t>
      </w:r>
    </w:p>
    <w:p w14:paraId="223116B8">
      <w:pPr>
        <w:spacing w:line="400" w:lineRule="exact"/>
        <w:ind w:firstLine="420"/>
        <w:rPr>
          <w:rFonts w:ascii="宋体" w:hAnsi="宋体" w:cs="宋体"/>
          <w:color w:val="auto"/>
          <w:szCs w:val="21"/>
          <w:highlight w:val="none"/>
          <w:u w:val="single"/>
        </w:rPr>
      </w:pPr>
      <w:r>
        <w:rPr>
          <w:rFonts w:hint="eastAsia" w:ascii="宋体" w:hAnsi="宋体" w:cs="宋体"/>
          <w:color w:val="auto"/>
          <w:szCs w:val="21"/>
          <w:highlight w:val="none"/>
        </w:rPr>
        <w:t xml:space="preserve">     标的名称：</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p>
    <w:p w14:paraId="5E03446E">
      <w:pPr>
        <w:spacing w:line="400" w:lineRule="exact"/>
        <w:ind w:firstLine="420"/>
        <w:rPr>
          <w:rFonts w:ascii="宋体" w:hAnsi="宋体" w:cs="宋体"/>
          <w:color w:val="auto"/>
          <w:szCs w:val="21"/>
          <w:highlight w:val="none"/>
        </w:rPr>
      </w:pPr>
      <w:r>
        <w:rPr>
          <w:rFonts w:hint="eastAsia" w:ascii="宋体" w:hAnsi="宋体" w:cs="宋体"/>
          <w:color w:val="auto"/>
          <w:szCs w:val="21"/>
          <w:highlight w:val="none"/>
        </w:rPr>
        <w:t xml:space="preserve">     关键部件：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26D68AE5">
      <w:pPr>
        <w:pStyle w:val="213"/>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p>
    <w:p w14:paraId="22FF491A">
      <w:pPr>
        <w:pStyle w:val="213"/>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p>
    <w:p w14:paraId="0BACD5FD">
      <w:pPr>
        <w:pStyle w:val="213"/>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14:paraId="4B467146">
      <w:pPr>
        <w:pStyle w:val="213"/>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汉仪书宋二S" w:hAnsi="汉仪书宋二S" w:eastAsia="汉仪书宋二S" w:cs="汉仪书宋二S"/>
          <w:color w:val="auto"/>
          <w:sz w:val="21"/>
          <w:highlight w:val="none"/>
        </w:rPr>
        <w:t>②</w:t>
      </w:r>
      <w:r>
        <w:rPr>
          <w:rFonts w:hint="eastAsia" w:ascii="宋体" w:hAnsi="宋体" w:eastAsia="宋体" w:cs="宋体"/>
          <w:color w:val="auto"/>
          <w:sz w:val="21"/>
          <w:highlight w:val="none"/>
        </w:rPr>
        <w:t>涉及车辆采购，请填写是否属于新能源汽车：</w:t>
      </w:r>
    </w:p>
    <w:p w14:paraId="2A0A0ADB">
      <w:pPr>
        <w:pStyle w:val="213"/>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w:t>
      </w:r>
      <w:r>
        <w:rPr>
          <w:rFonts w:hint="eastAsia" w:ascii="宋体" w:hAnsi="宋体" w:eastAsia="宋体" w:cs="宋体"/>
          <w:color w:val="auto"/>
          <w:sz w:val="21"/>
          <w:highlight w:val="none"/>
        </w:rPr>
        <w:t>是，《政府采购品目分类目录》底级品目名称：</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数量：</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金额：</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p>
    <w:p w14:paraId="4DFD74C7">
      <w:pPr>
        <w:pStyle w:val="213"/>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w:t>
      </w:r>
      <w:r>
        <w:rPr>
          <w:rFonts w:hint="eastAsia" w:ascii="宋体" w:hAnsi="宋体" w:eastAsia="宋体" w:cs="宋体"/>
          <w:color w:val="auto"/>
          <w:sz w:val="21"/>
          <w:highlight w:val="none"/>
        </w:rPr>
        <w:t>否</w:t>
      </w:r>
    </w:p>
    <w:p w14:paraId="04BFC5AE">
      <w:pPr>
        <w:pStyle w:val="213"/>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宋体" w:hAnsi="宋体" w:eastAsia="宋体" w:cs="宋体"/>
          <w:color w:val="auto"/>
          <w:sz w:val="21"/>
          <w:highlight w:val="none"/>
          <w:lang w:val="en"/>
        </w:rPr>
        <w:t>4</w:t>
      </w:r>
      <w:r>
        <w:rPr>
          <w:rFonts w:hint="eastAsia" w:ascii="宋体" w:hAnsi="宋体" w:eastAsia="宋体" w:cs="宋体"/>
          <w:color w:val="auto"/>
          <w:sz w:val="21"/>
          <w:highlight w:val="none"/>
        </w:rPr>
        <w:t>）政府采购组织形式：</w:t>
      </w:r>
      <w:r>
        <w:rPr>
          <w:rFonts w:ascii="Wingdings" w:hAnsi="Wingdings" w:eastAsia="Wingdings" w:cs="Wingdings"/>
          <w:color w:val="auto"/>
          <w:sz w:val="21"/>
          <w:highlight w:val="none"/>
        </w:rPr>
        <w:t>þ</w:t>
      </w:r>
      <w:r>
        <w:rPr>
          <w:rFonts w:hint="eastAsia" w:ascii="宋体" w:hAnsi="宋体" w:eastAsia="宋体" w:cs="宋体"/>
          <w:color w:val="auto"/>
          <w:sz w:val="21"/>
          <w:highlight w:val="none"/>
        </w:rPr>
        <w:t xml:space="preserve">政府集中采购  </w:t>
      </w:r>
      <w:r>
        <w:rPr>
          <w:rFonts w:ascii="Wingdings" w:hAnsi="Wingdings" w:eastAsia="Wingdings" w:cs="Wingdings"/>
          <w:color w:val="auto"/>
          <w:sz w:val="21"/>
          <w:highlight w:val="none"/>
        </w:rPr>
        <w:t>¨</w:t>
      </w:r>
      <w:r>
        <w:rPr>
          <w:rFonts w:hint="eastAsia" w:ascii="宋体" w:hAnsi="宋体" w:eastAsia="宋体" w:cs="宋体"/>
          <w:color w:val="auto"/>
          <w:sz w:val="21"/>
          <w:highlight w:val="none"/>
        </w:rPr>
        <w:t xml:space="preserve">部门集中采购  </w:t>
      </w:r>
      <w:r>
        <w:rPr>
          <w:rFonts w:ascii="Wingdings" w:hAnsi="Wingdings" w:eastAsia="Wingdings" w:cs="Wingdings"/>
          <w:color w:val="auto"/>
          <w:sz w:val="21"/>
          <w:highlight w:val="none"/>
        </w:rPr>
        <w:t>¨</w:t>
      </w:r>
      <w:r>
        <w:rPr>
          <w:rFonts w:hint="eastAsia" w:ascii="宋体" w:hAnsi="宋体" w:eastAsia="宋体" w:cs="宋体"/>
          <w:color w:val="auto"/>
          <w:sz w:val="21"/>
          <w:highlight w:val="none"/>
        </w:rPr>
        <w:t>分散采购</w:t>
      </w:r>
    </w:p>
    <w:p w14:paraId="37CC0FF0">
      <w:pPr>
        <w:pStyle w:val="213"/>
        <w:ind w:firstLine="420"/>
        <w:rPr>
          <w:rFonts w:ascii="宋体" w:hAnsi="宋体" w:eastAsia="宋体" w:cs="宋体"/>
          <w:color w:val="auto"/>
          <w:sz w:val="21"/>
          <w:highlight w:val="none"/>
        </w:rPr>
      </w:pPr>
      <w:r>
        <w:rPr>
          <w:rFonts w:hint="eastAsia" w:ascii="宋体" w:hAnsi="宋体" w:eastAsia="宋体" w:cs="宋体"/>
          <w:color w:val="auto"/>
          <w:sz w:val="21"/>
          <w:highlight w:val="none"/>
        </w:rPr>
        <w:t>（</w:t>
      </w:r>
      <w:r>
        <w:rPr>
          <w:rFonts w:ascii="宋体" w:hAnsi="宋体" w:eastAsia="宋体" w:cs="宋体"/>
          <w:color w:val="auto"/>
          <w:sz w:val="21"/>
          <w:highlight w:val="none"/>
          <w:lang w:val="en"/>
        </w:rPr>
        <w:t>5</w:t>
      </w:r>
      <w:r>
        <w:rPr>
          <w:rFonts w:hint="eastAsia" w:ascii="宋体" w:hAnsi="宋体" w:eastAsia="宋体" w:cs="宋体"/>
          <w:color w:val="auto"/>
          <w:sz w:val="21"/>
          <w:highlight w:val="none"/>
        </w:rPr>
        <w:t>）政府采购方式：</w:t>
      </w:r>
      <w:r>
        <w:rPr>
          <w:rFonts w:ascii="Wingdings" w:hAnsi="Wingdings" w:eastAsia="Wingdings" w:cs="Wingdings"/>
          <w:color w:val="auto"/>
          <w:sz w:val="21"/>
          <w:highlight w:val="none"/>
        </w:rPr>
        <w:t>þ</w:t>
      </w:r>
      <w:r>
        <w:rPr>
          <w:rFonts w:hint="eastAsia" w:ascii="宋体" w:hAnsi="宋体" w:eastAsia="宋体" w:cs="宋体"/>
          <w:color w:val="auto"/>
          <w:sz w:val="21"/>
          <w:highlight w:val="none"/>
        </w:rPr>
        <w:t xml:space="preserve">公开招标 </w:t>
      </w:r>
      <w:r>
        <w:rPr>
          <w:rFonts w:ascii="Wingdings" w:hAnsi="Wingdings" w:eastAsia="Wingdings" w:cs="Wingdings"/>
          <w:color w:val="auto"/>
          <w:sz w:val="21"/>
          <w:highlight w:val="none"/>
        </w:rPr>
        <w:t>¨</w:t>
      </w:r>
      <w:r>
        <w:rPr>
          <w:rFonts w:hint="eastAsia" w:ascii="宋体" w:hAnsi="宋体" w:eastAsia="宋体" w:cs="宋体"/>
          <w:color w:val="auto"/>
          <w:sz w:val="21"/>
          <w:highlight w:val="none"/>
        </w:rPr>
        <w:t xml:space="preserve">邀请招标 </w:t>
      </w:r>
      <w:r>
        <w:rPr>
          <w:rFonts w:ascii="Wingdings" w:hAnsi="Wingdings" w:eastAsia="Wingdings" w:cs="Wingdings"/>
          <w:color w:val="auto"/>
          <w:sz w:val="21"/>
          <w:highlight w:val="none"/>
        </w:rPr>
        <w:t>¨</w:t>
      </w:r>
      <w:r>
        <w:rPr>
          <w:rFonts w:hint="eastAsia" w:ascii="宋体" w:hAnsi="宋体" w:eastAsia="宋体" w:cs="宋体"/>
          <w:color w:val="auto"/>
          <w:sz w:val="21"/>
          <w:highlight w:val="none"/>
        </w:rPr>
        <w:t xml:space="preserve">竞争性谈判 </w:t>
      </w:r>
      <w:r>
        <w:rPr>
          <w:rFonts w:ascii="Wingdings" w:hAnsi="Wingdings" w:eastAsia="Wingdings" w:cs="Wingdings"/>
          <w:color w:val="auto"/>
          <w:sz w:val="21"/>
          <w:highlight w:val="none"/>
        </w:rPr>
        <w:t>¨</w:t>
      </w:r>
      <w:r>
        <w:rPr>
          <w:rFonts w:hint="eastAsia" w:ascii="宋体" w:hAnsi="宋体" w:eastAsia="宋体" w:cs="宋体"/>
          <w:color w:val="auto"/>
          <w:sz w:val="21"/>
          <w:highlight w:val="none"/>
        </w:rPr>
        <w:t>竞争性磋商</w:t>
      </w:r>
    </w:p>
    <w:p w14:paraId="0257DEE8">
      <w:pPr>
        <w:pStyle w:val="213"/>
        <w:ind w:firstLine="420"/>
        <w:rPr>
          <w:rFonts w:ascii="宋体" w:hAnsi="宋体" w:eastAsia="宋体" w:cs="宋体"/>
          <w:color w:val="auto"/>
          <w:sz w:val="21"/>
          <w:highlight w:val="none"/>
          <w:u w:val="single"/>
        </w:rPr>
      </w:pPr>
      <w:r>
        <w:rPr>
          <w:rFonts w:hint="eastAsia" w:ascii="宋体" w:hAnsi="宋体" w:cs="宋体"/>
          <w:color w:val="auto"/>
          <w:highlight w:val="none"/>
        </w:rPr>
        <w:t xml:space="preserve">                  </w:t>
      </w:r>
      <w:r>
        <w:rPr>
          <w:rFonts w:ascii="Wingdings" w:hAnsi="Wingdings" w:eastAsia="Wingdings" w:cs="Wingdings"/>
          <w:color w:val="auto"/>
          <w:sz w:val="21"/>
          <w:highlight w:val="none"/>
        </w:rPr>
        <w:t>¨</w:t>
      </w:r>
      <w:r>
        <w:rPr>
          <w:rFonts w:hint="eastAsia" w:ascii="宋体" w:hAnsi="宋体" w:eastAsia="宋体" w:cs="宋体"/>
          <w:color w:val="auto"/>
          <w:sz w:val="21"/>
          <w:highlight w:val="none"/>
        </w:rPr>
        <w:t xml:space="preserve">询价 </w:t>
      </w:r>
      <w:r>
        <w:rPr>
          <w:rFonts w:ascii="Wingdings" w:hAnsi="Wingdings" w:eastAsia="Wingdings" w:cs="Wingdings"/>
          <w:color w:val="auto"/>
          <w:sz w:val="21"/>
          <w:highlight w:val="none"/>
        </w:rPr>
        <w:t>¨</w:t>
      </w:r>
      <w:r>
        <w:rPr>
          <w:rFonts w:hint="eastAsia" w:ascii="宋体" w:hAnsi="宋体" w:eastAsia="宋体" w:cs="宋体"/>
          <w:color w:val="auto"/>
          <w:sz w:val="21"/>
          <w:highlight w:val="none"/>
        </w:rPr>
        <w:t xml:space="preserve">单一来源 </w:t>
      </w:r>
      <w:r>
        <w:rPr>
          <w:rFonts w:ascii="Wingdings" w:hAnsi="Wingdings" w:eastAsia="Wingdings" w:cs="Wingdings"/>
          <w:color w:val="auto"/>
          <w:sz w:val="21"/>
          <w:highlight w:val="none"/>
        </w:rPr>
        <w:t>¨</w:t>
      </w:r>
      <w:r>
        <w:rPr>
          <w:rFonts w:hint="eastAsia" w:ascii="宋体" w:hAnsi="宋体" w:eastAsia="宋体" w:cs="宋体"/>
          <w:color w:val="auto"/>
          <w:sz w:val="21"/>
          <w:highlight w:val="none"/>
        </w:rPr>
        <w:t xml:space="preserve">框架协议 </w:t>
      </w:r>
      <w:r>
        <w:rPr>
          <w:rFonts w:ascii="Wingdings" w:hAnsi="Wingdings" w:eastAsia="Wingdings" w:cs="Wingdings"/>
          <w:color w:val="auto"/>
          <w:sz w:val="21"/>
          <w:highlight w:val="none"/>
        </w:rPr>
        <w:t>¨</w:t>
      </w:r>
      <w:r>
        <w:rPr>
          <w:rFonts w:hint="eastAsia" w:ascii="宋体" w:hAnsi="宋体" w:eastAsia="宋体" w:cs="宋体"/>
          <w:color w:val="auto"/>
          <w:sz w:val="21"/>
          <w:highlight w:val="none"/>
        </w:rPr>
        <w:t>其他：</w:t>
      </w:r>
      <w:r>
        <w:rPr>
          <w:rFonts w:hint="eastAsia" w:ascii="宋体" w:hAnsi="宋体" w:eastAsia="宋体" w:cs="宋体"/>
          <w:color w:val="auto"/>
          <w:sz w:val="21"/>
          <w:highlight w:val="none"/>
          <w:u w:val="single"/>
        </w:rPr>
        <w:t xml:space="preserve">          </w:t>
      </w:r>
    </w:p>
    <w:p w14:paraId="7F0702A6">
      <w:pPr>
        <w:pStyle w:val="213"/>
        <w:ind w:firstLine="420"/>
        <w:rPr>
          <w:rFonts w:ascii="宋体" w:hAnsi="宋体" w:eastAsia="宋体" w:cs="宋体"/>
          <w:color w:val="auto"/>
          <w:sz w:val="21"/>
          <w:highlight w:val="none"/>
        </w:rPr>
      </w:pPr>
      <w:r>
        <w:rPr>
          <w:rFonts w:hint="eastAsia" w:ascii="宋体" w:hAnsi="宋体" w:eastAsia="宋体" w:cs="宋体"/>
          <w:color w:val="auto"/>
          <w:sz w:val="21"/>
          <w:highlight w:val="none"/>
        </w:rPr>
        <w:t>（注：在框架协议采购的第二阶段，可选择使用该合同文本）</w:t>
      </w:r>
    </w:p>
    <w:p w14:paraId="0AF372D5">
      <w:pPr>
        <w:pStyle w:val="213"/>
        <w:ind w:firstLine="220"/>
        <w:rPr>
          <w:rFonts w:ascii="宋体" w:hAnsi="宋体" w:eastAsia="宋体" w:cs="Times New Roman"/>
          <w:color w:val="auto"/>
          <w:sz w:val="21"/>
          <w:highlight w:val="none"/>
        </w:rPr>
      </w:pPr>
      <w:r>
        <w:rPr>
          <w:rFonts w:hint="eastAsia" w:ascii="宋体" w:hAnsi="宋体"/>
          <w:color w:val="auto"/>
          <w:highlight w:val="none"/>
        </w:rPr>
        <w:t xml:space="preserve"> （</w:t>
      </w:r>
      <w:r>
        <w:rPr>
          <w:rFonts w:ascii="宋体" w:hAnsi="宋体"/>
          <w:color w:val="auto"/>
          <w:highlight w:val="none"/>
          <w:lang w:val="en"/>
        </w:rPr>
        <w:t>6</w:t>
      </w:r>
      <w:r>
        <w:rPr>
          <w:rFonts w:hint="eastAsia" w:ascii="宋体" w:hAnsi="宋体"/>
          <w:color w:val="auto"/>
          <w:highlight w:val="none"/>
        </w:rPr>
        <w:t>）</w:t>
      </w:r>
      <w:r>
        <w:rPr>
          <w:rFonts w:hint="eastAsia" w:ascii="宋体" w:hAnsi="宋体" w:eastAsia="宋体" w:cs="Times New Roman"/>
          <w:color w:val="auto"/>
          <w:sz w:val="21"/>
          <w:highlight w:val="none"/>
        </w:rPr>
        <w:t>中标（成交）采购标的制造商是否为中小企业：</w:t>
      </w:r>
      <w:r>
        <w:rPr>
          <w:rFonts w:ascii="Wingdings" w:hAnsi="Wingdings" w:eastAsia="Wingdings" w:cs="Wingdings"/>
          <w:color w:val="auto"/>
          <w:sz w:val="21"/>
          <w:highlight w:val="none"/>
        </w:rPr>
        <w:t>¨</w:t>
      </w:r>
      <w:r>
        <w:rPr>
          <w:rFonts w:hint="eastAsia" w:ascii="宋体" w:hAnsi="宋体" w:eastAsia="宋体" w:cs="Times New Roman"/>
          <w:color w:val="auto"/>
          <w:sz w:val="21"/>
          <w:highlight w:val="none"/>
        </w:rPr>
        <w:t xml:space="preserve">是      </w:t>
      </w:r>
      <w:r>
        <w:rPr>
          <w:rFonts w:ascii="Wingdings" w:hAnsi="Wingdings" w:eastAsia="Wingdings" w:cs="Wingdings"/>
          <w:color w:val="auto"/>
          <w:sz w:val="21"/>
          <w:highlight w:val="none"/>
        </w:rPr>
        <w:t>¨</w:t>
      </w:r>
      <w:r>
        <w:rPr>
          <w:rFonts w:hint="eastAsia" w:ascii="宋体" w:hAnsi="宋体" w:eastAsia="宋体" w:cs="Times New Roman"/>
          <w:color w:val="auto"/>
          <w:sz w:val="21"/>
          <w:highlight w:val="none"/>
        </w:rPr>
        <w:t>否</w:t>
      </w:r>
    </w:p>
    <w:p w14:paraId="4AB00796">
      <w:pPr>
        <w:spacing w:line="400" w:lineRule="exact"/>
        <w:rPr>
          <w:rFonts w:ascii="宋体" w:hAnsi="宋体"/>
          <w:iCs/>
          <w:color w:val="auto"/>
          <w:szCs w:val="21"/>
          <w:highlight w:val="none"/>
        </w:rPr>
      </w:pPr>
      <w:r>
        <w:rPr>
          <w:rFonts w:hint="eastAsia" w:ascii="宋体" w:hAnsi="宋体"/>
          <w:color w:val="auto"/>
          <w:szCs w:val="21"/>
          <w:highlight w:val="none"/>
        </w:rPr>
        <w:t xml:space="preserve">        本合同是否为专门面向中小企业的采购合同（中小企业预留合同）：</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w:t>
      </w:r>
      <w:r>
        <w:rPr>
          <w:rFonts w:hint="eastAsia" w:ascii="宋体" w:hAnsi="宋体"/>
          <w:iCs/>
          <w:color w:val="auto"/>
          <w:szCs w:val="21"/>
          <w:highlight w:val="none"/>
        </w:rPr>
        <w:t>否</w:t>
      </w:r>
    </w:p>
    <w:p w14:paraId="32C6399D">
      <w:pPr>
        <w:spacing w:line="400" w:lineRule="exact"/>
        <w:rPr>
          <w:rFonts w:ascii="宋体" w:hAnsi="宋体"/>
          <w:iCs/>
          <w:color w:val="auto"/>
          <w:szCs w:val="21"/>
          <w:highlight w:val="none"/>
        </w:rPr>
      </w:pPr>
      <w:r>
        <w:rPr>
          <w:rFonts w:hint="eastAsia"/>
          <w:color w:val="auto"/>
          <w:highlight w:val="none"/>
        </w:rPr>
        <w:t xml:space="preserve">        若本项目不专门面向中小企业采购，是否给予小微企业评审优惠：</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w:t>
      </w:r>
      <w:r>
        <w:rPr>
          <w:rFonts w:hint="eastAsia" w:ascii="宋体" w:hAnsi="宋体"/>
          <w:iCs/>
          <w:color w:val="auto"/>
          <w:szCs w:val="21"/>
          <w:highlight w:val="none"/>
        </w:rPr>
        <w:t>否</w:t>
      </w:r>
    </w:p>
    <w:p w14:paraId="73405DE2">
      <w:pPr>
        <w:spacing w:line="400" w:lineRule="exact"/>
        <w:rPr>
          <w:rFonts w:ascii="宋体" w:hAnsi="宋体"/>
          <w:iCs/>
          <w:color w:val="auto"/>
          <w:szCs w:val="21"/>
          <w:highlight w:val="none"/>
        </w:rPr>
      </w:pPr>
      <w:r>
        <w:rPr>
          <w:rFonts w:hint="eastAsia"/>
          <w:color w:val="auto"/>
          <w:highlight w:val="none"/>
        </w:rPr>
        <w:t xml:space="preserve">        中标（成交）采购标的制造商是否为残疾人福利性单位：</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w:t>
      </w:r>
      <w:r>
        <w:rPr>
          <w:rFonts w:hint="eastAsia" w:ascii="宋体" w:hAnsi="宋体"/>
          <w:iCs/>
          <w:color w:val="auto"/>
          <w:szCs w:val="21"/>
          <w:highlight w:val="none"/>
        </w:rPr>
        <w:t>否</w:t>
      </w:r>
    </w:p>
    <w:p w14:paraId="2716AB69">
      <w:pPr>
        <w:spacing w:line="400" w:lineRule="exact"/>
        <w:rPr>
          <w:color w:val="auto"/>
          <w:highlight w:val="none"/>
        </w:rPr>
      </w:pPr>
      <w:r>
        <w:rPr>
          <w:rFonts w:hint="eastAsia"/>
          <w:color w:val="auto"/>
          <w:highlight w:val="none"/>
        </w:rPr>
        <w:t xml:space="preserve">        中标（成交）采购标的制造商是否为监狱企业：</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w:t>
      </w:r>
      <w:r>
        <w:rPr>
          <w:rFonts w:hint="eastAsia" w:ascii="宋体" w:hAnsi="宋体"/>
          <w:iCs/>
          <w:color w:val="auto"/>
          <w:szCs w:val="21"/>
          <w:highlight w:val="none"/>
        </w:rPr>
        <w:t>否</w:t>
      </w:r>
    </w:p>
    <w:p w14:paraId="74422032">
      <w:pPr>
        <w:spacing w:line="400" w:lineRule="exact"/>
        <w:ind w:firstLine="420"/>
        <w:rPr>
          <w:rFonts w:ascii="宋体" w:hAnsi="宋体"/>
          <w:color w:val="auto"/>
          <w:szCs w:val="21"/>
          <w:highlight w:val="none"/>
        </w:rPr>
      </w:pPr>
      <w:r>
        <w:rPr>
          <w:rFonts w:hint="eastAsia" w:ascii="宋体" w:hAnsi="宋体"/>
          <w:color w:val="auto"/>
          <w:szCs w:val="21"/>
          <w:highlight w:val="none"/>
        </w:rPr>
        <w:t>（</w:t>
      </w:r>
      <w:r>
        <w:rPr>
          <w:rFonts w:ascii="宋体" w:hAnsi="宋体"/>
          <w:color w:val="auto"/>
          <w:szCs w:val="21"/>
          <w:highlight w:val="none"/>
          <w:lang w:val="en"/>
        </w:rPr>
        <w:t>7</w:t>
      </w:r>
      <w:r>
        <w:rPr>
          <w:rFonts w:hint="eastAsia" w:ascii="宋体" w:hAnsi="宋体"/>
          <w:color w:val="auto"/>
          <w:szCs w:val="21"/>
          <w:highlight w:val="none"/>
        </w:rPr>
        <w:t>）合同是否分包：</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w:t>
      </w:r>
      <w:r>
        <w:rPr>
          <w:rFonts w:hint="eastAsia" w:ascii="宋体" w:hAnsi="宋体"/>
          <w:iCs/>
          <w:color w:val="auto"/>
          <w:szCs w:val="21"/>
          <w:highlight w:val="none"/>
        </w:rPr>
        <w:t>否</w:t>
      </w:r>
    </w:p>
    <w:p w14:paraId="4A736C0F">
      <w:pPr>
        <w:spacing w:line="400" w:lineRule="exact"/>
        <w:ind w:firstLine="840"/>
        <w:rPr>
          <w:rFonts w:ascii="宋体" w:hAnsi="宋体"/>
          <w:color w:val="auto"/>
          <w:szCs w:val="21"/>
          <w:highlight w:val="none"/>
          <w:u w:val="single"/>
        </w:rPr>
      </w:pPr>
      <w:r>
        <w:rPr>
          <w:rFonts w:hint="eastAsia" w:ascii="宋体" w:hAnsi="宋体"/>
          <w:color w:val="auto"/>
          <w:szCs w:val="21"/>
          <w:highlight w:val="none"/>
        </w:rPr>
        <w:t xml:space="preserve"> 分包主要内容：</w:t>
      </w:r>
      <w:r>
        <w:rPr>
          <w:rFonts w:hint="eastAsia" w:ascii="宋体" w:hAnsi="宋体"/>
          <w:color w:val="auto"/>
          <w:szCs w:val="21"/>
          <w:highlight w:val="none"/>
          <w:u w:val="single"/>
        </w:rPr>
        <w:t xml:space="preserve">                                            </w:t>
      </w:r>
    </w:p>
    <w:p w14:paraId="7C1BD3F7">
      <w:pPr>
        <w:spacing w:line="400" w:lineRule="exact"/>
        <w:ind w:firstLine="840"/>
        <w:rPr>
          <w:rFonts w:ascii="宋体" w:hAnsi="宋体"/>
          <w:color w:val="auto"/>
          <w:szCs w:val="21"/>
          <w:highlight w:val="none"/>
        </w:rPr>
      </w:pPr>
      <w:r>
        <w:rPr>
          <w:rFonts w:hint="eastAsia" w:ascii="宋体" w:hAnsi="宋体"/>
          <w:color w:val="auto"/>
          <w:szCs w:val="21"/>
          <w:highlight w:val="none"/>
        </w:rPr>
        <w:t xml:space="preserve"> 分包供应商/制造商名称（如供应商和制造商不同，请分别填写）：</w:t>
      </w:r>
    </w:p>
    <w:p w14:paraId="028A6428">
      <w:pPr>
        <w:spacing w:line="400" w:lineRule="exact"/>
        <w:ind w:firstLine="840"/>
        <w:rPr>
          <w:rFonts w:ascii="宋体" w:hAnsi="宋体"/>
          <w:color w:val="auto"/>
          <w:szCs w:val="21"/>
          <w:highlight w:val="none"/>
          <w:u w:val="single"/>
        </w:rPr>
      </w:pP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p>
    <w:p w14:paraId="7AAD2E5D">
      <w:pPr>
        <w:spacing w:line="400" w:lineRule="exact"/>
        <w:ind w:firstLine="840"/>
        <w:rPr>
          <w:rFonts w:ascii="宋体" w:hAnsi="宋体"/>
          <w:color w:val="auto"/>
          <w:szCs w:val="21"/>
          <w:highlight w:val="none"/>
        </w:rPr>
      </w:pPr>
      <w:r>
        <w:rPr>
          <w:rFonts w:hint="eastAsia" w:ascii="宋体" w:hAnsi="宋体"/>
          <w:color w:val="auto"/>
          <w:szCs w:val="21"/>
          <w:highlight w:val="none"/>
        </w:rPr>
        <w:t xml:space="preserve"> 分包供应商/制造商类型（如果供应商和制造商不同，只填写制造商类型）：</w:t>
      </w:r>
    </w:p>
    <w:p w14:paraId="6893DCB0">
      <w:pPr>
        <w:spacing w:line="400" w:lineRule="exact"/>
        <w:ind w:firstLine="840"/>
        <w:rPr>
          <w:rFonts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大型企业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中型企业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小微型企业  </w:t>
      </w:r>
    </w:p>
    <w:p w14:paraId="04DC88BB">
      <w:pPr>
        <w:spacing w:line="400" w:lineRule="exact"/>
        <w:ind w:firstLine="840"/>
        <w:rPr>
          <w:rFonts w:eastAsia="华文楷体"/>
          <w:color w:val="auto"/>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残疾人福利性单位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监狱企业 </w:t>
      </w:r>
      <w:r>
        <w:rPr>
          <w:rFonts w:ascii="Wingdings" w:hAnsi="Wingdings" w:eastAsia="Wingdings" w:cs="Wingdings"/>
          <w:iCs/>
          <w:color w:val="auto"/>
          <w:szCs w:val="21"/>
          <w:highlight w:val="none"/>
        </w:rPr>
        <w:t>¨</w:t>
      </w:r>
      <w:r>
        <w:rPr>
          <w:rFonts w:hint="eastAsia" w:ascii="宋体" w:hAnsi="宋体"/>
          <w:iCs/>
          <w:color w:val="auto"/>
          <w:szCs w:val="21"/>
          <w:highlight w:val="none"/>
        </w:rPr>
        <w:t>其他</w:t>
      </w:r>
    </w:p>
    <w:p w14:paraId="7D8E08D8">
      <w:pPr>
        <w:spacing w:line="400" w:lineRule="exact"/>
        <w:rPr>
          <w:rFonts w:ascii="宋体" w:hAnsi="宋体" w:cs="宋体"/>
          <w:iCs/>
          <w:color w:val="auto"/>
          <w:szCs w:val="21"/>
          <w:highlight w:val="none"/>
        </w:rPr>
      </w:pPr>
      <w:r>
        <w:rPr>
          <w:rFonts w:hint="eastAsia" w:ascii="宋体" w:hAnsi="宋体"/>
          <w:color w:val="auto"/>
          <w:szCs w:val="21"/>
          <w:highlight w:val="none"/>
        </w:rPr>
        <w:t xml:space="preserve">    </w:t>
      </w:r>
      <w:r>
        <w:rPr>
          <w:rFonts w:hint="eastAsia" w:ascii="宋体" w:hAnsi="宋体" w:cs="宋体"/>
          <w:color w:val="auto"/>
          <w:szCs w:val="21"/>
          <w:highlight w:val="none"/>
        </w:rPr>
        <w:t>（</w:t>
      </w:r>
      <w:r>
        <w:rPr>
          <w:rFonts w:ascii="宋体" w:hAnsi="宋体" w:cs="宋体"/>
          <w:color w:val="auto"/>
          <w:szCs w:val="21"/>
          <w:highlight w:val="none"/>
          <w:lang w:val="en"/>
        </w:rPr>
        <w:t>8</w:t>
      </w:r>
      <w:r>
        <w:rPr>
          <w:rFonts w:hint="eastAsia" w:ascii="宋体" w:hAnsi="宋体" w:cs="宋体"/>
          <w:color w:val="auto"/>
          <w:szCs w:val="21"/>
          <w:highlight w:val="none"/>
        </w:rPr>
        <w:t>）中标（成交）供应商是否为外商投资企业：</w:t>
      </w:r>
      <w:r>
        <w:rPr>
          <w:rFonts w:ascii="Wingdings" w:hAnsi="Wingdings" w:eastAsia="Wingdings" w:cs="Wingdings"/>
          <w:iCs/>
          <w:color w:val="auto"/>
          <w:szCs w:val="21"/>
          <w:highlight w:val="none"/>
        </w:rPr>
        <w:t>¨</w:t>
      </w:r>
      <w:r>
        <w:rPr>
          <w:rFonts w:hint="eastAsia" w:ascii="宋体" w:hAnsi="宋体" w:cs="宋体"/>
          <w:iCs/>
          <w:color w:val="auto"/>
          <w:szCs w:val="21"/>
          <w:highlight w:val="none"/>
        </w:rPr>
        <w:t xml:space="preserve">是       </w:t>
      </w:r>
      <w:r>
        <w:rPr>
          <w:rFonts w:ascii="Wingdings" w:hAnsi="Wingdings" w:eastAsia="Wingdings" w:cs="Wingdings"/>
          <w:iCs/>
          <w:color w:val="auto"/>
          <w:szCs w:val="21"/>
          <w:highlight w:val="none"/>
        </w:rPr>
        <w:t>¨</w:t>
      </w:r>
      <w:r>
        <w:rPr>
          <w:rFonts w:hint="eastAsia" w:ascii="宋体" w:hAnsi="宋体" w:cs="宋体"/>
          <w:iCs/>
          <w:color w:val="auto"/>
          <w:szCs w:val="21"/>
          <w:highlight w:val="none"/>
        </w:rPr>
        <w:t>否</w:t>
      </w:r>
    </w:p>
    <w:p w14:paraId="26636FB7">
      <w:pPr>
        <w:pStyle w:val="213"/>
        <w:tabs>
          <w:tab w:val="left" w:pos="1340"/>
        </w:tabs>
        <w:ind w:firstLine="420"/>
        <w:rPr>
          <w:rFonts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ascii="Wingdings" w:hAnsi="Wingdings" w:eastAsia="Wingdings" w:cs="Wingdings"/>
          <w:iCs/>
          <w:color w:val="auto"/>
          <w:sz w:val="21"/>
          <w:highlight w:val="none"/>
        </w:rPr>
        <w:t>¨</w:t>
      </w:r>
      <w:r>
        <w:rPr>
          <w:rFonts w:hint="eastAsia" w:ascii="宋体" w:hAnsi="宋体" w:eastAsia="宋体" w:cs="宋体"/>
          <w:color w:val="auto"/>
          <w:sz w:val="21"/>
          <w:highlight w:val="none"/>
        </w:rPr>
        <w:t xml:space="preserve">全部由外国投资者投资  </w:t>
      </w:r>
      <w:r>
        <w:rPr>
          <w:rFonts w:ascii="Wingdings" w:hAnsi="Wingdings" w:eastAsia="Wingdings" w:cs="Wingdings"/>
          <w:iCs/>
          <w:color w:val="auto"/>
          <w:sz w:val="21"/>
          <w:highlight w:val="none"/>
        </w:rPr>
        <w:t>¨</w:t>
      </w:r>
      <w:r>
        <w:rPr>
          <w:rFonts w:hint="eastAsia" w:ascii="宋体" w:hAnsi="宋体" w:eastAsia="宋体" w:cs="宋体"/>
          <w:iCs/>
          <w:color w:val="auto"/>
          <w:sz w:val="21"/>
          <w:highlight w:val="none"/>
        </w:rPr>
        <w:t>部分由外国投资者投资</w:t>
      </w:r>
    </w:p>
    <w:p w14:paraId="40DE040C">
      <w:pPr>
        <w:spacing w:line="400" w:lineRule="exact"/>
        <w:ind w:firstLine="420"/>
        <w:rPr>
          <w:rFonts w:ascii="宋体" w:hAnsi="宋体" w:cs="宋体"/>
          <w:color w:val="auto"/>
          <w:szCs w:val="21"/>
          <w:highlight w:val="none"/>
        </w:rPr>
      </w:pPr>
      <w:r>
        <w:rPr>
          <w:rFonts w:hint="eastAsia" w:ascii="宋体" w:hAnsi="宋体" w:cs="宋体"/>
          <w:color w:val="auto"/>
          <w:szCs w:val="21"/>
          <w:highlight w:val="none"/>
        </w:rPr>
        <w:t>（</w:t>
      </w:r>
      <w:r>
        <w:rPr>
          <w:rFonts w:ascii="宋体" w:hAnsi="宋体" w:cs="宋体"/>
          <w:color w:val="auto"/>
          <w:szCs w:val="21"/>
          <w:highlight w:val="none"/>
          <w:lang w:val="en"/>
        </w:rPr>
        <w:t>9</w:t>
      </w:r>
      <w:r>
        <w:rPr>
          <w:rFonts w:hint="eastAsia" w:ascii="宋体" w:hAnsi="宋体" w:cs="宋体"/>
          <w:color w:val="auto"/>
          <w:szCs w:val="21"/>
          <w:highlight w:val="none"/>
        </w:rPr>
        <w:t>）是否涉及进口产品：</w:t>
      </w:r>
    </w:p>
    <w:p w14:paraId="269DF5B9">
      <w:pPr>
        <w:spacing w:line="400" w:lineRule="exact"/>
        <w:ind w:firstLine="840"/>
        <w:rPr>
          <w:rFonts w:ascii="宋体" w:hAnsi="宋体" w:cs="宋体"/>
          <w:color w:val="auto"/>
          <w:szCs w:val="21"/>
          <w:highlight w:val="none"/>
          <w:u w:val="single"/>
        </w:rPr>
      </w:pPr>
      <w:r>
        <w:rPr>
          <w:rFonts w:hint="eastAsia" w:ascii="宋体" w:hAnsi="宋体" w:cs="宋体"/>
          <w:color w:val="auto"/>
          <w:szCs w:val="21"/>
          <w:highlight w:val="none"/>
        </w:rPr>
        <w:t xml:space="preserve"> </w:t>
      </w:r>
      <w:r>
        <w:rPr>
          <w:rFonts w:ascii="Wingdings" w:hAnsi="Wingdings" w:eastAsia="Wingdings" w:cs="Wingdings"/>
          <w:color w:val="auto"/>
          <w:szCs w:val="21"/>
          <w:highlight w:val="none"/>
        </w:rPr>
        <w:t>¨</w:t>
      </w:r>
      <w:r>
        <w:rPr>
          <w:rFonts w:hint="eastAsia" w:ascii="宋体" w:hAnsi="宋体" w:cs="宋体"/>
          <w:color w:val="auto"/>
          <w:szCs w:val="21"/>
          <w:highlight w:val="none"/>
        </w:rPr>
        <w:t>是，《政府采购品目分类目录》底级品目名称：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金额：</w:t>
      </w:r>
      <w:r>
        <w:rPr>
          <w:rFonts w:hint="eastAsia" w:ascii="宋体" w:hAnsi="宋体" w:cs="宋体"/>
          <w:color w:val="auto"/>
          <w:szCs w:val="21"/>
          <w:highlight w:val="none"/>
          <w:u w:val="single"/>
        </w:rPr>
        <w:t xml:space="preserve">        </w:t>
      </w:r>
    </w:p>
    <w:p w14:paraId="2877FF96">
      <w:pPr>
        <w:spacing w:line="400" w:lineRule="exact"/>
        <w:ind w:firstLine="840"/>
        <w:rPr>
          <w:rFonts w:ascii="宋体" w:hAnsi="宋体"/>
          <w:color w:val="auto"/>
          <w:szCs w:val="21"/>
          <w:highlight w:val="none"/>
        </w:rPr>
      </w:pPr>
      <w:r>
        <w:rPr>
          <w:rFonts w:hint="eastAsia" w:ascii="宋体" w:hAnsi="宋体" w:cs="宋体"/>
          <w:color w:val="auto"/>
          <w:szCs w:val="21"/>
          <w:highlight w:val="none"/>
        </w:rPr>
        <w:t xml:space="preserve"> 国别：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规格型号：</w:t>
      </w:r>
      <w:r>
        <w:rPr>
          <w:rFonts w:hint="eastAsia" w:ascii="宋体" w:hAnsi="宋体" w:cs="宋体"/>
          <w:color w:val="auto"/>
          <w:szCs w:val="21"/>
          <w:highlight w:val="none"/>
          <w:u w:val="single"/>
        </w:rPr>
        <w:t xml:space="preserve">        </w:t>
      </w:r>
      <w:r>
        <w:rPr>
          <w:rFonts w:hint="eastAsia" w:ascii="宋体" w:hAnsi="宋体"/>
          <w:color w:val="auto"/>
          <w:szCs w:val="21"/>
          <w:highlight w:val="none"/>
        </w:rPr>
        <w:t xml:space="preserve">      </w:t>
      </w:r>
    </w:p>
    <w:p w14:paraId="3704F842">
      <w:pPr>
        <w:spacing w:line="400" w:lineRule="exact"/>
        <w:ind w:firstLine="840"/>
        <w:rPr>
          <w:rFonts w:ascii="宋体" w:hAnsi="宋体"/>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w:t>
      </w:r>
      <w:r>
        <w:rPr>
          <w:rFonts w:hint="eastAsia" w:ascii="宋体" w:hAnsi="宋体"/>
          <w:color w:val="auto"/>
          <w:szCs w:val="21"/>
          <w:highlight w:val="none"/>
        </w:rPr>
        <w:t>否</w:t>
      </w:r>
    </w:p>
    <w:p w14:paraId="3440D672">
      <w:pPr>
        <w:tabs>
          <w:tab w:val="left" w:pos="740"/>
        </w:tabs>
        <w:spacing w:line="400" w:lineRule="exact"/>
        <w:rPr>
          <w:rFonts w:ascii="宋体" w:hAnsi="宋体"/>
          <w:color w:val="auto"/>
          <w:szCs w:val="21"/>
          <w:highlight w:val="none"/>
        </w:rPr>
      </w:pPr>
      <w:r>
        <w:rPr>
          <w:rFonts w:hint="eastAsia" w:ascii="宋体" w:hAnsi="宋体"/>
          <w:color w:val="auto"/>
          <w:szCs w:val="21"/>
          <w:highlight w:val="none"/>
        </w:rPr>
        <w:t xml:space="preserve">    （1</w:t>
      </w:r>
      <w:r>
        <w:rPr>
          <w:rFonts w:ascii="宋体" w:hAnsi="宋体"/>
          <w:color w:val="auto"/>
          <w:szCs w:val="21"/>
          <w:highlight w:val="none"/>
          <w:lang w:val="en"/>
        </w:rPr>
        <w:t>0</w:t>
      </w:r>
      <w:r>
        <w:rPr>
          <w:rFonts w:hint="eastAsia" w:ascii="宋体" w:hAnsi="宋体"/>
          <w:color w:val="auto"/>
          <w:szCs w:val="21"/>
          <w:highlight w:val="none"/>
        </w:rPr>
        <w:t>）是否涉及节能产品：</w:t>
      </w:r>
    </w:p>
    <w:p w14:paraId="41ED24BE">
      <w:pPr>
        <w:tabs>
          <w:tab w:val="left" w:pos="740"/>
        </w:tabs>
        <w:spacing w:line="400" w:lineRule="exact"/>
        <w:rPr>
          <w:rFonts w:ascii="宋体" w:hAnsi="宋体"/>
          <w:iCs/>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w:t>
      </w:r>
      <w:r>
        <w:rPr>
          <w:rFonts w:hint="eastAsia" w:ascii="宋体" w:hAnsi="宋体"/>
          <w:color w:val="auto"/>
          <w:szCs w:val="21"/>
          <w:highlight w:val="none"/>
        </w:rPr>
        <w:t>是，《节能产品政府采购品目清单》的底级品目名称：</w:t>
      </w:r>
      <w:r>
        <w:rPr>
          <w:rFonts w:hint="eastAsia" w:ascii="宋体" w:hAnsi="宋体"/>
          <w:color w:val="auto"/>
          <w:szCs w:val="21"/>
          <w:highlight w:val="none"/>
          <w:u w:val="single"/>
        </w:rPr>
        <w:t xml:space="preserve">         </w:t>
      </w:r>
      <w:r>
        <w:rPr>
          <w:rFonts w:hint="eastAsia" w:ascii="宋体" w:hAnsi="宋体"/>
          <w:iCs/>
          <w:color w:val="auto"/>
          <w:szCs w:val="21"/>
          <w:highlight w:val="none"/>
        </w:rPr>
        <w:t xml:space="preserve">     </w:t>
      </w:r>
    </w:p>
    <w:p w14:paraId="7CC26E85">
      <w:pPr>
        <w:tabs>
          <w:tab w:val="left" w:pos="740"/>
        </w:tabs>
        <w:spacing w:line="400" w:lineRule="exact"/>
        <w:rPr>
          <w:rFonts w:ascii="宋体" w:hAnsi="宋体"/>
          <w:iCs/>
          <w:color w:val="auto"/>
          <w:szCs w:val="21"/>
          <w:highlight w:val="none"/>
        </w:rPr>
      </w:pPr>
      <w:r>
        <w:rPr>
          <w:rFonts w:hint="eastAsia" w:ascii="宋体" w:hAnsi="宋体"/>
          <w:iCs/>
          <w:color w:val="auto"/>
          <w:szCs w:val="21"/>
          <w:highlight w:val="none"/>
        </w:rPr>
        <w:t xml:space="preserve">        </w:t>
      </w:r>
      <w:r>
        <w:rPr>
          <w:rFonts w:ascii="宋体" w:hAnsi="宋体"/>
          <w:iCs/>
          <w:color w:val="auto"/>
          <w:szCs w:val="21"/>
          <w:highlight w:val="none"/>
        </w:rPr>
        <w:t xml:space="preserve">       </w:t>
      </w: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优先采购    </w:t>
      </w:r>
    </w:p>
    <w:p w14:paraId="79D329AE">
      <w:pPr>
        <w:tabs>
          <w:tab w:val="left" w:pos="740"/>
        </w:tabs>
        <w:spacing w:line="400" w:lineRule="exact"/>
        <w:rPr>
          <w:rFonts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color w:val="auto"/>
          <w:szCs w:val="21"/>
          <w:highlight w:val="none"/>
        </w:rPr>
        <w:t>¨</w:t>
      </w:r>
      <w:r>
        <w:rPr>
          <w:rFonts w:hint="eastAsia" w:ascii="宋体" w:hAnsi="宋体"/>
          <w:color w:val="auto"/>
          <w:szCs w:val="21"/>
          <w:highlight w:val="none"/>
        </w:rPr>
        <w:t>否</w:t>
      </w:r>
    </w:p>
    <w:p w14:paraId="5CEBE16D">
      <w:pPr>
        <w:tabs>
          <w:tab w:val="left" w:pos="740"/>
        </w:tabs>
        <w:spacing w:line="400" w:lineRule="exact"/>
        <w:rPr>
          <w:rFonts w:ascii="宋体" w:hAnsi="宋体"/>
          <w:color w:val="auto"/>
          <w:szCs w:val="21"/>
          <w:highlight w:val="none"/>
        </w:rPr>
      </w:pPr>
      <w:r>
        <w:rPr>
          <w:rFonts w:hint="eastAsia" w:ascii="宋体" w:hAnsi="宋体"/>
          <w:color w:val="auto"/>
          <w:szCs w:val="21"/>
          <w:highlight w:val="none"/>
        </w:rPr>
        <w:t xml:space="preserve">          是否涉及环境标志产品：</w:t>
      </w:r>
    </w:p>
    <w:p w14:paraId="0B006D31">
      <w:pPr>
        <w:tabs>
          <w:tab w:val="left" w:pos="740"/>
        </w:tabs>
        <w:spacing w:line="400" w:lineRule="exact"/>
        <w:rPr>
          <w:rFonts w:ascii="宋体" w:hAnsi="宋体"/>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w:t>
      </w:r>
      <w:r>
        <w:rPr>
          <w:rFonts w:hint="eastAsia" w:ascii="宋体" w:hAnsi="宋体"/>
          <w:color w:val="auto"/>
          <w:szCs w:val="21"/>
          <w:highlight w:val="none"/>
        </w:rPr>
        <w:t>是，《环境标志产品政府采购品目清单》的底级品目名称：</w:t>
      </w:r>
      <w:r>
        <w:rPr>
          <w:rFonts w:hint="eastAsia" w:ascii="宋体" w:hAnsi="宋体"/>
          <w:color w:val="auto"/>
          <w:szCs w:val="21"/>
          <w:highlight w:val="none"/>
          <w:u w:val="single"/>
        </w:rPr>
        <w:t xml:space="preserve">         </w:t>
      </w:r>
      <w:r>
        <w:rPr>
          <w:rFonts w:hint="eastAsia" w:ascii="宋体" w:hAnsi="宋体"/>
          <w:iCs/>
          <w:color w:val="auto"/>
          <w:szCs w:val="21"/>
          <w:highlight w:val="none"/>
        </w:rPr>
        <w:t xml:space="preserve"> </w:t>
      </w:r>
    </w:p>
    <w:p w14:paraId="0BC37746">
      <w:pPr>
        <w:tabs>
          <w:tab w:val="left" w:pos="740"/>
        </w:tabs>
        <w:spacing w:line="400" w:lineRule="exact"/>
        <w:rPr>
          <w:rFonts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优先采购    </w:t>
      </w:r>
    </w:p>
    <w:p w14:paraId="22825647">
      <w:pPr>
        <w:tabs>
          <w:tab w:val="left" w:pos="740"/>
        </w:tabs>
        <w:spacing w:line="400" w:lineRule="exact"/>
        <w:rPr>
          <w:rFonts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color w:val="auto"/>
          <w:szCs w:val="21"/>
          <w:highlight w:val="none"/>
        </w:rPr>
        <w:t>¨</w:t>
      </w:r>
      <w:r>
        <w:rPr>
          <w:rFonts w:hint="eastAsia" w:ascii="宋体" w:hAnsi="宋体"/>
          <w:color w:val="auto"/>
          <w:szCs w:val="21"/>
          <w:highlight w:val="none"/>
        </w:rPr>
        <w:t>否</w:t>
      </w:r>
    </w:p>
    <w:p w14:paraId="171A1B41">
      <w:pPr>
        <w:pStyle w:val="213"/>
        <w:ind w:firstLine="0"/>
        <w:rPr>
          <w:rFonts w:ascii="宋体" w:hAnsi="宋体" w:eastAsia="宋体" w:cs="Times New Roman"/>
          <w:color w:val="auto"/>
          <w:sz w:val="21"/>
          <w:highlight w:val="none"/>
        </w:rPr>
      </w:pPr>
      <w:r>
        <w:rPr>
          <w:rFonts w:hint="eastAsia" w:ascii="宋体" w:hAnsi="宋体"/>
          <w:color w:val="auto"/>
          <w:sz w:val="21"/>
          <w:highlight w:val="none"/>
        </w:rPr>
        <w:t xml:space="preserve">          </w:t>
      </w:r>
      <w:r>
        <w:rPr>
          <w:rFonts w:hint="eastAsia" w:ascii="宋体" w:hAnsi="宋体" w:eastAsia="宋体" w:cs="Times New Roman"/>
          <w:color w:val="auto"/>
          <w:sz w:val="21"/>
          <w:highlight w:val="none"/>
        </w:rPr>
        <w:t xml:space="preserve">是否涉及绿色产品： </w:t>
      </w:r>
    </w:p>
    <w:p w14:paraId="3211566D">
      <w:pPr>
        <w:pStyle w:val="213"/>
        <w:ind w:firstLine="420"/>
        <w:rPr>
          <w:rFonts w:ascii="宋体" w:hAnsi="宋体" w:eastAsia="宋体"/>
          <w:color w:val="auto"/>
          <w:highlight w:val="none"/>
          <w:u w:val="singl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w:t>
      </w:r>
      <w:r>
        <w:rPr>
          <w:rFonts w:hint="eastAsia" w:ascii="宋体" w:hAnsi="宋体" w:eastAsia="宋体" w:cs="Times New Roman"/>
          <w:color w:val="auto"/>
          <w:sz w:val="21"/>
          <w:highlight w:val="none"/>
        </w:rPr>
        <w:t>是，绿色产品政府采购相关政策确定的底级品目名称：</w:t>
      </w:r>
      <w:r>
        <w:rPr>
          <w:rFonts w:hint="eastAsia" w:ascii="宋体" w:hAnsi="宋体" w:eastAsia="宋体"/>
          <w:color w:val="auto"/>
          <w:highlight w:val="none"/>
          <w:u w:val="single"/>
        </w:rPr>
        <w:t xml:space="preserve">         </w:t>
      </w:r>
    </w:p>
    <w:p w14:paraId="36B228F3">
      <w:pPr>
        <w:tabs>
          <w:tab w:val="left" w:pos="740"/>
        </w:tabs>
        <w:spacing w:line="400" w:lineRule="exact"/>
        <w:rPr>
          <w:rFonts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优先采购    </w:t>
      </w:r>
    </w:p>
    <w:p w14:paraId="62DC069F">
      <w:pPr>
        <w:pStyle w:val="213"/>
        <w:ind w:firstLine="420"/>
        <w:rPr>
          <w:rFonts w:ascii="宋体" w:hAnsi="宋体"/>
          <w:color w:val="auto"/>
          <w:sz w:val="21"/>
          <w:highlight w:val="non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w:t>
      </w:r>
      <w:r>
        <w:rPr>
          <w:rFonts w:hint="eastAsia" w:ascii="宋体" w:hAnsi="宋体" w:eastAsia="宋体" w:cs="Times New Roman"/>
          <w:color w:val="auto"/>
          <w:sz w:val="21"/>
          <w:highlight w:val="none"/>
        </w:rPr>
        <w:t>否</w:t>
      </w:r>
    </w:p>
    <w:p w14:paraId="5D853EB6">
      <w:pPr>
        <w:spacing w:line="400" w:lineRule="exact"/>
        <w:rPr>
          <w:rFonts w:ascii="宋体" w:hAnsi="宋体"/>
          <w:color w:val="auto"/>
          <w:szCs w:val="21"/>
          <w:highlight w:val="none"/>
        </w:rPr>
      </w:pPr>
      <w:r>
        <w:rPr>
          <w:rFonts w:hint="eastAsia" w:ascii="宋体" w:hAnsi="宋体"/>
          <w:color w:val="auto"/>
          <w:szCs w:val="21"/>
          <w:highlight w:val="none"/>
        </w:rPr>
        <w:t xml:space="preserve">    （1</w:t>
      </w:r>
      <w:r>
        <w:rPr>
          <w:rFonts w:ascii="宋体" w:hAnsi="宋体"/>
          <w:color w:val="auto"/>
          <w:szCs w:val="21"/>
          <w:highlight w:val="none"/>
          <w:lang w:val="en"/>
        </w:rPr>
        <w:t>1</w:t>
      </w:r>
      <w:r>
        <w:rPr>
          <w:rFonts w:hint="eastAsia" w:ascii="宋体" w:hAnsi="宋体"/>
          <w:color w:val="auto"/>
          <w:szCs w:val="21"/>
          <w:highlight w:val="none"/>
        </w:rPr>
        <w:t>）涉及商品包装和快递包装的，是否参考《商品包装政府采购需求标准（试行）》、《快递包装政府采购需求标准（试行）》明确产品及相关快递服务的具体包装要求：</w:t>
      </w:r>
    </w:p>
    <w:p w14:paraId="12878C8E">
      <w:pPr>
        <w:spacing w:line="400" w:lineRule="exact"/>
        <w:ind w:firstLine="840"/>
        <w:rPr>
          <w:rFonts w:ascii="宋体" w:hAnsi="宋体"/>
          <w:color w:val="auto"/>
          <w:szCs w:val="21"/>
          <w:highlight w:val="none"/>
        </w:rPr>
      </w:pPr>
      <w:r>
        <w:rPr>
          <w:rFonts w:ascii="Wingdings" w:hAnsi="Wingdings" w:eastAsia="Wingdings" w:cs="Wingdings"/>
          <w:color w:val="auto"/>
          <w:szCs w:val="21"/>
          <w:highlight w:val="none"/>
        </w:rPr>
        <w:t>¨</w:t>
      </w:r>
      <w:r>
        <w:rPr>
          <w:rFonts w:hint="eastAsia" w:ascii="宋体" w:hAnsi="宋体"/>
          <w:color w:val="auto"/>
          <w:szCs w:val="21"/>
          <w:highlight w:val="none"/>
        </w:rPr>
        <w:t xml:space="preserve">是       </w:t>
      </w:r>
      <w:r>
        <w:rPr>
          <w:rFonts w:ascii="Wingdings" w:hAnsi="Wingdings" w:eastAsia="Wingdings" w:cs="Wingdings"/>
          <w:color w:val="auto"/>
          <w:szCs w:val="21"/>
          <w:highlight w:val="none"/>
        </w:rPr>
        <w:t>¨</w:t>
      </w:r>
      <w:r>
        <w:rPr>
          <w:rFonts w:hint="eastAsia" w:ascii="宋体" w:hAnsi="宋体"/>
          <w:color w:val="auto"/>
          <w:szCs w:val="21"/>
          <w:highlight w:val="none"/>
        </w:rPr>
        <w:t xml:space="preserve">否      </w:t>
      </w:r>
      <w:r>
        <w:rPr>
          <w:rFonts w:ascii="Wingdings" w:hAnsi="Wingdings" w:eastAsia="Wingdings" w:cs="Wingdings"/>
          <w:color w:val="auto"/>
          <w:szCs w:val="21"/>
          <w:highlight w:val="none"/>
        </w:rPr>
        <w:t>¨</w:t>
      </w:r>
      <w:r>
        <w:rPr>
          <w:rFonts w:hint="eastAsia" w:ascii="宋体" w:hAnsi="宋体"/>
          <w:color w:val="auto"/>
          <w:szCs w:val="21"/>
          <w:highlight w:val="none"/>
        </w:rPr>
        <w:t>不涉及</w:t>
      </w:r>
    </w:p>
    <w:p w14:paraId="2D1269B8">
      <w:pPr>
        <w:numPr>
          <w:ilvl w:val="0"/>
          <w:numId w:val="2"/>
        </w:numPr>
        <w:spacing w:line="400" w:lineRule="exact"/>
        <w:ind w:firstLine="420"/>
        <w:rPr>
          <w:rFonts w:ascii="宋体" w:hAnsi="宋体"/>
          <w:b/>
          <w:color w:val="auto"/>
          <w:szCs w:val="21"/>
          <w:highlight w:val="none"/>
        </w:rPr>
      </w:pPr>
      <w:r>
        <w:rPr>
          <w:rFonts w:hint="eastAsia" w:ascii="宋体" w:hAnsi="宋体"/>
          <w:b/>
          <w:color w:val="auto"/>
          <w:szCs w:val="21"/>
          <w:highlight w:val="none"/>
        </w:rPr>
        <w:t>合同金额</w:t>
      </w:r>
    </w:p>
    <w:p w14:paraId="4D852310">
      <w:pPr>
        <w:spacing w:line="400" w:lineRule="exact"/>
        <w:ind w:firstLine="420"/>
        <w:rPr>
          <w:rFonts w:ascii="宋体" w:hAnsi="宋体"/>
          <w:color w:val="auto"/>
          <w:szCs w:val="21"/>
          <w:highlight w:val="none"/>
        </w:rPr>
      </w:pPr>
      <w:r>
        <w:rPr>
          <w:rFonts w:hint="eastAsia" w:ascii="宋体" w:hAnsi="宋体"/>
          <w:color w:val="auto"/>
          <w:szCs w:val="21"/>
          <w:highlight w:val="none"/>
        </w:rPr>
        <w:t>（1）合同金额小写：</w:t>
      </w:r>
      <w:r>
        <w:rPr>
          <w:rFonts w:hint="eastAsia" w:ascii="宋体" w:hAnsi="宋体"/>
          <w:color w:val="auto"/>
          <w:szCs w:val="21"/>
          <w:highlight w:val="none"/>
          <w:u w:val="single"/>
        </w:rPr>
        <w:t xml:space="preserve">                           </w:t>
      </w:r>
    </w:p>
    <w:p w14:paraId="334E6AEF">
      <w:pPr>
        <w:spacing w:line="400" w:lineRule="exact"/>
        <w:rPr>
          <w:rFonts w:ascii="宋体" w:hAnsi="宋体"/>
          <w:color w:val="auto"/>
          <w:szCs w:val="21"/>
          <w:highlight w:val="none"/>
          <w:u w:val="single"/>
        </w:rPr>
      </w:pPr>
      <w:r>
        <w:rPr>
          <w:rFonts w:hint="eastAsia" w:ascii="宋体" w:hAnsi="宋体"/>
          <w:color w:val="auto"/>
          <w:szCs w:val="21"/>
          <w:highlight w:val="none"/>
        </w:rPr>
        <w:t xml:space="preserve">                 大写：</w:t>
      </w:r>
      <w:r>
        <w:rPr>
          <w:rFonts w:hint="eastAsia" w:ascii="宋体" w:hAnsi="宋体"/>
          <w:color w:val="auto"/>
          <w:szCs w:val="21"/>
          <w:highlight w:val="none"/>
          <w:u w:val="single"/>
        </w:rPr>
        <w:t xml:space="preserve">                           </w:t>
      </w:r>
    </w:p>
    <w:p w14:paraId="3C5B44A3">
      <w:pPr>
        <w:spacing w:line="400" w:lineRule="exact"/>
        <w:rPr>
          <w:rFonts w:ascii="宋体" w:hAnsi="宋体"/>
          <w:color w:val="auto"/>
          <w:szCs w:val="21"/>
          <w:highlight w:val="none"/>
        </w:rPr>
      </w:pPr>
      <w:r>
        <w:rPr>
          <w:rFonts w:hint="eastAsia" w:ascii="宋体" w:hAnsi="宋体"/>
          <w:color w:val="auto"/>
          <w:szCs w:val="21"/>
          <w:highlight w:val="none"/>
        </w:rPr>
        <w:t xml:space="preserve">         分包金额（如有）小写：</w:t>
      </w:r>
      <w:r>
        <w:rPr>
          <w:rFonts w:hint="eastAsia" w:ascii="宋体" w:hAnsi="宋体"/>
          <w:color w:val="auto"/>
          <w:szCs w:val="21"/>
          <w:highlight w:val="none"/>
          <w:u w:val="single"/>
        </w:rPr>
        <w:t xml:space="preserve">                   </w:t>
      </w:r>
    </w:p>
    <w:p w14:paraId="27D22D23">
      <w:pPr>
        <w:spacing w:line="400" w:lineRule="exact"/>
        <w:rPr>
          <w:rFonts w:ascii="宋体" w:hAnsi="宋体"/>
          <w:color w:val="auto"/>
          <w:szCs w:val="21"/>
          <w:highlight w:val="none"/>
          <w:u w:val="single"/>
        </w:rPr>
      </w:pP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大写：</w:t>
      </w:r>
      <w:r>
        <w:rPr>
          <w:rFonts w:hint="eastAsia" w:ascii="宋体" w:hAnsi="宋体"/>
          <w:color w:val="auto"/>
          <w:szCs w:val="21"/>
          <w:highlight w:val="none"/>
          <w:u w:val="single"/>
        </w:rPr>
        <w:t xml:space="preserve">                   </w:t>
      </w:r>
    </w:p>
    <w:p w14:paraId="5845F71A">
      <w:pPr>
        <w:spacing w:line="400" w:lineRule="exact"/>
        <w:rPr>
          <w:rFonts w:ascii="宋体" w:hAnsi="宋体"/>
          <w:color w:val="auto"/>
          <w:szCs w:val="21"/>
          <w:highlight w:val="none"/>
        </w:rPr>
      </w:pPr>
      <w:r>
        <w:rPr>
          <w:rFonts w:hint="eastAsia" w:ascii="宋体" w:hAnsi="宋体"/>
          <w:color w:val="auto"/>
          <w:szCs w:val="21"/>
          <w:highlight w:val="none"/>
        </w:rPr>
        <w:t xml:space="preserve">    （注：固定单价合同应填写单价和最高限价）</w:t>
      </w:r>
    </w:p>
    <w:p w14:paraId="47F01DF2">
      <w:pPr>
        <w:spacing w:line="400" w:lineRule="exact"/>
        <w:rPr>
          <w:rFonts w:ascii="宋体" w:hAnsi="宋体"/>
          <w:color w:val="auto"/>
          <w:szCs w:val="21"/>
          <w:highlight w:val="none"/>
        </w:rPr>
      </w:pPr>
      <w:r>
        <w:rPr>
          <w:rFonts w:hint="eastAsia" w:ascii="宋体" w:hAnsi="宋体"/>
          <w:color w:val="auto"/>
          <w:szCs w:val="21"/>
          <w:highlight w:val="none"/>
        </w:rPr>
        <w:t xml:space="preserve">    （2）合同定价方式（采用组合定价方式的，可以勾选多项）：</w:t>
      </w:r>
    </w:p>
    <w:p w14:paraId="5C0702DE">
      <w:pPr>
        <w:spacing w:line="400" w:lineRule="exact"/>
        <w:ind w:firstLine="420"/>
        <w:rPr>
          <w:rFonts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固定总价 </w:t>
      </w:r>
      <w:r>
        <w:rPr>
          <w:rFonts w:ascii="Wingdings" w:hAnsi="Wingdings" w:eastAsia="Wingdings" w:cs="Wingdings"/>
          <w:iCs/>
          <w:color w:val="auto"/>
          <w:szCs w:val="21"/>
          <w:highlight w:val="none"/>
        </w:rPr>
        <w:sym w:font="Wingdings" w:char="00FE"/>
      </w:r>
      <w:r>
        <w:rPr>
          <w:rFonts w:hint="eastAsia" w:ascii="宋体" w:hAnsi="宋体"/>
          <w:iCs/>
          <w:color w:val="auto"/>
          <w:szCs w:val="21"/>
          <w:highlight w:val="none"/>
        </w:rPr>
        <w:t xml:space="preserve">固定单价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固定费率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成本补偿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绩效激励 </w:t>
      </w:r>
      <w:r>
        <w:rPr>
          <w:rFonts w:ascii="Wingdings" w:hAnsi="Wingdings" w:eastAsia="Wingdings" w:cs="Wingdings"/>
          <w:iCs/>
          <w:color w:val="auto"/>
          <w:szCs w:val="21"/>
          <w:highlight w:val="none"/>
        </w:rPr>
        <w:t>¨</w:t>
      </w:r>
      <w:r>
        <w:rPr>
          <w:rFonts w:hint="eastAsia" w:ascii="宋体" w:hAnsi="宋体"/>
          <w:iCs/>
          <w:color w:val="auto"/>
          <w:szCs w:val="21"/>
          <w:highlight w:val="none"/>
        </w:rPr>
        <w:t>其他</w:t>
      </w:r>
      <w:r>
        <w:rPr>
          <w:rFonts w:hint="eastAsia" w:ascii="宋体" w:hAnsi="宋体"/>
          <w:color w:val="auto"/>
          <w:szCs w:val="21"/>
          <w:highlight w:val="none"/>
          <w:u w:val="single"/>
        </w:rPr>
        <w:t xml:space="preserve">       </w:t>
      </w:r>
    </w:p>
    <w:p w14:paraId="01A82950">
      <w:pPr>
        <w:pStyle w:val="214"/>
        <w:spacing w:line="400" w:lineRule="exact"/>
        <w:ind w:left="0" w:firstLine="420"/>
        <w:rPr>
          <w:color w:val="auto"/>
          <w:sz w:val="21"/>
          <w:szCs w:val="21"/>
          <w:highlight w:val="none"/>
          <w:lang w:eastAsia="zh-CN"/>
        </w:rPr>
      </w:pPr>
      <w:r>
        <w:rPr>
          <w:rFonts w:hint="eastAsia" w:ascii="宋体" w:hAnsi="宋体"/>
          <w:color w:val="auto"/>
          <w:sz w:val="21"/>
          <w:szCs w:val="21"/>
          <w:highlight w:val="none"/>
          <w:lang w:eastAsia="zh-CN"/>
        </w:rPr>
        <w:t>（3）付款方式（按项目实际勾选填写）：</w:t>
      </w:r>
    </w:p>
    <w:p w14:paraId="65EB201D">
      <w:pPr>
        <w:spacing w:line="400" w:lineRule="exact"/>
        <w:ind w:firstLine="630"/>
        <w:rPr>
          <w:rFonts w:ascii="宋体" w:hAnsi="宋体"/>
          <w:color w:val="auto"/>
          <w:szCs w:val="21"/>
          <w:highlight w:val="none"/>
          <w:u w:val="single"/>
        </w:rPr>
      </w:pPr>
      <w:r>
        <w:rPr>
          <w:rFonts w:ascii="Wingdings" w:hAnsi="Wingdings" w:eastAsia="Wingdings" w:cs="Wingdings"/>
          <w:color w:val="auto"/>
          <w:szCs w:val="21"/>
          <w:highlight w:val="none"/>
        </w:rPr>
        <w:t>¨</w:t>
      </w:r>
      <w:r>
        <w:rPr>
          <w:rFonts w:hint="eastAsia" w:ascii="宋体" w:hAnsi="宋体"/>
          <w:color w:val="auto"/>
          <w:szCs w:val="21"/>
          <w:highlight w:val="none"/>
        </w:rPr>
        <w:t>全额付款：</w:t>
      </w:r>
      <w:r>
        <w:rPr>
          <w:rFonts w:hint="eastAsia" w:ascii="宋体" w:hAnsi="宋体"/>
          <w:color w:val="auto"/>
          <w:szCs w:val="21"/>
          <w:highlight w:val="none"/>
          <w:u w:val="single"/>
        </w:rPr>
        <w:t xml:space="preserve">  （应明确一次性支付合同款项的条件）                    </w:t>
      </w:r>
    </w:p>
    <w:p w14:paraId="51D9CEF0">
      <w:pPr>
        <w:spacing w:line="400" w:lineRule="exact"/>
        <w:ind w:firstLine="630"/>
        <w:rPr>
          <w:color w:val="auto"/>
          <w:highlight w:val="none"/>
        </w:rPr>
      </w:pPr>
      <w:r>
        <w:rPr>
          <w:rFonts w:ascii="Wingdings" w:hAnsi="Wingdings" w:eastAsia="Wingdings" w:cs="Wingdings"/>
          <w:color w:val="auto"/>
          <w:szCs w:val="21"/>
          <w:highlight w:val="none"/>
        </w:rPr>
        <w:t>þ</w:t>
      </w:r>
      <w:r>
        <w:rPr>
          <w:rFonts w:hint="eastAsia" w:ascii="宋体" w:hAnsi="宋体"/>
          <w:color w:val="auto"/>
          <w:szCs w:val="21"/>
          <w:highlight w:val="none"/>
        </w:rPr>
        <w:t>分期付款：</w:t>
      </w:r>
      <w:r>
        <w:rPr>
          <w:rFonts w:hint="eastAsia" w:ascii="宋体" w:hAnsi="宋体"/>
          <w:color w:val="auto"/>
          <w:szCs w:val="21"/>
          <w:highlight w:val="none"/>
          <w:u w:val="single"/>
        </w:rPr>
        <w:t>合同签订后，甲方自收到乙方发票之日起10日内，支付合同价的30%作为预付款。货物运送到采购方指定地点，且安装、调试到位，并经验收合格后，甲方自收到乙方发票之日起10日内一次性付清。</w:t>
      </w:r>
      <w:r>
        <w:rPr>
          <w:rFonts w:hint="eastAsia" w:ascii="宋体" w:hAnsi="宋体"/>
          <w:b/>
          <w:bCs/>
          <w:color w:val="auto"/>
          <w:szCs w:val="21"/>
          <w:highlight w:val="none"/>
          <w:u w:val="single"/>
        </w:rPr>
        <w:t>本项目结算价款为采购人实际采购并验收合格的货物数量与投标单价的乘积</w:t>
      </w:r>
      <w:r>
        <w:rPr>
          <w:rFonts w:hint="eastAsia" w:ascii="宋体" w:hAnsi="宋体"/>
          <w:color w:val="auto"/>
          <w:szCs w:val="21"/>
          <w:highlight w:val="none"/>
        </w:rPr>
        <w:t>，其中涉及预付款的：</w:t>
      </w:r>
      <w:r>
        <w:rPr>
          <w:rFonts w:hint="eastAsia" w:ascii="宋体" w:hAnsi="宋体"/>
          <w:color w:val="auto"/>
          <w:szCs w:val="21"/>
          <w:highlight w:val="none"/>
          <w:u w:val="single"/>
        </w:rPr>
        <w:t xml:space="preserve">合同签订后，甲方自收到乙方发票之日起10日内，支付合同价的30%作为预付款。 </w:t>
      </w:r>
    </w:p>
    <w:p w14:paraId="60C38F18">
      <w:pPr>
        <w:spacing w:line="400" w:lineRule="exact"/>
        <w:ind w:firstLine="630"/>
        <w:rPr>
          <w:rFonts w:ascii="宋体" w:hAnsi="宋体"/>
          <w:color w:val="auto"/>
          <w:szCs w:val="21"/>
          <w:highlight w:val="none"/>
          <w:u w:val="single"/>
        </w:rPr>
      </w:pPr>
      <w:r>
        <w:rPr>
          <w:rFonts w:ascii="Wingdings" w:hAnsi="Wingdings" w:eastAsia="Wingdings" w:cs="Wingdings"/>
          <w:color w:val="auto"/>
          <w:szCs w:val="21"/>
          <w:highlight w:val="none"/>
        </w:rPr>
        <w:t>¨</w:t>
      </w:r>
      <w:r>
        <w:rPr>
          <w:rFonts w:hint="eastAsia" w:ascii="宋体" w:hAnsi="宋体"/>
          <w:color w:val="auto"/>
          <w:szCs w:val="21"/>
          <w:highlight w:val="none"/>
        </w:rPr>
        <w:t>成本补偿：</w:t>
      </w:r>
      <w:r>
        <w:rPr>
          <w:rFonts w:hint="eastAsia" w:ascii="宋体" w:hAnsi="宋体"/>
          <w:color w:val="auto"/>
          <w:szCs w:val="21"/>
          <w:highlight w:val="none"/>
          <w:u w:val="single"/>
        </w:rPr>
        <w:t xml:space="preserve">      （应明确按照成本补偿方式的支付方式和支付条件）   </w:t>
      </w:r>
    </w:p>
    <w:p w14:paraId="2CC590F6">
      <w:pPr>
        <w:spacing w:line="400" w:lineRule="exact"/>
        <w:ind w:firstLine="630"/>
        <w:rPr>
          <w:rFonts w:ascii="宋体" w:hAnsi="宋体"/>
          <w:color w:val="auto"/>
          <w:szCs w:val="21"/>
          <w:highlight w:val="none"/>
          <w:u w:val="single"/>
        </w:rPr>
      </w:pPr>
      <w:r>
        <w:rPr>
          <w:rFonts w:ascii="Wingdings" w:hAnsi="Wingdings" w:eastAsia="Wingdings" w:cs="Wingdings"/>
          <w:color w:val="auto"/>
          <w:szCs w:val="21"/>
          <w:highlight w:val="none"/>
        </w:rPr>
        <w:t>¨</w:t>
      </w:r>
      <w:r>
        <w:rPr>
          <w:rFonts w:hint="eastAsia" w:ascii="宋体" w:hAnsi="宋体"/>
          <w:color w:val="auto"/>
          <w:szCs w:val="21"/>
          <w:highlight w:val="none"/>
        </w:rPr>
        <w:t>绩效激励：</w:t>
      </w:r>
      <w:r>
        <w:rPr>
          <w:rFonts w:hint="eastAsia" w:ascii="宋体" w:hAnsi="宋体"/>
          <w:color w:val="auto"/>
          <w:szCs w:val="21"/>
          <w:highlight w:val="none"/>
          <w:u w:val="single"/>
        </w:rPr>
        <w:t xml:space="preserve">      （应明确按照绩效激励方式的支付方式和支付条件）   </w:t>
      </w:r>
    </w:p>
    <w:p w14:paraId="127F3EEB">
      <w:pPr>
        <w:numPr>
          <w:ilvl w:val="0"/>
          <w:numId w:val="2"/>
        </w:numPr>
        <w:spacing w:line="400" w:lineRule="exact"/>
        <w:ind w:firstLine="420"/>
        <w:rPr>
          <w:rFonts w:ascii="宋体" w:hAnsi="宋体"/>
          <w:b/>
          <w:color w:val="auto"/>
          <w:szCs w:val="21"/>
          <w:highlight w:val="none"/>
          <w:u w:val="single"/>
        </w:rPr>
      </w:pPr>
      <w:r>
        <w:rPr>
          <w:rFonts w:hint="eastAsia" w:ascii="宋体" w:hAnsi="宋体"/>
          <w:b/>
          <w:color w:val="auto"/>
          <w:szCs w:val="21"/>
          <w:highlight w:val="none"/>
        </w:rPr>
        <w:t>合同履行</w:t>
      </w:r>
    </w:p>
    <w:p w14:paraId="17B5067B">
      <w:pPr>
        <w:spacing w:line="400" w:lineRule="exact"/>
        <w:ind w:firstLine="420"/>
        <w:rPr>
          <w:rFonts w:ascii="宋体" w:hAnsi="宋体" w:cs="宋体"/>
          <w:color w:val="auto"/>
          <w:szCs w:val="21"/>
          <w:highlight w:val="none"/>
        </w:rPr>
      </w:pPr>
      <w:r>
        <w:rPr>
          <w:rFonts w:hint="eastAsia" w:ascii="宋体" w:hAnsi="宋体" w:cs="宋体"/>
          <w:color w:val="auto"/>
          <w:szCs w:val="21"/>
          <w:highlight w:val="none"/>
        </w:rPr>
        <w:t>（1）起始日期：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日，完成日期：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503ED937">
      <w:pPr>
        <w:spacing w:line="400" w:lineRule="exact"/>
        <w:ind w:firstLine="420"/>
        <w:rPr>
          <w:rFonts w:ascii="宋体" w:hAnsi="宋体" w:cs="宋体"/>
          <w:color w:val="auto"/>
          <w:szCs w:val="21"/>
          <w:highlight w:val="none"/>
          <w:u w:val="single"/>
        </w:rPr>
      </w:pPr>
      <w:r>
        <w:rPr>
          <w:rFonts w:hint="eastAsia" w:ascii="宋体" w:hAnsi="宋体" w:cs="宋体"/>
          <w:color w:val="auto"/>
          <w:szCs w:val="21"/>
          <w:highlight w:val="none"/>
        </w:rPr>
        <w:t>（2）履约地点</w:t>
      </w:r>
      <w:r>
        <w:rPr>
          <w:rFonts w:hint="eastAsia" w:ascii="宋体" w:hAnsi="宋体" w:cs="宋体"/>
          <w:bCs/>
          <w:color w:val="auto"/>
          <w:szCs w:val="21"/>
          <w:highlight w:val="none"/>
        </w:rPr>
        <w:t>：</w:t>
      </w:r>
      <w:r>
        <w:rPr>
          <w:rFonts w:hint="eastAsia" w:ascii="宋体" w:hAnsi="宋体" w:cs="宋体"/>
          <w:color w:val="auto"/>
          <w:szCs w:val="21"/>
          <w:highlight w:val="none"/>
          <w:u w:val="single"/>
        </w:rPr>
        <w:t xml:space="preserve">                             </w:t>
      </w:r>
    </w:p>
    <w:p w14:paraId="04C68A5E">
      <w:pPr>
        <w:spacing w:line="400" w:lineRule="exact"/>
        <w:ind w:firstLine="420"/>
        <w:rPr>
          <w:rFonts w:ascii="宋体" w:hAnsi="宋体" w:cs="宋体"/>
          <w:color w:val="auto"/>
          <w:szCs w:val="21"/>
          <w:highlight w:val="none"/>
        </w:rPr>
      </w:pPr>
      <w:r>
        <w:rPr>
          <w:rFonts w:hint="eastAsia" w:ascii="宋体" w:hAnsi="宋体" w:cs="宋体"/>
          <w:bCs/>
          <w:color w:val="auto"/>
          <w:szCs w:val="21"/>
          <w:highlight w:val="none"/>
        </w:rPr>
        <w:t>（3）履约担保：</w:t>
      </w:r>
      <w:r>
        <w:rPr>
          <w:rFonts w:hint="eastAsia" w:ascii="宋体" w:hAnsi="宋体" w:cs="宋体"/>
          <w:color w:val="auto"/>
          <w:highlight w:val="none"/>
        </w:rPr>
        <w:t>是否收取履约保证金：</w:t>
      </w:r>
      <w:r>
        <w:rPr>
          <w:rFonts w:ascii="Wingdings" w:hAnsi="Wingdings" w:eastAsia="Wingdings" w:cs="Wingdings"/>
          <w:color w:val="auto"/>
          <w:szCs w:val="21"/>
          <w:highlight w:val="none"/>
        </w:rPr>
        <w:t>¨</w:t>
      </w:r>
      <w:r>
        <w:rPr>
          <w:rFonts w:hint="eastAsia" w:ascii="宋体" w:hAnsi="宋体" w:cs="宋体"/>
          <w:color w:val="auto"/>
          <w:szCs w:val="21"/>
          <w:highlight w:val="none"/>
        </w:rPr>
        <w:t xml:space="preserve">是    </w:t>
      </w:r>
      <w:r>
        <w:rPr>
          <w:rFonts w:ascii="Wingdings" w:hAnsi="Wingdings" w:eastAsia="Wingdings" w:cs="Wingdings"/>
          <w:color w:val="auto"/>
          <w:szCs w:val="21"/>
          <w:highlight w:val="none"/>
        </w:rPr>
        <w:t>þ</w:t>
      </w:r>
      <w:r>
        <w:rPr>
          <w:rFonts w:hint="eastAsia" w:ascii="宋体" w:hAnsi="宋体" w:cs="宋体"/>
          <w:color w:val="auto"/>
          <w:szCs w:val="21"/>
          <w:highlight w:val="none"/>
        </w:rPr>
        <w:t>否</w:t>
      </w:r>
    </w:p>
    <w:p w14:paraId="772089FF">
      <w:pPr>
        <w:pStyle w:val="213"/>
        <w:rPr>
          <w:rFonts w:hint="eastAsia" w:ascii="宋体" w:hAnsi="宋体" w:eastAsia="宋体" w:cs="宋体"/>
          <w:color w:val="auto"/>
          <w:sz w:val="21"/>
          <w:highlight w:val="none"/>
          <w:lang w:eastAsia="zh-CN"/>
        </w:rPr>
      </w:pPr>
      <w:r>
        <w:rPr>
          <w:rFonts w:hint="eastAsia" w:ascii="宋体" w:hAnsi="宋体" w:cs="宋体"/>
          <w:bCs/>
          <w:color w:val="auto"/>
          <w:highlight w:val="none"/>
        </w:rPr>
        <w:t xml:space="preserve"> </w:t>
      </w:r>
      <w:r>
        <w:rPr>
          <w:rFonts w:hint="eastAsia" w:ascii="宋体" w:hAnsi="宋体" w:eastAsia="宋体" w:cs="宋体"/>
          <w:color w:val="auto"/>
          <w:sz w:val="21"/>
          <w:highlight w:val="none"/>
        </w:rPr>
        <w:t>收取履约保证金形式：</w:t>
      </w:r>
      <w:r>
        <w:rPr>
          <w:rFonts w:hint="eastAsia" w:ascii="宋体" w:hAnsi="宋体" w:eastAsia="宋体" w:cs="宋体"/>
          <w:bCs/>
          <w:color w:val="auto"/>
          <w:sz w:val="21"/>
          <w:highlight w:val="none"/>
          <w:u w:val="single"/>
          <w:lang w:val="en-US" w:eastAsia="zh-CN"/>
        </w:rPr>
        <w:t>/</w:t>
      </w:r>
    </w:p>
    <w:p w14:paraId="7593F6A5">
      <w:pPr>
        <w:pStyle w:val="213"/>
        <w:ind w:firstLine="42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 xml:space="preserve"> 收取履约保证金金额：</w:t>
      </w:r>
      <w:r>
        <w:rPr>
          <w:rFonts w:hint="eastAsia" w:ascii="宋体" w:hAnsi="宋体" w:eastAsia="宋体" w:cs="宋体"/>
          <w:bCs/>
          <w:color w:val="auto"/>
          <w:sz w:val="21"/>
          <w:highlight w:val="none"/>
          <w:u w:val="single"/>
          <w:lang w:val="en-US" w:eastAsia="zh-CN"/>
        </w:rPr>
        <w:t>/</w:t>
      </w:r>
    </w:p>
    <w:p w14:paraId="2914AB33">
      <w:pPr>
        <w:spacing w:line="400" w:lineRule="exact"/>
        <w:ind w:firstLine="420"/>
        <w:rPr>
          <w:rFonts w:hint="eastAsia" w:ascii="宋体" w:hAnsi="宋体" w:eastAsia="宋体" w:cs="宋体"/>
          <w:color w:val="auto"/>
          <w:highlight w:val="none"/>
          <w:lang w:eastAsia="zh-CN"/>
        </w:rPr>
      </w:pPr>
      <w:r>
        <w:rPr>
          <w:rFonts w:hint="eastAsia" w:ascii="宋体" w:hAnsi="宋体" w:cs="宋体"/>
          <w:bCs/>
          <w:color w:val="auto"/>
          <w:szCs w:val="21"/>
          <w:highlight w:val="none"/>
        </w:rPr>
        <w:t xml:space="preserve"> 履约担保期限：</w:t>
      </w:r>
      <w:r>
        <w:rPr>
          <w:rFonts w:hint="eastAsia" w:ascii="宋体" w:hAnsi="宋体" w:cs="宋体"/>
          <w:bCs/>
          <w:color w:val="auto"/>
          <w:szCs w:val="21"/>
          <w:highlight w:val="none"/>
          <w:u w:val="single"/>
          <w:lang w:val="en-US" w:eastAsia="zh-CN"/>
        </w:rPr>
        <w:t>/</w:t>
      </w:r>
    </w:p>
    <w:p w14:paraId="671A1D50">
      <w:pPr>
        <w:spacing w:line="400" w:lineRule="exact"/>
        <w:ind w:firstLine="420"/>
        <w:rPr>
          <w:rFonts w:ascii="宋体" w:hAnsi="宋体" w:cs="宋体"/>
          <w:bCs/>
          <w:color w:val="auto"/>
          <w:szCs w:val="21"/>
          <w:highlight w:val="none"/>
        </w:rPr>
      </w:pPr>
      <w:r>
        <w:rPr>
          <w:rFonts w:hint="eastAsia" w:ascii="宋体" w:hAnsi="宋体" w:cs="宋体"/>
          <w:bCs/>
          <w:color w:val="auto"/>
          <w:szCs w:val="21"/>
          <w:highlight w:val="none"/>
        </w:rPr>
        <w:t>（4）分期履行要求：</w:t>
      </w:r>
      <w:r>
        <w:rPr>
          <w:rFonts w:hint="eastAsia" w:ascii="宋体" w:hAnsi="宋体" w:cs="宋体"/>
          <w:bCs/>
          <w:color w:val="auto"/>
          <w:szCs w:val="21"/>
          <w:highlight w:val="none"/>
          <w:u w:val="single"/>
        </w:rPr>
        <w:t xml:space="preserve">                                                        </w:t>
      </w:r>
    </w:p>
    <w:p w14:paraId="2DF5A3B4">
      <w:pPr>
        <w:spacing w:line="400" w:lineRule="exact"/>
        <w:ind w:firstLine="420"/>
        <w:rPr>
          <w:rFonts w:ascii="宋体" w:hAnsi="宋体" w:cs="宋体"/>
          <w:color w:val="auto"/>
          <w:szCs w:val="21"/>
          <w:highlight w:val="none"/>
          <w:u w:val="single"/>
        </w:rPr>
      </w:pPr>
      <w:r>
        <w:rPr>
          <w:rFonts w:hint="eastAsia" w:ascii="宋体" w:hAnsi="宋体" w:cs="宋体"/>
          <w:bCs/>
          <w:color w:val="auto"/>
          <w:szCs w:val="21"/>
          <w:highlight w:val="none"/>
        </w:rPr>
        <w:t>（5）风险处置措施和替代方案：</w:t>
      </w:r>
      <w:r>
        <w:rPr>
          <w:rFonts w:hint="eastAsia" w:ascii="宋体" w:hAnsi="宋体" w:cs="宋体"/>
          <w:color w:val="auto"/>
          <w:szCs w:val="21"/>
          <w:highlight w:val="none"/>
          <w:u w:val="single"/>
        </w:rPr>
        <w:t xml:space="preserve">                                                </w:t>
      </w:r>
    </w:p>
    <w:p w14:paraId="5A9D7C51">
      <w:pPr>
        <w:spacing w:before="120" w:after="120"/>
        <w:rPr>
          <w:rFonts w:hint="eastAsia" w:ascii="宋体" w:hAnsi="宋体" w:cs="Courier New"/>
          <w:bCs/>
          <w:color w:val="auto"/>
          <w:sz w:val="24"/>
          <w:szCs w:val="24"/>
          <w:highlight w:val="none"/>
        </w:rPr>
      </w:pPr>
    </w:p>
    <w:p w14:paraId="13246864">
      <w:pPr>
        <w:numPr>
          <w:ilvl w:val="0"/>
          <w:numId w:val="2"/>
        </w:numPr>
        <w:spacing w:line="400" w:lineRule="exact"/>
        <w:ind w:firstLine="420"/>
        <w:rPr>
          <w:rFonts w:ascii="宋体" w:hAnsi="宋体"/>
          <w:b/>
          <w:color w:val="auto"/>
          <w:szCs w:val="21"/>
          <w:highlight w:val="none"/>
        </w:rPr>
      </w:pPr>
      <w:r>
        <w:rPr>
          <w:rFonts w:hint="eastAsia" w:ascii="宋体" w:hAnsi="宋体"/>
          <w:b/>
          <w:color w:val="auto"/>
          <w:szCs w:val="21"/>
          <w:highlight w:val="none"/>
        </w:rPr>
        <w:t>合同验收</w:t>
      </w:r>
    </w:p>
    <w:p w14:paraId="0B8F9459">
      <w:pPr>
        <w:numPr>
          <w:ilvl w:val="0"/>
          <w:numId w:val="4"/>
        </w:numPr>
        <w:spacing w:line="400" w:lineRule="exact"/>
        <w:ind w:firstLine="420"/>
        <w:rPr>
          <w:rFonts w:ascii="宋体" w:hAnsi="宋体"/>
          <w:bCs/>
          <w:color w:val="auto"/>
          <w:szCs w:val="21"/>
          <w:highlight w:val="none"/>
        </w:rPr>
      </w:pPr>
      <w:r>
        <w:rPr>
          <w:rFonts w:hint="eastAsia" w:ascii="宋体" w:hAnsi="宋体"/>
          <w:bCs/>
          <w:color w:val="auto"/>
          <w:szCs w:val="21"/>
          <w:highlight w:val="none"/>
        </w:rPr>
        <w:t>验收组织方式：</w:t>
      </w:r>
      <w:r>
        <w:rPr>
          <w:rFonts w:ascii="Wingdings" w:hAnsi="Wingdings" w:eastAsia="Wingdings" w:cs="Wingdings"/>
          <w:color w:val="auto"/>
          <w:szCs w:val="21"/>
          <w:highlight w:val="none"/>
        </w:rPr>
        <w:t>¨</w:t>
      </w:r>
      <w:r>
        <w:rPr>
          <w:rFonts w:hint="eastAsia" w:ascii="宋体" w:hAnsi="宋体"/>
          <w:bCs/>
          <w:color w:val="auto"/>
          <w:szCs w:val="21"/>
          <w:highlight w:val="none"/>
        </w:rPr>
        <w:t xml:space="preserve">自行组织 </w:t>
      </w:r>
      <w:r>
        <w:rPr>
          <w:rFonts w:ascii="Wingdings" w:hAnsi="Wingdings" w:eastAsia="Wingdings" w:cs="Wingdings"/>
          <w:color w:val="auto"/>
          <w:szCs w:val="21"/>
          <w:highlight w:val="none"/>
        </w:rPr>
        <w:t>¨</w:t>
      </w:r>
      <w:r>
        <w:rPr>
          <w:rFonts w:hint="eastAsia" w:ascii="宋体" w:hAnsi="宋体"/>
          <w:bCs/>
          <w:color w:val="auto"/>
          <w:szCs w:val="21"/>
          <w:highlight w:val="none"/>
        </w:rPr>
        <w:t>委托第三方组织</w:t>
      </w:r>
    </w:p>
    <w:p w14:paraId="6A32EE1C">
      <w:pPr>
        <w:spacing w:line="400" w:lineRule="exact"/>
        <w:rPr>
          <w:rFonts w:ascii="宋体" w:hAnsi="宋体"/>
          <w:bCs/>
          <w:color w:val="auto"/>
          <w:szCs w:val="21"/>
          <w:highlight w:val="none"/>
        </w:rPr>
      </w:pPr>
      <w:r>
        <w:rPr>
          <w:rFonts w:hint="eastAsia" w:ascii="宋体" w:hAnsi="宋体"/>
          <w:bCs/>
          <w:color w:val="auto"/>
          <w:szCs w:val="21"/>
          <w:highlight w:val="none"/>
        </w:rPr>
        <w:t xml:space="preserve">     验收主体：</w:t>
      </w:r>
      <w:r>
        <w:rPr>
          <w:rFonts w:hint="eastAsia" w:ascii="宋体" w:hAnsi="宋体"/>
          <w:bCs/>
          <w:color w:val="auto"/>
          <w:szCs w:val="21"/>
          <w:highlight w:val="none"/>
          <w:u w:val="single"/>
        </w:rPr>
        <w:t xml:space="preserve">                  </w:t>
      </w:r>
    </w:p>
    <w:p w14:paraId="28C46A55">
      <w:pPr>
        <w:spacing w:line="400" w:lineRule="exact"/>
        <w:rPr>
          <w:rFonts w:ascii="宋体" w:hAnsi="宋体"/>
          <w:bCs/>
          <w:color w:val="auto"/>
          <w:szCs w:val="21"/>
          <w:highlight w:val="none"/>
        </w:rPr>
      </w:pPr>
      <w:r>
        <w:rPr>
          <w:rFonts w:hint="eastAsia" w:ascii="宋体" w:hAnsi="宋体"/>
          <w:bCs/>
          <w:color w:val="auto"/>
          <w:szCs w:val="21"/>
          <w:highlight w:val="none"/>
        </w:rPr>
        <w:t xml:space="preserve">     是否邀请本项目的其他供应商参加验收：</w:t>
      </w:r>
      <w:r>
        <w:rPr>
          <w:rFonts w:ascii="Wingdings" w:hAnsi="Wingdings" w:eastAsia="Wingdings" w:cs="Wingdings"/>
          <w:color w:val="auto"/>
          <w:szCs w:val="21"/>
          <w:highlight w:val="none"/>
        </w:rPr>
        <w:t>¨</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w:t>
      </w:r>
      <w:r>
        <w:rPr>
          <w:rFonts w:hint="eastAsia" w:ascii="宋体" w:hAnsi="宋体"/>
          <w:bCs/>
          <w:color w:val="auto"/>
          <w:szCs w:val="21"/>
          <w:highlight w:val="none"/>
        </w:rPr>
        <w:t>否</w:t>
      </w:r>
    </w:p>
    <w:p w14:paraId="14376F73">
      <w:pPr>
        <w:spacing w:line="400" w:lineRule="exact"/>
        <w:ind w:firstLine="525"/>
        <w:rPr>
          <w:rFonts w:ascii="宋体" w:hAnsi="宋体"/>
          <w:bCs/>
          <w:color w:val="auto"/>
          <w:szCs w:val="21"/>
          <w:highlight w:val="none"/>
        </w:rPr>
      </w:pPr>
      <w:r>
        <w:rPr>
          <w:rFonts w:hint="eastAsia" w:ascii="宋体" w:hAnsi="宋体"/>
          <w:bCs/>
          <w:color w:val="auto"/>
          <w:szCs w:val="21"/>
          <w:highlight w:val="none"/>
        </w:rPr>
        <w:t>是否邀请专家参加验收：</w:t>
      </w:r>
      <w:r>
        <w:rPr>
          <w:rFonts w:ascii="Wingdings" w:hAnsi="Wingdings" w:eastAsia="Wingdings" w:cs="Wingdings"/>
          <w:color w:val="auto"/>
          <w:szCs w:val="21"/>
          <w:highlight w:val="none"/>
        </w:rPr>
        <w:t>¨</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w:t>
      </w:r>
      <w:r>
        <w:rPr>
          <w:rFonts w:hint="eastAsia" w:ascii="宋体" w:hAnsi="宋体"/>
          <w:bCs/>
          <w:color w:val="auto"/>
          <w:szCs w:val="21"/>
          <w:highlight w:val="none"/>
        </w:rPr>
        <w:t>否</w:t>
      </w:r>
    </w:p>
    <w:p w14:paraId="5A42F6E6">
      <w:pPr>
        <w:spacing w:line="400" w:lineRule="exact"/>
        <w:ind w:firstLine="525"/>
        <w:rPr>
          <w:rFonts w:ascii="宋体" w:hAnsi="宋体"/>
          <w:bCs/>
          <w:color w:val="auto"/>
          <w:szCs w:val="21"/>
          <w:highlight w:val="none"/>
        </w:rPr>
      </w:pPr>
      <w:r>
        <w:rPr>
          <w:rFonts w:hint="eastAsia" w:ascii="宋体" w:hAnsi="宋体"/>
          <w:bCs/>
          <w:color w:val="auto"/>
          <w:szCs w:val="21"/>
          <w:highlight w:val="none"/>
        </w:rPr>
        <w:t>是否邀请服务对象参加验收：</w:t>
      </w:r>
      <w:r>
        <w:rPr>
          <w:rFonts w:ascii="Wingdings" w:hAnsi="Wingdings" w:eastAsia="Wingdings" w:cs="Wingdings"/>
          <w:color w:val="auto"/>
          <w:szCs w:val="21"/>
          <w:highlight w:val="none"/>
        </w:rPr>
        <w:t>¨</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w:t>
      </w:r>
      <w:r>
        <w:rPr>
          <w:rFonts w:hint="eastAsia" w:ascii="宋体" w:hAnsi="宋体"/>
          <w:bCs/>
          <w:color w:val="auto"/>
          <w:szCs w:val="21"/>
          <w:highlight w:val="none"/>
        </w:rPr>
        <w:t>否</w:t>
      </w:r>
    </w:p>
    <w:p w14:paraId="20586F93">
      <w:pPr>
        <w:spacing w:line="400" w:lineRule="exact"/>
        <w:ind w:firstLine="525"/>
        <w:rPr>
          <w:rFonts w:ascii="宋体" w:hAnsi="宋体"/>
          <w:bCs/>
          <w:color w:val="auto"/>
          <w:szCs w:val="21"/>
          <w:highlight w:val="none"/>
        </w:rPr>
      </w:pPr>
      <w:r>
        <w:rPr>
          <w:rFonts w:hint="eastAsia" w:ascii="宋体" w:hAnsi="宋体"/>
          <w:bCs/>
          <w:color w:val="auto"/>
          <w:szCs w:val="21"/>
          <w:highlight w:val="none"/>
        </w:rPr>
        <w:t>是否邀请第三方检测机构参加验收：</w:t>
      </w:r>
      <w:r>
        <w:rPr>
          <w:rFonts w:ascii="Wingdings" w:hAnsi="Wingdings" w:eastAsia="Wingdings" w:cs="Wingdings"/>
          <w:color w:val="auto"/>
          <w:szCs w:val="21"/>
          <w:highlight w:val="none"/>
        </w:rPr>
        <w:t>¨</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w:t>
      </w:r>
      <w:r>
        <w:rPr>
          <w:rFonts w:hint="eastAsia" w:ascii="宋体" w:hAnsi="宋体"/>
          <w:bCs/>
          <w:color w:val="auto"/>
          <w:szCs w:val="21"/>
          <w:highlight w:val="none"/>
        </w:rPr>
        <w:t>否</w:t>
      </w:r>
    </w:p>
    <w:p w14:paraId="1B279A9B">
      <w:pPr>
        <w:spacing w:line="400" w:lineRule="exact"/>
        <w:ind w:firstLine="525"/>
        <w:rPr>
          <w:rFonts w:ascii="宋体" w:hAnsi="宋体"/>
          <w:bCs/>
          <w:color w:val="auto"/>
          <w:szCs w:val="21"/>
          <w:highlight w:val="none"/>
        </w:rPr>
      </w:pPr>
      <w:r>
        <w:rPr>
          <w:rFonts w:hint="eastAsia" w:ascii="宋体" w:hAnsi="宋体"/>
          <w:bCs/>
          <w:color w:val="auto"/>
          <w:szCs w:val="21"/>
          <w:highlight w:val="none"/>
        </w:rPr>
        <w:t>是否进行抽查检测：</w:t>
      </w:r>
      <w:r>
        <w:rPr>
          <w:rFonts w:ascii="Wingdings" w:hAnsi="Wingdings" w:eastAsia="Wingdings" w:cs="Wingdings"/>
          <w:color w:val="auto"/>
          <w:szCs w:val="21"/>
          <w:highlight w:val="none"/>
        </w:rPr>
        <w:t>¨</w:t>
      </w:r>
      <w:r>
        <w:rPr>
          <w:rFonts w:hint="eastAsia" w:ascii="宋体" w:hAnsi="宋体"/>
          <w:bCs/>
          <w:color w:val="auto"/>
          <w:szCs w:val="21"/>
          <w:highlight w:val="none"/>
        </w:rPr>
        <w:t>是，抽查比例：</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r>
        <w:rPr>
          <w:rFonts w:ascii="Wingdings" w:hAnsi="Wingdings" w:eastAsia="Wingdings" w:cs="Wingdings"/>
          <w:color w:val="auto"/>
          <w:szCs w:val="21"/>
          <w:highlight w:val="none"/>
        </w:rPr>
        <w:t>¨</w:t>
      </w:r>
      <w:r>
        <w:rPr>
          <w:rFonts w:hint="eastAsia" w:ascii="宋体" w:hAnsi="宋体"/>
          <w:bCs/>
          <w:color w:val="auto"/>
          <w:szCs w:val="21"/>
          <w:highlight w:val="none"/>
        </w:rPr>
        <w:t>否</w:t>
      </w:r>
    </w:p>
    <w:p w14:paraId="1886717C">
      <w:pPr>
        <w:spacing w:line="400" w:lineRule="exact"/>
        <w:ind w:firstLine="525"/>
        <w:rPr>
          <w:rFonts w:ascii="宋体" w:hAnsi="宋体"/>
          <w:bCs/>
          <w:color w:val="auto"/>
          <w:szCs w:val="21"/>
          <w:highlight w:val="none"/>
          <w:u w:val="single"/>
        </w:rPr>
      </w:pPr>
      <w:r>
        <w:rPr>
          <w:rFonts w:hint="eastAsia" w:ascii="宋体" w:hAnsi="宋体"/>
          <w:bCs/>
          <w:color w:val="auto"/>
          <w:szCs w:val="21"/>
          <w:highlight w:val="none"/>
        </w:rPr>
        <w:t>是否存在破坏性检测：</w:t>
      </w:r>
      <w:r>
        <w:rPr>
          <w:rFonts w:ascii="Wingdings" w:hAnsi="Wingdings" w:eastAsia="Wingdings" w:cs="Wingdings"/>
          <w:color w:val="auto"/>
          <w:szCs w:val="21"/>
          <w:highlight w:val="none"/>
        </w:rPr>
        <w:t>¨</w:t>
      </w:r>
      <w:r>
        <w:rPr>
          <w:rFonts w:hint="eastAsia" w:ascii="宋体" w:hAnsi="宋体"/>
          <w:bCs/>
          <w:color w:val="auto"/>
          <w:szCs w:val="21"/>
          <w:highlight w:val="none"/>
        </w:rPr>
        <w:t>是，</w:t>
      </w:r>
      <w:r>
        <w:rPr>
          <w:rFonts w:hint="eastAsia" w:ascii="宋体" w:hAnsi="宋体"/>
          <w:bCs/>
          <w:color w:val="auto"/>
          <w:szCs w:val="21"/>
          <w:highlight w:val="none"/>
          <w:u w:val="single"/>
        </w:rPr>
        <w:t>（应明确对被破坏的检测产品的处理方式）</w:t>
      </w:r>
    </w:p>
    <w:p w14:paraId="5C9453D1">
      <w:pPr>
        <w:spacing w:line="400" w:lineRule="exact"/>
        <w:ind w:firstLine="525"/>
        <w:rPr>
          <w:rFonts w:ascii="宋体" w:hAnsi="宋体"/>
          <w:bCs/>
          <w:color w:val="auto"/>
          <w:szCs w:val="21"/>
          <w:highlight w:val="none"/>
        </w:rPr>
      </w:pPr>
      <w:r>
        <w:rPr>
          <w:rFonts w:ascii="Wingdings" w:hAnsi="Wingdings" w:eastAsia="Wingdings" w:cs="Wingdings"/>
          <w:color w:val="auto"/>
          <w:szCs w:val="21"/>
          <w:highlight w:val="none"/>
        </w:rPr>
        <w:t>¨</w:t>
      </w:r>
      <w:r>
        <w:rPr>
          <w:rFonts w:hint="eastAsia" w:ascii="宋体" w:hAnsi="宋体"/>
          <w:bCs/>
          <w:color w:val="auto"/>
          <w:szCs w:val="21"/>
          <w:highlight w:val="none"/>
        </w:rPr>
        <w:t>否</w:t>
      </w:r>
    </w:p>
    <w:p w14:paraId="105418FD">
      <w:pPr>
        <w:spacing w:line="400" w:lineRule="exact"/>
        <w:ind w:firstLine="525"/>
        <w:rPr>
          <w:rFonts w:ascii="宋体" w:hAnsi="宋体"/>
          <w:bCs/>
          <w:color w:val="auto"/>
          <w:szCs w:val="21"/>
          <w:highlight w:val="none"/>
          <w:u w:val="single"/>
        </w:rPr>
      </w:pPr>
      <w:r>
        <w:rPr>
          <w:rFonts w:hint="eastAsia" w:ascii="宋体" w:hAnsi="宋体"/>
          <w:bCs/>
          <w:color w:val="auto"/>
          <w:szCs w:val="21"/>
          <w:highlight w:val="none"/>
        </w:rPr>
        <w:t>验收组织的其他事项：</w:t>
      </w:r>
      <w:r>
        <w:rPr>
          <w:rFonts w:hint="eastAsia" w:ascii="宋体" w:hAnsi="宋体"/>
          <w:bCs/>
          <w:color w:val="auto"/>
          <w:szCs w:val="21"/>
          <w:highlight w:val="none"/>
          <w:u w:val="single"/>
        </w:rPr>
        <w:t xml:space="preserve">                </w:t>
      </w:r>
    </w:p>
    <w:p w14:paraId="309CF269">
      <w:pPr>
        <w:spacing w:line="400" w:lineRule="exact"/>
        <w:ind w:firstLine="420"/>
        <w:rPr>
          <w:rFonts w:ascii="宋体" w:hAnsi="宋体"/>
          <w:bCs/>
          <w:color w:val="auto"/>
          <w:szCs w:val="21"/>
          <w:highlight w:val="none"/>
          <w:u w:val="single"/>
        </w:rPr>
      </w:pPr>
      <w:r>
        <w:rPr>
          <w:rFonts w:hint="eastAsia" w:ascii="宋体" w:hAnsi="宋体"/>
          <w:bCs/>
          <w:color w:val="auto"/>
          <w:szCs w:val="21"/>
          <w:highlight w:val="none"/>
        </w:rPr>
        <w:t>（2）履约验收时间：</w:t>
      </w:r>
      <w:r>
        <w:rPr>
          <w:rFonts w:hint="eastAsia" w:ascii="宋体" w:hAnsi="宋体"/>
          <w:bCs/>
          <w:color w:val="auto"/>
          <w:szCs w:val="21"/>
          <w:highlight w:val="none"/>
          <w:u w:val="single"/>
        </w:rPr>
        <w:t xml:space="preserve">（计划于何时验收/供应商提出验收申请之日起   日内组织验收） </w:t>
      </w:r>
    </w:p>
    <w:p w14:paraId="4919A86C">
      <w:pPr>
        <w:spacing w:line="400" w:lineRule="exact"/>
        <w:ind w:firstLine="420"/>
        <w:rPr>
          <w:rFonts w:ascii="宋体" w:hAnsi="宋体"/>
          <w:bCs/>
          <w:color w:val="auto"/>
          <w:szCs w:val="21"/>
          <w:highlight w:val="none"/>
        </w:rPr>
      </w:pPr>
      <w:r>
        <w:rPr>
          <w:rFonts w:hint="eastAsia" w:ascii="宋体" w:hAnsi="宋体"/>
          <w:bCs/>
          <w:color w:val="auto"/>
          <w:szCs w:val="21"/>
          <w:highlight w:val="none"/>
        </w:rPr>
        <w:t>（3）履约验收方式：</w:t>
      </w:r>
      <w:r>
        <w:rPr>
          <w:rFonts w:ascii="Wingdings" w:hAnsi="Wingdings" w:eastAsia="Wingdings" w:cs="Wingdings"/>
          <w:color w:val="auto"/>
          <w:szCs w:val="21"/>
          <w:highlight w:val="none"/>
        </w:rPr>
        <w:t>¨</w:t>
      </w:r>
      <w:r>
        <w:rPr>
          <w:rFonts w:hint="eastAsia" w:ascii="宋体" w:hAnsi="宋体"/>
          <w:bCs/>
          <w:color w:val="auto"/>
          <w:szCs w:val="21"/>
          <w:highlight w:val="none"/>
        </w:rPr>
        <w:t xml:space="preserve">一次性验收         </w:t>
      </w:r>
    </w:p>
    <w:p w14:paraId="66F9BF89">
      <w:pPr>
        <w:spacing w:line="400" w:lineRule="exact"/>
        <w:rPr>
          <w:rFonts w:ascii="宋体" w:hAnsi="宋体"/>
          <w:bCs/>
          <w:color w:val="auto"/>
          <w:szCs w:val="21"/>
          <w:highlight w:val="none"/>
        </w:rPr>
      </w:pPr>
      <w:r>
        <w:rPr>
          <w:rFonts w:hint="eastAsia" w:ascii="宋体" w:hAnsi="宋体"/>
          <w:bCs/>
          <w:color w:val="auto"/>
          <w:szCs w:val="21"/>
          <w:highlight w:val="none"/>
        </w:rPr>
        <w:t xml:space="preserve">                       </w:t>
      </w:r>
      <w:r>
        <w:rPr>
          <w:rFonts w:ascii="Wingdings" w:hAnsi="Wingdings" w:eastAsia="Wingdings" w:cs="Wingdings"/>
          <w:color w:val="auto"/>
          <w:szCs w:val="21"/>
          <w:highlight w:val="none"/>
        </w:rPr>
        <w:t>¨</w:t>
      </w:r>
      <w:r>
        <w:rPr>
          <w:rFonts w:hint="eastAsia" w:ascii="宋体" w:hAnsi="宋体"/>
          <w:bCs/>
          <w:color w:val="auto"/>
          <w:szCs w:val="21"/>
          <w:highlight w:val="none"/>
        </w:rPr>
        <w:t>分期/分项验收：</w:t>
      </w:r>
      <w:r>
        <w:rPr>
          <w:rFonts w:hint="eastAsia" w:ascii="宋体" w:hAnsi="宋体"/>
          <w:bCs/>
          <w:color w:val="auto"/>
          <w:szCs w:val="21"/>
          <w:highlight w:val="none"/>
          <w:u w:val="single"/>
        </w:rPr>
        <w:t xml:space="preserve"> （应明确分期</w:t>
      </w:r>
      <w:r>
        <w:rPr>
          <w:rFonts w:ascii="宋体" w:hAnsi="宋体"/>
          <w:bCs/>
          <w:color w:val="auto"/>
          <w:szCs w:val="21"/>
          <w:highlight w:val="none"/>
          <w:u w:val="single"/>
          <w:lang w:val="en"/>
        </w:rPr>
        <w:t>/</w:t>
      </w:r>
      <w:r>
        <w:rPr>
          <w:rFonts w:hint="eastAsia" w:ascii="宋体" w:hAnsi="宋体"/>
          <w:bCs/>
          <w:color w:val="auto"/>
          <w:szCs w:val="21"/>
          <w:highlight w:val="none"/>
          <w:u w:val="single"/>
          <w:lang w:val="en"/>
        </w:rPr>
        <w:t>分项验收的工作安排</w:t>
      </w:r>
      <w:r>
        <w:rPr>
          <w:rFonts w:hint="eastAsia" w:ascii="宋体" w:hAnsi="宋体"/>
          <w:bCs/>
          <w:color w:val="auto"/>
          <w:szCs w:val="21"/>
          <w:highlight w:val="none"/>
          <w:u w:val="single"/>
        </w:rPr>
        <w:t xml:space="preserve">）  </w:t>
      </w:r>
    </w:p>
    <w:p w14:paraId="314CD33D">
      <w:pPr>
        <w:spacing w:line="400" w:lineRule="exact"/>
        <w:ind w:firstLine="420"/>
        <w:rPr>
          <w:rFonts w:ascii="宋体" w:hAnsi="宋体"/>
          <w:bCs/>
          <w:color w:val="auto"/>
          <w:szCs w:val="21"/>
          <w:highlight w:val="none"/>
        </w:rPr>
      </w:pPr>
      <w:r>
        <w:rPr>
          <w:rFonts w:hint="eastAsia" w:ascii="宋体" w:hAnsi="宋体"/>
          <w:bCs/>
          <w:color w:val="auto"/>
          <w:szCs w:val="21"/>
          <w:highlight w:val="none"/>
        </w:rPr>
        <w:t>（4）履约验收程序：</w:t>
      </w:r>
      <w:r>
        <w:rPr>
          <w:rFonts w:hint="eastAsia" w:ascii="宋体" w:hAnsi="宋体"/>
          <w:bCs/>
          <w:color w:val="auto"/>
          <w:szCs w:val="21"/>
          <w:highlight w:val="none"/>
          <w:u w:val="single"/>
        </w:rPr>
        <w:t xml:space="preserve">                                         </w:t>
      </w:r>
    </w:p>
    <w:p w14:paraId="16EE93C8">
      <w:pPr>
        <w:spacing w:line="400" w:lineRule="exact"/>
        <w:ind w:firstLine="420"/>
        <w:rPr>
          <w:rFonts w:ascii="宋体" w:hAnsi="宋体"/>
          <w:bCs/>
          <w:color w:val="auto"/>
          <w:szCs w:val="21"/>
          <w:highlight w:val="none"/>
          <w:u w:val="single"/>
        </w:rPr>
      </w:pPr>
      <w:r>
        <w:rPr>
          <w:rFonts w:hint="eastAsia" w:ascii="宋体" w:hAnsi="宋体"/>
          <w:bCs/>
          <w:color w:val="auto"/>
          <w:szCs w:val="21"/>
          <w:highlight w:val="none"/>
        </w:rPr>
        <w:t>（5）履约验收的内容：</w:t>
      </w:r>
      <w:r>
        <w:rPr>
          <w:rFonts w:hint="eastAsia" w:ascii="宋体" w:hAnsi="宋体"/>
          <w:bCs/>
          <w:color w:val="auto"/>
          <w:szCs w:val="21"/>
          <w:highlight w:val="none"/>
          <w:u w:val="single"/>
        </w:rPr>
        <w:t xml:space="preserve"> （应当包括每一项技术和商务要求的履约情况，特别是落实政府采购扶持中小企业，支持绿色发展和乡村振兴等政策情况）                                      </w:t>
      </w:r>
    </w:p>
    <w:p w14:paraId="59F75BC6">
      <w:pPr>
        <w:spacing w:line="400" w:lineRule="exact"/>
        <w:ind w:firstLine="420"/>
        <w:rPr>
          <w:rFonts w:ascii="宋体" w:hAnsi="宋体"/>
          <w:bCs/>
          <w:color w:val="auto"/>
          <w:szCs w:val="21"/>
          <w:highlight w:val="none"/>
          <w:u w:val="single"/>
        </w:rPr>
      </w:pPr>
      <w:r>
        <w:rPr>
          <w:rFonts w:hint="eastAsia" w:ascii="宋体" w:hAnsi="宋体"/>
          <w:bCs/>
          <w:color w:val="auto"/>
          <w:szCs w:val="21"/>
          <w:highlight w:val="none"/>
        </w:rPr>
        <w:t>（6）履约验收标准：</w:t>
      </w:r>
      <w:r>
        <w:rPr>
          <w:rFonts w:hint="eastAsia" w:ascii="宋体" w:hAnsi="宋体"/>
          <w:bCs/>
          <w:color w:val="auto"/>
          <w:szCs w:val="21"/>
          <w:highlight w:val="none"/>
          <w:u w:val="single"/>
        </w:rPr>
        <w:t xml:space="preserve">                                         </w:t>
      </w:r>
    </w:p>
    <w:p w14:paraId="6DB851C9">
      <w:pPr>
        <w:pStyle w:val="213"/>
        <w:ind w:firstLine="420"/>
        <w:rPr>
          <w:rFonts w:ascii="宋体" w:hAnsi="宋体" w:eastAsia="宋体" w:cs="宋体"/>
          <w:color w:val="auto"/>
          <w:sz w:val="21"/>
          <w:highlight w:val="none"/>
        </w:rPr>
      </w:pPr>
      <w:r>
        <w:rPr>
          <w:rFonts w:hint="eastAsia" w:ascii="宋体" w:hAnsi="宋体" w:eastAsia="宋体" w:cs="宋体"/>
          <w:bCs/>
          <w:color w:val="auto"/>
          <w:sz w:val="21"/>
          <w:highlight w:val="none"/>
        </w:rPr>
        <w:t>（7）是否以采购活动中供应商提供的样品作为参考：</w:t>
      </w:r>
      <w:r>
        <w:rPr>
          <w:rFonts w:ascii="Wingdings" w:hAnsi="Wingdings" w:eastAsia="Wingdings" w:cs="Wingdings"/>
          <w:color w:val="auto"/>
          <w:sz w:val="21"/>
          <w:highlight w:val="none"/>
        </w:rPr>
        <w:t>¨</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w:t>
      </w:r>
      <w:r>
        <w:rPr>
          <w:rFonts w:hint="eastAsia" w:ascii="宋体" w:hAnsi="宋体" w:eastAsia="宋体" w:cs="宋体"/>
          <w:bCs/>
          <w:color w:val="auto"/>
          <w:sz w:val="21"/>
          <w:highlight w:val="none"/>
        </w:rPr>
        <w:t>否</w:t>
      </w:r>
    </w:p>
    <w:p w14:paraId="41CDF97F">
      <w:pPr>
        <w:spacing w:line="400" w:lineRule="exact"/>
        <w:ind w:firstLine="420"/>
        <w:rPr>
          <w:rFonts w:ascii="宋体" w:hAnsi="宋体" w:cs="宋体"/>
          <w:bCs/>
          <w:color w:val="auto"/>
          <w:szCs w:val="21"/>
          <w:highlight w:val="none"/>
          <w:u w:val="single"/>
        </w:rPr>
      </w:pPr>
      <w:r>
        <w:rPr>
          <w:rFonts w:hint="eastAsia" w:ascii="宋体" w:hAnsi="宋体" w:cs="宋体"/>
          <w:bCs/>
          <w:color w:val="auto"/>
          <w:szCs w:val="21"/>
          <w:highlight w:val="none"/>
        </w:rPr>
        <w:t>（8）履约验收其他事项：</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u w:val="single"/>
          <w:lang w:val="en-US" w:eastAsia="zh-CN"/>
        </w:rPr>
        <w:t xml:space="preserve"> </w:t>
      </w:r>
      <w:r>
        <w:rPr>
          <w:rFonts w:hint="eastAsia" w:ascii="宋体" w:hAnsi="宋体" w:cs="宋体"/>
          <w:bCs/>
          <w:color w:val="auto"/>
          <w:szCs w:val="21"/>
          <w:highlight w:val="none"/>
          <w:u w:val="single"/>
        </w:rPr>
        <w:t xml:space="preserve">        </w:t>
      </w:r>
    </w:p>
    <w:p w14:paraId="502CAFB4">
      <w:pPr>
        <w:numPr>
          <w:ilvl w:val="0"/>
          <w:numId w:val="2"/>
        </w:numPr>
        <w:spacing w:line="400" w:lineRule="exact"/>
        <w:ind w:firstLine="420"/>
        <w:rPr>
          <w:rFonts w:ascii="宋体" w:hAnsi="宋体"/>
          <w:b/>
          <w:color w:val="auto"/>
          <w:szCs w:val="21"/>
          <w:highlight w:val="none"/>
        </w:rPr>
      </w:pPr>
      <w:r>
        <w:rPr>
          <w:rFonts w:hint="eastAsia" w:ascii="宋体" w:hAnsi="宋体"/>
          <w:b/>
          <w:color w:val="auto"/>
          <w:szCs w:val="21"/>
          <w:highlight w:val="none"/>
        </w:rPr>
        <w:t>组成合同的文件</w:t>
      </w:r>
    </w:p>
    <w:p w14:paraId="7BF3C8B3">
      <w:pPr>
        <w:spacing w:line="400" w:lineRule="exact"/>
        <w:ind w:firstLine="420"/>
        <w:rPr>
          <w:rFonts w:ascii="宋体" w:hAnsi="宋体"/>
          <w:color w:val="auto"/>
          <w:szCs w:val="21"/>
          <w:highlight w:val="none"/>
        </w:rPr>
      </w:pPr>
      <w:r>
        <w:rPr>
          <w:rFonts w:hint="eastAsia" w:ascii="宋体" w:hAnsi="宋体"/>
          <w:color w:val="auto"/>
          <w:szCs w:val="21"/>
          <w:highlight w:val="none"/>
        </w:rPr>
        <w:t>本协议书与下列文件一起构成合同文件，如下述文件之间有任何抵触、矛盾或歧义，应按以下顺序解释：</w:t>
      </w:r>
    </w:p>
    <w:p w14:paraId="7DC23681">
      <w:pPr>
        <w:spacing w:line="400" w:lineRule="exact"/>
        <w:ind w:firstLine="420"/>
        <w:rPr>
          <w:rFonts w:ascii="宋体" w:hAnsi="宋体"/>
          <w:color w:val="auto"/>
          <w:szCs w:val="21"/>
          <w:highlight w:val="none"/>
        </w:rPr>
      </w:pPr>
      <w:r>
        <w:rPr>
          <w:rFonts w:hint="eastAsia" w:ascii="宋体" w:hAnsi="宋体"/>
          <w:color w:val="auto"/>
          <w:szCs w:val="21"/>
          <w:highlight w:val="none"/>
        </w:rPr>
        <w:t>（1）政府采购合同协议书及其变更、补充协议</w:t>
      </w:r>
    </w:p>
    <w:p w14:paraId="1E22BDC6">
      <w:pPr>
        <w:spacing w:line="400" w:lineRule="exact"/>
        <w:ind w:firstLine="420"/>
        <w:rPr>
          <w:rFonts w:ascii="宋体" w:hAnsi="宋体"/>
          <w:color w:val="auto"/>
          <w:szCs w:val="21"/>
          <w:highlight w:val="none"/>
        </w:rPr>
      </w:pPr>
      <w:r>
        <w:rPr>
          <w:rFonts w:hint="eastAsia" w:ascii="宋体" w:hAnsi="宋体"/>
          <w:color w:val="auto"/>
          <w:szCs w:val="21"/>
          <w:highlight w:val="none"/>
        </w:rPr>
        <w:t>（2）政府采购合同专用条款</w:t>
      </w:r>
    </w:p>
    <w:p w14:paraId="7870319E">
      <w:pPr>
        <w:spacing w:line="400" w:lineRule="exact"/>
        <w:ind w:firstLine="420"/>
        <w:rPr>
          <w:rFonts w:ascii="宋体" w:hAnsi="宋体"/>
          <w:color w:val="auto"/>
          <w:szCs w:val="21"/>
          <w:highlight w:val="none"/>
        </w:rPr>
      </w:pPr>
      <w:r>
        <w:rPr>
          <w:rFonts w:hint="eastAsia" w:ascii="宋体" w:hAnsi="宋体"/>
          <w:color w:val="auto"/>
          <w:szCs w:val="21"/>
          <w:highlight w:val="none"/>
        </w:rPr>
        <w:t>（3）政府采购合同通用条款</w:t>
      </w:r>
    </w:p>
    <w:p w14:paraId="3689085C">
      <w:pPr>
        <w:spacing w:line="400" w:lineRule="exact"/>
        <w:ind w:firstLine="420"/>
        <w:rPr>
          <w:rFonts w:ascii="宋体" w:hAnsi="宋体"/>
          <w:color w:val="auto"/>
          <w:szCs w:val="21"/>
          <w:highlight w:val="none"/>
        </w:rPr>
      </w:pPr>
      <w:r>
        <w:rPr>
          <w:rFonts w:hint="eastAsia" w:ascii="宋体" w:hAnsi="宋体"/>
          <w:color w:val="auto"/>
          <w:szCs w:val="21"/>
          <w:highlight w:val="none"/>
        </w:rPr>
        <w:t>（4）中标（成交）通知书</w:t>
      </w:r>
    </w:p>
    <w:p w14:paraId="679E034E">
      <w:pPr>
        <w:spacing w:line="400" w:lineRule="exact"/>
        <w:ind w:firstLine="420"/>
        <w:rPr>
          <w:rFonts w:ascii="宋体" w:hAnsi="宋体"/>
          <w:color w:val="auto"/>
          <w:szCs w:val="21"/>
          <w:highlight w:val="none"/>
        </w:rPr>
      </w:pPr>
      <w:r>
        <w:rPr>
          <w:rFonts w:hint="eastAsia" w:ascii="宋体" w:hAnsi="宋体"/>
          <w:color w:val="auto"/>
          <w:szCs w:val="21"/>
          <w:highlight w:val="none"/>
        </w:rPr>
        <w:t>（5）投标（响应）文件</w:t>
      </w:r>
    </w:p>
    <w:p w14:paraId="3F189BE4">
      <w:pPr>
        <w:spacing w:line="400" w:lineRule="exact"/>
        <w:ind w:firstLine="420"/>
        <w:rPr>
          <w:rFonts w:ascii="宋体" w:hAnsi="宋体"/>
          <w:color w:val="auto"/>
          <w:szCs w:val="21"/>
          <w:highlight w:val="none"/>
        </w:rPr>
      </w:pPr>
      <w:r>
        <w:rPr>
          <w:rFonts w:hint="eastAsia" w:ascii="宋体" w:hAnsi="宋体"/>
          <w:color w:val="auto"/>
          <w:szCs w:val="21"/>
          <w:highlight w:val="none"/>
        </w:rPr>
        <w:t>（6）采购文件</w:t>
      </w:r>
    </w:p>
    <w:p w14:paraId="0C0B6643">
      <w:pPr>
        <w:spacing w:line="400" w:lineRule="exact"/>
        <w:ind w:firstLine="420"/>
        <w:rPr>
          <w:rFonts w:ascii="宋体" w:hAnsi="宋体"/>
          <w:color w:val="auto"/>
          <w:szCs w:val="21"/>
          <w:highlight w:val="none"/>
        </w:rPr>
      </w:pPr>
      <w:r>
        <w:rPr>
          <w:rFonts w:hint="eastAsia" w:ascii="宋体" w:hAnsi="宋体"/>
          <w:color w:val="auto"/>
          <w:szCs w:val="21"/>
          <w:highlight w:val="none"/>
        </w:rPr>
        <w:t>（7）有关技术文件，图纸</w:t>
      </w:r>
    </w:p>
    <w:p w14:paraId="0CC1A4F9">
      <w:pPr>
        <w:pStyle w:val="213"/>
        <w:ind w:firstLine="420"/>
        <w:rPr>
          <w:rFonts w:ascii="宋体" w:hAnsi="宋体" w:eastAsia="宋体" w:cs="宋体"/>
          <w:color w:val="auto"/>
          <w:sz w:val="21"/>
          <w:highlight w:val="none"/>
        </w:rPr>
      </w:pPr>
      <w:r>
        <w:rPr>
          <w:rFonts w:hint="eastAsia" w:ascii="宋体" w:hAnsi="宋体" w:eastAsia="宋体" w:cs="宋体"/>
          <w:color w:val="auto"/>
          <w:sz w:val="21"/>
          <w:highlight w:val="none"/>
        </w:rPr>
        <w:t>（8）国家法律、行政法规和规章制度规定或合同约定的作为合同组成部分的其他文件</w:t>
      </w:r>
    </w:p>
    <w:p w14:paraId="04631CD2">
      <w:pPr>
        <w:numPr>
          <w:ilvl w:val="0"/>
          <w:numId w:val="2"/>
        </w:numPr>
        <w:spacing w:line="400" w:lineRule="exact"/>
        <w:ind w:firstLine="420"/>
        <w:rPr>
          <w:rFonts w:ascii="宋体" w:hAnsi="宋体"/>
          <w:b/>
          <w:color w:val="auto"/>
          <w:szCs w:val="21"/>
          <w:highlight w:val="none"/>
        </w:rPr>
      </w:pPr>
      <w:r>
        <w:rPr>
          <w:rFonts w:hint="eastAsia" w:ascii="宋体" w:hAnsi="宋体"/>
          <w:b/>
          <w:color w:val="auto"/>
          <w:szCs w:val="21"/>
          <w:highlight w:val="none"/>
        </w:rPr>
        <w:t>合同生效</w:t>
      </w:r>
    </w:p>
    <w:p w14:paraId="2077E204">
      <w:pPr>
        <w:spacing w:line="400" w:lineRule="exact"/>
        <w:ind w:firstLine="420"/>
        <w:rPr>
          <w:rFonts w:ascii="宋体" w:hAnsi="宋体"/>
          <w:color w:val="auto"/>
          <w:szCs w:val="21"/>
          <w:highlight w:val="none"/>
        </w:rPr>
      </w:pPr>
      <w:r>
        <w:rPr>
          <w:rFonts w:hint="eastAsia" w:ascii="宋体" w:hAnsi="宋体"/>
          <w:color w:val="auto"/>
          <w:szCs w:val="21"/>
          <w:highlight w:val="none"/>
        </w:rPr>
        <w:t>本合同自</w:t>
      </w:r>
      <w:r>
        <w:rPr>
          <w:rFonts w:hint="eastAsia" w:ascii="宋体" w:hAnsi="宋体"/>
          <w:color w:val="auto"/>
          <w:szCs w:val="21"/>
          <w:highlight w:val="none"/>
          <w:u w:val="single"/>
        </w:rPr>
        <w:t xml:space="preserve">                             </w:t>
      </w:r>
      <w:r>
        <w:rPr>
          <w:rFonts w:hint="eastAsia" w:ascii="宋体" w:hAnsi="宋体"/>
          <w:color w:val="auto"/>
          <w:szCs w:val="21"/>
          <w:highlight w:val="none"/>
        </w:rPr>
        <w:t>生效。</w:t>
      </w:r>
    </w:p>
    <w:p w14:paraId="476E50F8">
      <w:pPr>
        <w:numPr>
          <w:ilvl w:val="0"/>
          <w:numId w:val="2"/>
        </w:numPr>
        <w:spacing w:line="400" w:lineRule="exact"/>
        <w:ind w:firstLine="420"/>
        <w:rPr>
          <w:rFonts w:ascii="宋体" w:hAnsi="宋体"/>
          <w:b/>
          <w:color w:val="auto"/>
          <w:szCs w:val="21"/>
          <w:highlight w:val="none"/>
        </w:rPr>
      </w:pPr>
      <w:r>
        <w:rPr>
          <w:rFonts w:hint="eastAsia" w:ascii="宋体" w:hAnsi="宋体"/>
          <w:b/>
          <w:color w:val="auto"/>
          <w:szCs w:val="21"/>
          <w:highlight w:val="none"/>
        </w:rPr>
        <w:t>合同份数</w:t>
      </w:r>
    </w:p>
    <w:p w14:paraId="6DAFC982">
      <w:pPr>
        <w:spacing w:line="400" w:lineRule="exact"/>
        <w:ind w:firstLine="420"/>
        <w:rPr>
          <w:rFonts w:ascii="宋体" w:hAnsi="宋体"/>
          <w:color w:val="auto"/>
          <w:szCs w:val="21"/>
          <w:highlight w:val="none"/>
        </w:rPr>
      </w:pPr>
      <w:r>
        <w:rPr>
          <w:rFonts w:hint="eastAsia" w:ascii="宋体" w:hAnsi="宋体"/>
          <w:color w:val="auto"/>
          <w:szCs w:val="21"/>
          <w:highlight w:val="none"/>
        </w:rPr>
        <w:t>本合同一式</w:t>
      </w:r>
      <w:r>
        <w:rPr>
          <w:rFonts w:hint="eastAsia" w:ascii="宋体" w:hAnsi="宋体"/>
          <w:color w:val="auto"/>
          <w:szCs w:val="21"/>
          <w:highlight w:val="none"/>
          <w:u w:val="single"/>
          <w:lang w:val="en-US" w:eastAsia="zh-CN"/>
        </w:rPr>
        <w:t>陆</w:t>
      </w:r>
      <w:r>
        <w:rPr>
          <w:rFonts w:hint="eastAsia" w:ascii="宋体" w:hAnsi="宋体"/>
          <w:color w:val="auto"/>
          <w:szCs w:val="21"/>
          <w:highlight w:val="none"/>
        </w:rPr>
        <w:t>份，甲方执</w:t>
      </w:r>
      <w:r>
        <w:rPr>
          <w:rFonts w:hint="eastAsia" w:ascii="宋体" w:hAnsi="宋体"/>
          <w:color w:val="auto"/>
          <w:szCs w:val="21"/>
          <w:highlight w:val="none"/>
          <w:u w:val="single"/>
          <w:lang w:val="en-US" w:eastAsia="zh-CN"/>
        </w:rPr>
        <w:t>叁</w:t>
      </w:r>
      <w:r>
        <w:rPr>
          <w:rFonts w:hint="eastAsia" w:ascii="宋体" w:hAnsi="宋体"/>
          <w:color w:val="auto"/>
          <w:szCs w:val="21"/>
          <w:highlight w:val="none"/>
        </w:rPr>
        <w:t>份，乙方执</w:t>
      </w:r>
      <w:r>
        <w:rPr>
          <w:rFonts w:hint="eastAsia" w:ascii="宋体" w:hAnsi="宋体"/>
          <w:color w:val="auto"/>
          <w:szCs w:val="21"/>
          <w:highlight w:val="none"/>
          <w:u w:val="single"/>
          <w:lang w:val="en-US" w:eastAsia="zh-CN"/>
        </w:rPr>
        <w:t>叁</w:t>
      </w:r>
      <w:r>
        <w:rPr>
          <w:rFonts w:hint="eastAsia" w:ascii="宋体" w:hAnsi="宋体"/>
          <w:color w:val="auto"/>
          <w:szCs w:val="21"/>
          <w:highlight w:val="none"/>
        </w:rPr>
        <w:t>份，均具有同等法律效力。</w:t>
      </w:r>
    </w:p>
    <w:p w14:paraId="78734D7C">
      <w:pPr>
        <w:spacing w:line="400" w:lineRule="exact"/>
        <w:ind w:firstLine="420"/>
        <w:rPr>
          <w:rFonts w:ascii="宋体" w:hAnsi="宋体"/>
          <w:color w:val="auto"/>
          <w:szCs w:val="21"/>
          <w:highlight w:val="none"/>
        </w:rPr>
      </w:pPr>
      <w:r>
        <w:rPr>
          <w:rFonts w:hint="eastAsia" w:ascii="宋体" w:hAnsi="宋体"/>
          <w:color w:val="auto"/>
          <w:szCs w:val="21"/>
          <w:highlight w:val="none"/>
        </w:rPr>
        <w:t>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4F31AE8A">
      <w:pPr>
        <w:spacing w:line="400" w:lineRule="exact"/>
        <w:ind w:firstLine="420"/>
        <w:rPr>
          <w:rFonts w:ascii="宋体" w:hAnsi="宋体"/>
          <w:color w:val="auto"/>
          <w:szCs w:val="21"/>
          <w:highlight w:val="none"/>
        </w:rPr>
      </w:pPr>
      <w:r>
        <w:rPr>
          <w:rFonts w:hint="eastAsia" w:ascii="宋体" w:hAnsi="宋体"/>
          <w:color w:val="auto"/>
          <w:szCs w:val="21"/>
          <w:highlight w:val="none"/>
        </w:rPr>
        <w:t>合同订立地点：</w:t>
      </w:r>
      <w:r>
        <w:rPr>
          <w:rFonts w:hint="eastAsia" w:ascii="宋体" w:hAnsi="宋体"/>
          <w:color w:val="auto"/>
          <w:szCs w:val="21"/>
          <w:highlight w:val="none"/>
          <w:u w:val="single"/>
        </w:rPr>
        <w:t xml:space="preserve">                           </w:t>
      </w:r>
    </w:p>
    <w:p w14:paraId="2E64C155">
      <w:pPr>
        <w:spacing w:line="400" w:lineRule="exact"/>
        <w:ind w:firstLine="420"/>
        <w:rPr>
          <w:color w:val="auto"/>
          <w:highlight w:val="none"/>
        </w:rPr>
      </w:pPr>
      <w:r>
        <w:rPr>
          <w:rFonts w:hint="eastAsia" w:ascii="宋体" w:hAnsi="宋体"/>
          <w:color w:val="auto"/>
          <w:szCs w:val="21"/>
          <w:highlight w:val="none"/>
        </w:rPr>
        <w:t>附件：具体标的及其技术要求和商务要求、联合协议、分包意向协议等</w:t>
      </w:r>
    </w:p>
    <w:p w14:paraId="0444C49F">
      <w:pPr>
        <w:pStyle w:val="3"/>
        <w:spacing w:line="400" w:lineRule="exact"/>
        <w:rPr>
          <w:rFonts w:ascii="宋体" w:hAnsi="宋体"/>
          <w:b w:val="0"/>
          <w:bCs w:val="0"/>
          <w:color w:val="auto"/>
          <w:sz w:val="21"/>
          <w:szCs w:val="21"/>
          <w:highlight w:val="none"/>
        </w:rPr>
      </w:pPr>
      <w:r>
        <w:rPr>
          <w:color w:val="auto"/>
          <w:highlight w:val="none"/>
          <w:lang w:val="en"/>
        </w:rPr>
        <w:t xml:space="preserve">   </w:t>
      </w:r>
    </w:p>
    <w:p w14:paraId="6268DD77">
      <w:pPr>
        <w:pStyle w:val="214"/>
        <w:rPr>
          <w:color w:val="auto"/>
          <w:highlight w:val="none"/>
          <w:lang w:eastAsia="zh-CN"/>
        </w:rPr>
      </w:pPr>
    </w:p>
    <w:tbl>
      <w:tblPr>
        <w:tblStyle w:val="37"/>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1891"/>
        <w:gridCol w:w="2412"/>
        <w:gridCol w:w="1979"/>
        <w:gridCol w:w="2116"/>
      </w:tblGrid>
      <w:tr w14:paraId="65A144D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noWrap w:val="0"/>
            <w:vAlign w:val="center"/>
          </w:tcPr>
          <w:p w14:paraId="09AA2897">
            <w:pPr>
              <w:keepNext w:val="0"/>
              <w:keepLines w:val="0"/>
              <w:suppressLineNumbers w:val="0"/>
              <w:spacing w:before="0" w:beforeAutospacing="0" w:after="0" w:afterAutospacing="0" w:line="300" w:lineRule="exact"/>
              <w:ind w:left="0" w:right="0"/>
              <w:jc w:val="center"/>
              <w:rPr>
                <w:color w:val="auto"/>
                <w:highlight w:val="none"/>
              </w:rPr>
            </w:pPr>
            <w:r>
              <w:rPr>
                <w:color w:val="auto"/>
                <w:szCs w:val="21"/>
                <w:highlight w:val="none"/>
              </w:rPr>
              <w:t>甲方</w:t>
            </w:r>
            <w:r>
              <w:rPr>
                <w:rFonts w:hint="eastAsia"/>
                <w:color w:val="auto"/>
                <w:szCs w:val="21"/>
                <w:highlight w:val="none"/>
              </w:rPr>
              <w:t>（采购人</w:t>
            </w:r>
            <w:r>
              <w:rPr>
                <w:rFonts w:hint="eastAsia" w:ascii="宋体" w:hAnsi="宋体"/>
                <w:color w:val="auto"/>
                <w:szCs w:val="21"/>
                <w:highlight w:val="none"/>
              </w:rPr>
              <w:t>、受采购人委托签订合同的单位或</w:t>
            </w:r>
            <w:r>
              <w:rPr>
                <w:rFonts w:hint="eastAsia"/>
                <w:color w:val="auto"/>
                <w:szCs w:val="21"/>
                <w:highlight w:val="none"/>
              </w:rPr>
              <w:t>采购文件约定的合同甲方）</w:t>
            </w:r>
          </w:p>
        </w:tc>
        <w:tc>
          <w:tcPr>
            <w:tcW w:w="2437" w:type="pct"/>
            <w:gridSpan w:val="2"/>
            <w:tcBorders>
              <w:left w:val="single" w:color="auto" w:sz="2" w:space="0"/>
              <w:bottom w:val="single" w:color="auto" w:sz="2" w:space="0"/>
            </w:tcBorders>
            <w:noWrap w:val="0"/>
            <w:vAlign w:val="center"/>
          </w:tcPr>
          <w:p w14:paraId="2654AF87">
            <w:pPr>
              <w:keepNext w:val="0"/>
              <w:keepLines w:val="0"/>
              <w:suppressLineNumbers w:val="0"/>
              <w:spacing w:before="0" w:beforeAutospacing="0" w:after="0" w:afterAutospacing="0" w:line="300" w:lineRule="exact"/>
              <w:ind w:left="0" w:right="0"/>
              <w:jc w:val="center"/>
              <w:rPr>
                <w:color w:val="auto"/>
                <w:highlight w:val="none"/>
              </w:rPr>
            </w:pPr>
            <w:r>
              <w:rPr>
                <w:color w:val="auto"/>
                <w:szCs w:val="21"/>
                <w:highlight w:val="none"/>
              </w:rPr>
              <w:t>乙方</w:t>
            </w:r>
            <w:r>
              <w:rPr>
                <w:rFonts w:hint="eastAsia"/>
                <w:color w:val="auto"/>
                <w:szCs w:val="21"/>
                <w:highlight w:val="none"/>
              </w:rPr>
              <w:t>（供应商）</w:t>
            </w:r>
          </w:p>
        </w:tc>
      </w:tr>
      <w:tr w14:paraId="7F77EDB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noWrap w:val="0"/>
            <w:vAlign w:val="center"/>
          </w:tcPr>
          <w:p w14:paraId="424329CD">
            <w:pPr>
              <w:keepNext w:val="0"/>
              <w:keepLines w:val="0"/>
              <w:suppressLineNumbers w:val="0"/>
              <w:spacing w:before="0" w:beforeAutospacing="0" w:after="0" w:afterAutospacing="0" w:line="300" w:lineRule="exact"/>
              <w:ind w:left="0" w:right="0"/>
              <w:jc w:val="center"/>
              <w:rPr>
                <w:color w:val="auto"/>
                <w:szCs w:val="21"/>
                <w:highlight w:val="none"/>
              </w:rPr>
            </w:pPr>
            <w:r>
              <w:rPr>
                <w:color w:val="auto"/>
                <w:szCs w:val="21"/>
                <w:highlight w:val="none"/>
              </w:rPr>
              <w:t>单位名称</w:t>
            </w:r>
            <w:r>
              <w:rPr>
                <w:rFonts w:hint="eastAsia"/>
                <w:color w:val="auto"/>
                <w:szCs w:val="21"/>
                <w:highlight w:val="none"/>
              </w:rPr>
              <w:t>（公章或合同章）</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256D3B4E">
            <w:pPr>
              <w:keepNext w:val="0"/>
              <w:keepLines w:val="0"/>
              <w:suppressLineNumbers w:val="0"/>
              <w:spacing w:before="0" w:beforeAutospacing="0" w:after="0" w:afterAutospacing="0" w:line="300" w:lineRule="exact"/>
              <w:ind w:left="0" w:right="0"/>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B180D8C">
            <w:pPr>
              <w:keepNext w:val="0"/>
              <w:keepLines w:val="0"/>
              <w:suppressLineNumbers w:val="0"/>
              <w:spacing w:before="0" w:beforeAutospacing="0" w:after="0" w:afterAutospacing="0" w:line="300" w:lineRule="exact"/>
              <w:ind w:left="0" w:right="0"/>
              <w:jc w:val="center"/>
              <w:rPr>
                <w:color w:val="auto"/>
                <w:szCs w:val="21"/>
                <w:highlight w:val="none"/>
              </w:rPr>
            </w:pPr>
            <w:r>
              <w:rPr>
                <w:color w:val="auto"/>
                <w:szCs w:val="21"/>
                <w:highlight w:val="none"/>
              </w:rPr>
              <w:t>单位名称</w:t>
            </w:r>
            <w:r>
              <w:rPr>
                <w:rFonts w:hint="eastAsia"/>
                <w:color w:val="auto"/>
                <w:szCs w:val="21"/>
                <w:highlight w:val="none"/>
              </w:rPr>
              <w:t>（公章或合同章）</w:t>
            </w:r>
          </w:p>
        </w:tc>
        <w:tc>
          <w:tcPr>
            <w:tcW w:w="1259" w:type="pct"/>
            <w:tcBorders>
              <w:top w:val="single" w:color="auto" w:sz="2" w:space="0"/>
              <w:left w:val="single" w:color="auto" w:sz="2" w:space="0"/>
              <w:bottom w:val="single" w:color="auto" w:sz="2" w:space="0"/>
            </w:tcBorders>
            <w:noWrap w:val="0"/>
            <w:vAlign w:val="center"/>
          </w:tcPr>
          <w:p w14:paraId="209D3EE0">
            <w:pPr>
              <w:keepNext w:val="0"/>
              <w:keepLines w:val="0"/>
              <w:suppressLineNumbers w:val="0"/>
              <w:spacing w:before="0" w:beforeAutospacing="0" w:after="0" w:afterAutospacing="0" w:line="300" w:lineRule="exact"/>
              <w:ind w:left="0" w:right="0"/>
              <w:jc w:val="center"/>
              <w:rPr>
                <w:color w:val="auto"/>
                <w:spacing w:val="20"/>
                <w:szCs w:val="21"/>
                <w:highlight w:val="none"/>
              </w:rPr>
            </w:pPr>
          </w:p>
        </w:tc>
      </w:tr>
      <w:tr w14:paraId="72E001E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noWrap w:val="0"/>
            <w:vAlign w:val="center"/>
          </w:tcPr>
          <w:p w14:paraId="24B62D60">
            <w:pPr>
              <w:keepNext w:val="0"/>
              <w:keepLines w:val="0"/>
              <w:suppressLineNumbers w:val="0"/>
              <w:spacing w:before="0" w:beforeAutospacing="0" w:after="0" w:afterAutospacing="0" w:line="300" w:lineRule="exact"/>
              <w:ind w:left="0" w:right="0"/>
              <w:jc w:val="center"/>
              <w:rPr>
                <w:color w:val="auto"/>
                <w:szCs w:val="21"/>
                <w:highlight w:val="none"/>
              </w:rPr>
            </w:pPr>
            <w:r>
              <w:rPr>
                <w:color w:val="auto"/>
                <w:szCs w:val="21"/>
                <w:highlight w:val="none"/>
              </w:rPr>
              <w:t>法定代表人</w:t>
            </w:r>
          </w:p>
          <w:p w14:paraId="720034FA">
            <w:pPr>
              <w:keepNext w:val="0"/>
              <w:keepLines w:val="0"/>
              <w:suppressLineNumbers w:val="0"/>
              <w:spacing w:before="0" w:beforeAutospacing="0" w:after="0" w:afterAutospacing="0" w:line="300" w:lineRule="exact"/>
              <w:ind w:left="0" w:right="0" w:firstLine="100"/>
              <w:jc w:val="center"/>
              <w:rPr>
                <w:color w:val="auto"/>
                <w:szCs w:val="21"/>
                <w:highlight w:val="none"/>
              </w:rPr>
            </w:pPr>
            <w:r>
              <w:rPr>
                <w:rFonts w:hint="eastAsia"/>
                <w:color w:val="auto"/>
                <w:szCs w:val="21"/>
                <w:highlight w:val="none"/>
              </w:rPr>
              <w:t>或其</w:t>
            </w:r>
            <w:r>
              <w:rPr>
                <w:color w:val="auto"/>
                <w:szCs w:val="21"/>
                <w:highlight w:val="none"/>
              </w:rPr>
              <w:t>委托代理人</w:t>
            </w:r>
            <w:r>
              <w:rPr>
                <w:rFonts w:hint="eastAsia"/>
                <w:color w:val="auto"/>
                <w:szCs w:val="21"/>
                <w:highlight w:val="none"/>
              </w:rPr>
              <w:t>（签章）</w:t>
            </w:r>
          </w:p>
        </w:tc>
        <w:tc>
          <w:tcPr>
            <w:tcW w:w="1436" w:type="pct"/>
            <w:vMerge w:val="restart"/>
            <w:tcBorders>
              <w:top w:val="single" w:color="auto" w:sz="2" w:space="0"/>
              <w:left w:val="single" w:color="auto" w:sz="2" w:space="0"/>
              <w:right w:val="single" w:color="auto" w:sz="2" w:space="0"/>
            </w:tcBorders>
            <w:noWrap w:val="0"/>
            <w:vAlign w:val="center"/>
          </w:tcPr>
          <w:p w14:paraId="28C9C9AD">
            <w:pPr>
              <w:keepNext w:val="0"/>
              <w:keepLines w:val="0"/>
              <w:suppressLineNumbers w:val="0"/>
              <w:spacing w:before="0" w:beforeAutospacing="0" w:after="0" w:afterAutospacing="0" w:line="300" w:lineRule="exact"/>
              <w:ind w:left="0" w:right="0"/>
              <w:jc w:val="center"/>
              <w:rPr>
                <w:color w:val="auto"/>
                <w:szCs w:val="21"/>
                <w:highlight w:val="none"/>
              </w:rPr>
            </w:pPr>
          </w:p>
        </w:tc>
        <w:tc>
          <w:tcPr>
            <w:tcW w:w="1178" w:type="pct"/>
            <w:tcBorders>
              <w:top w:val="single" w:color="auto" w:sz="2" w:space="0"/>
              <w:left w:val="single" w:color="auto" w:sz="2" w:space="0"/>
              <w:right w:val="single" w:color="auto" w:sz="2" w:space="0"/>
            </w:tcBorders>
            <w:noWrap w:val="0"/>
            <w:vAlign w:val="center"/>
          </w:tcPr>
          <w:p w14:paraId="1BD3DDBB">
            <w:pPr>
              <w:keepNext w:val="0"/>
              <w:keepLines w:val="0"/>
              <w:suppressLineNumbers w:val="0"/>
              <w:spacing w:before="0" w:beforeAutospacing="0" w:after="0" w:afterAutospacing="0" w:line="300" w:lineRule="exact"/>
              <w:ind w:left="0" w:right="0"/>
              <w:jc w:val="center"/>
              <w:rPr>
                <w:color w:val="auto"/>
                <w:szCs w:val="21"/>
                <w:highlight w:val="none"/>
              </w:rPr>
            </w:pPr>
            <w:r>
              <w:rPr>
                <w:color w:val="auto"/>
                <w:szCs w:val="21"/>
                <w:highlight w:val="none"/>
              </w:rPr>
              <w:t>法定代表人</w:t>
            </w:r>
          </w:p>
          <w:p w14:paraId="35CB2779">
            <w:pPr>
              <w:keepNext w:val="0"/>
              <w:keepLines w:val="0"/>
              <w:suppressLineNumbers w:val="0"/>
              <w:spacing w:before="0" w:beforeAutospacing="0" w:after="0" w:afterAutospacing="0" w:line="300" w:lineRule="exact"/>
              <w:ind w:left="0" w:right="0"/>
              <w:jc w:val="center"/>
              <w:rPr>
                <w:color w:val="auto"/>
                <w:szCs w:val="21"/>
                <w:highlight w:val="none"/>
              </w:rPr>
            </w:pPr>
            <w:r>
              <w:rPr>
                <w:rFonts w:hint="eastAsia"/>
                <w:color w:val="auto"/>
                <w:szCs w:val="21"/>
                <w:highlight w:val="none"/>
              </w:rPr>
              <w:t>或其</w:t>
            </w:r>
            <w:r>
              <w:rPr>
                <w:color w:val="auto"/>
                <w:szCs w:val="21"/>
                <w:highlight w:val="none"/>
              </w:rPr>
              <w:t>委托代理人</w:t>
            </w:r>
            <w:r>
              <w:rPr>
                <w:rFonts w:hint="eastAsia"/>
                <w:color w:val="auto"/>
                <w:szCs w:val="21"/>
                <w:highlight w:val="none"/>
              </w:rPr>
              <w:t>（签章）</w:t>
            </w:r>
          </w:p>
        </w:tc>
        <w:tc>
          <w:tcPr>
            <w:tcW w:w="1259" w:type="pct"/>
            <w:tcBorders>
              <w:top w:val="single" w:color="auto" w:sz="2" w:space="0"/>
              <w:left w:val="single" w:color="auto" w:sz="2" w:space="0"/>
              <w:bottom w:val="single" w:color="auto" w:sz="2" w:space="0"/>
            </w:tcBorders>
            <w:noWrap w:val="0"/>
            <w:vAlign w:val="center"/>
          </w:tcPr>
          <w:p w14:paraId="5CE645FA">
            <w:pPr>
              <w:keepNext w:val="0"/>
              <w:keepLines w:val="0"/>
              <w:suppressLineNumbers w:val="0"/>
              <w:spacing w:before="0" w:beforeAutospacing="0" w:after="0" w:afterAutospacing="0" w:line="300" w:lineRule="exact"/>
              <w:ind w:left="0" w:right="0"/>
              <w:jc w:val="center"/>
              <w:rPr>
                <w:color w:val="auto"/>
                <w:szCs w:val="21"/>
                <w:highlight w:val="none"/>
              </w:rPr>
            </w:pPr>
          </w:p>
        </w:tc>
      </w:tr>
      <w:tr w14:paraId="73E99C2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noWrap w:val="0"/>
            <w:vAlign w:val="center"/>
          </w:tcPr>
          <w:p w14:paraId="504E68A3">
            <w:pPr>
              <w:keepNext w:val="0"/>
              <w:keepLines w:val="0"/>
              <w:suppressLineNumbers w:val="0"/>
              <w:spacing w:before="0" w:beforeAutospacing="0" w:after="0" w:afterAutospacing="0" w:line="300" w:lineRule="exact"/>
              <w:ind w:left="0" w:right="0"/>
              <w:jc w:val="center"/>
              <w:rPr>
                <w:color w:val="auto"/>
                <w:szCs w:val="21"/>
                <w:highlight w:val="none"/>
              </w:rPr>
            </w:pPr>
          </w:p>
        </w:tc>
        <w:tc>
          <w:tcPr>
            <w:tcW w:w="1436" w:type="pct"/>
            <w:vMerge w:val="continue"/>
            <w:tcBorders>
              <w:left w:val="single" w:color="auto" w:sz="2" w:space="0"/>
              <w:bottom w:val="single" w:color="auto" w:sz="2" w:space="0"/>
              <w:right w:val="single" w:color="auto" w:sz="2" w:space="0"/>
            </w:tcBorders>
            <w:noWrap w:val="0"/>
            <w:vAlign w:val="center"/>
          </w:tcPr>
          <w:p w14:paraId="713941CA">
            <w:pPr>
              <w:keepNext w:val="0"/>
              <w:keepLines w:val="0"/>
              <w:suppressLineNumbers w:val="0"/>
              <w:spacing w:before="0" w:beforeAutospacing="0" w:after="0" w:afterAutospacing="0" w:line="300" w:lineRule="exact"/>
              <w:ind w:left="0" w:right="0"/>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581DBDA">
            <w:pPr>
              <w:keepNext w:val="0"/>
              <w:keepLines w:val="0"/>
              <w:suppressLineNumbers w:val="0"/>
              <w:spacing w:before="0" w:beforeAutospacing="0" w:after="0" w:afterAutospacing="0" w:line="300" w:lineRule="exact"/>
              <w:ind w:left="0" w:right="0"/>
              <w:jc w:val="center"/>
              <w:rPr>
                <w:color w:val="auto"/>
                <w:szCs w:val="21"/>
                <w:highlight w:val="none"/>
              </w:rPr>
            </w:pPr>
            <w:r>
              <w:rPr>
                <w:rFonts w:hint="eastAsia"/>
                <w:color w:val="auto"/>
                <w:szCs w:val="21"/>
                <w:highlight w:val="none"/>
              </w:rPr>
              <w:t>拥有者性别</w:t>
            </w:r>
          </w:p>
        </w:tc>
        <w:tc>
          <w:tcPr>
            <w:tcW w:w="1259" w:type="pct"/>
            <w:tcBorders>
              <w:top w:val="single" w:color="auto" w:sz="2" w:space="0"/>
              <w:left w:val="single" w:color="auto" w:sz="2" w:space="0"/>
              <w:bottom w:val="single" w:color="auto" w:sz="2" w:space="0"/>
            </w:tcBorders>
            <w:noWrap w:val="0"/>
            <w:vAlign w:val="center"/>
          </w:tcPr>
          <w:p w14:paraId="03BB012A">
            <w:pPr>
              <w:keepNext w:val="0"/>
              <w:keepLines w:val="0"/>
              <w:suppressLineNumbers w:val="0"/>
              <w:spacing w:before="0" w:beforeAutospacing="0" w:after="0" w:afterAutospacing="0" w:line="300" w:lineRule="exact"/>
              <w:ind w:left="0" w:right="0"/>
              <w:jc w:val="center"/>
              <w:rPr>
                <w:color w:val="auto"/>
                <w:spacing w:val="20"/>
                <w:szCs w:val="21"/>
                <w:highlight w:val="none"/>
              </w:rPr>
            </w:pPr>
          </w:p>
        </w:tc>
      </w:tr>
      <w:tr w14:paraId="031D0C6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18557A0B">
            <w:pPr>
              <w:keepNext w:val="0"/>
              <w:keepLines w:val="0"/>
              <w:suppressLineNumbers w:val="0"/>
              <w:spacing w:before="0" w:beforeAutospacing="0" w:after="0" w:afterAutospacing="0" w:line="300" w:lineRule="exact"/>
              <w:ind w:left="0" w:right="0"/>
              <w:jc w:val="center"/>
              <w:rPr>
                <w:color w:val="auto"/>
                <w:szCs w:val="21"/>
                <w:highlight w:val="none"/>
              </w:rPr>
            </w:pPr>
            <w:r>
              <w:rPr>
                <w:rFonts w:hint="eastAsia"/>
                <w:color w:val="auto"/>
                <w:szCs w:val="21"/>
                <w:highlight w:val="none"/>
              </w:rPr>
              <w:t>住  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214E462">
            <w:pPr>
              <w:keepNext w:val="0"/>
              <w:keepLines w:val="0"/>
              <w:suppressLineNumbers w:val="0"/>
              <w:spacing w:before="0" w:beforeAutospacing="0" w:after="0" w:afterAutospacing="0" w:line="300" w:lineRule="exact"/>
              <w:ind w:left="0" w:right="0"/>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7AA19B0">
            <w:pPr>
              <w:keepNext w:val="0"/>
              <w:keepLines w:val="0"/>
              <w:suppressLineNumbers w:val="0"/>
              <w:spacing w:before="0" w:beforeAutospacing="0" w:after="0" w:afterAutospacing="0" w:line="300" w:lineRule="exact"/>
              <w:ind w:left="0" w:right="0"/>
              <w:jc w:val="center"/>
              <w:rPr>
                <w:color w:val="auto"/>
                <w:szCs w:val="21"/>
                <w:highlight w:val="none"/>
              </w:rPr>
            </w:pPr>
            <w:r>
              <w:rPr>
                <w:rFonts w:hint="eastAsia"/>
                <w:color w:val="auto"/>
                <w:szCs w:val="21"/>
                <w:highlight w:val="none"/>
              </w:rPr>
              <w:t>住  所</w:t>
            </w:r>
          </w:p>
        </w:tc>
        <w:tc>
          <w:tcPr>
            <w:tcW w:w="1259" w:type="pct"/>
            <w:tcBorders>
              <w:top w:val="single" w:color="auto" w:sz="2" w:space="0"/>
              <w:left w:val="single" w:color="auto" w:sz="2" w:space="0"/>
              <w:bottom w:val="single" w:color="auto" w:sz="2" w:space="0"/>
            </w:tcBorders>
            <w:noWrap w:val="0"/>
            <w:vAlign w:val="center"/>
          </w:tcPr>
          <w:p w14:paraId="3AE457BB">
            <w:pPr>
              <w:keepNext w:val="0"/>
              <w:keepLines w:val="0"/>
              <w:suppressLineNumbers w:val="0"/>
              <w:spacing w:before="0" w:beforeAutospacing="0" w:after="0" w:afterAutospacing="0" w:line="300" w:lineRule="exact"/>
              <w:ind w:left="0" w:right="0"/>
              <w:jc w:val="center"/>
              <w:rPr>
                <w:color w:val="auto"/>
                <w:spacing w:val="20"/>
                <w:szCs w:val="21"/>
                <w:highlight w:val="none"/>
              </w:rPr>
            </w:pPr>
          </w:p>
        </w:tc>
      </w:tr>
      <w:tr w14:paraId="6DB264B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31A1FC17">
            <w:pPr>
              <w:keepNext w:val="0"/>
              <w:keepLines w:val="0"/>
              <w:suppressLineNumbers w:val="0"/>
              <w:spacing w:before="0" w:beforeAutospacing="0" w:after="0" w:afterAutospacing="0" w:line="300" w:lineRule="exact"/>
              <w:ind w:left="0" w:right="0"/>
              <w:jc w:val="center"/>
              <w:rPr>
                <w:color w:val="auto"/>
                <w:szCs w:val="21"/>
                <w:highlight w:val="none"/>
              </w:rPr>
            </w:pPr>
            <w:r>
              <w:rPr>
                <w:color w:val="auto"/>
                <w:szCs w:val="21"/>
                <w:highlight w:val="none"/>
              </w:rPr>
              <w:t>联 系 人</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5CE58D8">
            <w:pPr>
              <w:keepNext w:val="0"/>
              <w:keepLines w:val="0"/>
              <w:suppressLineNumbers w:val="0"/>
              <w:spacing w:before="0" w:beforeAutospacing="0" w:after="0" w:afterAutospacing="0" w:line="300" w:lineRule="exact"/>
              <w:ind w:left="0" w:right="0"/>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997181C">
            <w:pPr>
              <w:keepNext w:val="0"/>
              <w:keepLines w:val="0"/>
              <w:suppressLineNumbers w:val="0"/>
              <w:spacing w:before="0" w:beforeAutospacing="0" w:after="0" w:afterAutospacing="0" w:line="300" w:lineRule="exact"/>
              <w:ind w:left="0" w:right="0"/>
              <w:jc w:val="center"/>
              <w:rPr>
                <w:color w:val="auto"/>
                <w:szCs w:val="21"/>
                <w:highlight w:val="none"/>
              </w:rPr>
            </w:pPr>
            <w:r>
              <w:rPr>
                <w:color w:val="auto"/>
                <w:szCs w:val="21"/>
                <w:highlight w:val="none"/>
              </w:rPr>
              <w:t>联 系 人</w:t>
            </w:r>
          </w:p>
        </w:tc>
        <w:tc>
          <w:tcPr>
            <w:tcW w:w="1259" w:type="pct"/>
            <w:tcBorders>
              <w:top w:val="single" w:color="auto" w:sz="2" w:space="0"/>
              <w:left w:val="single" w:color="auto" w:sz="2" w:space="0"/>
              <w:bottom w:val="single" w:color="auto" w:sz="2" w:space="0"/>
            </w:tcBorders>
            <w:noWrap w:val="0"/>
            <w:vAlign w:val="center"/>
          </w:tcPr>
          <w:p w14:paraId="33E6BCBB">
            <w:pPr>
              <w:keepNext w:val="0"/>
              <w:keepLines w:val="0"/>
              <w:suppressLineNumbers w:val="0"/>
              <w:spacing w:before="0" w:beforeAutospacing="0" w:after="0" w:afterAutospacing="0" w:line="300" w:lineRule="exact"/>
              <w:ind w:left="0" w:right="0"/>
              <w:jc w:val="center"/>
              <w:rPr>
                <w:color w:val="auto"/>
                <w:spacing w:val="20"/>
                <w:szCs w:val="21"/>
                <w:highlight w:val="none"/>
              </w:rPr>
            </w:pPr>
          </w:p>
        </w:tc>
      </w:tr>
      <w:tr w14:paraId="4BEDF1E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306D37B1">
            <w:pPr>
              <w:keepNext w:val="0"/>
              <w:keepLines w:val="0"/>
              <w:suppressLineNumbers w:val="0"/>
              <w:spacing w:before="0" w:beforeAutospacing="0" w:after="0" w:afterAutospacing="0" w:line="300" w:lineRule="exact"/>
              <w:ind w:left="0" w:right="0"/>
              <w:jc w:val="center"/>
              <w:rPr>
                <w:color w:val="auto"/>
                <w:szCs w:val="21"/>
                <w:highlight w:val="none"/>
              </w:rPr>
            </w:pPr>
            <w:r>
              <w:rPr>
                <w:color w:val="auto"/>
                <w:szCs w:val="21"/>
                <w:highlight w:val="none"/>
              </w:rPr>
              <w:t>联系电话</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0DCEFCA1">
            <w:pPr>
              <w:keepNext w:val="0"/>
              <w:keepLines w:val="0"/>
              <w:suppressLineNumbers w:val="0"/>
              <w:spacing w:before="0" w:beforeAutospacing="0" w:after="0" w:afterAutospacing="0" w:line="300" w:lineRule="exact"/>
              <w:ind w:left="0" w:right="0"/>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2BFB6E5">
            <w:pPr>
              <w:keepNext w:val="0"/>
              <w:keepLines w:val="0"/>
              <w:suppressLineNumbers w:val="0"/>
              <w:spacing w:before="0" w:beforeAutospacing="0" w:after="0" w:afterAutospacing="0" w:line="300" w:lineRule="exact"/>
              <w:ind w:left="0" w:right="0"/>
              <w:jc w:val="center"/>
              <w:rPr>
                <w:color w:val="auto"/>
                <w:szCs w:val="21"/>
                <w:highlight w:val="none"/>
              </w:rPr>
            </w:pPr>
            <w:r>
              <w:rPr>
                <w:color w:val="auto"/>
                <w:szCs w:val="21"/>
                <w:highlight w:val="none"/>
              </w:rPr>
              <w:t>联系电话</w:t>
            </w:r>
          </w:p>
        </w:tc>
        <w:tc>
          <w:tcPr>
            <w:tcW w:w="1259" w:type="pct"/>
            <w:tcBorders>
              <w:top w:val="single" w:color="auto" w:sz="2" w:space="0"/>
              <w:left w:val="single" w:color="auto" w:sz="2" w:space="0"/>
              <w:bottom w:val="single" w:color="auto" w:sz="2" w:space="0"/>
            </w:tcBorders>
            <w:noWrap w:val="0"/>
            <w:vAlign w:val="center"/>
          </w:tcPr>
          <w:p w14:paraId="552D5B8A">
            <w:pPr>
              <w:keepNext w:val="0"/>
              <w:keepLines w:val="0"/>
              <w:suppressLineNumbers w:val="0"/>
              <w:spacing w:before="0" w:beforeAutospacing="0" w:after="0" w:afterAutospacing="0" w:line="300" w:lineRule="exact"/>
              <w:ind w:left="0" w:right="0"/>
              <w:jc w:val="center"/>
              <w:rPr>
                <w:color w:val="auto"/>
                <w:spacing w:val="20"/>
                <w:szCs w:val="21"/>
                <w:highlight w:val="none"/>
              </w:rPr>
            </w:pPr>
          </w:p>
        </w:tc>
      </w:tr>
      <w:tr w14:paraId="348C21A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306B5AF8">
            <w:pPr>
              <w:keepNext w:val="0"/>
              <w:keepLines w:val="0"/>
              <w:suppressLineNumbers w:val="0"/>
              <w:spacing w:before="0" w:beforeAutospacing="0" w:after="0" w:afterAutospacing="0" w:line="300" w:lineRule="exact"/>
              <w:ind w:left="0" w:right="0"/>
              <w:jc w:val="center"/>
              <w:rPr>
                <w:color w:val="auto"/>
                <w:szCs w:val="21"/>
                <w:highlight w:val="none"/>
              </w:rPr>
            </w:pPr>
            <w:r>
              <w:rPr>
                <w:rFonts w:hint="eastAsia"/>
                <w:color w:val="auto"/>
                <w:szCs w:val="21"/>
                <w:highlight w:val="none"/>
              </w:rPr>
              <w:t>通信地址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49AF4767">
            <w:pPr>
              <w:keepNext w:val="0"/>
              <w:keepLines w:val="0"/>
              <w:suppressLineNumbers w:val="0"/>
              <w:spacing w:before="0" w:beforeAutospacing="0" w:after="0" w:afterAutospacing="0" w:line="300" w:lineRule="exact"/>
              <w:ind w:left="0" w:right="0"/>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AB228E8">
            <w:pPr>
              <w:keepNext w:val="0"/>
              <w:keepLines w:val="0"/>
              <w:suppressLineNumbers w:val="0"/>
              <w:spacing w:before="0" w:beforeAutospacing="0" w:after="0" w:afterAutospacing="0" w:line="300" w:lineRule="exact"/>
              <w:ind w:left="0" w:right="0"/>
              <w:jc w:val="center"/>
              <w:rPr>
                <w:color w:val="auto"/>
                <w:szCs w:val="21"/>
                <w:highlight w:val="none"/>
              </w:rPr>
            </w:pPr>
            <w:r>
              <w:rPr>
                <w:rFonts w:hint="eastAsia"/>
                <w:color w:val="auto"/>
                <w:szCs w:val="21"/>
                <w:highlight w:val="none"/>
              </w:rPr>
              <w:t>通信地址</w:t>
            </w:r>
          </w:p>
        </w:tc>
        <w:tc>
          <w:tcPr>
            <w:tcW w:w="1259" w:type="pct"/>
            <w:tcBorders>
              <w:top w:val="single" w:color="auto" w:sz="2" w:space="0"/>
              <w:left w:val="single" w:color="auto" w:sz="2" w:space="0"/>
              <w:bottom w:val="single" w:color="auto" w:sz="2" w:space="0"/>
            </w:tcBorders>
            <w:noWrap w:val="0"/>
            <w:vAlign w:val="center"/>
          </w:tcPr>
          <w:p w14:paraId="6EAB0D88">
            <w:pPr>
              <w:keepNext w:val="0"/>
              <w:keepLines w:val="0"/>
              <w:suppressLineNumbers w:val="0"/>
              <w:spacing w:before="0" w:beforeAutospacing="0" w:after="0" w:afterAutospacing="0" w:line="300" w:lineRule="exact"/>
              <w:ind w:left="0" w:right="0"/>
              <w:jc w:val="center"/>
              <w:rPr>
                <w:color w:val="auto"/>
                <w:spacing w:val="20"/>
                <w:szCs w:val="21"/>
                <w:highlight w:val="none"/>
              </w:rPr>
            </w:pPr>
          </w:p>
        </w:tc>
      </w:tr>
      <w:tr w14:paraId="0F5ECD2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78574310">
            <w:pPr>
              <w:keepNext w:val="0"/>
              <w:keepLines w:val="0"/>
              <w:suppressLineNumbers w:val="0"/>
              <w:spacing w:before="0" w:beforeAutospacing="0" w:after="0" w:afterAutospacing="0" w:line="300" w:lineRule="exact"/>
              <w:ind w:left="0" w:right="0"/>
              <w:jc w:val="center"/>
              <w:rPr>
                <w:color w:val="auto"/>
                <w:szCs w:val="21"/>
                <w:highlight w:val="none"/>
              </w:rPr>
            </w:pPr>
            <w:r>
              <w:rPr>
                <w:color w:val="auto"/>
                <w:szCs w:val="21"/>
                <w:highlight w:val="none"/>
              </w:rPr>
              <w:t>邮政编码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619D2D2D">
            <w:pPr>
              <w:keepNext w:val="0"/>
              <w:keepLines w:val="0"/>
              <w:suppressLineNumbers w:val="0"/>
              <w:spacing w:before="0" w:beforeAutospacing="0" w:after="0" w:afterAutospacing="0" w:line="300" w:lineRule="exact"/>
              <w:ind w:left="0" w:right="0"/>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1858D59">
            <w:pPr>
              <w:keepNext w:val="0"/>
              <w:keepLines w:val="0"/>
              <w:suppressLineNumbers w:val="0"/>
              <w:spacing w:before="0" w:beforeAutospacing="0" w:after="0" w:afterAutospacing="0" w:line="300" w:lineRule="exact"/>
              <w:ind w:left="0" w:right="0"/>
              <w:jc w:val="center"/>
              <w:rPr>
                <w:color w:val="auto"/>
                <w:szCs w:val="21"/>
                <w:highlight w:val="none"/>
              </w:rPr>
            </w:pPr>
            <w:r>
              <w:rPr>
                <w:color w:val="auto"/>
                <w:szCs w:val="21"/>
                <w:highlight w:val="none"/>
              </w:rPr>
              <w:t>邮政编码</w:t>
            </w:r>
          </w:p>
        </w:tc>
        <w:tc>
          <w:tcPr>
            <w:tcW w:w="1259" w:type="pct"/>
            <w:tcBorders>
              <w:top w:val="single" w:color="auto" w:sz="2" w:space="0"/>
              <w:left w:val="single" w:color="auto" w:sz="2" w:space="0"/>
              <w:bottom w:val="single" w:color="auto" w:sz="2" w:space="0"/>
            </w:tcBorders>
            <w:noWrap w:val="0"/>
            <w:vAlign w:val="center"/>
          </w:tcPr>
          <w:p w14:paraId="23D44931">
            <w:pPr>
              <w:keepNext w:val="0"/>
              <w:keepLines w:val="0"/>
              <w:suppressLineNumbers w:val="0"/>
              <w:spacing w:before="0" w:beforeAutospacing="0" w:after="0" w:afterAutospacing="0" w:line="300" w:lineRule="exact"/>
              <w:ind w:left="0" w:right="0"/>
              <w:jc w:val="center"/>
              <w:rPr>
                <w:color w:val="auto"/>
                <w:spacing w:val="20"/>
                <w:szCs w:val="21"/>
                <w:highlight w:val="none"/>
              </w:rPr>
            </w:pPr>
          </w:p>
        </w:tc>
      </w:tr>
      <w:tr w14:paraId="235A3A1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66F4AE76">
            <w:pPr>
              <w:keepNext w:val="0"/>
              <w:keepLines w:val="0"/>
              <w:suppressLineNumbers w:val="0"/>
              <w:spacing w:before="0" w:beforeAutospacing="0" w:after="0" w:afterAutospacing="0" w:line="300" w:lineRule="exact"/>
              <w:ind w:left="0" w:right="0"/>
              <w:jc w:val="center"/>
              <w:rPr>
                <w:color w:val="auto"/>
                <w:szCs w:val="21"/>
                <w:highlight w:val="none"/>
              </w:rPr>
            </w:pPr>
            <w:r>
              <w:rPr>
                <w:rFonts w:hint="eastAsia"/>
                <w:color w:val="auto"/>
                <w:szCs w:val="21"/>
                <w:highlight w:val="none"/>
              </w:rPr>
              <w:t>电子邮箱</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C189FF2">
            <w:pPr>
              <w:keepNext w:val="0"/>
              <w:keepLines w:val="0"/>
              <w:suppressLineNumbers w:val="0"/>
              <w:spacing w:before="0" w:beforeAutospacing="0" w:after="0" w:afterAutospacing="0" w:line="300" w:lineRule="exact"/>
              <w:ind w:left="0" w:right="0"/>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3CFF0EA">
            <w:pPr>
              <w:keepNext w:val="0"/>
              <w:keepLines w:val="0"/>
              <w:suppressLineNumbers w:val="0"/>
              <w:spacing w:before="0" w:beforeAutospacing="0" w:after="0" w:afterAutospacing="0" w:line="300" w:lineRule="exact"/>
              <w:ind w:left="0" w:right="0"/>
              <w:jc w:val="center"/>
              <w:rPr>
                <w:color w:val="auto"/>
                <w:szCs w:val="21"/>
                <w:highlight w:val="none"/>
              </w:rPr>
            </w:pPr>
            <w:r>
              <w:rPr>
                <w:rFonts w:hint="eastAsia"/>
                <w:color w:val="auto"/>
                <w:szCs w:val="21"/>
                <w:highlight w:val="none"/>
              </w:rPr>
              <w:t>电子邮箱</w:t>
            </w:r>
          </w:p>
        </w:tc>
        <w:tc>
          <w:tcPr>
            <w:tcW w:w="1259" w:type="pct"/>
            <w:tcBorders>
              <w:top w:val="single" w:color="auto" w:sz="2" w:space="0"/>
              <w:left w:val="single" w:color="auto" w:sz="2" w:space="0"/>
              <w:bottom w:val="single" w:color="auto" w:sz="2" w:space="0"/>
            </w:tcBorders>
            <w:noWrap w:val="0"/>
            <w:vAlign w:val="center"/>
          </w:tcPr>
          <w:p w14:paraId="2B17B6B0">
            <w:pPr>
              <w:keepNext w:val="0"/>
              <w:keepLines w:val="0"/>
              <w:suppressLineNumbers w:val="0"/>
              <w:spacing w:before="0" w:beforeAutospacing="0" w:after="0" w:afterAutospacing="0" w:line="300" w:lineRule="exact"/>
              <w:ind w:left="0" w:right="0"/>
              <w:jc w:val="center"/>
              <w:rPr>
                <w:color w:val="auto"/>
                <w:spacing w:val="20"/>
                <w:szCs w:val="21"/>
                <w:highlight w:val="none"/>
              </w:rPr>
            </w:pPr>
          </w:p>
        </w:tc>
      </w:tr>
      <w:tr w14:paraId="3DF1EFE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77E58B40">
            <w:pPr>
              <w:keepNext w:val="0"/>
              <w:keepLines w:val="0"/>
              <w:suppressLineNumbers w:val="0"/>
              <w:spacing w:before="0" w:beforeAutospacing="0" w:after="0" w:afterAutospacing="0" w:line="300" w:lineRule="exact"/>
              <w:ind w:left="0" w:right="0"/>
              <w:jc w:val="center"/>
              <w:rPr>
                <w:color w:val="auto"/>
                <w:szCs w:val="21"/>
                <w:highlight w:val="none"/>
              </w:rPr>
            </w:pPr>
            <w:r>
              <w:rPr>
                <w:rFonts w:hint="eastAsia"/>
                <w:color w:val="auto"/>
                <w:szCs w:val="21"/>
                <w:highlight w:val="none"/>
              </w:rPr>
              <w:t>统一社会信用代码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C16A0F6">
            <w:pPr>
              <w:keepNext w:val="0"/>
              <w:keepLines w:val="0"/>
              <w:suppressLineNumbers w:val="0"/>
              <w:spacing w:before="0" w:beforeAutospacing="0" w:after="0" w:afterAutospacing="0" w:line="300" w:lineRule="exact"/>
              <w:ind w:left="0" w:right="0"/>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67A0D60">
            <w:pPr>
              <w:keepNext w:val="0"/>
              <w:keepLines w:val="0"/>
              <w:suppressLineNumbers w:val="0"/>
              <w:spacing w:before="0" w:beforeAutospacing="0" w:after="0" w:afterAutospacing="0" w:line="300" w:lineRule="exact"/>
              <w:ind w:left="0" w:right="0"/>
              <w:jc w:val="center"/>
              <w:rPr>
                <w:color w:val="auto"/>
                <w:szCs w:val="21"/>
                <w:highlight w:val="none"/>
              </w:rPr>
            </w:pPr>
            <w:r>
              <w:rPr>
                <w:rFonts w:hint="eastAsia"/>
                <w:color w:val="auto"/>
                <w:szCs w:val="21"/>
                <w:highlight w:val="none"/>
              </w:rPr>
              <w:t>统一社会信用代码</w:t>
            </w:r>
          </w:p>
        </w:tc>
        <w:tc>
          <w:tcPr>
            <w:tcW w:w="1259" w:type="pct"/>
            <w:tcBorders>
              <w:top w:val="single" w:color="auto" w:sz="2" w:space="0"/>
              <w:left w:val="single" w:color="auto" w:sz="2" w:space="0"/>
              <w:bottom w:val="single" w:color="auto" w:sz="2" w:space="0"/>
            </w:tcBorders>
            <w:noWrap w:val="0"/>
            <w:vAlign w:val="center"/>
          </w:tcPr>
          <w:p w14:paraId="76140879">
            <w:pPr>
              <w:keepNext w:val="0"/>
              <w:keepLines w:val="0"/>
              <w:suppressLineNumbers w:val="0"/>
              <w:spacing w:before="0" w:beforeAutospacing="0" w:after="0" w:afterAutospacing="0" w:line="300" w:lineRule="exact"/>
              <w:ind w:left="0" w:right="0"/>
              <w:jc w:val="center"/>
              <w:rPr>
                <w:color w:val="auto"/>
                <w:spacing w:val="20"/>
                <w:szCs w:val="21"/>
                <w:highlight w:val="none"/>
              </w:rPr>
            </w:pPr>
          </w:p>
        </w:tc>
      </w:tr>
      <w:tr w14:paraId="6BCF8B1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5ACF30F4">
            <w:pPr>
              <w:keepNext w:val="0"/>
              <w:keepLines w:val="0"/>
              <w:suppressLineNumbers w:val="0"/>
              <w:spacing w:before="0" w:beforeAutospacing="0" w:after="0" w:afterAutospacing="0" w:line="300" w:lineRule="exact"/>
              <w:ind w:left="0" w:right="0"/>
              <w:jc w:val="center"/>
              <w:rPr>
                <w:color w:val="auto"/>
                <w:szCs w:val="21"/>
                <w:highlight w:val="none"/>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4B0B991">
            <w:pPr>
              <w:keepNext w:val="0"/>
              <w:keepLines w:val="0"/>
              <w:suppressLineNumbers w:val="0"/>
              <w:spacing w:before="0" w:beforeAutospacing="0" w:after="0" w:afterAutospacing="0" w:line="300" w:lineRule="exact"/>
              <w:ind w:left="0" w:right="0"/>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B13DCBF">
            <w:pPr>
              <w:keepNext w:val="0"/>
              <w:keepLines w:val="0"/>
              <w:suppressLineNumbers w:val="0"/>
              <w:spacing w:before="0" w:beforeAutospacing="0" w:after="0" w:afterAutospacing="0" w:line="300" w:lineRule="exact"/>
              <w:ind w:left="0" w:right="0"/>
              <w:jc w:val="center"/>
              <w:rPr>
                <w:color w:val="auto"/>
                <w:szCs w:val="21"/>
                <w:highlight w:val="none"/>
              </w:rPr>
            </w:pPr>
            <w:r>
              <w:rPr>
                <w:color w:val="auto"/>
                <w:szCs w:val="21"/>
                <w:highlight w:val="none"/>
              </w:rPr>
              <w:t>开户名称</w:t>
            </w:r>
          </w:p>
        </w:tc>
        <w:tc>
          <w:tcPr>
            <w:tcW w:w="1259" w:type="pct"/>
            <w:tcBorders>
              <w:top w:val="single" w:color="auto" w:sz="2" w:space="0"/>
              <w:left w:val="single" w:color="auto" w:sz="2" w:space="0"/>
              <w:bottom w:val="single" w:color="auto" w:sz="2" w:space="0"/>
            </w:tcBorders>
            <w:noWrap w:val="0"/>
            <w:vAlign w:val="center"/>
          </w:tcPr>
          <w:p w14:paraId="1148A1F0">
            <w:pPr>
              <w:keepNext w:val="0"/>
              <w:keepLines w:val="0"/>
              <w:suppressLineNumbers w:val="0"/>
              <w:spacing w:before="0" w:beforeAutospacing="0" w:after="0" w:afterAutospacing="0" w:line="300" w:lineRule="exact"/>
              <w:ind w:left="0" w:right="0"/>
              <w:jc w:val="center"/>
              <w:rPr>
                <w:color w:val="auto"/>
                <w:spacing w:val="20"/>
                <w:szCs w:val="21"/>
                <w:highlight w:val="none"/>
              </w:rPr>
            </w:pPr>
          </w:p>
        </w:tc>
      </w:tr>
      <w:tr w14:paraId="486C317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41C417DE">
            <w:pPr>
              <w:keepNext w:val="0"/>
              <w:keepLines w:val="0"/>
              <w:suppressLineNumbers w:val="0"/>
              <w:spacing w:before="0" w:beforeAutospacing="0" w:after="0" w:afterAutospacing="0" w:line="300" w:lineRule="exact"/>
              <w:ind w:left="0" w:right="0"/>
              <w:jc w:val="center"/>
              <w:rPr>
                <w:color w:val="auto"/>
                <w:szCs w:val="21"/>
                <w:highlight w:val="none"/>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04C35103">
            <w:pPr>
              <w:keepNext w:val="0"/>
              <w:keepLines w:val="0"/>
              <w:suppressLineNumbers w:val="0"/>
              <w:spacing w:before="0" w:beforeAutospacing="0" w:after="0" w:afterAutospacing="0" w:line="300" w:lineRule="exact"/>
              <w:ind w:left="0" w:right="0"/>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A9FA97A">
            <w:pPr>
              <w:keepNext w:val="0"/>
              <w:keepLines w:val="0"/>
              <w:suppressLineNumbers w:val="0"/>
              <w:spacing w:before="0" w:beforeAutospacing="0" w:after="0" w:afterAutospacing="0" w:line="300" w:lineRule="exact"/>
              <w:ind w:left="0" w:right="0"/>
              <w:jc w:val="center"/>
              <w:rPr>
                <w:color w:val="auto"/>
                <w:szCs w:val="21"/>
                <w:highlight w:val="none"/>
              </w:rPr>
            </w:pPr>
            <w:r>
              <w:rPr>
                <w:color w:val="auto"/>
                <w:szCs w:val="21"/>
                <w:highlight w:val="none"/>
              </w:rPr>
              <w:t>开户银行</w:t>
            </w:r>
          </w:p>
        </w:tc>
        <w:tc>
          <w:tcPr>
            <w:tcW w:w="1259" w:type="pct"/>
            <w:tcBorders>
              <w:top w:val="single" w:color="auto" w:sz="2" w:space="0"/>
              <w:left w:val="single" w:color="auto" w:sz="2" w:space="0"/>
              <w:bottom w:val="single" w:color="auto" w:sz="2" w:space="0"/>
            </w:tcBorders>
            <w:noWrap w:val="0"/>
            <w:vAlign w:val="center"/>
          </w:tcPr>
          <w:p w14:paraId="1F924660">
            <w:pPr>
              <w:keepNext w:val="0"/>
              <w:keepLines w:val="0"/>
              <w:suppressLineNumbers w:val="0"/>
              <w:spacing w:before="0" w:beforeAutospacing="0" w:after="0" w:afterAutospacing="0" w:line="300" w:lineRule="exact"/>
              <w:ind w:left="0" w:right="0"/>
              <w:jc w:val="center"/>
              <w:rPr>
                <w:color w:val="auto"/>
                <w:spacing w:val="20"/>
                <w:szCs w:val="21"/>
                <w:highlight w:val="none"/>
              </w:rPr>
            </w:pPr>
          </w:p>
        </w:tc>
      </w:tr>
      <w:tr w14:paraId="314624D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15EA379A">
            <w:pPr>
              <w:keepNext w:val="0"/>
              <w:keepLines w:val="0"/>
              <w:suppressLineNumbers w:val="0"/>
              <w:spacing w:before="0" w:beforeAutospacing="0" w:after="0" w:afterAutospacing="0" w:line="300" w:lineRule="exact"/>
              <w:ind w:left="0" w:right="0"/>
              <w:jc w:val="center"/>
              <w:rPr>
                <w:color w:val="auto"/>
                <w:szCs w:val="21"/>
                <w:highlight w:val="none"/>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48353315">
            <w:pPr>
              <w:keepNext w:val="0"/>
              <w:keepLines w:val="0"/>
              <w:suppressLineNumbers w:val="0"/>
              <w:spacing w:before="0" w:beforeAutospacing="0" w:after="0" w:afterAutospacing="0" w:line="300" w:lineRule="exact"/>
              <w:ind w:left="0" w:right="0"/>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B150A46">
            <w:pPr>
              <w:keepNext w:val="0"/>
              <w:keepLines w:val="0"/>
              <w:suppressLineNumbers w:val="0"/>
              <w:spacing w:before="0" w:beforeAutospacing="0" w:after="0" w:afterAutospacing="0" w:line="300" w:lineRule="exact"/>
              <w:ind w:left="0" w:right="0"/>
              <w:jc w:val="center"/>
              <w:rPr>
                <w:color w:val="auto"/>
                <w:szCs w:val="21"/>
                <w:highlight w:val="none"/>
              </w:rPr>
            </w:pPr>
            <w:r>
              <w:rPr>
                <w:color w:val="auto"/>
                <w:szCs w:val="21"/>
                <w:highlight w:val="none"/>
              </w:rPr>
              <w:t>银行账号</w:t>
            </w:r>
          </w:p>
        </w:tc>
        <w:tc>
          <w:tcPr>
            <w:tcW w:w="1259" w:type="pct"/>
            <w:tcBorders>
              <w:top w:val="single" w:color="auto" w:sz="2" w:space="0"/>
              <w:left w:val="single" w:color="auto" w:sz="2" w:space="0"/>
              <w:bottom w:val="single" w:color="auto" w:sz="2" w:space="0"/>
            </w:tcBorders>
            <w:noWrap w:val="0"/>
            <w:vAlign w:val="center"/>
          </w:tcPr>
          <w:p w14:paraId="2DF28B0D">
            <w:pPr>
              <w:keepNext w:val="0"/>
              <w:keepLines w:val="0"/>
              <w:suppressLineNumbers w:val="0"/>
              <w:spacing w:before="0" w:beforeAutospacing="0" w:after="0" w:afterAutospacing="0" w:line="300" w:lineRule="exact"/>
              <w:ind w:left="0" w:right="0"/>
              <w:jc w:val="center"/>
              <w:rPr>
                <w:color w:val="auto"/>
                <w:spacing w:val="20"/>
                <w:szCs w:val="21"/>
                <w:highlight w:val="none"/>
              </w:rPr>
            </w:pPr>
          </w:p>
        </w:tc>
      </w:tr>
      <w:tr w14:paraId="784F521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noWrap w:val="0"/>
            <w:vAlign w:val="center"/>
          </w:tcPr>
          <w:p w14:paraId="7B6FCFF7">
            <w:pPr>
              <w:pStyle w:val="16"/>
              <w:keepNext w:val="0"/>
              <w:keepLines w:val="0"/>
              <w:suppressLineNumbers w:val="0"/>
              <w:spacing w:before="156" w:beforeAutospacing="0" w:after="0" w:afterAutospacing="0" w:line="360" w:lineRule="auto"/>
              <w:ind w:left="0" w:right="0"/>
              <w:jc w:val="left"/>
              <w:rPr>
                <w:color w:val="auto"/>
                <w:spacing w:val="20"/>
                <w:szCs w:val="21"/>
                <w:highlight w:val="none"/>
              </w:rPr>
            </w:pPr>
            <w:r>
              <w:rPr>
                <w:rFonts w:hint="eastAsia" w:ascii="宋体" w:hAnsi="宋体"/>
                <w:color w:val="auto"/>
                <w:szCs w:val="21"/>
                <w:highlight w:val="none"/>
              </w:rPr>
              <w:t>注：涉及联合体或其他合同主体的信息应按上表格式加列。</w:t>
            </w:r>
          </w:p>
        </w:tc>
      </w:tr>
    </w:tbl>
    <w:p w14:paraId="6D172C66">
      <w:pPr>
        <w:pStyle w:val="3"/>
        <w:spacing w:before="156"/>
        <w:rPr>
          <w:rFonts w:ascii="黑体" w:hAnsi="黑体" w:eastAsia="黑体"/>
          <w:color w:val="auto"/>
          <w:sz w:val="28"/>
          <w:szCs w:val="28"/>
          <w:highlight w:val="none"/>
        </w:rPr>
      </w:pPr>
      <w:r>
        <w:rPr>
          <w:rFonts w:ascii="宋体" w:hAnsi="宋体"/>
          <w:color w:val="auto"/>
          <w:sz w:val="21"/>
          <w:szCs w:val="21"/>
          <w:highlight w:val="none"/>
          <w:u w:val="single"/>
        </w:rPr>
        <w:br w:type="page" w:clear="all"/>
      </w:r>
      <w:r>
        <w:rPr>
          <w:rFonts w:hint="eastAsia" w:ascii="黑体" w:hAnsi="黑体" w:eastAsia="黑体"/>
          <w:b w:val="0"/>
          <w:bCs w:val="0"/>
          <w:color w:val="auto"/>
          <w:sz w:val="28"/>
          <w:szCs w:val="28"/>
          <w:highlight w:val="none"/>
        </w:rPr>
        <w:t>第二节 政府采购合同通用条款</w:t>
      </w:r>
    </w:p>
    <w:p w14:paraId="2D0B9CD1">
      <w:pPr>
        <w:tabs>
          <w:tab w:val="left" w:pos="8820"/>
          <w:tab w:val="left" w:pos="9345"/>
          <w:tab w:val="left" w:pos="9765"/>
        </w:tabs>
        <w:spacing w:line="400" w:lineRule="exact"/>
        <w:jc w:val="left"/>
        <w:rPr>
          <w:rFonts w:ascii="宋体" w:hAnsi="宋体"/>
          <w:b/>
          <w:bCs/>
          <w:color w:val="auto"/>
          <w:sz w:val="24"/>
          <w:highlight w:val="none"/>
        </w:rPr>
      </w:pPr>
      <w:r>
        <w:rPr>
          <w:rFonts w:hint="eastAsia" w:ascii="宋体" w:hAnsi="宋体"/>
          <w:b/>
          <w:color w:val="auto"/>
          <w:sz w:val="24"/>
          <w:highlight w:val="none"/>
        </w:rPr>
        <w:t xml:space="preserve">1. </w:t>
      </w:r>
      <w:r>
        <w:rPr>
          <w:rFonts w:hint="eastAsia" w:ascii="宋体" w:hAnsi="宋体"/>
          <w:b/>
          <w:bCs/>
          <w:color w:val="auto"/>
          <w:sz w:val="24"/>
          <w:highlight w:val="none"/>
        </w:rPr>
        <w:t>定义</w:t>
      </w:r>
    </w:p>
    <w:p w14:paraId="2FD8F890">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1.1合同当事人</w:t>
      </w:r>
    </w:p>
    <w:p w14:paraId="0B1EAB2C">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（1）采购人（以下称甲方）是指使用财政性资金，通过政府采购方式向供应商购买货物及其相关服务的国家机关、事业单位、团体组织。</w:t>
      </w:r>
    </w:p>
    <w:p w14:paraId="776C4E31">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（2）供应商（以下称乙方）是指参加政府采购活动并且中标（成交），向采购人提供合同约定的货物及其相关服务的法人、非法人组织或者自然人。</w:t>
      </w:r>
    </w:p>
    <w:p w14:paraId="19D5145D">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（3）其他合同主体是指除采购人和供应商以外，</w:t>
      </w:r>
      <w:r>
        <w:rPr>
          <w:rFonts w:hint="eastAsia" w:ascii="宋体" w:hAnsi="宋体" w:cs="宋体"/>
          <w:bCs/>
          <w:color w:val="auto"/>
          <w:szCs w:val="21"/>
          <w:highlight w:val="none"/>
        </w:rPr>
        <w:t>依法参与合同缔结或履行，享有权利、承担义务的合同当事人</w:t>
      </w:r>
      <w:r>
        <w:rPr>
          <w:rFonts w:hint="eastAsia" w:ascii="宋体" w:hAnsi="宋体"/>
          <w:color w:val="auto"/>
          <w:szCs w:val="21"/>
          <w:highlight w:val="none"/>
        </w:rPr>
        <w:t>。</w:t>
      </w:r>
    </w:p>
    <w:p w14:paraId="6DCC19D3">
      <w:pPr>
        <w:tabs>
          <w:tab w:val="left" w:pos="570"/>
          <w:tab w:val="left" w:pos="9240"/>
          <w:tab w:val="left" w:pos="9555"/>
        </w:tabs>
        <w:spacing w:line="400" w:lineRule="exact"/>
        <w:ind w:firstLine="420"/>
        <w:jc w:val="left"/>
        <w:rPr>
          <w:rFonts w:ascii="宋体" w:hAnsi="宋体"/>
          <w:color w:val="auto"/>
          <w:szCs w:val="21"/>
          <w:highlight w:val="none"/>
        </w:rPr>
      </w:pPr>
      <w:r>
        <w:rPr>
          <w:rFonts w:hint="eastAsia" w:ascii="宋体" w:hAnsi="宋体"/>
          <w:color w:val="auto"/>
          <w:szCs w:val="21"/>
          <w:highlight w:val="none"/>
        </w:rPr>
        <w:t>1.2本合同下列术语应解释为：</w:t>
      </w:r>
    </w:p>
    <w:p w14:paraId="00703183">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（1）“合同”系指</w:t>
      </w:r>
      <w:r>
        <w:rPr>
          <w:rFonts w:hint="eastAsia" w:ascii="宋体" w:hAnsi="宋体" w:cs="宋体"/>
          <w:bCs/>
          <w:color w:val="auto"/>
          <w:szCs w:val="21"/>
          <w:highlight w:val="none"/>
        </w:rPr>
        <w:t>合同当事人意思表示达成一致的任何协议，包括签署的</w:t>
      </w:r>
      <w:r>
        <w:rPr>
          <w:rFonts w:hint="eastAsia" w:ascii="宋体" w:hAnsi="宋体"/>
          <w:color w:val="auto"/>
          <w:szCs w:val="21"/>
          <w:highlight w:val="none"/>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highlight w:val="none"/>
        </w:rPr>
        <w:t>国家法律、行政法规和规章制度规定或合同约定的作为合同组成部分的其他文件</w:t>
      </w:r>
      <w:r>
        <w:rPr>
          <w:rFonts w:hint="eastAsia" w:ascii="宋体" w:hAnsi="宋体"/>
          <w:color w:val="auto"/>
          <w:szCs w:val="21"/>
          <w:highlight w:val="none"/>
        </w:rPr>
        <w:t>。</w:t>
      </w:r>
    </w:p>
    <w:p w14:paraId="6C709F55">
      <w:pPr>
        <w:tabs>
          <w:tab w:val="left" w:pos="570"/>
          <w:tab w:val="left" w:pos="9240"/>
          <w:tab w:val="left" w:pos="9555"/>
        </w:tabs>
        <w:spacing w:line="400" w:lineRule="exact"/>
        <w:ind w:firstLine="420"/>
        <w:jc w:val="left"/>
        <w:rPr>
          <w:rFonts w:ascii="宋体" w:hAnsi="宋体"/>
          <w:color w:val="auto"/>
          <w:szCs w:val="21"/>
          <w:highlight w:val="none"/>
        </w:rPr>
      </w:pPr>
      <w:r>
        <w:rPr>
          <w:rFonts w:hint="eastAsia" w:ascii="宋体" w:hAnsi="宋体"/>
          <w:color w:val="auto"/>
          <w:szCs w:val="21"/>
          <w:highlight w:val="none"/>
        </w:rPr>
        <w:t>（2）“合同价款”系指根据本合同规定乙方在全面履行合同义务后甲方应支付给乙方的价款。</w:t>
      </w:r>
    </w:p>
    <w:p w14:paraId="6C85E505">
      <w:pPr>
        <w:tabs>
          <w:tab w:val="left" w:pos="570"/>
          <w:tab w:val="left" w:pos="9240"/>
          <w:tab w:val="left" w:pos="9555"/>
        </w:tabs>
        <w:spacing w:line="400" w:lineRule="exact"/>
        <w:ind w:firstLine="420"/>
        <w:jc w:val="left"/>
        <w:rPr>
          <w:rFonts w:ascii="宋体" w:hAnsi="宋体"/>
          <w:color w:val="auto"/>
          <w:szCs w:val="21"/>
          <w:highlight w:val="none"/>
        </w:rPr>
      </w:pPr>
      <w:r>
        <w:rPr>
          <w:rFonts w:hint="eastAsia" w:ascii="宋体" w:hAnsi="宋体"/>
          <w:color w:val="auto"/>
          <w:szCs w:val="21"/>
          <w:highlight w:val="none"/>
        </w:rPr>
        <w:t>（3）“货物”系指乙方根据本合同规定须向甲方提供的各种形态和种类的物品，包括原材料、设备、产品（包括软件）及相关的其备品备件、工具、手册及</w:t>
      </w:r>
      <w:r>
        <w:rPr>
          <w:rFonts w:ascii="宋体" w:hAnsi="宋体"/>
          <w:color w:val="auto"/>
          <w:szCs w:val="21"/>
          <w:highlight w:val="none"/>
          <w:lang w:val="en"/>
        </w:rPr>
        <w:t>其他</w:t>
      </w:r>
      <w:r>
        <w:rPr>
          <w:rFonts w:hint="eastAsia" w:ascii="宋体" w:hAnsi="宋体"/>
          <w:color w:val="auto"/>
          <w:szCs w:val="21"/>
          <w:highlight w:val="none"/>
        </w:rPr>
        <w:t>技术资料和材料等。</w:t>
      </w:r>
    </w:p>
    <w:p w14:paraId="1D29E63B">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（4）“相关服务”系指根据合同规定，乙方应提供的与货物有关的技术、管理和</w:t>
      </w:r>
      <w:r>
        <w:rPr>
          <w:rFonts w:ascii="宋体" w:hAnsi="宋体"/>
          <w:color w:val="auto"/>
          <w:szCs w:val="21"/>
          <w:highlight w:val="none"/>
          <w:lang w:val="en"/>
        </w:rPr>
        <w:t>其他</w:t>
      </w:r>
      <w:r>
        <w:rPr>
          <w:rFonts w:hint="eastAsia" w:ascii="宋体" w:hAnsi="宋体"/>
          <w:color w:val="auto"/>
          <w:szCs w:val="21"/>
          <w:highlight w:val="none"/>
        </w:rPr>
        <w:t>服务，包括但不限于：管理和质量保证、运输、保险、检验、现场准备、安装、集成、调试、培训、维修、废弃处置、技术支持等以及合同中规定乙方应承担的</w:t>
      </w:r>
      <w:r>
        <w:rPr>
          <w:rFonts w:ascii="宋体" w:hAnsi="宋体"/>
          <w:color w:val="auto"/>
          <w:szCs w:val="21"/>
          <w:highlight w:val="none"/>
          <w:lang w:val="en"/>
        </w:rPr>
        <w:t>其他</w:t>
      </w:r>
      <w:r>
        <w:rPr>
          <w:rFonts w:hint="eastAsia" w:ascii="宋体" w:hAnsi="宋体"/>
          <w:color w:val="auto"/>
          <w:szCs w:val="21"/>
          <w:highlight w:val="none"/>
        </w:rPr>
        <w:t>义务。</w:t>
      </w:r>
    </w:p>
    <w:p w14:paraId="26AEC3E7">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（5）“分包”系指中标（成交）供应商按采购文件、投标（响应）文件的规定，根据分包意向协议，将中标（成交）项目中的部分履约内容，分给具有相应资质条件的供应商履行合同的行为。</w:t>
      </w:r>
    </w:p>
    <w:p w14:paraId="31551D2C">
      <w:pPr>
        <w:tabs>
          <w:tab w:val="left" w:pos="570"/>
          <w:tab w:val="left" w:pos="9240"/>
          <w:tab w:val="left" w:pos="9555"/>
        </w:tabs>
        <w:spacing w:line="400" w:lineRule="exact"/>
        <w:ind w:firstLine="420"/>
        <w:jc w:val="left"/>
        <w:rPr>
          <w:rFonts w:ascii="宋体" w:hAnsi="宋体"/>
          <w:color w:val="auto"/>
          <w:szCs w:val="21"/>
          <w:highlight w:val="none"/>
        </w:rPr>
      </w:pPr>
      <w:r>
        <w:rPr>
          <w:rFonts w:hint="eastAsia" w:ascii="宋体" w:hAnsi="宋体"/>
          <w:color w:val="auto"/>
          <w:szCs w:val="21"/>
          <w:highlight w:val="none"/>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highlight w:val="none"/>
        </w:rPr>
        <w:t>政府采购合同专用条款</w:t>
      </w:r>
      <w:r>
        <w:rPr>
          <w:rFonts w:hint="eastAsia" w:ascii="宋体" w:hAnsi="宋体"/>
          <w:color w:val="auto"/>
          <w:szCs w:val="21"/>
          <w:highlight w:val="none"/>
        </w:rPr>
        <w:t>】。</w:t>
      </w:r>
    </w:p>
    <w:p w14:paraId="20D528D4">
      <w:pPr>
        <w:tabs>
          <w:tab w:val="left" w:pos="570"/>
          <w:tab w:val="left" w:pos="9240"/>
          <w:tab w:val="left" w:pos="9555"/>
        </w:tabs>
        <w:spacing w:line="400" w:lineRule="exact"/>
        <w:ind w:firstLine="420"/>
        <w:jc w:val="left"/>
        <w:rPr>
          <w:rFonts w:ascii="宋体" w:hAnsi="宋体"/>
          <w:color w:val="auto"/>
          <w:szCs w:val="21"/>
          <w:highlight w:val="none"/>
        </w:rPr>
      </w:pPr>
      <w:r>
        <w:rPr>
          <w:rFonts w:hint="eastAsia" w:ascii="宋体" w:hAnsi="宋体"/>
          <w:color w:val="auto"/>
          <w:szCs w:val="21"/>
          <w:highlight w:val="none"/>
        </w:rPr>
        <w:t>（7）其他术语解释，见【</w:t>
      </w:r>
      <w:r>
        <w:rPr>
          <w:rFonts w:hint="eastAsia" w:ascii="宋体" w:hAnsi="宋体"/>
          <w:b/>
          <w:bCs/>
          <w:color w:val="auto"/>
          <w:szCs w:val="21"/>
          <w:highlight w:val="none"/>
        </w:rPr>
        <w:t>政府采购合同专用条款</w:t>
      </w:r>
      <w:r>
        <w:rPr>
          <w:rFonts w:hint="eastAsia" w:ascii="宋体" w:hAnsi="宋体"/>
          <w:color w:val="auto"/>
          <w:szCs w:val="21"/>
          <w:highlight w:val="none"/>
        </w:rPr>
        <w:t>】。</w:t>
      </w:r>
    </w:p>
    <w:p w14:paraId="77E1ACF8">
      <w:pPr>
        <w:numPr>
          <w:ilvl w:val="0"/>
          <w:numId w:val="5"/>
        </w:numPr>
        <w:spacing w:line="400" w:lineRule="exact"/>
        <w:jc w:val="left"/>
        <w:rPr>
          <w:rFonts w:ascii="宋体" w:hAnsi="宋体"/>
          <w:b/>
          <w:bCs/>
          <w:color w:val="auto"/>
          <w:sz w:val="24"/>
          <w:highlight w:val="none"/>
        </w:rPr>
      </w:pPr>
      <w:r>
        <w:rPr>
          <w:rFonts w:hint="eastAsia" w:ascii="宋体" w:hAnsi="宋体"/>
          <w:b/>
          <w:color w:val="auto"/>
          <w:sz w:val="24"/>
          <w:highlight w:val="none"/>
        </w:rPr>
        <w:t>合同标的及金额</w:t>
      </w:r>
    </w:p>
    <w:p w14:paraId="0A9C8738">
      <w:pPr>
        <w:spacing w:line="400" w:lineRule="exact"/>
        <w:ind w:firstLine="420"/>
        <w:jc w:val="left"/>
        <w:rPr>
          <w:rFonts w:ascii="宋体" w:hAnsi="宋体"/>
          <w:b/>
          <w:bCs/>
          <w:i/>
          <w:iCs/>
          <w:color w:val="auto"/>
          <w:szCs w:val="21"/>
          <w:highlight w:val="none"/>
        </w:rPr>
      </w:pPr>
      <w:r>
        <w:rPr>
          <w:rFonts w:hint="eastAsia" w:ascii="宋体" w:hAnsi="宋体"/>
          <w:color w:val="auto"/>
          <w:szCs w:val="21"/>
          <w:highlight w:val="none"/>
        </w:rPr>
        <w:t>2.1 合同标的及金额应与中标（成交）结果一致。乙方为履行本合同而发生的所有费用均应包含在合同价款中，甲方不再另行支付</w:t>
      </w:r>
      <w:r>
        <w:rPr>
          <w:rFonts w:ascii="宋体" w:hAnsi="宋体"/>
          <w:color w:val="auto"/>
          <w:szCs w:val="21"/>
          <w:highlight w:val="none"/>
          <w:lang w:val="en"/>
        </w:rPr>
        <w:t>其他</w:t>
      </w:r>
      <w:r>
        <w:rPr>
          <w:rFonts w:hint="eastAsia" w:ascii="宋体" w:hAnsi="宋体"/>
          <w:color w:val="auto"/>
          <w:szCs w:val="21"/>
          <w:highlight w:val="none"/>
        </w:rPr>
        <w:t>任何费用。</w:t>
      </w:r>
    </w:p>
    <w:p w14:paraId="0BD10D64">
      <w:pPr>
        <w:spacing w:line="400" w:lineRule="exact"/>
        <w:jc w:val="left"/>
        <w:rPr>
          <w:rFonts w:ascii="宋体" w:hAnsi="宋体"/>
          <w:b/>
          <w:color w:val="auto"/>
          <w:sz w:val="24"/>
          <w:highlight w:val="none"/>
        </w:rPr>
      </w:pPr>
      <w:r>
        <w:rPr>
          <w:rFonts w:hint="eastAsia" w:ascii="宋体" w:hAnsi="宋体"/>
          <w:b/>
          <w:color w:val="auto"/>
          <w:sz w:val="24"/>
          <w:highlight w:val="none"/>
        </w:rPr>
        <w:t>3. 履行合同的时间、地点和方式</w:t>
      </w:r>
    </w:p>
    <w:p w14:paraId="7AC4A00E">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 xml:space="preserve">3.1 </w:t>
      </w:r>
      <w:r>
        <w:rPr>
          <w:rFonts w:hint="eastAsia" w:ascii="宋体" w:hAnsi="宋体" w:cs="宋体"/>
          <w:color w:val="auto"/>
          <w:szCs w:val="21"/>
          <w:highlight w:val="none"/>
        </w:rPr>
        <w:t>乙方应当在约定的时间、地点，按照约定方式履行合同。</w:t>
      </w:r>
    </w:p>
    <w:p w14:paraId="2BA5B463">
      <w:pPr>
        <w:spacing w:line="400" w:lineRule="exact"/>
        <w:jc w:val="left"/>
        <w:rPr>
          <w:rFonts w:ascii="宋体" w:hAnsi="宋体"/>
          <w:b/>
          <w:bCs/>
          <w:color w:val="auto"/>
          <w:sz w:val="24"/>
          <w:highlight w:val="none"/>
        </w:rPr>
      </w:pPr>
      <w:r>
        <w:rPr>
          <w:rFonts w:hint="eastAsia" w:ascii="宋体" w:hAnsi="宋体"/>
          <w:b/>
          <w:bCs/>
          <w:color w:val="auto"/>
          <w:sz w:val="24"/>
          <w:highlight w:val="none"/>
        </w:rPr>
        <w:t>4. 甲方的权利和义务</w:t>
      </w:r>
    </w:p>
    <w:p w14:paraId="7C62D621">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4.1</w:t>
      </w:r>
      <w:r>
        <w:rPr>
          <w:rFonts w:ascii="宋体" w:hAnsi="宋体"/>
          <w:color w:val="auto"/>
          <w:szCs w:val="21"/>
          <w:highlight w:val="none"/>
        </w:rPr>
        <w:t xml:space="preserve"> 签署合同后，甲方</w:t>
      </w:r>
      <w:r>
        <w:rPr>
          <w:rFonts w:hint="eastAsia" w:ascii="宋体" w:hAnsi="宋体"/>
          <w:color w:val="auto"/>
          <w:szCs w:val="21"/>
          <w:highlight w:val="none"/>
        </w:rPr>
        <w:t>应</w:t>
      </w:r>
      <w:r>
        <w:rPr>
          <w:rFonts w:ascii="宋体" w:hAnsi="宋体"/>
          <w:color w:val="auto"/>
          <w:szCs w:val="21"/>
          <w:highlight w:val="none"/>
        </w:rPr>
        <w:t>确定</w:t>
      </w:r>
      <w:r>
        <w:rPr>
          <w:rFonts w:hint="eastAsia" w:ascii="宋体" w:hAnsi="宋体"/>
          <w:color w:val="auto"/>
          <w:szCs w:val="21"/>
          <w:highlight w:val="none"/>
        </w:rPr>
        <w:t>项目负责人（或项目联系人）</w:t>
      </w:r>
      <w:r>
        <w:rPr>
          <w:rFonts w:ascii="宋体" w:hAnsi="宋体"/>
          <w:color w:val="auto"/>
          <w:szCs w:val="21"/>
          <w:highlight w:val="none"/>
        </w:rPr>
        <w:t>，负责与本合同有关的事务。</w:t>
      </w:r>
      <w:r>
        <w:rPr>
          <w:rFonts w:hint="eastAsia" w:ascii="宋体" w:hAnsi="宋体"/>
          <w:color w:val="auto"/>
          <w:szCs w:val="21"/>
          <w:highlight w:val="none"/>
        </w:rPr>
        <w:t>甲方有权对乙方的履约行为进行检查，并</w:t>
      </w:r>
      <w:r>
        <w:rPr>
          <w:rFonts w:ascii="宋体" w:hAnsi="宋体"/>
          <w:color w:val="auto"/>
          <w:szCs w:val="21"/>
          <w:highlight w:val="none"/>
        </w:rPr>
        <w:t>及时确认乙方提交的事项</w:t>
      </w:r>
      <w:r>
        <w:rPr>
          <w:rFonts w:hint="eastAsia" w:ascii="宋体" w:hAnsi="宋体"/>
          <w:color w:val="auto"/>
          <w:szCs w:val="21"/>
          <w:highlight w:val="none"/>
        </w:rPr>
        <w:t>。甲方应当</w:t>
      </w:r>
      <w:r>
        <w:rPr>
          <w:rFonts w:ascii="宋体" w:hAnsi="宋体"/>
          <w:color w:val="auto"/>
          <w:szCs w:val="21"/>
          <w:highlight w:val="none"/>
        </w:rPr>
        <w:t>配合乙方完成</w:t>
      </w:r>
      <w:r>
        <w:rPr>
          <w:rFonts w:hint="eastAsia" w:ascii="宋体" w:hAnsi="宋体"/>
          <w:color w:val="auto"/>
          <w:szCs w:val="21"/>
          <w:highlight w:val="none"/>
        </w:rPr>
        <w:t>相关项目</w:t>
      </w:r>
      <w:r>
        <w:rPr>
          <w:rFonts w:ascii="宋体" w:hAnsi="宋体"/>
          <w:color w:val="auto"/>
          <w:szCs w:val="21"/>
          <w:highlight w:val="none"/>
        </w:rPr>
        <w:t>实施工作。</w:t>
      </w:r>
    </w:p>
    <w:p w14:paraId="251CA7C3">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 xml:space="preserve">4.2 </w:t>
      </w:r>
      <w:r>
        <w:rPr>
          <w:rFonts w:ascii="宋体" w:hAnsi="宋体"/>
          <w:color w:val="auto"/>
          <w:szCs w:val="21"/>
          <w:highlight w:val="none"/>
        </w:rPr>
        <w:t>甲方有权要求乙方按时提交各阶段有关</w:t>
      </w:r>
      <w:r>
        <w:rPr>
          <w:rFonts w:hint="eastAsia" w:ascii="宋体" w:hAnsi="宋体"/>
          <w:color w:val="auto"/>
          <w:szCs w:val="21"/>
          <w:highlight w:val="none"/>
        </w:rPr>
        <w:t>安排计划</w:t>
      </w:r>
      <w:r>
        <w:rPr>
          <w:rFonts w:ascii="宋体" w:hAnsi="宋体"/>
          <w:color w:val="auto"/>
          <w:szCs w:val="21"/>
          <w:highlight w:val="none"/>
        </w:rPr>
        <w:t>，并有权</w:t>
      </w:r>
      <w:r>
        <w:rPr>
          <w:rFonts w:hint="eastAsia" w:ascii="宋体" w:hAnsi="宋体"/>
          <w:color w:val="auto"/>
          <w:szCs w:val="21"/>
          <w:highlight w:val="none"/>
        </w:rPr>
        <w:t>定期核对乙方提供货物数量、规格、质量等内容。甲方</w:t>
      </w:r>
      <w:r>
        <w:rPr>
          <w:rFonts w:ascii="宋体" w:hAnsi="宋体"/>
          <w:color w:val="auto"/>
          <w:szCs w:val="21"/>
          <w:highlight w:val="none"/>
        </w:rPr>
        <w:t>有权督促乙方工作并要求乙方</w:t>
      </w:r>
      <w:r>
        <w:rPr>
          <w:rFonts w:hint="eastAsia" w:ascii="宋体" w:hAnsi="宋体"/>
          <w:color w:val="auto"/>
          <w:szCs w:val="21"/>
          <w:highlight w:val="none"/>
        </w:rPr>
        <w:t>更</w:t>
      </w:r>
      <w:r>
        <w:rPr>
          <w:rFonts w:ascii="宋体" w:hAnsi="宋体"/>
          <w:color w:val="auto"/>
          <w:szCs w:val="21"/>
          <w:highlight w:val="none"/>
        </w:rPr>
        <w:t>换不符合要求的</w:t>
      </w:r>
      <w:r>
        <w:rPr>
          <w:rFonts w:hint="eastAsia" w:ascii="宋体" w:hAnsi="宋体"/>
          <w:color w:val="auto"/>
          <w:szCs w:val="21"/>
          <w:highlight w:val="none"/>
        </w:rPr>
        <w:t>货物</w:t>
      </w:r>
      <w:r>
        <w:rPr>
          <w:rFonts w:ascii="宋体" w:hAnsi="宋体"/>
          <w:color w:val="auto"/>
          <w:szCs w:val="21"/>
          <w:highlight w:val="none"/>
        </w:rPr>
        <w:t>。</w:t>
      </w:r>
    </w:p>
    <w:p w14:paraId="43842002">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4.</w:t>
      </w:r>
      <w:r>
        <w:rPr>
          <w:rFonts w:ascii="宋体" w:hAnsi="宋体"/>
          <w:color w:val="auto"/>
          <w:szCs w:val="21"/>
          <w:highlight w:val="none"/>
        </w:rPr>
        <w:t>3</w:t>
      </w:r>
      <w:r>
        <w:rPr>
          <w:rFonts w:hint="eastAsia" w:ascii="宋体" w:hAnsi="宋体"/>
          <w:color w:val="auto"/>
          <w:szCs w:val="21"/>
          <w:highlight w:val="none"/>
        </w:rPr>
        <w:t xml:space="preserve"> </w:t>
      </w:r>
      <w:r>
        <w:rPr>
          <w:rFonts w:ascii="宋体" w:hAnsi="宋体"/>
          <w:color w:val="auto"/>
          <w:szCs w:val="21"/>
          <w:highlight w:val="none"/>
        </w:rPr>
        <w:t>甲方</w:t>
      </w:r>
      <w:r>
        <w:rPr>
          <w:rFonts w:hint="eastAsia" w:ascii="宋体" w:hAnsi="宋体"/>
          <w:color w:val="auto"/>
          <w:szCs w:val="21"/>
          <w:highlight w:val="none"/>
        </w:rPr>
        <w:t>有权要求乙方对缺陷部分予以修复，并按合同约定享有货物保修及其他合同约定的权利。</w:t>
      </w:r>
    </w:p>
    <w:p w14:paraId="14BFF60F">
      <w:pPr>
        <w:spacing w:line="400" w:lineRule="exact"/>
        <w:ind w:firstLine="420"/>
        <w:rPr>
          <w:rFonts w:eastAsia="华文楷体"/>
          <w:color w:val="auto"/>
          <w:highlight w:val="none"/>
        </w:rPr>
      </w:pPr>
      <w:r>
        <w:rPr>
          <w:rFonts w:ascii="宋体" w:hAnsi="宋体"/>
          <w:color w:val="auto"/>
          <w:szCs w:val="21"/>
          <w:highlight w:val="none"/>
        </w:rPr>
        <w:t>4.4 甲方应当按照合同约定及时对交付的货物进行验收</w:t>
      </w:r>
      <w:r>
        <w:rPr>
          <w:rFonts w:hint="eastAsia" w:ascii="宋体" w:hAnsi="宋体"/>
          <w:color w:val="auto"/>
          <w:szCs w:val="21"/>
          <w:highlight w:val="none"/>
        </w:rPr>
        <w:t>，</w:t>
      </w:r>
      <w:r>
        <w:rPr>
          <w:rFonts w:hint="eastAsia" w:ascii="宋体" w:hAnsi="宋体" w:cs="宋体"/>
          <w:color w:val="auto"/>
          <w:szCs w:val="21"/>
          <w:highlight w:val="none"/>
        </w:rPr>
        <w:t>未</w:t>
      </w:r>
      <w:r>
        <w:rPr>
          <w:rFonts w:hint="eastAsia" w:ascii="宋体" w:hAnsi="宋体"/>
          <w:color w:val="auto"/>
          <w:szCs w:val="21"/>
          <w:highlight w:val="none"/>
        </w:rPr>
        <w:t>在</w:t>
      </w:r>
      <w:r>
        <w:rPr>
          <w:rFonts w:hint="eastAsia" w:ascii="宋体" w:hAnsi="宋体" w:cs="宋体"/>
          <w:b/>
          <w:bCs/>
          <w:color w:val="auto"/>
          <w:szCs w:val="21"/>
          <w:highlight w:val="none"/>
        </w:rPr>
        <w:t>【政府采购合同专用条款】</w:t>
      </w:r>
      <w:r>
        <w:rPr>
          <w:rFonts w:hint="eastAsia" w:ascii="宋体" w:hAnsi="宋体" w:cs="宋体"/>
          <w:color w:val="auto"/>
          <w:szCs w:val="21"/>
          <w:highlight w:val="none"/>
        </w:rPr>
        <w:t>约定的期限内对乙方履约提出任何异议或者向乙方作出任何说明的，</w:t>
      </w:r>
      <w:r>
        <w:rPr>
          <w:rFonts w:hint="eastAsia" w:ascii="宋体" w:hAnsi="宋体"/>
          <w:color w:val="auto"/>
          <w:szCs w:val="21"/>
          <w:highlight w:val="none"/>
        </w:rPr>
        <w:t>视为验收通过。</w:t>
      </w:r>
    </w:p>
    <w:p w14:paraId="6506D3AB">
      <w:pPr>
        <w:spacing w:line="400" w:lineRule="exact"/>
        <w:ind w:firstLine="420"/>
        <w:jc w:val="left"/>
        <w:rPr>
          <w:rFonts w:ascii="宋体" w:hAnsi="宋体"/>
          <w:color w:val="auto"/>
          <w:szCs w:val="21"/>
          <w:highlight w:val="none"/>
        </w:rPr>
      </w:pPr>
      <w:r>
        <w:rPr>
          <w:rFonts w:ascii="宋体" w:hAnsi="宋体"/>
          <w:color w:val="auto"/>
          <w:szCs w:val="21"/>
          <w:highlight w:val="none"/>
        </w:rPr>
        <w:t>4</w:t>
      </w:r>
      <w:r>
        <w:rPr>
          <w:rFonts w:hint="eastAsia" w:ascii="宋体" w:hAnsi="宋体"/>
          <w:color w:val="auto"/>
          <w:szCs w:val="21"/>
          <w:highlight w:val="none"/>
        </w:rPr>
        <w:t>.</w:t>
      </w:r>
      <w:r>
        <w:rPr>
          <w:rFonts w:ascii="宋体" w:hAnsi="宋体"/>
          <w:color w:val="auto"/>
          <w:szCs w:val="21"/>
          <w:highlight w:val="none"/>
        </w:rPr>
        <w:t xml:space="preserve">5 </w:t>
      </w:r>
      <w:r>
        <w:rPr>
          <w:rFonts w:hint="eastAsia" w:ascii="宋体" w:hAnsi="宋体"/>
          <w:color w:val="auto"/>
          <w:szCs w:val="21"/>
          <w:highlight w:val="none"/>
        </w:rPr>
        <w:t>甲方应当根据合同约定及时向乙方支付合同价款</w:t>
      </w:r>
      <w:r>
        <w:rPr>
          <w:rFonts w:ascii="宋体" w:hAnsi="宋体"/>
          <w:color w:val="auto"/>
          <w:szCs w:val="21"/>
          <w:highlight w:val="none"/>
        </w:rPr>
        <w:t>，不得以内部人员变更、履行内部付款流程等为由，拒绝或迟延支付。</w:t>
      </w:r>
    </w:p>
    <w:p w14:paraId="216308A9">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4.6</w:t>
      </w:r>
      <w:r>
        <w:rPr>
          <w:rFonts w:ascii="宋体" w:hAnsi="宋体"/>
          <w:color w:val="auto"/>
          <w:szCs w:val="21"/>
          <w:highlight w:val="none"/>
        </w:rPr>
        <w:t xml:space="preserve"> </w:t>
      </w:r>
      <w:r>
        <w:rPr>
          <w:rFonts w:hint="eastAsia" w:ascii="宋体" w:hAnsi="宋体"/>
          <w:color w:val="auto"/>
          <w:szCs w:val="21"/>
          <w:highlight w:val="none"/>
        </w:rPr>
        <w:t>国家法律法规规定及</w:t>
      </w:r>
      <w:r>
        <w:rPr>
          <w:rFonts w:hint="eastAsia" w:ascii="宋体" w:hAnsi="宋体" w:cs="宋体"/>
          <w:b/>
          <w:bCs/>
          <w:color w:val="auto"/>
          <w:szCs w:val="21"/>
          <w:highlight w:val="none"/>
        </w:rPr>
        <w:t>【政府采购合同专用条款】</w:t>
      </w:r>
      <w:r>
        <w:rPr>
          <w:rFonts w:hint="eastAsia" w:ascii="宋体" w:hAnsi="宋体"/>
          <w:color w:val="auto"/>
          <w:szCs w:val="21"/>
          <w:highlight w:val="none"/>
        </w:rPr>
        <w:t>约定应由甲方承担的其他义务和责任。</w:t>
      </w:r>
    </w:p>
    <w:p w14:paraId="5E086245">
      <w:pPr>
        <w:spacing w:line="400" w:lineRule="exact"/>
        <w:jc w:val="left"/>
        <w:rPr>
          <w:rFonts w:ascii="宋体" w:hAnsi="宋体"/>
          <w:b/>
          <w:bCs/>
          <w:color w:val="auto"/>
          <w:sz w:val="24"/>
          <w:highlight w:val="none"/>
        </w:rPr>
      </w:pPr>
      <w:r>
        <w:rPr>
          <w:rFonts w:hint="eastAsia" w:ascii="宋体" w:hAnsi="宋体"/>
          <w:b/>
          <w:bCs/>
          <w:color w:val="auto"/>
          <w:sz w:val="24"/>
          <w:highlight w:val="none"/>
        </w:rPr>
        <w:t>5. 乙方的权利和义务</w:t>
      </w:r>
    </w:p>
    <w:p w14:paraId="7DABD476">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 xml:space="preserve">5.1 </w:t>
      </w:r>
      <w:r>
        <w:rPr>
          <w:rFonts w:ascii="宋体" w:hAnsi="宋体"/>
          <w:color w:val="auto"/>
          <w:szCs w:val="21"/>
          <w:highlight w:val="none"/>
        </w:rPr>
        <w:t>签署合同后，乙方</w:t>
      </w:r>
      <w:r>
        <w:rPr>
          <w:rFonts w:hint="eastAsia" w:ascii="宋体" w:hAnsi="宋体"/>
          <w:color w:val="auto"/>
          <w:szCs w:val="21"/>
          <w:highlight w:val="none"/>
        </w:rPr>
        <w:t>应</w:t>
      </w:r>
      <w:r>
        <w:rPr>
          <w:rFonts w:ascii="宋体" w:hAnsi="宋体"/>
          <w:color w:val="auto"/>
          <w:szCs w:val="21"/>
          <w:highlight w:val="none"/>
        </w:rPr>
        <w:t>确定</w:t>
      </w:r>
      <w:r>
        <w:rPr>
          <w:rFonts w:hint="eastAsia" w:ascii="宋体" w:hAnsi="宋体"/>
          <w:color w:val="auto"/>
          <w:szCs w:val="21"/>
          <w:highlight w:val="none"/>
        </w:rPr>
        <w:t>项目负责人（或项目联系人）</w:t>
      </w:r>
      <w:r>
        <w:rPr>
          <w:rFonts w:ascii="宋体" w:hAnsi="宋体"/>
          <w:color w:val="auto"/>
          <w:szCs w:val="21"/>
          <w:highlight w:val="none"/>
        </w:rPr>
        <w:t>，负责与本合同有关的事务。</w:t>
      </w:r>
    </w:p>
    <w:p w14:paraId="1B8194E2">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5.</w:t>
      </w:r>
      <w:r>
        <w:rPr>
          <w:rFonts w:ascii="宋体" w:hAnsi="宋体"/>
          <w:color w:val="auto"/>
          <w:szCs w:val="21"/>
          <w:highlight w:val="none"/>
        </w:rPr>
        <w:t>2 乙方应按照合同要求</w:t>
      </w:r>
      <w:r>
        <w:rPr>
          <w:rFonts w:hint="eastAsia" w:ascii="宋体" w:hAnsi="宋体"/>
          <w:color w:val="auto"/>
          <w:szCs w:val="21"/>
          <w:highlight w:val="none"/>
        </w:rPr>
        <w:t>履约</w:t>
      </w:r>
      <w:r>
        <w:rPr>
          <w:rFonts w:ascii="宋体" w:hAnsi="宋体"/>
          <w:color w:val="auto"/>
          <w:szCs w:val="21"/>
          <w:highlight w:val="none"/>
        </w:rPr>
        <w:t>，充分合理安排，确保</w:t>
      </w:r>
      <w:r>
        <w:rPr>
          <w:rFonts w:hint="eastAsia" w:ascii="宋体" w:hAnsi="宋体"/>
          <w:color w:val="auto"/>
          <w:szCs w:val="21"/>
          <w:highlight w:val="none"/>
        </w:rPr>
        <w:t>提供的货物及相关服务符合合同有关</w:t>
      </w:r>
      <w:r>
        <w:rPr>
          <w:rFonts w:ascii="宋体" w:hAnsi="宋体"/>
          <w:color w:val="auto"/>
          <w:szCs w:val="21"/>
          <w:highlight w:val="none"/>
        </w:rPr>
        <w:t>要求</w:t>
      </w:r>
      <w:r>
        <w:rPr>
          <w:rFonts w:hint="eastAsia" w:ascii="宋体" w:hAnsi="宋体"/>
          <w:color w:val="auto"/>
          <w:szCs w:val="21"/>
          <w:highlight w:val="none"/>
        </w:rPr>
        <w:t>。接受项目行业管理部门及政府有关部门的指导，配合甲方的履约检查及验收，并</w:t>
      </w:r>
      <w:r>
        <w:rPr>
          <w:rFonts w:ascii="宋体" w:hAnsi="宋体"/>
          <w:color w:val="auto"/>
          <w:szCs w:val="21"/>
          <w:highlight w:val="none"/>
        </w:rPr>
        <w:t>负责项目实施过程中的所有协调工作。</w:t>
      </w:r>
    </w:p>
    <w:p w14:paraId="56687E9A">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5.</w:t>
      </w:r>
      <w:r>
        <w:rPr>
          <w:rFonts w:ascii="宋体" w:hAnsi="宋体"/>
          <w:color w:val="auto"/>
          <w:szCs w:val="21"/>
          <w:highlight w:val="none"/>
        </w:rPr>
        <w:t>3</w:t>
      </w:r>
      <w:r>
        <w:rPr>
          <w:rFonts w:hint="eastAsia" w:ascii="宋体" w:hAnsi="宋体"/>
          <w:color w:val="auto"/>
          <w:szCs w:val="21"/>
          <w:highlight w:val="none"/>
        </w:rPr>
        <w:t>乙方有权根据合同约定向甲方收取合同价款。</w:t>
      </w:r>
    </w:p>
    <w:p w14:paraId="0CE98FD0">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5.</w:t>
      </w:r>
      <w:r>
        <w:rPr>
          <w:rFonts w:ascii="宋体" w:hAnsi="宋体"/>
          <w:color w:val="auto"/>
          <w:szCs w:val="21"/>
          <w:highlight w:val="none"/>
        </w:rPr>
        <w:t>4</w:t>
      </w:r>
      <w:r>
        <w:rPr>
          <w:rFonts w:hint="eastAsia" w:ascii="宋体" w:hAnsi="宋体"/>
          <w:color w:val="auto"/>
          <w:szCs w:val="21"/>
          <w:highlight w:val="none"/>
        </w:rPr>
        <w:t>国家法律法规规定及</w:t>
      </w:r>
      <w:r>
        <w:rPr>
          <w:rFonts w:hint="eastAsia" w:ascii="宋体" w:hAnsi="宋体"/>
          <w:b/>
          <w:color w:val="auto"/>
          <w:szCs w:val="21"/>
          <w:highlight w:val="none"/>
        </w:rPr>
        <w:t>【政府采购合同专用条款】</w:t>
      </w:r>
      <w:r>
        <w:rPr>
          <w:rFonts w:hint="eastAsia" w:ascii="宋体" w:hAnsi="宋体"/>
          <w:color w:val="auto"/>
          <w:szCs w:val="21"/>
          <w:highlight w:val="none"/>
        </w:rPr>
        <w:t>约定应由乙方承担的其他义务和责任。</w:t>
      </w:r>
    </w:p>
    <w:p w14:paraId="5329E99F">
      <w:pPr>
        <w:numPr>
          <w:ilvl w:val="0"/>
          <w:numId w:val="6"/>
        </w:numPr>
        <w:spacing w:line="400" w:lineRule="exact"/>
        <w:jc w:val="left"/>
        <w:rPr>
          <w:rFonts w:ascii="宋体" w:hAnsi="宋体"/>
          <w:b/>
          <w:bCs/>
          <w:color w:val="auto"/>
          <w:sz w:val="24"/>
          <w:highlight w:val="none"/>
        </w:rPr>
      </w:pPr>
      <w:r>
        <w:rPr>
          <w:rFonts w:hint="eastAsia" w:ascii="宋体" w:hAnsi="宋体"/>
          <w:b/>
          <w:bCs/>
          <w:color w:val="auto"/>
          <w:sz w:val="24"/>
          <w:highlight w:val="none"/>
        </w:rPr>
        <w:t>合同履行</w:t>
      </w:r>
    </w:p>
    <w:p w14:paraId="364A2424">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6.1 甲乙双方应当按照</w:t>
      </w:r>
      <w:r>
        <w:rPr>
          <w:rFonts w:hint="eastAsia" w:ascii="宋体" w:hAnsi="宋体" w:cs="宋体"/>
          <w:b/>
          <w:bCs/>
          <w:color w:val="auto"/>
          <w:szCs w:val="21"/>
          <w:highlight w:val="none"/>
        </w:rPr>
        <w:t>【政府采购合同专用条款】</w:t>
      </w:r>
      <w:r>
        <w:rPr>
          <w:rFonts w:hint="eastAsia" w:ascii="宋体" w:hAnsi="宋体"/>
          <w:color w:val="auto"/>
          <w:szCs w:val="21"/>
          <w:highlight w:val="none"/>
        </w:rPr>
        <w:t>约定顺序履行合同义务；如果没有先后顺序的，应当同时履行。</w:t>
      </w:r>
    </w:p>
    <w:p w14:paraId="382846C2">
      <w:pPr>
        <w:spacing w:line="400" w:lineRule="exact"/>
        <w:ind w:firstLine="420"/>
        <w:jc w:val="left"/>
        <w:rPr>
          <w:color w:val="auto"/>
          <w:highlight w:val="none"/>
        </w:rPr>
      </w:pPr>
      <w:r>
        <w:rPr>
          <w:rFonts w:hint="eastAsia" w:ascii="宋体" w:hAnsi="宋体"/>
          <w:color w:val="auto"/>
          <w:szCs w:val="21"/>
          <w:highlight w:val="none"/>
        </w:rPr>
        <w:t>6.2 甲乙双方按照合同约定顺序履行合同义务时，应当先履行一方未履行的，后履行一方有权拒绝其履行请求。先履行一方履行不符合约定的，后履行一方有权拒绝其相应的履行请求。</w:t>
      </w:r>
    </w:p>
    <w:p w14:paraId="795D525F">
      <w:pPr>
        <w:spacing w:line="400" w:lineRule="exact"/>
        <w:jc w:val="left"/>
        <w:rPr>
          <w:rFonts w:ascii="宋体" w:hAnsi="宋体"/>
          <w:b/>
          <w:bCs/>
          <w:color w:val="auto"/>
          <w:sz w:val="24"/>
          <w:highlight w:val="none"/>
        </w:rPr>
      </w:pPr>
      <w:r>
        <w:rPr>
          <w:rFonts w:hint="eastAsia" w:ascii="宋体" w:hAnsi="宋体"/>
          <w:b/>
          <w:bCs/>
          <w:color w:val="auto"/>
          <w:sz w:val="24"/>
          <w:highlight w:val="none"/>
        </w:rPr>
        <w:t>7. 货物包装、运输、保险和交付要求</w:t>
      </w:r>
    </w:p>
    <w:p w14:paraId="7F5EA266">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7.1 本合同</w:t>
      </w:r>
      <w:r>
        <w:rPr>
          <w:rFonts w:hint="eastAsia" w:ascii="宋体" w:hAnsi="宋体"/>
          <w:bCs/>
          <w:color w:val="auto"/>
          <w:szCs w:val="21"/>
          <w:highlight w:val="none"/>
        </w:rPr>
        <w:t>涉及商品包装、快递包装的，</w:t>
      </w:r>
      <w:r>
        <w:rPr>
          <w:rFonts w:hint="eastAsia" w:ascii="宋体" w:hAnsi="宋体"/>
          <w:color w:val="auto"/>
          <w:szCs w:val="21"/>
          <w:highlight w:val="none"/>
        </w:rPr>
        <w:t>除</w:t>
      </w:r>
      <w:r>
        <w:rPr>
          <w:rFonts w:hint="eastAsia" w:ascii="宋体" w:hAnsi="宋体"/>
          <w:b/>
          <w:color w:val="auto"/>
          <w:szCs w:val="21"/>
          <w:highlight w:val="none"/>
        </w:rPr>
        <w:t>【政府采购合同专用条款】</w:t>
      </w:r>
      <w:r>
        <w:rPr>
          <w:rFonts w:hint="eastAsia" w:ascii="宋体" w:hAnsi="宋体"/>
          <w:bCs/>
          <w:color w:val="auto"/>
          <w:szCs w:val="21"/>
          <w:highlight w:val="none"/>
        </w:rPr>
        <w:t>另有约定外，</w:t>
      </w:r>
      <w:r>
        <w:rPr>
          <w:rFonts w:hint="eastAsia" w:ascii="宋体" w:hAnsi="宋体"/>
          <w:color w:val="auto"/>
          <w:szCs w:val="21"/>
          <w:highlight w:val="none"/>
        </w:rPr>
        <w:t>包装应适应远距离运输、防潮、防震、防锈和防野蛮装卸等要求，确保货物安全无损地运抵</w:t>
      </w:r>
      <w:r>
        <w:rPr>
          <w:rFonts w:hint="eastAsia" w:ascii="宋体" w:hAnsi="宋体"/>
          <w:b/>
          <w:color w:val="auto"/>
          <w:szCs w:val="21"/>
          <w:highlight w:val="none"/>
        </w:rPr>
        <w:t>【政府采购合同专用条款】</w:t>
      </w:r>
      <w:r>
        <w:rPr>
          <w:rFonts w:hint="eastAsia" w:ascii="宋体" w:hAnsi="宋体"/>
          <w:bCs/>
          <w:color w:val="auto"/>
          <w:szCs w:val="21"/>
          <w:highlight w:val="none"/>
        </w:rPr>
        <w:t>约定的</w:t>
      </w:r>
      <w:r>
        <w:rPr>
          <w:rFonts w:hint="eastAsia" w:ascii="宋体" w:hAnsi="宋体"/>
          <w:color w:val="auto"/>
          <w:szCs w:val="21"/>
          <w:highlight w:val="none"/>
        </w:rPr>
        <w:t>指定现场。</w:t>
      </w:r>
    </w:p>
    <w:p w14:paraId="52D9D106">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7.2 除</w:t>
      </w:r>
      <w:r>
        <w:rPr>
          <w:rFonts w:hint="eastAsia" w:ascii="宋体" w:hAnsi="宋体"/>
          <w:b/>
          <w:color w:val="auto"/>
          <w:szCs w:val="21"/>
          <w:highlight w:val="none"/>
        </w:rPr>
        <w:t>【政府采购合同专用条款】</w:t>
      </w:r>
      <w:r>
        <w:rPr>
          <w:rFonts w:hint="eastAsia" w:ascii="宋体" w:hAnsi="宋体"/>
          <w:bCs/>
          <w:color w:val="auto"/>
          <w:szCs w:val="21"/>
          <w:highlight w:val="none"/>
        </w:rPr>
        <w:t>另有约定外，</w:t>
      </w:r>
      <w:r>
        <w:rPr>
          <w:rFonts w:hint="eastAsia" w:ascii="宋体" w:hAnsi="宋体"/>
          <w:color w:val="auto"/>
          <w:szCs w:val="21"/>
          <w:highlight w:val="none"/>
        </w:rPr>
        <w:t>乙方负责办理将货物运抵本合同规定的交货地点，并装卸、交付至甲方的一切运输事项，相关费用应包含在合同价款中。</w:t>
      </w:r>
    </w:p>
    <w:p w14:paraId="16306438">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7.3 货物保险要求按</w:t>
      </w:r>
      <w:r>
        <w:rPr>
          <w:rFonts w:hint="eastAsia" w:ascii="宋体" w:hAnsi="宋体"/>
          <w:b/>
          <w:color w:val="auto"/>
          <w:szCs w:val="21"/>
          <w:highlight w:val="none"/>
        </w:rPr>
        <w:t>【政府采购合同专用条款】</w:t>
      </w:r>
      <w:r>
        <w:rPr>
          <w:rFonts w:hint="eastAsia" w:ascii="宋体" w:hAnsi="宋体"/>
          <w:bCs/>
          <w:color w:val="auto"/>
          <w:szCs w:val="21"/>
          <w:highlight w:val="none"/>
        </w:rPr>
        <w:t>规定执行</w:t>
      </w:r>
      <w:r>
        <w:rPr>
          <w:rFonts w:hint="eastAsia" w:ascii="宋体" w:hAnsi="宋体"/>
          <w:color w:val="auto"/>
          <w:szCs w:val="21"/>
          <w:highlight w:val="none"/>
        </w:rPr>
        <w:t>。</w:t>
      </w:r>
    </w:p>
    <w:p w14:paraId="13E96EC6">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76AA3C50">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 xml:space="preserve">7.5 </w:t>
      </w:r>
      <w:r>
        <w:rPr>
          <w:rFonts w:hint="eastAsia" w:ascii="宋体" w:hAnsi="宋体" w:cs="宋体"/>
          <w:color w:val="auto"/>
          <w:szCs w:val="21"/>
          <w:highlight w:val="none"/>
        </w:rPr>
        <w:t>乙方在运输到达之前应提前通知甲方，并提示货物运输装卸的注意事项，甲方配合乙方做好货物的接收工作。</w:t>
      </w:r>
    </w:p>
    <w:p w14:paraId="290BA4CE">
      <w:pPr>
        <w:pStyle w:val="213"/>
        <w:ind w:firstLine="420"/>
        <w:rPr>
          <w:color w:val="auto"/>
          <w:sz w:val="21"/>
          <w:highlight w:val="none"/>
        </w:rPr>
      </w:pPr>
      <w:r>
        <w:rPr>
          <w:rFonts w:hint="eastAsia" w:ascii="宋体" w:hAnsi="宋体" w:eastAsia="宋体" w:cs="Times New Roman"/>
          <w:color w:val="auto"/>
          <w:sz w:val="21"/>
          <w:highlight w:val="none"/>
        </w:rPr>
        <w:t>7.6 如因包装、运输问题导致货物损毁、丢失或者品质下降，甲方有权要求降价、换货、拒收部分或整批货物，由此产生的费用和损失，均由乙方承担。</w:t>
      </w:r>
    </w:p>
    <w:p w14:paraId="0EF73413">
      <w:pPr>
        <w:spacing w:line="400" w:lineRule="exact"/>
        <w:jc w:val="left"/>
        <w:rPr>
          <w:rFonts w:ascii="宋体" w:hAnsi="宋体"/>
          <w:b/>
          <w:color w:val="auto"/>
          <w:sz w:val="24"/>
          <w:highlight w:val="none"/>
        </w:rPr>
      </w:pPr>
      <w:r>
        <w:rPr>
          <w:rFonts w:hint="eastAsia" w:ascii="宋体" w:hAnsi="宋体"/>
          <w:b/>
          <w:color w:val="auto"/>
          <w:sz w:val="24"/>
          <w:highlight w:val="none"/>
        </w:rPr>
        <w:t>8. 质量标准和保证</w:t>
      </w:r>
    </w:p>
    <w:p w14:paraId="68BF21B5">
      <w:pPr>
        <w:pStyle w:val="20"/>
        <w:spacing w:line="400" w:lineRule="exact"/>
        <w:ind w:firstLine="420"/>
        <w:jc w:val="left"/>
        <w:rPr>
          <w:rFonts w:hAnsi="宋体"/>
          <w:b/>
          <w:color w:val="auto"/>
          <w:highlight w:val="none"/>
        </w:rPr>
      </w:pPr>
      <w:r>
        <w:rPr>
          <w:rFonts w:hint="eastAsia" w:hAnsi="宋体"/>
          <w:color w:val="auto"/>
          <w:highlight w:val="none"/>
        </w:rPr>
        <w:t>8.1 质量标准</w:t>
      </w:r>
    </w:p>
    <w:p w14:paraId="2C521956">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（1）本合同下提供的货物应符合合同</w:t>
      </w:r>
      <w:r>
        <w:rPr>
          <w:rFonts w:hint="eastAsia" w:ascii="宋体" w:hAnsi="宋体" w:cs="宋体"/>
          <w:color w:val="auto"/>
          <w:szCs w:val="21"/>
          <w:highlight w:val="none"/>
        </w:rPr>
        <w:t>约定的品牌、规格型号、技术性能、配置、质量、数量等要求。</w:t>
      </w:r>
      <w:r>
        <w:rPr>
          <w:rFonts w:hint="eastAsia" w:ascii="宋体" w:hAnsi="宋体"/>
          <w:color w:val="auto"/>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57434958">
      <w:pPr>
        <w:pStyle w:val="20"/>
        <w:spacing w:line="400" w:lineRule="exact"/>
        <w:ind w:firstLine="420"/>
        <w:jc w:val="left"/>
        <w:rPr>
          <w:rFonts w:hAnsi="宋体"/>
          <w:color w:val="auto"/>
          <w:highlight w:val="none"/>
        </w:rPr>
      </w:pPr>
      <w:r>
        <w:rPr>
          <w:rFonts w:hint="eastAsia" w:hAnsi="宋体"/>
          <w:color w:val="auto"/>
          <w:highlight w:val="none"/>
        </w:rPr>
        <w:t>（2）采用中华人民共和国法定计量单位。</w:t>
      </w:r>
    </w:p>
    <w:p w14:paraId="4FA1BFF3">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（3）乙方所提供的货物应符合国家有关安全、环保、卫生的规定。</w:t>
      </w:r>
    </w:p>
    <w:p w14:paraId="03E7C762">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（4）乙方应向甲方提交所提供货物的技术文件，包括相应的中文技术文件，如：产品目录、图纸、操作手册、使用说明、维护手册或服务指南等。上述文件应包装好随货物一同发运。</w:t>
      </w:r>
    </w:p>
    <w:p w14:paraId="06748D96">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8.2 保证</w:t>
      </w:r>
    </w:p>
    <w:p w14:paraId="4C370798">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（1）乙方应保证提供的货物完全符合合同规定的质量、规格和性能要求。乙方应保证货物在正确安装、正常使用和保养条件下，</w:t>
      </w:r>
      <w:r>
        <w:rPr>
          <w:rFonts w:hint="eastAsia" w:ascii="宋体" w:hAnsi="宋体" w:cs="宋体"/>
          <w:color w:val="auto"/>
          <w:szCs w:val="21"/>
          <w:highlight w:val="none"/>
        </w:rPr>
        <w:t>在其使用寿命期内具备合同约定的性能</w:t>
      </w:r>
      <w:r>
        <w:rPr>
          <w:rFonts w:hint="eastAsia" w:ascii="宋体" w:hAnsi="宋体"/>
          <w:color w:val="auto"/>
          <w:szCs w:val="21"/>
          <w:highlight w:val="none"/>
        </w:rPr>
        <w:t>。存在质量保证期的，货物最终交付验收合格后在</w:t>
      </w:r>
      <w:r>
        <w:rPr>
          <w:rFonts w:hint="eastAsia" w:ascii="宋体" w:hAnsi="宋体"/>
          <w:b/>
          <w:color w:val="auto"/>
          <w:szCs w:val="21"/>
          <w:highlight w:val="none"/>
        </w:rPr>
        <w:t>【政府采购合同专用条款】</w:t>
      </w:r>
      <w:r>
        <w:rPr>
          <w:rFonts w:hint="eastAsia" w:ascii="宋体" w:hAnsi="宋体"/>
          <w:color w:val="auto"/>
          <w:szCs w:val="21"/>
          <w:highlight w:val="none"/>
        </w:rPr>
        <w:t>规定或乙方书面承诺（两者以较长的为准）的质量保证期内，本保证保持有效。</w:t>
      </w:r>
    </w:p>
    <w:p w14:paraId="5C099407">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（2）在质量保证期内所发现的缺陷，甲方应尽快以书面形式通知乙方。</w:t>
      </w:r>
    </w:p>
    <w:p w14:paraId="70E34631">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（3）乙方收到通知后，应在</w:t>
      </w:r>
      <w:r>
        <w:rPr>
          <w:rFonts w:hint="eastAsia" w:ascii="宋体" w:hAnsi="宋体"/>
          <w:b/>
          <w:color w:val="auto"/>
          <w:szCs w:val="21"/>
          <w:highlight w:val="none"/>
        </w:rPr>
        <w:t>【政府采购合同专用条款】</w:t>
      </w:r>
      <w:r>
        <w:rPr>
          <w:rFonts w:hint="eastAsia" w:ascii="宋体" w:hAnsi="宋体"/>
          <w:color w:val="auto"/>
          <w:szCs w:val="21"/>
          <w:highlight w:val="none"/>
        </w:rPr>
        <w:t>规定的响应时间内以合理的速度免费维修或更换有缺陷的货物或部件。</w:t>
      </w:r>
    </w:p>
    <w:p w14:paraId="5FDA8EB2">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（4）在质量保证期内，如果货物的质量或规格与合同不符，或证实货物是有缺陷的，包括潜在的缺陷或使用不符合要求的材料等，甲方可以根据本合同第15.1条规定以书面形式追究乙方的违约责任。</w:t>
      </w:r>
    </w:p>
    <w:p w14:paraId="4AEC17A3">
      <w:pPr>
        <w:spacing w:line="400" w:lineRule="exact"/>
        <w:ind w:firstLine="420"/>
        <w:jc w:val="left"/>
        <w:rPr>
          <w:color w:val="auto"/>
          <w:highlight w:val="none"/>
        </w:rPr>
      </w:pPr>
      <w:r>
        <w:rPr>
          <w:rFonts w:hint="eastAsia" w:ascii="宋体" w:hAnsi="宋体"/>
          <w:color w:val="auto"/>
          <w:szCs w:val="21"/>
          <w:highlight w:val="none"/>
        </w:rPr>
        <w:t>（5）乙方在约定的时间内未能弥补缺陷，甲方可采取必要的补救措施，但其风险和费用将由乙方承担，甲方根据合同约定对乙方行使的其他权利不受影响。</w:t>
      </w:r>
    </w:p>
    <w:p w14:paraId="3D08E5ED">
      <w:pPr>
        <w:spacing w:line="400" w:lineRule="exact"/>
        <w:jc w:val="left"/>
        <w:rPr>
          <w:rFonts w:ascii="宋体" w:hAnsi="宋体"/>
          <w:b/>
          <w:bCs/>
          <w:color w:val="auto"/>
          <w:sz w:val="24"/>
          <w:highlight w:val="none"/>
        </w:rPr>
      </w:pPr>
      <w:r>
        <w:rPr>
          <w:rFonts w:hint="eastAsia" w:ascii="宋体" w:hAnsi="宋体"/>
          <w:b/>
          <w:bCs/>
          <w:color w:val="auto"/>
          <w:sz w:val="24"/>
          <w:highlight w:val="none"/>
        </w:rPr>
        <w:t>9. 权利瑕疵担保</w:t>
      </w:r>
    </w:p>
    <w:p w14:paraId="15DDFE8B">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9.1 乙方保证对其出售的货物享有合法的权利。</w:t>
      </w:r>
    </w:p>
    <w:p w14:paraId="377F5CE7">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 xml:space="preserve">9.2 </w:t>
      </w:r>
      <w:r>
        <w:rPr>
          <w:rFonts w:hint="eastAsia" w:ascii="宋体" w:hAnsi="宋体" w:cs="宋体"/>
          <w:color w:val="auto"/>
          <w:szCs w:val="15"/>
          <w:highlight w:val="none"/>
        </w:rPr>
        <w:t>乙方保证在交付的货物上不存在抵押权等担保物权。</w:t>
      </w:r>
    </w:p>
    <w:p w14:paraId="120BD863">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9.3 如甲方使用上述货物构成对第三人侵权的，则由乙方承担全部责任。</w:t>
      </w:r>
    </w:p>
    <w:p w14:paraId="47F40EEE">
      <w:pPr>
        <w:spacing w:line="400" w:lineRule="exact"/>
        <w:jc w:val="left"/>
        <w:rPr>
          <w:rFonts w:ascii="宋体" w:hAnsi="宋体"/>
          <w:b/>
          <w:bCs/>
          <w:color w:val="auto"/>
          <w:sz w:val="24"/>
          <w:highlight w:val="none"/>
        </w:rPr>
      </w:pPr>
      <w:r>
        <w:rPr>
          <w:rFonts w:hint="eastAsia" w:ascii="宋体" w:hAnsi="宋体"/>
          <w:b/>
          <w:bCs/>
          <w:color w:val="auto"/>
          <w:sz w:val="24"/>
          <w:highlight w:val="none"/>
        </w:rPr>
        <w:t>10. 知识产权保护</w:t>
      </w:r>
    </w:p>
    <w:p w14:paraId="6BEB7590">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10.1 乙方对其所销售的货物应当享有知识产权或经权利人合法授权，保证没有侵犯任何第三人的知识产权等权利。</w:t>
      </w:r>
      <w:r>
        <w:rPr>
          <w:rFonts w:hint="eastAsia" w:ascii="宋体" w:hAnsi="宋体" w:cs="宋体"/>
          <w:color w:val="auto"/>
          <w:szCs w:val="15"/>
          <w:highlight w:val="none"/>
        </w:rPr>
        <w:t>因违反前述约定对第三人构成侵权的，应当由乙方向第三人承担法律责任；甲方依法向第三人赔偿后，有权向乙方追偿。甲方有其他损失的，乙方应当赔偿</w:t>
      </w:r>
      <w:r>
        <w:rPr>
          <w:rFonts w:hint="eastAsia" w:ascii="宋体" w:hAnsi="宋体"/>
          <w:color w:val="auto"/>
          <w:szCs w:val="21"/>
          <w:highlight w:val="none"/>
        </w:rPr>
        <w:t>。</w:t>
      </w:r>
    </w:p>
    <w:p w14:paraId="4C2A1D76">
      <w:pPr>
        <w:spacing w:line="400" w:lineRule="exact"/>
        <w:jc w:val="left"/>
        <w:rPr>
          <w:rFonts w:ascii="宋体" w:hAnsi="宋体"/>
          <w:b/>
          <w:bCs/>
          <w:color w:val="auto"/>
          <w:sz w:val="24"/>
          <w:highlight w:val="none"/>
        </w:rPr>
      </w:pPr>
      <w:r>
        <w:rPr>
          <w:rFonts w:hint="eastAsia" w:ascii="宋体" w:hAnsi="宋体"/>
          <w:b/>
          <w:bCs/>
          <w:color w:val="auto"/>
          <w:sz w:val="24"/>
          <w:highlight w:val="none"/>
        </w:rPr>
        <w:t>11. 保密义务</w:t>
      </w:r>
    </w:p>
    <w:p w14:paraId="497B4D22">
      <w:pPr>
        <w:spacing w:line="400" w:lineRule="exact"/>
        <w:ind w:firstLine="420"/>
        <w:jc w:val="left"/>
        <w:rPr>
          <w:rFonts w:ascii="宋体" w:hAnsi="宋体" w:cs="宋体"/>
          <w:color w:val="auto"/>
          <w:szCs w:val="15"/>
          <w:highlight w:val="none"/>
        </w:rPr>
      </w:pPr>
      <w:r>
        <w:rPr>
          <w:rFonts w:hint="eastAsia" w:ascii="宋体" w:hAnsi="宋体" w:cs="宋体"/>
          <w:color w:val="auto"/>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【政府采购合同专用条款】</w:t>
      </w:r>
      <w:r>
        <w:rPr>
          <w:rFonts w:hint="eastAsia" w:ascii="宋体" w:hAnsi="宋体" w:cs="宋体"/>
          <w:color w:val="auto"/>
          <w:szCs w:val="15"/>
          <w:highlight w:val="none"/>
        </w:rPr>
        <w:t>中约定。</w:t>
      </w:r>
    </w:p>
    <w:p w14:paraId="7DB5CF2C">
      <w:pPr>
        <w:spacing w:line="400" w:lineRule="exact"/>
        <w:jc w:val="left"/>
        <w:rPr>
          <w:rFonts w:ascii="宋体" w:hAnsi="宋体"/>
          <w:b/>
          <w:bCs/>
          <w:color w:val="auto"/>
          <w:sz w:val="24"/>
          <w:highlight w:val="none"/>
        </w:rPr>
      </w:pPr>
      <w:r>
        <w:rPr>
          <w:rFonts w:hint="eastAsia" w:ascii="宋体" w:hAnsi="宋体"/>
          <w:b/>
          <w:bCs/>
          <w:color w:val="auto"/>
          <w:sz w:val="24"/>
          <w:highlight w:val="none"/>
        </w:rPr>
        <w:t>12. 合同价款支付</w:t>
      </w:r>
    </w:p>
    <w:p w14:paraId="6276D5DB">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12.1 合同价款支付按照国库集中支付制度及财政管理相关规定执行。</w:t>
      </w:r>
    </w:p>
    <w:p w14:paraId="2BBFF1F5">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auto"/>
          <w:szCs w:val="21"/>
          <w:highlight w:val="none"/>
        </w:rPr>
        <w:t>政府采购合同专用条款</w:t>
      </w:r>
      <w:r>
        <w:rPr>
          <w:rFonts w:hint="eastAsia" w:ascii="宋体" w:hAnsi="宋体"/>
          <w:color w:val="auto"/>
          <w:szCs w:val="21"/>
          <w:highlight w:val="none"/>
        </w:rPr>
        <w:t>】中约定。</w:t>
      </w:r>
    </w:p>
    <w:p w14:paraId="024C45F8">
      <w:pPr>
        <w:spacing w:line="400" w:lineRule="exact"/>
        <w:jc w:val="left"/>
        <w:rPr>
          <w:rFonts w:ascii="宋体" w:hAnsi="宋体"/>
          <w:b/>
          <w:bCs/>
          <w:color w:val="auto"/>
          <w:sz w:val="24"/>
          <w:highlight w:val="none"/>
        </w:rPr>
      </w:pPr>
      <w:r>
        <w:rPr>
          <w:rFonts w:hint="eastAsia" w:ascii="宋体" w:hAnsi="宋体"/>
          <w:b/>
          <w:bCs/>
          <w:color w:val="auto"/>
          <w:sz w:val="24"/>
          <w:highlight w:val="none"/>
        </w:rPr>
        <w:t>13. 履约保证金</w:t>
      </w:r>
    </w:p>
    <w:p w14:paraId="36ECB50A">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 xml:space="preserve">13.1 </w:t>
      </w:r>
      <w:r>
        <w:rPr>
          <w:rFonts w:hint="eastAsia" w:ascii="宋体" w:hAnsi="宋体" w:cs="宋体"/>
          <w:color w:val="auto"/>
          <w:szCs w:val="15"/>
          <w:highlight w:val="none"/>
        </w:rPr>
        <w:t>乙方应当以支票、汇票、本票或者金融机构、担保机构出具的保函等非现金形式提交。</w:t>
      </w:r>
    </w:p>
    <w:p w14:paraId="574B9C27">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13.2 如果乙方出现</w:t>
      </w:r>
      <w:r>
        <w:rPr>
          <w:rFonts w:hint="eastAsia" w:ascii="宋体" w:hAnsi="宋体" w:cs="宋体"/>
          <w:b/>
          <w:bCs/>
          <w:color w:val="auto"/>
          <w:szCs w:val="15"/>
          <w:highlight w:val="none"/>
        </w:rPr>
        <w:t>【政府采购合同专用条款】</w:t>
      </w:r>
      <w:r>
        <w:rPr>
          <w:rFonts w:hint="eastAsia" w:ascii="宋体" w:hAnsi="宋体" w:cs="宋体"/>
          <w:color w:val="auto"/>
          <w:szCs w:val="15"/>
          <w:highlight w:val="none"/>
        </w:rPr>
        <w:t>约定情形的</w:t>
      </w:r>
      <w:r>
        <w:rPr>
          <w:rFonts w:hint="eastAsia" w:ascii="宋体" w:hAnsi="宋体"/>
          <w:color w:val="auto"/>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14:paraId="33FD5266">
      <w:pPr>
        <w:spacing w:line="400" w:lineRule="exact"/>
        <w:ind w:firstLine="420"/>
        <w:rPr>
          <w:color w:val="auto"/>
          <w:highlight w:val="none"/>
        </w:rPr>
      </w:pPr>
      <w:r>
        <w:rPr>
          <w:rFonts w:hint="eastAsia" w:ascii="宋体" w:hAnsi="宋体"/>
          <w:color w:val="auto"/>
          <w:szCs w:val="21"/>
          <w:highlight w:val="none"/>
        </w:rPr>
        <w:t>13.3 甲方在项目通过验收后按照</w:t>
      </w:r>
      <w:r>
        <w:rPr>
          <w:rFonts w:hint="eastAsia" w:ascii="宋体" w:hAnsi="宋体"/>
          <w:b/>
          <w:color w:val="auto"/>
          <w:szCs w:val="21"/>
          <w:highlight w:val="none"/>
        </w:rPr>
        <w:t>【政府采购合同专用条款】</w:t>
      </w:r>
      <w:r>
        <w:rPr>
          <w:rFonts w:hint="eastAsia" w:ascii="宋体" w:hAnsi="宋体"/>
          <w:color w:val="auto"/>
          <w:szCs w:val="21"/>
          <w:highlight w:val="none"/>
        </w:rPr>
        <w:t>规定的时间内将履约保证金退还乙方；逾期退还的，乙方可要求甲方支付违约金，违约金按照</w:t>
      </w:r>
      <w:r>
        <w:rPr>
          <w:rFonts w:hint="eastAsia" w:ascii="宋体" w:hAnsi="宋体"/>
          <w:b/>
          <w:color w:val="auto"/>
          <w:szCs w:val="21"/>
          <w:highlight w:val="none"/>
        </w:rPr>
        <w:t>【政府采购合同专用条款】</w:t>
      </w:r>
      <w:r>
        <w:rPr>
          <w:rFonts w:hint="eastAsia" w:ascii="宋体" w:hAnsi="宋体"/>
          <w:color w:val="auto"/>
          <w:szCs w:val="21"/>
          <w:highlight w:val="none"/>
        </w:rPr>
        <w:t>规定支付。</w:t>
      </w:r>
    </w:p>
    <w:p w14:paraId="23087E3B">
      <w:pPr>
        <w:spacing w:line="400" w:lineRule="exact"/>
        <w:jc w:val="left"/>
        <w:rPr>
          <w:rFonts w:ascii="宋体" w:hAnsi="宋体"/>
          <w:b/>
          <w:color w:val="auto"/>
          <w:sz w:val="24"/>
          <w:highlight w:val="none"/>
        </w:rPr>
      </w:pPr>
      <w:r>
        <w:rPr>
          <w:rFonts w:hint="eastAsia" w:ascii="宋体" w:hAnsi="宋体"/>
          <w:b/>
          <w:bCs/>
          <w:color w:val="auto"/>
          <w:sz w:val="24"/>
          <w:highlight w:val="none"/>
        </w:rPr>
        <w:t xml:space="preserve">14. </w:t>
      </w:r>
      <w:r>
        <w:rPr>
          <w:rFonts w:hint="eastAsia"/>
          <w:b/>
          <w:color w:val="auto"/>
          <w:sz w:val="24"/>
          <w:highlight w:val="none"/>
        </w:rPr>
        <w:t>售后</w:t>
      </w:r>
      <w:r>
        <w:rPr>
          <w:rFonts w:hint="eastAsia" w:ascii="宋体" w:hAnsi="宋体"/>
          <w:b/>
          <w:color w:val="auto"/>
          <w:sz w:val="24"/>
          <w:highlight w:val="none"/>
        </w:rPr>
        <w:t>服务</w:t>
      </w:r>
    </w:p>
    <w:p w14:paraId="1F121F3B">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14.1 除项目不涉及或采购活动中明确约定无须承担外，乙方还应提供下列服务：</w:t>
      </w:r>
    </w:p>
    <w:p w14:paraId="07FFCFB8">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（1）货物的现场移动、安装、调试、启动监督及技术支持；</w:t>
      </w:r>
    </w:p>
    <w:p w14:paraId="55C4CF0A">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（2）提供货物组装和维修所需的专用工具和辅助材料；</w:t>
      </w:r>
    </w:p>
    <w:p w14:paraId="79E5F333">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（3）在</w:t>
      </w:r>
      <w:r>
        <w:rPr>
          <w:rFonts w:hint="eastAsia" w:ascii="宋体" w:hAnsi="宋体" w:cs="宋体"/>
          <w:b/>
          <w:bCs/>
          <w:color w:val="auto"/>
          <w:szCs w:val="15"/>
          <w:highlight w:val="none"/>
        </w:rPr>
        <w:t>【政府采购合同专用条款】</w:t>
      </w:r>
      <w:r>
        <w:rPr>
          <w:rFonts w:hint="eastAsia" w:ascii="宋体" w:hAnsi="宋体"/>
          <w:color w:val="auto"/>
          <w:szCs w:val="21"/>
          <w:highlight w:val="none"/>
        </w:rPr>
        <w:t>约定的期限内对所有的货物实施运行监督、维修，但前提条件是该服务并不能免除乙方在质量保证期内所承担的义务；</w:t>
      </w:r>
    </w:p>
    <w:p w14:paraId="4CEA457C">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（4）在制造商所在地或指定现场就货物的安装、启动、运营、维护、废弃处置等对甲方操作人员进行培训</w:t>
      </w:r>
      <w:r>
        <w:rPr>
          <w:rFonts w:hint="eastAsia" w:ascii="宋体" w:hAnsi="宋体" w:cs="宋体"/>
          <w:color w:val="auto"/>
          <w:szCs w:val="15"/>
          <w:highlight w:val="none"/>
        </w:rPr>
        <w:t>；</w:t>
      </w:r>
    </w:p>
    <w:p w14:paraId="573DDDAE">
      <w:pPr>
        <w:pStyle w:val="213"/>
        <w:ind w:firstLine="420"/>
        <w:rPr>
          <w:rFonts w:ascii="宋体" w:hAnsi="宋体" w:eastAsia="宋体" w:cs="宋体"/>
          <w:color w:val="auto"/>
          <w:sz w:val="21"/>
          <w:highlight w:val="none"/>
        </w:rPr>
      </w:pPr>
      <w:r>
        <w:rPr>
          <w:rFonts w:hint="eastAsia" w:ascii="宋体" w:hAnsi="宋体" w:eastAsia="宋体" w:cs="宋体"/>
          <w:color w:val="auto"/>
          <w:sz w:val="21"/>
          <w:highlight w:val="none"/>
        </w:rPr>
        <w:t>（5）依照法律、行政法规的规定或者按照</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约定，货物在有效使用年限届满后应予回收的，乙方负有自行或者委托第三人对货物予以回收的义务；</w:t>
      </w:r>
    </w:p>
    <w:p w14:paraId="65D16779">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（6）</w:t>
      </w:r>
      <w:r>
        <w:rPr>
          <w:rFonts w:hint="eastAsia" w:ascii="宋体" w:hAnsi="宋体"/>
          <w:b/>
          <w:color w:val="auto"/>
          <w:szCs w:val="21"/>
          <w:highlight w:val="none"/>
        </w:rPr>
        <w:t>【政府采购合同专用条款】</w:t>
      </w:r>
      <w:r>
        <w:rPr>
          <w:rFonts w:hint="eastAsia" w:ascii="宋体" w:hAnsi="宋体"/>
          <w:color w:val="auto"/>
          <w:szCs w:val="21"/>
          <w:highlight w:val="none"/>
        </w:rPr>
        <w:t>规定由乙方提供的其他服务。</w:t>
      </w:r>
    </w:p>
    <w:p w14:paraId="44171407">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14.2 乙方提供的售后服务的费用已包含在合同价款中，甲方不再另行支付。</w:t>
      </w:r>
    </w:p>
    <w:p w14:paraId="53B0E18C">
      <w:pPr>
        <w:spacing w:line="400" w:lineRule="exact"/>
        <w:jc w:val="left"/>
        <w:rPr>
          <w:rFonts w:ascii="宋体" w:hAnsi="宋体"/>
          <w:b/>
          <w:bCs/>
          <w:color w:val="auto"/>
          <w:sz w:val="24"/>
          <w:highlight w:val="none"/>
        </w:rPr>
      </w:pPr>
      <w:r>
        <w:rPr>
          <w:rFonts w:hint="eastAsia" w:ascii="宋体" w:hAnsi="宋体"/>
          <w:b/>
          <w:bCs/>
          <w:color w:val="auto"/>
          <w:sz w:val="24"/>
          <w:highlight w:val="none"/>
        </w:rPr>
        <w:t>15. 违约责任</w:t>
      </w:r>
    </w:p>
    <w:p w14:paraId="1E17F4FD">
      <w:pPr>
        <w:spacing w:line="400" w:lineRule="exact"/>
        <w:ind w:firstLine="420"/>
        <w:jc w:val="left"/>
        <w:rPr>
          <w:rFonts w:ascii="宋体" w:hAnsi="宋体"/>
          <w:bCs/>
          <w:color w:val="auto"/>
          <w:szCs w:val="21"/>
          <w:highlight w:val="none"/>
        </w:rPr>
      </w:pPr>
      <w:r>
        <w:rPr>
          <w:rFonts w:hint="eastAsia" w:ascii="宋体" w:hAnsi="宋体"/>
          <w:bCs/>
          <w:color w:val="auto"/>
          <w:szCs w:val="21"/>
          <w:highlight w:val="none"/>
        </w:rPr>
        <w:t>15.1质量瑕疵的违约责任</w:t>
      </w:r>
    </w:p>
    <w:p w14:paraId="04289946">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乙方提供的产品不符合合同约定的质量标准或存在产品质量缺陷，甲方有权要求乙方根据</w:t>
      </w:r>
      <w:r>
        <w:rPr>
          <w:rFonts w:hint="eastAsia" w:ascii="宋体" w:hAnsi="宋体"/>
          <w:b/>
          <w:color w:val="auto"/>
          <w:szCs w:val="21"/>
          <w:highlight w:val="none"/>
        </w:rPr>
        <w:t>【政府采购合同专用条款】</w:t>
      </w:r>
      <w:r>
        <w:rPr>
          <w:rFonts w:hint="eastAsia" w:ascii="宋体" w:hAnsi="宋体"/>
          <w:bCs/>
          <w:color w:val="auto"/>
          <w:szCs w:val="21"/>
          <w:highlight w:val="none"/>
        </w:rPr>
        <w:t>要求</w:t>
      </w:r>
      <w:r>
        <w:rPr>
          <w:rFonts w:hint="eastAsia" w:ascii="宋体" w:hAnsi="宋体"/>
          <w:color w:val="auto"/>
          <w:szCs w:val="21"/>
          <w:highlight w:val="none"/>
        </w:rPr>
        <w:t>及时修理、重作、更换，并承担由此给甲方造成的损失。</w:t>
      </w:r>
    </w:p>
    <w:p w14:paraId="6806EAF7">
      <w:pPr>
        <w:spacing w:line="400" w:lineRule="exact"/>
        <w:ind w:firstLine="420"/>
        <w:jc w:val="left"/>
        <w:rPr>
          <w:rFonts w:ascii="宋体" w:hAnsi="宋体"/>
          <w:bCs/>
          <w:color w:val="auto"/>
          <w:szCs w:val="21"/>
          <w:highlight w:val="none"/>
        </w:rPr>
      </w:pPr>
      <w:r>
        <w:rPr>
          <w:rFonts w:hint="eastAsia" w:ascii="宋体" w:hAnsi="宋体"/>
          <w:bCs/>
          <w:color w:val="auto"/>
          <w:szCs w:val="21"/>
          <w:highlight w:val="none"/>
        </w:rPr>
        <w:t>15.2 迟延交货的违约责任</w:t>
      </w:r>
    </w:p>
    <w:p w14:paraId="14E5731B">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775212F1">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（2）如果乙方没有按照合同规定的时间交货和提供相关服务，甲方有权从货款中扣除误期赔偿费而不影响合同项下的其他补救方法，赔偿费按</w:t>
      </w:r>
      <w:r>
        <w:rPr>
          <w:rFonts w:hint="eastAsia" w:ascii="宋体" w:hAnsi="宋体"/>
          <w:b/>
          <w:color w:val="auto"/>
          <w:szCs w:val="21"/>
          <w:highlight w:val="none"/>
        </w:rPr>
        <w:t>【政府采购合同专用条款】</w:t>
      </w:r>
      <w:r>
        <w:rPr>
          <w:rFonts w:hint="eastAsia" w:ascii="宋体" w:hAnsi="宋体"/>
          <w:color w:val="auto"/>
          <w:szCs w:val="21"/>
          <w:highlight w:val="none"/>
        </w:rPr>
        <w:t>规定执行。如果涉及公共利益，且赔偿金额无法弥补公共利益损失，甲方可要求继续履行或者采取其他补救措施。</w:t>
      </w:r>
    </w:p>
    <w:p w14:paraId="6429CEAC">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15.3 迟延支付的违约责任</w:t>
      </w:r>
    </w:p>
    <w:p w14:paraId="46ECA05B">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甲方存在迟延支付乙方合同款项的，应当承担</w:t>
      </w:r>
      <w:r>
        <w:rPr>
          <w:rFonts w:hint="eastAsia" w:ascii="宋体" w:hAnsi="宋体"/>
          <w:b/>
          <w:bCs/>
          <w:color w:val="auto"/>
          <w:szCs w:val="21"/>
          <w:highlight w:val="none"/>
        </w:rPr>
        <w:t>【政府采购合同专用条款】</w:t>
      </w:r>
      <w:r>
        <w:rPr>
          <w:rFonts w:hint="eastAsia" w:ascii="宋体" w:hAnsi="宋体"/>
          <w:color w:val="auto"/>
          <w:szCs w:val="21"/>
          <w:highlight w:val="none"/>
        </w:rPr>
        <w:t>规定的逾期付款利息。</w:t>
      </w:r>
    </w:p>
    <w:p w14:paraId="4D34FC91">
      <w:pPr>
        <w:spacing w:line="400" w:lineRule="exact"/>
        <w:ind w:firstLine="420"/>
        <w:jc w:val="left"/>
        <w:rPr>
          <w:rFonts w:ascii="宋体" w:hAnsi="宋体"/>
          <w:color w:val="auto"/>
          <w:szCs w:val="21"/>
          <w:highlight w:val="none"/>
        </w:rPr>
      </w:pPr>
      <w:r>
        <w:rPr>
          <w:rFonts w:hint="eastAsia" w:ascii="宋体" w:hAnsi="宋体"/>
          <w:bCs/>
          <w:color w:val="auto"/>
          <w:szCs w:val="21"/>
          <w:highlight w:val="none"/>
        </w:rPr>
        <w:t>15.4其他违约责任根据项目实际需要按</w:t>
      </w:r>
      <w:r>
        <w:rPr>
          <w:rFonts w:hint="eastAsia" w:ascii="宋体" w:hAnsi="宋体"/>
          <w:b/>
          <w:bCs/>
          <w:color w:val="auto"/>
          <w:szCs w:val="21"/>
          <w:highlight w:val="none"/>
        </w:rPr>
        <w:t>【政府采购合同专用条款】</w:t>
      </w:r>
      <w:r>
        <w:rPr>
          <w:rFonts w:hint="eastAsia" w:ascii="宋体" w:hAnsi="宋体"/>
          <w:color w:val="auto"/>
          <w:szCs w:val="21"/>
          <w:highlight w:val="none"/>
        </w:rPr>
        <w:t>规定执行。</w:t>
      </w:r>
    </w:p>
    <w:p w14:paraId="508A8068">
      <w:pPr>
        <w:numPr>
          <w:ilvl w:val="0"/>
          <w:numId w:val="7"/>
        </w:numPr>
        <w:spacing w:line="400" w:lineRule="exact"/>
        <w:jc w:val="left"/>
        <w:rPr>
          <w:rFonts w:ascii="宋体" w:hAnsi="宋体"/>
          <w:b/>
          <w:color w:val="auto"/>
          <w:sz w:val="24"/>
          <w:highlight w:val="none"/>
        </w:rPr>
      </w:pPr>
      <w:r>
        <w:rPr>
          <w:rFonts w:hint="eastAsia" w:ascii="宋体" w:hAnsi="宋体"/>
          <w:b/>
          <w:color w:val="auto"/>
          <w:sz w:val="24"/>
          <w:highlight w:val="none"/>
        </w:rPr>
        <w:t>合同变更、中止与终止</w:t>
      </w:r>
    </w:p>
    <w:p w14:paraId="6C006D43">
      <w:pPr>
        <w:spacing w:line="400" w:lineRule="exact"/>
        <w:jc w:val="left"/>
        <w:rPr>
          <w:rFonts w:ascii="宋体" w:hAnsi="宋体"/>
          <w:color w:val="auto"/>
          <w:szCs w:val="21"/>
          <w:highlight w:val="none"/>
        </w:rPr>
      </w:pPr>
      <w:r>
        <w:rPr>
          <w:rFonts w:hint="eastAsia" w:ascii="宋体" w:hAnsi="宋体"/>
          <w:color w:val="auto"/>
          <w:szCs w:val="21"/>
          <w:highlight w:val="none"/>
        </w:rPr>
        <w:t xml:space="preserve">    16.1合同的变更</w:t>
      </w:r>
    </w:p>
    <w:p w14:paraId="3A434E46">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政府采购合同履行中，在不改变合同其他条款的前提下，甲方可以在合同价款10%的范围内追加与合同标的相同的货物，并就此与乙方协商一致后签订补充协议。</w:t>
      </w:r>
    </w:p>
    <w:p w14:paraId="76E962BC">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16.2合同的中止</w:t>
      </w:r>
    </w:p>
    <w:p w14:paraId="09B40C37">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（1）合同履行过程中因供应商就采购文件、采购过程或结果提起投诉的，甲方认为有必要的，可以中止合同的履行。</w:t>
      </w:r>
    </w:p>
    <w:p w14:paraId="39BD8AC3">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30D9FE66">
      <w:pPr>
        <w:pStyle w:val="213"/>
        <w:ind w:firstLine="420"/>
        <w:jc w:val="both"/>
        <w:rPr>
          <w:color w:val="auto"/>
          <w:sz w:val="21"/>
          <w:highlight w:val="none"/>
        </w:rPr>
      </w:pPr>
      <w:r>
        <w:rPr>
          <w:rFonts w:hint="eastAsia" w:ascii="宋体" w:hAnsi="宋体" w:eastAsia="宋体" w:cs="宋体"/>
          <w:color w:val="auto"/>
          <w:sz w:val="21"/>
          <w:highlight w:val="none"/>
        </w:rPr>
        <w:t>（3）乙方分立、合并或者变更住所的，应当及时以书面形式告知甲方。乙方没有及时告知甲方，致使合同履行发生困难的，甲方可以中止合同履行并要求乙方承担由此给甲方造成的损失。</w:t>
      </w:r>
    </w:p>
    <w:p w14:paraId="78EFCD4A">
      <w:pPr>
        <w:spacing w:line="400" w:lineRule="exact"/>
        <w:ind w:firstLine="420"/>
        <w:jc w:val="left"/>
        <w:rPr>
          <w:color w:val="auto"/>
          <w:highlight w:val="none"/>
        </w:rPr>
      </w:pPr>
      <w:r>
        <w:rPr>
          <w:rFonts w:hint="eastAsia" w:ascii="宋体" w:hAnsi="宋体"/>
          <w:color w:val="auto"/>
          <w:szCs w:val="21"/>
          <w:highlight w:val="none"/>
        </w:rPr>
        <w:t>（4）甲方不得以行政区划调整、政府换届、机构或者职能调整以及相关责任人更替为由中止合同。</w:t>
      </w:r>
    </w:p>
    <w:p w14:paraId="330FA2BE">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16.3合同的终止</w:t>
      </w:r>
    </w:p>
    <w:p w14:paraId="5B406298">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（1）合同因有效期限届满而终止；</w:t>
      </w:r>
    </w:p>
    <w:p w14:paraId="398EE0E2">
      <w:pPr>
        <w:spacing w:line="400" w:lineRule="exact"/>
        <w:ind w:firstLine="420"/>
        <w:rPr>
          <w:rFonts w:ascii="宋体" w:hAnsi="宋体" w:cs="宋体"/>
          <w:color w:val="auto"/>
          <w:szCs w:val="21"/>
          <w:highlight w:val="none"/>
        </w:rPr>
      </w:pPr>
      <w:r>
        <w:rPr>
          <w:rFonts w:hint="eastAsia" w:ascii="宋体" w:hAnsi="宋体"/>
          <w:color w:val="auto"/>
          <w:szCs w:val="21"/>
          <w:highlight w:val="none"/>
        </w:rPr>
        <w:t>（2）乙方未按合同约定履行，构成根本性违约的，甲方有权终止合同，</w:t>
      </w:r>
      <w:r>
        <w:rPr>
          <w:rFonts w:hint="eastAsia" w:ascii="宋体" w:hAnsi="宋体" w:cs="宋体"/>
          <w:color w:val="auto"/>
          <w:szCs w:val="21"/>
          <w:highlight w:val="none"/>
        </w:rPr>
        <w:t>并追究乙方的违约责任</w:t>
      </w:r>
      <w:r>
        <w:rPr>
          <w:rFonts w:hint="eastAsia" w:ascii="宋体" w:hAnsi="宋体"/>
          <w:color w:val="auto"/>
          <w:szCs w:val="21"/>
          <w:highlight w:val="none"/>
        </w:rPr>
        <w:t>。</w:t>
      </w:r>
    </w:p>
    <w:p w14:paraId="513D5A6C">
      <w:pPr>
        <w:pStyle w:val="213"/>
        <w:rPr>
          <w:rFonts w:ascii="宋体" w:hAnsi="宋体"/>
          <w:color w:val="auto"/>
          <w:highlight w:val="none"/>
        </w:rPr>
      </w:pPr>
      <w:r>
        <w:rPr>
          <w:rFonts w:hint="eastAsia" w:ascii="宋体" w:hAnsi="宋体"/>
          <w:color w:val="auto"/>
          <w:highlight w:val="none"/>
        </w:rPr>
        <w:t xml:space="preserve">16.4 </w:t>
      </w:r>
      <w:r>
        <w:rPr>
          <w:rFonts w:hint="eastAsia" w:ascii="宋体" w:hAnsi="宋体" w:eastAsia="宋体" w:cs="Times New Roman"/>
          <w:color w:val="auto"/>
          <w:sz w:val="21"/>
          <w:highlight w:val="none"/>
        </w:rPr>
        <w:t>涉及国家利益、社会公共利益的情形</w:t>
      </w:r>
    </w:p>
    <w:p w14:paraId="3B8032A0">
      <w:pPr>
        <w:pStyle w:val="213"/>
        <w:ind w:firstLine="420"/>
        <w:jc w:val="both"/>
        <w:rPr>
          <w:color w:val="auto"/>
          <w:sz w:val="21"/>
          <w:highlight w:val="none"/>
        </w:rPr>
      </w:pPr>
      <w:r>
        <w:rPr>
          <w:rFonts w:hint="eastAsia" w:ascii="宋体" w:hAnsi="宋体" w:eastAsia="宋体" w:cs="宋体"/>
          <w:color w:val="auto"/>
          <w:sz w:val="21"/>
          <w:highlight w:val="none"/>
        </w:rPr>
        <w:t>政府采购合同继续履行将损害国家利益和社会公共利益的，双方当事人应当变更、中止或者终止合同。有过错的一方应当承担赔偿责任，双方都有过错的，各自承担相应的责任。</w:t>
      </w:r>
    </w:p>
    <w:p w14:paraId="03EC3362">
      <w:pPr>
        <w:spacing w:line="400" w:lineRule="exact"/>
        <w:jc w:val="left"/>
        <w:rPr>
          <w:rFonts w:ascii="宋体" w:hAnsi="宋体"/>
          <w:b/>
          <w:bCs/>
          <w:color w:val="auto"/>
          <w:sz w:val="24"/>
          <w:highlight w:val="none"/>
        </w:rPr>
      </w:pPr>
      <w:r>
        <w:rPr>
          <w:rFonts w:hint="eastAsia" w:ascii="宋体" w:hAnsi="宋体"/>
          <w:b/>
          <w:bCs/>
          <w:color w:val="auto"/>
          <w:sz w:val="24"/>
          <w:highlight w:val="none"/>
        </w:rPr>
        <w:t>17. 合同分包</w:t>
      </w:r>
    </w:p>
    <w:p w14:paraId="0CF464F9">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17.1 乙方不得将合同转包给其他供应商。涉及合同分包的，乙方应根据采购文件和投标（响应）文件规定进行合同分包。</w:t>
      </w:r>
    </w:p>
    <w:p w14:paraId="66568ED9">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17.2 乙方执行政府采购政策向中小企业依法分包的，乙方应当按采购文件和投标（响应）文件签订分包意向协议，分包意向协议属于本合同组成部分。</w:t>
      </w:r>
    </w:p>
    <w:p w14:paraId="69DC0719">
      <w:pPr>
        <w:spacing w:line="400" w:lineRule="exact"/>
        <w:jc w:val="left"/>
        <w:rPr>
          <w:rFonts w:ascii="宋体" w:hAnsi="宋体"/>
          <w:b/>
          <w:bCs/>
          <w:color w:val="auto"/>
          <w:sz w:val="24"/>
          <w:highlight w:val="none"/>
        </w:rPr>
      </w:pPr>
      <w:r>
        <w:rPr>
          <w:rFonts w:hint="eastAsia" w:ascii="宋体" w:hAnsi="宋体"/>
          <w:b/>
          <w:bCs/>
          <w:color w:val="auto"/>
          <w:sz w:val="24"/>
          <w:highlight w:val="none"/>
        </w:rPr>
        <w:t>18. 不可抗力</w:t>
      </w:r>
    </w:p>
    <w:p w14:paraId="573EF4EB">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18.1 不可抗力是指合同双方不能预见、不能避免且不能克服的客观情况。</w:t>
      </w:r>
    </w:p>
    <w:p w14:paraId="458EBBEA">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18.2 任何一方对由于不可抗力造成的部分或全部不能履行合同不承担违约责任。但迟延履行后发生不可抗力的，不能免除责任。</w:t>
      </w:r>
    </w:p>
    <w:p w14:paraId="2D0B1632">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3143E9D6">
      <w:pPr>
        <w:spacing w:line="400" w:lineRule="exact"/>
        <w:jc w:val="left"/>
        <w:rPr>
          <w:rFonts w:ascii="宋体" w:hAnsi="宋体"/>
          <w:b/>
          <w:bCs/>
          <w:color w:val="auto"/>
          <w:sz w:val="24"/>
          <w:highlight w:val="none"/>
        </w:rPr>
      </w:pPr>
      <w:r>
        <w:rPr>
          <w:rFonts w:hint="eastAsia" w:ascii="宋体" w:hAnsi="宋体"/>
          <w:b/>
          <w:bCs/>
          <w:color w:val="auto"/>
          <w:sz w:val="24"/>
          <w:highlight w:val="none"/>
        </w:rPr>
        <w:t>19. 解决争议的方法</w:t>
      </w:r>
    </w:p>
    <w:p w14:paraId="7BFB39C0">
      <w:pPr>
        <w:pStyle w:val="213"/>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2AD657A9">
      <w:pPr>
        <w:pStyle w:val="213"/>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19.2 选择仲裁的，应在</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中明确仲裁机构及仲裁地；通过诉讼方式解决的，可以在</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中进一步约定选择与争议有实际联系的地点的人民法院管辖，但管辖法院的约定不得违反级别管辖和专属管辖的规定。</w:t>
      </w:r>
    </w:p>
    <w:p w14:paraId="272132DF">
      <w:pPr>
        <w:pStyle w:val="213"/>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19.3 如甲乙双方有争议的事项不影响合同其他部分的履行，在争议解决期间，合同其他部分应当继续履行。</w:t>
      </w:r>
    </w:p>
    <w:p w14:paraId="48A0846E">
      <w:pPr>
        <w:spacing w:line="400" w:lineRule="exact"/>
        <w:jc w:val="left"/>
        <w:rPr>
          <w:rFonts w:ascii="宋体" w:hAnsi="宋体"/>
          <w:color w:val="auto"/>
          <w:sz w:val="24"/>
          <w:highlight w:val="none"/>
        </w:rPr>
      </w:pPr>
      <w:r>
        <w:rPr>
          <w:rFonts w:hint="eastAsia" w:ascii="宋体" w:hAnsi="宋体"/>
          <w:b/>
          <w:color w:val="auto"/>
          <w:sz w:val="24"/>
          <w:highlight w:val="none"/>
        </w:rPr>
        <w:t>20. 政府采购政策</w:t>
      </w:r>
    </w:p>
    <w:p w14:paraId="18146DBD">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 xml:space="preserve">20.1 </w:t>
      </w:r>
      <w:r>
        <w:rPr>
          <w:rFonts w:hint="eastAsia" w:ascii="宋体" w:hAnsi="宋体" w:cs="宋体"/>
          <w:color w:val="auto"/>
          <w:highlight w:val="none"/>
          <w:lang w:val="en-GB"/>
        </w:rPr>
        <w:t>本合同应当按照规定执行政府采购政策。</w:t>
      </w:r>
    </w:p>
    <w:p w14:paraId="2612DC9E">
      <w:pPr>
        <w:spacing w:line="400" w:lineRule="exact"/>
        <w:ind w:firstLine="420"/>
        <w:jc w:val="left"/>
        <w:rPr>
          <w:rFonts w:ascii="宋体" w:hAnsi="宋体"/>
          <w:color w:val="auto"/>
          <w:szCs w:val="21"/>
          <w:highlight w:val="none"/>
        </w:rPr>
      </w:pPr>
      <w:r>
        <w:rPr>
          <w:rFonts w:ascii="宋体" w:hAnsi="宋体"/>
          <w:color w:val="auto"/>
          <w:szCs w:val="21"/>
          <w:highlight w:val="none"/>
        </w:rPr>
        <w:t>2</w:t>
      </w:r>
      <w:r>
        <w:rPr>
          <w:rFonts w:hint="eastAsia" w:ascii="宋体" w:hAnsi="宋体"/>
          <w:color w:val="auto"/>
          <w:szCs w:val="21"/>
          <w:highlight w:val="none"/>
        </w:rPr>
        <w:t>0.2 本合同依法执行政府采购政策的方式和内容，属于合同履约验收的范围。</w:t>
      </w:r>
      <w:r>
        <w:rPr>
          <w:rFonts w:hint="eastAsia" w:ascii="宋体" w:hAnsi="宋体" w:cs="宋体"/>
          <w:color w:val="auto"/>
          <w:highlight w:val="none"/>
        </w:rPr>
        <w:t>甲乙双方</w:t>
      </w:r>
      <w:r>
        <w:rPr>
          <w:rFonts w:hint="eastAsia" w:ascii="宋体" w:hAnsi="宋体" w:cs="宋体"/>
          <w:color w:val="auto"/>
          <w:highlight w:val="none"/>
          <w:lang w:val="en-GB"/>
        </w:rPr>
        <w:t>未按规定要求执行政府采购政策造成损失的</w:t>
      </w:r>
      <w:r>
        <w:rPr>
          <w:rFonts w:hint="eastAsia" w:ascii="宋体" w:hAnsi="宋体"/>
          <w:color w:val="auto"/>
          <w:szCs w:val="21"/>
          <w:highlight w:val="none"/>
        </w:rPr>
        <w:t>，有过错的一方应当承担赔偿责任，双方都有过错的，各自承担相应的责任。</w:t>
      </w:r>
    </w:p>
    <w:p w14:paraId="20625DA4">
      <w:pPr>
        <w:spacing w:line="400" w:lineRule="exact"/>
        <w:ind w:firstLine="420"/>
        <w:jc w:val="left"/>
        <w:rPr>
          <w:rFonts w:ascii="宋体" w:hAnsi="宋体"/>
          <w:color w:val="auto"/>
          <w:szCs w:val="21"/>
          <w:highlight w:val="none"/>
        </w:rPr>
      </w:pPr>
      <w:r>
        <w:rPr>
          <w:rFonts w:ascii="宋体" w:hAnsi="宋体"/>
          <w:color w:val="auto"/>
          <w:szCs w:val="21"/>
          <w:highlight w:val="none"/>
        </w:rPr>
        <w:t>2</w:t>
      </w:r>
      <w:r>
        <w:rPr>
          <w:rFonts w:hint="eastAsia" w:ascii="宋体" w:hAnsi="宋体"/>
          <w:color w:val="auto"/>
          <w:szCs w:val="21"/>
          <w:highlight w:val="none"/>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5B06EF59">
      <w:pPr>
        <w:spacing w:line="400" w:lineRule="exact"/>
        <w:jc w:val="left"/>
        <w:rPr>
          <w:rFonts w:ascii="宋体" w:hAnsi="宋体"/>
          <w:b/>
          <w:color w:val="auto"/>
          <w:sz w:val="24"/>
          <w:highlight w:val="none"/>
        </w:rPr>
      </w:pPr>
      <w:r>
        <w:rPr>
          <w:rFonts w:hint="eastAsia" w:ascii="宋体" w:hAnsi="宋体"/>
          <w:b/>
          <w:color w:val="auto"/>
          <w:sz w:val="24"/>
          <w:highlight w:val="none"/>
        </w:rPr>
        <w:t>21. 法律适用</w:t>
      </w:r>
    </w:p>
    <w:p w14:paraId="09570792">
      <w:pPr>
        <w:pStyle w:val="213"/>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21.1 本合同的订立、生效、解释、履行及与本合同有关的争议解决，均适用法律、行政法规。</w:t>
      </w:r>
    </w:p>
    <w:p w14:paraId="2557713E">
      <w:pPr>
        <w:pStyle w:val="213"/>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21.2 本合同条款与法律、行政法规的强制性规定不一致的，双方当事人应按照法律、行政法规的强制性规定修改本合同的相关条款。</w:t>
      </w:r>
    </w:p>
    <w:p w14:paraId="6CD8C256">
      <w:pPr>
        <w:spacing w:line="400" w:lineRule="exact"/>
        <w:jc w:val="left"/>
        <w:rPr>
          <w:rFonts w:ascii="宋体" w:hAnsi="宋体"/>
          <w:b/>
          <w:color w:val="auto"/>
          <w:sz w:val="24"/>
          <w:highlight w:val="none"/>
        </w:rPr>
      </w:pPr>
      <w:r>
        <w:rPr>
          <w:rFonts w:hint="eastAsia" w:ascii="宋体" w:hAnsi="宋体"/>
          <w:b/>
          <w:color w:val="auto"/>
          <w:sz w:val="24"/>
          <w:highlight w:val="none"/>
        </w:rPr>
        <w:t>22. 通知</w:t>
      </w:r>
    </w:p>
    <w:p w14:paraId="1D216B83">
      <w:pPr>
        <w:pStyle w:val="213"/>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22.1 本合同任何一方向对方发出的通知、信件、数据电文等，应当发送至本合同第一部分《政府采购合同协议书》所约定的通讯地址、联系人、联系电话或电子邮箱。</w:t>
      </w:r>
    </w:p>
    <w:p w14:paraId="4A189924">
      <w:pPr>
        <w:pStyle w:val="213"/>
        <w:ind w:firstLine="0"/>
        <w:jc w:val="both"/>
        <w:rPr>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p>
    <w:p w14:paraId="2F6F9861">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22.3本合同一方给另一方的通知均应采用书面形式，传真或快递送到本合同中规定的对方的地址和办理签收手续。</w:t>
      </w:r>
    </w:p>
    <w:p w14:paraId="4BA150D5">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22.4通知以送达之日或通知书中规定的生效之日起生效，两者中以较迟之日为准。</w:t>
      </w:r>
    </w:p>
    <w:p w14:paraId="77EBF787">
      <w:pPr>
        <w:numPr>
          <w:ilvl w:val="0"/>
          <w:numId w:val="8"/>
        </w:numPr>
        <w:spacing w:line="400" w:lineRule="exact"/>
        <w:jc w:val="left"/>
        <w:rPr>
          <w:rFonts w:ascii="宋体" w:hAnsi="宋体"/>
          <w:b/>
          <w:bCs/>
          <w:color w:val="auto"/>
          <w:sz w:val="24"/>
          <w:highlight w:val="none"/>
        </w:rPr>
      </w:pPr>
      <w:r>
        <w:rPr>
          <w:rFonts w:hint="eastAsia" w:ascii="宋体" w:hAnsi="宋体"/>
          <w:b/>
          <w:bCs/>
          <w:color w:val="auto"/>
          <w:sz w:val="24"/>
          <w:highlight w:val="none"/>
        </w:rPr>
        <w:t>合同未尽事项</w:t>
      </w:r>
    </w:p>
    <w:p w14:paraId="63707DE9">
      <w:pPr>
        <w:spacing w:line="400" w:lineRule="exact"/>
        <w:ind w:firstLine="420"/>
        <w:jc w:val="left"/>
        <w:rPr>
          <w:rFonts w:ascii="宋体" w:hAnsi="宋体"/>
          <w:bCs/>
          <w:color w:val="auto"/>
          <w:szCs w:val="21"/>
          <w:highlight w:val="none"/>
        </w:rPr>
      </w:pPr>
      <w:r>
        <w:rPr>
          <w:rFonts w:hint="eastAsia" w:ascii="宋体" w:hAnsi="宋体"/>
          <w:bCs/>
          <w:color w:val="auto"/>
          <w:szCs w:val="21"/>
          <w:highlight w:val="none"/>
        </w:rPr>
        <w:t>23.1合同未尽事项见</w:t>
      </w:r>
      <w:r>
        <w:rPr>
          <w:rFonts w:hint="eastAsia" w:ascii="宋体" w:hAnsi="宋体"/>
          <w:b/>
          <w:color w:val="auto"/>
          <w:szCs w:val="21"/>
          <w:highlight w:val="none"/>
        </w:rPr>
        <w:t>【政府采购合同专用条款】</w:t>
      </w:r>
      <w:r>
        <w:rPr>
          <w:rFonts w:hint="eastAsia" w:ascii="宋体" w:hAnsi="宋体"/>
          <w:bCs/>
          <w:color w:val="auto"/>
          <w:szCs w:val="21"/>
          <w:highlight w:val="none"/>
        </w:rPr>
        <w:t>。</w:t>
      </w:r>
    </w:p>
    <w:p w14:paraId="28324746">
      <w:pPr>
        <w:spacing w:line="400" w:lineRule="exact"/>
        <w:jc w:val="left"/>
        <w:rPr>
          <w:rFonts w:ascii="黑体" w:hAnsi="华文中宋" w:eastAsia="黑体"/>
          <w:color w:val="auto"/>
          <w:sz w:val="28"/>
          <w:szCs w:val="28"/>
          <w:highlight w:val="none"/>
        </w:rPr>
      </w:pPr>
      <w:r>
        <w:rPr>
          <w:rFonts w:hint="eastAsia" w:ascii="宋体" w:hAnsi="宋体"/>
          <w:bCs/>
          <w:color w:val="auto"/>
          <w:szCs w:val="21"/>
          <w:highlight w:val="none"/>
        </w:rPr>
        <w:t xml:space="preserve">    23.2 合同附件与合同正文具有同等的法律效力。</w:t>
      </w:r>
    </w:p>
    <w:p w14:paraId="1F43EA02">
      <w:pPr>
        <w:jc w:val="center"/>
        <w:rPr>
          <w:rFonts w:ascii="黑体" w:hAnsi="华文中宋" w:eastAsia="黑体"/>
          <w:color w:val="auto"/>
          <w:sz w:val="28"/>
          <w:szCs w:val="28"/>
          <w:highlight w:val="none"/>
        </w:rPr>
      </w:pPr>
      <w:r>
        <w:rPr>
          <w:rFonts w:hint="eastAsia" w:ascii="黑体" w:hAnsi="华文中宋" w:eastAsia="黑体"/>
          <w:color w:val="auto"/>
          <w:sz w:val="28"/>
          <w:szCs w:val="28"/>
          <w:highlight w:val="none"/>
        </w:rPr>
        <w:br w:type="page" w:clear="all"/>
      </w:r>
    </w:p>
    <w:p w14:paraId="135FEA55">
      <w:pPr>
        <w:pStyle w:val="3"/>
        <w:rPr>
          <w:rFonts w:ascii="黑体" w:hAnsi="华文中宋" w:eastAsia="黑体"/>
          <w:b w:val="0"/>
          <w:bCs w:val="0"/>
          <w:color w:val="auto"/>
          <w:sz w:val="28"/>
          <w:szCs w:val="28"/>
          <w:highlight w:val="none"/>
        </w:rPr>
      </w:pPr>
      <w:r>
        <w:rPr>
          <w:rFonts w:hint="eastAsia" w:ascii="黑体" w:hAnsi="华文中宋" w:eastAsia="黑体"/>
          <w:b w:val="0"/>
          <w:bCs w:val="0"/>
          <w:color w:val="auto"/>
          <w:sz w:val="28"/>
          <w:szCs w:val="28"/>
          <w:highlight w:val="none"/>
        </w:rPr>
        <w:t>第三节 政府采购合同专用条款</w:t>
      </w:r>
    </w:p>
    <w:tbl>
      <w:tblPr>
        <w:tblStyle w:val="37"/>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4805D3F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62472370">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07F0880B">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第1.2（6）项</w:t>
            </w:r>
          </w:p>
        </w:tc>
        <w:tc>
          <w:tcPr>
            <w:tcW w:w="1742" w:type="dxa"/>
            <w:noWrap w:val="0"/>
            <w:vAlign w:val="center"/>
          </w:tcPr>
          <w:p w14:paraId="03DB27E9">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color w:val="auto"/>
                <w:szCs w:val="21"/>
                <w:highlight w:val="none"/>
              </w:rPr>
              <w:t>联合体具体要求</w:t>
            </w:r>
          </w:p>
        </w:tc>
        <w:tc>
          <w:tcPr>
            <w:tcW w:w="5170" w:type="dxa"/>
            <w:noWrap w:val="0"/>
            <w:vAlign w:val="center"/>
          </w:tcPr>
          <w:p w14:paraId="1E3CD756">
            <w:pPr>
              <w:keepNext w:val="0"/>
              <w:keepLines w:val="0"/>
              <w:suppressLineNumbers w:val="0"/>
              <w:spacing w:before="0" w:beforeAutospacing="0" w:after="0" w:afterAutospacing="0"/>
              <w:ind w:left="0" w:right="0"/>
              <w:jc w:val="left"/>
              <w:rPr>
                <w:rFonts w:ascii="宋体" w:hAnsi="宋体"/>
                <w:color w:val="auto"/>
                <w:szCs w:val="21"/>
                <w:highlight w:val="none"/>
              </w:rPr>
            </w:pPr>
          </w:p>
        </w:tc>
      </w:tr>
      <w:tr w14:paraId="5EF8143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noWrap w:val="0"/>
            <w:vAlign w:val="center"/>
          </w:tcPr>
          <w:p w14:paraId="3669E6FE">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1A1CADC0">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第1.2（7）项</w:t>
            </w:r>
          </w:p>
        </w:tc>
        <w:tc>
          <w:tcPr>
            <w:tcW w:w="1742" w:type="dxa"/>
            <w:noWrap w:val="0"/>
            <w:vAlign w:val="center"/>
          </w:tcPr>
          <w:p w14:paraId="677211DD">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color w:val="auto"/>
                <w:szCs w:val="21"/>
                <w:highlight w:val="none"/>
              </w:rPr>
              <w:t>其他术语解释</w:t>
            </w:r>
          </w:p>
        </w:tc>
        <w:tc>
          <w:tcPr>
            <w:tcW w:w="5170" w:type="dxa"/>
            <w:noWrap w:val="0"/>
            <w:vAlign w:val="center"/>
          </w:tcPr>
          <w:p w14:paraId="28E4D4B2">
            <w:pPr>
              <w:keepNext w:val="0"/>
              <w:keepLines w:val="0"/>
              <w:suppressLineNumbers w:val="0"/>
              <w:spacing w:before="0" w:beforeAutospacing="0" w:after="0" w:afterAutospacing="0"/>
              <w:ind w:left="0" w:right="0"/>
              <w:jc w:val="left"/>
              <w:rPr>
                <w:rFonts w:ascii="宋体" w:hAnsi="宋体"/>
                <w:color w:val="auto"/>
                <w:szCs w:val="21"/>
                <w:highlight w:val="none"/>
              </w:rPr>
            </w:pPr>
          </w:p>
        </w:tc>
      </w:tr>
      <w:tr w14:paraId="5844481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1B8902E6">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50B7F6F0">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第4.4款</w:t>
            </w:r>
          </w:p>
        </w:tc>
        <w:tc>
          <w:tcPr>
            <w:tcW w:w="1742" w:type="dxa"/>
            <w:noWrap w:val="0"/>
            <w:vAlign w:val="center"/>
          </w:tcPr>
          <w:p w14:paraId="639B95FB">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color w:val="auto"/>
                <w:szCs w:val="21"/>
                <w:highlight w:val="none"/>
              </w:rPr>
              <w:t>履约验收中甲方提出异议或作出说明的期限</w:t>
            </w:r>
          </w:p>
        </w:tc>
        <w:tc>
          <w:tcPr>
            <w:tcW w:w="5170" w:type="dxa"/>
            <w:noWrap w:val="0"/>
            <w:vAlign w:val="center"/>
          </w:tcPr>
          <w:p w14:paraId="63C1D506">
            <w:pPr>
              <w:keepNext w:val="0"/>
              <w:keepLines w:val="0"/>
              <w:suppressLineNumbers w:val="0"/>
              <w:spacing w:before="0" w:beforeAutospacing="0" w:after="0" w:afterAutospacing="0"/>
              <w:ind w:left="0" w:right="0"/>
              <w:jc w:val="left"/>
              <w:rPr>
                <w:rFonts w:ascii="宋体" w:hAnsi="宋体"/>
                <w:color w:val="auto"/>
                <w:szCs w:val="21"/>
                <w:highlight w:val="none"/>
              </w:rPr>
            </w:pPr>
          </w:p>
        </w:tc>
      </w:tr>
      <w:tr w14:paraId="7BF713A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7CC9BC73">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7B49E98C">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第4.6款</w:t>
            </w:r>
          </w:p>
        </w:tc>
        <w:tc>
          <w:tcPr>
            <w:tcW w:w="1742" w:type="dxa"/>
            <w:noWrap w:val="0"/>
            <w:vAlign w:val="center"/>
          </w:tcPr>
          <w:p w14:paraId="5A92DF51">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color w:val="auto"/>
                <w:szCs w:val="21"/>
                <w:highlight w:val="none"/>
              </w:rPr>
              <w:t>约定甲方承担的其他义务和责任</w:t>
            </w:r>
          </w:p>
        </w:tc>
        <w:tc>
          <w:tcPr>
            <w:tcW w:w="5170" w:type="dxa"/>
            <w:noWrap w:val="0"/>
            <w:vAlign w:val="center"/>
          </w:tcPr>
          <w:p w14:paraId="54C8944C">
            <w:pPr>
              <w:keepNext w:val="0"/>
              <w:keepLines w:val="0"/>
              <w:suppressLineNumbers w:val="0"/>
              <w:spacing w:before="0" w:beforeAutospacing="0" w:after="0" w:afterAutospacing="0"/>
              <w:ind w:left="0" w:right="0"/>
              <w:jc w:val="left"/>
              <w:rPr>
                <w:rFonts w:ascii="宋体" w:hAnsi="宋体"/>
                <w:color w:val="auto"/>
                <w:szCs w:val="21"/>
                <w:highlight w:val="none"/>
              </w:rPr>
            </w:pPr>
          </w:p>
        </w:tc>
      </w:tr>
      <w:tr w14:paraId="627333B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057C5AB5">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09587EDF">
            <w:pPr>
              <w:keepNext w:val="0"/>
              <w:keepLines w:val="0"/>
              <w:suppressLineNumbers w:val="0"/>
              <w:spacing w:before="0" w:beforeAutospacing="0" w:after="0" w:afterAutospacing="0"/>
              <w:ind w:left="0" w:right="0"/>
              <w:jc w:val="center"/>
              <w:rPr>
                <w:color w:val="auto"/>
                <w:highlight w:val="none"/>
              </w:rPr>
            </w:pPr>
            <w:r>
              <w:rPr>
                <w:rFonts w:hint="eastAsia" w:ascii="宋体" w:hAnsi="宋体"/>
                <w:color w:val="auto"/>
                <w:szCs w:val="21"/>
                <w:highlight w:val="none"/>
              </w:rPr>
              <w:t>第5.4款</w:t>
            </w:r>
          </w:p>
        </w:tc>
        <w:tc>
          <w:tcPr>
            <w:tcW w:w="1742" w:type="dxa"/>
            <w:noWrap w:val="0"/>
            <w:vAlign w:val="center"/>
          </w:tcPr>
          <w:p w14:paraId="185E4C77">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color w:val="auto"/>
                <w:szCs w:val="21"/>
                <w:highlight w:val="none"/>
              </w:rPr>
              <w:t>约定乙方承担的其他义务和责任</w:t>
            </w:r>
          </w:p>
        </w:tc>
        <w:tc>
          <w:tcPr>
            <w:tcW w:w="5170" w:type="dxa"/>
            <w:noWrap w:val="0"/>
            <w:vAlign w:val="center"/>
          </w:tcPr>
          <w:p w14:paraId="0FECDF75">
            <w:pPr>
              <w:keepNext w:val="0"/>
              <w:keepLines w:val="0"/>
              <w:suppressLineNumbers w:val="0"/>
              <w:spacing w:before="0" w:beforeAutospacing="0" w:after="0" w:afterAutospacing="0"/>
              <w:ind w:left="0" w:right="0"/>
              <w:jc w:val="left"/>
              <w:rPr>
                <w:rFonts w:ascii="宋体" w:hAnsi="宋体"/>
                <w:color w:val="auto"/>
                <w:szCs w:val="21"/>
                <w:highlight w:val="none"/>
              </w:rPr>
            </w:pPr>
          </w:p>
        </w:tc>
      </w:tr>
      <w:tr w14:paraId="6B0CF22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539AD708">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7E50395D">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第6.1款</w:t>
            </w:r>
          </w:p>
        </w:tc>
        <w:tc>
          <w:tcPr>
            <w:tcW w:w="1742" w:type="dxa"/>
            <w:noWrap w:val="0"/>
            <w:vAlign w:val="center"/>
          </w:tcPr>
          <w:p w14:paraId="5C9A2464">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color w:val="auto"/>
                <w:szCs w:val="21"/>
                <w:highlight w:val="none"/>
              </w:rPr>
              <w:t>履行合同义务的顺序</w:t>
            </w:r>
          </w:p>
        </w:tc>
        <w:tc>
          <w:tcPr>
            <w:tcW w:w="5170" w:type="dxa"/>
            <w:noWrap w:val="0"/>
            <w:vAlign w:val="center"/>
          </w:tcPr>
          <w:p w14:paraId="1BAB4D28">
            <w:pPr>
              <w:keepNext w:val="0"/>
              <w:keepLines w:val="0"/>
              <w:suppressLineNumbers w:val="0"/>
              <w:spacing w:before="0" w:beforeAutospacing="0" w:after="0" w:afterAutospacing="0"/>
              <w:ind w:left="0" w:right="0"/>
              <w:jc w:val="left"/>
              <w:rPr>
                <w:rFonts w:ascii="宋体" w:hAnsi="宋体"/>
                <w:color w:val="auto"/>
                <w:szCs w:val="21"/>
                <w:highlight w:val="none"/>
              </w:rPr>
            </w:pPr>
          </w:p>
        </w:tc>
      </w:tr>
      <w:tr w14:paraId="120021E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noWrap w:val="0"/>
            <w:vAlign w:val="center"/>
          </w:tcPr>
          <w:p w14:paraId="3843FC3C">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64630A42">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第7.1款</w:t>
            </w:r>
          </w:p>
        </w:tc>
        <w:tc>
          <w:tcPr>
            <w:tcW w:w="1742" w:type="dxa"/>
            <w:noWrap w:val="0"/>
            <w:vAlign w:val="center"/>
          </w:tcPr>
          <w:p w14:paraId="4972B2C4">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color w:val="auto"/>
                <w:szCs w:val="21"/>
                <w:highlight w:val="none"/>
              </w:rPr>
              <w:t>包装特殊要求</w:t>
            </w:r>
          </w:p>
        </w:tc>
        <w:tc>
          <w:tcPr>
            <w:tcW w:w="5170" w:type="dxa"/>
            <w:noWrap w:val="0"/>
            <w:vAlign w:val="center"/>
          </w:tcPr>
          <w:p w14:paraId="20A15BE1">
            <w:pPr>
              <w:keepNext w:val="0"/>
              <w:keepLines w:val="0"/>
              <w:suppressLineNumbers w:val="0"/>
              <w:spacing w:before="0" w:beforeAutospacing="0" w:after="0" w:afterAutospacing="0"/>
              <w:ind w:left="0" w:right="0"/>
              <w:rPr>
                <w:color w:val="auto"/>
                <w:highlight w:val="none"/>
              </w:rPr>
            </w:pPr>
          </w:p>
        </w:tc>
      </w:tr>
      <w:tr w14:paraId="06B483A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noWrap w:val="0"/>
            <w:vAlign w:val="center"/>
          </w:tcPr>
          <w:p w14:paraId="263A5DBE">
            <w:pPr>
              <w:keepNext w:val="0"/>
              <w:keepLines w:val="0"/>
              <w:suppressLineNumbers w:val="0"/>
              <w:spacing w:before="0" w:beforeAutospacing="0" w:after="0" w:afterAutospacing="0"/>
              <w:ind w:left="0" w:right="0"/>
              <w:jc w:val="center"/>
              <w:rPr>
                <w:rFonts w:ascii="宋体" w:hAnsi="宋体"/>
                <w:color w:val="auto"/>
                <w:szCs w:val="21"/>
                <w:highlight w:val="none"/>
              </w:rPr>
            </w:pPr>
          </w:p>
        </w:tc>
        <w:tc>
          <w:tcPr>
            <w:tcW w:w="1742" w:type="dxa"/>
            <w:noWrap w:val="0"/>
            <w:vAlign w:val="center"/>
          </w:tcPr>
          <w:p w14:paraId="3A4FD500">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color w:val="auto"/>
                <w:szCs w:val="21"/>
                <w:highlight w:val="none"/>
              </w:rPr>
              <w:t>指定现场</w:t>
            </w:r>
          </w:p>
        </w:tc>
        <w:tc>
          <w:tcPr>
            <w:tcW w:w="5170" w:type="dxa"/>
            <w:noWrap w:val="0"/>
            <w:vAlign w:val="center"/>
          </w:tcPr>
          <w:p w14:paraId="1D3D824B">
            <w:pPr>
              <w:keepNext w:val="0"/>
              <w:keepLines w:val="0"/>
              <w:suppressLineNumbers w:val="0"/>
              <w:spacing w:before="0" w:beforeAutospacing="0" w:after="0" w:afterAutospacing="0"/>
              <w:ind w:left="0" w:right="0"/>
              <w:rPr>
                <w:color w:val="auto"/>
                <w:highlight w:val="none"/>
              </w:rPr>
            </w:pPr>
          </w:p>
        </w:tc>
      </w:tr>
      <w:tr w14:paraId="0075EE0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noWrap w:val="0"/>
            <w:vAlign w:val="center"/>
          </w:tcPr>
          <w:p w14:paraId="334033AA">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58B7B8AE">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第7.2款</w:t>
            </w:r>
          </w:p>
        </w:tc>
        <w:tc>
          <w:tcPr>
            <w:tcW w:w="1742" w:type="dxa"/>
            <w:noWrap w:val="0"/>
            <w:vAlign w:val="center"/>
          </w:tcPr>
          <w:p w14:paraId="698A6717">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color w:val="auto"/>
                <w:szCs w:val="21"/>
                <w:highlight w:val="none"/>
              </w:rPr>
              <w:t>运输特殊要求</w:t>
            </w:r>
          </w:p>
        </w:tc>
        <w:tc>
          <w:tcPr>
            <w:tcW w:w="5170" w:type="dxa"/>
            <w:noWrap w:val="0"/>
            <w:vAlign w:val="center"/>
          </w:tcPr>
          <w:p w14:paraId="749EEACA">
            <w:pPr>
              <w:keepNext w:val="0"/>
              <w:keepLines w:val="0"/>
              <w:suppressLineNumbers w:val="0"/>
              <w:spacing w:before="0" w:beforeAutospacing="0" w:after="0" w:afterAutospacing="0"/>
              <w:ind w:left="0" w:right="0"/>
              <w:rPr>
                <w:color w:val="auto"/>
                <w:highlight w:val="none"/>
              </w:rPr>
            </w:pPr>
          </w:p>
        </w:tc>
      </w:tr>
      <w:tr w14:paraId="007FD0C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noWrap w:val="0"/>
            <w:vAlign w:val="center"/>
          </w:tcPr>
          <w:p w14:paraId="39647F42">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5693EE32">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第7.3款</w:t>
            </w:r>
          </w:p>
        </w:tc>
        <w:tc>
          <w:tcPr>
            <w:tcW w:w="1742" w:type="dxa"/>
            <w:noWrap w:val="0"/>
            <w:vAlign w:val="center"/>
          </w:tcPr>
          <w:p w14:paraId="3607E793">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color w:val="auto"/>
                <w:szCs w:val="21"/>
                <w:highlight w:val="none"/>
              </w:rPr>
              <w:t>保险要求</w:t>
            </w:r>
          </w:p>
        </w:tc>
        <w:tc>
          <w:tcPr>
            <w:tcW w:w="5170" w:type="dxa"/>
            <w:noWrap w:val="0"/>
            <w:vAlign w:val="center"/>
          </w:tcPr>
          <w:p w14:paraId="700771E3">
            <w:pPr>
              <w:keepNext w:val="0"/>
              <w:keepLines w:val="0"/>
              <w:suppressLineNumbers w:val="0"/>
              <w:spacing w:before="0" w:beforeAutospacing="0" w:after="0" w:afterAutospacing="0"/>
              <w:ind w:left="0" w:right="0"/>
              <w:rPr>
                <w:color w:val="auto"/>
                <w:highlight w:val="none"/>
              </w:rPr>
            </w:pPr>
          </w:p>
        </w:tc>
      </w:tr>
      <w:tr w14:paraId="1676510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7808623B">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43E7AF02">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第8.2（1）项</w:t>
            </w:r>
          </w:p>
        </w:tc>
        <w:tc>
          <w:tcPr>
            <w:tcW w:w="1742" w:type="dxa"/>
            <w:noWrap w:val="0"/>
            <w:vAlign w:val="center"/>
          </w:tcPr>
          <w:p w14:paraId="69515E33">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color w:val="auto"/>
                <w:szCs w:val="21"/>
                <w:highlight w:val="none"/>
              </w:rPr>
              <w:t>质量保证期</w:t>
            </w:r>
          </w:p>
        </w:tc>
        <w:tc>
          <w:tcPr>
            <w:tcW w:w="5170" w:type="dxa"/>
            <w:noWrap w:val="0"/>
            <w:vAlign w:val="center"/>
          </w:tcPr>
          <w:p w14:paraId="4EA840ED">
            <w:pPr>
              <w:keepNext w:val="0"/>
              <w:keepLines w:val="0"/>
              <w:suppressLineNumbers w:val="0"/>
              <w:spacing w:before="0" w:beforeAutospacing="0" w:after="0" w:afterAutospacing="0"/>
              <w:ind w:left="0" w:right="0" w:firstLine="420"/>
              <w:jc w:val="left"/>
              <w:rPr>
                <w:rFonts w:ascii="宋体" w:hAnsi="宋体"/>
                <w:color w:val="auto"/>
                <w:szCs w:val="21"/>
                <w:highlight w:val="none"/>
              </w:rPr>
            </w:pPr>
          </w:p>
        </w:tc>
      </w:tr>
      <w:tr w14:paraId="10BBE3F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09B209FC">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26160736">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第8.2（3）项</w:t>
            </w:r>
          </w:p>
        </w:tc>
        <w:tc>
          <w:tcPr>
            <w:tcW w:w="1742" w:type="dxa"/>
            <w:noWrap w:val="0"/>
            <w:vAlign w:val="center"/>
          </w:tcPr>
          <w:p w14:paraId="2D43D123">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color w:val="auto"/>
                <w:szCs w:val="21"/>
                <w:highlight w:val="none"/>
              </w:rPr>
              <w:t>货物质量缺陷</w:t>
            </w:r>
          </w:p>
          <w:p w14:paraId="223C11EB">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color w:val="auto"/>
                <w:szCs w:val="21"/>
                <w:highlight w:val="none"/>
              </w:rPr>
              <w:t>响应时间</w:t>
            </w:r>
          </w:p>
        </w:tc>
        <w:tc>
          <w:tcPr>
            <w:tcW w:w="5170" w:type="dxa"/>
            <w:noWrap w:val="0"/>
            <w:vAlign w:val="center"/>
          </w:tcPr>
          <w:p w14:paraId="015CC88F">
            <w:pPr>
              <w:keepNext w:val="0"/>
              <w:keepLines w:val="0"/>
              <w:suppressLineNumbers w:val="0"/>
              <w:spacing w:before="0" w:beforeAutospacing="0" w:after="0" w:afterAutospacing="0"/>
              <w:ind w:left="0" w:right="0"/>
              <w:jc w:val="left"/>
              <w:rPr>
                <w:rFonts w:ascii="宋体" w:hAnsi="宋体"/>
                <w:color w:val="auto"/>
                <w:szCs w:val="21"/>
                <w:highlight w:val="none"/>
              </w:rPr>
            </w:pPr>
          </w:p>
        </w:tc>
      </w:tr>
      <w:tr w14:paraId="630F3CB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3438DFB7">
            <w:pPr>
              <w:keepNext w:val="0"/>
              <w:keepLines w:val="0"/>
              <w:suppressLineNumbers w:val="0"/>
              <w:spacing w:before="0" w:beforeAutospacing="0" w:after="0" w:afterAutospacing="0"/>
              <w:ind w:left="0" w:right="0"/>
              <w:jc w:val="center"/>
              <w:rPr>
                <w:rFonts w:ascii="宋体" w:hAnsi="宋体" w:cs="宋体"/>
                <w:color w:val="auto"/>
                <w:szCs w:val="21"/>
                <w:highlight w:val="none"/>
              </w:rPr>
            </w:pPr>
            <w:r>
              <w:rPr>
                <w:rFonts w:hint="eastAsia" w:ascii="宋体" w:hAnsi="宋体" w:cs="宋体"/>
                <w:color w:val="auto"/>
                <w:szCs w:val="21"/>
                <w:highlight w:val="none"/>
              </w:rPr>
              <w:t>第二节</w:t>
            </w:r>
          </w:p>
          <w:p w14:paraId="00835D92">
            <w:pPr>
              <w:pStyle w:val="213"/>
              <w:keepNext w:val="0"/>
              <w:keepLines w:val="0"/>
              <w:widowControl/>
              <w:suppressLineNumbers w:val="0"/>
              <w:spacing w:before="0" w:beforeAutospacing="0" w:after="0" w:afterAutospacing="0"/>
              <w:ind w:left="0" w:right="0" w:firstLine="0"/>
              <w:jc w:val="center"/>
              <w:rPr>
                <w:color w:val="auto"/>
                <w:highlight w:val="none"/>
              </w:rPr>
            </w:pPr>
            <w:r>
              <w:rPr>
                <w:rFonts w:hint="eastAsia" w:ascii="宋体" w:hAnsi="宋体" w:eastAsia="宋体" w:cs="宋体"/>
                <w:color w:val="auto"/>
                <w:highlight w:val="none"/>
              </w:rPr>
              <w:t>第11.1款</w:t>
            </w:r>
          </w:p>
        </w:tc>
        <w:tc>
          <w:tcPr>
            <w:tcW w:w="1742" w:type="dxa"/>
            <w:noWrap w:val="0"/>
            <w:vAlign w:val="center"/>
          </w:tcPr>
          <w:p w14:paraId="3544559C">
            <w:pPr>
              <w:keepNext w:val="0"/>
              <w:keepLines w:val="0"/>
              <w:suppressLineNumbers w:val="0"/>
              <w:spacing w:before="0" w:beforeAutospacing="0" w:after="0" w:afterAutospacing="0"/>
              <w:ind w:left="0" w:right="0"/>
              <w:rPr>
                <w:rFonts w:ascii="宋体" w:hAnsi="宋体"/>
                <w:color w:val="auto"/>
                <w:szCs w:val="21"/>
                <w:highlight w:val="none"/>
              </w:rPr>
            </w:pPr>
            <w:r>
              <w:rPr>
                <w:rFonts w:hint="eastAsia" w:ascii="宋体" w:hAnsi="宋体"/>
                <w:color w:val="auto"/>
                <w:szCs w:val="21"/>
                <w:highlight w:val="none"/>
              </w:rPr>
              <w:t>其他应当保密的信息</w:t>
            </w:r>
          </w:p>
        </w:tc>
        <w:tc>
          <w:tcPr>
            <w:tcW w:w="5170" w:type="dxa"/>
            <w:noWrap w:val="0"/>
            <w:vAlign w:val="center"/>
          </w:tcPr>
          <w:p w14:paraId="7A13635C">
            <w:pPr>
              <w:keepNext w:val="0"/>
              <w:keepLines w:val="0"/>
              <w:suppressLineNumbers w:val="0"/>
              <w:spacing w:before="0" w:beforeAutospacing="0" w:after="0" w:afterAutospacing="0"/>
              <w:ind w:left="0" w:right="0"/>
              <w:jc w:val="left"/>
              <w:rPr>
                <w:rFonts w:ascii="宋体" w:hAnsi="宋体"/>
                <w:color w:val="auto"/>
                <w:szCs w:val="21"/>
                <w:highlight w:val="none"/>
              </w:rPr>
            </w:pPr>
          </w:p>
        </w:tc>
      </w:tr>
      <w:tr w14:paraId="26CFE2D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0"/>
            <w:vAlign w:val="center"/>
          </w:tcPr>
          <w:p w14:paraId="03B101A2">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664125BB">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第12.2款</w:t>
            </w:r>
          </w:p>
        </w:tc>
        <w:tc>
          <w:tcPr>
            <w:tcW w:w="1742" w:type="dxa"/>
            <w:noWrap w:val="0"/>
            <w:vAlign w:val="center"/>
          </w:tcPr>
          <w:p w14:paraId="2DD45042">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color w:val="auto"/>
                <w:szCs w:val="21"/>
                <w:highlight w:val="none"/>
              </w:rPr>
              <w:t>合同价款支付时间</w:t>
            </w:r>
          </w:p>
        </w:tc>
        <w:tc>
          <w:tcPr>
            <w:tcW w:w="5170" w:type="dxa"/>
            <w:noWrap w:val="0"/>
            <w:vAlign w:val="center"/>
          </w:tcPr>
          <w:p w14:paraId="632CBBF6">
            <w:pPr>
              <w:keepNext w:val="0"/>
              <w:keepLines w:val="0"/>
              <w:suppressLineNumbers w:val="0"/>
              <w:spacing w:before="0" w:beforeAutospacing="0" w:after="0" w:afterAutospacing="0"/>
              <w:ind w:left="0" w:right="0"/>
              <w:jc w:val="left"/>
              <w:rPr>
                <w:rFonts w:ascii="宋体" w:hAnsi="宋体"/>
                <w:color w:val="auto"/>
                <w:szCs w:val="21"/>
                <w:highlight w:val="none"/>
              </w:rPr>
            </w:pPr>
          </w:p>
        </w:tc>
      </w:tr>
      <w:tr w14:paraId="412E157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0"/>
            <w:vAlign w:val="center"/>
          </w:tcPr>
          <w:p w14:paraId="3C270532">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59A1A4D1">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第13.2款</w:t>
            </w:r>
          </w:p>
        </w:tc>
        <w:tc>
          <w:tcPr>
            <w:tcW w:w="1742" w:type="dxa"/>
            <w:noWrap w:val="0"/>
            <w:vAlign w:val="center"/>
          </w:tcPr>
          <w:p w14:paraId="712EC6D1">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color w:val="auto"/>
                <w:szCs w:val="21"/>
                <w:highlight w:val="none"/>
              </w:rPr>
              <w:t>履约保证金不予退还的情形</w:t>
            </w:r>
          </w:p>
        </w:tc>
        <w:tc>
          <w:tcPr>
            <w:tcW w:w="5170" w:type="dxa"/>
            <w:noWrap w:val="0"/>
            <w:vAlign w:val="center"/>
          </w:tcPr>
          <w:p w14:paraId="629C21CC">
            <w:pPr>
              <w:keepNext w:val="0"/>
              <w:keepLines w:val="0"/>
              <w:suppressLineNumbers w:val="0"/>
              <w:spacing w:before="0" w:beforeAutospacing="0" w:after="0" w:afterAutospacing="0"/>
              <w:ind w:left="0" w:right="0"/>
              <w:jc w:val="left"/>
              <w:rPr>
                <w:rFonts w:ascii="宋体" w:hAnsi="宋体"/>
                <w:color w:val="auto"/>
                <w:szCs w:val="21"/>
                <w:highlight w:val="none"/>
              </w:rPr>
            </w:pPr>
          </w:p>
        </w:tc>
      </w:tr>
      <w:tr w14:paraId="6D2ECE7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332D009E">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544978D8">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第13.3款</w:t>
            </w:r>
          </w:p>
        </w:tc>
        <w:tc>
          <w:tcPr>
            <w:tcW w:w="1742" w:type="dxa"/>
            <w:noWrap w:val="0"/>
            <w:vAlign w:val="center"/>
          </w:tcPr>
          <w:p w14:paraId="3B17105E">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color w:val="auto"/>
                <w:szCs w:val="21"/>
                <w:highlight w:val="none"/>
              </w:rPr>
              <w:t>履约保证金退还时间及逾期退还的违约金</w:t>
            </w:r>
          </w:p>
        </w:tc>
        <w:tc>
          <w:tcPr>
            <w:tcW w:w="5170" w:type="dxa"/>
            <w:noWrap w:val="0"/>
            <w:vAlign w:val="center"/>
          </w:tcPr>
          <w:p w14:paraId="2AF133B2">
            <w:pPr>
              <w:keepNext w:val="0"/>
              <w:keepLines w:val="0"/>
              <w:suppressLineNumbers w:val="0"/>
              <w:spacing w:before="0" w:beforeAutospacing="0" w:after="0" w:afterAutospacing="0"/>
              <w:ind w:left="0" w:right="0"/>
              <w:jc w:val="left"/>
              <w:rPr>
                <w:rFonts w:ascii="宋体" w:hAnsi="宋体"/>
                <w:color w:val="auto"/>
                <w:szCs w:val="21"/>
                <w:highlight w:val="none"/>
              </w:rPr>
            </w:pPr>
          </w:p>
        </w:tc>
      </w:tr>
      <w:tr w14:paraId="162DDD3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0"/>
            <w:vAlign w:val="center"/>
          </w:tcPr>
          <w:p w14:paraId="73784F88">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07AB7549">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第14.1（3）项</w:t>
            </w:r>
          </w:p>
        </w:tc>
        <w:tc>
          <w:tcPr>
            <w:tcW w:w="1742" w:type="dxa"/>
            <w:noWrap w:val="0"/>
            <w:vAlign w:val="center"/>
          </w:tcPr>
          <w:p w14:paraId="00398DF4">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color w:val="auto"/>
                <w:szCs w:val="21"/>
                <w:highlight w:val="none"/>
              </w:rPr>
              <w:t>运行监督、维修期限</w:t>
            </w:r>
          </w:p>
        </w:tc>
        <w:tc>
          <w:tcPr>
            <w:tcW w:w="5170" w:type="dxa"/>
            <w:noWrap w:val="0"/>
            <w:vAlign w:val="center"/>
          </w:tcPr>
          <w:p w14:paraId="5252861A">
            <w:pPr>
              <w:keepNext w:val="0"/>
              <w:keepLines w:val="0"/>
              <w:suppressLineNumbers w:val="0"/>
              <w:spacing w:before="0" w:beforeAutospacing="0" w:after="0" w:afterAutospacing="0"/>
              <w:ind w:left="0" w:right="0"/>
              <w:jc w:val="left"/>
              <w:rPr>
                <w:rFonts w:ascii="宋体" w:hAnsi="宋体"/>
                <w:color w:val="auto"/>
                <w:szCs w:val="21"/>
                <w:highlight w:val="none"/>
              </w:rPr>
            </w:pPr>
          </w:p>
        </w:tc>
      </w:tr>
      <w:tr w14:paraId="507DB3E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0"/>
            <w:vAlign w:val="center"/>
          </w:tcPr>
          <w:p w14:paraId="5EF35D74">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5D5E93ED">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第14.1（5）项</w:t>
            </w:r>
          </w:p>
        </w:tc>
        <w:tc>
          <w:tcPr>
            <w:tcW w:w="1742" w:type="dxa"/>
            <w:noWrap w:val="0"/>
            <w:vAlign w:val="center"/>
          </w:tcPr>
          <w:p w14:paraId="5CD0AC92">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color w:val="auto"/>
                <w:szCs w:val="21"/>
                <w:highlight w:val="none"/>
              </w:rPr>
              <w:t>货物回收的约定</w:t>
            </w:r>
          </w:p>
        </w:tc>
        <w:tc>
          <w:tcPr>
            <w:tcW w:w="5170" w:type="dxa"/>
            <w:noWrap w:val="0"/>
            <w:vAlign w:val="center"/>
          </w:tcPr>
          <w:p w14:paraId="2EDF30B7">
            <w:pPr>
              <w:keepNext w:val="0"/>
              <w:keepLines w:val="0"/>
              <w:suppressLineNumbers w:val="0"/>
              <w:spacing w:before="0" w:beforeAutospacing="0" w:after="0" w:afterAutospacing="0"/>
              <w:ind w:left="0" w:right="0"/>
              <w:jc w:val="left"/>
              <w:rPr>
                <w:rFonts w:ascii="宋体" w:hAnsi="宋体"/>
                <w:color w:val="auto"/>
                <w:szCs w:val="21"/>
                <w:highlight w:val="none"/>
              </w:rPr>
            </w:pPr>
          </w:p>
        </w:tc>
      </w:tr>
      <w:tr w14:paraId="5437006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70C5CEC8">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095F6AD6">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第14.1（6）项</w:t>
            </w:r>
          </w:p>
        </w:tc>
        <w:tc>
          <w:tcPr>
            <w:tcW w:w="1742" w:type="dxa"/>
            <w:noWrap w:val="0"/>
            <w:vAlign w:val="center"/>
          </w:tcPr>
          <w:p w14:paraId="2C5130CF">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color w:val="auto"/>
                <w:szCs w:val="21"/>
                <w:highlight w:val="none"/>
              </w:rPr>
              <w:t>乙方提供的其他服务</w:t>
            </w:r>
          </w:p>
        </w:tc>
        <w:tc>
          <w:tcPr>
            <w:tcW w:w="5170" w:type="dxa"/>
            <w:noWrap w:val="0"/>
            <w:vAlign w:val="center"/>
          </w:tcPr>
          <w:p w14:paraId="7F353711">
            <w:pPr>
              <w:keepNext w:val="0"/>
              <w:keepLines w:val="0"/>
              <w:suppressLineNumbers w:val="0"/>
              <w:spacing w:before="0" w:beforeAutospacing="0" w:after="0" w:afterAutospacing="0"/>
              <w:ind w:left="0" w:right="0"/>
              <w:jc w:val="left"/>
              <w:rPr>
                <w:rFonts w:ascii="宋体" w:hAnsi="宋体"/>
                <w:color w:val="auto"/>
                <w:szCs w:val="21"/>
                <w:highlight w:val="none"/>
              </w:rPr>
            </w:pPr>
          </w:p>
        </w:tc>
      </w:tr>
      <w:tr w14:paraId="7855AC2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03395A2B">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489FCEEF">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第15.1款</w:t>
            </w:r>
          </w:p>
        </w:tc>
        <w:tc>
          <w:tcPr>
            <w:tcW w:w="1742" w:type="dxa"/>
            <w:noWrap w:val="0"/>
            <w:vAlign w:val="center"/>
          </w:tcPr>
          <w:p w14:paraId="5ACC6A6C">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color w:val="auto"/>
                <w:szCs w:val="21"/>
                <w:highlight w:val="none"/>
              </w:rPr>
              <w:t>修理、重作、更换相关具体规定</w:t>
            </w:r>
          </w:p>
        </w:tc>
        <w:tc>
          <w:tcPr>
            <w:tcW w:w="5170" w:type="dxa"/>
            <w:noWrap w:val="0"/>
            <w:vAlign w:val="center"/>
          </w:tcPr>
          <w:p w14:paraId="4B6E2F69">
            <w:pPr>
              <w:keepNext w:val="0"/>
              <w:keepLines w:val="0"/>
              <w:suppressLineNumbers w:val="0"/>
              <w:spacing w:before="0" w:beforeAutospacing="0" w:after="0" w:afterAutospacing="0"/>
              <w:ind w:left="0" w:right="0"/>
              <w:jc w:val="left"/>
              <w:rPr>
                <w:rFonts w:ascii="宋体" w:hAnsi="宋体"/>
                <w:color w:val="auto"/>
                <w:szCs w:val="21"/>
                <w:highlight w:val="none"/>
              </w:rPr>
            </w:pPr>
          </w:p>
        </w:tc>
      </w:tr>
      <w:tr w14:paraId="5A8C6B0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1AA79B6C">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26503288">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第15.2（2）项</w:t>
            </w:r>
          </w:p>
        </w:tc>
        <w:tc>
          <w:tcPr>
            <w:tcW w:w="1742" w:type="dxa"/>
            <w:noWrap w:val="0"/>
            <w:vAlign w:val="center"/>
          </w:tcPr>
          <w:p w14:paraId="7288CFF5">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color w:val="auto"/>
                <w:szCs w:val="21"/>
                <w:highlight w:val="none"/>
              </w:rPr>
              <w:t>迟延交货赔偿费</w:t>
            </w:r>
          </w:p>
        </w:tc>
        <w:tc>
          <w:tcPr>
            <w:tcW w:w="5170" w:type="dxa"/>
            <w:noWrap w:val="0"/>
            <w:vAlign w:val="center"/>
          </w:tcPr>
          <w:p w14:paraId="0A546088">
            <w:pPr>
              <w:keepNext w:val="0"/>
              <w:keepLines w:val="0"/>
              <w:suppressLineNumbers w:val="0"/>
              <w:spacing w:before="0" w:beforeAutospacing="0" w:after="0" w:afterAutospacing="0"/>
              <w:ind w:left="0" w:right="0"/>
              <w:jc w:val="left"/>
              <w:rPr>
                <w:rFonts w:ascii="宋体" w:hAnsi="宋体"/>
                <w:color w:val="auto"/>
                <w:szCs w:val="21"/>
                <w:highlight w:val="none"/>
                <w:u w:val="single"/>
              </w:rPr>
            </w:pPr>
          </w:p>
        </w:tc>
      </w:tr>
      <w:tr w14:paraId="35A091E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636BECC6">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5C2C8FAF">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第15.3款</w:t>
            </w:r>
          </w:p>
        </w:tc>
        <w:tc>
          <w:tcPr>
            <w:tcW w:w="1742" w:type="dxa"/>
            <w:noWrap w:val="0"/>
            <w:vAlign w:val="center"/>
          </w:tcPr>
          <w:p w14:paraId="0F27ACC6">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color w:val="auto"/>
                <w:szCs w:val="21"/>
                <w:highlight w:val="none"/>
              </w:rPr>
              <w:t>逾期付款利息</w:t>
            </w:r>
          </w:p>
        </w:tc>
        <w:tc>
          <w:tcPr>
            <w:tcW w:w="5170" w:type="dxa"/>
            <w:noWrap w:val="0"/>
            <w:vAlign w:val="center"/>
          </w:tcPr>
          <w:p w14:paraId="17F4BCA8">
            <w:pPr>
              <w:keepNext w:val="0"/>
              <w:keepLines w:val="0"/>
              <w:suppressLineNumbers w:val="0"/>
              <w:spacing w:before="0" w:beforeAutospacing="0" w:after="0" w:afterAutospacing="0"/>
              <w:ind w:left="0" w:right="0"/>
              <w:jc w:val="left"/>
              <w:rPr>
                <w:rFonts w:ascii="宋体" w:hAnsi="宋体"/>
                <w:color w:val="auto"/>
                <w:szCs w:val="21"/>
                <w:highlight w:val="none"/>
                <w:u w:val="single"/>
              </w:rPr>
            </w:pPr>
          </w:p>
        </w:tc>
      </w:tr>
      <w:tr w14:paraId="446A855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noWrap w:val="0"/>
            <w:vAlign w:val="center"/>
          </w:tcPr>
          <w:p w14:paraId="52C97F3D">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19CE48C8">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第15.4款</w:t>
            </w:r>
          </w:p>
        </w:tc>
        <w:tc>
          <w:tcPr>
            <w:tcW w:w="1742" w:type="dxa"/>
            <w:tcBorders>
              <w:left w:val="single" w:color="auto" w:sz="2" w:space="0"/>
              <w:bottom w:val="single" w:color="auto" w:sz="2" w:space="0"/>
              <w:right w:val="single" w:color="auto" w:sz="2" w:space="0"/>
            </w:tcBorders>
            <w:noWrap w:val="0"/>
            <w:vAlign w:val="center"/>
          </w:tcPr>
          <w:p w14:paraId="4E5E7CE5">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color w:val="auto"/>
                <w:szCs w:val="21"/>
                <w:highlight w:val="none"/>
              </w:rPr>
              <w:t>其他违约责任</w:t>
            </w:r>
          </w:p>
        </w:tc>
        <w:tc>
          <w:tcPr>
            <w:tcW w:w="5170" w:type="dxa"/>
            <w:tcBorders>
              <w:left w:val="single" w:color="auto" w:sz="2" w:space="0"/>
              <w:bottom w:val="single" w:color="auto" w:sz="2" w:space="0"/>
            </w:tcBorders>
            <w:noWrap w:val="0"/>
            <w:vAlign w:val="center"/>
          </w:tcPr>
          <w:p w14:paraId="586DC34E">
            <w:pPr>
              <w:keepNext w:val="0"/>
              <w:keepLines w:val="0"/>
              <w:suppressLineNumbers w:val="0"/>
              <w:spacing w:before="0" w:beforeAutospacing="0" w:after="0" w:afterAutospacing="0"/>
              <w:ind w:left="0" w:right="0"/>
              <w:jc w:val="left"/>
              <w:rPr>
                <w:rFonts w:ascii="宋体" w:hAnsi="宋体"/>
                <w:color w:val="auto"/>
                <w:szCs w:val="21"/>
                <w:highlight w:val="none"/>
                <w:u w:val="single"/>
              </w:rPr>
            </w:pPr>
          </w:p>
        </w:tc>
      </w:tr>
      <w:tr w14:paraId="4AC1AF8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noWrap w:val="0"/>
            <w:vAlign w:val="center"/>
          </w:tcPr>
          <w:p w14:paraId="3D9DC6EB">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5817902A">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第19.2款</w:t>
            </w:r>
          </w:p>
        </w:tc>
        <w:tc>
          <w:tcPr>
            <w:tcW w:w="1742" w:type="dxa"/>
            <w:tcBorders>
              <w:top w:val="single" w:color="auto" w:sz="2" w:space="0"/>
              <w:left w:val="single" w:color="auto" w:sz="2" w:space="0"/>
              <w:right w:val="single" w:color="auto" w:sz="2" w:space="0"/>
            </w:tcBorders>
            <w:noWrap w:val="0"/>
            <w:vAlign w:val="center"/>
          </w:tcPr>
          <w:p w14:paraId="7CBB5515">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color w:val="auto"/>
                <w:szCs w:val="21"/>
                <w:highlight w:val="none"/>
              </w:rPr>
              <w:t>解决争议的方法</w:t>
            </w:r>
          </w:p>
        </w:tc>
        <w:tc>
          <w:tcPr>
            <w:tcW w:w="5170" w:type="dxa"/>
            <w:tcBorders>
              <w:top w:val="single" w:color="auto" w:sz="2" w:space="0"/>
              <w:left w:val="single" w:color="auto" w:sz="2" w:space="0"/>
            </w:tcBorders>
            <w:noWrap w:val="0"/>
            <w:vAlign w:val="center"/>
          </w:tcPr>
          <w:p w14:paraId="2519A260">
            <w:pPr>
              <w:keepNext w:val="0"/>
              <w:keepLines w:val="0"/>
              <w:suppressLineNumbers w:val="0"/>
              <w:spacing w:before="0" w:beforeAutospacing="0" w:after="0" w:afterAutospacing="0" w:line="400" w:lineRule="exact"/>
              <w:ind w:left="0" w:right="0"/>
              <w:jc w:val="left"/>
              <w:rPr>
                <w:rFonts w:ascii="宋体" w:hAnsi="宋体" w:cs="宋体"/>
                <w:iCs/>
                <w:color w:val="auto"/>
                <w:szCs w:val="21"/>
                <w:highlight w:val="none"/>
              </w:rPr>
            </w:pPr>
            <w:r>
              <w:rPr>
                <w:rFonts w:hint="eastAsia" w:ascii="宋体" w:hAnsi="宋体" w:cs="宋体"/>
                <w:iCs/>
                <w:color w:val="auto"/>
                <w:szCs w:val="21"/>
                <w:highlight w:val="none"/>
              </w:rPr>
              <w:t>因本合同及合同有关事项发生的争议，按下列第</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u w:val="single"/>
                <w:lang w:val="en-US" w:eastAsia="zh-CN"/>
              </w:rPr>
              <w:t>2</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rPr>
              <w:t>种方式解决：</w:t>
            </w:r>
          </w:p>
          <w:p w14:paraId="277D7F1F">
            <w:pPr>
              <w:keepNext w:val="0"/>
              <w:keepLines w:val="0"/>
              <w:suppressLineNumbers w:val="0"/>
              <w:spacing w:before="0" w:beforeAutospacing="0" w:after="0" w:afterAutospacing="0" w:line="400" w:lineRule="exact"/>
              <w:ind w:left="0" w:right="0"/>
              <w:jc w:val="left"/>
              <w:rPr>
                <w:rFonts w:ascii="宋体" w:hAnsi="宋体" w:cs="宋体"/>
                <w:iCs/>
                <w:color w:val="auto"/>
                <w:szCs w:val="21"/>
                <w:highlight w:val="none"/>
              </w:rPr>
            </w:pPr>
            <w:r>
              <w:rPr>
                <w:rFonts w:hint="eastAsia" w:ascii="宋体" w:hAnsi="宋体" w:cs="宋体"/>
                <w:iCs/>
                <w:color w:val="auto"/>
                <w:szCs w:val="21"/>
                <w:highlight w:val="none"/>
              </w:rPr>
              <w:t>（1）向</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rPr>
              <w:t>仲裁委员会申请仲裁，仲裁地点为</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rPr>
              <w:t>；</w:t>
            </w:r>
          </w:p>
          <w:p w14:paraId="5BCDAA23">
            <w:pPr>
              <w:keepNext w:val="0"/>
              <w:keepLines w:val="0"/>
              <w:suppressLineNumbers w:val="0"/>
              <w:spacing w:before="0" w:beforeAutospacing="0" w:after="0" w:afterAutospacing="0"/>
              <w:ind w:left="0" w:right="0"/>
              <w:jc w:val="left"/>
              <w:rPr>
                <w:rFonts w:ascii="宋体" w:hAnsi="宋体"/>
                <w:color w:val="auto"/>
                <w:szCs w:val="21"/>
                <w:highlight w:val="none"/>
                <w:u w:val="single"/>
              </w:rPr>
            </w:pPr>
            <w:r>
              <w:rPr>
                <w:rFonts w:hint="eastAsia" w:ascii="宋体" w:hAnsi="宋体" w:cs="宋体"/>
                <w:iCs/>
                <w:color w:val="auto"/>
                <w:szCs w:val="21"/>
                <w:highlight w:val="none"/>
              </w:rPr>
              <w:t>（2）向</w:t>
            </w:r>
            <w:r>
              <w:rPr>
                <w:rFonts w:hint="eastAsia" w:ascii="宋体" w:hAnsi="宋体" w:cs="宋体"/>
                <w:iCs/>
                <w:color w:val="auto"/>
                <w:szCs w:val="21"/>
                <w:highlight w:val="none"/>
                <w:u w:val="single"/>
              </w:rPr>
              <w:t>甲方住所地</w:t>
            </w:r>
            <w:r>
              <w:rPr>
                <w:rFonts w:hint="eastAsia" w:ascii="宋体" w:hAnsi="宋体" w:cs="宋体"/>
                <w:iCs/>
                <w:color w:val="auto"/>
                <w:szCs w:val="21"/>
                <w:highlight w:val="none"/>
              </w:rPr>
              <w:t>人民法院起诉。</w:t>
            </w:r>
          </w:p>
        </w:tc>
      </w:tr>
      <w:tr w14:paraId="4533D95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noWrap w:val="0"/>
            <w:vAlign w:val="center"/>
          </w:tcPr>
          <w:p w14:paraId="190085A3">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第二节</w:t>
            </w:r>
          </w:p>
          <w:p w14:paraId="147D8439">
            <w:pPr>
              <w:keepNext w:val="0"/>
              <w:keepLines w:val="0"/>
              <w:suppressLineNumbers w:val="0"/>
              <w:spacing w:before="0" w:beforeAutospacing="0" w:after="0" w:afterAutospacing="0"/>
              <w:ind w:left="0" w:right="0"/>
              <w:jc w:val="center"/>
              <w:rPr>
                <w:rFonts w:ascii="宋体" w:hAnsi="宋体"/>
                <w:color w:val="auto"/>
                <w:szCs w:val="21"/>
                <w:highlight w:val="none"/>
              </w:rPr>
            </w:pPr>
            <w:r>
              <w:rPr>
                <w:rFonts w:hint="eastAsia" w:ascii="宋体" w:hAnsi="宋体"/>
                <w:color w:val="auto"/>
                <w:szCs w:val="21"/>
                <w:highlight w:val="none"/>
              </w:rPr>
              <w:t>第23.1款</w:t>
            </w:r>
          </w:p>
        </w:tc>
        <w:tc>
          <w:tcPr>
            <w:tcW w:w="1742" w:type="dxa"/>
            <w:noWrap w:val="0"/>
            <w:vAlign w:val="center"/>
          </w:tcPr>
          <w:p w14:paraId="642D262E">
            <w:pPr>
              <w:keepNext w:val="0"/>
              <w:keepLines w:val="0"/>
              <w:suppressLineNumbers w:val="0"/>
              <w:spacing w:before="0" w:beforeAutospacing="0" w:after="0" w:afterAutospacing="0"/>
              <w:ind w:left="0" w:right="0"/>
              <w:jc w:val="left"/>
              <w:rPr>
                <w:rFonts w:ascii="宋体" w:hAnsi="宋体"/>
                <w:color w:val="auto"/>
                <w:szCs w:val="21"/>
                <w:highlight w:val="none"/>
              </w:rPr>
            </w:pPr>
            <w:r>
              <w:rPr>
                <w:rFonts w:hint="eastAsia" w:ascii="宋体" w:hAnsi="宋体"/>
                <w:bCs/>
                <w:color w:val="auto"/>
                <w:szCs w:val="21"/>
                <w:highlight w:val="none"/>
              </w:rPr>
              <w:t>其他专用条款</w:t>
            </w:r>
          </w:p>
        </w:tc>
        <w:tc>
          <w:tcPr>
            <w:tcW w:w="5170" w:type="dxa"/>
            <w:noWrap w:val="0"/>
            <w:vAlign w:val="center"/>
          </w:tcPr>
          <w:p w14:paraId="7AD4C46D">
            <w:pPr>
              <w:keepNext w:val="0"/>
              <w:keepLines w:val="0"/>
              <w:suppressLineNumbers w:val="0"/>
              <w:spacing w:before="0" w:beforeAutospacing="0" w:after="0" w:afterAutospacing="0"/>
              <w:ind w:left="0" w:right="0"/>
              <w:jc w:val="left"/>
              <w:rPr>
                <w:rFonts w:ascii="宋体" w:hAnsi="宋体"/>
                <w:color w:val="auto"/>
                <w:szCs w:val="21"/>
                <w:highlight w:val="none"/>
              </w:rPr>
            </w:pPr>
          </w:p>
        </w:tc>
      </w:tr>
    </w:tbl>
    <w:p w14:paraId="7BE474C4">
      <w:pPr>
        <w:pStyle w:val="15"/>
        <w:jc w:val="center"/>
        <w:rPr>
          <w:rFonts w:ascii="黑体" w:hAnsi="Courier New" w:eastAsia="黑体" w:cs="Courier New"/>
          <w:bCs/>
          <w:color w:val="auto"/>
          <w:sz w:val="44"/>
          <w:szCs w:val="21"/>
          <w:highlight w:val="none"/>
        </w:rPr>
      </w:pPr>
    </w:p>
    <w:p w14:paraId="39FC23C8">
      <w:pPr>
        <w:pStyle w:val="15"/>
        <w:jc w:val="center"/>
        <w:rPr>
          <w:rFonts w:hint="eastAsia" w:ascii="宋体" w:hAnsi="宋体" w:cs="宋体"/>
          <w:b/>
          <w:bCs/>
          <w:color w:val="auto"/>
          <w:spacing w:val="-20"/>
          <w:sz w:val="48"/>
          <w:szCs w:val="48"/>
          <w:highlight w:val="none"/>
        </w:rPr>
      </w:pPr>
    </w:p>
    <w:p w14:paraId="7BEA7468">
      <w:pPr>
        <w:spacing w:before="120" w:after="120" w:line="0" w:lineRule="atLeast"/>
        <w:jc w:val="center"/>
        <w:rPr>
          <w:rFonts w:ascii="黑体" w:hAnsi="Courier New" w:eastAsia="黑体" w:cs="Courier New"/>
          <w:bCs/>
          <w:color w:val="auto"/>
          <w:sz w:val="44"/>
          <w:szCs w:val="21"/>
          <w:highlight w:val="none"/>
        </w:rPr>
      </w:pPr>
    </w:p>
    <w:p w14:paraId="169BC1C5">
      <w:pPr>
        <w:spacing w:before="120" w:after="120" w:line="0" w:lineRule="atLeast"/>
        <w:jc w:val="center"/>
        <w:rPr>
          <w:rFonts w:ascii="黑体" w:hAnsi="Courier New" w:eastAsia="黑体" w:cs="Courier New"/>
          <w:bCs/>
          <w:color w:val="auto"/>
          <w:sz w:val="44"/>
          <w:szCs w:val="21"/>
          <w:highlight w:val="none"/>
        </w:rPr>
      </w:pPr>
    </w:p>
    <w:p w14:paraId="7E738D4A">
      <w:pPr>
        <w:spacing w:before="120" w:after="120" w:line="0" w:lineRule="atLeast"/>
        <w:jc w:val="center"/>
        <w:rPr>
          <w:rFonts w:ascii="黑体" w:hAnsi="Courier New" w:eastAsia="黑体" w:cs="Courier New"/>
          <w:bCs/>
          <w:color w:val="auto"/>
          <w:sz w:val="44"/>
          <w:szCs w:val="21"/>
          <w:highlight w:val="none"/>
        </w:rPr>
      </w:pPr>
    </w:p>
    <w:p w14:paraId="05E0FC3C">
      <w:pPr>
        <w:pStyle w:val="20"/>
        <w:spacing w:before="120" w:after="120" w:line="360" w:lineRule="auto"/>
        <w:ind w:firstLine="210"/>
        <w:rPr>
          <w:rFonts w:hAnsi="宋体"/>
          <w:color w:val="auto"/>
          <w:sz w:val="21"/>
          <w:highlight w:val="none"/>
        </w:rPr>
      </w:pPr>
    </w:p>
    <w:p w14:paraId="0161ABEF">
      <w:pPr>
        <w:rPr>
          <w:rFonts w:hint="eastAsia" w:ascii="宋体" w:hAnsi="宋体" w:eastAsia="宋体" w:cs="Times New Roman"/>
          <w:b/>
          <w:bCs/>
          <w:color w:val="auto"/>
          <w:sz w:val="36"/>
          <w:szCs w:val="36"/>
          <w:highlight w:val="none"/>
          <w:lang w:val="en-US" w:eastAsia="zh-CN"/>
        </w:rPr>
      </w:pPr>
      <w:bookmarkStart w:id="53" w:name="_Toc22063"/>
      <w:r>
        <w:rPr>
          <w:rFonts w:hint="eastAsia" w:ascii="宋体" w:hAnsi="宋体" w:eastAsia="宋体" w:cs="Times New Roman"/>
          <w:b/>
          <w:bCs/>
          <w:color w:val="auto"/>
          <w:sz w:val="36"/>
          <w:szCs w:val="36"/>
          <w:highlight w:val="none"/>
          <w:lang w:val="en-US" w:eastAsia="zh-CN"/>
        </w:rPr>
        <w:br w:type="page"/>
      </w:r>
    </w:p>
    <w:p w14:paraId="0373FE65">
      <w:pPr>
        <w:pStyle w:val="2"/>
        <w:keepNext/>
        <w:keepLines/>
        <w:pageBreakBefore w:val="0"/>
        <w:widowControl w:val="0"/>
        <w:spacing w:before="0" w:after="0" w:line="360" w:lineRule="auto"/>
        <w:jc w:val="center"/>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t>第四章 项目需求</w:t>
      </w:r>
      <w:bookmarkEnd w:id="53"/>
    </w:p>
    <w:p w14:paraId="3D6F06D5">
      <w:pPr>
        <w:keepNext w:val="0"/>
        <w:keepLines w:val="0"/>
        <w:pageBreakBefore w:val="0"/>
        <w:widowControl w:val="0"/>
        <w:spacing w:line="360" w:lineRule="auto"/>
        <w:ind w:left="0" w:firstLine="42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其他要求</w:t>
      </w:r>
    </w:p>
    <w:p w14:paraId="527404F2">
      <w:pPr>
        <w:keepNext w:val="0"/>
        <w:keepLines w:val="0"/>
        <w:pageBreakBefore w:val="0"/>
        <w:widowControl w:val="0"/>
        <w:spacing w:line="360" w:lineRule="auto"/>
        <w:ind w:left="0" w:firstLine="420"/>
        <w:rPr>
          <w:rFonts w:hint="eastAsia" w:ascii="宋体" w:hAnsi="宋体" w:eastAsia="宋体" w:cs="宋体"/>
          <w:color w:val="auto"/>
          <w:highlight w:val="none"/>
        </w:rPr>
      </w:pPr>
      <w:r>
        <w:rPr>
          <w:rFonts w:hint="eastAsia" w:ascii="宋体" w:hAnsi="宋体" w:eastAsia="宋体" w:cs="宋体"/>
          <w:color w:val="auto"/>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auto"/>
          <w:highlight w:val="none"/>
          <w:lang w:eastAsia="zh-CN"/>
        </w:rPr>
        <w:t>（</w:t>
      </w:r>
      <w:r>
        <w:rPr>
          <w:rFonts w:hint="eastAsia" w:ascii="宋体" w:hAnsi="宋体" w:eastAsia="宋体" w:cs="宋体"/>
          <w:color w:val="auto"/>
          <w:highlight w:val="none"/>
        </w:rPr>
        <w:t>由国家确定的认证机构出具的、处于有效期之内的节能产品、环境标志产品认证证书</w:t>
      </w:r>
      <w:r>
        <w:rPr>
          <w:rFonts w:hint="eastAsia" w:ascii="宋体" w:hAnsi="宋体" w:cs="宋体"/>
          <w:color w:val="auto"/>
          <w:highlight w:val="none"/>
          <w:lang w:eastAsia="zh-CN"/>
        </w:rPr>
        <w:t>）</w:t>
      </w:r>
      <w:r>
        <w:rPr>
          <w:rFonts w:hint="eastAsia" w:ascii="宋体" w:hAnsi="宋体" w:eastAsia="宋体" w:cs="宋体"/>
          <w:color w:val="auto"/>
          <w:highlight w:val="none"/>
        </w:rPr>
        <w:t>。节能产品、环境标志产品品目清单以递交响应文件截止时已正式公布的最近一期信息为准，</w:t>
      </w:r>
      <w:r>
        <w:rPr>
          <w:rFonts w:hint="eastAsia" w:ascii="宋体" w:hAnsi="宋体" w:eastAsia="宋体" w:cs="宋体"/>
          <w:b/>
          <w:i/>
          <w:iCs/>
          <w:color w:val="auto"/>
          <w:highlight w:val="none"/>
          <w:u w:val="single"/>
        </w:rPr>
        <w:t>如属政府强制采购产品未提供认证证书的或认证证书提供不全的将视为未实质性响应采购要求</w:t>
      </w:r>
      <w:r>
        <w:rPr>
          <w:rFonts w:hint="eastAsia" w:ascii="宋体" w:hAnsi="宋体" w:eastAsia="宋体" w:cs="宋体"/>
          <w:color w:val="auto"/>
          <w:highlight w:val="none"/>
        </w:rPr>
        <w:t>。其他条件相同情况下，应当优先采购节能产品、环境标志产品。</w:t>
      </w:r>
    </w:p>
    <w:p w14:paraId="4859BC07">
      <w:pPr>
        <w:keepNext w:val="0"/>
        <w:keepLines w:val="0"/>
        <w:pageBreakBefore w:val="0"/>
        <w:widowControl w:val="0"/>
        <w:spacing w:line="360" w:lineRule="auto"/>
        <w:ind w:left="0" w:firstLine="420"/>
        <w:rPr>
          <w:rFonts w:hint="eastAsia" w:ascii="宋体" w:hAnsi="宋体" w:eastAsia="宋体" w:cs="宋体"/>
          <w:color w:val="auto"/>
          <w:highlight w:val="none"/>
        </w:rPr>
      </w:pPr>
      <w:r>
        <w:rPr>
          <w:rFonts w:hint="eastAsia" w:ascii="宋体" w:hAnsi="宋体" w:eastAsia="宋体" w:cs="宋体"/>
          <w:color w:val="auto"/>
          <w:highlight w:val="none"/>
        </w:rPr>
        <w:t>供应商对于投标产品的包装应按照“财办库〔2020〕123号《关于印发《商品包装政府采购需求标准（试行）</w:t>
      </w:r>
      <w:r>
        <w:rPr>
          <w:rFonts w:hint="eastAsia" w:ascii="宋体" w:hAnsi="宋体" w:cs="宋体"/>
          <w:color w:val="auto"/>
          <w:highlight w:val="none"/>
          <w:lang w:eastAsia="zh-CN"/>
        </w:rPr>
        <w:t>》《</w:t>
      </w:r>
      <w:r>
        <w:rPr>
          <w:rFonts w:hint="eastAsia" w:ascii="宋体" w:hAnsi="宋体" w:eastAsia="宋体" w:cs="宋体"/>
          <w:color w:val="auto"/>
          <w:highlight w:val="none"/>
        </w:rPr>
        <w:t>快递包装政府采购需求标准（试行）》的通知》”执行。</w:t>
      </w:r>
    </w:p>
    <w:p w14:paraId="5EA10DA2">
      <w:pPr>
        <w:keepNext w:val="0"/>
        <w:keepLines w:val="0"/>
        <w:pageBreakBefore w:val="0"/>
        <w:widowControl w:val="0"/>
        <w:spacing w:line="360" w:lineRule="auto"/>
        <w:ind w:left="0" w:firstLine="420"/>
        <w:rPr>
          <w:color w:val="auto"/>
          <w:highlight w:val="none"/>
        </w:rPr>
      </w:pPr>
      <w:r>
        <w:rPr>
          <w:rFonts w:hint="eastAsia"/>
          <w:color w:val="auto"/>
          <w:highlight w:val="none"/>
        </w:rPr>
        <w:t>注： 本章内容里斜体且有下划线部分为实质性要求和条件，响应文件不满足的，视为无效响应处理。请各供应商制作电子响应文件时，将实质性响应的内容在政府采购管理交易系统（苏采云）</w:t>
      </w:r>
      <w:r>
        <w:rPr>
          <w:rFonts w:hint="eastAsia"/>
          <w:color w:val="auto"/>
          <w:highlight w:val="none"/>
          <w:lang w:eastAsia="zh-CN"/>
        </w:rPr>
        <w:t>“</w:t>
      </w:r>
      <w:r>
        <w:rPr>
          <w:rFonts w:hint="eastAsia"/>
          <w:color w:val="auto"/>
          <w:highlight w:val="none"/>
        </w:rPr>
        <w:t>符合证明文件格式</w:t>
      </w:r>
      <w:r>
        <w:rPr>
          <w:rFonts w:hint="eastAsia"/>
          <w:color w:val="auto"/>
          <w:highlight w:val="none"/>
          <w:lang w:eastAsia="zh-CN"/>
        </w:rPr>
        <w:t>”</w:t>
      </w:r>
      <w:r>
        <w:rPr>
          <w:rFonts w:hint="eastAsia"/>
          <w:color w:val="auto"/>
          <w:highlight w:val="none"/>
        </w:rPr>
        <w:t>中准确填写或上传。</w:t>
      </w:r>
    </w:p>
    <w:p w14:paraId="40C19C1E">
      <w:pPr>
        <w:keepNext w:val="0"/>
        <w:keepLines w:val="0"/>
        <w:pageBreakBefore w:val="0"/>
        <w:widowControl w:val="0"/>
        <w:spacing w:line="360" w:lineRule="auto"/>
        <w:rPr>
          <w:rFonts w:hint="eastAsia" w:ascii="Times New Roman" w:hAnsi="Times New Roman" w:eastAsia="宋体" w:cs="Times New Roman"/>
          <w:b/>
          <w:bCs/>
          <w:color w:val="auto"/>
          <w:sz w:val="24"/>
          <w:szCs w:val="24"/>
          <w:highlight w:val="none"/>
          <w:lang w:val="en-US" w:eastAsia="zh-CN"/>
        </w:rPr>
      </w:pPr>
    </w:p>
    <w:p w14:paraId="7A7FE5D1">
      <w:pPr>
        <w:keepNext w:val="0"/>
        <w:keepLines w:val="0"/>
        <w:pageBreakBefore w:val="0"/>
        <w:widowControl w:val="0"/>
        <w:spacing w:line="360" w:lineRule="auto"/>
        <w:rPr>
          <w:rFonts w:hint="eastAsia" w:ascii="Times New Roman" w:hAnsi="Times New Roman"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本项目所属行业：</w:t>
      </w:r>
      <w:r>
        <w:rPr>
          <w:rFonts w:hint="eastAsia" w:ascii="Times New Roman" w:hAnsi="Times New Roman" w:cs="Times New Roman"/>
          <w:b/>
          <w:bCs/>
          <w:color w:val="auto"/>
          <w:sz w:val="21"/>
          <w:szCs w:val="21"/>
          <w:highlight w:val="none"/>
          <w:lang w:val="en-US" w:eastAsia="zh-CN"/>
        </w:rPr>
        <w:t>工业</w:t>
      </w:r>
    </w:p>
    <w:p w14:paraId="09C34471">
      <w:pPr>
        <w:keepNext w:val="0"/>
        <w:keepLines w:val="0"/>
        <w:pageBreakBefore w:val="0"/>
        <w:widowControl w:val="0"/>
        <w:spacing w:line="360" w:lineRule="auto"/>
        <w:rPr>
          <w:rFonts w:hint="eastAsia" w:ascii="Times New Roman" w:hAnsi="Times New Roman" w:cs="Times New Roman"/>
          <w:b/>
          <w:bCs/>
          <w:color w:val="auto"/>
          <w:sz w:val="21"/>
          <w:szCs w:val="21"/>
          <w:highlight w:val="none"/>
          <w:lang w:val="en-US" w:eastAsia="zh-CN"/>
        </w:rPr>
      </w:pPr>
    </w:p>
    <w:p w14:paraId="60ECB211">
      <w:pPr>
        <w:keepNext w:val="0"/>
        <w:keepLines w:val="0"/>
        <w:pageBreakBefore w:val="0"/>
        <w:widowControl w:val="0"/>
        <w:spacing w:line="360" w:lineRule="auto"/>
        <w:rPr>
          <w:rFonts w:hint="default" w:ascii="Times New Roman" w:hAnsi="Times New Roman" w:cs="Times New Roman"/>
          <w:b/>
          <w:bCs/>
          <w:color w:val="auto"/>
          <w:sz w:val="21"/>
          <w:szCs w:val="21"/>
          <w:highlight w:val="none"/>
          <w:lang w:val="en-US" w:eastAsia="zh-CN"/>
        </w:rPr>
      </w:pPr>
      <w:r>
        <w:rPr>
          <w:rFonts w:hint="eastAsia" w:ascii="Times New Roman" w:hAnsi="Times New Roman" w:cs="Times New Roman"/>
          <w:b/>
          <w:bCs/>
          <w:color w:val="auto"/>
          <w:sz w:val="21"/>
          <w:szCs w:val="21"/>
          <w:highlight w:val="none"/>
          <w:lang w:val="en-US" w:eastAsia="zh-CN"/>
        </w:rPr>
        <w:t>核心产品：</w:t>
      </w:r>
      <w:r>
        <w:rPr>
          <w:rFonts w:hint="eastAsia" w:ascii="Times New Roman" w:hAnsi="Times New Roman" w:cs="Times New Roman"/>
          <w:b/>
          <w:bCs/>
          <w:color w:val="auto"/>
          <w:sz w:val="21"/>
          <w:szCs w:val="21"/>
          <w:highlight w:val="none"/>
          <w:u w:val="single"/>
          <w:lang w:val="en-US" w:eastAsia="zh-CN"/>
        </w:rPr>
        <w:t>包1：办公桌；包2：钢木书架；包3：课桌椅(套)。</w:t>
      </w:r>
    </w:p>
    <w:p w14:paraId="0073DCBC">
      <w:pPr>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br w:type="page"/>
      </w:r>
    </w:p>
    <w:p w14:paraId="1C4A8BA4">
      <w:pPr>
        <w:pBdr>
          <w:top w:val="none" w:color="000000" w:sz="0" w:space="0"/>
          <w:left w:val="none" w:color="000000" w:sz="0" w:space="0"/>
          <w:bottom w:val="none" w:color="000000" w:sz="0" w:space="0"/>
          <w:right w:val="none" w:color="000000" w:sz="0" w:space="0"/>
        </w:pBdr>
        <w:spacing w:line="360" w:lineRule="auto"/>
        <w:rPr>
          <w:rFonts w:hint="eastAsia" w:ascii="宋体" w:hAnsi="宋体"/>
          <w:b/>
          <w:color w:val="auto"/>
          <w:szCs w:val="21"/>
          <w:highlight w:val="none"/>
        </w:rPr>
      </w:pPr>
      <w:r>
        <w:rPr>
          <w:rFonts w:hint="eastAsia" w:ascii="宋体" w:hAnsi="宋体"/>
          <w:b/>
          <w:color w:val="auto"/>
          <w:szCs w:val="21"/>
          <w:highlight w:val="none"/>
          <w:lang w:val="en-US" w:eastAsia="zh-CN"/>
        </w:rPr>
        <w:t>一、</w:t>
      </w:r>
      <w:r>
        <w:rPr>
          <w:rFonts w:hint="eastAsia" w:ascii="宋体" w:hAnsi="宋体"/>
          <w:b/>
          <w:color w:val="auto"/>
          <w:szCs w:val="21"/>
          <w:highlight w:val="none"/>
        </w:rPr>
        <w:t>货物需求一览表及主要技术指标参数要求</w:t>
      </w:r>
    </w:p>
    <w:p w14:paraId="469BE160">
      <w:pPr>
        <w:keepNext w:val="0"/>
        <w:keepLines w:val="0"/>
        <w:pageBreakBefore w:val="0"/>
        <w:widowControl/>
        <w:spacing w:line="360" w:lineRule="auto"/>
        <w:ind w:left="0" w:firstLine="422"/>
        <w:rPr>
          <w:rFonts w:hint="eastAsia" w:ascii="宋体" w:hAnsi="宋体" w:eastAsia="宋体" w:cs="宋体"/>
          <w:b/>
          <w:bCs/>
          <w:color w:val="auto"/>
          <w:sz w:val="21"/>
          <w:szCs w:val="21"/>
          <w:highlight w:val="none"/>
        </w:rPr>
      </w:pPr>
    </w:p>
    <w:tbl>
      <w:tblPr>
        <w:tblStyle w:val="37"/>
        <w:tblW w:w="9420" w:type="dxa"/>
        <w:tblInd w:w="-62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90"/>
        <w:gridCol w:w="1230"/>
        <w:gridCol w:w="4275"/>
        <w:gridCol w:w="795"/>
        <w:gridCol w:w="960"/>
        <w:gridCol w:w="1470"/>
      </w:tblGrid>
      <w:tr w14:paraId="701028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420"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372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包1（边柜、办公桌）</w:t>
            </w:r>
          </w:p>
        </w:tc>
      </w:tr>
      <w:tr w14:paraId="4CA3AE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B17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019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名称</w:t>
            </w:r>
          </w:p>
        </w:tc>
        <w:tc>
          <w:tcPr>
            <w:tcW w:w="4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D62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技术参数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DDD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266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单位</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8BAFA">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参考图片</w:t>
            </w:r>
            <w:r>
              <w:rPr>
                <w:rFonts w:hint="eastAsia" w:ascii="宋体" w:hAnsi="宋体" w:cs="宋体"/>
                <w:i w:val="0"/>
                <w:iCs w:val="0"/>
                <w:color w:val="000000"/>
                <w:kern w:val="0"/>
                <w:sz w:val="20"/>
                <w:szCs w:val="20"/>
                <w:u w:val="none"/>
                <w:lang w:val="en-US" w:eastAsia="zh-CN" w:bidi="ar"/>
              </w:rPr>
              <w:t>/备注</w:t>
            </w:r>
          </w:p>
        </w:tc>
      </w:tr>
      <w:tr w14:paraId="6CA82D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9420"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796B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家长接待室2间</w:t>
            </w:r>
          </w:p>
        </w:tc>
      </w:tr>
      <w:tr w14:paraId="73E2BB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071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482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办公桌</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50EF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尺寸：1400W*600D*750Hmm（黑胡桃色）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1、板材：基材：采用优质E1级密度板，板材厚度1.8CM；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2、配件：采用优质五金件，作防锈、防腐处理，经久耐用。</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D8F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34D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A9EC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371475" cy="266700"/>
                  <wp:effectExtent l="0" t="0" r="9525" b="0"/>
                  <wp:docPr id="137" name="图片 11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115" descr="IMG_256"/>
                          <pic:cNvPicPr>
                            <a:picLocks noChangeAspect="1"/>
                          </pic:cNvPicPr>
                        </pic:nvPicPr>
                        <pic:blipFill>
                          <a:blip r:embed="rId13"/>
                          <a:stretch>
                            <a:fillRect/>
                          </a:stretch>
                        </pic:blipFill>
                        <pic:spPr>
                          <a:xfrm>
                            <a:off x="0" y="0"/>
                            <a:ext cx="371475" cy="266700"/>
                          </a:xfrm>
                          <a:prstGeom prst="rect">
                            <a:avLst/>
                          </a:prstGeom>
                          <a:noFill/>
                          <a:ln w="9525">
                            <a:noFill/>
                          </a:ln>
                        </pic:spPr>
                      </pic:pic>
                    </a:graphicData>
                  </a:graphic>
                </wp:inline>
              </w:drawing>
            </w:r>
          </w:p>
        </w:tc>
      </w:tr>
      <w:tr w14:paraId="6EB366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942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41B1BC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录播教室</w:t>
            </w:r>
          </w:p>
        </w:tc>
      </w:tr>
      <w:tr w14:paraId="660A5A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735C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二、多媒体辅助设备</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5D8A8">
            <w:pPr>
              <w:jc w:val="left"/>
              <w:rPr>
                <w:rFonts w:hint="eastAsia" w:ascii="宋体" w:hAnsi="宋体" w:eastAsia="宋体" w:cs="宋体"/>
                <w:i w:val="0"/>
                <w:iCs w:val="0"/>
                <w:color w:val="000000"/>
                <w:sz w:val="20"/>
                <w:szCs w:val="20"/>
                <w:u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7BBD0">
            <w:pPr>
              <w:jc w:val="center"/>
              <w:rPr>
                <w:rFonts w:hint="eastAsia" w:ascii="宋体" w:hAnsi="宋体" w:eastAsia="宋体" w:cs="宋体"/>
                <w:i w:val="0"/>
                <w:iCs w:val="0"/>
                <w:color w:val="000000"/>
                <w:sz w:val="20"/>
                <w:szCs w:val="20"/>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1B78A">
            <w:pPr>
              <w:jc w:val="center"/>
              <w:rPr>
                <w:rFonts w:hint="eastAsia" w:ascii="宋体" w:hAnsi="宋体" w:eastAsia="宋体" w:cs="宋体"/>
                <w:i w:val="0"/>
                <w:iCs w:val="0"/>
                <w:color w:val="000000"/>
                <w:sz w:val="20"/>
                <w:szCs w:val="20"/>
                <w:u w:val="none"/>
              </w:rPr>
            </w:pP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CBBDC">
            <w:pPr>
              <w:jc w:val="center"/>
              <w:rPr>
                <w:rFonts w:hint="eastAsia" w:ascii="宋体" w:hAnsi="宋体" w:eastAsia="宋体" w:cs="宋体"/>
                <w:i w:val="0"/>
                <w:iCs w:val="0"/>
                <w:color w:val="000000"/>
                <w:sz w:val="20"/>
                <w:szCs w:val="20"/>
                <w:u w:val="none"/>
              </w:rPr>
            </w:pPr>
          </w:p>
        </w:tc>
      </w:tr>
      <w:tr w14:paraId="099099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BE0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B6B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录播讲台</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939F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1、尺寸：750mm*560mm*720mm，整体采用1.2mm优质冷轧钢板整体液压拉伸成型，灰白色与木纹色相结合；边缘及拐角均采用圆弧设计，安全美观。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2、上箱体：采用储物柜设计，设有锁具；前端防滑凸起面板由三块面板组成，两端面板采用木纹色彩印效果，美观大方。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3、下箱体：采用橱柜式设计，面朝学生面为木纹彩印，设有门锁，可放置书本、音响、电脑主机等较大型教具。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4、所有布线孔均采用绝缘品装置隔离电源线。</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D6C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979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E1353">
            <w:pPr>
              <w:jc w:val="center"/>
              <w:rPr>
                <w:rFonts w:hint="eastAsia" w:ascii="宋体" w:hAnsi="宋体" w:eastAsia="宋体" w:cs="宋体"/>
                <w:i w:val="0"/>
                <w:iCs w:val="0"/>
                <w:color w:val="000000"/>
                <w:sz w:val="20"/>
                <w:szCs w:val="20"/>
                <w:u w:val="none"/>
              </w:rPr>
            </w:pPr>
          </w:p>
        </w:tc>
      </w:tr>
      <w:tr w14:paraId="33FCB5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C74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42C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控制区操作台</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BBA1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板材材质：密度板；尺寸(长×宽×高）1400mm*60mm*70mm</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BD2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BC7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18E52">
            <w:pPr>
              <w:jc w:val="center"/>
              <w:rPr>
                <w:rFonts w:hint="eastAsia" w:ascii="宋体" w:hAnsi="宋体" w:eastAsia="宋体" w:cs="宋体"/>
                <w:i w:val="0"/>
                <w:iCs w:val="0"/>
                <w:color w:val="000000"/>
                <w:sz w:val="20"/>
                <w:szCs w:val="20"/>
                <w:u w:val="none"/>
              </w:rPr>
            </w:pPr>
          </w:p>
        </w:tc>
      </w:tr>
      <w:tr w14:paraId="2AB51F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942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4A735F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社团、团校1</w:t>
            </w:r>
          </w:p>
        </w:tc>
      </w:tr>
      <w:tr w14:paraId="33C64F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830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F7A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长条复古桌</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37CD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1、尺寸：1400*600*750mm；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2、材质：全实木材质，木材经烘干处理，防虫防蛀、经久耐用；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3、结构：传统木工工艺，榫卯结构，桌体牢固；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工艺：木材经烘干处理，含水率不高于12%，防虫防蛀、经久耐用；油漆采用优质环保木器漆传统工艺，手工底漆，三遍打磨找平后再喷面漆，漆面光滑，耐磨耐高温，纹路清晰，长时间不变色，易清洁，美观大方；</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E07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1F5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6730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drawing>
                <wp:inline distT="0" distB="0" distL="114300" distR="114300">
                  <wp:extent cx="257175" cy="266700"/>
                  <wp:effectExtent l="0" t="0" r="9525" b="0"/>
                  <wp:docPr id="126" name="图片 116"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116" descr="IMG_257"/>
                          <pic:cNvPicPr>
                            <a:picLocks noChangeAspect="1"/>
                          </pic:cNvPicPr>
                        </pic:nvPicPr>
                        <pic:blipFill>
                          <a:blip r:embed="rId14"/>
                          <a:stretch>
                            <a:fillRect/>
                          </a:stretch>
                        </pic:blipFill>
                        <pic:spPr>
                          <a:xfrm>
                            <a:off x="0" y="0"/>
                            <a:ext cx="257175" cy="266700"/>
                          </a:xfrm>
                          <a:prstGeom prst="rect">
                            <a:avLst/>
                          </a:prstGeom>
                          <a:noFill/>
                          <a:ln w="9525">
                            <a:noFill/>
                          </a:ln>
                        </pic:spPr>
                      </pic:pic>
                    </a:graphicData>
                  </a:graphic>
                </wp:inline>
              </w:drawing>
            </w:r>
          </w:p>
        </w:tc>
      </w:tr>
      <w:tr w14:paraId="61DAE5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685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9FB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配套圆凳</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D69C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1、尺寸：280*450mm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2、材质：全实木材质，木材经烘干处理，防虫防蛀、经久耐用；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3、结构：传统木工工艺，榫卯结构，桌体牢固；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工艺：木材经烘干处理，含水率不高于12%，防虫防蛀、经久耐用；油漆采用优质环保木器漆传统工艺，手工底漆，三遍打磨找平后再喷面漆，漆面光滑，耐磨耐高温，纹路清晰，长时间不变色，易清洁，美观大方；</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45E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0D4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ED20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drawing>
                <wp:inline distT="0" distB="0" distL="114300" distR="114300">
                  <wp:extent cx="257175" cy="266700"/>
                  <wp:effectExtent l="0" t="0" r="9525" b="0"/>
                  <wp:docPr id="118" name="图片 117"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117" descr="IMG_258"/>
                          <pic:cNvPicPr>
                            <a:picLocks noChangeAspect="1"/>
                          </pic:cNvPicPr>
                        </pic:nvPicPr>
                        <pic:blipFill>
                          <a:blip r:embed="rId15"/>
                          <a:stretch>
                            <a:fillRect/>
                          </a:stretch>
                        </pic:blipFill>
                        <pic:spPr>
                          <a:xfrm>
                            <a:off x="0" y="0"/>
                            <a:ext cx="257175" cy="266700"/>
                          </a:xfrm>
                          <a:prstGeom prst="rect">
                            <a:avLst/>
                          </a:prstGeom>
                          <a:noFill/>
                          <a:ln w="9525">
                            <a:noFill/>
                          </a:ln>
                        </pic:spPr>
                      </pic:pic>
                    </a:graphicData>
                  </a:graphic>
                </wp:inline>
              </w:drawing>
            </w:r>
          </w:p>
        </w:tc>
      </w:tr>
      <w:tr w14:paraId="6B2A6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942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03594B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社团、团校2</w:t>
            </w:r>
          </w:p>
        </w:tc>
      </w:tr>
      <w:tr w14:paraId="281A2C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E2A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103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演讲台</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0912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800mm*525mm*1150mm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1、板材：基材：采用优质E1级环保高密度纤维板，板材厚度1.8CM；甲醛释放量低于9.0mg/100g符合国家标准，含水率≤7.4%（防潮、防虫、防腐处理）。面材：贴面采用AAA级0.6mm胡桃木木皮，经防潮、防虫、防腐处理。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2、油漆：油漆采用优质PU聚酯漆，底漆采用PE不饱和树脂漆，采用5底3面的油漆工艺；挥发性有机化合物（V0C）含量650/L,甲醛、二甲苯、乙苯含量总和16%，面漆，色泽均匀，主次分明，木纹清晰；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3、配件：采用优质五金件，作防锈、防腐处理，经久耐用。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4、成品外表与封边的倒棱圆角，边缘平整，光滑，弧线均匀一致，无加工刀痕。</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C56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23D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F0A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361950" cy="266700"/>
                  <wp:effectExtent l="0" t="0" r="0" b="0"/>
                  <wp:docPr id="132" name="图片 118"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118" descr="IMG_259"/>
                          <pic:cNvPicPr>
                            <a:picLocks noChangeAspect="1"/>
                          </pic:cNvPicPr>
                        </pic:nvPicPr>
                        <pic:blipFill>
                          <a:blip r:embed="rId16"/>
                          <a:stretch>
                            <a:fillRect/>
                          </a:stretch>
                        </pic:blipFill>
                        <pic:spPr>
                          <a:xfrm>
                            <a:off x="0" y="0"/>
                            <a:ext cx="361950" cy="266700"/>
                          </a:xfrm>
                          <a:prstGeom prst="rect">
                            <a:avLst/>
                          </a:prstGeom>
                          <a:noFill/>
                          <a:ln w="9525">
                            <a:noFill/>
                          </a:ln>
                        </pic:spPr>
                      </pic:pic>
                    </a:graphicData>
                  </a:graphic>
                </wp:inline>
              </w:drawing>
            </w:r>
          </w:p>
        </w:tc>
      </w:tr>
      <w:tr w14:paraId="651ADF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390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F7C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六边形桌</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8D98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1、面板：采用25mm厚三聚氰胺板高密度板；四周全自动机器近色封边，所用基材及防火板材料符合国家环保标准（E1级）；可订制各种面板的颜色；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2、桌腿：采用60（mm)圆管、220度高温静电喷涂；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3、功能：可多重方式任意组合，适用于各种大型场景和学习场所；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6人桌。</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74C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868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929B888">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381000" cy="266700"/>
                  <wp:effectExtent l="0" t="0" r="0" b="0"/>
                  <wp:docPr id="119" name="图片 119"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119" descr="IMG_260"/>
                          <pic:cNvPicPr>
                            <a:picLocks noChangeAspect="1"/>
                          </pic:cNvPicPr>
                        </pic:nvPicPr>
                        <pic:blipFill>
                          <a:blip r:embed="rId17"/>
                          <a:stretch>
                            <a:fillRect/>
                          </a:stretch>
                        </pic:blipFill>
                        <pic:spPr>
                          <a:xfrm>
                            <a:off x="0" y="0"/>
                            <a:ext cx="381000" cy="266700"/>
                          </a:xfrm>
                          <a:prstGeom prst="rect">
                            <a:avLst/>
                          </a:prstGeom>
                          <a:noFill/>
                          <a:ln w="9525">
                            <a:noFill/>
                          </a:ln>
                        </pic:spPr>
                      </pic:pic>
                    </a:graphicData>
                  </a:graphic>
                </wp:inline>
              </w:drawing>
            </w:r>
          </w:p>
        </w:tc>
      </w:tr>
      <w:tr w14:paraId="11E2C9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D40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6BE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配套凳子</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12C9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尺寸：460*410*800mm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功能：靠背符合人体工学设计，久坐不累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材质：坐垫采用透气网布坐垫，高回弹性能，舒缓坐姿压力，防滑脚垫，稳固不摇晃采用固定弓架钢筋腿，稳固承重</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9F5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B5B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626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200025" cy="266700"/>
                  <wp:effectExtent l="0" t="0" r="9525" b="0"/>
                  <wp:docPr id="129" name="图片 120"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120" descr="IMG_261"/>
                          <pic:cNvPicPr>
                            <a:picLocks noChangeAspect="1"/>
                          </pic:cNvPicPr>
                        </pic:nvPicPr>
                        <pic:blipFill>
                          <a:blip r:embed="rId18"/>
                          <a:stretch>
                            <a:fillRect/>
                          </a:stretch>
                        </pic:blipFill>
                        <pic:spPr>
                          <a:xfrm>
                            <a:off x="0" y="0"/>
                            <a:ext cx="200025" cy="266700"/>
                          </a:xfrm>
                          <a:prstGeom prst="rect">
                            <a:avLst/>
                          </a:prstGeom>
                          <a:noFill/>
                          <a:ln w="9525">
                            <a:noFill/>
                          </a:ln>
                        </pic:spPr>
                      </pic:pic>
                    </a:graphicData>
                  </a:graphic>
                </wp:inline>
              </w:drawing>
            </w:r>
          </w:p>
        </w:tc>
      </w:tr>
      <w:tr w14:paraId="123DD9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942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603A45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社团、团校3</w:t>
            </w:r>
          </w:p>
        </w:tc>
      </w:tr>
      <w:tr w14:paraId="203952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F68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84D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演讲台</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A2C9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800mm*525mm*1150mm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1、板材：基材：采用优质E1级环保高密度纤维板，板材厚度1.8CM；甲醛释放量低于9.0mg/100g符合国家标准，含水率≤7.4%（防潮、防虫、防腐处理）。面材：贴面采用0.6mm胡桃木木皮，经防潮、防虫、防腐处理。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2、油漆：油漆采用优质PU聚酯漆，底漆采用PE不饱和树脂漆，采用5底3面的油漆工艺；挥发性有机化合物（V0C）含量650/L,甲醛、二甲苯、乙苯含量总和16%，面漆，色泽均匀，主次分明，木纹清晰；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3、配件：采用优质五金件，作防锈、防腐处理，经久耐用。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4、成品外表与封边的倒棱圆角，边缘平整，光滑，弧线均匀一致，无加工刀痕。</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155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249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873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361950" cy="266700"/>
                  <wp:effectExtent l="0" t="0" r="0" b="0"/>
                  <wp:docPr id="120" name="图片 121"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121" descr="IMG_262"/>
                          <pic:cNvPicPr>
                            <a:picLocks noChangeAspect="1"/>
                          </pic:cNvPicPr>
                        </pic:nvPicPr>
                        <pic:blipFill>
                          <a:blip r:embed="rId16"/>
                          <a:stretch>
                            <a:fillRect/>
                          </a:stretch>
                        </pic:blipFill>
                        <pic:spPr>
                          <a:xfrm>
                            <a:off x="0" y="0"/>
                            <a:ext cx="361950" cy="266700"/>
                          </a:xfrm>
                          <a:prstGeom prst="rect">
                            <a:avLst/>
                          </a:prstGeom>
                          <a:noFill/>
                          <a:ln w="9525">
                            <a:noFill/>
                          </a:ln>
                        </pic:spPr>
                      </pic:pic>
                    </a:graphicData>
                  </a:graphic>
                </wp:inline>
              </w:drawing>
            </w:r>
          </w:p>
        </w:tc>
      </w:tr>
      <w:tr w14:paraId="54CDF4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7C4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F5E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3人长条桌</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867F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长1800宽800高750mm（木纹色）与椅颜色一致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全橡胶木实木桌，80×80mm桌腿，18mm厚AA级橡胶木机拼板桌面，榫头连接、结构合理美观、牢固耐用，所有板边倒圆边，板面光滑，无毛刺；环保聚酯木器漆（清水漆、五底三面）</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C4A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35E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FCF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361950" cy="266700"/>
                  <wp:effectExtent l="0" t="0" r="0" b="0"/>
                  <wp:docPr id="122" name="图片 122"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122" descr="IMG_263"/>
                          <pic:cNvPicPr>
                            <a:picLocks noChangeAspect="1"/>
                          </pic:cNvPicPr>
                        </pic:nvPicPr>
                        <pic:blipFill>
                          <a:blip r:embed="rId19"/>
                          <a:stretch>
                            <a:fillRect/>
                          </a:stretch>
                        </pic:blipFill>
                        <pic:spPr>
                          <a:xfrm>
                            <a:off x="0" y="0"/>
                            <a:ext cx="361950" cy="266700"/>
                          </a:xfrm>
                          <a:prstGeom prst="rect">
                            <a:avLst/>
                          </a:prstGeom>
                          <a:noFill/>
                          <a:ln w="9525">
                            <a:noFill/>
                          </a:ln>
                        </pic:spPr>
                      </pic:pic>
                    </a:graphicData>
                  </a:graphic>
                </wp:inline>
              </w:drawing>
            </w:r>
          </w:p>
        </w:tc>
      </w:tr>
      <w:tr w14:paraId="279466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346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0FA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2人长条桌</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FECC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长1200宽800高750mm（木纹色）与椅颜色一致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全橡胶木实木桌，80×80mm桌腿，18mm厚AA级橡胶木机拼板桌面，榫头连接、结构合理美观、牢固耐用，所有板边倒圆边，板面光滑，无毛刺；环保聚酯木器漆（清水漆、五底三面）</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949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BD0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B25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361950" cy="266700"/>
                  <wp:effectExtent l="0" t="0" r="0" b="0"/>
                  <wp:docPr id="134" name="图片 123"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123" descr="IMG_264"/>
                          <pic:cNvPicPr>
                            <a:picLocks noChangeAspect="1"/>
                          </pic:cNvPicPr>
                        </pic:nvPicPr>
                        <pic:blipFill>
                          <a:blip r:embed="rId19"/>
                          <a:stretch>
                            <a:fillRect/>
                          </a:stretch>
                        </pic:blipFill>
                        <pic:spPr>
                          <a:xfrm>
                            <a:off x="0" y="0"/>
                            <a:ext cx="361950" cy="266700"/>
                          </a:xfrm>
                          <a:prstGeom prst="rect">
                            <a:avLst/>
                          </a:prstGeom>
                          <a:noFill/>
                          <a:ln w="9525">
                            <a:noFill/>
                          </a:ln>
                        </pic:spPr>
                      </pic:pic>
                    </a:graphicData>
                  </a:graphic>
                </wp:inline>
              </w:drawing>
            </w:r>
          </w:p>
        </w:tc>
      </w:tr>
      <w:tr w14:paraId="258773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D47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A83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配套靠背椅</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9EFC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420*420*780mm（木纹色）与桌颜色一致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全橡胶木实木椅，榫头连接、结构合理美观、牢固耐用，表面光滑，无毛刺；环保聚酯木器漆（清水漆、五底三面）</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599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3BA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770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219075" cy="266700"/>
                  <wp:effectExtent l="0" t="0" r="9525" b="0"/>
                  <wp:docPr id="121" name="图片 124"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124" descr="IMG_265"/>
                          <pic:cNvPicPr>
                            <a:picLocks noChangeAspect="1"/>
                          </pic:cNvPicPr>
                        </pic:nvPicPr>
                        <pic:blipFill>
                          <a:blip r:embed="rId20"/>
                          <a:stretch>
                            <a:fillRect/>
                          </a:stretch>
                        </pic:blipFill>
                        <pic:spPr>
                          <a:xfrm>
                            <a:off x="0" y="0"/>
                            <a:ext cx="219075" cy="266700"/>
                          </a:xfrm>
                          <a:prstGeom prst="rect">
                            <a:avLst/>
                          </a:prstGeom>
                          <a:noFill/>
                          <a:ln w="9525">
                            <a:noFill/>
                          </a:ln>
                        </pic:spPr>
                      </pic:pic>
                    </a:graphicData>
                  </a:graphic>
                </wp:inline>
              </w:drawing>
            </w:r>
          </w:p>
        </w:tc>
      </w:tr>
      <w:tr w14:paraId="72885A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942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961AF0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心理咨询室3间</w:t>
            </w:r>
          </w:p>
        </w:tc>
      </w:tr>
      <w:tr w14:paraId="637518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0CF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184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组合桌椅</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896F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直径160cm，高度70-75cml  6人套装：6凳+6张扇形桌组成一张直径160cm圆桌 桌面材质：防火板或环保实木，板厚≥25mm。 支架材质：优质冷轧钢管，直径50mm，管壁厚度≥1.2mm。</w:t>
            </w:r>
            <w:r>
              <w:rPr>
                <w:rStyle w:val="215"/>
                <w:rFonts w:eastAsia="宋体"/>
                <w:lang w:val="en-US" w:eastAsia="zh-CN" w:bidi="ar"/>
              </w:rPr>
              <w:t>​</w:t>
            </w:r>
            <w:r>
              <w:rPr>
                <w:rStyle w:val="216"/>
                <w:lang w:val="en-US" w:eastAsia="zh-CN" w:bidi="ar"/>
              </w:rPr>
              <w:t>连接配件：ABS材料，压铸模一次性成型。</w:t>
            </w:r>
            <w:r>
              <w:rPr>
                <w:rStyle w:val="215"/>
                <w:rFonts w:eastAsia="宋体"/>
                <w:lang w:val="en-US" w:eastAsia="zh-CN" w:bidi="ar"/>
              </w:rPr>
              <w:t>​</w:t>
            </w:r>
            <w:r>
              <w:rPr>
                <w:rStyle w:val="216"/>
                <w:lang w:val="en-US" w:eastAsia="zh-CN" w:bidi="ar"/>
              </w:rPr>
              <w:t>椅子材质：PP加玻纤工程塑料背板+特质韧性网布，高密度海绵坐垫。直径1.5米（带笔槽）</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71D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85C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158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238125" cy="266700"/>
                  <wp:effectExtent l="0" t="0" r="9525" b="0"/>
                  <wp:docPr id="130" name="图片 125"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125" descr="IMG_266"/>
                          <pic:cNvPicPr>
                            <a:picLocks noChangeAspect="1"/>
                          </pic:cNvPicPr>
                        </pic:nvPicPr>
                        <pic:blipFill>
                          <a:blip r:embed="rId21"/>
                          <a:stretch>
                            <a:fillRect/>
                          </a:stretch>
                        </pic:blipFill>
                        <pic:spPr>
                          <a:xfrm>
                            <a:off x="0" y="0"/>
                            <a:ext cx="238125" cy="266700"/>
                          </a:xfrm>
                          <a:prstGeom prst="rect">
                            <a:avLst/>
                          </a:prstGeom>
                          <a:noFill/>
                          <a:ln w="9525">
                            <a:noFill/>
                          </a:ln>
                        </pic:spPr>
                      </pic:pic>
                    </a:graphicData>
                  </a:graphic>
                </wp:inline>
              </w:drawing>
            </w:r>
          </w:p>
        </w:tc>
      </w:tr>
      <w:tr w14:paraId="14CEBC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268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B5F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讲台</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FEC9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(1).规格：1200*600*850MM；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(2).结构：讲台桌身主体及背板采用16mm厚优质三聚氰胺防潮双贴面板，所有外露板边都采用机器进行PVC热压平封边。桌面下设有储物空间，可容纳多种资料，中间隔开抽屉式设计。更贴心，收纳更方便。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(3).工艺：表面光滑无毛刺，不伤手，使用感更好。</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484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33B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D46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361950" cy="266700"/>
                  <wp:effectExtent l="0" t="0" r="0" b="0"/>
                  <wp:docPr id="123" name="图片 126"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126" descr="IMG_267"/>
                          <pic:cNvPicPr>
                            <a:picLocks noChangeAspect="1"/>
                          </pic:cNvPicPr>
                        </pic:nvPicPr>
                        <pic:blipFill>
                          <a:blip r:embed="rId22"/>
                          <a:stretch>
                            <a:fillRect/>
                          </a:stretch>
                        </pic:blipFill>
                        <pic:spPr>
                          <a:xfrm>
                            <a:off x="0" y="0"/>
                            <a:ext cx="361950" cy="266700"/>
                          </a:xfrm>
                          <a:prstGeom prst="rect">
                            <a:avLst/>
                          </a:prstGeom>
                          <a:noFill/>
                          <a:ln w="9525">
                            <a:noFill/>
                          </a:ln>
                        </pic:spPr>
                      </pic:pic>
                    </a:graphicData>
                  </a:graphic>
                </wp:inline>
              </w:drawing>
            </w:r>
          </w:p>
        </w:tc>
      </w:tr>
      <w:tr w14:paraId="4D5410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942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7DDED8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名师工作室3间</w:t>
            </w:r>
          </w:p>
        </w:tc>
      </w:tr>
      <w:tr w14:paraId="6E884B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018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375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会议桌</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ADA3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3000*1500*750mm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1.基材：采用优质E1级三聚氰胺板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2.封边：采用优质封边条</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C3B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25E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7F6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647700" cy="266700"/>
                  <wp:effectExtent l="0" t="0" r="0" b="0"/>
                  <wp:docPr id="127" name="图片 127"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127" descr="IMG_268"/>
                          <pic:cNvPicPr>
                            <a:picLocks noChangeAspect="1"/>
                          </pic:cNvPicPr>
                        </pic:nvPicPr>
                        <pic:blipFill>
                          <a:blip r:embed="rId23"/>
                          <a:stretch>
                            <a:fillRect/>
                          </a:stretch>
                        </pic:blipFill>
                        <pic:spPr>
                          <a:xfrm>
                            <a:off x="0" y="0"/>
                            <a:ext cx="647700" cy="266700"/>
                          </a:xfrm>
                          <a:prstGeom prst="rect">
                            <a:avLst/>
                          </a:prstGeom>
                          <a:noFill/>
                          <a:ln w="9525">
                            <a:noFill/>
                          </a:ln>
                        </pic:spPr>
                      </pic:pic>
                    </a:graphicData>
                  </a:graphic>
                </wp:inline>
              </w:drawing>
            </w:r>
          </w:p>
        </w:tc>
      </w:tr>
      <w:tr w14:paraId="470E55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942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72D3FE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政治学科基地1间</w:t>
            </w:r>
          </w:p>
        </w:tc>
      </w:tr>
      <w:tr w14:paraId="351E30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F08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C43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组合式会议桌</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695C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1400*500*760mm（木纹色）与椅颜色一致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全橡胶木实木桌，80×80mm桌腿，18mm厚AA级橡胶木机拼板桌面，榫头连接、结构合理美观、牢固耐用，所有板边倒圆边，板面光滑，无毛刺；环保聚酯木器漆（清水漆、五底三面）</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855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178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4C6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361950" cy="266700"/>
                  <wp:effectExtent l="0" t="0" r="0" b="0"/>
                  <wp:docPr id="124" name="图片 128"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128" descr="IMG_269"/>
                          <pic:cNvPicPr>
                            <a:picLocks noChangeAspect="1"/>
                          </pic:cNvPicPr>
                        </pic:nvPicPr>
                        <pic:blipFill>
                          <a:blip r:embed="rId19"/>
                          <a:stretch>
                            <a:fillRect/>
                          </a:stretch>
                        </pic:blipFill>
                        <pic:spPr>
                          <a:xfrm>
                            <a:off x="0" y="0"/>
                            <a:ext cx="361950" cy="266700"/>
                          </a:xfrm>
                          <a:prstGeom prst="rect">
                            <a:avLst/>
                          </a:prstGeom>
                          <a:noFill/>
                          <a:ln w="9525">
                            <a:noFill/>
                          </a:ln>
                        </pic:spPr>
                      </pic:pic>
                    </a:graphicData>
                  </a:graphic>
                </wp:inline>
              </w:drawing>
            </w:r>
          </w:p>
        </w:tc>
      </w:tr>
      <w:tr w14:paraId="0629B2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DFA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56C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移动讲台</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9149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800*525*1150mm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1、板材：基材：采用优质E1级环保高密度纤维板，板材厚度1.8CM；甲醛释放量低于9.0mg/100g符合国家标准，含水率≤7.4%（防潮、防虫、防腐处理）。面材：贴面采用AAA级0.6mm胡桃木木皮，经防潮、防虫、防腐处理。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2、油漆：油漆采用优质PU聚酯漆，底漆采用PE不饱和树脂漆，采用5底3面的油漆工艺；挥发性有机化合物（V0C）含量650/L,甲醛、二甲苯、乙苯含量总和16%，面漆，色泽均匀，主次分明，木纹清晰；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3、配件：采用优质五金件，作防锈、防腐处理，经久耐用。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4、成品外表与封边的倒棱圆角，边缘平整，光滑，弧线均匀一致，无加工刀痕。</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094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F34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06A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361950" cy="266700"/>
                  <wp:effectExtent l="0" t="0" r="0" b="0"/>
                  <wp:docPr id="133" name="图片 129"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129" descr="IMG_270"/>
                          <pic:cNvPicPr>
                            <a:picLocks noChangeAspect="1"/>
                          </pic:cNvPicPr>
                        </pic:nvPicPr>
                        <pic:blipFill>
                          <a:blip r:embed="rId16"/>
                          <a:stretch>
                            <a:fillRect/>
                          </a:stretch>
                        </pic:blipFill>
                        <pic:spPr>
                          <a:xfrm>
                            <a:off x="0" y="0"/>
                            <a:ext cx="361950" cy="266700"/>
                          </a:xfrm>
                          <a:prstGeom prst="rect">
                            <a:avLst/>
                          </a:prstGeom>
                          <a:noFill/>
                          <a:ln w="9525">
                            <a:noFill/>
                          </a:ln>
                        </pic:spPr>
                      </pic:pic>
                    </a:graphicData>
                  </a:graphic>
                </wp:inline>
              </w:drawing>
            </w:r>
          </w:p>
        </w:tc>
      </w:tr>
      <w:tr w14:paraId="2409C5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942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FF8D7F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教工(妇女)之家1间</w:t>
            </w:r>
          </w:p>
        </w:tc>
      </w:tr>
      <w:tr w14:paraId="2843ED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3A1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864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会议桌</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E2B6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长1400宽800高750mm（木纹色）与会议椅颜色一致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全橡胶木实木桌，80×80mm桌腿，18mm厚AA级橡胶木机拼板桌面，榫头连接、结构合理美观、牢固耐用，所有板边倒圆边，板面光滑，无毛刺；环保聚酯木器漆（清水漆、五底三面）</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DD4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13A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122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361950" cy="266700"/>
                  <wp:effectExtent l="0" t="0" r="0" b="0"/>
                  <wp:docPr id="128" name="图片 130"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130" descr="IMG_271"/>
                          <pic:cNvPicPr>
                            <a:picLocks noChangeAspect="1"/>
                          </pic:cNvPicPr>
                        </pic:nvPicPr>
                        <pic:blipFill>
                          <a:blip r:embed="rId19"/>
                          <a:stretch>
                            <a:fillRect/>
                          </a:stretch>
                        </pic:blipFill>
                        <pic:spPr>
                          <a:xfrm>
                            <a:off x="0" y="0"/>
                            <a:ext cx="361950" cy="266700"/>
                          </a:xfrm>
                          <a:prstGeom prst="rect">
                            <a:avLst/>
                          </a:prstGeom>
                          <a:noFill/>
                          <a:ln w="9525">
                            <a:noFill/>
                          </a:ln>
                        </pic:spPr>
                      </pic:pic>
                    </a:graphicData>
                  </a:graphic>
                </wp:inline>
              </w:drawing>
            </w:r>
          </w:p>
        </w:tc>
      </w:tr>
      <w:tr w14:paraId="518502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C52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8C0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茶几</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FB45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尺寸：1400*700*450mm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1、基材：采用优质E1级三聚氰胺板，甲醛含量≤1.0mg/L密度≥760kg/m3，静曲张度≥51.2Mpa，吸水膨胀率≤8.1%.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2、粘合剂：德国牛头牌乳胶；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3、封边用材：2mm厚PVC胶边，热熔胶；</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2A5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5E1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117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342900" cy="266700"/>
                  <wp:effectExtent l="0" t="0" r="0" b="0"/>
                  <wp:docPr id="135" name="图片 131"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131" descr="IMG_272"/>
                          <pic:cNvPicPr>
                            <a:picLocks noChangeAspect="1"/>
                          </pic:cNvPicPr>
                        </pic:nvPicPr>
                        <pic:blipFill>
                          <a:blip r:embed="rId24"/>
                          <a:stretch>
                            <a:fillRect/>
                          </a:stretch>
                        </pic:blipFill>
                        <pic:spPr>
                          <a:xfrm>
                            <a:off x="0" y="0"/>
                            <a:ext cx="342900" cy="266700"/>
                          </a:xfrm>
                          <a:prstGeom prst="rect">
                            <a:avLst/>
                          </a:prstGeom>
                          <a:noFill/>
                          <a:ln w="9525">
                            <a:noFill/>
                          </a:ln>
                        </pic:spPr>
                      </pic:pic>
                    </a:graphicData>
                  </a:graphic>
                </wp:inline>
              </w:drawing>
            </w:r>
          </w:p>
        </w:tc>
      </w:tr>
      <w:tr w14:paraId="0DB46E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20E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BF80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方桌</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0C39F">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实木，正方形，带储物抽屉 100×100cm</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46CC7">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3</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0919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套</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E260C">
            <w:pPr>
              <w:jc w:val="center"/>
              <w:rPr>
                <w:rFonts w:hint="eastAsia" w:ascii="宋体" w:hAnsi="宋体" w:eastAsia="宋体" w:cs="宋体"/>
                <w:i w:val="0"/>
                <w:iCs w:val="0"/>
                <w:color w:val="000000"/>
                <w:sz w:val="20"/>
                <w:szCs w:val="20"/>
                <w:u w:val="none"/>
              </w:rPr>
            </w:pPr>
          </w:p>
        </w:tc>
      </w:tr>
      <w:tr w14:paraId="5E91D5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942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CAEA917">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广播活动室2间</w:t>
            </w:r>
          </w:p>
        </w:tc>
      </w:tr>
      <w:tr w14:paraId="5B4AA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9C4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38F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讲台</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CF9E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(1).规格：1200*600*850MM；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(2).结构：讲台桌身主体及背板采用16mm厚优质三聚氰胺防潮双贴面板，所有外露板边都采用机器进行PVC热压平封边。桌面下设有储物空间，可容纳多种资料，中间隔开抽屉式设计。更贴心，收纳更方便。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(3).工艺：表面光滑无毛刺，不伤手，使用感更好。</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FDF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88D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DAE9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323850" cy="266700"/>
                  <wp:effectExtent l="0" t="0" r="0" b="0"/>
                  <wp:docPr id="136" name="图片 132"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132" descr="IMG_273"/>
                          <pic:cNvPicPr>
                            <a:picLocks noChangeAspect="1"/>
                          </pic:cNvPicPr>
                        </pic:nvPicPr>
                        <pic:blipFill>
                          <a:blip r:embed="rId25"/>
                          <a:stretch>
                            <a:fillRect/>
                          </a:stretch>
                        </pic:blipFill>
                        <pic:spPr>
                          <a:xfrm>
                            <a:off x="0" y="0"/>
                            <a:ext cx="323850" cy="266700"/>
                          </a:xfrm>
                          <a:prstGeom prst="rect">
                            <a:avLst/>
                          </a:prstGeom>
                          <a:noFill/>
                          <a:ln w="9525">
                            <a:noFill/>
                          </a:ln>
                        </pic:spPr>
                      </pic:pic>
                    </a:graphicData>
                  </a:graphic>
                </wp:inline>
              </w:drawing>
            </w:r>
          </w:p>
        </w:tc>
      </w:tr>
      <w:tr w14:paraId="2E14A5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942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304D4F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财务档案室1间</w:t>
            </w:r>
          </w:p>
        </w:tc>
      </w:tr>
      <w:tr w14:paraId="514AC7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5ED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BCC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实木长条桌</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C9A5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长1400宽800高750mm（木纹色）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全橡胶木实木桌，80×80mm桌腿，18mm厚AA级橡胶木机拼板桌面，榫头连接、结构合理美观、牢固耐用，所有板边倒圆边，板面光滑，无毛刺；环保聚酯木器漆（清水漆、五底三面）</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BFC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726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506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361950" cy="266700"/>
                  <wp:effectExtent l="0" t="0" r="0" b="0"/>
                  <wp:docPr id="125" name="图片 133"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133" descr="IMG_274"/>
                          <pic:cNvPicPr>
                            <a:picLocks noChangeAspect="1"/>
                          </pic:cNvPicPr>
                        </pic:nvPicPr>
                        <pic:blipFill>
                          <a:blip r:embed="rId19"/>
                          <a:stretch>
                            <a:fillRect/>
                          </a:stretch>
                        </pic:blipFill>
                        <pic:spPr>
                          <a:xfrm>
                            <a:off x="0" y="0"/>
                            <a:ext cx="361950" cy="266700"/>
                          </a:xfrm>
                          <a:prstGeom prst="rect">
                            <a:avLst/>
                          </a:prstGeom>
                          <a:noFill/>
                          <a:ln w="9525">
                            <a:noFill/>
                          </a:ln>
                        </pic:spPr>
                      </pic:pic>
                    </a:graphicData>
                  </a:graphic>
                </wp:inline>
              </w:drawing>
            </w:r>
          </w:p>
        </w:tc>
      </w:tr>
      <w:tr w14:paraId="02FE02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942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D3D5EE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报刊阅览室2间</w:t>
            </w:r>
          </w:p>
        </w:tc>
      </w:tr>
      <w:tr w14:paraId="6039A9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809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C9A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阅读桌</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7110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长1400宽800高750mm（木纹色）与椅颜色一致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全橡胶木实木桌，80×80mm桌腿，18mm厚AA级橡胶木机拼板桌面，榫头连接、结构合理美观、牢固耐用，所有板边倒圆边，板面光滑，无毛刺；环保聚酯木器漆（清水漆、五底三面）</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8B4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C72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4D4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361950" cy="266700"/>
                  <wp:effectExtent l="0" t="0" r="0" b="0"/>
                  <wp:docPr id="131" name="图片 134"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134" descr="IMG_275"/>
                          <pic:cNvPicPr>
                            <a:picLocks noChangeAspect="1"/>
                          </pic:cNvPicPr>
                        </pic:nvPicPr>
                        <pic:blipFill>
                          <a:blip r:embed="rId19"/>
                          <a:stretch>
                            <a:fillRect/>
                          </a:stretch>
                        </pic:blipFill>
                        <pic:spPr>
                          <a:xfrm>
                            <a:off x="0" y="0"/>
                            <a:ext cx="361950" cy="266700"/>
                          </a:xfrm>
                          <a:prstGeom prst="rect">
                            <a:avLst/>
                          </a:prstGeom>
                          <a:noFill/>
                          <a:ln w="9525">
                            <a:noFill/>
                          </a:ln>
                        </pic:spPr>
                      </pic:pic>
                    </a:graphicData>
                  </a:graphic>
                </wp:inline>
              </w:drawing>
            </w:r>
          </w:p>
        </w:tc>
      </w:tr>
      <w:tr w14:paraId="730636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D6F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662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办公桌</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DBC8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办公桌：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1400*700*760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1、板材：基材：采用优质E0级环保密度板，板材厚度1.8CM；甲醛释放量低于9.0mg/100g符合国家标准，含水率≤7.4%（防潮、防虫、防腐处理）。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2、面材：贴面采用0.6mm胡桃木木皮。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3、油漆：油漆采用优质PU聚酯漆，底漆采用PE不饱和树脂漆，采用5底3面的油漆工艺；挥发性有机化合物（V0C）含量650/L,甲醛、二甲苯、乙苯含量总和16%，面漆，色泽均匀，主次分明，木纹清晰；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4、配件：采用优质五金件，作防锈、防腐处理，经久耐用。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办公椅：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1、尺寸：常规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2、面料：采用1.0mm厚西皮,表面光泽度好、透气性强、柔软而富有韧性，所有面料包裹平整、牢固；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3、框架：采用优质橡木，经防潮、防腐、防虫等化学处理；甲醛释放量低于9.0mg/100g符合国家标准，含水率≤7.4%（防潮、防虫、防腐处理）。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4、海绵：采用高弹力定型海绵，密度：35-55度，拉伸强度为110kPa，伸长率为160%，回弹率为40%，75%压缩永久不变形率为5%。可防氧化、防碎，经过HD测试，不变形。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5、油漆：采用优质环保油漆，经过五底三面油漆工序，达到E0级环保标准；</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931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E47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74B9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371475" cy="266700"/>
                  <wp:effectExtent l="0" t="0" r="9525" b="0"/>
                  <wp:docPr id="138" name="图片 135"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135" descr="IMG_276"/>
                          <pic:cNvPicPr>
                            <a:picLocks noChangeAspect="1"/>
                          </pic:cNvPicPr>
                        </pic:nvPicPr>
                        <pic:blipFill>
                          <a:blip r:embed="rId13"/>
                          <a:stretch>
                            <a:fillRect/>
                          </a:stretch>
                        </pic:blipFill>
                        <pic:spPr>
                          <a:xfrm>
                            <a:off x="0" y="0"/>
                            <a:ext cx="371475" cy="266700"/>
                          </a:xfrm>
                          <a:prstGeom prst="rect">
                            <a:avLst/>
                          </a:prstGeom>
                          <a:noFill/>
                          <a:ln w="9525">
                            <a:noFill/>
                          </a:ln>
                        </pic:spPr>
                      </pic:pic>
                    </a:graphicData>
                  </a:graphic>
                </wp:inline>
              </w:drawing>
            </w:r>
          </w:p>
        </w:tc>
      </w:tr>
      <w:tr w14:paraId="70B938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942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651E05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梯田读书区2间</w:t>
            </w:r>
          </w:p>
        </w:tc>
      </w:tr>
      <w:tr w14:paraId="194A12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6AA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75C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阅读桌</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37B2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长1400宽800高750mm（木纹色）与椅颜色一致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全橡胶木实木桌，80×80mm桌腿，18mm厚AA级橡胶木机拼板桌面，榫头连接、结构合理美观、牢固耐用，所有板边倒圆边，板面光滑，无毛刺；环保聚酯木器漆（清水漆、五底三面）</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431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2F6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A25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361950" cy="266700"/>
                  <wp:effectExtent l="0" t="0" r="0" b="0"/>
                  <wp:docPr id="117" name="图片 136"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136" descr="IMG_277"/>
                          <pic:cNvPicPr>
                            <a:picLocks noChangeAspect="1"/>
                          </pic:cNvPicPr>
                        </pic:nvPicPr>
                        <pic:blipFill>
                          <a:blip r:embed="rId19"/>
                          <a:stretch>
                            <a:fillRect/>
                          </a:stretch>
                        </pic:blipFill>
                        <pic:spPr>
                          <a:xfrm>
                            <a:off x="0" y="0"/>
                            <a:ext cx="361950" cy="266700"/>
                          </a:xfrm>
                          <a:prstGeom prst="rect">
                            <a:avLst/>
                          </a:prstGeom>
                          <a:noFill/>
                          <a:ln w="9525">
                            <a:noFill/>
                          </a:ln>
                        </pic:spPr>
                      </pic:pic>
                    </a:graphicData>
                  </a:graphic>
                </wp:inline>
              </w:drawing>
            </w:r>
          </w:p>
        </w:tc>
      </w:tr>
      <w:tr w14:paraId="30D054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942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3CDE3A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电子阅览室1间</w:t>
            </w:r>
          </w:p>
        </w:tc>
      </w:tr>
      <w:tr w14:paraId="1955AB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9EC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312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两人电脑桌</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F35B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1400*600*750mm，钢木结构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板材质说明：采用优质多层板，经过防虫防腐处理，纹理清晰，E1绿色环保型，封边2MM厚PVC封边，品牌热熔胶，经自动调温热压机使板材粘连无丝无缝，在不同地区气温、湿度的变化中不受影响，能长期不变形不开裂，同色封边样式美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2：桌架：钢架采用优质冷轧钢管，材质厚度1.2mm，经过6道酸洗池酸洗打磨，最后采用静电粉末喷涂技术，表面喷（50-60um)保护粉漆，经过15min高温烘烤流平固化，颜色稳定</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94A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208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7DE11">
            <w:pPr>
              <w:jc w:val="center"/>
              <w:rPr>
                <w:rFonts w:hint="eastAsia" w:ascii="宋体" w:hAnsi="宋体" w:eastAsia="宋体" w:cs="宋体"/>
                <w:i w:val="0"/>
                <w:iCs w:val="0"/>
                <w:color w:val="000000"/>
                <w:sz w:val="20"/>
                <w:szCs w:val="20"/>
                <w:u w:val="none"/>
              </w:rPr>
            </w:pPr>
          </w:p>
        </w:tc>
      </w:tr>
      <w:tr w14:paraId="3997D6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18D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C04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电脑凳</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EA29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凳面：采用耐磨、耐火、耐酸碱、耐腐蚀的优质多层板材制作；尺寸：340*240*420MM，凳腿采用20*40mm钢管，壁厚不小于1.2MM，脚套为塑料，软质</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AC4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E5B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E7FBB">
            <w:pPr>
              <w:jc w:val="center"/>
              <w:rPr>
                <w:rFonts w:hint="eastAsia" w:ascii="宋体" w:hAnsi="宋体" w:eastAsia="宋体" w:cs="宋体"/>
                <w:i w:val="0"/>
                <w:iCs w:val="0"/>
                <w:color w:val="000000"/>
                <w:sz w:val="20"/>
                <w:szCs w:val="20"/>
                <w:u w:val="none"/>
              </w:rPr>
            </w:pPr>
          </w:p>
        </w:tc>
      </w:tr>
      <w:tr w14:paraId="686FAA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942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0B68D2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开架阅览室2间</w:t>
            </w:r>
          </w:p>
        </w:tc>
      </w:tr>
      <w:tr w14:paraId="262C1B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1AB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3AC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办公桌</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E523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办公桌：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1400*700*760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1、板材：基材：采用优质E0级环保密度板，板材厚度1.8CM；甲醛释放量低于9.0mg/100g符合国家标准，含水率≤7.4%（防潮、防虫、防腐处理）。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2、面材：贴面采用0.6mm胡桃木木皮。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3、油漆：油漆采用优质PU聚酯漆，底漆采用PE不饱和树脂漆，采用5底3面的油漆工艺；挥发性有机化合物（V0C）含量650/L,甲醛、二甲苯、乙苯含量总和16%，面漆，色泽均匀，主次分明，木纹清晰；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4、配件：采用优质五金件，作防锈、防腐处理，经久耐用。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办公椅：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1、尺寸：常规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2、面料：采用1.0mm厚西皮,表面光泽度好、透气性强、柔软而富有韧性，所有面料包裹平整、牢固；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3、框架：采用优质橡木，经防潮、防腐、防虫等化学处理；甲醛释放量低于9.0mg/100g符合国家标准，含水率≤7.4%（防潮、防虫、防腐处理）。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4、海绵：采用高弹力定型海绵，密度：35-55度，拉伸强度为110kPa，伸长率为160%，回弹率为40%，75%压缩永久不变形率为5%。可防氧化、防碎，经过HD测试，不变形。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5、油漆：采用优质环保油漆，经过五底三面油漆工序，达到E0级环保标准；</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4A5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87D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ED8F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371475" cy="266700"/>
                  <wp:effectExtent l="0" t="0" r="9525" b="0"/>
                  <wp:docPr id="147" name="图片 137"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137" descr="IMG_278"/>
                          <pic:cNvPicPr>
                            <a:picLocks noChangeAspect="1"/>
                          </pic:cNvPicPr>
                        </pic:nvPicPr>
                        <pic:blipFill>
                          <a:blip r:embed="rId13"/>
                          <a:stretch>
                            <a:fillRect/>
                          </a:stretch>
                        </pic:blipFill>
                        <pic:spPr>
                          <a:xfrm>
                            <a:off x="0" y="0"/>
                            <a:ext cx="371475" cy="266700"/>
                          </a:xfrm>
                          <a:prstGeom prst="rect">
                            <a:avLst/>
                          </a:prstGeom>
                          <a:noFill/>
                          <a:ln w="9525">
                            <a:noFill/>
                          </a:ln>
                        </pic:spPr>
                      </pic:pic>
                    </a:graphicData>
                  </a:graphic>
                </wp:inline>
              </w:drawing>
            </w:r>
          </w:p>
        </w:tc>
      </w:tr>
      <w:tr w14:paraId="15CBBA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795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3E641E8">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教师阅览室1间</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046AF">
            <w:pPr>
              <w:jc w:val="center"/>
              <w:rPr>
                <w:rFonts w:hint="eastAsia" w:ascii="宋体" w:hAnsi="宋体" w:eastAsia="宋体" w:cs="宋体"/>
                <w:i w:val="0"/>
                <w:iCs w:val="0"/>
                <w:color w:val="000000"/>
                <w:sz w:val="20"/>
                <w:szCs w:val="20"/>
                <w:u w:val="none"/>
              </w:rPr>
            </w:pPr>
          </w:p>
        </w:tc>
      </w:tr>
      <w:tr w14:paraId="11E2E2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C95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FE9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阅读桌</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E4FD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长1400宽800高750mm（木纹色）与椅颜色一致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全橡胶木实木桌，80×80mm桌腿，18mm厚AA级橡胶木机拼板桌面，榫头连接、结构合理美观、牢固耐用，所有板边倒圆边，板面光滑，无毛刺；环保聚酯木器漆（清水漆、五底三面）</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FB3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890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393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361950" cy="266700"/>
                  <wp:effectExtent l="0" t="0" r="0" b="0"/>
                  <wp:docPr id="148" name="图片 138"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138" descr="IMG_279"/>
                          <pic:cNvPicPr>
                            <a:picLocks noChangeAspect="1"/>
                          </pic:cNvPicPr>
                        </pic:nvPicPr>
                        <pic:blipFill>
                          <a:blip r:embed="rId19"/>
                          <a:stretch>
                            <a:fillRect/>
                          </a:stretch>
                        </pic:blipFill>
                        <pic:spPr>
                          <a:xfrm>
                            <a:off x="0" y="0"/>
                            <a:ext cx="361950" cy="266700"/>
                          </a:xfrm>
                          <a:prstGeom prst="rect">
                            <a:avLst/>
                          </a:prstGeom>
                          <a:noFill/>
                          <a:ln w="9525">
                            <a:noFill/>
                          </a:ln>
                        </pic:spPr>
                      </pic:pic>
                    </a:graphicData>
                  </a:graphic>
                </wp:inline>
              </w:drawing>
            </w:r>
          </w:p>
        </w:tc>
      </w:tr>
      <w:tr w14:paraId="6362E4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2D3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E55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办公桌</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FAA5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办公桌：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1400*700*760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1、板材：基材：采用优质E0级环保密度板，板材厚度1.8CM；甲醛释放量低于9.0mg/100g符合国家标准，含水率≤7.4%（防潮、防虫、防腐处理）。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2、面材：贴面采用AAA级0.6mm胡桃木木皮。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3、油漆：油漆采用优质PU聚酯漆，底漆采用PE不饱和树脂漆，采用5底3面的油漆工艺；挥发性有机化合物（V0C）含量650/L,甲醛、二甲苯、乙苯含量总和16%，面漆，色泽均匀，主次分明，木纹清晰；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4、配件：采用优质五金件，作防锈、防腐处理，经久耐用。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办公椅：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1、尺寸：常规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2、面料：采用1.0mm厚西皮,表面光泽度好、透气性强、柔软而富有韧性，所有面料包裹平整、牢固；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3、框架：采用优质橡木，经防潮、防腐、防虫等化学处理；甲醛释放量低于9.0mg/100g符合国家标准，含水率≤7.4%（防潮、防虫、防腐处理）。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4、海绵：采用高弹力定型海绵，密度：35-55度，拉伸强度为110kPa，伸长率为160%，回弹率为40%，75%压缩永久不变形率为5%。可防氧化、防碎，经过HD测试，不变形。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5、油漆：采用优质环保油漆，经过五底三面油漆工序，达到E0级环保标准；</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37F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1D4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4749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371475" cy="266700"/>
                  <wp:effectExtent l="0" t="0" r="9525" b="0"/>
                  <wp:docPr id="149" name="图片 139"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139" descr="IMG_280"/>
                          <pic:cNvPicPr>
                            <a:picLocks noChangeAspect="1"/>
                          </pic:cNvPicPr>
                        </pic:nvPicPr>
                        <pic:blipFill>
                          <a:blip r:embed="rId13"/>
                          <a:stretch>
                            <a:fillRect/>
                          </a:stretch>
                        </pic:blipFill>
                        <pic:spPr>
                          <a:xfrm>
                            <a:off x="0" y="0"/>
                            <a:ext cx="371475" cy="266700"/>
                          </a:xfrm>
                          <a:prstGeom prst="rect">
                            <a:avLst/>
                          </a:prstGeom>
                          <a:noFill/>
                          <a:ln w="9525">
                            <a:noFill/>
                          </a:ln>
                        </pic:spPr>
                      </pic:pic>
                    </a:graphicData>
                  </a:graphic>
                </wp:inline>
              </w:drawing>
            </w:r>
          </w:p>
        </w:tc>
      </w:tr>
      <w:tr w14:paraId="1FA504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420"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C704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艺术教研组活动室</w:t>
            </w:r>
          </w:p>
        </w:tc>
      </w:tr>
      <w:tr w14:paraId="7F73F6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8CC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C27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实木桌子</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D09E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长1200宽800高750mm（木纹色）与椅颜色一致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全橡胶木实木桌，80×80mm桌腿，18mm厚AA级橡胶木机拼板桌面，榫头连接、结构合理美观、牢固耐用，所有板边倒圆边，板面光滑，无毛刺；环保聚酯木器漆（清水漆、五底三面）</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E55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41C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8D5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342900" cy="247650"/>
                  <wp:effectExtent l="0" t="0" r="0" b="0"/>
                  <wp:docPr id="150" name="图片 140"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140" descr="IMG_281"/>
                          <pic:cNvPicPr>
                            <a:picLocks noChangeAspect="1"/>
                          </pic:cNvPicPr>
                        </pic:nvPicPr>
                        <pic:blipFill>
                          <a:blip r:embed="rId26"/>
                          <a:stretch>
                            <a:fillRect/>
                          </a:stretch>
                        </pic:blipFill>
                        <pic:spPr>
                          <a:xfrm>
                            <a:off x="0" y="0"/>
                            <a:ext cx="342900" cy="247650"/>
                          </a:xfrm>
                          <a:prstGeom prst="rect">
                            <a:avLst/>
                          </a:prstGeom>
                          <a:noFill/>
                          <a:ln w="9525">
                            <a:noFill/>
                          </a:ln>
                        </pic:spPr>
                      </pic:pic>
                    </a:graphicData>
                  </a:graphic>
                </wp:inline>
              </w:drawing>
            </w:r>
          </w:p>
        </w:tc>
      </w:tr>
      <w:tr w14:paraId="782387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B2E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61B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会议桌</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8218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3000*1500*750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1.基材：采用优质E1级三聚氰胺板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2.封边：采用优质封边条</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F49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0D5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D52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352425" cy="247650"/>
                  <wp:effectExtent l="0" t="0" r="9525" b="0"/>
                  <wp:docPr id="141" name="图片 141"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141" descr="IMG_282"/>
                          <pic:cNvPicPr>
                            <a:picLocks noChangeAspect="1"/>
                          </pic:cNvPicPr>
                        </pic:nvPicPr>
                        <pic:blipFill>
                          <a:blip r:embed="rId27"/>
                          <a:stretch>
                            <a:fillRect/>
                          </a:stretch>
                        </pic:blipFill>
                        <pic:spPr>
                          <a:xfrm>
                            <a:off x="0" y="0"/>
                            <a:ext cx="352425" cy="247650"/>
                          </a:xfrm>
                          <a:prstGeom prst="rect">
                            <a:avLst/>
                          </a:prstGeom>
                          <a:noFill/>
                          <a:ln w="9525">
                            <a:noFill/>
                          </a:ln>
                        </pic:spPr>
                      </pic:pic>
                    </a:graphicData>
                  </a:graphic>
                </wp:inline>
              </w:drawing>
            </w:r>
          </w:p>
        </w:tc>
      </w:tr>
      <w:tr w14:paraId="0037A2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9420"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18D7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艺术教研组活动室</w:t>
            </w:r>
          </w:p>
        </w:tc>
      </w:tr>
      <w:tr w14:paraId="79C63A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FF5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DE8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实木桌子</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1E5B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长1200宽800高750mm（木纹色）与椅颜色一致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全橡胶木实木桌，80×80mm桌腿，18mm厚AA级橡胶木机拼板桌面，榫头连接、结构合理美观、牢固耐用，所有板边倒圆边，板面光滑，无毛刺；环保聚酯木器漆（清水漆、五底三面）</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F43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E25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85B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400050" cy="285750"/>
                  <wp:effectExtent l="0" t="0" r="0" b="0"/>
                  <wp:docPr id="140" name="图片 142"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142" descr="IMG_283"/>
                          <pic:cNvPicPr>
                            <a:picLocks noChangeAspect="1"/>
                          </pic:cNvPicPr>
                        </pic:nvPicPr>
                        <pic:blipFill>
                          <a:blip r:embed="rId26"/>
                          <a:stretch>
                            <a:fillRect/>
                          </a:stretch>
                        </pic:blipFill>
                        <pic:spPr>
                          <a:xfrm>
                            <a:off x="0" y="0"/>
                            <a:ext cx="400050" cy="285750"/>
                          </a:xfrm>
                          <a:prstGeom prst="rect">
                            <a:avLst/>
                          </a:prstGeom>
                          <a:noFill/>
                          <a:ln w="9525">
                            <a:noFill/>
                          </a:ln>
                        </pic:spPr>
                      </pic:pic>
                    </a:graphicData>
                  </a:graphic>
                </wp:inline>
              </w:drawing>
            </w:r>
          </w:p>
        </w:tc>
      </w:tr>
      <w:tr w14:paraId="136EED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C87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C32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会议桌</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5198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3000*1500*750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1.基材：采用优质E1级三聚氰胺板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2.封边：采用优质封边条</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8C3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A41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B7E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409575" cy="285750"/>
                  <wp:effectExtent l="0" t="0" r="9525" b="0"/>
                  <wp:docPr id="152" name="图片 143"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143" descr="IMG_284"/>
                          <pic:cNvPicPr>
                            <a:picLocks noChangeAspect="1"/>
                          </pic:cNvPicPr>
                        </pic:nvPicPr>
                        <pic:blipFill>
                          <a:blip r:embed="rId27"/>
                          <a:stretch>
                            <a:fillRect/>
                          </a:stretch>
                        </pic:blipFill>
                        <pic:spPr>
                          <a:xfrm>
                            <a:off x="0" y="0"/>
                            <a:ext cx="409575" cy="285750"/>
                          </a:xfrm>
                          <a:prstGeom prst="rect">
                            <a:avLst/>
                          </a:prstGeom>
                          <a:noFill/>
                          <a:ln w="9525">
                            <a:noFill/>
                          </a:ln>
                        </pic:spPr>
                      </pic:pic>
                    </a:graphicData>
                  </a:graphic>
                </wp:inline>
              </w:drawing>
            </w:r>
          </w:p>
        </w:tc>
      </w:tr>
      <w:tr w14:paraId="3039EC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9420"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CF8C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教师办公室补充</w:t>
            </w:r>
          </w:p>
        </w:tc>
      </w:tr>
      <w:tr w14:paraId="1C1F0E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DE5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423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办公桌</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B81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尺寸：1400W*600D*750Hmm（黑胡桃色）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1、板材：基材：采用优质E1级密度板，板材厚度1.8CM；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2、配件：采用优质五金件，作防锈、防腐处理，经久耐用。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b/>
                <w:bCs/>
                <w:i w:val="0"/>
                <w:iCs w:val="0"/>
                <w:color w:val="C00000"/>
                <w:kern w:val="0"/>
                <w:sz w:val="20"/>
                <w:szCs w:val="20"/>
                <w:highlight w:val="yellow"/>
                <w:u w:val="none"/>
                <w:lang w:val="en-US" w:eastAsia="zh-CN" w:bidi="ar"/>
              </w:rPr>
              <w:t>提供样品</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224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0ED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A887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390525" cy="276225"/>
                  <wp:effectExtent l="0" t="0" r="9525" b="9525"/>
                  <wp:docPr id="142" name="图片 144"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144" descr="IMG_285"/>
                          <pic:cNvPicPr>
                            <a:picLocks noChangeAspect="1"/>
                          </pic:cNvPicPr>
                        </pic:nvPicPr>
                        <pic:blipFill>
                          <a:blip r:embed="rId13"/>
                          <a:stretch>
                            <a:fillRect/>
                          </a:stretch>
                        </pic:blipFill>
                        <pic:spPr>
                          <a:xfrm>
                            <a:off x="0" y="0"/>
                            <a:ext cx="390525" cy="276225"/>
                          </a:xfrm>
                          <a:prstGeom prst="rect">
                            <a:avLst/>
                          </a:prstGeom>
                          <a:noFill/>
                          <a:ln w="9525">
                            <a:noFill/>
                          </a:ln>
                        </pic:spPr>
                      </pic:pic>
                    </a:graphicData>
                  </a:graphic>
                </wp:inline>
              </w:drawing>
            </w:r>
          </w:p>
        </w:tc>
      </w:tr>
      <w:tr w14:paraId="7BB9E0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9A2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71A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办公桌边柜</w:t>
            </w:r>
          </w:p>
        </w:tc>
        <w:tc>
          <w:tcPr>
            <w:tcW w:w="4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E2B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100dm*34dm*59dm</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B60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423</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F8F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4C75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361950" cy="276225"/>
                  <wp:effectExtent l="0" t="0" r="0" b="9525"/>
                  <wp:docPr id="151" name="图片 145"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145" descr="IMG_286"/>
                          <pic:cNvPicPr>
                            <a:picLocks noChangeAspect="1"/>
                          </pic:cNvPicPr>
                        </pic:nvPicPr>
                        <pic:blipFill>
                          <a:blip r:embed="rId28"/>
                          <a:stretch>
                            <a:fillRect/>
                          </a:stretch>
                        </pic:blipFill>
                        <pic:spPr>
                          <a:xfrm>
                            <a:off x="0" y="0"/>
                            <a:ext cx="361950" cy="276225"/>
                          </a:xfrm>
                          <a:prstGeom prst="rect">
                            <a:avLst/>
                          </a:prstGeom>
                          <a:noFill/>
                          <a:ln w="9525">
                            <a:noFill/>
                          </a:ln>
                        </pic:spPr>
                      </pic:pic>
                    </a:graphicData>
                  </a:graphic>
                </wp:inline>
              </w:drawing>
            </w:r>
          </w:p>
        </w:tc>
      </w:tr>
      <w:tr w14:paraId="1BD072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9420"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CD7B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200人报告厅（3个）</w:t>
            </w:r>
          </w:p>
        </w:tc>
      </w:tr>
      <w:tr w14:paraId="4DE3F2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360BA">
            <w:pPr>
              <w:rPr>
                <w:rFonts w:hint="eastAsia" w:ascii="宋体" w:hAnsi="宋体" w:eastAsia="宋体" w:cs="宋体"/>
                <w:i w:val="0"/>
                <w:iCs w:val="0"/>
                <w:color w:val="000000"/>
                <w:sz w:val="20"/>
                <w:szCs w:val="20"/>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DB8D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主席台桌</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46B1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1、板材：基材：采用优质E1级环保高密度纤维板，板材厚度1.8CM；甲醛释放量低于9.0mg/100g符合国家标准，含水率≤7.4%（防潮、防虫、防腐处理）。面材：贴面采用AAA级0.6mm胡桃木木皮，经防潮、防虫、防腐处理。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2、油漆：油漆采用优质PU聚酯漆，底漆采用PE不饱和树脂漆，采用5底3面的油漆工艺；挥发性有机化合物（V0C）含量650/L,甲醛、二甲苯、乙苯含量总和16%，面漆，色泽均匀，主次分明，木纹清晰；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3、配件：采用优质五金件，作防锈、防腐处理，经久耐用。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4、成品外表与封边的倒棱圆角，边缘平整，光滑，弧线均匀一致，无加工刀痕。1400mm*600mm*760mm</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3B2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6FB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785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419100" cy="276225"/>
                  <wp:effectExtent l="0" t="0" r="0" b="9525"/>
                  <wp:docPr id="145" name="图片 146"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146" descr="IMG_287"/>
                          <pic:cNvPicPr>
                            <a:picLocks noChangeAspect="1"/>
                          </pic:cNvPicPr>
                        </pic:nvPicPr>
                        <pic:blipFill>
                          <a:blip r:embed="rId29"/>
                          <a:stretch>
                            <a:fillRect/>
                          </a:stretch>
                        </pic:blipFill>
                        <pic:spPr>
                          <a:xfrm>
                            <a:off x="0" y="0"/>
                            <a:ext cx="419100" cy="276225"/>
                          </a:xfrm>
                          <a:prstGeom prst="rect">
                            <a:avLst/>
                          </a:prstGeom>
                          <a:noFill/>
                          <a:ln w="9525">
                            <a:noFill/>
                          </a:ln>
                        </pic:spPr>
                      </pic:pic>
                    </a:graphicData>
                  </a:graphic>
                </wp:inline>
              </w:drawing>
            </w:r>
          </w:p>
        </w:tc>
      </w:tr>
      <w:tr w14:paraId="74382B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9420"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D6C6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集体备课室长条桌（实木原色）</w:t>
            </w:r>
          </w:p>
        </w:tc>
      </w:tr>
      <w:tr w14:paraId="2738BF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A6074">
            <w:pPr>
              <w:rPr>
                <w:rFonts w:hint="eastAsia" w:ascii="宋体" w:hAnsi="宋体" w:eastAsia="宋体" w:cs="宋体"/>
                <w:i w:val="0"/>
                <w:iCs w:val="0"/>
                <w:color w:val="000000"/>
                <w:sz w:val="20"/>
                <w:szCs w:val="20"/>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3A11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长条桌子</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3A6B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长1400宽800高750mm（木纹色）与椅颜色一致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全橡胶木实木桌，80×80mm桌腿，18mm厚AA级橡胶木机拼板桌面，榫头连接、结构合理美观、牢固耐用，所有板边倒圆边，板面光滑，无毛刺；环保聚酯木器漆（清水漆、五底三面）</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57B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202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0D7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381000" cy="276225"/>
                  <wp:effectExtent l="0" t="0" r="0" b="9525"/>
                  <wp:docPr id="139" name="图片 147"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147" descr="IMG_288"/>
                          <pic:cNvPicPr>
                            <a:picLocks noChangeAspect="1"/>
                          </pic:cNvPicPr>
                        </pic:nvPicPr>
                        <pic:blipFill>
                          <a:blip r:embed="rId19"/>
                          <a:stretch>
                            <a:fillRect/>
                          </a:stretch>
                        </pic:blipFill>
                        <pic:spPr>
                          <a:xfrm>
                            <a:off x="0" y="0"/>
                            <a:ext cx="381000" cy="276225"/>
                          </a:xfrm>
                          <a:prstGeom prst="rect">
                            <a:avLst/>
                          </a:prstGeom>
                          <a:noFill/>
                          <a:ln w="9525">
                            <a:noFill/>
                          </a:ln>
                        </pic:spPr>
                      </pic:pic>
                    </a:graphicData>
                  </a:graphic>
                </wp:inline>
              </w:drawing>
            </w:r>
          </w:p>
        </w:tc>
      </w:tr>
      <w:tr w14:paraId="3666B9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9420"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658E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年级管委会会议桌</w:t>
            </w:r>
          </w:p>
        </w:tc>
      </w:tr>
      <w:tr w14:paraId="74F9E1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0D63A">
            <w:pPr>
              <w:rPr>
                <w:rFonts w:hint="eastAsia" w:ascii="宋体" w:hAnsi="宋体" w:eastAsia="宋体" w:cs="宋体"/>
                <w:i w:val="0"/>
                <w:iCs w:val="0"/>
                <w:color w:val="000000"/>
                <w:sz w:val="20"/>
                <w:szCs w:val="20"/>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3D3A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10人会议桌</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59D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3000*1500*750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1.基材：采用优质E1级三聚氰胺板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2.封边：采用优质封边条</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445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31B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074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390525" cy="276225"/>
                  <wp:effectExtent l="0" t="0" r="9525" b="9525"/>
                  <wp:docPr id="153" name="图片 148"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148" descr="IMG_289"/>
                          <pic:cNvPicPr>
                            <a:picLocks noChangeAspect="1"/>
                          </pic:cNvPicPr>
                        </pic:nvPicPr>
                        <pic:blipFill>
                          <a:blip r:embed="rId27"/>
                          <a:stretch>
                            <a:fillRect/>
                          </a:stretch>
                        </pic:blipFill>
                        <pic:spPr>
                          <a:xfrm>
                            <a:off x="0" y="0"/>
                            <a:ext cx="390525" cy="276225"/>
                          </a:xfrm>
                          <a:prstGeom prst="rect">
                            <a:avLst/>
                          </a:prstGeom>
                          <a:noFill/>
                          <a:ln w="9525">
                            <a:noFill/>
                          </a:ln>
                        </pic:spPr>
                      </pic:pic>
                    </a:graphicData>
                  </a:graphic>
                </wp:inline>
              </w:drawing>
            </w:r>
          </w:p>
        </w:tc>
      </w:tr>
      <w:tr w14:paraId="355A04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A15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演讲台</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5BB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报告厅演讲台</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E6A9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800*525*1150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1、板材：基材：采用优质E1级环保高密度纤维板，板材厚度1.8CM；甲醛释放量低于9.0mg/100g符合国家标准，含水率≤7.4%（防潮、防虫、防腐处理）。面材：贴面采用AAA级0.6mm胡桃木木皮，经防潮、防虫、防腐处理。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2、油漆：油漆采用优质PU聚酯漆，底漆采用PE不饱和树脂漆，采用5底3面的油漆工艺；挥发性有机化合物（V0C）含量650/L,甲醛、二甲苯、乙苯含量总和16%，面漆，色泽均匀，主次分明，木纹清晰；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3、配件：采用优质五金件，作防锈、防腐处理，经久耐用。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4、成品外表与封边的倒棱圆角，边缘平整，光滑，弧线均匀一致，无加工刀痕。</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221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9F6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2E0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381000" cy="276225"/>
                  <wp:effectExtent l="0" t="0" r="0" b="9525"/>
                  <wp:docPr id="154" name="图片 149"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149" descr="IMG_290"/>
                          <pic:cNvPicPr>
                            <a:picLocks noChangeAspect="1"/>
                          </pic:cNvPicPr>
                        </pic:nvPicPr>
                        <pic:blipFill>
                          <a:blip r:embed="rId16"/>
                          <a:stretch>
                            <a:fillRect/>
                          </a:stretch>
                        </pic:blipFill>
                        <pic:spPr>
                          <a:xfrm>
                            <a:off x="0" y="0"/>
                            <a:ext cx="381000" cy="276225"/>
                          </a:xfrm>
                          <a:prstGeom prst="rect">
                            <a:avLst/>
                          </a:prstGeom>
                          <a:noFill/>
                          <a:ln w="9525">
                            <a:noFill/>
                          </a:ln>
                        </pic:spPr>
                      </pic:pic>
                    </a:graphicData>
                  </a:graphic>
                </wp:inline>
              </w:drawing>
            </w:r>
          </w:p>
        </w:tc>
      </w:tr>
      <w:tr w14:paraId="2E6133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9420"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02D0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广播活动室</w:t>
            </w:r>
          </w:p>
        </w:tc>
      </w:tr>
      <w:tr w14:paraId="19D55A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16085">
            <w:pPr>
              <w:jc w:val="center"/>
              <w:rPr>
                <w:rFonts w:hint="eastAsia" w:ascii="宋体" w:hAnsi="宋体" w:eastAsia="宋体" w:cs="宋体"/>
                <w:i w:val="0"/>
                <w:iCs w:val="0"/>
                <w:color w:val="000000"/>
                <w:sz w:val="20"/>
                <w:szCs w:val="20"/>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A0F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桌子</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FF187">
            <w:pPr>
              <w:keepNext w:val="0"/>
              <w:keepLines w:val="0"/>
              <w:widowControl/>
              <w:suppressLineNumbers w:val="0"/>
              <w:jc w:val="center"/>
              <w:textAlignment w:val="center"/>
              <w:rPr>
                <w:rFonts w:ascii="思源黑体 CN Normal" w:hAnsi="思源黑体 CN Normal" w:eastAsia="思源黑体 CN Normal" w:cs="思源黑体 CN Normal"/>
                <w:i w:val="0"/>
                <w:iCs w:val="0"/>
                <w:color w:val="000000"/>
                <w:sz w:val="20"/>
                <w:szCs w:val="20"/>
                <w:u w:val="none"/>
              </w:rPr>
            </w:pPr>
            <w:r>
              <w:rPr>
                <w:rFonts w:hint="default" w:ascii="思源黑体 CN Normal" w:hAnsi="思源黑体 CN Normal" w:eastAsia="思源黑体 CN Normal" w:cs="思源黑体 CN Normal"/>
                <w:i w:val="0"/>
                <w:iCs w:val="0"/>
                <w:color w:val="000000"/>
                <w:kern w:val="0"/>
                <w:sz w:val="20"/>
                <w:szCs w:val="20"/>
                <w:u w:val="none"/>
                <w:lang w:val="en-US" w:eastAsia="zh-CN" w:bidi="ar"/>
              </w:rPr>
              <w:t>120cm*40cm*75cm  实木黑胡桃</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A8C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52</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AA7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B8E7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333375" cy="276225"/>
                  <wp:effectExtent l="0" t="0" r="9525" b="9525"/>
                  <wp:docPr id="146" name="图片 150"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150" descr="IMG_291"/>
                          <pic:cNvPicPr>
                            <a:picLocks noChangeAspect="1"/>
                          </pic:cNvPicPr>
                        </pic:nvPicPr>
                        <pic:blipFill>
                          <a:blip r:embed="rId30"/>
                          <a:stretch>
                            <a:fillRect/>
                          </a:stretch>
                        </pic:blipFill>
                        <pic:spPr>
                          <a:xfrm>
                            <a:off x="0" y="0"/>
                            <a:ext cx="333375" cy="276225"/>
                          </a:xfrm>
                          <a:prstGeom prst="rect">
                            <a:avLst/>
                          </a:prstGeom>
                          <a:noFill/>
                          <a:ln w="9525">
                            <a:noFill/>
                          </a:ln>
                        </pic:spPr>
                      </pic:pic>
                    </a:graphicData>
                  </a:graphic>
                </wp:inline>
              </w:drawing>
            </w:r>
          </w:p>
        </w:tc>
      </w:tr>
      <w:tr w14:paraId="1F6FBD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420"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45EFA">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课程基地办公室</w:t>
            </w:r>
          </w:p>
        </w:tc>
      </w:tr>
      <w:tr w14:paraId="53DFA5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6FD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3EE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茶水台</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top"/>
          </w:tcPr>
          <w:p w14:paraId="7E570243">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1、贴面板材：可弯曲防火板，厚度为0.8mm,。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基材：板材均为多层板，经过防虫、防腐等化学处理，持久不变形，静曲强度：≥29Mpa，弹性模量：≥3000Mpa，内结合强度：≥0.43Mpa，24h吸水厚度膨胀率≤4.7%，含水率≤8.7%，表面胶合结合强度≥2.0MPa，甲醛释放量≤0.02mg/m3；表面耐磨，磨耗值≤59mg/100r，表面耐香烟灼烧，达到4级或以上，表面耐干热，达到4级或以上；顶板≥25mm厚，侧板背板、门板≥16mm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3、PVC封边条：选用优质PVC封边条，耐开裂性（耐龟裂性）≥2级，耐光色牢度（灰色样卡）≥4级，甲醛释放量：≤1.5mg/L，氯乙烯单体≤0.2mg/kg。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4、封边胶：采用高温封边热溶胶，热稳定好，抗高低温性能好；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5、配套五金配件。所有五金件作防锈、防腐处理。</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7CC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4E6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组</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929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1500*500*800</w:t>
            </w:r>
          </w:p>
        </w:tc>
      </w:tr>
      <w:tr w14:paraId="0AF2E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0FC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32D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打印台</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top"/>
          </w:tcPr>
          <w:p w14:paraId="5CC5BC67">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1、贴面板材：可弯曲防火板，厚度为0.8mm,。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基材：板材均为多层板，经过防虫、防腐等化学处理，持久不变形，静曲强度：≥29Mpa，弹性模量：≥3000Mpa，内结合强度：≥0.43Mpa，24h吸水厚度膨胀率≤4.7%，含水率≤8.7%，表面胶合结合强度≥2.0MPa，甲醛释放量≤0.02mg/m3；表面耐磨，磨耗值≤59mg/100r，表面耐香烟灼烧，达到4级或以上，表面耐干热，达到4级或以上；顶板≥25mm厚，侧板背板、门板≥16mm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3、PVC封边条：选用优质PVC封边条，耐开裂性（耐龟裂性）≥2级，耐光色牢度（灰色样卡）≥4级，甲醛释放量：≤1.5mg/L，氯乙烯单体≤0.2mg/kg。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4、封边胶：采用高温封边热溶胶，热稳定好，抗高低温性能好；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5、配套五金配件。所有五金件作防锈、防腐处理。</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0F4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659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组</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152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2000*600*800</w:t>
            </w:r>
          </w:p>
        </w:tc>
      </w:tr>
      <w:tr w14:paraId="4362F9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4B2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CA6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工作桌</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D1AB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桌面采用E1级板，厚度25mm，面贴优质防火板，ABS直封边制作，钢架采用满焊焊接，经高温粉体烤漆，长时间使用也不会产生表面漆剥落现象；配有接线槽，方便安装插座等。配套全钢活动柜一组。≥800*350*600mm</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26C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F2A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组</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606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1500*600*750</w:t>
            </w:r>
          </w:p>
        </w:tc>
      </w:tr>
      <w:tr w14:paraId="1EA42A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420"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1EA0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教师研讨室</w:t>
            </w:r>
          </w:p>
        </w:tc>
      </w:tr>
      <w:tr w14:paraId="33397F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3E2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20E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会议桌</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9B84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1、采用E0级颗粒板基材，甲醛释放量≤0.5mg/L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2、饰面采用纸张，耐划伤≥1.5N时表面无大于 90%的连续划痕，耐磨性磨100r保留50%以上花纹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3、封边条采用优质ABS材料封边条甲醛释放量≤0.5mg/L，耐色牢度等级4级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4、油，VOC释放量≤250g/L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5、五金件采用铰链导轨，各经过万次试验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6、钢脚造型采用一体浇筑成型，壁厚为1.5毫米，表面氧化处理，防锈钫超，采用金属粉末喷涂，绿色产品柜通走线</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49A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9CB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组</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BFB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2400*1200*760</w:t>
            </w:r>
          </w:p>
        </w:tc>
      </w:tr>
      <w:tr w14:paraId="5E7021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BAC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CC5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工作桌</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9CA2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桌面采用E1级板，厚度25mm，面贴优质防火板，ABS直封边制作，钢架采用满焊焊接，经高温粉体烤漆，长时间使用也不会产生表面漆剥落现象；配有接线槽，方便安装插座等。配套全钢活动柜一组。≥800*350*600mm</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456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45C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组</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4E4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1400*600*750</w:t>
            </w:r>
          </w:p>
        </w:tc>
      </w:tr>
      <w:tr w14:paraId="5DD390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42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A90B23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科创班教室</w:t>
            </w:r>
          </w:p>
        </w:tc>
      </w:tr>
      <w:tr w14:paraId="663C6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D15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9C7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讲台</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16A0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(1).规格：1200*600*850MM；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(2).结构：讲台桌身主体及背板采用16mm厚优质三聚氰胺防潮双贴面板，所有外露板边都采用机器进行PVC热压平封边。桌面下设有储物空间，可容纳多种资料，中间隔开抽屉式设计。更贴心，收纳更方便。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(3).工艺：表面光滑无毛刺，不伤手，使用感更好。</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331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248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B55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342900" cy="247650"/>
                  <wp:effectExtent l="0" t="0" r="0" b="0"/>
                  <wp:docPr id="143" name="图片 151"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151" descr="IMG_292"/>
                          <pic:cNvPicPr>
                            <a:picLocks noChangeAspect="1"/>
                          </pic:cNvPicPr>
                        </pic:nvPicPr>
                        <pic:blipFill>
                          <a:blip r:embed="rId22"/>
                          <a:stretch>
                            <a:fillRect/>
                          </a:stretch>
                        </pic:blipFill>
                        <pic:spPr>
                          <a:xfrm>
                            <a:off x="0" y="0"/>
                            <a:ext cx="342900" cy="247650"/>
                          </a:xfrm>
                          <a:prstGeom prst="rect">
                            <a:avLst/>
                          </a:prstGeom>
                          <a:noFill/>
                          <a:ln w="9525">
                            <a:noFill/>
                          </a:ln>
                        </pic:spPr>
                      </pic:pic>
                    </a:graphicData>
                  </a:graphic>
                </wp:inline>
              </w:drawing>
            </w:r>
          </w:p>
        </w:tc>
      </w:tr>
      <w:tr w14:paraId="65E2BC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34C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6FA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办公桌</w:t>
            </w:r>
          </w:p>
        </w:tc>
        <w:tc>
          <w:tcPr>
            <w:tcW w:w="4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1505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办公桌：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1400*700*760mm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1、板材：基材：采用优质E0级环保密度板，板材厚度1.8CM；甲醛释放量低于9.0mg/100g符合国家标准，含水率≤7.4%（防潮、防虫、防腐处理）。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2、面材：贴面采用0.6mm胡桃木木皮。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3、油漆：油漆采用优质PU聚酯漆，底漆采用PE不饱和树脂漆，采用5底3面的油漆工艺；挥发性有机化合物（V0C）含量650/L,甲醛、二甲苯、乙苯含量总和16%，面漆，色泽均匀，主次分明，木纹清晰；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4、配件：采用优质五金件，作防锈、防腐处理，经久耐用。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办公椅：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1、尺寸：常规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2、面料：采用1.0mm厚西皮,表面光泽度好、透气性强、柔软而富有韧性，所有面料包裹平整、牢固；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3、框架：采用优质橡木，经防潮、防腐、防虫等化学处理；甲醛释放量低于9.0mg/100g符合国家标准，含水率≤7.4%（防潮、防虫、防腐处理）。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4、海绵：采用高弹力定型海绵，密度：35-55度，拉伸强度为110kPa，伸长率为160%，回弹率为40%，75%压缩永久不变形率为5%。可防氧化、防碎，经过HD测试，不变形。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5、油漆：采用优质环保油漆，经过五底三面油漆工序，达到E0级环保标准；</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F40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C22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B681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352425" cy="247650"/>
                  <wp:effectExtent l="0" t="0" r="9525" b="0"/>
                  <wp:docPr id="144" name="图片 152"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152" descr="IMG_293"/>
                          <pic:cNvPicPr>
                            <a:picLocks noChangeAspect="1"/>
                          </pic:cNvPicPr>
                        </pic:nvPicPr>
                        <pic:blipFill>
                          <a:blip r:embed="rId13"/>
                          <a:stretch>
                            <a:fillRect/>
                          </a:stretch>
                        </pic:blipFill>
                        <pic:spPr>
                          <a:xfrm>
                            <a:off x="0" y="0"/>
                            <a:ext cx="352425" cy="247650"/>
                          </a:xfrm>
                          <a:prstGeom prst="rect">
                            <a:avLst/>
                          </a:prstGeom>
                          <a:noFill/>
                          <a:ln w="9525">
                            <a:noFill/>
                          </a:ln>
                        </pic:spPr>
                      </pic:pic>
                    </a:graphicData>
                  </a:graphic>
                </wp:inline>
              </w:drawing>
            </w:r>
          </w:p>
        </w:tc>
      </w:tr>
    </w:tbl>
    <w:p w14:paraId="37414E9F">
      <w:pPr>
        <w:rPr>
          <w:rFonts w:hint="eastAsia" w:ascii="宋体" w:hAnsi="宋体"/>
          <w:b/>
          <w:color w:val="auto"/>
          <w:szCs w:val="21"/>
          <w:highlight w:val="none"/>
          <w:lang w:eastAsia="zh-CN"/>
        </w:rPr>
      </w:pPr>
      <w:r>
        <w:rPr>
          <w:rFonts w:hint="eastAsia" w:ascii="宋体" w:hAnsi="宋体"/>
          <w:b/>
          <w:color w:val="auto"/>
          <w:szCs w:val="21"/>
          <w:highlight w:val="none"/>
          <w:lang w:eastAsia="zh-CN"/>
        </w:rPr>
        <w:br w:type="page"/>
      </w:r>
    </w:p>
    <w:p w14:paraId="6125F1E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b/>
          <w:color w:val="auto"/>
          <w:szCs w:val="21"/>
          <w:highlight w:val="none"/>
          <w:lang w:val="en-US" w:eastAsia="zh-CN"/>
        </w:rPr>
        <w:sectPr>
          <w:footerReference r:id="rId10" w:type="default"/>
          <w:pgSz w:w="11906" w:h="16838"/>
          <w:pgMar w:top="1440" w:right="1800" w:bottom="1440" w:left="1800" w:header="851" w:footer="850" w:gutter="0"/>
          <w:pgBorders>
            <w:top w:val="none" w:sz="0" w:space="0"/>
            <w:left w:val="none" w:sz="0" w:space="0"/>
            <w:bottom w:val="none" w:sz="0" w:space="0"/>
            <w:right w:val="none" w:sz="0" w:space="0"/>
          </w:pgBorders>
          <w:pgNumType w:start="1"/>
          <w:cols w:space="720" w:num="1"/>
          <w:docGrid w:linePitch="360" w:charSpace="0"/>
        </w:sectPr>
      </w:pPr>
    </w:p>
    <w:tbl>
      <w:tblPr>
        <w:tblStyle w:val="37"/>
        <w:tblW w:w="9615" w:type="dxa"/>
        <w:tblInd w:w="-77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30"/>
        <w:gridCol w:w="1095"/>
        <w:gridCol w:w="5430"/>
        <w:gridCol w:w="690"/>
        <w:gridCol w:w="690"/>
        <w:gridCol w:w="1080"/>
      </w:tblGrid>
      <w:tr w14:paraId="71E7E4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3EB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包2（椅子、柜子）</w:t>
            </w:r>
          </w:p>
        </w:tc>
      </w:tr>
      <w:tr w14:paraId="602299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6A2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B8F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名称</w:t>
            </w:r>
          </w:p>
        </w:tc>
        <w:tc>
          <w:tcPr>
            <w:tcW w:w="54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F3B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技术参数</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63E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F8B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单位</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74F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参考图片</w:t>
            </w:r>
          </w:p>
        </w:tc>
      </w:tr>
      <w:tr w14:paraId="403142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079E8">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家长接待室2间</w:t>
            </w:r>
          </w:p>
        </w:tc>
      </w:tr>
      <w:tr w14:paraId="29A5A2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561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85F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办公椅</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1CB2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尺寸：常规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1.黑色全新料加纤背框，扪华宇透气网布；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2.黑色PP固定腰靠；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3.黑色PP连体连体扶手；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4.45高密度纯绵坐垫，扪华宇透气网布；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5.2.0mm厚度的A3钢材喷黑弓形架。</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2D0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DE1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456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200025" cy="266700"/>
                  <wp:effectExtent l="0" t="0" r="9525" b="0"/>
                  <wp:docPr id="192" name="图片 15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图片 153" descr="IMG_256"/>
                          <pic:cNvPicPr>
                            <a:picLocks noChangeAspect="1"/>
                          </pic:cNvPicPr>
                        </pic:nvPicPr>
                        <pic:blipFill>
                          <a:blip r:embed="rId31"/>
                          <a:stretch>
                            <a:fillRect/>
                          </a:stretch>
                        </pic:blipFill>
                        <pic:spPr>
                          <a:xfrm>
                            <a:off x="0" y="0"/>
                            <a:ext cx="200025" cy="266700"/>
                          </a:xfrm>
                          <a:prstGeom prst="rect">
                            <a:avLst/>
                          </a:prstGeom>
                          <a:noFill/>
                          <a:ln w="9525">
                            <a:noFill/>
                          </a:ln>
                        </pic:spPr>
                      </pic:pic>
                    </a:graphicData>
                  </a:graphic>
                </wp:inline>
              </w:drawing>
            </w:r>
          </w:p>
        </w:tc>
      </w:tr>
      <w:tr w14:paraId="34153B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DAE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6E9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单人沙发茶几</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top"/>
          </w:tcPr>
          <w:p w14:paraId="5A527F66">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沙发*1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1、面材采用1.0mm厚西皮，柔软贴手，透气性好。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2、海绵：海绵密度：35-55度；内采用高弹力海绵，拉伸强度为110kPa，伸长率为160%，回弹率为40%，75%压缩永久不变形率为5%。可防氧化、防碎，经过HD测试，不变形。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3、框架：实木框架，经熏蒸处理，防霉、防虫。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4、木质材料甲醛释放量低于9.0mg/100g符合国家标准，含水率≤7.4%（防潮、防虫、防腐处理）。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茶几*1：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600*600*450mm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1、面材：采用0.8mm以上厚胡桃木皮贴面,木皮平整度高,稳定性好,长期使用不变形,纹理清晰自然，颜色线条拼合细密，木材干燥至低于12%的含水率；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2、基材：采用优质高密度板材，符合环保E1级标准，甲醛释放量≤9mg/100g。经防虫、防腐化学处理，各项技术指标均达国家标准；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3、封边：实木封边，采用纹理清晰、不易变形实木框架，经过水煮及蒸汽烘干杀虫处理。</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D47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BF4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2D3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285750" cy="266700"/>
                  <wp:effectExtent l="0" t="0" r="0" b="0"/>
                  <wp:docPr id="173" name="图片 154"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图片 154" descr="IMG_257"/>
                          <pic:cNvPicPr>
                            <a:picLocks noChangeAspect="1"/>
                          </pic:cNvPicPr>
                        </pic:nvPicPr>
                        <pic:blipFill>
                          <a:blip r:embed="rId32"/>
                          <a:stretch>
                            <a:fillRect/>
                          </a:stretch>
                        </pic:blipFill>
                        <pic:spPr>
                          <a:xfrm>
                            <a:off x="0" y="0"/>
                            <a:ext cx="285750" cy="266700"/>
                          </a:xfrm>
                          <a:prstGeom prst="rect">
                            <a:avLst/>
                          </a:prstGeom>
                          <a:noFill/>
                          <a:ln w="9525">
                            <a:noFill/>
                          </a:ln>
                        </pic:spPr>
                      </pic:pic>
                    </a:graphicData>
                  </a:graphic>
                </wp:inline>
              </w:drawing>
            </w:r>
          </w:p>
        </w:tc>
      </w:tr>
      <w:tr w14:paraId="46FF88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4203F8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录播教室</w:t>
            </w:r>
          </w:p>
        </w:tc>
      </w:tr>
      <w:tr w14:paraId="3BF680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7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F639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二、多媒体辅助设备</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FAE82">
            <w:pPr>
              <w:jc w:val="left"/>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03BE5">
            <w:pPr>
              <w:jc w:val="cente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05C6F">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338B9">
            <w:pPr>
              <w:jc w:val="center"/>
              <w:rPr>
                <w:rFonts w:hint="eastAsia" w:ascii="宋体" w:hAnsi="宋体" w:eastAsia="宋体" w:cs="宋体"/>
                <w:i w:val="0"/>
                <w:iCs w:val="0"/>
                <w:color w:val="000000"/>
                <w:sz w:val="20"/>
                <w:szCs w:val="20"/>
                <w:u w:val="none"/>
              </w:rPr>
            </w:pPr>
          </w:p>
        </w:tc>
      </w:tr>
      <w:tr w14:paraId="1B732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2B5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FBA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办公椅</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7228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尺寸：常规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1.黑色全新料加纤背框，扪华宇透气网布；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2.黑色PP固定腰靠；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3.黑色PP连体连体扶手；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4.45高密度纯绵坐垫，扪华宇透气网布；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5.2.0mm厚度的A3钢材喷黑弓形架。</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AA6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996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4FD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200025" cy="266700"/>
                  <wp:effectExtent l="0" t="0" r="9525" b="0"/>
                  <wp:docPr id="175" name="图片 155"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图片 155" descr="IMG_258"/>
                          <pic:cNvPicPr>
                            <a:picLocks noChangeAspect="1"/>
                          </pic:cNvPicPr>
                        </pic:nvPicPr>
                        <pic:blipFill>
                          <a:blip r:embed="rId31"/>
                          <a:stretch>
                            <a:fillRect/>
                          </a:stretch>
                        </pic:blipFill>
                        <pic:spPr>
                          <a:xfrm>
                            <a:off x="0" y="0"/>
                            <a:ext cx="200025" cy="266700"/>
                          </a:xfrm>
                          <a:prstGeom prst="rect">
                            <a:avLst/>
                          </a:prstGeom>
                          <a:noFill/>
                          <a:ln w="9525">
                            <a:noFill/>
                          </a:ln>
                        </pic:spPr>
                      </pic:pic>
                    </a:graphicData>
                  </a:graphic>
                </wp:inline>
              </w:drawing>
            </w:r>
          </w:p>
        </w:tc>
      </w:tr>
      <w:tr w14:paraId="229BB3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2A841D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心理咨询室3间</w:t>
            </w:r>
          </w:p>
        </w:tc>
      </w:tr>
      <w:tr w14:paraId="2E08C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F0B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24C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办公椅</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41A4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尺寸：常规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1.黑色全新料加纤背框，扪华宇透气网布；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2.黑色PP固定腰靠；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3.黑色PP连体连体扶手；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4.45高密度纯绵坐垫，扪华宇透气网布；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5.2.0mm厚度的A3钢材喷黑弓形架。</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ADA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9A8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08A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200025" cy="266700"/>
                  <wp:effectExtent l="0" t="0" r="9525" b="0"/>
                  <wp:docPr id="187" name="图片 156"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图片 156" descr="IMG_259"/>
                          <pic:cNvPicPr>
                            <a:picLocks noChangeAspect="1"/>
                          </pic:cNvPicPr>
                        </pic:nvPicPr>
                        <pic:blipFill>
                          <a:blip r:embed="rId31"/>
                          <a:stretch>
                            <a:fillRect/>
                          </a:stretch>
                        </pic:blipFill>
                        <pic:spPr>
                          <a:xfrm>
                            <a:off x="0" y="0"/>
                            <a:ext cx="200025" cy="266700"/>
                          </a:xfrm>
                          <a:prstGeom prst="rect">
                            <a:avLst/>
                          </a:prstGeom>
                          <a:noFill/>
                          <a:ln w="9525">
                            <a:noFill/>
                          </a:ln>
                        </pic:spPr>
                      </pic:pic>
                    </a:graphicData>
                  </a:graphic>
                </wp:inline>
              </w:drawing>
            </w:r>
          </w:p>
        </w:tc>
      </w:tr>
      <w:tr w14:paraId="692A70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7CA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629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储物柜</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8268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心理咨询室储物柜尺寸不小于1800×550×500mm，需采用E0级环保板材和带锁设计确保隐私安全。板材要求：E0级优质饰面胶合板，甲醛释放量符合GB/T 39600-2021标准。</w:t>
            </w:r>
            <w:r>
              <w:rPr>
                <w:rFonts w:hint="eastAsia" w:ascii="宋体" w:hAnsi="宋体" w:eastAsia="宋体" w:cs="宋体"/>
                <w:i w:val="0"/>
                <w:iCs w:val="0"/>
                <w:color w:val="000000"/>
                <w:kern w:val="0"/>
                <w:sz w:val="20"/>
                <w:szCs w:val="20"/>
                <w:u w:val="none"/>
                <w:lang w:val="en-US" w:eastAsia="zh-CN" w:bidi="ar"/>
              </w:rPr>
              <w:br w:type="textWrapping"/>
            </w:r>
            <w:r>
              <w:rPr>
                <w:rStyle w:val="217"/>
                <w:rFonts w:eastAsia="宋体"/>
                <w:lang w:val="en-US" w:eastAsia="zh-CN" w:bidi="ar"/>
              </w:rPr>
              <w:t>​</w:t>
            </w:r>
            <w:r>
              <w:rPr>
                <w:rFonts w:hint="eastAsia" w:ascii="宋体" w:hAnsi="宋体" w:eastAsia="宋体" w:cs="宋体"/>
                <w:i w:val="0"/>
                <w:iCs w:val="0"/>
                <w:color w:val="000000"/>
                <w:kern w:val="0"/>
                <w:sz w:val="20"/>
                <w:szCs w:val="20"/>
                <w:u w:val="none"/>
                <w:lang w:val="en-US" w:eastAsia="zh-CN" w:bidi="ar"/>
              </w:rPr>
              <w:t>板厚规格：顶板25mm，其余16mm，桌面板厚度不小于25mm。 封边工艺：2mm厚PVC封边条，高温热熔胶全自动封边机封边。五金配件：杯状暗缓冲不锈钢铰链，螺杆安全支撑，带防潮钉。</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D41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0D8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294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152400" cy="266700"/>
                  <wp:effectExtent l="0" t="0" r="0" b="0"/>
                  <wp:docPr id="193" name="图片 157"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图片 157" descr="IMG_260"/>
                          <pic:cNvPicPr>
                            <a:picLocks noChangeAspect="1"/>
                          </pic:cNvPicPr>
                        </pic:nvPicPr>
                        <pic:blipFill>
                          <a:blip r:embed="rId33"/>
                          <a:stretch>
                            <a:fillRect/>
                          </a:stretch>
                        </pic:blipFill>
                        <pic:spPr>
                          <a:xfrm>
                            <a:off x="0" y="0"/>
                            <a:ext cx="152400" cy="266700"/>
                          </a:xfrm>
                          <a:prstGeom prst="rect">
                            <a:avLst/>
                          </a:prstGeom>
                          <a:noFill/>
                          <a:ln w="9525">
                            <a:noFill/>
                          </a:ln>
                        </pic:spPr>
                      </pic:pic>
                    </a:graphicData>
                  </a:graphic>
                </wp:inline>
              </w:drawing>
            </w:r>
          </w:p>
        </w:tc>
      </w:tr>
      <w:tr w14:paraId="27F5D6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DA8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AA3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小茶几</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C9BD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实木材质，尺寸不小于450×470mm，高度不小于550mm。功能要求：边角圆润处理，无尖锐突出物。</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52B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D36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148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228600" cy="266700"/>
                  <wp:effectExtent l="0" t="0" r="0" b="0"/>
                  <wp:docPr id="185" name="图片 158"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图片 158" descr="IMG_261"/>
                          <pic:cNvPicPr>
                            <a:picLocks noChangeAspect="1"/>
                          </pic:cNvPicPr>
                        </pic:nvPicPr>
                        <pic:blipFill>
                          <a:blip r:embed="rId34"/>
                          <a:stretch>
                            <a:fillRect/>
                          </a:stretch>
                        </pic:blipFill>
                        <pic:spPr>
                          <a:xfrm>
                            <a:off x="0" y="0"/>
                            <a:ext cx="228600" cy="266700"/>
                          </a:xfrm>
                          <a:prstGeom prst="rect">
                            <a:avLst/>
                          </a:prstGeom>
                          <a:noFill/>
                          <a:ln w="9525">
                            <a:noFill/>
                          </a:ln>
                        </pic:spPr>
                      </pic:pic>
                    </a:graphicData>
                  </a:graphic>
                </wp:inline>
              </w:drawing>
            </w:r>
          </w:p>
        </w:tc>
      </w:tr>
      <w:tr w14:paraId="4554F7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8BD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7C0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单人小沙发</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0CB4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总高不小于75cm，总宽不小于60cm，前后宽不小于65cm，坐高不小于40cm，扶手离地不小于60cm，背高不小于35cm，座深及座宽不小于50cm。面料：棉麻。椅脚：实木。坐垫：回弹海绵。脚垫：橡胶材质。</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265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2F0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9A7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266700" cy="266700"/>
                  <wp:effectExtent l="0" t="0" r="0" b="0"/>
                  <wp:docPr id="177" name="图片 159"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图片 159" descr="IMG_262"/>
                          <pic:cNvPicPr>
                            <a:picLocks noChangeAspect="1"/>
                          </pic:cNvPicPr>
                        </pic:nvPicPr>
                        <pic:blipFill>
                          <a:blip r:embed="rId35"/>
                          <a:stretch>
                            <a:fillRect/>
                          </a:stretch>
                        </pic:blipFill>
                        <pic:spPr>
                          <a:xfrm>
                            <a:off x="0" y="0"/>
                            <a:ext cx="266700" cy="266700"/>
                          </a:xfrm>
                          <a:prstGeom prst="rect">
                            <a:avLst/>
                          </a:prstGeom>
                          <a:noFill/>
                          <a:ln w="9525">
                            <a:noFill/>
                          </a:ln>
                        </pic:spPr>
                      </pic:pic>
                    </a:graphicData>
                  </a:graphic>
                </wp:inline>
              </w:drawing>
            </w:r>
          </w:p>
        </w:tc>
      </w:tr>
      <w:tr w14:paraId="1E9D63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EA4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493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带锁档案柜</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D05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心理咨询室带锁档案柜尺寸不小于1800×850×390mm，钢制柜体：优质一级冷轧钢板，厚度≥1.0mm，隔板厚度0.8mm。木质柜体：北美红橡木框架，E1级环保刨花板层板，含水率8-12%。锁具标准：保密要求：叶片式防撬锁芯，互开率≤0.01%。锁具类型：电子密码锁、指纹锁、国宝级保密锁。表面处理： 钢制工艺：静电粉末喷涂，200℃高温固化，防腐蚀防锈。</w:t>
            </w:r>
            <w:r>
              <w:rPr>
                <w:rStyle w:val="217"/>
                <w:rFonts w:eastAsia="宋体"/>
                <w:lang w:val="en-US" w:eastAsia="zh-CN" w:bidi="ar"/>
              </w:rPr>
              <w:t>​</w:t>
            </w:r>
            <w:r>
              <w:rPr>
                <w:rFonts w:hint="eastAsia" w:ascii="宋体" w:hAnsi="宋体" w:eastAsia="宋体" w:cs="宋体"/>
                <w:i w:val="0"/>
                <w:iCs w:val="0"/>
                <w:color w:val="000000"/>
                <w:kern w:val="0"/>
                <w:sz w:val="20"/>
                <w:szCs w:val="20"/>
                <w:u w:val="none"/>
                <w:lang w:val="en-US" w:eastAsia="zh-CN" w:bidi="ar"/>
              </w:rPr>
              <w:t>木质工艺：PE不饱和树脂底漆，PU聚酯漆面漆，耐黄变等级4级以上。</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336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5CD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13B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266700" cy="266700"/>
                  <wp:effectExtent l="0" t="0" r="0" b="0"/>
                  <wp:docPr id="178" name="图片 160"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图片 160" descr="IMG_263"/>
                          <pic:cNvPicPr>
                            <a:picLocks noChangeAspect="1"/>
                          </pic:cNvPicPr>
                        </pic:nvPicPr>
                        <pic:blipFill>
                          <a:blip r:embed="rId36"/>
                          <a:stretch>
                            <a:fillRect/>
                          </a:stretch>
                        </pic:blipFill>
                        <pic:spPr>
                          <a:xfrm>
                            <a:off x="0" y="0"/>
                            <a:ext cx="266700" cy="266700"/>
                          </a:xfrm>
                          <a:prstGeom prst="rect">
                            <a:avLst/>
                          </a:prstGeom>
                          <a:noFill/>
                          <a:ln w="9525">
                            <a:noFill/>
                          </a:ln>
                        </pic:spPr>
                      </pic:pic>
                    </a:graphicData>
                  </a:graphic>
                </wp:inline>
              </w:drawing>
            </w:r>
          </w:p>
        </w:tc>
      </w:tr>
      <w:tr w14:paraId="1D59E4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DBA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590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书架</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935E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心理辅导室书架尺寸不小于800×300×1800mm，环保等级：E1级双贴面三聚氰胺板，甲醛释放量符合国家标准。封边工艺：全自动封边机封边处理，0.8-1mm内嵌封边条，1.5-2mm外露封边条。 实木材质：层板和背板为15mm及以上全实木/橡胶木，外框18mm及以上橡胶木。</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4B0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340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2B4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133350" cy="266700"/>
                  <wp:effectExtent l="0" t="0" r="0" b="0"/>
                  <wp:docPr id="174" name="图片 161"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图片 161" descr="IMG_264"/>
                          <pic:cNvPicPr>
                            <a:picLocks noChangeAspect="1"/>
                          </pic:cNvPicPr>
                        </pic:nvPicPr>
                        <pic:blipFill>
                          <a:blip r:embed="rId37"/>
                          <a:stretch>
                            <a:fillRect/>
                          </a:stretch>
                        </pic:blipFill>
                        <pic:spPr>
                          <a:xfrm>
                            <a:off x="0" y="0"/>
                            <a:ext cx="133350" cy="266700"/>
                          </a:xfrm>
                          <a:prstGeom prst="rect">
                            <a:avLst/>
                          </a:prstGeom>
                          <a:noFill/>
                          <a:ln w="9525">
                            <a:noFill/>
                          </a:ln>
                        </pic:spPr>
                      </pic:pic>
                    </a:graphicData>
                  </a:graphic>
                </wp:inline>
              </w:drawing>
            </w:r>
          </w:p>
        </w:tc>
      </w:tr>
      <w:tr w14:paraId="16B960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999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62D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书柜</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8AC2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心理咨询室书柜尺寸不小于800×300×1800mm，环保等级：E1级双贴面三聚氰胺板，甲醛释放量符合国家标准。封边工艺：全自动封边机封边处理，0.8-1mm内嵌封边条，1.5-2mm外露封边条。结构要求：全木结构，结构牢固，安全实用。 边角处理：光滑边角打磨，避免尖锐设计。</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F25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706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7BF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266700" cy="266700"/>
                  <wp:effectExtent l="0" t="0" r="0" b="0"/>
                  <wp:docPr id="176" name="图片 162"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图片 162" descr="IMG_265"/>
                          <pic:cNvPicPr>
                            <a:picLocks noChangeAspect="1"/>
                          </pic:cNvPicPr>
                        </pic:nvPicPr>
                        <pic:blipFill>
                          <a:blip r:embed="rId38"/>
                          <a:stretch>
                            <a:fillRect/>
                          </a:stretch>
                        </pic:blipFill>
                        <pic:spPr>
                          <a:xfrm>
                            <a:off x="0" y="0"/>
                            <a:ext cx="266700" cy="266700"/>
                          </a:xfrm>
                          <a:prstGeom prst="rect">
                            <a:avLst/>
                          </a:prstGeom>
                          <a:noFill/>
                          <a:ln w="9525">
                            <a:noFill/>
                          </a:ln>
                        </pic:spPr>
                      </pic:pic>
                    </a:graphicData>
                  </a:graphic>
                </wp:inline>
              </w:drawing>
            </w:r>
          </w:p>
        </w:tc>
      </w:tr>
      <w:tr w14:paraId="1DB4C7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E04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29B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教师储物柜</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BBCE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心理咨询室储物柜尺寸不小于1800×550×500mm，需采用E0级环保板材和带锁设计确保隐私安全。板材要求：E0级优质饰面胶合板，甲醛释放量符合GB/T 39600-2021标准。</w:t>
            </w:r>
            <w:r>
              <w:rPr>
                <w:rFonts w:hint="eastAsia" w:ascii="宋体" w:hAnsi="宋体" w:eastAsia="宋体" w:cs="宋体"/>
                <w:i w:val="0"/>
                <w:iCs w:val="0"/>
                <w:color w:val="000000"/>
                <w:kern w:val="0"/>
                <w:sz w:val="20"/>
                <w:szCs w:val="20"/>
                <w:u w:val="none"/>
                <w:lang w:val="en-US" w:eastAsia="zh-CN" w:bidi="ar"/>
              </w:rPr>
              <w:br w:type="textWrapping"/>
            </w:r>
            <w:r>
              <w:rPr>
                <w:rStyle w:val="217"/>
                <w:rFonts w:eastAsia="宋体"/>
                <w:lang w:val="en-US" w:eastAsia="zh-CN" w:bidi="ar"/>
              </w:rPr>
              <w:t>​</w:t>
            </w:r>
            <w:r>
              <w:rPr>
                <w:rFonts w:hint="eastAsia" w:ascii="宋体" w:hAnsi="宋体" w:eastAsia="宋体" w:cs="宋体"/>
                <w:i w:val="0"/>
                <w:iCs w:val="0"/>
                <w:color w:val="000000"/>
                <w:kern w:val="0"/>
                <w:sz w:val="20"/>
                <w:szCs w:val="20"/>
                <w:u w:val="none"/>
                <w:lang w:val="en-US" w:eastAsia="zh-CN" w:bidi="ar"/>
              </w:rPr>
              <w:t xml:space="preserve"> 板厚规格：顶板不小于25mm，其余不小于16mm，桌面板厚度不小于25mm。工艺处理：封边工艺：2mm厚PVC封边条，高温热熔胶全自动封边机封边。 五金配件：杯状暗缓冲不锈钢铰链，螺杆安全支撑，带防潮钉。</w:t>
            </w:r>
            <w:r>
              <w:rPr>
                <w:rFonts w:hint="eastAsia" w:ascii="宋体" w:hAnsi="宋体" w:eastAsia="宋体" w:cs="宋体"/>
                <w:i w:val="0"/>
                <w:iCs w:val="0"/>
                <w:color w:val="000000"/>
                <w:kern w:val="0"/>
                <w:sz w:val="20"/>
                <w:szCs w:val="20"/>
                <w:u w:val="none"/>
                <w:lang w:val="en-US" w:eastAsia="zh-CN" w:bidi="ar"/>
              </w:rPr>
              <w:br w:type="textWrapping"/>
            </w:r>
            <w:r>
              <w:rPr>
                <w:rStyle w:val="217"/>
                <w:rFonts w:eastAsia="宋体"/>
                <w:lang w:val="en-US" w:eastAsia="zh-CN" w:bidi="ar"/>
              </w:rPr>
              <w:t>​</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6CF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996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773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152400" cy="266700"/>
                  <wp:effectExtent l="0" t="0" r="0" b="0"/>
                  <wp:docPr id="179" name="图片 163"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图片 163" descr="IMG_266"/>
                          <pic:cNvPicPr>
                            <a:picLocks noChangeAspect="1"/>
                          </pic:cNvPicPr>
                        </pic:nvPicPr>
                        <pic:blipFill>
                          <a:blip r:embed="rId33"/>
                          <a:stretch>
                            <a:fillRect/>
                          </a:stretch>
                        </pic:blipFill>
                        <pic:spPr>
                          <a:xfrm>
                            <a:off x="0" y="0"/>
                            <a:ext cx="152400" cy="266700"/>
                          </a:xfrm>
                          <a:prstGeom prst="rect">
                            <a:avLst/>
                          </a:prstGeom>
                          <a:noFill/>
                          <a:ln w="9525">
                            <a:noFill/>
                          </a:ln>
                        </pic:spPr>
                      </pic:pic>
                    </a:graphicData>
                  </a:graphic>
                </wp:inline>
              </w:drawing>
            </w:r>
          </w:p>
        </w:tc>
      </w:tr>
      <w:tr w14:paraId="011124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0A28A9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名师工作室3间</w:t>
            </w:r>
          </w:p>
        </w:tc>
      </w:tr>
      <w:tr w14:paraId="5C8B0B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11C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E89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会议椅</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F7F3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尺寸：常规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1.黑色全新料加纤背框，扪华宇透气网布；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2.黑色PP固定腰靠；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3.黑色PP连体连体扶手；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4.45高密度纯绵坐垫，扪华宇透气网布；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5.2.0mm厚度的A3钢材喷黑弓形架。</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087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C43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A91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200025" cy="266700"/>
                  <wp:effectExtent l="0" t="0" r="9525" b="0"/>
                  <wp:docPr id="180" name="图片 164"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图片 164" descr="IMG_267"/>
                          <pic:cNvPicPr>
                            <a:picLocks noChangeAspect="1"/>
                          </pic:cNvPicPr>
                        </pic:nvPicPr>
                        <pic:blipFill>
                          <a:blip r:embed="rId31"/>
                          <a:stretch>
                            <a:fillRect/>
                          </a:stretch>
                        </pic:blipFill>
                        <pic:spPr>
                          <a:xfrm>
                            <a:off x="0" y="0"/>
                            <a:ext cx="200025" cy="266700"/>
                          </a:xfrm>
                          <a:prstGeom prst="rect">
                            <a:avLst/>
                          </a:prstGeom>
                          <a:noFill/>
                          <a:ln w="9525">
                            <a:noFill/>
                          </a:ln>
                        </pic:spPr>
                      </pic:pic>
                    </a:graphicData>
                  </a:graphic>
                </wp:inline>
              </w:drawing>
            </w:r>
          </w:p>
        </w:tc>
      </w:tr>
      <w:tr w14:paraId="1A97B0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10C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8CC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单人沙发</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0BEE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单人沙发*2：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常规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1、面材采用1.0mm厚西皮，柔软贴手，透气性好。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2、海绵：海绵密度：35-55度；内采用高弹力海绵，拉伸强度为110kPa，伸长率为160%，回弹率为40%，75%压缩永久不变形率为5%。可防氧化、防碎，经过HD测试，不变形。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3、框架：实木框架，经熏蒸处理，防霉、防虫。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4、木质材料甲醛释放量低于9.0mg/100g符合国家标准，含水率≤7.4%（防潮、防虫、防腐处理）。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茶几*1：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600*600*450mm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1、面材：采用0.8mm以上厚胡桃木皮贴面,木皮平整度高,稳定性好,长期使用不变形,纹理清晰自然，颜色线条拼合细密，木材干燥至低于12%的含水率；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2、基材：采用优质高密度板材，符合环保E1级标准，甲醛释放量≤9mg/100g。经防虫、防腐化学处理，各项技术指标均达国家标准；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3、封边：实木封边，采用纹理清晰、不易变形实木框架，经过水煮及蒸汽烘干杀虫处理。</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76A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A54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EE0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390525" cy="266700"/>
                  <wp:effectExtent l="0" t="0" r="9525" b="0"/>
                  <wp:docPr id="186" name="图片 165"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图片 165" descr="IMG_268"/>
                          <pic:cNvPicPr>
                            <a:picLocks noChangeAspect="1"/>
                          </pic:cNvPicPr>
                        </pic:nvPicPr>
                        <pic:blipFill>
                          <a:blip r:embed="rId39"/>
                          <a:stretch>
                            <a:fillRect/>
                          </a:stretch>
                        </pic:blipFill>
                        <pic:spPr>
                          <a:xfrm>
                            <a:off x="0" y="0"/>
                            <a:ext cx="390525" cy="266700"/>
                          </a:xfrm>
                          <a:prstGeom prst="rect">
                            <a:avLst/>
                          </a:prstGeom>
                          <a:noFill/>
                          <a:ln w="9525">
                            <a:noFill/>
                          </a:ln>
                        </pic:spPr>
                      </pic:pic>
                    </a:graphicData>
                  </a:graphic>
                </wp:inline>
              </w:drawing>
            </w:r>
          </w:p>
        </w:tc>
      </w:tr>
      <w:tr w14:paraId="70279A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D1D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CB9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办公桌</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596A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办公桌：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1400*700*760mm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1、板材：基材：采用优质E0级环保密度板，板材厚度1.8CM；甲醛释放量低于9.0mg/100g符合国家标准，含水率≤7.4%（防潮、防虫、防腐处理）。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2、面材：贴面采用0.6mm胡桃木木皮。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3、油漆：油漆采用优质PU聚酯漆，底漆采用PE不饱和树脂漆，采用5底3面的油漆工艺；挥发性有机化合物（V0C）含量650/L,甲醛、二甲苯、乙苯含量总和16%，面漆，色泽均匀，主次分明，木纹清晰；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4、配件：采用优质五金件，作防锈、防腐处理，经久耐用。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办公椅：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1、尺寸：常规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2、面料：采用1.0mm厚西皮,表面光泽度好、透气性强、柔软而富有韧性，所有面料包裹平整、牢固；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3、框架：采用优质橡木，经防潮、防腐、防虫等化学处理；甲醛释放量低于9.0mg/100g符合国家标准，含水率≤7.4%（防潮、防虫、防腐处理）。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4、海绵：采用高弹力定型海绵，密度：35-55度，拉伸强度为110kPa，伸长率为160%，回弹率为40%，75%压缩永久不变形率为5%。可防氧化、防碎，经过HD测试，不变形。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5、油漆：采用优质环保油漆，经过五底三面油漆工序，达到E0级环保标准；</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CFF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D05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8530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371475" cy="266700"/>
                  <wp:effectExtent l="0" t="0" r="9525" b="0"/>
                  <wp:docPr id="183" name="图片 166"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图片 166" descr="IMG_269"/>
                          <pic:cNvPicPr>
                            <a:picLocks noChangeAspect="1"/>
                          </pic:cNvPicPr>
                        </pic:nvPicPr>
                        <pic:blipFill>
                          <a:blip r:embed="rId13"/>
                          <a:stretch>
                            <a:fillRect/>
                          </a:stretch>
                        </pic:blipFill>
                        <pic:spPr>
                          <a:xfrm>
                            <a:off x="0" y="0"/>
                            <a:ext cx="371475" cy="266700"/>
                          </a:xfrm>
                          <a:prstGeom prst="rect">
                            <a:avLst/>
                          </a:prstGeom>
                          <a:noFill/>
                          <a:ln w="9525">
                            <a:noFill/>
                          </a:ln>
                        </pic:spPr>
                      </pic:pic>
                    </a:graphicData>
                  </a:graphic>
                </wp:inline>
              </w:drawing>
            </w:r>
          </w:p>
        </w:tc>
      </w:tr>
      <w:tr w14:paraId="66E962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C85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FD5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办公椅</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F10F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尺寸：常规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1.黑色全新料加纤背框，扪华宇透气网布；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2.黑色PP固定腰靠；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3.黑色PP连体连体扶手；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4.45高密度纯绵坐垫，扪华宇透气网布；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5.2.0mm厚度的A3钢材喷黑弓形架。</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FCC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C37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27D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200025" cy="266700"/>
                  <wp:effectExtent l="0" t="0" r="9525" b="0"/>
                  <wp:docPr id="181" name="图片 167"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图片 167" descr="IMG_270"/>
                          <pic:cNvPicPr>
                            <a:picLocks noChangeAspect="1"/>
                          </pic:cNvPicPr>
                        </pic:nvPicPr>
                        <pic:blipFill>
                          <a:blip r:embed="rId31"/>
                          <a:stretch>
                            <a:fillRect/>
                          </a:stretch>
                        </pic:blipFill>
                        <pic:spPr>
                          <a:xfrm>
                            <a:off x="0" y="0"/>
                            <a:ext cx="200025" cy="266700"/>
                          </a:xfrm>
                          <a:prstGeom prst="rect">
                            <a:avLst/>
                          </a:prstGeom>
                          <a:noFill/>
                          <a:ln w="9525">
                            <a:noFill/>
                          </a:ln>
                        </pic:spPr>
                      </pic:pic>
                    </a:graphicData>
                  </a:graphic>
                </wp:inline>
              </w:drawing>
            </w:r>
          </w:p>
        </w:tc>
      </w:tr>
      <w:tr w14:paraId="516132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A20684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政治学科基地1间</w:t>
            </w:r>
          </w:p>
        </w:tc>
      </w:tr>
      <w:tr w14:paraId="04D2A2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704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1A2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折叠椅</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3C5D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420*420*780mm（木纹色）与桌颜色一致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全橡胶木实木椅，榫头连接、结构合理美观、牢固耐用，表面光滑，无毛刺；环保聚酯木器漆（清水漆、五底三面）</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E4B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E1F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675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219075" cy="266700"/>
                  <wp:effectExtent l="0" t="0" r="9525" b="0"/>
                  <wp:docPr id="191" name="图片 168"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图片 168" descr="IMG_271"/>
                          <pic:cNvPicPr>
                            <a:picLocks noChangeAspect="1"/>
                          </pic:cNvPicPr>
                        </pic:nvPicPr>
                        <pic:blipFill>
                          <a:blip r:embed="rId20"/>
                          <a:stretch>
                            <a:fillRect/>
                          </a:stretch>
                        </pic:blipFill>
                        <pic:spPr>
                          <a:xfrm>
                            <a:off x="0" y="0"/>
                            <a:ext cx="219075" cy="266700"/>
                          </a:xfrm>
                          <a:prstGeom prst="rect">
                            <a:avLst/>
                          </a:prstGeom>
                          <a:noFill/>
                          <a:ln w="9525">
                            <a:noFill/>
                          </a:ln>
                        </pic:spPr>
                      </pic:pic>
                    </a:graphicData>
                  </a:graphic>
                </wp:inline>
              </w:drawing>
            </w:r>
          </w:p>
        </w:tc>
      </w:tr>
      <w:tr w14:paraId="18414F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F11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224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文件柜</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4806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基材：优质冷轧钢板，板厚0.6mm，耐压、强度大、抗冲击不易变形、表面水平底≤0.5mm，最大间隙2mm。2、表面处理：酸洗、磷化、高压静电喷塑、绿色环保、表面平滑、凃层坚固、内外凃层色泽一致；3、颜色：亚光灰。4、规格：1800×850×390mm；</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0DF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3E8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D41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133350" cy="257175"/>
                  <wp:effectExtent l="0" t="0" r="0" b="9525"/>
                  <wp:docPr id="182" name="图片 169"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图片 169" descr="IMG_272"/>
                          <pic:cNvPicPr>
                            <a:picLocks noChangeAspect="1"/>
                          </pic:cNvPicPr>
                        </pic:nvPicPr>
                        <pic:blipFill>
                          <a:blip r:embed="rId40"/>
                          <a:stretch>
                            <a:fillRect/>
                          </a:stretch>
                        </pic:blipFill>
                        <pic:spPr>
                          <a:xfrm>
                            <a:off x="0" y="0"/>
                            <a:ext cx="133350" cy="257175"/>
                          </a:xfrm>
                          <a:prstGeom prst="rect">
                            <a:avLst/>
                          </a:prstGeom>
                          <a:noFill/>
                          <a:ln w="9525">
                            <a:noFill/>
                          </a:ln>
                        </pic:spPr>
                      </pic:pic>
                    </a:graphicData>
                  </a:graphic>
                </wp:inline>
              </w:drawing>
            </w:r>
          </w:p>
        </w:tc>
      </w:tr>
      <w:tr w14:paraId="1DB433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192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29C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书架</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4463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尺寸：800mm*300mm*2000mm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1.采用18mm厚E1级三聚氰胺板，甲醛释放量2.5mg/100g，用环保型胶水作黏合剂，坚固耐用，不变形，耐划痕、耐磨、耐烫、防火、阻燃、易清洁，色泽柔和，自然逼真；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2.封边带采用直封边，厚度2mm；</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1E3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0BC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75B40">
            <w:pPr>
              <w:jc w:val="center"/>
              <w:rPr>
                <w:rFonts w:hint="eastAsia" w:ascii="宋体" w:hAnsi="宋体" w:eastAsia="宋体" w:cs="宋体"/>
                <w:i w:val="0"/>
                <w:iCs w:val="0"/>
                <w:color w:val="000000"/>
                <w:sz w:val="20"/>
                <w:szCs w:val="20"/>
                <w:u w:val="none"/>
              </w:rPr>
            </w:pPr>
          </w:p>
        </w:tc>
      </w:tr>
      <w:tr w14:paraId="2EA6B4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34B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0D3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文件柜</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5C83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800W*400D*2000H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1、基材：E0级刨花板，甲醛释放量≤5mg/100g。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2、贴面：优质耐磨三聚氢胺浸渍饰面。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3、封边：PVC封边条。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4、五金配件：采用优质五金配件</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5A0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5B1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9A4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drawing>
                <wp:inline distT="0" distB="0" distL="114300" distR="114300">
                  <wp:extent cx="123825" cy="266700"/>
                  <wp:effectExtent l="0" t="0" r="9525" b="0"/>
                  <wp:docPr id="188" name="图片 170"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图片 170" descr="IMG_273"/>
                          <pic:cNvPicPr>
                            <a:picLocks noChangeAspect="1"/>
                          </pic:cNvPicPr>
                        </pic:nvPicPr>
                        <pic:blipFill>
                          <a:blip r:embed="rId41"/>
                          <a:stretch>
                            <a:fillRect/>
                          </a:stretch>
                        </pic:blipFill>
                        <pic:spPr>
                          <a:xfrm>
                            <a:off x="0" y="0"/>
                            <a:ext cx="123825" cy="266700"/>
                          </a:xfrm>
                          <a:prstGeom prst="rect">
                            <a:avLst/>
                          </a:prstGeom>
                          <a:noFill/>
                          <a:ln w="9525">
                            <a:noFill/>
                          </a:ln>
                        </pic:spPr>
                      </pic:pic>
                    </a:graphicData>
                  </a:graphic>
                </wp:inline>
              </w:drawing>
            </w:r>
          </w:p>
        </w:tc>
      </w:tr>
      <w:tr w14:paraId="273896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DFEA1D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教工(妇女)之家1间</w:t>
            </w:r>
          </w:p>
        </w:tc>
      </w:tr>
      <w:tr w14:paraId="1CF988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34D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29E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会议椅</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3F74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420*420*780mm（木纹色）与会议桌颜色一致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全橡胶木实木椅，榫头连接、结构合理美观、牢固耐用，表面光滑，无毛刺；环保聚酯木器漆（清水漆、五底三面）</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A41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C03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82D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219075" cy="266700"/>
                  <wp:effectExtent l="0" t="0" r="9525" b="0"/>
                  <wp:docPr id="184" name="图片 171"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图片 171" descr="IMG_274"/>
                          <pic:cNvPicPr>
                            <a:picLocks noChangeAspect="1"/>
                          </pic:cNvPicPr>
                        </pic:nvPicPr>
                        <pic:blipFill>
                          <a:blip r:embed="rId20"/>
                          <a:stretch>
                            <a:fillRect/>
                          </a:stretch>
                        </pic:blipFill>
                        <pic:spPr>
                          <a:xfrm>
                            <a:off x="0" y="0"/>
                            <a:ext cx="219075" cy="266700"/>
                          </a:xfrm>
                          <a:prstGeom prst="rect">
                            <a:avLst/>
                          </a:prstGeom>
                          <a:noFill/>
                          <a:ln w="9525">
                            <a:noFill/>
                          </a:ln>
                        </pic:spPr>
                      </pic:pic>
                    </a:graphicData>
                  </a:graphic>
                </wp:inline>
              </w:drawing>
            </w:r>
          </w:p>
        </w:tc>
      </w:tr>
      <w:tr w14:paraId="707696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E2C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B34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单人沙发</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443C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常规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1、面材采用1.0mm厚西皮，柔软贴手，透气性好。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2、海绵：海绵密度：35-55度；内采用高弹力海绵，拉伸强度为110kPa，伸长率为160%，回弹率为40%，75%压缩永久不变形率为5%。可防氧化、防碎，经过HD测试，不变形。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3、框架：实木框架，经熏蒸处理，防霉、防虫。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4、木质材料甲醛释放量低于9.0mg/100g符合国家标准，含水率≤7.4%（防潮、防虫、防腐处理）。</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F43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2DF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CF2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285750" cy="266700"/>
                  <wp:effectExtent l="0" t="0" r="0" b="0"/>
                  <wp:docPr id="189" name="图片 172"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图片 172" descr="IMG_275"/>
                          <pic:cNvPicPr>
                            <a:picLocks noChangeAspect="1"/>
                          </pic:cNvPicPr>
                        </pic:nvPicPr>
                        <pic:blipFill>
                          <a:blip r:embed="rId32"/>
                          <a:stretch>
                            <a:fillRect/>
                          </a:stretch>
                        </pic:blipFill>
                        <pic:spPr>
                          <a:xfrm>
                            <a:off x="0" y="0"/>
                            <a:ext cx="285750" cy="266700"/>
                          </a:xfrm>
                          <a:prstGeom prst="rect">
                            <a:avLst/>
                          </a:prstGeom>
                          <a:noFill/>
                          <a:ln w="9525">
                            <a:noFill/>
                          </a:ln>
                        </pic:spPr>
                      </pic:pic>
                    </a:graphicData>
                  </a:graphic>
                </wp:inline>
              </w:drawing>
            </w:r>
          </w:p>
        </w:tc>
      </w:tr>
      <w:tr w14:paraId="017A87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825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D5B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书架</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748B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尺寸：800mm*300mm*2000mm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1.采用18mm厚E1级三聚氰胺板，甲醛释放量2.5mg/100g，用环保型胶水作黏合剂，坚固耐用，不变形，耐划痕、耐磨、耐烫、防火、阻燃、易清洁，色泽柔和，自然逼真；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2.封边带采用直封边，厚度2mm；</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32D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E34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285F6">
            <w:pPr>
              <w:jc w:val="center"/>
              <w:rPr>
                <w:rFonts w:hint="eastAsia" w:ascii="宋体" w:hAnsi="宋体" w:eastAsia="宋体" w:cs="宋体"/>
                <w:i w:val="0"/>
                <w:iCs w:val="0"/>
                <w:color w:val="000000"/>
                <w:sz w:val="20"/>
                <w:szCs w:val="20"/>
                <w:u w:val="none"/>
              </w:rPr>
            </w:pPr>
          </w:p>
        </w:tc>
      </w:tr>
      <w:tr w14:paraId="67C489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A3E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659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文件柜</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B52B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800W*400D*2000H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1、基材：E0级刨花板，甲醛释放量≤5mg/100g。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2、贴面：优质耐磨三聚氢胺浸渍饰面。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3、封边：PVC封边条。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4、五金配件：采用优质五金配件</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A84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599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6A9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drawing>
                <wp:inline distT="0" distB="0" distL="114300" distR="114300">
                  <wp:extent cx="123825" cy="266700"/>
                  <wp:effectExtent l="0" t="0" r="9525" b="0"/>
                  <wp:docPr id="190" name="图片 173"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图片 173" descr="IMG_276"/>
                          <pic:cNvPicPr>
                            <a:picLocks noChangeAspect="1"/>
                          </pic:cNvPicPr>
                        </pic:nvPicPr>
                        <pic:blipFill>
                          <a:blip r:embed="rId41"/>
                          <a:stretch>
                            <a:fillRect/>
                          </a:stretch>
                        </pic:blipFill>
                        <pic:spPr>
                          <a:xfrm>
                            <a:off x="0" y="0"/>
                            <a:ext cx="123825" cy="266700"/>
                          </a:xfrm>
                          <a:prstGeom prst="rect">
                            <a:avLst/>
                          </a:prstGeom>
                          <a:noFill/>
                          <a:ln w="9525">
                            <a:noFill/>
                          </a:ln>
                        </pic:spPr>
                      </pic:pic>
                    </a:graphicData>
                  </a:graphic>
                </wp:inline>
              </w:drawing>
            </w:r>
          </w:p>
        </w:tc>
      </w:tr>
      <w:tr w14:paraId="60193B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E92A70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财务档案室1间</w:t>
            </w:r>
          </w:p>
        </w:tc>
      </w:tr>
      <w:tr w14:paraId="444CAF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9C7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74A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椅子</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C164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420*420*780mm（木纹色）与会议桌颜色一致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全橡胶木实木椅，榫头连接、结构合理美观、牢固耐用，表面光滑，无毛刺；环保聚酯木器漆（清水漆、五底三面）</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087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4C4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FB1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219075" cy="266700"/>
                  <wp:effectExtent l="0" t="0" r="9525" b="0"/>
                  <wp:docPr id="213" name="图片 174"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图片 174" descr="IMG_277"/>
                          <pic:cNvPicPr>
                            <a:picLocks noChangeAspect="1"/>
                          </pic:cNvPicPr>
                        </pic:nvPicPr>
                        <pic:blipFill>
                          <a:blip r:embed="rId20"/>
                          <a:stretch>
                            <a:fillRect/>
                          </a:stretch>
                        </pic:blipFill>
                        <pic:spPr>
                          <a:xfrm>
                            <a:off x="0" y="0"/>
                            <a:ext cx="219075" cy="266700"/>
                          </a:xfrm>
                          <a:prstGeom prst="rect">
                            <a:avLst/>
                          </a:prstGeom>
                          <a:noFill/>
                          <a:ln w="9525">
                            <a:noFill/>
                          </a:ln>
                        </pic:spPr>
                      </pic:pic>
                    </a:graphicData>
                  </a:graphic>
                </wp:inline>
              </w:drawing>
            </w:r>
          </w:p>
        </w:tc>
      </w:tr>
      <w:tr w14:paraId="1BD38B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E93089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报刊阅览室2间</w:t>
            </w:r>
          </w:p>
        </w:tc>
      </w:tr>
      <w:tr w14:paraId="225AA8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046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58F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阅读椅</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49D8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420*420*780mm（木纹色）与桌颜色一致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全橡胶木实木椅，榫头连接、结构合理美观、牢固耐用，表面光滑，无毛刺；环保聚酯木器漆（清水漆、五底三面）</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B2B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34F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D53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219075" cy="266700"/>
                  <wp:effectExtent l="0" t="0" r="9525" b="0"/>
                  <wp:docPr id="207" name="图片 175"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图片 175" descr="IMG_278"/>
                          <pic:cNvPicPr>
                            <a:picLocks noChangeAspect="1"/>
                          </pic:cNvPicPr>
                        </pic:nvPicPr>
                        <pic:blipFill>
                          <a:blip r:embed="rId20"/>
                          <a:stretch>
                            <a:fillRect/>
                          </a:stretch>
                        </pic:blipFill>
                        <pic:spPr>
                          <a:xfrm>
                            <a:off x="0" y="0"/>
                            <a:ext cx="219075" cy="266700"/>
                          </a:xfrm>
                          <a:prstGeom prst="rect">
                            <a:avLst/>
                          </a:prstGeom>
                          <a:noFill/>
                          <a:ln w="9525">
                            <a:noFill/>
                          </a:ln>
                        </pic:spPr>
                      </pic:pic>
                    </a:graphicData>
                  </a:graphic>
                </wp:inline>
              </w:drawing>
            </w:r>
          </w:p>
        </w:tc>
      </w:tr>
      <w:tr w14:paraId="1E1089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5D7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EB7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办公椅</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9A6C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尺寸：常规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1.黑色全新料加纤背框，扪华宇透气网布；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2.黑色PP固定腰靠；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3.黑色PP连体连体扶手；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4.45高密度纯绵坐垫，扪华宇透气网布；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5.2.0mm厚度的A3钢材喷黑弓形架。</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87E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924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91F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200025" cy="266700"/>
                  <wp:effectExtent l="0" t="0" r="9525" b="0"/>
                  <wp:docPr id="214" name="图片 176"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图片 176" descr="IMG_279"/>
                          <pic:cNvPicPr>
                            <a:picLocks noChangeAspect="1"/>
                          </pic:cNvPicPr>
                        </pic:nvPicPr>
                        <pic:blipFill>
                          <a:blip r:embed="rId31"/>
                          <a:stretch>
                            <a:fillRect/>
                          </a:stretch>
                        </pic:blipFill>
                        <pic:spPr>
                          <a:xfrm>
                            <a:off x="0" y="0"/>
                            <a:ext cx="200025" cy="266700"/>
                          </a:xfrm>
                          <a:prstGeom prst="rect">
                            <a:avLst/>
                          </a:prstGeom>
                          <a:noFill/>
                          <a:ln w="9525">
                            <a:noFill/>
                          </a:ln>
                        </pic:spPr>
                      </pic:pic>
                    </a:graphicData>
                  </a:graphic>
                </wp:inline>
              </w:drawing>
            </w:r>
          </w:p>
        </w:tc>
      </w:tr>
      <w:tr w14:paraId="048C71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41F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660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文件柜</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2E4B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基材：优质冷轧钢板，板厚0.6mm，耐压、强度大、抗冲击不易变形、表面水平底≤0.5mm，最大间隙2mm。2、表面处理：酸洗、磷化、高压静电喷塑、绿色环保、表面平滑、凃层坚固、内外凃层色泽一致；3、颜色：亚光灰。4、规格：1800×850×390mm；</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1DE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935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E1F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133350" cy="257175"/>
                  <wp:effectExtent l="0" t="0" r="0" b="9525"/>
                  <wp:docPr id="208" name="图片 177"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图片 177" descr="IMG_280"/>
                          <pic:cNvPicPr>
                            <a:picLocks noChangeAspect="1"/>
                          </pic:cNvPicPr>
                        </pic:nvPicPr>
                        <pic:blipFill>
                          <a:blip r:embed="rId40"/>
                          <a:stretch>
                            <a:fillRect/>
                          </a:stretch>
                        </pic:blipFill>
                        <pic:spPr>
                          <a:xfrm>
                            <a:off x="0" y="0"/>
                            <a:ext cx="133350" cy="257175"/>
                          </a:xfrm>
                          <a:prstGeom prst="rect">
                            <a:avLst/>
                          </a:prstGeom>
                          <a:noFill/>
                          <a:ln w="9525">
                            <a:noFill/>
                          </a:ln>
                        </pic:spPr>
                      </pic:pic>
                    </a:graphicData>
                  </a:graphic>
                </wp:inline>
              </w:drawing>
            </w:r>
          </w:p>
        </w:tc>
      </w:tr>
      <w:tr w14:paraId="396156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05A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AD1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茶柜</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D9BB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800*400*800（黑胡桃色）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1、板材：基材：采用优质E1级环保三聚氰胺板，板材厚度1.8CM；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2、配件：采用优质五金件，作防锈、防腐处理，经久耐用。</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53C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BF7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AAE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381000" cy="266700"/>
                  <wp:effectExtent l="0" t="0" r="0" b="0"/>
                  <wp:docPr id="210" name="图片 178"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图片 178" descr="IMG_281"/>
                          <pic:cNvPicPr>
                            <a:picLocks noChangeAspect="1"/>
                          </pic:cNvPicPr>
                        </pic:nvPicPr>
                        <pic:blipFill>
                          <a:blip r:embed="rId42"/>
                          <a:stretch>
                            <a:fillRect/>
                          </a:stretch>
                        </pic:blipFill>
                        <pic:spPr>
                          <a:xfrm>
                            <a:off x="0" y="0"/>
                            <a:ext cx="381000" cy="266700"/>
                          </a:xfrm>
                          <a:prstGeom prst="rect">
                            <a:avLst/>
                          </a:prstGeom>
                          <a:noFill/>
                          <a:ln w="9525">
                            <a:noFill/>
                          </a:ln>
                        </pic:spPr>
                      </pic:pic>
                    </a:graphicData>
                  </a:graphic>
                </wp:inline>
              </w:drawing>
            </w:r>
          </w:p>
        </w:tc>
      </w:tr>
      <w:tr w14:paraId="3C4E83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FF63C1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梯田读书区2间</w:t>
            </w:r>
          </w:p>
        </w:tc>
      </w:tr>
      <w:tr w14:paraId="75676A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15A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20C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阅读椅</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DB78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420*420*780mm（木纹色）与桌颜色一致</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全橡胶木实木椅，榫头连接、结构合理美观、牢固耐用，表面光滑，无毛刺；环保聚酯木器漆（清水漆、五底三面）</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7EB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054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09B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219075" cy="266700"/>
                  <wp:effectExtent l="0" t="0" r="9525" b="0"/>
                  <wp:docPr id="201" name="图片 179"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图片 179" descr="IMG_282"/>
                          <pic:cNvPicPr>
                            <a:picLocks noChangeAspect="1"/>
                          </pic:cNvPicPr>
                        </pic:nvPicPr>
                        <pic:blipFill>
                          <a:blip r:embed="rId20"/>
                          <a:stretch>
                            <a:fillRect/>
                          </a:stretch>
                        </pic:blipFill>
                        <pic:spPr>
                          <a:xfrm>
                            <a:off x="0" y="0"/>
                            <a:ext cx="219075" cy="266700"/>
                          </a:xfrm>
                          <a:prstGeom prst="rect">
                            <a:avLst/>
                          </a:prstGeom>
                          <a:noFill/>
                          <a:ln w="9525">
                            <a:noFill/>
                          </a:ln>
                        </pic:spPr>
                      </pic:pic>
                    </a:graphicData>
                  </a:graphic>
                </wp:inline>
              </w:drawing>
            </w:r>
          </w:p>
        </w:tc>
      </w:tr>
      <w:tr w14:paraId="1B87CE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3FEB04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开架阅览室2间</w:t>
            </w:r>
          </w:p>
        </w:tc>
      </w:tr>
      <w:tr w14:paraId="644F85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B16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AAB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办公椅</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06B2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尺寸：常规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1.黑色全新料加纤背框，扪华宇透气网布；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2.黑色PP固定腰靠；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3.黑色PP连体连体扶手；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4.45高密度纯绵坐垫，扪华宇透气网布；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5.2.0mm厚度的A3钢材喷黑弓形架。</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954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658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AC8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200025" cy="266700"/>
                  <wp:effectExtent l="0" t="0" r="9525" b="0"/>
                  <wp:docPr id="194" name="图片 180"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图片 180" descr="IMG_283"/>
                          <pic:cNvPicPr>
                            <a:picLocks noChangeAspect="1"/>
                          </pic:cNvPicPr>
                        </pic:nvPicPr>
                        <pic:blipFill>
                          <a:blip r:embed="rId31"/>
                          <a:stretch>
                            <a:fillRect/>
                          </a:stretch>
                        </pic:blipFill>
                        <pic:spPr>
                          <a:xfrm>
                            <a:off x="0" y="0"/>
                            <a:ext cx="200025" cy="266700"/>
                          </a:xfrm>
                          <a:prstGeom prst="rect">
                            <a:avLst/>
                          </a:prstGeom>
                          <a:noFill/>
                          <a:ln w="9525">
                            <a:noFill/>
                          </a:ln>
                        </pic:spPr>
                      </pic:pic>
                    </a:graphicData>
                  </a:graphic>
                </wp:inline>
              </w:drawing>
            </w:r>
          </w:p>
        </w:tc>
      </w:tr>
      <w:tr w14:paraId="15296F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52D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D50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文件柜</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66F6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基材：优质冷轧钢板，板厚0.6mm，耐压、强度大、抗冲击不易变形、表面水平底≤0.5mm，最大间隙2mm。2、表面处理：酸洗、磷化、高压静电喷塑、绿色环保、表面平滑、凃层坚固、内外凃层色泽一致；3、颜色：亚光灰。4、规格：1800×850×390mm；</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9D4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127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E9E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133350" cy="257175"/>
                  <wp:effectExtent l="0" t="0" r="0" b="9525"/>
                  <wp:docPr id="215" name="图片 181"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图片 181" descr="IMG_284"/>
                          <pic:cNvPicPr>
                            <a:picLocks noChangeAspect="1"/>
                          </pic:cNvPicPr>
                        </pic:nvPicPr>
                        <pic:blipFill>
                          <a:blip r:embed="rId40"/>
                          <a:stretch>
                            <a:fillRect/>
                          </a:stretch>
                        </pic:blipFill>
                        <pic:spPr>
                          <a:xfrm>
                            <a:off x="0" y="0"/>
                            <a:ext cx="133350" cy="257175"/>
                          </a:xfrm>
                          <a:prstGeom prst="rect">
                            <a:avLst/>
                          </a:prstGeom>
                          <a:noFill/>
                          <a:ln w="9525">
                            <a:noFill/>
                          </a:ln>
                        </pic:spPr>
                      </pic:pic>
                    </a:graphicData>
                  </a:graphic>
                </wp:inline>
              </w:drawing>
            </w:r>
          </w:p>
        </w:tc>
      </w:tr>
      <w:tr w14:paraId="0C76E6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20F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85C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茶柜</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24B3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800*400*800（黑胡桃色）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1、板材：基材：采用优质E1级环保三聚氰胺板，板材厚度1.8CM；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2、配件：采用优质五金件，作防锈、防腐处理，经久耐用。</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526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175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FB6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381000" cy="266700"/>
                  <wp:effectExtent l="0" t="0" r="0" b="0"/>
                  <wp:docPr id="216" name="图片 182"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图片 182" descr="IMG_285"/>
                          <pic:cNvPicPr>
                            <a:picLocks noChangeAspect="1"/>
                          </pic:cNvPicPr>
                        </pic:nvPicPr>
                        <pic:blipFill>
                          <a:blip r:embed="rId42"/>
                          <a:stretch>
                            <a:fillRect/>
                          </a:stretch>
                        </pic:blipFill>
                        <pic:spPr>
                          <a:xfrm>
                            <a:off x="0" y="0"/>
                            <a:ext cx="381000" cy="266700"/>
                          </a:xfrm>
                          <a:prstGeom prst="rect">
                            <a:avLst/>
                          </a:prstGeom>
                          <a:noFill/>
                          <a:ln w="9525">
                            <a:noFill/>
                          </a:ln>
                        </pic:spPr>
                      </pic:pic>
                    </a:graphicData>
                  </a:graphic>
                </wp:inline>
              </w:drawing>
            </w:r>
          </w:p>
        </w:tc>
      </w:tr>
      <w:tr w14:paraId="0BBCF8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DD1070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教师阅览室1间</w:t>
            </w:r>
          </w:p>
        </w:tc>
      </w:tr>
      <w:tr w14:paraId="721F81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128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E98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钢木书架</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1CCC3">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H2200*W950*D450mm/节，3节一组，6层；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产品结构：书架主要由架体、底座（框）组成；架体顶部设有顶板，可防止高处灰尘掉落在书籍上，层板间隔可据需进行调整；主要部件为立柱钢板厚为1.0㎜，隔板厚为0.7㎜，挂板0.8㎜、地脚：1.0㎜、顶板：0.7㎜、护板：0.7㎜的优质冷轧板，优质木护板；采用宝钢优质冷轧钢板，经剪板、折弯、冲压等工艺模具化生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2.工艺要求：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（1）书架立柱采用多次冲压成形。立柱上应合理冲孔，保证搁板、挂板能沿立柱的垂直方向调整高度；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（2）书架采用三道弯边工艺，以增强承载能力，书架采用双扣勾挂板；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（3）生产的板材加工全部实现模具化，零件组合焊接采用工装夹具休，焊接质量牢固可靠，焊接处不得烧焦、起泡、剥落、裂纹、划伤等缺陷，内外焊点均需进行打磨处理；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3.制造要求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（1）凡需焊接的部位应焊接牢固，焊点均匀，焊痕高度以不大于1mm，焊点间距应控制在100mm以内。焊痕表面波纹平整，不得出现焊焦、焊穿等现象；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（2）冲压件必须平整无毛刺，不允午有裂痕，冲压尺寸的误差应控制在±2.0mm之内；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（3）折弯必须到位，以确保工件折弯所需角度，其邻边垂直度、平行度应控制在≤1.5mm内；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喷塑粉采用环保涂料，全自动静电喷塑，喷塑厚度60－80μm，光泽度28－30%。前处理要通过除油、清洗、表调、清洗、磷化、清洗、钝化、清洗、烘干等工艺，易清洗，防腐蚀，经久耐用，涂层表面应平整光滑，色泽均匀一致，不允许有流挂、起粒、皱皮、露底、剥落、伤痕等外观缺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（5）各零件、组合件表面应光滑平整，不得有尖角凸起；各零件、组合件之间能保持互换性。所有标准件及紧固件均需氧化或镀锌处理；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4.安装要求及公差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（1）各部安装应牢固可靠，不允许有松动现象，各构件和架体无明显变形，架体无倾倒现象；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（2）每节组合后，其外型尺寸的极限偏差正负不得超过2mm，倾斜度≤3.0mm（架体与地面的不垂直形状）；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（3）每块搁板进行三折弯工艺处理，以增加其承载能力。每层搁板（双面）均匀负重大于50kg，整架全载荷重量≥300kg；</w:t>
            </w:r>
          </w:p>
          <w:p w14:paraId="0ACA7E64">
            <w:pPr>
              <w:keepNext w:val="0"/>
              <w:keepLines w:val="0"/>
              <w:widowControl/>
              <w:suppressLineNumbers w:val="0"/>
              <w:jc w:val="lef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b/>
                <w:bCs/>
                <w:i w:val="0"/>
                <w:iCs w:val="0"/>
                <w:color w:val="C00000"/>
                <w:kern w:val="0"/>
                <w:sz w:val="20"/>
                <w:szCs w:val="20"/>
                <w:highlight w:val="yellow"/>
                <w:u w:val="none"/>
                <w:lang w:val="en-US" w:eastAsia="zh-CN" w:bidi="ar"/>
              </w:rPr>
              <w:t>提供样品</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970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108</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970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档</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8A57D">
            <w:pPr>
              <w:keepNext w:val="0"/>
              <w:keepLines w:val="0"/>
              <w:widowControl/>
              <w:suppressLineNumbers w:val="0"/>
              <w:jc w:val="center"/>
              <w:textAlignment w:val="center"/>
              <w:rPr>
                <w:rFonts w:hint="eastAsia" w:ascii="宋体" w:hAnsi="宋体" w:eastAsia="宋体" w:cs="宋体"/>
                <w:i w:val="0"/>
                <w:iCs w:val="0"/>
                <w:color w:val="000000"/>
                <w:sz w:val="20"/>
                <w:szCs w:val="20"/>
                <w:u w:val="none"/>
                <w:lang w:eastAsia="zh-CN"/>
              </w:rPr>
            </w:pPr>
            <w:r>
              <w:rPr>
                <w:rFonts w:hint="eastAsia" w:ascii="宋体" w:hAnsi="宋体" w:eastAsia="宋体" w:cs="宋体"/>
                <w:i w:val="0"/>
                <w:iCs w:val="0"/>
                <w:color w:val="000000"/>
                <w:sz w:val="20"/>
                <w:szCs w:val="20"/>
                <w:u w:val="none"/>
                <w:lang w:eastAsia="zh-CN"/>
              </w:rPr>
              <w:drawing>
                <wp:inline distT="0" distB="0" distL="114300" distR="114300">
                  <wp:extent cx="542925" cy="450215"/>
                  <wp:effectExtent l="0" t="0" r="9525" b="6985"/>
                  <wp:docPr id="3" name="图片 3" descr="715798891f58e328607d63b3974213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715798891f58e328607d63b3974213ae"/>
                          <pic:cNvPicPr>
                            <a:picLocks noChangeAspect="1"/>
                          </pic:cNvPicPr>
                        </pic:nvPicPr>
                        <pic:blipFill>
                          <a:blip r:embed="rId43"/>
                          <a:stretch>
                            <a:fillRect/>
                          </a:stretch>
                        </pic:blipFill>
                        <pic:spPr>
                          <a:xfrm>
                            <a:off x="0" y="0"/>
                            <a:ext cx="542925" cy="450215"/>
                          </a:xfrm>
                          <a:prstGeom prst="rect">
                            <a:avLst/>
                          </a:prstGeom>
                        </pic:spPr>
                      </pic:pic>
                    </a:graphicData>
                  </a:graphic>
                </wp:inline>
              </w:drawing>
            </w:r>
          </w:p>
        </w:tc>
      </w:tr>
      <w:tr w14:paraId="180C83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088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F61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阅读椅</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EC22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420*420*780mm（木纹色）与桌颜色一致</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全橡胶木实木椅，榫头连接、结构合理美观、牢固耐用，表面光滑，无毛刺；环保聚酯木器漆（清水漆、五底三面）</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5A0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112</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640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72D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219075" cy="266700"/>
                  <wp:effectExtent l="0" t="0" r="9525" b="0"/>
                  <wp:docPr id="217" name="图片 184"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图片 184" descr="IMG_287"/>
                          <pic:cNvPicPr>
                            <a:picLocks noChangeAspect="1"/>
                          </pic:cNvPicPr>
                        </pic:nvPicPr>
                        <pic:blipFill>
                          <a:blip r:embed="rId20"/>
                          <a:stretch>
                            <a:fillRect/>
                          </a:stretch>
                        </pic:blipFill>
                        <pic:spPr>
                          <a:xfrm>
                            <a:off x="0" y="0"/>
                            <a:ext cx="219075" cy="266700"/>
                          </a:xfrm>
                          <a:prstGeom prst="rect">
                            <a:avLst/>
                          </a:prstGeom>
                          <a:noFill/>
                          <a:ln w="9525">
                            <a:noFill/>
                          </a:ln>
                        </pic:spPr>
                      </pic:pic>
                    </a:graphicData>
                  </a:graphic>
                </wp:inline>
              </w:drawing>
            </w:r>
          </w:p>
        </w:tc>
      </w:tr>
      <w:tr w14:paraId="10FB98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930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656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折叠重载静音推车</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4C4A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载重800公斤  90x60cm</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0CE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7AF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9BBBF">
            <w:pPr>
              <w:rPr>
                <w:rFonts w:hint="eastAsia" w:ascii="宋体" w:hAnsi="宋体" w:eastAsia="宋体" w:cs="宋体"/>
                <w:i w:val="0"/>
                <w:iCs w:val="0"/>
                <w:color w:val="000000"/>
                <w:sz w:val="22"/>
                <w:szCs w:val="22"/>
                <w:u w:val="none"/>
              </w:rPr>
            </w:pPr>
          </w:p>
        </w:tc>
      </w:tr>
      <w:tr w14:paraId="6C5A89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B76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732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办公椅</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FF58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尺寸：常规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1.黑色全新料加纤背框，扪华宇透气网布；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2.黑色PP固定腰靠；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3.黑色PP连体连体扶手；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4.45高密度纯绵坐垫，扪华宇透气网布；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5.2.0mm厚度的A3钢材喷黑弓形架。</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26C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07A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503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200025" cy="266700"/>
                  <wp:effectExtent l="0" t="0" r="9525" b="0"/>
                  <wp:docPr id="218" name="图片 185"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图片 185" descr="IMG_288"/>
                          <pic:cNvPicPr>
                            <a:picLocks noChangeAspect="1"/>
                          </pic:cNvPicPr>
                        </pic:nvPicPr>
                        <pic:blipFill>
                          <a:blip r:embed="rId31"/>
                          <a:stretch>
                            <a:fillRect/>
                          </a:stretch>
                        </pic:blipFill>
                        <pic:spPr>
                          <a:xfrm>
                            <a:off x="0" y="0"/>
                            <a:ext cx="200025" cy="266700"/>
                          </a:xfrm>
                          <a:prstGeom prst="rect">
                            <a:avLst/>
                          </a:prstGeom>
                          <a:noFill/>
                          <a:ln w="9525">
                            <a:noFill/>
                          </a:ln>
                        </pic:spPr>
                      </pic:pic>
                    </a:graphicData>
                  </a:graphic>
                </wp:inline>
              </w:drawing>
            </w:r>
          </w:p>
        </w:tc>
      </w:tr>
      <w:tr w14:paraId="1583B6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6DB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0CD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文件柜</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42A5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基材：优质冷轧钢板，板厚0.6mm，耐压、强度大、抗冲击不易变形、表面水平底≤0.5mm，最大间隙2mm。2、表面处理：酸洗、磷化、高压静电喷塑、绿色环保、表面平滑、凃层坚固、内外凃层色泽一致；3、颜色：亚光灰。4、规格：1800×850×390mm；</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A8C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78A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C7D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133350" cy="257175"/>
                  <wp:effectExtent l="0" t="0" r="0" b="9525"/>
                  <wp:docPr id="219" name="图片 186"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图片 186" descr="IMG_289"/>
                          <pic:cNvPicPr>
                            <a:picLocks noChangeAspect="1"/>
                          </pic:cNvPicPr>
                        </pic:nvPicPr>
                        <pic:blipFill>
                          <a:blip r:embed="rId40"/>
                          <a:stretch>
                            <a:fillRect/>
                          </a:stretch>
                        </pic:blipFill>
                        <pic:spPr>
                          <a:xfrm>
                            <a:off x="0" y="0"/>
                            <a:ext cx="133350" cy="257175"/>
                          </a:xfrm>
                          <a:prstGeom prst="rect">
                            <a:avLst/>
                          </a:prstGeom>
                          <a:noFill/>
                          <a:ln w="9525">
                            <a:noFill/>
                          </a:ln>
                        </pic:spPr>
                      </pic:pic>
                    </a:graphicData>
                  </a:graphic>
                </wp:inline>
              </w:drawing>
            </w:r>
          </w:p>
        </w:tc>
      </w:tr>
      <w:tr w14:paraId="7CFE18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F55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6CC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茶柜</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DB45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800*400*800（黑胡桃色）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1、板材：基材：采用优质E1级环保三聚氰胺板，板材厚度1.8CM；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2、配件：采用优质五金件，作防锈、防腐处理，经久耐用。</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7F1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2BE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A5D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381000" cy="266700"/>
                  <wp:effectExtent l="0" t="0" r="0" b="0"/>
                  <wp:docPr id="199" name="图片 187"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图片 187" descr="IMG_290"/>
                          <pic:cNvPicPr>
                            <a:picLocks noChangeAspect="1"/>
                          </pic:cNvPicPr>
                        </pic:nvPicPr>
                        <pic:blipFill>
                          <a:blip r:embed="rId42"/>
                          <a:stretch>
                            <a:fillRect/>
                          </a:stretch>
                        </pic:blipFill>
                        <pic:spPr>
                          <a:xfrm>
                            <a:off x="0" y="0"/>
                            <a:ext cx="381000" cy="266700"/>
                          </a:xfrm>
                          <a:prstGeom prst="rect">
                            <a:avLst/>
                          </a:prstGeom>
                          <a:noFill/>
                          <a:ln w="9525">
                            <a:noFill/>
                          </a:ln>
                        </pic:spPr>
                      </pic:pic>
                    </a:graphicData>
                  </a:graphic>
                </wp:inline>
              </w:drawing>
            </w:r>
          </w:p>
        </w:tc>
      </w:tr>
      <w:tr w14:paraId="235F41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E340C45">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综合报告厅接待室（教学楼）*2</w:t>
            </w:r>
          </w:p>
        </w:tc>
      </w:tr>
      <w:tr w14:paraId="7A335E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26B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208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单人沙发</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FA4A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1150W*900D*900H（扶手胡桃色）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1、面材采用1.0mm厚西皮/布艺，柔软贴手，透气性好。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2、海绵：海绵密度：35-55度；内采用高弹力定型海绵，拉伸强度为110kPa，伸长率为160%，回弹率为40%，75%压缩永久不变形率为5%。可防氧化、防碎，经过HD测试，不变形。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3、框架：实木框架，经熏蒸处理，防霉、防虫。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4、底座：不锈钢钢架，镀铬色。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5、采用优质木质材料，甲醛释放量低于9.0mg/100g符合国家标准，含水率≤7.4%（防潮、防虫、防腐处理）。</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EC8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921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1D2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390525" cy="266700"/>
                  <wp:effectExtent l="0" t="0" r="9525" b="0"/>
                  <wp:docPr id="202" name="图片 188"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图片 188" descr="IMG_291"/>
                          <pic:cNvPicPr>
                            <a:picLocks noChangeAspect="1"/>
                          </pic:cNvPicPr>
                        </pic:nvPicPr>
                        <pic:blipFill>
                          <a:blip r:embed="rId44"/>
                          <a:stretch>
                            <a:fillRect/>
                          </a:stretch>
                        </pic:blipFill>
                        <pic:spPr>
                          <a:xfrm>
                            <a:off x="0" y="0"/>
                            <a:ext cx="390525" cy="266700"/>
                          </a:xfrm>
                          <a:prstGeom prst="rect">
                            <a:avLst/>
                          </a:prstGeom>
                          <a:noFill/>
                          <a:ln w="9525">
                            <a:noFill/>
                          </a:ln>
                        </pic:spPr>
                      </pic:pic>
                    </a:graphicData>
                  </a:graphic>
                </wp:inline>
              </w:drawing>
            </w:r>
          </w:p>
        </w:tc>
      </w:tr>
      <w:tr w14:paraId="6F2964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300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72B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茶几</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61B3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680*480*530（胡桃色）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1、板材：基材：采用优质E1级环保密度板，板材厚度1.8CM；甲醛释放量低于9.0mg/100g符合国家标准，含水率≤7.4%（防潮、防虫、防腐处理）。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2、面材：贴面采用0.6mm胡桃木木皮。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3、油漆：油漆采用优质PU聚酯漆，底漆采用PE不饱和树脂漆，采用5底3面的油漆工艺；挥发性有机化合物（V0C）含量650/L,甲醛、二甲苯、乙苯含量总和16%，面漆，色泽均匀，主次分明，木纹清晰；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10、配件：采用优质五金件，作防锈、防腐处理，经久耐用。</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AC4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D2A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D33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285750" cy="266700"/>
                  <wp:effectExtent l="0" t="0" r="0" b="0"/>
                  <wp:docPr id="220" name="图片 189"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图片 189" descr="IMG_292"/>
                          <pic:cNvPicPr>
                            <a:picLocks noChangeAspect="1"/>
                          </pic:cNvPicPr>
                        </pic:nvPicPr>
                        <pic:blipFill>
                          <a:blip r:embed="rId45"/>
                          <a:stretch>
                            <a:fillRect/>
                          </a:stretch>
                        </pic:blipFill>
                        <pic:spPr>
                          <a:xfrm>
                            <a:off x="0" y="0"/>
                            <a:ext cx="285750" cy="266700"/>
                          </a:xfrm>
                          <a:prstGeom prst="rect">
                            <a:avLst/>
                          </a:prstGeom>
                          <a:noFill/>
                          <a:ln w="9525">
                            <a:noFill/>
                          </a:ln>
                        </pic:spPr>
                      </pic:pic>
                    </a:graphicData>
                  </a:graphic>
                </wp:inline>
              </w:drawing>
            </w:r>
          </w:p>
        </w:tc>
      </w:tr>
      <w:tr w14:paraId="105EF0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513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8BB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茶柜</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ED30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800*400*800（黑胡桃色）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1、板材：基材：采用优质E1级环保三聚氰胺板，板材厚度1.8CM；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2、配件：采用优质五金件，作防锈、防腐处理，经久耐用。</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B70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5BE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086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381000" cy="266700"/>
                  <wp:effectExtent l="0" t="0" r="0" b="0"/>
                  <wp:docPr id="206" name="图片 190"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图片 190" descr="IMG_293"/>
                          <pic:cNvPicPr>
                            <a:picLocks noChangeAspect="1"/>
                          </pic:cNvPicPr>
                        </pic:nvPicPr>
                        <pic:blipFill>
                          <a:blip r:embed="rId42"/>
                          <a:stretch>
                            <a:fillRect/>
                          </a:stretch>
                        </pic:blipFill>
                        <pic:spPr>
                          <a:xfrm>
                            <a:off x="0" y="0"/>
                            <a:ext cx="381000" cy="266700"/>
                          </a:xfrm>
                          <a:prstGeom prst="rect">
                            <a:avLst/>
                          </a:prstGeom>
                          <a:noFill/>
                          <a:ln w="9525">
                            <a:noFill/>
                          </a:ln>
                        </pic:spPr>
                      </pic:pic>
                    </a:graphicData>
                  </a:graphic>
                </wp:inline>
              </w:drawing>
            </w:r>
          </w:p>
        </w:tc>
      </w:tr>
      <w:tr w14:paraId="2A4369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B1AF5C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音乐教室</w:t>
            </w:r>
          </w:p>
        </w:tc>
      </w:tr>
      <w:tr w14:paraId="4BF375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4E822">
            <w:pPr>
              <w:jc w:val="center"/>
              <w:rPr>
                <w:rFonts w:hint="eastAsia" w:ascii="宋体" w:hAnsi="宋体" w:eastAsia="宋体" w:cs="宋体"/>
                <w:i w:val="0"/>
                <w:iCs w:val="0"/>
                <w:color w:val="000000"/>
                <w:sz w:val="20"/>
                <w:szCs w:val="20"/>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44933">
            <w:pPr>
              <w:jc w:val="center"/>
              <w:rPr>
                <w:rFonts w:hint="eastAsia" w:ascii="宋体" w:hAnsi="宋体" w:eastAsia="宋体" w:cs="宋体"/>
                <w:i w:val="0"/>
                <w:iCs w:val="0"/>
                <w:color w:val="000000"/>
                <w:sz w:val="20"/>
                <w:szCs w:val="20"/>
                <w:u w:val="none"/>
              </w:rPr>
            </w:pPr>
          </w:p>
        </w:tc>
        <w:tc>
          <w:tcPr>
            <w:tcW w:w="54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26CA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艺术教研组活动室</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DB7FD">
            <w:pPr>
              <w:jc w:val="center"/>
              <w:rPr>
                <w:rFonts w:hint="eastAsia" w:ascii="宋体" w:hAnsi="宋体" w:eastAsia="宋体" w:cs="宋体"/>
                <w:i w:val="0"/>
                <w:iCs w:val="0"/>
                <w:color w:val="000000"/>
                <w:sz w:val="20"/>
                <w:szCs w:val="20"/>
                <w:u w:val="none"/>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C47C5">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C8D06">
            <w:pPr>
              <w:jc w:val="center"/>
              <w:rPr>
                <w:rFonts w:hint="eastAsia" w:ascii="宋体" w:hAnsi="宋体" w:eastAsia="宋体" w:cs="宋体"/>
                <w:i w:val="0"/>
                <w:iCs w:val="0"/>
                <w:color w:val="000000"/>
                <w:sz w:val="20"/>
                <w:szCs w:val="20"/>
                <w:u w:val="none"/>
              </w:rPr>
            </w:pPr>
          </w:p>
        </w:tc>
      </w:tr>
      <w:tr w14:paraId="00DF2B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3F8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1D6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椅子</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C7F8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420*420*780mm（木纹色）与桌颜色一致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全橡胶木实木椅，榫头连接、结构合理美观、牢固耐用，表面光滑，无毛刺；环保聚酯木器漆（清水漆、五底三面）</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D91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8D8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9B7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209550" cy="247650"/>
                  <wp:effectExtent l="0" t="0" r="0" b="0"/>
                  <wp:docPr id="195" name="图片 191"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图片 191" descr="IMG_294"/>
                          <pic:cNvPicPr>
                            <a:picLocks noChangeAspect="1"/>
                          </pic:cNvPicPr>
                        </pic:nvPicPr>
                        <pic:blipFill>
                          <a:blip r:embed="rId46"/>
                          <a:stretch>
                            <a:fillRect/>
                          </a:stretch>
                        </pic:blipFill>
                        <pic:spPr>
                          <a:xfrm>
                            <a:off x="0" y="0"/>
                            <a:ext cx="209550" cy="247650"/>
                          </a:xfrm>
                          <a:prstGeom prst="rect">
                            <a:avLst/>
                          </a:prstGeom>
                          <a:noFill/>
                          <a:ln w="9525">
                            <a:noFill/>
                          </a:ln>
                        </pic:spPr>
                      </pic:pic>
                    </a:graphicData>
                  </a:graphic>
                </wp:inline>
              </w:drawing>
            </w:r>
          </w:p>
        </w:tc>
      </w:tr>
      <w:tr w14:paraId="73A761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E3F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70B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单人沙发</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6BAD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常规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1、面材采用1.0mm厚西皮，柔软贴手，透气性好。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2、海绵：海绵密度：35-55度；内采用高弹力海绵，拉伸强度为110kPa，伸长率为160%，回弹率为40%，75%压缩永久不变形率为5%。可防氧化、防碎，经过HD测试，不变形。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3、框架：实木框架，经熏蒸处理，防霉、防虫。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4、木质材料甲醛释放量低于9.0mg/100g符合国家标准，含水率≤7.4%（防潮、防虫、防腐处理）。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茶几*1：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600*600*450mm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1、面材：采用0.8mm以上厚胡桃木皮贴面,木皮平整度高,稳定性好,长期使用不变形,纹理清晰自然，颜色线条拼合细密，木材干燥至低于12%的含水率；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2、基材：采用优质高密度板材，符合环保E1级标准，甲醛释放量≤9mg/100g。经防虫、防腐化学处理，各项技术指标均达国家标准；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3、封边：实木封边，采用纹理清晰、不易变形实木框架，经过水煮及蒸汽烘干杀虫处理。</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4AC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4B1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DB1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266700" cy="247650"/>
                  <wp:effectExtent l="0" t="0" r="0" b="0"/>
                  <wp:docPr id="211" name="图片 192"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图片 192" descr="IMG_295"/>
                          <pic:cNvPicPr>
                            <a:picLocks noChangeAspect="1"/>
                          </pic:cNvPicPr>
                        </pic:nvPicPr>
                        <pic:blipFill>
                          <a:blip r:embed="rId32"/>
                          <a:stretch>
                            <a:fillRect/>
                          </a:stretch>
                        </pic:blipFill>
                        <pic:spPr>
                          <a:xfrm>
                            <a:off x="0" y="0"/>
                            <a:ext cx="266700" cy="247650"/>
                          </a:xfrm>
                          <a:prstGeom prst="rect">
                            <a:avLst/>
                          </a:prstGeom>
                          <a:noFill/>
                          <a:ln w="9525">
                            <a:noFill/>
                          </a:ln>
                        </pic:spPr>
                      </pic:pic>
                    </a:graphicData>
                  </a:graphic>
                </wp:inline>
              </w:drawing>
            </w:r>
          </w:p>
        </w:tc>
      </w:tr>
      <w:tr w14:paraId="3444A2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A2E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2C4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茶几</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C81B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胡桃色实木茶几，含水率8%-12%，天然纹理美观，尺寸：不小于680*480*530mm。</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3BC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E3C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4AE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276225" cy="247650"/>
                  <wp:effectExtent l="0" t="0" r="9525" b="0"/>
                  <wp:docPr id="196" name="图片 193"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图片 193" descr="IMG_296"/>
                          <pic:cNvPicPr>
                            <a:picLocks noChangeAspect="1"/>
                          </pic:cNvPicPr>
                        </pic:nvPicPr>
                        <pic:blipFill>
                          <a:blip r:embed="rId47"/>
                          <a:stretch>
                            <a:fillRect/>
                          </a:stretch>
                        </pic:blipFill>
                        <pic:spPr>
                          <a:xfrm>
                            <a:off x="0" y="0"/>
                            <a:ext cx="276225" cy="247650"/>
                          </a:xfrm>
                          <a:prstGeom prst="rect">
                            <a:avLst/>
                          </a:prstGeom>
                          <a:noFill/>
                          <a:ln w="9525">
                            <a:noFill/>
                          </a:ln>
                        </pic:spPr>
                      </pic:pic>
                    </a:graphicData>
                  </a:graphic>
                </wp:inline>
              </w:drawing>
            </w:r>
          </w:p>
        </w:tc>
      </w:tr>
      <w:tr w14:paraId="484E21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366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9A0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书柜</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9FEB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四门实木书柜，宽度为不小于1200mm，书架深度通常在不小于350mm。书柜高度以不小于2100mm。抽屉高度通常在不小于350mm。书柜有可调节层板设计，方便根据书籍大小调整空间。</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E0B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00B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654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190500" cy="247650"/>
                  <wp:effectExtent l="0" t="0" r="0" b="0"/>
                  <wp:docPr id="197" name="图片 194"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图片 194" descr="IMG_297"/>
                          <pic:cNvPicPr>
                            <a:picLocks noChangeAspect="1"/>
                          </pic:cNvPicPr>
                        </pic:nvPicPr>
                        <pic:blipFill>
                          <a:blip r:embed="rId48"/>
                          <a:stretch>
                            <a:fillRect/>
                          </a:stretch>
                        </pic:blipFill>
                        <pic:spPr>
                          <a:xfrm>
                            <a:off x="0" y="0"/>
                            <a:ext cx="190500" cy="247650"/>
                          </a:xfrm>
                          <a:prstGeom prst="rect">
                            <a:avLst/>
                          </a:prstGeom>
                          <a:noFill/>
                          <a:ln w="9525">
                            <a:noFill/>
                          </a:ln>
                        </pic:spPr>
                      </pic:pic>
                    </a:graphicData>
                  </a:graphic>
                </wp:inline>
              </w:drawing>
            </w:r>
          </w:p>
        </w:tc>
      </w:tr>
      <w:tr w14:paraId="68E65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217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791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三人沙发</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EC6B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沙发1+1+3；单人：92*93*77cm，三人：192*93*77cm；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1、西皮面材，柔软贴手，透气性好。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2、海绵：海绵密度：35-55度；内采用高弹力定型海绵，拉伸强度为110kPa，伸长率为160%，回弹率为40%，75%压缩永久不变形率为5%。可防氧化、防碎，经过HD测试，不变形。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3、框架：实木框架，经熏蒸处理，防霉、防虫。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4、底座：不锈钢钢架。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5、茶几尺寸：120*60*43cm。</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E78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4CA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F948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485775" cy="247650"/>
                  <wp:effectExtent l="0" t="0" r="9525" b="0"/>
                  <wp:docPr id="198" name="图片 195"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图片 195" descr="IMG_298"/>
                          <pic:cNvPicPr>
                            <a:picLocks noChangeAspect="1"/>
                          </pic:cNvPicPr>
                        </pic:nvPicPr>
                        <pic:blipFill>
                          <a:blip r:embed="rId49"/>
                          <a:stretch>
                            <a:fillRect/>
                          </a:stretch>
                        </pic:blipFill>
                        <pic:spPr>
                          <a:xfrm>
                            <a:off x="0" y="0"/>
                            <a:ext cx="485775" cy="247650"/>
                          </a:xfrm>
                          <a:prstGeom prst="rect">
                            <a:avLst/>
                          </a:prstGeom>
                          <a:noFill/>
                          <a:ln w="9525">
                            <a:noFill/>
                          </a:ln>
                        </pic:spPr>
                      </pic:pic>
                    </a:graphicData>
                  </a:graphic>
                </wp:inline>
              </w:drawing>
            </w:r>
          </w:p>
        </w:tc>
      </w:tr>
      <w:tr w14:paraId="381045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CE8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FB2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茶水柜</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B5C4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800*400*800（黑胡桃色）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1、板材：基材：采用优质E1级环保三聚氰胺板，板材厚度1.8CM；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2、配件：采用优质五金件，作防锈、防腐处理，经久耐用。</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A20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22F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3D0E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342900" cy="247650"/>
                  <wp:effectExtent l="0" t="0" r="0" b="0"/>
                  <wp:docPr id="212" name="图片 196"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图片 196" descr="IMG_299"/>
                          <pic:cNvPicPr>
                            <a:picLocks noChangeAspect="1"/>
                          </pic:cNvPicPr>
                        </pic:nvPicPr>
                        <pic:blipFill>
                          <a:blip r:embed="rId50"/>
                          <a:stretch>
                            <a:fillRect/>
                          </a:stretch>
                        </pic:blipFill>
                        <pic:spPr>
                          <a:xfrm>
                            <a:off x="0" y="0"/>
                            <a:ext cx="342900" cy="247650"/>
                          </a:xfrm>
                          <a:prstGeom prst="rect">
                            <a:avLst/>
                          </a:prstGeom>
                          <a:noFill/>
                          <a:ln w="9525">
                            <a:noFill/>
                          </a:ln>
                        </pic:spPr>
                      </pic:pic>
                    </a:graphicData>
                  </a:graphic>
                </wp:inline>
              </w:drawing>
            </w:r>
          </w:p>
        </w:tc>
      </w:tr>
      <w:tr w14:paraId="1EC815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E74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57B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椅子</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BAC7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1、尺寸：常规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2、面料：采用1.0mm厚西皮,表面光泽度好、透气性强、柔软而富有韧性，所有面料包裹平整、牢固；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3、框架：采用优质橡木，经防潮、防腐、防虫等化学处理；甲醛释放量低于9.0mg/100g符合国家标准，含水率≤7.4%（防潮、防虫、防腐处理）。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4、海绵：采用高弹力定型海绵，密度：35-55度，拉伸强度为110kPa，伸长率为160%，回弹率为40%，75%压缩永久不变形率为5%。可防氧化、防碎，经过HD测试，不变形。</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A22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F63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A08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190500" cy="247650"/>
                  <wp:effectExtent l="0" t="0" r="0" b="0"/>
                  <wp:docPr id="200" name="图片 197"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图片 197" descr="IMG_300"/>
                          <pic:cNvPicPr>
                            <a:picLocks noChangeAspect="1"/>
                          </pic:cNvPicPr>
                        </pic:nvPicPr>
                        <pic:blipFill>
                          <a:blip r:embed="rId51"/>
                          <a:stretch>
                            <a:fillRect/>
                          </a:stretch>
                        </pic:blipFill>
                        <pic:spPr>
                          <a:xfrm>
                            <a:off x="0" y="0"/>
                            <a:ext cx="190500" cy="247650"/>
                          </a:xfrm>
                          <a:prstGeom prst="rect">
                            <a:avLst/>
                          </a:prstGeom>
                          <a:noFill/>
                          <a:ln w="9525">
                            <a:noFill/>
                          </a:ln>
                        </pic:spPr>
                      </pic:pic>
                    </a:graphicData>
                  </a:graphic>
                </wp:inline>
              </w:drawing>
            </w:r>
          </w:p>
        </w:tc>
      </w:tr>
      <w:tr w14:paraId="2A795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59F5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艺术教研组活动室</w:t>
            </w:r>
          </w:p>
        </w:tc>
      </w:tr>
      <w:tr w14:paraId="03AE9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AAC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1EC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椅子</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0E3D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420*420*780mm（木纹色）与桌颜色一致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全橡胶木实木椅，榫头连接、结构合理美观、牢固耐用，表面光滑，无毛刺；环保聚酯木器漆（清水漆、五底三面）</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046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366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03E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238125" cy="285750"/>
                  <wp:effectExtent l="0" t="0" r="9525" b="0"/>
                  <wp:docPr id="203" name="图片 198"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图片 198" descr="IMG_301"/>
                          <pic:cNvPicPr>
                            <a:picLocks noChangeAspect="1"/>
                          </pic:cNvPicPr>
                        </pic:nvPicPr>
                        <pic:blipFill>
                          <a:blip r:embed="rId46"/>
                          <a:stretch>
                            <a:fillRect/>
                          </a:stretch>
                        </pic:blipFill>
                        <pic:spPr>
                          <a:xfrm>
                            <a:off x="0" y="0"/>
                            <a:ext cx="238125" cy="285750"/>
                          </a:xfrm>
                          <a:prstGeom prst="rect">
                            <a:avLst/>
                          </a:prstGeom>
                          <a:noFill/>
                          <a:ln w="9525">
                            <a:noFill/>
                          </a:ln>
                        </pic:spPr>
                      </pic:pic>
                    </a:graphicData>
                  </a:graphic>
                </wp:inline>
              </w:drawing>
            </w:r>
          </w:p>
        </w:tc>
      </w:tr>
      <w:tr w14:paraId="1C5730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7A9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F21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椅子</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5ABE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1、尺寸：常规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2、面料：采用1.0mm厚西皮,表面光泽度好、透气性强、柔软而富有韧性，所有面料包裹平整、牢固；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3、框架：采用优质橡木，经防潮、防腐、防虫等化学处理；甲醛释放量低于9.0mg/100g符合国家标准，含水率≤7.4%（防潮、防虫、防腐处理）。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4、海绵：采用高弹力定型海绵，密度：35-55度，拉伸强度为110kPa，伸长率为160%，回弹率为40%，75%压缩永久不变形率为5%。可防氧化、防碎，经过HD测试，不变形。</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FBC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F5A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44D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219075" cy="285750"/>
                  <wp:effectExtent l="0" t="0" r="9525" b="0"/>
                  <wp:docPr id="204" name="图片 199"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图片 199" descr="IMG_302"/>
                          <pic:cNvPicPr>
                            <a:picLocks noChangeAspect="1"/>
                          </pic:cNvPicPr>
                        </pic:nvPicPr>
                        <pic:blipFill>
                          <a:blip r:embed="rId51"/>
                          <a:stretch>
                            <a:fillRect/>
                          </a:stretch>
                        </pic:blipFill>
                        <pic:spPr>
                          <a:xfrm>
                            <a:off x="0" y="0"/>
                            <a:ext cx="219075" cy="285750"/>
                          </a:xfrm>
                          <a:prstGeom prst="rect">
                            <a:avLst/>
                          </a:prstGeom>
                          <a:noFill/>
                          <a:ln w="9525">
                            <a:noFill/>
                          </a:ln>
                        </pic:spPr>
                      </pic:pic>
                    </a:graphicData>
                  </a:graphic>
                </wp:inline>
              </w:drawing>
            </w:r>
          </w:p>
        </w:tc>
      </w:tr>
      <w:tr w14:paraId="5945D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EE26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劳技（雕刻）教室</w:t>
            </w:r>
          </w:p>
        </w:tc>
      </w:tr>
      <w:tr w14:paraId="4313A9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41E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3C8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三人沙发</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1E64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沙发1+1+3；单人：92*93*77cm，三人：192*93*77cm；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1、西皮面材，柔软贴手，透气性好。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2、海绵：海绵密度：35-55度；内采用高弹力定型海绵，拉伸强度为110kPa，伸长率为160%，回弹率为40%，75%压缩永久不变形率为5%。可防氧化、防碎，经过HD测试，不变形。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3、框架：实木框架，经熏蒸处理，防霉、防虫。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4、底座：不锈钢钢架。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5、茶几尺寸：120*60*43cm。</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F4E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DD6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F720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561975" cy="285750"/>
                  <wp:effectExtent l="0" t="0" r="9525" b="0"/>
                  <wp:docPr id="205" name="图片 200" descr="IMG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图片 200" descr="IMG_303"/>
                          <pic:cNvPicPr>
                            <a:picLocks noChangeAspect="1"/>
                          </pic:cNvPicPr>
                        </pic:nvPicPr>
                        <pic:blipFill>
                          <a:blip r:embed="rId49"/>
                          <a:stretch>
                            <a:fillRect/>
                          </a:stretch>
                        </pic:blipFill>
                        <pic:spPr>
                          <a:xfrm>
                            <a:off x="0" y="0"/>
                            <a:ext cx="561975" cy="285750"/>
                          </a:xfrm>
                          <a:prstGeom prst="rect">
                            <a:avLst/>
                          </a:prstGeom>
                          <a:noFill/>
                          <a:ln w="9525">
                            <a:noFill/>
                          </a:ln>
                        </pic:spPr>
                      </pic:pic>
                    </a:graphicData>
                  </a:graphic>
                </wp:inline>
              </w:drawing>
            </w:r>
          </w:p>
        </w:tc>
      </w:tr>
      <w:tr w14:paraId="4B9FFA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8A6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469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茶几</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F1EB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680*480*530（胡桃色）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1、板材：基材：采用优质E1级环保密度板，板材厚度1.8CM；甲醛释放量低于9.0mg/100g符合国家标准，含水率≤7.4%（防潮、防虫、防腐处理）。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2、面材：贴面采用0.6mm胡桃木木皮。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3、油漆：油漆采用优质PU聚酯漆，底漆采用PE不饱和树脂漆，采用5底3面的油漆工艺；挥发性有机化合物（V0C）含量650/L,甲醛、二甲苯、乙苯含量总和16%，面漆，色泽均匀，主次分明，木纹清晰；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10、配件：采用优质五金件，作防锈、防腐处理，经久耐用。</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C77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284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46B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314325" cy="285750"/>
                  <wp:effectExtent l="0" t="0" r="9525" b="0"/>
                  <wp:docPr id="163" name="图片 201" descr="IMG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图片 201" descr="IMG_304"/>
                          <pic:cNvPicPr>
                            <a:picLocks noChangeAspect="1"/>
                          </pic:cNvPicPr>
                        </pic:nvPicPr>
                        <pic:blipFill>
                          <a:blip r:embed="rId45"/>
                          <a:stretch>
                            <a:fillRect/>
                          </a:stretch>
                        </pic:blipFill>
                        <pic:spPr>
                          <a:xfrm>
                            <a:off x="0" y="0"/>
                            <a:ext cx="314325" cy="285750"/>
                          </a:xfrm>
                          <a:prstGeom prst="rect">
                            <a:avLst/>
                          </a:prstGeom>
                          <a:noFill/>
                          <a:ln w="9525">
                            <a:noFill/>
                          </a:ln>
                        </pic:spPr>
                      </pic:pic>
                    </a:graphicData>
                  </a:graphic>
                </wp:inline>
              </w:drawing>
            </w:r>
          </w:p>
        </w:tc>
      </w:tr>
      <w:tr w14:paraId="6D9E04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8B0B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教师办公室补充</w:t>
            </w:r>
          </w:p>
        </w:tc>
      </w:tr>
      <w:tr w14:paraId="01C181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6F2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3AE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办公椅</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0D4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尺寸：常规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1.黑色全新料加纤背框，扪华宇透气网布；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2.黑色PP固定腰靠；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3.黑色PP连体连体扶手；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4.45高密度纯绵坐垫，扪华宇透气网布；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5.2.0mm厚度的A3钢材喷黑弓形架。</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296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037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5FF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209550" cy="276225"/>
                  <wp:effectExtent l="0" t="0" r="0" b="9525"/>
                  <wp:docPr id="167" name="图片 202" descr="IMG_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图片 202" descr="IMG_305"/>
                          <pic:cNvPicPr>
                            <a:picLocks noChangeAspect="1"/>
                          </pic:cNvPicPr>
                        </pic:nvPicPr>
                        <pic:blipFill>
                          <a:blip r:embed="rId31"/>
                          <a:stretch>
                            <a:fillRect/>
                          </a:stretch>
                        </pic:blipFill>
                        <pic:spPr>
                          <a:xfrm>
                            <a:off x="0" y="0"/>
                            <a:ext cx="209550" cy="276225"/>
                          </a:xfrm>
                          <a:prstGeom prst="rect">
                            <a:avLst/>
                          </a:prstGeom>
                          <a:noFill/>
                          <a:ln w="9525">
                            <a:noFill/>
                          </a:ln>
                        </pic:spPr>
                      </pic:pic>
                    </a:graphicData>
                  </a:graphic>
                </wp:inline>
              </w:drawing>
            </w:r>
          </w:p>
        </w:tc>
      </w:tr>
      <w:tr w14:paraId="4BABC2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099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568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茶水柜</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478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800*400*800（黑胡桃色）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1、板材：基材：采用优质E1级环保三聚氰胺板，板材厚度1.8CM；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2、配件：采用优质五金件，作防锈、防腐处理，经久耐用。</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B16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646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0AA6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381000" cy="276225"/>
                  <wp:effectExtent l="0" t="0" r="0" b="9525"/>
                  <wp:docPr id="157" name="图片 203" descr="IMG_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图片 203" descr="IMG_306"/>
                          <pic:cNvPicPr>
                            <a:picLocks noChangeAspect="1"/>
                          </pic:cNvPicPr>
                        </pic:nvPicPr>
                        <pic:blipFill>
                          <a:blip r:embed="rId50"/>
                          <a:stretch>
                            <a:fillRect/>
                          </a:stretch>
                        </pic:blipFill>
                        <pic:spPr>
                          <a:xfrm>
                            <a:off x="0" y="0"/>
                            <a:ext cx="381000" cy="276225"/>
                          </a:xfrm>
                          <a:prstGeom prst="rect">
                            <a:avLst/>
                          </a:prstGeom>
                          <a:noFill/>
                          <a:ln w="9525">
                            <a:noFill/>
                          </a:ln>
                        </pic:spPr>
                      </pic:pic>
                    </a:graphicData>
                  </a:graphic>
                </wp:inline>
              </w:drawing>
            </w:r>
          </w:p>
        </w:tc>
      </w:tr>
      <w:tr w14:paraId="70B148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9CA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27D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文件柜</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163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800W*400D*2000H（黑胡桃色）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1、基材：E0级刨花板，甲醛释放量≤5mg/100g。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2、贴面：优质耐磨三聚氢胺浸渍饰面。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3、封边：PVC封边条。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4、五金配件：采用优质五金配件</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74E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7FF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D084B">
            <w:pPr>
              <w:rPr>
                <w:rFonts w:hint="eastAsia" w:ascii="宋体" w:hAnsi="宋体" w:eastAsia="宋体" w:cs="宋体"/>
                <w:i w:val="0"/>
                <w:iCs w:val="0"/>
                <w:color w:val="000000"/>
                <w:sz w:val="20"/>
                <w:szCs w:val="20"/>
                <w:u w:val="none"/>
              </w:rPr>
            </w:pPr>
          </w:p>
        </w:tc>
      </w:tr>
      <w:tr w14:paraId="03A8F8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2C2588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普通教室</w:t>
            </w:r>
          </w:p>
        </w:tc>
      </w:tr>
      <w:tr w14:paraId="1CF750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C74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905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讲台</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1AA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(1).规格：1200*600*850MM；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(2).结构：讲台桌身主体及背板采用16mm厚优质三聚氰胺防潮双贴面板，所有外露板边都采用机器进行PVC热压平封边。桌面下设有储物空间，可容纳多种资料，中间隔开抽屉式设计。更贴心，收纳更方便。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(3).工艺：表面光滑无毛刺，不伤手，使用感更好。</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4A3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F3E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53F6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342900" cy="276225"/>
                  <wp:effectExtent l="0" t="0" r="0" b="9525"/>
                  <wp:docPr id="168" name="图片 204" descr="IMG_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图片 204" descr="IMG_307"/>
                          <pic:cNvPicPr>
                            <a:picLocks noChangeAspect="1"/>
                          </pic:cNvPicPr>
                        </pic:nvPicPr>
                        <pic:blipFill>
                          <a:blip r:embed="rId25"/>
                          <a:stretch>
                            <a:fillRect/>
                          </a:stretch>
                        </pic:blipFill>
                        <pic:spPr>
                          <a:xfrm>
                            <a:off x="0" y="0"/>
                            <a:ext cx="342900" cy="276225"/>
                          </a:xfrm>
                          <a:prstGeom prst="rect">
                            <a:avLst/>
                          </a:prstGeom>
                          <a:noFill/>
                          <a:ln w="9525">
                            <a:noFill/>
                          </a:ln>
                        </pic:spPr>
                      </pic:pic>
                    </a:graphicData>
                  </a:graphic>
                </wp:inline>
              </w:drawing>
            </w:r>
          </w:p>
        </w:tc>
      </w:tr>
      <w:tr w14:paraId="36BAF2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60D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839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时钟</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977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30cm，静音石英钟</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74B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8DB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B25D9">
            <w:pPr>
              <w:jc w:val="center"/>
              <w:rPr>
                <w:rFonts w:hint="eastAsia" w:ascii="宋体" w:hAnsi="宋体" w:eastAsia="宋体" w:cs="宋体"/>
                <w:i w:val="0"/>
                <w:iCs w:val="0"/>
                <w:color w:val="000000"/>
                <w:sz w:val="20"/>
                <w:szCs w:val="20"/>
                <w:u w:val="none"/>
              </w:rPr>
            </w:pPr>
          </w:p>
        </w:tc>
      </w:tr>
      <w:tr w14:paraId="57037D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DC84BE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男女生集体宿舍</w:t>
            </w:r>
          </w:p>
        </w:tc>
      </w:tr>
      <w:tr w14:paraId="377E40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A46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65C2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方木凳</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031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40*30*44cm，胡桃色全实木</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71E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96</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841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7624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323850" cy="276225"/>
                  <wp:effectExtent l="0" t="0" r="0" b="9525"/>
                  <wp:docPr id="172" name="图片 205" descr="IMG_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图片 205" descr="IMG_308"/>
                          <pic:cNvPicPr>
                            <a:picLocks noChangeAspect="1"/>
                          </pic:cNvPicPr>
                        </pic:nvPicPr>
                        <pic:blipFill>
                          <a:blip r:embed="rId52"/>
                          <a:stretch>
                            <a:fillRect/>
                          </a:stretch>
                        </pic:blipFill>
                        <pic:spPr>
                          <a:xfrm>
                            <a:off x="0" y="0"/>
                            <a:ext cx="323850" cy="276225"/>
                          </a:xfrm>
                          <a:prstGeom prst="rect">
                            <a:avLst/>
                          </a:prstGeom>
                          <a:noFill/>
                          <a:ln w="9525">
                            <a:noFill/>
                          </a:ln>
                        </pic:spPr>
                      </pic:pic>
                    </a:graphicData>
                  </a:graphic>
                </wp:inline>
              </w:drawing>
            </w:r>
          </w:p>
        </w:tc>
      </w:tr>
      <w:tr w14:paraId="1E9AE6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BC2D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会议室</w:t>
            </w:r>
          </w:p>
        </w:tc>
      </w:tr>
      <w:tr w14:paraId="0A5A6F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2EB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3809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椅子</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D7A3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420*420*780mm（木纹色），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全橡胶木实木椅，榫头连接、结构合理美观、牢固耐用，表面光滑，无毛刺；环保聚酯木器漆（清水漆、五底三面）</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DEA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42C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E7C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228600" cy="276225"/>
                  <wp:effectExtent l="0" t="0" r="0" b="9525"/>
                  <wp:docPr id="165" name="图片 206" descr="IMG_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图片 206" descr="IMG_309"/>
                          <pic:cNvPicPr>
                            <a:picLocks noChangeAspect="1"/>
                          </pic:cNvPicPr>
                        </pic:nvPicPr>
                        <pic:blipFill>
                          <a:blip r:embed="rId20"/>
                          <a:stretch>
                            <a:fillRect/>
                          </a:stretch>
                        </pic:blipFill>
                        <pic:spPr>
                          <a:xfrm>
                            <a:off x="0" y="0"/>
                            <a:ext cx="228600" cy="276225"/>
                          </a:xfrm>
                          <a:prstGeom prst="rect">
                            <a:avLst/>
                          </a:prstGeom>
                          <a:noFill/>
                          <a:ln w="9525">
                            <a:noFill/>
                          </a:ln>
                        </pic:spPr>
                      </pic:pic>
                    </a:graphicData>
                  </a:graphic>
                </wp:inline>
              </w:drawing>
            </w:r>
          </w:p>
        </w:tc>
      </w:tr>
      <w:tr w14:paraId="715301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E224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200人报告厅（3个）</w:t>
            </w:r>
          </w:p>
        </w:tc>
      </w:tr>
      <w:tr w14:paraId="7E2AA0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FE7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9ECE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椅子</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234C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1、尺寸：常规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2、面料：采用1.0mm厚西皮,表面光泽度好、透气性强、柔软而富有韧性，所有面料包裹平整、牢固；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3、框架：采用优质橡木，经防潮、防腐、防虫等化学处理；甲醛释放量低于9.0mg/100g符合国家标准，含水率≤7.4%（防潮、防虫、防腐处理）。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4、海绵：采用高弹力定型海绵，密度：35-55度，拉伸强度为110kPa，伸长率为160%，回弹率为40%，75%压缩永久不变形率为5%。可防氧化、防碎，经过HD测试，不变形。</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5C6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F1E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143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209550" cy="276225"/>
                  <wp:effectExtent l="0" t="0" r="0" b="9525"/>
                  <wp:docPr id="155" name="图片 207" descr="IMG_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207" descr="IMG_310"/>
                          <pic:cNvPicPr>
                            <a:picLocks noChangeAspect="1"/>
                          </pic:cNvPicPr>
                        </pic:nvPicPr>
                        <pic:blipFill>
                          <a:blip r:embed="rId51"/>
                          <a:stretch>
                            <a:fillRect/>
                          </a:stretch>
                        </pic:blipFill>
                        <pic:spPr>
                          <a:xfrm>
                            <a:off x="0" y="0"/>
                            <a:ext cx="209550" cy="276225"/>
                          </a:xfrm>
                          <a:prstGeom prst="rect">
                            <a:avLst/>
                          </a:prstGeom>
                          <a:noFill/>
                          <a:ln w="9525">
                            <a:noFill/>
                          </a:ln>
                        </pic:spPr>
                      </pic:pic>
                    </a:graphicData>
                  </a:graphic>
                </wp:inline>
              </w:drawing>
            </w:r>
          </w:p>
        </w:tc>
      </w:tr>
      <w:tr w14:paraId="6E4A1F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0B497">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集体备课室长条桌（实木原色）</w:t>
            </w:r>
          </w:p>
        </w:tc>
      </w:tr>
      <w:tr w14:paraId="4FF53C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A58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00FC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椅子</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AD04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420*420*780mm（木纹色）与桌颜色一致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全橡胶木实木椅，榫头连接、结构合理美观、牢固耐用，表面光滑，无毛刺；环保聚酯木器漆（清水漆、五底三面）</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ED9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FB2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20C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228600" cy="276225"/>
                  <wp:effectExtent l="0" t="0" r="0" b="9525"/>
                  <wp:docPr id="156" name="图片 208" descr="IMG_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208" descr="IMG_311"/>
                          <pic:cNvPicPr>
                            <a:picLocks noChangeAspect="1"/>
                          </pic:cNvPicPr>
                        </pic:nvPicPr>
                        <pic:blipFill>
                          <a:blip r:embed="rId20"/>
                          <a:stretch>
                            <a:fillRect/>
                          </a:stretch>
                        </pic:blipFill>
                        <pic:spPr>
                          <a:xfrm>
                            <a:off x="0" y="0"/>
                            <a:ext cx="228600" cy="276225"/>
                          </a:xfrm>
                          <a:prstGeom prst="rect">
                            <a:avLst/>
                          </a:prstGeom>
                          <a:noFill/>
                          <a:ln w="9525">
                            <a:noFill/>
                          </a:ln>
                        </pic:spPr>
                      </pic:pic>
                    </a:graphicData>
                  </a:graphic>
                </wp:inline>
              </w:drawing>
            </w:r>
          </w:p>
        </w:tc>
      </w:tr>
      <w:tr w14:paraId="537440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6551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年级管委会会议桌</w:t>
            </w:r>
          </w:p>
        </w:tc>
      </w:tr>
      <w:tr w14:paraId="7E5CB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9D1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BC3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椅子</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D332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1、尺寸：常规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2、面料：采用1.0mm厚西皮,表面光泽度好、透气性强、柔软而富有韧性，所有面料包裹平整、牢固；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3、框架：采用优质橡木，经防潮、防腐、防虫等化学处理；甲醛释放量低于9.0mg/100g符合国家标准，含水率≤7.4%（防潮、防虫、防腐处理）。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4、海绵：采用高弹力定型海绵，密度：35-55度，拉伸强度为110kPa，伸长率为160%，回弹率为40%，75%压缩永久不变形率为5%。可防氧化、防碎，经过HD测试，不变形。</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E72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04B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EC5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209550" cy="276225"/>
                  <wp:effectExtent l="0" t="0" r="0" b="9525"/>
                  <wp:docPr id="171" name="图片 209" descr="IMG_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图片 209" descr="IMG_312"/>
                          <pic:cNvPicPr>
                            <a:picLocks noChangeAspect="1"/>
                          </pic:cNvPicPr>
                        </pic:nvPicPr>
                        <pic:blipFill>
                          <a:blip r:embed="rId51"/>
                          <a:stretch>
                            <a:fillRect/>
                          </a:stretch>
                        </pic:blipFill>
                        <pic:spPr>
                          <a:xfrm>
                            <a:off x="0" y="0"/>
                            <a:ext cx="209550" cy="276225"/>
                          </a:xfrm>
                          <a:prstGeom prst="rect">
                            <a:avLst/>
                          </a:prstGeom>
                          <a:noFill/>
                          <a:ln w="9525">
                            <a:noFill/>
                          </a:ln>
                        </pic:spPr>
                      </pic:pic>
                    </a:graphicData>
                  </a:graphic>
                </wp:inline>
              </w:drawing>
            </w:r>
          </w:p>
        </w:tc>
      </w:tr>
      <w:tr w14:paraId="5F06A0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355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3AA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椅子</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C5BE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420*420*780mm（木纹色）与桌颜色一致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全橡胶木实木椅，榫头连接、结构合理美观、牢固耐用，表面光滑，无毛刺；环保聚酯木器漆（清水漆、五底三面）</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779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A4A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382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228600" cy="276225"/>
                  <wp:effectExtent l="0" t="0" r="0" b="9525"/>
                  <wp:docPr id="166" name="图片 210" descr="IMG_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图片 210" descr="IMG_313"/>
                          <pic:cNvPicPr>
                            <a:picLocks noChangeAspect="1"/>
                          </pic:cNvPicPr>
                        </pic:nvPicPr>
                        <pic:blipFill>
                          <a:blip r:embed="rId20"/>
                          <a:stretch>
                            <a:fillRect/>
                          </a:stretch>
                        </pic:blipFill>
                        <pic:spPr>
                          <a:xfrm>
                            <a:off x="0" y="0"/>
                            <a:ext cx="228600" cy="276225"/>
                          </a:xfrm>
                          <a:prstGeom prst="rect">
                            <a:avLst/>
                          </a:prstGeom>
                          <a:noFill/>
                          <a:ln w="9525">
                            <a:noFill/>
                          </a:ln>
                        </pic:spPr>
                      </pic:pic>
                    </a:graphicData>
                  </a:graphic>
                </wp:inline>
              </w:drawing>
            </w:r>
          </w:p>
        </w:tc>
      </w:tr>
      <w:tr w14:paraId="268162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D2E38">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广播活动室</w:t>
            </w:r>
          </w:p>
        </w:tc>
      </w:tr>
      <w:tr w14:paraId="4FFC99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2DE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30A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方木凳</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5C2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40*30*44cm，胡桃色全实木</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01C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104</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6B6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A735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323850" cy="276225"/>
                  <wp:effectExtent l="0" t="0" r="0" b="9525"/>
                  <wp:docPr id="159" name="图片 211" descr="IMG_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图片 211" descr="IMG_314"/>
                          <pic:cNvPicPr>
                            <a:picLocks noChangeAspect="1"/>
                          </pic:cNvPicPr>
                        </pic:nvPicPr>
                        <pic:blipFill>
                          <a:blip r:embed="rId52"/>
                          <a:stretch>
                            <a:fillRect/>
                          </a:stretch>
                        </pic:blipFill>
                        <pic:spPr>
                          <a:xfrm>
                            <a:off x="0" y="0"/>
                            <a:ext cx="323850" cy="276225"/>
                          </a:xfrm>
                          <a:prstGeom prst="rect">
                            <a:avLst/>
                          </a:prstGeom>
                          <a:noFill/>
                          <a:ln w="9525">
                            <a:noFill/>
                          </a:ln>
                        </pic:spPr>
                      </pic:pic>
                    </a:graphicData>
                  </a:graphic>
                </wp:inline>
              </w:drawing>
            </w:r>
          </w:p>
        </w:tc>
      </w:tr>
      <w:tr w14:paraId="62C99A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3B7C94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档案室</w:t>
            </w:r>
          </w:p>
        </w:tc>
      </w:tr>
      <w:tr w14:paraId="7E319F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B5C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bookmarkStart w:id="89" w:name="_GoBack" w:colFirst="0" w:colLast="2"/>
            <w:r>
              <w:rPr>
                <w:rFonts w:hint="eastAsia" w:ascii="宋体" w:hAnsi="宋体" w:eastAsia="宋体" w:cs="宋体"/>
                <w:i w:val="0"/>
                <w:iCs w:val="0"/>
                <w:color w:val="000000"/>
                <w:kern w:val="0"/>
                <w:sz w:val="20"/>
                <w:szCs w:val="20"/>
                <w:u w:val="none"/>
                <w:lang w:val="en-US" w:eastAsia="zh-CN" w:bidi="ar"/>
              </w:rPr>
              <w:t>1</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D6FE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保密文件柜（通门内四板）</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B9E4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1850*900*430，内四活板</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093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88A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420BB">
            <w:pPr>
              <w:rPr>
                <w:rFonts w:hint="eastAsia" w:ascii="宋体" w:hAnsi="宋体" w:eastAsia="宋体" w:cs="宋体"/>
                <w:i w:val="0"/>
                <w:iCs w:val="0"/>
                <w:color w:val="000000"/>
                <w:sz w:val="20"/>
                <w:szCs w:val="20"/>
                <w:u w:val="none"/>
              </w:rPr>
            </w:pPr>
          </w:p>
        </w:tc>
      </w:tr>
      <w:tr w14:paraId="0BADD5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2F1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6EE6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文件柜</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3DFE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1、基材：采用E0级环保优质三聚氰胺板，含水率≤9%，经防潮、防虫、防腐处理，抗弯力强，不易变形；                                              顶板、层板、25板；门板、立板、背板16板   常规尺寸800*400*2000CM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2、封边：2mm厚PVC封边。采用高温封边热溶胶，经全自动封边机热压与板材粘连无丝无缝，在不同地区气温、湿度的变化中不受影响，能长期不变形、不开裂；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3、封边胶：采用高温封边热溶胶，热稳定好，抗高低温性能好；4、贴面胶：采用环保胶水，符合国际E0级环保标准；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5、五金配件：边框采用优质铝合金；"BMB五金配件，所有五金件作防锈、防腐处理；</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9CA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82E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DE35E">
            <w:pPr>
              <w:rPr>
                <w:rFonts w:hint="eastAsia" w:ascii="宋体" w:hAnsi="宋体" w:eastAsia="宋体" w:cs="宋体"/>
                <w:i w:val="0"/>
                <w:iCs w:val="0"/>
                <w:color w:val="000000"/>
                <w:sz w:val="20"/>
                <w:szCs w:val="20"/>
                <w:u w:val="none"/>
              </w:rPr>
            </w:pPr>
          </w:p>
        </w:tc>
      </w:tr>
      <w:bookmarkEnd w:id="89"/>
      <w:tr w14:paraId="5496D9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1DF7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课程基地办公室</w:t>
            </w:r>
          </w:p>
        </w:tc>
      </w:tr>
      <w:tr w14:paraId="219066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01E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83F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工作椅</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60BE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椅面采用工程塑料人体工学设计，耐用环保，椅脚采用圆钢脚，舒适稳固。</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F53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12C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47A8C">
            <w:pPr>
              <w:jc w:val="center"/>
              <w:rPr>
                <w:rFonts w:hint="eastAsia" w:ascii="宋体" w:hAnsi="宋体" w:eastAsia="宋体" w:cs="宋体"/>
                <w:i w:val="0"/>
                <w:iCs w:val="0"/>
                <w:color w:val="000000"/>
                <w:sz w:val="18"/>
                <w:szCs w:val="18"/>
                <w:u w:val="none"/>
              </w:rPr>
            </w:pPr>
          </w:p>
        </w:tc>
      </w:tr>
      <w:tr w14:paraId="640463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0B0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D60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展示柜</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55687">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1、贴面板材：可弯曲防火板，厚度为≥0.8mm,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基材：板材均为优质多层板，经过防虫、防腐等化学处理，持久不变形，甲醛释放量≤0.02mg/m3；表面耐磨，磨耗值≤59mg/100r，表面耐香烟灼烧，达到4级或以上，表面耐干热，达到4级或以上。顶板≥25mm厚，侧板背板≥16mm厚，门板≥16mm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3.PVC封边条：选用优质PVC封边条，耐开裂性（耐龟裂性）≥2级，耐光色牢度（灰色样卡）≥4级，甲醛释放量：≤1.5mg/L，氯乙烯单体≤0.2mg/kg，多溴联苯禁用。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4、封边胶：采用高温封边热溶胶，热稳定好，抗高低温性能好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5、采用优质五金配件。所有五金件作防锈、防腐处理。</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5FC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172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F58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1700*400*2400</w:t>
            </w:r>
          </w:p>
        </w:tc>
      </w:tr>
      <w:tr w14:paraId="2D9B68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424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200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置物架</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top"/>
          </w:tcPr>
          <w:p w14:paraId="5B78F8A1">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框架结构。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1.框架：采用≥1.0mm厚镀锌钢板裁剪折弯后满焊点焊接，表面经EPOXY喷涂处理，连接件采用不锈钢连接件。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2.调整脚：采用ABS新料模具一体成型的承重型可调节地脚，螺丝SUS不锈钢材质。</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FE5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AB3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7E7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2720*400*2000</w:t>
            </w:r>
          </w:p>
        </w:tc>
      </w:tr>
      <w:tr w14:paraId="30D90B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6C3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0C0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资料柜</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4568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1.铝木结构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铝框架结构，立柱采用一体成型带凹槽铝合金模具框架，表面经酸砂处理后喷塑，橱体基材采用16㎜厚E1级三聚氰胺板，其截面用2㎜厚PVC封边条机械高温热熔胶封边，嵌在铝合金凹槽内，具有粘力强、密封性好，牢固、美观、耐用的特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3.耐腐蚀连接件：采用专用连接组装件；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4.脚垫：采用特制模具优质注塑脚垫，高度为2.5cm，高度可调，可有效防潮。</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533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E50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EB5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1000*500*2000</w:t>
            </w:r>
          </w:p>
        </w:tc>
      </w:tr>
      <w:tr w14:paraId="21214A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D5F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B7A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组合沙发</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AC19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1、面料：优质仿皮，光泽度好，透气性强，柔软且富韧性，色彩亮丽持久。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2、内材：实木内架，靠背、座垫采用高密度泡棉及超弹力海棉，软硬适中，不变形，回弹性好，抗疲劳能力强，坐感舒适。</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76A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775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CC2C8">
            <w:pPr>
              <w:jc w:val="center"/>
              <w:rPr>
                <w:rFonts w:hint="eastAsia" w:ascii="宋体" w:hAnsi="宋体" w:eastAsia="宋体" w:cs="宋体"/>
                <w:i w:val="0"/>
                <w:iCs w:val="0"/>
                <w:color w:val="000000"/>
                <w:sz w:val="18"/>
                <w:szCs w:val="18"/>
                <w:u w:val="none"/>
              </w:rPr>
            </w:pPr>
          </w:p>
        </w:tc>
      </w:tr>
      <w:tr w14:paraId="131459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78E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57D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圆茶几</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top"/>
          </w:tcPr>
          <w:p w14:paraId="354D8C07">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￠550*600H±10mm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几面：18MM进口肤感膜压茶几面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架子：60中柱+450实心圆盘的，白色涂装</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2E3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A49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E87C5">
            <w:pPr>
              <w:jc w:val="center"/>
              <w:rPr>
                <w:rFonts w:hint="eastAsia" w:ascii="宋体" w:hAnsi="宋体" w:eastAsia="宋体" w:cs="宋体"/>
                <w:i w:val="0"/>
                <w:iCs w:val="0"/>
                <w:color w:val="000000"/>
                <w:sz w:val="18"/>
                <w:szCs w:val="18"/>
                <w:u w:val="none"/>
              </w:rPr>
            </w:pPr>
          </w:p>
        </w:tc>
      </w:tr>
      <w:tr w14:paraId="476722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397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D81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讨论沙发</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top"/>
          </w:tcPr>
          <w:p w14:paraId="5EAA28E5">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540W*600D*750H±10mm坐高450±10mm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面料：PU皮饰面；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框架：俄罗斯进口落叶松实木与结合多层板；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海绵：采用不添加石灰粉的高密度高回弹切棉；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五金：12厘实心电镀钢架</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F81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493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3A0A7">
            <w:pPr>
              <w:jc w:val="center"/>
              <w:rPr>
                <w:rFonts w:hint="eastAsia" w:ascii="宋体" w:hAnsi="宋体" w:eastAsia="宋体" w:cs="宋体"/>
                <w:i w:val="0"/>
                <w:iCs w:val="0"/>
                <w:color w:val="000000"/>
                <w:sz w:val="18"/>
                <w:szCs w:val="18"/>
                <w:u w:val="none"/>
              </w:rPr>
            </w:pPr>
          </w:p>
        </w:tc>
      </w:tr>
      <w:tr w14:paraId="411986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9DEB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11</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86A1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水台</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top"/>
          </w:tcPr>
          <w:p w14:paraId="50AFC38F">
            <w:pPr>
              <w:keepNext w:val="0"/>
              <w:keepLines w:val="0"/>
              <w:widowControl/>
              <w:numPr>
                <w:ilvl w:val="0"/>
                <w:numId w:val="0"/>
              </w:numPr>
              <w:suppressLineNumbers w:val="0"/>
              <w:jc w:val="left"/>
              <w:textAlignment w:val="top"/>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lang w:val="en-US" w:eastAsia="zh-CN" w:bidi="ar"/>
              </w:rPr>
              <w:t>1.</w:t>
            </w:r>
            <w:r>
              <w:rPr>
                <w:rFonts w:hint="eastAsia" w:ascii="宋体" w:hAnsi="宋体" w:eastAsia="宋体" w:cs="宋体"/>
                <w:i w:val="0"/>
                <w:iCs w:val="0"/>
                <w:color w:val="000000"/>
                <w:kern w:val="0"/>
                <w:sz w:val="18"/>
                <w:szCs w:val="18"/>
                <w:highlight w:val="none"/>
                <w:u w:val="none"/>
                <w:lang w:val="en-US" w:eastAsia="zh-CN" w:bidi="ar"/>
              </w:rPr>
              <w:t>台面：采用人造大理石。</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基材：板材均为多层板，经过防虫、防腐等化学处理，持久不变形，静曲强度：≥29Mpa，弹性模量：≥3000Mpa，内结合强度：≥0.43Mpa，24h吸水厚度膨胀率≤4.7%，含水率≤8.7%，表面胶合结合强度≥2.0MPa，甲醛释放量≤0.02mg/m3；表面耐磨，磨耗值≤59mg/100r，表面耐香烟灼烧，达到4级或以上，表面耐干热，达到4级或以上；顶板≥25mm厚，侧板背板、门板≥16mm厚。</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3、PVC封边条：选用优质PVC封边条，耐开裂性（耐龟裂性）≥2级，耐光色牢度（灰色样卡）≥4级，甲醛释放量：≤1.5mg/L，氯乙烯单体≤0.2mg/kg。</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4、封边胶：采用高温封边热溶胶，热稳定好，抗高低温性能好；</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5、配套五金配件。所有五金件作防锈、防腐处理。</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6、配套水槽水龙头。</w:t>
            </w:r>
          </w:p>
          <w:p w14:paraId="11ABF910">
            <w:pPr>
              <w:keepNext w:val="0"/>
              <w:keepLines w:val="0"/>
              <w:widowControl/>
              <w:numPr>
                <w:ilvl w:val="0"/>
                <w:numId w:val="0"/>
              </w:numPr>
              <w:suppressLineNumbers w:val="0"/>
              <w:jc w:val="left"/>
              <w:textAlignment w:val="top"/>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cs="宋体"/>
                <w:i w:val="0"/>
                <w:iCs w:val="0"/>
                <w:color w:val="000000"/>
                <w:kern w:val="0"/>
                <w:sz w:val="18"/>
                <w:szCs w:val="18"/>
                <w:highlight w:val="none"/>
                <w:u w:val="none"/>
                <w:lang w:val="en-US" w:eastAsia="zh-CN" w:bidi="ar"/>
              </w:rPr>
              <w:t>7、尺寸1200*600*750mm</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480E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1B7D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61F0F">
            <w:pPr>
              <w:jc w:val="center"/>
              <w:rPr>
                <w:rFonts w:hint="eastAsia" w:ascii="宋体" w:hAnsi="宋体" w:eastAsia="宋体" w:cs="宋体"/>
                <w:i w:val="0"/>
                <w:iCs w:val="0"/>
                <w:color w:val="000000"/>
                <w:sz w:val="18"/>
                <w:szCs w:val="18"/>
                <w:highlight w:val="yellow"/>
                <w:u w:val="none"/>
              </w:rPr>
            </w:pPr>
          </w:p>
        </w:tc>
      </w:tr>
      <w:tr w14:paraId="566A5E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68D1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教师研讨室</w:t>
            </w:r>
          </w:p>
        </w:tc>
      </w:tr>
      <w:tr w14:paraId="1F10A8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19C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331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会议椅</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2322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1、靠背：PA+GF材质，后面带银色装饰条，带腰靠，腰靠采用亚克力材质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2、海绵：40密度原棉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3、扶手：尼龙固定扶手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4、底座：底布采用衬布，无粉化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5、弓形架：25管2.0厚套1.5厚套管，表面喷黑处理，称重300KG</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AD3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76A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011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640*600*955</w:t>
            </w:r>
          </w:p>
        </w:tc>
      </w:tr>
      <w:tr w14:paraId="58F8AE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930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E23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打印台</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top"/>
          </w:tcPr>
          <w:p w14:paraId="08FA0129">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1、贴面板材：可弯曲防火板，厚度为0.8mm,。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基材：板材均为多层板，经过防虫、防腐等化学处理，持久不变形，静曲强度：≥29Mpa，弹性模量：≥3000Mpa，内结合强度：≥0.43Mpa，24h吸水厚度膨胀率≤4.7%，含水率≤8.7%，表面胶合结合强度≥2.0MPa，甲醛释放量≤0.02mg/m3；表面耐磨，磨耗值≤59mg/100r，表面耐香烟灼烧，达到4级或以上，表面耐干热，达到4级或以上；顶板≥25mm厚，侧板背板、门板≥16mm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3、PVC封边条：选用优质PVC封边条，耐开裂性（耐龟裂性）≥2级，耐光色牢度（灰色样卡）≥4级，甲醛释放量：≤1.5mg/L，氯乙烯单体≤0.2mg/kg。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4、封边胶：采用高温封边热溶胶，热稳定好，抗高低温性能好；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5、配套五金配件。所有五金件作防锈、防腐处理。</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E12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5BB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B7F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3000*600*800</w:t>
            </w:r>
          </w:p>
        </w:tc>
      </w:tr>
      <w:tr w14:paraId="48F302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678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345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工作椅</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1BB9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椅面采用工程塑料人体工学设计，耐用环保，椅脚采用圆钢脚，舒适稳固。</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826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463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93615">
            <w:pPr>
              <w:jc w:val="center"/>
              <w:rPr>
                <w:rFonts w:hint="eastAsia" w:ascii="宋体" w:hAnsi="宋体" w:eastAsia="宋体" w:cs="宋体"/>
                <w:i w:val="0"/>
                <w:iCs w:val="0"/>
                <w:color w:val="000000"/>
                <w:sz w:val="18"/>
                <w:szCs w:val="18"/>
                <w:u w:val="none"/>
              </w:rPr>
            </w:pPr>
          </w:p>
        </w:tc>
      </w:tr>
      <w:tr w14:paraId="5AE353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47F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D6C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资料柜</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68F4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1.铝木结构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铝框架结构，立柱采用一体成型带凹槽铝合金模具框架，表面经酸砂处理后喷塑，橱体基材采用16㎜厚E1级三聚氰胺板，其截面用2㎜厚PVC封边条机械高温热熔胶封边，嵌在铝合金凹槽内，具有粘力强、密封性好，牢固、美观、耐用的特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3.耐腐蚀连接件：采用专用连接组装件；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4.脚垫：采用特制模具优质注塑脚垫，高度为2.5cm，高度可调，可有效防潮。</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C55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1AA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27B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1000*500*2000</w:t>
            </w:r>
          </w:p>
        </w:tc>
      </w:tr>
      <w:tr w14:paraId="08951D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7E7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498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三人位沙发</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D66B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1、面料：优质仿皮，光泽度好，透气性强，柔软且富韧性，色彩亮丽持久。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2、内材：实木内架，靠背、座垫采用高密度泡棉及超弹力海棉，软硬适中，不变形，回弹性好，抗疲劳能力强，坐感舒适。</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CB8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A19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51A84">
            <w:pPr>
              <w:jc w:val="center"/>
              <w:rPr>
                <w:rFonts w:hint="eastAsia" w:ascii="宋体" w:hAnsi="宋体" w:eastAsia="宋体" w:cs="宋体"/>
                <w:i w:val="0"/>
                <w:iCs w:val="0"/>
                <w:color w:val="000000"/>
                <w:sz w:val="18"/>
                <w:szCs w:val="18"/>
                <w:u w:val="none"/>
              </w:rPr>
            </w:pPr>
          </w:p>
        </w:tc>
      </w:tr>
      <w:tr w14:paraId="530B34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11F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D65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单人沙发</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555F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1、面料：优质仿皮，光泽度好，透气性强，柔软且富韧性，色彩亮丽持久。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2、内材：实木内架，靠背、座垫采用高密度泡棉及超弹力海棉，软硬适中，不变形，回弹性好，抗疲劳能力强，坐感舒适。</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A3D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FF5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50E70">
            <w:pPr>
              <w:jc w:val="center"/>
              <w:rPr>
                <w:rFonts w:hint="eastAsia" w:ascii="宋体" w:hAnsi="宋体" w:eastAsia="宋体" w:cs="宋体"/>
                <w:i w:val="0"/>
                <w:iCs w:val="0"/>
                <w:color w:val="000000"/>
                <w:sz w:val="18"/>
                <w:szCs w:val="18"/>
                <w:u w:val="none"/>
              </w:rPr>
            </w:pPr>
          </w:p>
        </w:tc>
      </w:tr>
      <w:tr w14:paraId="7CAE84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6E2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403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茶几</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top"/>
          </w:tcPr>
          <w:p w14:paraId="0753365C">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1.材质：颗粒板+钢架；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2.工艺：桌面采用国家标准E1级板，厚度25mm,基材采用优质颗粒板，面贴优质三聚氰胺纸，PVC直封边制作，桌架采用优质钢架采用满焊焊接而成，表面采用高温粉体烤漆，耐腐蚀，不易生锈。</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C9C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AC9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F1D5C">
            <w:pPr>
              <w:jc w:val="center"/>
              <w:rPr>
                <w:rFonts w:hint="eastAsia" w:ascii="宋体" w:hAnsi="宋体" w:eastAsia="宋体" w:cs="宋体"/>
                <w:i w:val="0"/>
                <w:iCs w:val="0"/>
                <w:color w:val="000000"/>
                <w:sz w:val="18"/>
                <w:szCs w:val="18"/>
                <w:u w:val="none"/>
              </w:rPr>
            </w:pPr>
          </w:p>
        </w:tc>
      </w:tr>
      <w:tr w14:paraId="59CA8A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283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7F0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储存矮柜</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498DE">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1、贴面板材：可弯曲防火板，厚度为≥0.8mm,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基材：板材均为优质多层板，经过防虫、防腐等化学处理，持久不变形，甲醛释放量≤0.02mg/m3；表面耐磨，磨耗值≤59mg/100r，表面耐香烟灼烧，达到4级或以上，表面耐干热，达到4级或以上。顶板≥25mm厚，侧板背板≥16mm厚，门板≥16mm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3.PVC封边条：选用优质PVC封边条，耐开裂性（耐龟裂性）≥2级，耐光色牢度（灰色样卡）≥4级，甲醛释放量：≤1.5mg/L，氯乙烯单体≤0.2mg/kg，多溴联苯禁用。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4、封边胶：采用高温封边热溶胶，热稳定好，抗高低温性能好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5、采用优质五金配件。所有五金件作防锈、防腐处理。</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94B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949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FC2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1825*400*800</w:t>
            </w:r>
          </w:p>
        </w:tc>
      </w:tr>
      <w:tr w14:paraId="0DDEB4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2C6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361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通用款移动支架</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21EF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灰黑色，钢制支架，包含万向轮，适用于不同尺寸设备移动安装，不支持98吋</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54D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B28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副</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AF65D">
            <w:pPr>
              <w:jc w:val="center"/>
              <w:rPr>
                <w:rFonts w:hint="eastAsia" w:ascii="宋体" w:hAnsi="宋体" w:eastAsia="宋体" w:cs="宋体"/>
                <w:i w:val="0"/>
                <w:iCs w:val="0"/>
                <w:color w:val="000000"/>
                <w:sz w:val="18"/>
                <w:szCs w:val="18"/>
                <w:u w:val="none"/>
              </w:rPr>
            </w:pPr>
          </w:p>
        </w:tc>
      </w:tr>
      <w:tr w14:paraId="7A8D6A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05BB37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科创班教室</w:t>
            </w:r>
          </w:p>
        </w:tc>
      </w:tr>
      <w:tr w14:paraId="72F317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326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CFE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办公椅</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103C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尺寸：常规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1.黑色全新料加纤背框，扪华宇透气网布；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2.黑色PP固定腰靠；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3.黑色PP连体连体扶手；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4.45高密度纯绵坐垫，扪华宇透气网布；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5.2.0mm厚度的A3钢材喷黑弓形架。</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416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C24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1080" w:type="dxa"/>
            <w:tcBorders>
              <w:top w:val="single" w:color="000000" w:sz="4" w:space="0"/>
              <w:left w:val="nil"/>
              <w:bottom w:val="single" w:color="000000" w:sz="4" w:space="0"/>
              <w:right w:val="single" w:color="000000" w:sz="4" w:space="0"/>
            </w:tcBorders>
            <w:shd w:val="clear" w:color="auto" w:fill="auto"/>
            <w:vAlign w:val="center"/>
          </w:tcPr>
          <w:p w14:paraId="793239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190500" cy="247650"/>
                  <wp:effectExtent l="0" t="0" r="0" b="0"/>
                  <wp:docPr id="169" name="图片 212" descr="IMG_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图片 212" descr="IMG_315"/>
                          <pic:cNvPicPr>
                            <a:picLocks noChangeAspect="1"/>
                          </pic:cNvPicPr>
                        </pic:nvPicPr>
                        <pic:blipFill>
                          <a:blip r:embed="rId31"/>
                          <a:stretch>
                            <a:fillRect/>
                          </a:stretch>
                        </pic:blipFill>
                        <pic:spPr>
                          <a:xfrm>
                            <a:off x="0" y="0"/>
                            <a:ext cx="190500" cy="247650"/>
                          </a:xfrm>
                          <a:prstGeom prst="rect">
                            <a:avLst/>
                          </a:prstGeom>
                          <a:noFill/>
                          <a:ln w="9525">
                            <a:noFill/>
                          </a:ln>
                        </pic:spPr>
                      </pic:pic>
                    </a:graphicData>
                  </a:graphic>
                </wp:inline>
              </w:drawing>
            </w:r>
          </w:p>
        </w:tc>
      </w:tr>
      <w:tr w14:paraId="1CDC9E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29B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7A3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木地板</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1A3D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尺寸：常规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颜色：原木色，木纹纹理清晰自然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环保等级：E0级防水耐磨地板，甲醛释放量符合国家标准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耐磨转数≥9000转，具有优异的防水、防潮性能</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99D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631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080" w:type="dxa"/>
            <w:tcBorders>
              <w:top w:val="single" w:color="000000" w:sz="4" w:space="0"/>
              <w:left w:val="nil"/>
              <w:bottom w:val="single" w:color="000000" w:sz="4" w:space="0"/>
              <w:right w:val="single" w:color="000000" w:sz="4" w:space="0"/>
            </w:tcBorders>
            <w:shd w:val="clear" w:color="auto" w:fill="auto"/>
            <w:vAlign w:val="center"/>
          </w:tcPr>
          <w:p w14:paraId="1CFD15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381000" cy="247650"/>
                  <wp:effectExtent l="0" t="0" r="0" b="0"/>
                  <wp:docPr id="158" name="图片 213" descr="IMG_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图片 213" descr="IMG_316"/>
                          <pic:cNvPicPr>
                            <a:picLocks noChangeAspect="1"/>
                          </pic:cNvPicPr>
                        </pic:nvPicPr>
                        <pic:blipFill>
                          <a:blip r:embed="rId53"/>
                          <a:stretch>
                            <a:fillRect/>
                          </a:stretch>
                        </pic:blipFill>
                        <pic:spPr>
                          <a:xfrm>
                            <a:off x="0" y="0"/>
                            <a:ext cx="381000" cy="247650"/>
                          </a:xfrm>
                          <a:prstGeom prst="rect">
                            <a:avLst/>
                          </a:prstGeom>
                          <a:noFill/>
                          <a:ln w="9525">
                            <a:noFill/>
                          </a:ln>
                        </pic:spPr>
                      </pic:pic>
                    </a:graphicData>
                  </a:graphic>
                </wp:inline>
              </w:drawing>
            </w:r>
          </w:p>
        </w:tc>
      </w:tr>
      <w:tr w14:paraId="6CE739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B27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188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图书架（组）</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99A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书架尺寸不小于800×300×1800mm，环保等级：E1级双贴面三聚氰胺板，甲醛释放量符合国家标准。封边工艺：全自动封边机封边处理，0.8-1mm内嵌封边条，1.5-2mm外露封边条。 实木材质：层板和背板为15mm及以上全实木/橡胶木，外框18mm及以上橡胶木。</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BA5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BA1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w:t>
            </w:r>
          </w:p>
        </w:tc>
        <w:tc>
          <w:tcPr>
            <w:tcW w:w="1080" w:type="dxa"/>
            <w:tcBorders>
              <w:top w:val="single" w:color="000000" w:sz="4" w:space="0"/>
              <w:left w:val="nil"/>
              <w:bottom w:val="single" w:color="000000" w:sz="4" w:space="0"/>
              <w:right w:val="single" w:color="000000" w:sz="4" w:space="0"/>
            </w:tcBorders>
            <w:shd w:val="clear" w:color="auto" w:fill="auto"/>
            <w:vAlign w:val="center"/>
          </w:tcPr>
          <w:p w14:paraId="4B6B02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133350" cy="247650"/>
                  <wp:effectExtent l="0" t="0" r="0" b="0"/>
                  <wp:docPr id="170" name="图片 214" descr="IMG_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图片 214" descr="IMG_317"/>
                          <pic:cNvPicPr>
                            <a:picLocks noChangeAspect="1"/>
                          </pic:cNvPicPr>
                        </pic:nvPicPr>
                        <pic:blipFill>
                          <a:blip r:embed="rId37"/>
                          <a:stretch>
                            <a:fillRect/>
                          </a:stretch>
                        </pic:blipFill>
                        <pic:spPr>
                          <a:xfrm>
                            <a:off x="0" y="0"/>
                            <a:ext cx="133350" cy="247650"/>
                          </a:xfrm>
                          <a:prstGeom prst="rect">
                            <a:avLst/>
                          </a:prstGeom>
                          <a:noFill/>
                          <a:ln w="9525">
                            <a:noFill/>
                          </a:ln>
                        </pic:spPr>
                      </pic:pic>
                    </a:graphicData>
                  </a:graphic>
                </wp:inline>
              </w:drawing>
            </w:r>
          </w:p>
        </w:tc>
      </w:tr>
      <w:tr w14:paraId="765175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B8C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79C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储物柜</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183D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心理咨询室储物柜尺寸不小于1800×550×500mm，需采用E0级环保板材和带锁设计确保隐私安全。板材要求：E0级优质饰面胶合板，甲醛释放量符合GB/T 39600-2021标准。</w:t>
            </w:r>
            <w:r>
              <w:rPr>
                <w:rFonts w:hint="eastAsia" w:ascii="宋体" w:hAnsi="宋体" w:eastAsia="宋体" w:cs="宋体"/>
                <w:i w:val="0"/>
                <w:iCs w:val="0"/>
                <w:color w:val="000000"/>
                <w:kern w:val="0"/>
                <w:sz w:val="20"/>
                <w:szCs w:val="20"/>
                <w:u w:val="none"/>
                <w:lang w:val="en-US" w:eastAsia="zh-CN" w:bidi="ar"/>
              </w:rPr>
              <w:br w:type="textWrapping"/>
            </w:r>
            <w:r>
              <w:rPr>
                <w:rStyle w:val="217"/>
                <w:rFonts w:eastAsia="宋体"/>
                <w:lang w:val="en-US" w:eastAsia="zh-CN" w:bidi="ar"/>
              </w:rPr>
              <w:t>​</w:t>
            </w:r>
            <w:r>
              <w:rPr>
                <w:rFonts w:hint="eastAsia" w:ascii="宋体" w:hAnsi="宋体" w:eastAsia="宋体" w:cs="宋体"/>
                <w:i w:val="0"/>
                <w:iCs w:val="0"/>
                <w:color w:val="000000"/>
                <w:kern w:val="0"/>
                <w:sz w:val="20"/>
                <w:szCs w:val="20"/>
                <w:u w:val="none"/>
                <w:lang w:val="en-US" w:eastAsia="zh-CN" w:bidi="ar"/>
              </w:rPr>
              <w:t>板厚规格：顶板25mm，其余16mm，桌面板厚度不小于25mm。 封边工艺：2mm厚PVC封边条，高温热熔胶全自动封边机封边。五金配件：杯状暗缓冲不锈钢铰链，螺杆安全支撑，带防潮钉。</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A35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069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w:t>
            </w:r>
          </w:p>
        </w:tc>
        <w:tc>
          <w:tcPr>
            <w:tcW w:w="1080" w:type="dxa"/>
            <w:tcBorders>
              <w:top w:val="single" w:color="000000" w:sz="4" w:space="0"/>
              <w:left w:val="nil"/>
              <w:bottom w:val="single" w:color="000000" w:sz="4" w:space="0"/>
              <w:right w:val="single" w:color="000000" w:sz="4" w:space="0"/>
            </w:tcBorders>
            <w:shd w:val="clear" w:color="auto" w:fill="auto"/>
            <w:vAlign w:val="center"/>
          </w:tcPr>
          <w:p w14:paraId="5DE582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142875" cy="247650"/>
                  <wp:effectExtent l="0" t="0" r="9525" b="0"/>
                  <wp:docPr id="160" name="图片 215" descr="IMG_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215" descr="IMG_318"/>
                          <pic:cNvPicPr>
                            <a:picLocks noChangeAspect="1"/>
                          </pic:cNvPicPr>
                        </pic:nvPicPr>
                        <pic:blipFill>
                          <a:blip r:embed="rId33"/>
                          <a:stretch>
                            <a:fillRect/>
                          </a:stretch>
                        </pic:blipFill>
                        <pic:spPr>
                          <a:xfrm>
                            <a:off x="0" y="0"/>
                            <a:ext cx="142875" cy="247650"/>
                          </a:xfrm>
                          <a:prstGeom prst="rect">
                            <a:avLst/>
                          </a:prstGeom>
                          <a:noFill/>
                          <a:ln w="9525">
                            <a:noFill/>
                          </a:ln>
                        </pic:spPr>
                      </pic:pic>
                    </a:graphicData>
                  </a:graphic>
                </wp:inline>
              </w:drawing>
            </w:r>
          </w:p>
        </w:tc>
      </w:tr>
      <w:tr w14:paraId="77B901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33E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9D8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清洁工具柜</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EE4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工具柜尺寸不小于1200x400x1800mm,不锈钢材质，板厚0.5mm，耐压、强度大、抗冲击不易变形，对开门，带锁</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2C4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CDA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w:t>
            </w:r>
          </w:p>
        </w:tc>
        <w:tc>
          <w:tcPr>
            <w:tcW w:w="1080" w:type="dxa"/>
            <w:tcBorders>
              <w:top w:val="single" w:color="000000" w:sz="4" w:space="0"/>
              <w:left w:val="nil"/>
              <w:bottom w:val="single" w:color="000000" w:sz="4" w:space="0"/>
              <w:right w:val="single" w:color="000000" w:sz="4" w:space="0"/>
            </w:tcBorders>
            <w:shd w:val="clear" w:color="auto" w:fill="auto"/>
            <w:vAlign w:val="center"/>
          </w:tcPr>
          <w:p w14:paraId="14437B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314325" cy="247650"/>
                  <wp:effectExtent l="0" t="0" r="9525" b="0"/>
                  <wp:docPr id="164" name="图片 216" descr="IMG_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图片 216" descr="IMG_319"/>
                          <pic:cNvPicPr>
                            <a:picLocks noChangeAspect="1"/>
                          </pic:cNvPicPr>
                        </pic:nvPicPr>
                        <pic:blipFill>
                          <a:blip r:embed="rId54"/>
                          <a:stretch>
                            <a:fillRect/>
                          </a:stretch>
                        </pic:blipFill>
                        <pic:spPr>
                          <a:xfrm>
                            <a:off x="0" y="0"/>
                            <a:ext cx="314325" cy="247650"/>
                          </a:xfrm>
                          <a:prstGeom prst="rect">
                            <a:avLst/>
                          </a:prstGeom>
                          <a:noFill/>
                          <a:ln w="9525">
                            <a:noFill/>
                          </a:ln>
                        </pic:spPr>
                      </pic:pic>
                    </a:graphicData>
                  </a:graphic>
                </wp:inline>
              </w:drawing>
            </w:r>
          </w:p>
        </w:tc>
      </w:tr>
      <w:tr w14:paraId="147DC7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96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FF8DFA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科创班办公室</w:t>
            </w:r>
          </w:p>
        </w:tc>
      </w:tr>
      <w:tr w14:paraId="59F059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FD3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A18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文件柜</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DF75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800W*400D*2000H（黑胡桃色）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1、基材：E0级刨花板，甲醛释放量≤5mg/100g。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2、贴面：优质耐磨三聚氢胺浸渍饰面。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3、封边：PVC封边条。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4、五金配件：采用优质五金配件</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768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F5F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1080" w:type="dxa"/>
            <w:tcBorders>
              <w:top w:val="single" w:color="000000" w:sz="4" w:space="0"/>
              <w:left w:val="nil"/>
              <w:bottom w:val="single" w:color="000000" w:sz="4" w:space="0"/>
              <w:right w:val="single" w:color="000000" w:sz="4" w:space="0"/>
            </w:tcBorders>
            <w:shd w:val="clear" w:color="auto" w:fill="auto"/>
            <w:vAlign w:val="center"/>
          </w:tcPr>
          <w:p w14:paraId="28B4346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114300" cy="190500"/>
                  <wp:effectExtent l="0" t="0" r="0" b="0"/>
                  <wp:docPr id="161" name="图片 217" descr="IMG_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图片 217" descr="IMG_320"/>
                          <pic:cNvPicPr>
                            <a:picLocks noChangeAspect="1"/>
                          </pic:cNvPicPr>
                        </pic:nvPicPr>
                        <pic:blipFill>
                          <a:blip r:embed="rId55"/>
                          <a:stretch>
                            <a:fillRect/>
                          </a:stretch>
                        </pic:blipFill>
                        <pic:spPr>
                          <a:xfrm>
                            <a:off x="0" y="0"/>
                            <a:ext cx="114300" cy="190500"/>
                          </a:xfrm>
                          <a:prstGeom prst="rect">
                            <a:avLst/>
                          </a:prstGeom>
                          <a:noFill/>
                          <a:ln w="9525">
                            <a:noFill/>
                          </a:ln>
                        </pic:spPr>
                      </pic:pic>
                    </a:graphicData>
                  </a:graphic>
                </wp:inline>
              </w:drawing>
            </w:r>
          </w:p>
        </w:tc>
      </w:tr>
      <w:tr w14:paraId="3D2C0D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6ED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B71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茶水角</w:t>
            </w:r>
          </w:p>
        </w:tc>
        <w:tc>
          <w:tcPr>
            <w:tcW w:w="5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B3B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800*400*800（黑胡桃色）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1、板材：基材：采用优质E1级环保三聚氰胺板，板材厚度1.8CM；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2、配件：采用优质五金件，作防锈、防腐处理，经久耐用。</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9F7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B97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w:t>
            </w:r>
          </w:p>
        </w:tc>
        <w:tc>
          <w:tcPr>
            <w:tcW w:w="1080" w:type="dxa"/>
            <w:tcBorders>
              <w:top w:val="single" w:color="000000" w:sz="4" w:space="0"/>
              <w:left w:val="nil"/>
              <w:bottom w:val="single" w:color="000000" w:sz="4" w:space="0"/>
              <w:right w:val="single" w:color="000000" w:sz="4" w:space="0"/>
            </w:tcBorders>
            <w:shd w:val="clear" w:color="auto" w:fill="auto"/>
            <w:noWrap/>
            <w:vAlign w:val="center"/>
          </w:tcPr>
          <w:p w14:paraId="7F2939F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257175" cy="190500"/>
                  <wp:effectExtent l="0" t="0" r="9525" b="0"/>
                  <wp:docPr id="162" name="图片 218" descr="IMG_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图片 218" descr="IMG_321"/>
                          <pic:cNvPicPr>
                            <a:picLocks noChangeAspect="1"/>
                          </pic:cNvPicPr>
                        </pic:nvPicPr>
                        <pic:blipFill>
                          <a:blip r:embed="rId50"/>
                          <a:stretch>
                            <a:fillRect/>
                          </a:stretch>
                        </pic:blipFill>
                        <pic:spPr>
                          <a:xfrm>
                            <a:off x="0" y="0"/>
                            <a:ext cx="257175" cy="190500"/>
                          </a:xfrm>
                          <a:prstGeom prst="rect">
                            <a:avLst/>
                          </a:prstGeom>
                          <a:noFill/>
                          <a:ln w="9525">
                            <a:noFill/>
                          </a:ln>
                        </pic:spPr>
                      </pic:pic>
                    </a:graphicData>
                  </a:graphic>
                </wp:inline>
              </w:drawing>
            </w:r>
          </w:p>
        </w:tc>
      </w:tr>
    </w:tbl>
    <w:p w14:paraId="5899BFB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b/>
          <w:color w:val="auto"/>
          <w:szCs w:val="21"/>
          <w:highlight w:val="none"/>
          <w:lang w:val="en-US" w:eastAsia="zh-CN"/>
        </w:rPr>
        <w:sectPr>
          <w:pgSz w:w="11906" w:h="16838"/>
          <w:pgMar w:top="1440" w:right="1800" w:bottom="1440" w:left="1800" w:header="851" w:footer="850" w:gutter="0"/>
          <w:pgBorders>
            <w:top w:val="none" w:sz="0" w:space="0"/>
            <w:left w:val="none" w:sz="0" w:space="0"/>
            <w:bottom w:val="none" w:sz="0" w:space="0"/>
            <w:right w:val="none" w:sz="0" w:space="0"/>
          </w:pgBorders>
          <w:pgNumType w:start="1"/>
          <w:cols w:space="720" w:num="1"/>
          <w:docGrid w:linePitch="360" w:charSpace="0"/>
        </w:sectPr>
      </w:pPr>
    </w:p>
    <w:tbl>
      <w:tblPr>
        <w:tblStyle w:val="37"/>
        <w:tblW w:w="9690" w:type="dxa"/>
        <w:tblInd w:w="-94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25"/>
        <w:gridCol w:w="750"/>
        <w:gridCol w:w="5985"/>
        <w:gridCol w:w="645"/>
        <w:gridCol w:w="705"/>
        <w:gridCol w:w="780"/>
      </w:tblGrid>
      <w:tr w14:paraId="0935BE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690"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A13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包3（学生课桌椅）</w:t>
            </w:r>
          </w:p>
        </w:tc>
      </w:tr>
      <w:tr w14:paraId="6303F5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94C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8EE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E307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功能参数</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5BA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52C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单位</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619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备注</w:t>
            </w:r>
          </w:p>
        </w:tc>
      </w:tr>
      <w:tr w14:paraId="6DB8DB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969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2D9EE1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录播教室</w:t>
            </w:r>
          </w:p>
        </w:tc>
      </w:tr>
      <w:tr w14:paraId="4277D9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5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191E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二、多媒体辅助设备</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841D6">
            <w:pPr>
              <w:jc w:val="center"/>
              <w:rPr>
                <w:rFonts w:hint="eastAsia" w:ascii="宋体" w:hAnsi="宋体" w:eastAsia="宋体" w:cs="宋体"/>
                <w:i w:val="0"/>
                <w:iCs w:val="0"/>
                <w:color w:val="000000"/>
                <w:sz w:val="20"/>
                <w:szCs w:val="20"/>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F9ECC">
            <w:pPr>
              <w:jc w:val="center"/>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4AB6B">
            <w:pPr>
              <w:jc w:val="center"/>
              <w:rPr>
                <w:rFonts w:hint="eastAsia" w:ascii="宋体" w:hAnsi="宋体" w:eastAsia="宋体" w:cs="宋体"/>
                <w:i w:val="0"/>
                <w:iCs w:val="0"/>
                <w:color w:val="000000"/>
                <w:sz w:val="20"/>
                <w:szCs w:val="20"/>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F2E64">
            <w:pPr>
              <w:rPr>
                <w:rFonts w:hint="eastAsia" w:ascii="宋体" w:hAnsi="宋体" w:eastAsia="宋体" w:cs="宋体"/>
                <w:i w:val="0"/>
                <w:iCs w:val="0"/>
                <w:color w:val="000000"/>
                <w:sz w:val="22"/>
                <w:szCs w:val="22"/>
                <w:u w:val="none"/>
              </w:rPr>
            </w:pPr>
          </w:p>
        </w:tc>
      </w:tr>
      <w:tr w14:paraId="173F32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A43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CBF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课桌椅(套)</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A46E1">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ABS课桌椅参数（参照GB/T35607-2017中小学课桌椅标准）技术要求达到QB/T4071-2010课桌椅产品标准：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一、课桌要求（尺寸：宽460mm（±3mm）×长660mm（±3mm）×高（700-790mm））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A.面板要求1、材质：采用一级全新ABS塑料新料，一体注塑成型。抗压、耐磨、耐冲击。</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2、尺寸：宽460mm（±3mm）×长660mm（±3mm），厚30mm。周围及底部完全无毛边，光滑安全。面板三边具有环形挡笔沿。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3、功能：靠胸前处有一内弧造型设计，形状为圆边。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附加设计：面板底部有强化承重之设计。镶入两支15×30×1.0mm方管，并与面板底部平齐。笔槽（位置书箱前端）尺寸为长300mm（±2mm）*宽30mm（±1mm）*深3mm（±1mm）。左侧有一个直径75mm圆形杯槽，右侧有一个眼镜槽尺寸为长155mm（±2mm）*宽55mm（±1mm）*深3mm（±1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4、说明：在强化耐用度上，采用最耐冲击的ABS塑料原料，并且在面板底部内嵌镶入一根15×30×1.0mm方管，以强化面板抗冲击力度。此ABS面板耐冲击强度：须经≥5磅榔头重力锤击，不得破裂，否则视同品质不符。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B.书箱要求1、材质：采用一级全新PP塑料，一体注塑成型。抗压、耐磨、耐冲击。</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2、尺寸：外宽620mm（±2mm）*深415m（±2mm）*高185（±2mm）。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3、功能：书箱底部有不少于60条透水槽缝设计。每条槽缝长43mm（±1mm）*宽4.5mm，这样能有效防止书籍受潮。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4、书箱俩侧自带储物盒尺寸为长230mm（±2mm）*宽46mm（±1mm）*深92mm（±1mm）；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C.桌钢架要求1、材质及形状：椭圆钢管。焊接全为满焊。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2、尺寸：外管30mm（±1mm）*60mm（±1mm）*1.2mm椭圆钢管，内管25mm（±1mm）*50mm（±1mm）*1.2mm椭圆钢管，桌底脚采用30mm（±1mm）*60mm（±1mm）*1.2mm椭圆冷轧钢管。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3、表面涂装：焊接完成之钢管架，经除锈除油后喷塑烧烤成型。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D.脚垫要求1、材质：采用pp塑料一体注塑而成，超级耐磨。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E.调节要求：可调节5种不同高度，每档为20mm（±1mm）。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二、课椅参数要求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A.靠背要求1、材质：采用pp耐冲击塑料新料一体射出成型。不可采用回收料。</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2、尺寸：425mm(±5mm)*326mm(±5mm)。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3、说明：依据青少年脊椎的曲线经心琢磨打造，形状中间内陷，两侧包覆，下端微凹设计，面板耐冲击（耐冲击强度：须经≥5磅榔头重力锤击，不得破裂，否则视同品质不符）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4、坐垫为夏天通风，为美观好看，有大小不一，</w:t>
            </w:r>
            <w:r>
              <w:rPr>
                <w:rFonts w:hint="eastAsia" w:ascii="宋体" w:hAnsi="宋体" w:cs="宋体"/>
                <w:i w:val="0"/>
                <w:iCs w:val="0"/>
                <w:color w:val="000000"/>
                <w:kern w:val="0"/>
                <w:sz w:val="20"/>
                <w:szCs w:val="20"/>
                <w:u w:val="none"/>
                <w:lang w:val="en-US" w:eastAsia="zh-CN" w:bidi="ar"/>
              </w:rPr>
              <w:t>均匀不等的孔洞</w:t>
            </w:r>
            <w:r>
              <w:rPr>
                <w:rFonts w:hint="eastAsia" w:ascii="宋体" w:hAnsi="宋体" w:eastAsia="宋体" w:cs="宋体"/>
                <w:i w:val="0"/>
                <w:iCs w:val="0"/>
                <w:color w:val="000000"/>
                <w:kern w:val="0"/>
                <w:sz w:val="20"/>
                <w:szCs w:val="20"/>
                <w:u w:val="none"/>
                <w:lang w:val="en-US" w:eastAsia="zh-CN" w:bidi="ar"/>
              </w:rPr>
              <w:t>。为拿去方便，靠背上方有月牙形提手。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B.坐垫要求1、材质：采用全新pp耐冲击塑料新料一体射出成型。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2、尺寸：425mm(±5mm)×405mm(±5mm)×54mm(±1mm)。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3、说明：采取轮廓化设计，中间内陷；人体工学波浪式设计，在座板上设计有透气槽，面板耐冲击（耐冲击强度：须经≥5磅榔头重力锤击，不得破裂，否则视同品质不符）。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4、坐垫为夏天通风，为美观好看，有大小不一，</w:t>
            </w:r>
            <w:r>
              <w:rPr>
                <w:rFonts w:hint="eastAsia" w:ascii="宋体" w:hAnsi="宋体" w:cs="宋体"/>
                <w:i w:val="0"/>
                <w:iCs w:val="0"/>
                <w:color w:val="000000"/>
                <w:kern w:val="0"/>
                <w:sz w:val="20"/>
                <w:szCs w:val="20"/>
                <w:u w:val="none"/>
                <w:lang w:val="en-US" w:eastAsia="zh-CN" w:bidi="ar"/>
              </w:rPr>
              <w:t>均匀不等的孔洞</w:t>
            </w:r>
            <w:r>
              <w:rPr>
                <w:rFonts w:hint="eastAsia" w:ascii="宋体" w:hAnsi="宋体" w:eastAsia="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C.椅钢架要求1、材质及形状：椭圆钢管。焊接全为满焊。2尺寸：外管30mm（±1mm）*60mm（±1mm）*1.2mm椭圆钢管，内管25mm（±1mm）*50mm（±1mm）*1.2mm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椭圆钢管，椅底脚采用30mm（±1mm）*60mm（±1mm）*1.2mm椭圆冷轧钢管。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1、表面涂装：焊接完成之钢管架，经高温粉体烤漆。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D.调节要求：可调节不同高度。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E.脚垫要求：材质：采用pp塑料一体注塑而成，超级耐磨。</w:t>
            </w:r>
          </w:p>
          <w:p w14:paraId="315191A5">
            <w:pPr>
              <w:keepNext w:val="0"/>
              <w:keepLines w:val="0"/>
              <w:widowControl/>
              <w:suppressLineNumbers w:val="0"/>
              <w:jc w:val="lef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b/>
                <w:bCs/>
                <w:i w:val="0"/>
                <w:iCs w:val="0"/>
                <w:color w:val="C00000"/>
                <w:kern w:val="0"/>
                <w:sz w:val="20"/>
                <w:szCs w:val="20"/>
                <w:highlight w:val="yellow"/>
                <w:u w:val="none"/>
                <w:lang w:val="en-US" w:eastAsia="zh-CN" w:bidi="ar"/>
              </w:rPr>
              <w:t>提供样品</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01B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54</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05F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51F3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323850" cy="266700"/>
                  <wp:effectExtent l="0" t="0" r="0" b="0"/>
                  <wp:docPr id="223" name="图片 21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图片 219" descr="IMG_256"/>
                          <pic:cNvPicPr>
                            <a:picLocks noChangeAspect="1"/>
                          </pic:cNvPicPr>
                        </pic:nvPicPr>
                        <pic:blipFill>
                          <a:blip r:embed="rId56"/>
                          <a:stretch>
                            <a:fillRect/>
                          </a:stretch>
                        </pic:blipFill>
                        <pic:spPr>
                          <a:xfrm>
                            <a:off x="0" y="0"/>
                            <a:ext cx="323850" cy="266700"/>
                          </a:xfrm>
                          <a:prstGeom prst="rect">
                            <a:avLst/>
                          </a:prstGeom>
                          <a:noFill/>
                          <a:ln w="9525">
                            <a:noFill/>
                          </a:ln>
                        </pic:spPr>
                      </pic:pic>
                    </a:graphicData>
                  </a:graphic>
                </wp:inline>
              </w:drawing>
            </w:r>
          </w:p>
        </w:tc>
      </w:tr>
      <w:tr w14:paraId="210C47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69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036A6F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科创班教室</w:t>
            </w:r>
          </w:p>
        </w:tc>
      </w:tr>
      <w:tr w14:paraId="6BA484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6FC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CE4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课桌椅(套)</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B6B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ABS课桌椅参数（参照GB/T35607-2017中小学课桌椅标准）技术要求达到QB/T4071-2010课桌椅产品标准：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一、课桌要求（尺寸：宽460mm（±3mm）×长660mm（±3mm）×高（700-790mm））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A.面板要求1、材质：采用一级全新ABS塑料新料，一体注塑成型。抗压、耐磨、耐冲击。</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2、尺寸：宽460mm（±3mm）×长660mm（±3mm），厚30mm。周围及底部完全无毛边，光滑安全。面板三边具有环形挡笔沿。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3、功能：靠胸前处有一内弧造型设计，形状为圆边。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附加设计：面板底部有强化承重之设计。镶入两支15×30×1.0mm方管，并与面板底部平齐。笔槽（位置书箱前端）尺寸为长300mm（±2mm）*宽30mm（±1mm）*深3mm（±1mm）。左侧有一个直径75mm圆形杯槽，右侧有一个眼镜槽尺寸为长155mm（±2mm）*宽55mm（±1mm）*深3mm（±1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4、说明：在强化耐用度上，采用最耐冲击的ABS塑料原料，并且在面板底部内嵌镶入一根15×30×1.0mm方管，以强化面板抗冲击力度。此ABS面板耐冲击强度：须经≥5磅榔头重力锤击，不得破裂，否则视同品质不符。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B.书箱要求1、材质：采用一级全新PP塑料，一体注塑成型。抗压、耐磨、耐冲击。</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2、尺寸：外宽620mm（±2mm）*深415m（±2mm）*高185（±2mm）。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3、功能：书箱底部有不少于60条透水槽缝设计。每条槽缝长43mm（±1mm）*宽4.5mm，这样能有效防止书籍受潮。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4、书箱俩侧自带储物盒尺寸为长230mm（±2mm）*宽46mm（±1mm）*深92mm（±1mm）；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C.桌钢架要求1、材质及形状：椭圆钢管。焊接全为满焊。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2、尺寸：外管30mm（±1mm）*60mm（±1mm）*1.2mm椭圆钢管，内管25mm（±1mm）*50mm（±1mm）*1.2mm椭圆钢管，桌底脚采用30mm（±1mm）*60mm（±1mm）*1.2mm椭圆冷轧钢管。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3、表面涂装：焊接完成之钢管架，经除锈除油后喷塑烧烤成型。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D.脚垫要求1、材质：采用pp塑料一体注塑而成，超级耐磨。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E.调节要求：可调节5种不同高度，每档为20mm（±1mm）。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二、课椅参数要求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A.靠背要求1、材质：采用pp耐冲击塑料新料一体射出成型。不可采用回收料。</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2、尺寸：425mm(±5mm)*326mm(±5mm)。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3、说明：依据青少年脊椎的曲线经心琢磨打造，形状中间内陷，两侧包覆，下端微凹设计，面板耐冲击（耐冲击强度：须经≥5磅榔头重力锤击，不得破裂，否则视同品质不符）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4、坐垫为夏天通风，为美观好看，有大小不一，</w:t>
            </w:r>
            <w:r>
              <w:rPr>
                <w:rFonts w:hint="eastAsia" w:ascii="宋体" w:hAnsi="宋体" w:cs="宋体"/>
                <w:i w:val="0"/>
                <w:iCs w:val="0"/>
                <w:color w:val="000000"/>
                <w:kern w:val="0"/>
                <w:sz w:val="20"/>
                <w:szCs w:val="20"/>
                <w:u w:val="none"/>
                <w:lang w:val="en-US" w:eastAsia="zh-CN" w:bidi="ar"/>
              </w:rPr>
              <w:t>均匀不等的孔洞</w:t>
            </w:r>
            <w:r>
              <w:rPr>
                <w:rFonts w:hint="eastAsia" w:ascii="宋体" w:hAnsi="宋体" w:eastAsia="宋体" w:cs="宋体"/>
                <w:i w:val="0"/>
                <w:iCs w:val="0"/>
                <w:color w:val="000000"/>
                <w:kern w:val="0"/>
                <w:sz w:val="20"/>
                <w:szCs w:val="20"/>
                <w:u w:val="none"/>
                <w:lang w:val="en-US" w:eastAsia="zh-CN" w:bidi="ar"/>
              </w:rPr>
              <w:t>。为拿去方便，靠背上方有月牙形提手。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B.坐垫要求1、材质：采用全新pp耐冲击塑料新料一体射出成型。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2、尺寸：425mm(±5mm)×405mm(±5mm)×54mm(±1mm)。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3、说明：采取轮廓化设计，中间内陷；人体工学波浪式设计，在座板上设计有透气槽，面板耐冲击（耐冲击强度：须经≥5磅榔头重力锤击，不得破裂，否则视同品质不符）。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4、坐垫为夏天通风，为美观好看，有大小不一，</w:t>
            </w:r>
            <w:r>
              <w:rPr>
                <w:rFonts w:hint="eastAsia" w:ascii="宋体" w:hAnsi="宋体" w:cs="宋体"/>
                <w:i w:val="0"/>
                <w:iCs w:val="0"/>
                <w:color w:val="000000"/>
                <w:kern w:val="0"/>
                <w:sz w:val="20"/>
                <w:szCs w:val="20"/>
                <w:u w:val="none"/>
                <w:lang w:val="en-US" w:eastAsia="zh-CN" w:bidi="ar"/>
              </w:rPr>
              <w:t>均匀不等的孔洞</w:t>
            </w:r>
            <w:r>
              <w:rPr>
                <w:rFonts w:hint="eastAsia" w:ascii="宋体" w:hAnsi="宋体" w:eastAsia="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C.椅钢架要求1、材质及形状：椭圆钢管。焊接全为满焊。2尺寸：外管30mm（±1mm）*60mm（±1mm）*1.2mm椭圆钢管，内管25mm（±1mm）*50mm（±1mm）*1.2mm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椭圆钢管，椅底脚采用30mm（±1mm）*60mm（±1mm）*1.2mm椭圆冷轧钢管。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1、表面涂装：焊接完成之钢管架，经高温粉体烤漆。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D.调节要求：可调节不同高度。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E.脚垫要求：材质：采用pp塑料一体注塑而成，超级耐磨。</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755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155</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FAB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B8F3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314325" cy="247650"/>
                  <wp:effectExtent l="0" t="0" r="0" b="0"/>
                  <wp:docPr id="222" name="图片 220"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图片 220" descr="IMG_257"/>
                          <pic:cNvPicPr>
                            <a:picLocks noChangeAspect="1"/>
                          </pic:cNvPicPr>
                        </pic:nvPicPr>
                        <pic:blipFill>
                          <a:blip r:embed="rId56"/>
                          <a:stretch>
                            <a:fillRect/>
                          </a:stretch>
                        </pic:blipFill>
                        <pic:spPr>
                          <a:xfrm>
                            <a:off x="0" y="0"/>
                            <a:ext cx="314325" cy="247650"/>
                          </a:xfrm>
                          <a:prstGeom prst="rect">
                            <a:avLst/>
                          </a:prstGeom>
                          <a:noFill/>
                          <a:ln w="9525">
                            <a:noFill/>
                          </a:ln>
                        </pic:spPr>
                      </pic:pic>
                    </a:graphicData>
                  </a:graphic>
                </wp:inline>
              </w:drawing>
            </w:r>
          </w:p>
        </w:tc>
      </w:tr>
      <w:tr w14:paraId="6EC990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969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E1B75D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科创班办公室</w:t>
            </w:r>
          </w:p>
        </w:tc>
      </w:tr>
      <w:tr w14:paraId="1F9AD7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AC5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26A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课桌椅(套)</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BE8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ABS课桌椅参数（参照GB/T35607-2017中小学课桌椅标准）技术要求达到QB/T4071-2010课桌椅产品标准：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一、课桌要求（尺寸：宽460mm（±3mm）×长660mm（±3mm）×高（700-790mm））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A.面板要求1、材质：采用一级全新ABS塑料新料，一体注塑成型。抗压、耐磨、耐冲击。</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2、尺寸：宽460mm（±3mm）×长660mm（±3mm），厚30mm。周围及底部完全无毛边，光滑安全。面板三边具有环形挡笔沿。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3、功能：靠胸前处有一内弧造型设计，形状为圆边。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附加设计：面板底部有强化承重之设计。镶入两支15×30×1.0mm方管，并与面板底部平齐。笔槽（位置书箱前端）尺寸为长300mm（±2mm）*宽30mm（±1mm）*深3mm（±1mm）。左侧有一个直径75mm圆形杯槽，右侧有一个眼镜槽尺寸为长155mm（±2mm）*宽55mm（±1mm）*深3mm（±1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4、说明：在强化耐用度上，采用最耐冲击的ABS塑料原料，并且在面板底部内嵌镶入一根15×30×1.0mm方管，以强化面板抗冲击力度。此ABS面板耐冲击强度：须经≥5磅榔头重力锤击，不得破裂，否则视同品质不符。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B.书箱要求1、材质：采用一级全新PP塑料，一体注塑成型。抗压、耐磨、耐冲击。</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2、尺寸：外宽620mm（±2mm）*深415m（±2mm）*高185（±2mm）。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3、功能：书箱底部有不少于60条透水槽缝设计。每条槽缝长43mm（±1mm）*宽4.5mm，这样能有效防止书籍受潮。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4、书箱俩侧自带储物盒尺寸为长230mm（±2mm）*宽46mm（±1mm）*深92mm（±1mm）；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C.桌钢架要求1、材质及形状：椭圆钢管。焊接全为满焊。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2、尺寸：外管30mm（±1mm）*60mm（±1mm）*1.2mm椭圆钢管，内管25mm（±1mm）*50mm（±1mm）*1.2mm椭圆钢管，桌底脚采用30mm（±1mm）*60mm（±1mm）*1.2mm椭圆冷轧钢管。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3、表面涂装：焊接完成之钢管架，经除锈除油后喷塑烧烤成型。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D.脚垫要求1、材质：采用pp塑料一体注塑而成，超级耐磨。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E.调节要求：可调节5种不同高度，每档为20mm（±1mm）。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二、课椅参数要求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A.靠背要求1、材质：采用pp耐冲击塑料新料一体射出成型。不可采用回收料。</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2、尺寸：425mm(±5mm)*326mm(±5mm)。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3、说明：依据青少年脊椎的曲线经心琢磨打造，形状中间内陷，两侧包覆，下端微凹设计，面板耐冲击（耐冲击强度：须经≥5磅榔头重力锤击，不得破裂，否则视同品质不符）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4、坐垫为夏天通风，为美观好看，有大小不一，</w:t>
            </w:r>
            <w:r>
              <w:rPr>
                <w:rFonts w:hint="eastAsia" w:ascii="宋体" w:hAnsi="宋体" w:cs="宋体"/>
                <w:i w:val="0"/>
                <w:iCs w:val="0"/>
                <w:color w:val="000000"/>
                <w:kern w:val="0"/>
                <w:sz w:val="20"/>
                <w:szCs w:val="20"/>
                <w:u w:val="none"/>
                <w:lang w:val="en-US" w:eastAsia="zh-CN" w:bidi="ar"/>
              </w:rPr>
              <w:t>均匀不等的孔洞</w:t>
            </w:r>
            <w:r>
              <w:rPr>
                <w:rFonts w:hint="eastAsia" w:ascii="宋体" w:hAnsi="宋体" w:eastAsia="宋体" w:cs="宋体"/>
                <w:i w:val="0"/>
                <w:iCs w:val="0"/>
                <w:color w:val="000000"/>
                <w:kern w:val="0"/>
                <w:sz w:val="20"/>
                <w:szCs w:val="20"/>
                <w:u w:val="none"/>
                <w:lang w:val="en-US" w:eastAsia="zh-CN" w:bidi="ar"/>
              </w:rPr>
              <w:t>。为拿去方便，靠背上方有月牙形提手。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B.坐垫要求1、材质：采用全新pp耐冲击塑料新料一体射出成型。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2、尺寸：425mm(±5mm)×405mm(±5mm)×54mm(±1mm)。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3、说明：采取轮廓化设计，中间内陷；人体工学波浪式设计，在座板上设计有透气槽，面板耐冲击（耐冲击强度：须经≥5磅榔头重力锤击，不得破裂，否则视同品质不符）。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4、坐垫为夏天通风，为美观好看，有大小不一，</w:t>
            </w:r>
            <w:r>
              <w:rPr>
                <w:rFonts w:hint="eastAsia" w:ascii="宋体" w:hAnsi="宋体" w:cs="宋体"/>
                <w:i w:val="0"/>
                <w:iCs w:val="0"/>
                <w:color w:val="000000"/>
                <w:kern w:val="0"/>
                <w:sz w:val="20"/>
                <w:szCs w:val="20"/>
                <w:u w:val="none"/>
                <w:lang w:val="en-US" w:eastAsia="zh-CN" w:bidi="ar"/>
              </w:rPr>
              <w:t>均匀不等的孔洞</w:t>
            </w:r>
            <w:r>
              <w:rPr>
                <w:rFonts w:hint="eastAsia" w:ascii="宋体" w:hAnsi="宋体" w:eastAsia="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C.椅钢架要求1、材质及形状：椭圆钢管。焊接全为满焊。2尺寸：外管30mm（±1mm）*60mm（±1mm）*1.2mm椭圆钢管，内管25mm（±1mm）*50mm（±1mm）*1.2mm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椭圆钢管，椅底脚采用30mm（±1mm）*60mm（±1mm）*1.2mm椭圆冷轧钢管。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1、表面涂装：焊接完成之钢管架，经高温粉体烤漆。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D.调节要求：可调节不同高度。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E.脚垫要求：材质：采用pp塑料一体注塑而成，超级耐磨。</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4C1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57A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B68E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228600" cy="190500"/>
                  <wp:effectExtent l="0" t="0" r="0" b="0"/>
                  <wp:docPr id="221" name="图片 221"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图片 221" descr="IMG_258"/>
                          <pic:cNvPicPr>
                            <a:picLocks noChangeAspect="1"/>
                          </pic:cNvPicPr>
                        </pic:nvPicPr>
                        <pic:blipFill>
                          <a:blip r:embed="rId56"/>
                          <a:stretch>
                            <a:fillRect/>
                          </a:stretch>
                        </pic:blipFill>
                        <pic:spPr>
                          <a:xfrm>
                            <a:off x="0" y="0"/>
                            <a:ext cx="228600" cy="190500"/>
                          </a:xfrm>
                          <a:prstGeom prst="rect">
                            <a:avLst/>
                          </a:prstGeom>
                          <a:noFill/>
                          <a:ln w="9525">
                            <a:noFill/>
                          </a:ln>
                        </pic:spPr>
                      </pic:pic>
                    </a:graphicData>
                  </a:graphic>
                </wp:inline>
              </w:drawing>
            </w:r>
          </w:p>
        </w:tc>
      </w:tr>
      <w:tr w14:paraId="63FA31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969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0B6339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普通教室</w:t>
            </w:r>
          </w:p>
        </w:tc>
      </w:tr>
      <w:tr w14:paraId="71BA57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F50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E13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课桌椅(套)</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0AE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ABS课桌椅参数（参照GB/T35607-2017中小学课桌椅标准）技术要求达到QB/T4071-2010课桌椅产品标准：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一、课桌要求（尺寸：宽430mm（±3mm）×长600mm（±3mm）×高（700-780mm））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A.面板要求1、材质：采用一级全新ABS塑料新料，一体注塑成型。抗压、耐磨、耐冲击。</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2、尺寸：宽430mm（±3mm）×长600mm（±3mm），厚30mm。周围及底部完全无毛边，光滑安全。面板三边具有环形挡笔沿。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3、功能：靠胸前处有一内弧造型设计，形状为圆边。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附加设计：面板底部有强化承重之设计。镶入两支15×30×1.0mm方管，并与面板底部平齐。笔槽（位置书箱前端）尺寸为长255mm（±2mm）*宽30mm（±1mm）*深3mm（±1mm）。左侧有一个直径70mm圆形杯槽，右侧有一个眼镜槽尺寸为长140mm（±2mm）*宽50mm（±1mm）*深3mm（±1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4、说明：在强化耐用度上，采用最耐冲击的ABS塑料原料，并且在面板底部内嵌镶入一根15×30×1.0mm方管，以强化面板抗冲击力度。此ABS面板耐冲击强度：须经≥5磅榔头重力锤击，不得破裂，否则视同品质不符。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B.书箱要求1、材质：采用一级全新PP塑料，一体注塑成型。抗压、耐磨、耐冲击。</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2、尺寸：外宽510mm（±2mm）*深370m（±2mm）*高160（±2mm）。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3、功能：书箱底部有不少于60条透水槽缝设计。每条槽缝长43mm（±1mm）*宽4.5mm，这样能有效防止书籍受潮。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C.桌钢架要求1、材质及形状：椭圆钢管。焊接全为满焊。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2、尺寸：外管30mm（±1mm）*60mm（±1mm）*1.2mm椭圆钢管，内管25mm（±1mm）*50mm（±1mm）*1.2mm椭圆钢管，桌底脚采用30mm（±1mm）*60mm（±1mm）*1.2mm椭圆冷轧钢管。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3、表面涂装：焊接完成之钢管架，经除锈除油后喷塑烧烤成型。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D.脚垫要求1、材质：采用pp塑料一体注塑而成，超级耐磨。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E.调节要求：可调节5种不同高度，每档为20mm（±1mm）。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二、课椅参数要求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A.靠背要求1、材质：采用pp耐冲击塑料新料一体射出成型。不可采用回收料。</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2、尺寸：425mm(±5mm)*326mm(±5mm)。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3、说明：依据青少年脊椎的曲线经心琢磨打造，形状中间内陷，两侧包覆，下端微凹设计，面板耐冲击（耐冲击强度：须经≥5磅榔头重力锤击，不得破裂，否则视同品质不符）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4、坐垫为夏天通风，为美观好看，有大小不一，</w:t>
            </w:r>
            <w:r>
              <w:rPr>
                <w:rFonts w:hint="eastAsia" w:ascii="宋体" w:hAnsi="宋体" w:cs="宋体"/>
                <w:i w:val="0"/>
                <w:iCs w:val="0"/>
                <w:color w:val="000000"/>
                <w:kern w:val="0"/>
                <w:sz w:val="20"/>
                <w:szCs w:val="20"/>
                <w:u w:val="none"/>
                <w:lang w:val="en-US" w:eastAsia="zh-CN" w:bidi="ar"/>
              </w:rPr>
              <w:t>均匀不等的孔洞</w:t>
            </w:r>
            <w:r>
              <w:rPr>
                <w:rFonts w:hint="eastAsia" w:ascii="宋体" w:hAnsi="宋体" w:eastAsia="宋体" w:cs="宋体"/>
                <w:i w:val="0"/>
                <w:iCs w:val="0"/>
                <w:color w:val="000000"/>
                <w:kern w:val="0"/>
                <w:sz w:val="20"/>
                <w:szCs w:val="20"/>
                <w:u w:val="none"/>
                <w:lang w:val="en-US" w:eastAsia="zh-CN" w:bidi="ar"/>
              </w:rPr>
              <w:t>。为拿去方便，靠背上方有月牙形提手。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B.坐垫要求1、材质：采用全新pp耐冲击塑料新料一体射出成型。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2、尺寸：425mm(±5mm)×405mm(±5mm)×54mm(±1mm)。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3、说明：采取轮廓化设计，中间内陷；人体工学波浪式设计，在座板上设计有透气槽，面板耐冲击（耐冲击强度：须经≥5磅榔头重力锤击，不得破裂，否则视同品质不符）。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4、坐垫为夏天通风，为美观好看，有大小不一，</w:t>
            </w:r>
            <w:r>
              <w:rPr>
                <w:rFonts w:hint="eastAsia" w:ascii="宋体" w:hAnsi="宋体" w:cs="宋体"/>
                <w:i w:val="0"/>
                <w:iCs w:val="0"/>
                <w:color w:val="000000"/>
                <w:kern w:val="0"/>
                <w:sz w:val="20"/>
                <w:szCs w:val="20"/>
                <w:u w:val="none"/>
                <w:lang w:val="en-US" w:eastAsia="zh-CN" w:bidi="ar"/>
              </w:rPr>
              <w:t>均匀不等的孔洞</w:t>
            </w:r>
            <w:r>
              <w:rPr>
                <w:rFonts w:hint="eastAsia" w:ascii="宋体" w:hAnsi="宋体" w:eastAsia="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C.椅钢架要求1、材质及形状：椭圆钢管。焊接全为满焊。2尺寸：外管30mm（±1mm）*60mm（±1mm）*1.2mm椭圆钢管，内管25mm（±1mm）*50mm（±1mm）*1.2mm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椭圆钢管，椅底脚采用30mm（±1mm）*60mm（±1mm）*1.2mm椭圆冷轧钢管。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1、表面涂装：焊接完成之钢管架，经高温粉体烤漆。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D.调节要求：可调节不同高度。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E.脚垫要求：材质：采用pp塑料一体注塑而成，超级耐磨。</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2C0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C6D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1F1A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342900" cy="276225"/>
                  <wp:effectExtent l="0" t="0" r="0" b="7620"/>
                  <wp:docPr id="224" name="图片 222"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图片 222" descr="IMG_259"/>
                          <pic:cNvPicPr>
                            <a:picLocks noChangeAspect="1"/>
                          </pic:cNvPicPr>
                        </pic:nvPicPr>
                        <pic:blipFill>
                          <a:blip r:embed="rId56"/>
                          <a:stretch>
                            <a:fillRect/>
                          </a:stretch>
                        </pic:blipFill>
                        <pic:spPr>
                          <a:xfrm>
                            <a:off x="0" y="0"/>
                            <a:ext cx="342900" cy="276225"/>
                          </a:xfrm>
                          <a:prstGeom prst="rect">
                            <a:avLst/>
                          </a:prstGeom>
                          <a:noFill/>
                          <a:ln w="9525">
                            <a:noFill/>
                          </a:ln>
                        </pic:spPr>
                      </pic:pic>
                    </a:graphicData>
                  </a:graphic>
                </wp:inline>
              </w:drawing>
            </w:r>
          </w:p>
        </w:tc>
      </w:tr>
    </w:tbl>
    <w:p w14:paraId="2213BB7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b/>
          <w:color w:val="auto"/>
          <w:szCs w:val="21"/>
          <w:highlight w:val="none"/>
          <w:lang w:val="en-US" w:eastAsia="zh-CN"/>
        </w:rPr>
        <w:sectPr>
          <w:pgSz w:w="11906" w:h="16838"/>
          <w:pgMar w:top="1440" w:right="1800" w:bottom="1440" w:left="1800" w:header="851" w:footer="850" w:gutter="0"/>
          <w:pgBorders>
            <w:top w:val="none" w:sz="0" w:space="0"/>
            <w:left w:val="none" w:sz="0" w:space="0"/>
            <w:bottom w:val="none" w:sz="0" w:space="0"/>
            <w:right w:val="none" w:sz="0" w:space="0"/>
          </w:pgBorders>
          <w:pgNumType w:start="1"/>
          <w:cols w:space="720" w:num="1"/>
          <w:docGrid w:linePitch="360" w:charSpace="0"/>
        </w:sectPr>
      </w:pPr>
    </w:p>
    <w:p w14:paraId="6894B371">
      <w:pPr>
        <w:rPr>
          <w:rFonts w:hint="eastAsia" w:ascii="宋体" w:hAnsi="宋体" w:eastAsia="宋体" w:cs="宋体"/>
          <w:b/>
          <w:bCs w:val="0"/>
          <w:iCs/>
          <w:color w:val="auto"/>
          <w:szCs w:val="21"/>
          <w:highlight w:val="none"/>
        </w:rPr>
      </w:pPr>
      <w:bookmarkStart w:id="54" w:name="_Toc55204181"/>
      <w:bookmarkStart w:id="55" w:name="_Toc25878"/>
      <w:r>
        <w:rPr>
          <w:rFonts w:hint="eastAsia" w:ascii="宋体" w:hAnsi="宋体" w:eastAsia="宋体" w:cs="宋体"/>
          <w:b/>
          <w:bCs w:val="0"/>
          <w:iCs/>
          <w:color w:val="auto"/>
          <w:szCs w:val="21"/>
          <w:highlight w:val="none"/>
          <w:lang w:eastAsia="zh-CN"/>
        </w:rPr>
        <w:t>二、</w:t>
      </w:r>
      <w:r>
        <w:rPr>
          <w:rFonts w:hint="eastAsia" w:ascii="宋体" w:hAnsi="宋体" w:eastAsia="宋体" w:cs="宋体"/>
          <w:b/>
          <w:bCs w:val="0"/>
          <w:iCs/>
          <w:color w:val="auto"/>
          <w:szCs w:val="21"/>
          <w:highlight w:val="none"/>
        </w:rPr>
        <w:t>其它要求</w:t>
      </w:r>
    </w:p>
    <w:p w14:paraId="224A9A2C">
      <w:pPr>
        <w:pBdr>
          <w:top w:val="none" w:color="000000" w:sz="0" w:space="0"/>
          <w:left w:val="none" w:color="000000" w:sz="0" w:space="0"/>
          <w:bottom w:val="none" w:color="000000" w:sz="0" w:space="0"/>
          <w:right w:val="none" w:color="000000" w:sz="0" w:space="0"/>
        </w:pBdr>
        <w:spacing w:line="360" w:lineRule="auto"/>
        <w:ind w:firstLine="480"/>
        <w:rPr>
          <w:rFonts w:hint="default" w:ascii="宋体" w:hAnsi="宋体" w:cs="宋体"/>
          <w:b/>
          <w:bCs w:val="0"/>
          <w:iCs/>
          <w:color w:val="auto"/>
          <w:szCs w:val="21"/>
          <w:highlight w:val="none"/>
          <w:lang w:val="en-US" w:eastAsia="zh-CN"/>
        </w:rPr>
      </w:pPr>
      <w:r>
        <w:rPr>
          <w:rFonts w:hint="eastAsia" w:ascii="宋体" w:hAnsi="宋体" w:eastAsia="宋体" w:cs="宋体"/>
          <w:bCs/>
          <w:iCs/>
          <w:color w:val="auto"/>
          <w:szCs w:val="21"/>
          <w:highlight w:val="none"/>
        </w:rPr>
        <w:t>1.本项目为交钥匙工程，</w:t>
      </w:r>
      <w:r>
        <w:rPr>
          <w:rFonts w:hint="eastAsia" w:ascii="宋体" w:hAnsi="宋体" w:eastAsia="宋体" w:cs="宋体"/>
          <w:bCs/>
          <w:iCs/>
          <w:color w:val="auto"/>
          <w:szCs w:val="21"/>
          <w:highlight w:val="none"/>
          <w:lang w:val="en-US" w:eastAsia="zh-CN"/>
        </w:rPr>
        <w:t>投保报价</w:t>
      </w:r>
      <w:r>
        <w:rPr>
          <w:rFonts w:hint="eastAsia" w:ascii="宋体" w:hAnsi="宋体" w:eastAsia="宋体" w:cs="宋体"/>
          <w:bCs/>
          <w:iCs/>
          <w:color w:val="auto"/>
          <w:szCs w:val="21"/>
          <w:highlight w:val="none"/>
        </w:rPr>
        <w:t>应包括所投货物（包含与货物相关的服务）费用、安装调试费、测试验收费、培训费、运行维护费用、税金及其他有关的为完成本项目发生的所有费用。</w:t>
      </w:r>
      <w:r>
        <w:rPr>
          <w:rFonts w:hint="eastAsia" w:ascii="宋体" w:hAnsi="宋体" w:cs="宋体"/>
          <w:b/>
          <w:bCs w:val="0"/>
          <w:iCs/>
          <w:color w:val="FF0000"/>
          <w:szCs w:val="21"/>
          <w:highlight w:val="yellow"/>
          <w:lang w:val="en-US" w:eastAsia="zh-CN"/>
        </w:rPr>
        <w:t>如</w:t>
      </w:r>
      <w:r>
        <w:rPr>
          <w:rFonts w:hint="eastAsia" w:ascii="宋体" w:hAnsi="宋体" w:eastAsia="宋体" w:cs="宋体"/>
          <w:b/>
          <w:bCs w:val="0"/>
          <w:iCs/>
          <w:color w:val="FF0000"/>
          <w:szCs w:val="21"/>
          <w:highlight w:val="yellow"/>
        </w:rPr>
        <w:t>货物制作、安装、施工、运输、调试</w:t>
      </w:r>
      <w:r>
        <w:rPr>
          <w:rFonts w:hint="eastAsia" w:ascii="宋体" w:hAnsi="宋体" w:cs="宋体"/>
          <w:b/>
          <w:bCs w:val="0"/>
          <w:iCs/>
          <w:color w:val="FF0000"/>
          <w:szCs w:val="21"/>
          <w:highlight w:val="yellow"/>
          <w:lang w:val="en-US" w:eastAsia="zh-CN"/>
        </w:rPr>
        <w:t>时破坏了现场、或破坏其他设施设备，供应商需恢复原样。货物排产前，中标供应商须与采购人再次确认货物规格、样式等信息，经采购人确认后方可生产。</w:t>
      </w:r>
    </w:p>
    <w:p w14:paraId="6D6D97C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Cs/>
          <w:iCs/>
          <w:color w:val="auto"/>
          <w:szCs w:val="21"/>
          <w:highlight w:val="none"/>
        </w:rPr>
      </w:pPr>
      <w:r>
        <w:rPr>
          <w:rFonts w:hint="default" w:ascii="宋体" w:hAnsi="宋体" w:eastAsia="宋体" w:cs="宋体"/>
          <w:bCs/>
          <w:iCs/>
          <w:color w:val="auto"/>
          <w:szCs w:val="21"/>
          <w:highlight w:val="none"/>
          <w:lang w:val="en-US" w:eastAsia="zh-CN"/>
        </w:rPr>
        <w:t>2.</w:t>
      </w:r>
      <w:r>
        <w:rPr>
          <w:rFonts w:hint="eastAsia" w:ascii="宋体" w:hAnsi="宋体" w:eastAsia="宋体" w:cs="宋体"/>
          <w:bCs/>
          <w:iCs/>
          <w:color w:val="auto"/>
          <w:szCs w:val="21"/>
          <w:highlight w:val="none"/>
        </w:rPr>
        <w:t>质量控制措施</w:t>
      </w:r>
    </w:p>
    <w:p w14:paraId="6D9C200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Cs/>
          <w:iCs/>
          <w:color w:val="auto"/>
          <w:szCs w:val="21"/>
          <w:highlight w:val="none"/>
        </w:rPr>
      </w:pPr>
      <w:r>
        <w:rPr>
          <w:rFonts w:hint="eastAsia" w:ascii="宋体" w:hAnsi="宋体" w:eastAsia="宋体" w:cs="宋体"/>
          <w:bCs/>
          <w:iCs/>
          <w:color w:val="auto"/>
          <w:szCs w:val="21"/>
          <w:highlight w:val="none"/>
        </w:rPr>
        <w:t>投标人提供原材料在采购及生产过程中的管控及检测措施，确保在后期生产过程中的产品质量。生产过程中，应进行多道质量检测，包括原材料检验、部件组装检验和成品质检等。通过对每个环节进行检验，及时发现和解决潜在的质量问题，确保产品符合质量要求。</w:t>
      </w:r>
    </w:p>
    <w:p w14:paraId="17510F2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Cs/>
          <w:iCs/>
          <w:color w:val="auto"/>
          <w:szCs w:val="21"/>
          <w:highlight w:val="none"/>
        </w:rPr>
      </w:pPr>
      <w:r>
        <w:rPr>
          <w:rFonts w:hint="eastAsia" w:ascii="宋体" w:hAnsi="宋体" w:eastAsia="宋体" w:cs="宋体"/>
          <w:bCs/>
          <w:iCs/>
          <w:color w:val="auto"/>
          <w:szCs w:val="21"/>
          <w:highlight w:val="none"/>
        </w:rPr>
        <w:t>按采购人提出基本技术要求生产样品，招标后不得擅自更改产品样式和降低质量，投标人提供的产品必须达到现行中华人民共和国国家、行业有关标准、技术规范的要求，保证提供的货物完全符合规定的质量、规格、性能和安全的要求，保证所有产品不存在任何安全隐患。</w:t>
      </w:r>
    </w:p>
    <w:p w14:paraId="42FA3A9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Cs/>
          <w:iCs/>
          <w:color w:val="auto"/>
          <w:szCs w:val="21"/>
          <w:highlight w:val="none"/>
        </w:rPr>
      </w:pPr>
      <w:r>
        <w:rPr>
          <w:rFonts w:hint="eastAsia" w:ascii="宋体" w:hAnsi="宋体" w:eastAsia="宋体" w:cs="宋体"/>
          <w:bCs/>
          <w:iCs/>
          <w:color w:val="auto"/>
          <w:szCs w:val="21"/>
          <w:highlight w:val="none"/>
        </w:rPr>
        <w:t>所有家具均应出自原厂，不得私自添加或更改，保证所有家具及部件均是全新的纯正部品，不得以废、旧材料制作，产品必须符合行业设计要求。交货时所有家具应货物完好，物品配件齐全，否则视为不合格产品，采购人有权拒绝接收。</w:t>
      </w:r>
    </w:p>
    <w:p w14:paraId="0881F6C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Cs/>
          <w:iCs/>
          <w:color w:val="auto"/>
          <w:szCs w:val="21"/>
          <w:highlight w:val="none"/>
        </w:rPr>
      </w:pPr>
      <w:r>
        <w:rPr>
          <w:rFonts w:hint="default" w:ascii="宋体" w:hAnsi="宋体" w:eastAsia="宋体" w:cs="宋体"/>
          <w:bCs/>
          <w:iCs/>
          <w:color w:val="auto"/>
          <w:szCs w:val="21"/>
          <w:highlight w:val="none"/>
          <w:lang w:val="en-US" w:eastAsia="zh-CN"/>
        </w:rPr>
        <w:t>3.</w:t>
      </w:r>
      <w:r>
        <w:rPr>
          <w:rFonts w:hint="eastAsia" w:ascii="宋体" w:hAnsi="宋体" w:eastAsia="宋体" w:cs="宋体"/>
          <w:bCs/>
          <w:iCs/>
          <w:color w:val="auto"/>
          <w:szCs w:val="21"/>
          <w:highlight w:val="none"/>
        </w:rPr>
        <w:t>供货、安装实施方案</w:t>
      </w:r>
    </w:p>
    <w:p w14:paraId="32C9374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Cs/>
          <w:iCs/>
          <w:color w:val="auto"/>
          <w:szCs w:val="21"/>
          <w:highlight w:val="none"/>
        </w:rPr>
      </w:pPr>
      <w:r>
        <w:rPr>
          <w:rFonts w:hint="eastAsia" w:ascii="宋体" w:hAnsi="宋体" w:eastAsia="宋体" w:cs="宋体"/>
          <w:bCs/>
          <w:iCs/>
          <w:color w:val="auto"/>
          <w:szCs w:val="21"/>
          <w:highlight w:val="none"/>
        </w:rPr>
        <w:t>项目实施期间，投标单位工作人员须遵守学校的各项规章制度，进入项目现场的车辆、设备按指定的地点停放，不得妨碍其它正常教学秩序和阻碍交通。项目结束后，及时清理现场，墙面、门窗如有损坏需恢复原状。若因投标人原因导致货物不能按要求安装使用，采购人有权追究其责任。投标人可先到项目地点充分了解地理位置、情况、道路、储存空间、装卸限制及施工配合等任何其他足以影响投标报价的情况，任何因忽视或误解项目现场而导致的索赔或工期延长申请将不被批准。</w:t>
      </w:r>
    </w:p>
    <w:p w14:paraId="58D3C17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Cs/>
          <w:iCs/>
          <w:color w:val="auto"/>
          <w:szCs w:val="21"/>
          <w:highlight w:val="none"/>
        </w:rPr>
      </w:pPr>
      <w:r>
        <w:rPr>
          <w:rFonts w:hint="eastAsia" w:ascii="宋体" w:hAnsi="宋体" w:eastAsia="宋体" w:cs="宋体"/>
          <w:bCs/>
          <w:iCs/>
          <w:color w:val="auto"/>
          <w:szCs w:val="21"/>
          <w:highlight w:val="none"/>
        </w:rPr>
        <w:t>提供本项目货物装运程序说明、长期合作物流或车辆信息说明、文明施工管理制度、家具调试验收方案。家具的包装均应有良好的防湿、防锈、防潮、防雨、防腐及防碰撞的措施。安装队伍必须加强管理，遵守现场的一切规章制度，文明安装，注意安全。项目实施过程中若发生相关的安全事故由供应商自行负责。</w:t>
      </w:r>
    </w:p>
    <w:p w14:paraId="66FD31E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Cs/>
          <w:iCs/>
          <w:color w:val="auto"/>
          <w:szCs w:val="21"/>
          <w:highlight w:val="none"/>
        </w:rPr>
      </w:pPr>
      <w:r>
        <w:rPr>
          <w:rFonts w:hint="default" w:ascii="宋体" w:hAnsi="宋体" w:eastAsia="宋体" w:cs="宋体"/>
          <w:bCs/>
          <w:iCs/>
          <w:color w:val="auto"/>
          <w:szCs w:val="21"/>
          <w:highlight w:val="none"/>
          <w:lang w:val="en-US" w:eastAsia="zh-CN"/>
        </w:rPr>
        <w:t>4.</w:t>
      </w:r>
      <w:r>
        <w:rPr>
          <w:rFonts w:hint="eastAsia" w:ascii="宋体" w:hAnsi="宋体" w:eastAsia="宋体" w:cs="宋体"/>
          <w:bCs/>
          <w:iCs/>
          <w:color w:val="auto"/>
          <w:szCs w:val="21"/>
          <w:highlight w:val="none"/>
        </w:rPr>
        <w:t>进度控制措施</w:t>
      </w:r>
    </w:p>
    <w:p w14:paraId="52F80A4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Cs/>
          <w:iCs/>
          <w:color w:val="auto"/>
          <w:szCs w:val="21"/>
          <w:highlight w:val="none"/>
        </w:rPr>
      </w:pPr>
      <w:r>
        <w:rPr>
          <w:rFonts w:hint="eastAsia" w:ascii="宋体" w:hAnsi="宋体" w:eastAsia="宋体" w:cs="宋体"/>
          <w:bCs/>
          <w:iCs/>
          <w:color w:val="auto"/>
          <w:szCs w:val="21"/>
          <w:highlight w:val="none"/>
        </w:rPr>
        <w:t>合同履行期限：合同签订之日起</w:t>
      </w:r>
      <w:r>
        <w:rPr>
          <w:rFonts w:hint="eastAsia" w:ascii="宋体" w:hAnsi="宋体" w:cs="宋体"/>
          <w:bCs/>
          <w:iCs/>
          <w:color w:val="FF0000"/>
          <w:szCs w:val="21"/>
          <w:highlight w:val="yellow"/>
          <w:lang w:val="en-US" w:eastAsia="zh-CN"/>
        </w:rPr>
        <w:t>20</w:t>
      </w:r>
      <w:r>
        <w:rPr>
          <w:rFonts w:hint="eastAsia" w:ascii="宋体" w:hAnsi="宋体" w:eastAsia="宋体" w:cs="宋体"/>
          <w:bCs/>
          <w:iCs/>
          <w:color w:val="FF0000"/>
          <w:szCs w:val="21"/>
          <w:highlight w:val="yellow"/>
        </w:rPr>
        <w:t>日</w:t>
      </w:r>
      <w:r>
        <w:rPr>
          <w:rFonts w:hint="eastAsia" w:ascii="宋体" w:hAnsi="宋体" w:eastAsia="宋体" w:cs="宋体"/>
          <w:bCs/>
          <w:iCs/>
          <w:color w:val="auto"/>
          <w:szCs w:val="21"/>
          <w:highlight w:val="none"/>
        </w:rPr>
        <w:t>内交付并经采购人验收合格。投标人应按照招标需求合理安排时间，制定科学、合理、有针对性的具体措施。</w:t>
      </w:r>
    </w:p>
    <w:p w14:paraId="3A8966B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Cs/>
          <w:iCs/>
          <w:color w:val="auto"/>
          <w:szCs w:val="21"/>
          <w:highlight w:val="none"/>
        </w:rPr>
      </w:pPr>
      <w:r>
        <w:rPr>
          <w:rFonts w:hint="eastAsia" w:ascii="宋体" w:hAnsi="宋体" w:eastAsia="宋体" w:cs="宋体"/>
          <w:bCs/>
          <w:iCs/>
          <w:color w:val="auto"/>
          <w:szCs w:val="21"/>
          <w:highlight w:val="none"/>
        </w:rPr>
        <w:t>投标人提供项目进度表，协调生产、包装、运输、供货等各部门之间的合作，考虑产品的设计、生产、安装、供货等工序所需时间，确保按期交货。</w:t>
      </w:r>
    </w:p>
    <w:p w14:paraId="57A8357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Cs/>
          <w:iCs/>
          <w:color w:val="auto"/>
          <w:szCs w:val="21"/>
          <w:highlight w:val="none"/>
        </w:rPr>
      </w:pPr>
      <w:r>
        <w:rPr>
          <w:rFonts w:hint="eastAsia" w:ascii="宋体" w:hAnsi="宋体" w:eastAsia="宋体" w:cs="宋体"/>
          <w:bCs/>
          <w:iCs/>
          <w:color w:val="auto"/>
          <w:szCs w:val="21"/>
          <w:highlight w:val="none"/>
        </w:rPr>
        <w:t>投标人在接到采购人通知后，需根据采购人要求及现场具体情况，拟定产品进场安放的方案并征得采购人同意后方可安排产品进场。</w:t>
      </w:r>
    </w:p>
    <w:p w14:paraId="59020E4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Cs/>
          <w:iCs/>
          <w:color w:val="auto"/>
          <w:szCs w:val="21"/>
          <w:highlight w:val="none"/>
        </w:rPr>
      </w:pPr>
      <w:r>
        <w:rPr>
          <w:rFonts w:hint="default" w:ascii="宋体" w:hAnsi="宋体" w:eastAsia="宋体" w:cs="宋体"/>
          <w:bCs/>
          <w:iCs/>
          <w:color w:val="auto"/>
          <w:szCs w:val="21"/>
          <w:highlight w:val="none"/>
          <w:lang w:val="en-US" w:eastAsia="zh-CN"/>
        </w:rPr>
        <w:t>5.</w:t>
      </w:r>
      <w:r>
        <w:rPr>
          <w:rFonts w:hint="eastAsia" w:ascii="宋体" w:hAnsi="宋体" w:eastAsia="宋体" w:cs="宋体"/>
          <w:bCs/>
          <w:iCs/>
          <w:color w:val="auto"/>
          <w:szCs w:val="21"/>
          <w:highlight w:val="none"/>
        </w:rPr>
        <w:t>拟派项目人员方案</w:t>
      </w:r>
    </w:p>
    <w:p w14:paraId="2CE1BF8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Cs/>
          <w:iCs/>
          <w:color w:val="auto"/>
          <w:szCs w:val="21"/>
          <w:highlight w:val="none"/>
        </w:rPr>
      </w:pPr>
      <w:r>
        <w:rPr>
          <w:rFonts w:hint="eastAsia" w:ascii="宋体" w:hAnsi="宋体" w:eastAsia="宋体" w:cs="宋体"/>
          <w:bCs/>
          <w:iCs/>
          <w:color w:val="auto"/>
          <w:szCs w:val="21"/>
          <w:highlight w:val="none"/>
        </w:rPr>
        <w:t>提供人员配置表，满足本项目生产所需的人员投入，包括项目总负责人及相关工作人员等，具有类似项目从业经验。中标后能在细节方面给予采购人专业的沟通指导。安排合理，确保本项目工作顺利实施。</w:t>
      </w:r>
    </w:p>
    <w:p w14:paraId="6005594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Cs/>
          <w:iCs/>
          <w:color w:val="auto"/>
          <w:szCs w:val="21"/>
          <w:highlight w:val="none"/>
        </w:rPr>
      </w:pPr>
      <w:r>
        <w:rPr>
          <w:rFonts w:hint="default" w:ascii="宋体" w:hAnsi="宋体" w:eastAsia="宋体" w:cs="宋体"/>
          <w:bCs/>
          <w:iCs/>
          <w:color w:val="auto"/>
          <w:szCs w:val="21"/>
          <w:highlight w:val="none"/>
          <w:lang w:val="en-US" w:eastAsia="zh-CN"/>
        </w:rPr>
        <w:t>6.</w:t>
      </w:r>
      <w:r>
        <w:rPr>
          <w:rFonts w:hint="eastAsia" w:ascii="宋体" w:hAnsi="宋体" w:eastAsia="宋体" w:cs="宋体"/>
          <w:bCs/>
          <w:iCs/>
          <w:color w:val="auto"/>
          <w:szCs w:val="21"/>
          <w:highlight w:val="none"/>
        </w:rPr>
        <w:t>安全生产方案</w:t>
      </w:r>
    </w:p>
    <w:p w14:paraId="691ED33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Cs/>
          <w:iCs/>
          <w:color w:val="auto"/>
          <w:szCs w:val="21"/>
          <w:highlight w:val="none"/>
        </w:rPr>
      </w:pPr>
      <w:r>
        <w:rPr>
          <w:rFonts w:hint="eastAsia" w:ascii="宋体" w:hAnsi="宋体" w:eastAsia="宋体" w:cs="宋体"/>
          <w:bCs/>
          <w:iCs/>
          <w:color w:val="auto"/>
          <w:szCs w:val="21"/>
          <w:highlight w:val="none"/>
        </w:rPr>
        <w:t>投标人应制定安全生产责任制度及相关细则。对生产流程（生产过程和工艺）、所使用的木制产品加工设备、钢制产品加工设备和表面喷涂设备设施等进行描述。</w:t>
      </w:r>
    </w:p>
    <w:p w14:paraId="66ECA4D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Cs/>
          <w:iCs/>
          <w:color w:val="auto"/>
          <w:szCs w:val="21"/>
          <w:highlight w:val="none"/>
        </w:rPr>
      </w:pPr>
      <w:r>
        <w:rPr>
          <w:rFonts w:hint="default" w:ascii="宋体" w:hAnsi="宋体" w:eastAsia="宋体" w:cs="宋体"/>
          <w:bCs/>
          <w:iCs/>
          <w:color w:val="auto"/>
          <w:szCs w:val="21"/>
          <w:highlight w:val="none"/>
          <w:lang w:val="en-US" w:eastAsia="zh-CN"/>
        </w:rPr>
        <w:t>7.</w:t>
      </w:r>
      <w:r>
        <w:rPr>
          <w:rFonts w:hint="eastAsia" w:ascii="宋体" w:hAnsi="宋体" w:eastAsia="宋体" w:cs="宋体"/>
          <w:bCs/>
          <w:iCs/>
          <w:color w:val="auto"/>
          <w:szCs w:val="21"/>
          <w:highlight w:val="none"/>
        </w:rPr>
        <w:t>售后服务方案</w:t>
      </w:r>
    </w:p>
    <w:p w14:paraId="62A7834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Cs/>
          <w:iCs/>
          <w:color w:val="auto"/>
          <w:szCs w:val="21"/>
          <w:highlight w:val="none"/>
        </w:rPr>
      </w:pPr>
      <w:r>
        <w:rPr>
          <w:rFonts w:hint="eastAsia" w:ascii="宋体" w:hAnsi="宋体" w:eastAsia="宋体" w:cs="宋体"/>
          <w:bCs/>
          <w:iCs/>
          <w:color w:val="auto"/>
          <w:szCs w:val="21"/>
          <w:highlight w:val="none"/>
        </w:rPr>
        <w:t>提供有关售后服务的管理制度、售后服务机构的分布情况、售后服务人员的数量、素质、技术水平及售后服务的反应能力。自验收合格之日起，所有产品及配件提供不少于 3 年免费质保，质保期内全免费上门。质保期满后，供应商须提供最优惠的维修价格（人工费、出厂价零配件费、其他材料费等）进行相关服务，在设备寿命期内，供应商应能保证采购人更换到原厂正宗的零部件，保证维修配件的供应和及时维修，维修价格保持不变（政策调整因素除外）。</w:t>
      </w:r>
    </w:p>
    <w:p w14:paraId="45DB8E6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Cs/>
          <w:iCs/>
          <w:color w:val="auto"/>
          <w:szCs w:val="21"/>
          <w:highlight w:val="none"/>
        </w:rPr>
      </w:pPr>
      <w:r>
        <w:rPr>
          <w:rFonts w:hint="eastAsia" w:ascii="宋体" w:hAnsi="宋体" w:eastAsia="宋体" w:cs="宋体"/>
          <w:bCs/>
          <w:iCs/>
          <w:color w:val="auto"/>
          <w:szCs w:val="21"/>
          <w:highlight w:val="none"/>
        </w:rPr>
        <w:t>8、项目安装结束后，采购人将随机抽取货物送至检测机构对货物的技术参数及甲醛等有害物质进行检测，相关检测费用由中标人承担，如果随机抽取的任意一款货物检测不合格，采购人将视为所有货物验收不合格而退回所有货物，由此产生的经济损失由中标人承担。</w:t>
      </w:r>
    </w:p>
    <w:p w14:paraId="4D7DC52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
          <w:bCs w:val="0"/>
          <w:iCs/>
          <w:color w:val="auto"/>
          <w:szCs w:val="21"/>
          <w:highlight w:val="none"/>
        </w:rPr>
      </w:pPr>
      <w:r>
        <w:rPr>
          <w:rFonts w:hint="eastAsia" w:ascii="宋体" w:hAnsi="宋体" w:cs="宋体"/>
          <w:b/>
          <w:bCs w:val="0"/>
          <w:iCs/>
          <w:color w:val="auto"/>
          <w:szCs w:val="21"/>
          <w:highlight w:val="none"/>
          <w:lang w:val="en-US" w:eastAsia="zh-CN"/>
        </w:rPr>
        <w:t>9</w:t>
      </w:r>
      <w:r>
        <w:rPr>
          <w:rFonts w:hint="eastAsia" w:ascii="宋体" w:hAnsi="宋体" w:eastAsia="宋体" w:cs="宋体"/>
          <w:b/>
          <w:bCs w:val="0"/>
          <w:iCs/>
          <w:color w:val="auto"/>
          <w:szCs w:val="21"/>
          <w:highlight w:val="none"/>
        </w:rPr>
        <w:t>.样品管理</w:t>
      </w:r>
    </w:p>
    <w:p w14:paraId="0F8641F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
          <w:bCs w:val="0"/>
          <w:iCs/>
          <w:color w:val="auto"/>
          <w:szCs w:val="21"/>
          <w:highlight w:val="none"/>
        </w:rPr>
      </w:pPr>
      <w:r>
        <w:rPr>
          <w:rFonts w:hint="eastAsia" w:ascii="宋体" w:hAnsi="宋体" w:cs="宋体"/>
          <w:b/>
          <w:bCs w:val="0"/>
          <w:iCs/>
          <w:color w:val="auto"/>
          <w:szCs w:val="21"/>
          <w:highlight w:val="none"/>
          <w:lang w:val="en-US" w:eastAsia="zh-CN"/>
        </w:rPr>
        <w:t>9</w:t>
      </w:r>
      <w:r>
        <w:rPr>
          <w:rFonts w:hint="eastAsia" w:ascii="宋体" w:hAnsi="宋体" w:eastAsia="宋体" w:cs="宋体"/>
          <w:b/>
          <w:bCs w:val="0"/>
          <w:iCs/>
          <w:color w:val="auto"/>
          <w:szCs w:val="21"/>
          <w:highlight w:val="none"/>
        </w:rPr>
        <w:t>.1样品递交时间：</w:t>
      </w:r>
      <w:r>
        <w:rPr>
          <w:rFonts w:hint="eastAsia" w:ascii="宋体" w:hAnsi="宋体" w:eastAsia="宋体" w:cs="宋体"/>
          <w:b/>
          <w:bCs w:val="0"/>
          <w:iCs/>
          <w:color w:val="auto"/>
          <w:szCs w:val="21"/>
          <w:highlight w:val="none"/>
          <w:lang w:val="en-US" w:eastAsia="zh-CN"/>
        </w:rPr>
        <w:t>202</w:t>
      </w:r>
      <w:r>
        <w:rPr>
          <w:rFonts w:hint="eastAsia" w:ascii="宋体" w:hAnsi="宋体" w:cs="宋体"/>
          <w:b/>
          <w:bCs w:val="0"/>
          <w:iCs/>
          <w:color w:val="auto"/>
          <w:szCs w:val="21"/>
          <w:highlight w:val="none"/>
          <w:lang w:val="en-US" w:eastAsia="zh-CN"/>
        </w:rPr>
        <w:t>6</w:t>
      </w:r>
      <w:r>
        <w:rPr>
          <w:rFonts w:hint="eastAsia" w:ascii="宋体" w:hAnsi="宋体" w:eastAsia="宋体" w:cs="宋体"/>
          <w:b/>
          <w:bCs w:val="0"/>
          <w:iCs/>
          <w:color w:val="auto"/>
          <w:szCs w:val="21"/>
          <w:highlight w:val="none"/>
        </w:rPr>
        <w:t>年</w:t>
      </w:r>
      <w:r>
        <w:rPr>
          <w:rFonts w:hint="eastAsia" w:ascii="宋体" w:hAnsi="宋体" w:cs="宋体"/>
          <w:b/>
          <w:bCs w:val="0"/>
          <w:iCs/>
          <w:color w:val="auto"/>
          <w:szCs w:val="21"/>
          <w:highlight w:val="none"/>
          <w:lang w:val="en-US" w:eastAsia="zh-CN"/>
        </w:rPr>
        <w:t>3月26日</w:t>
      </w:r>
      <w:r>
        <w:rPr>
          <w:rFonts w:hint="eastAsia" w:ascii="宋体" w:hAnsi="宋体" w:eastAsia="宋体" w:cs="宋体"/>
          <w:b/>
          <w:bCs w:val="0"/>
          <w:iCs/>
          <w:color w:val="auto"/>
          <w:szCs w:val="21"/>
          <w:highlight w:val="none"/>
          <w:lang w:val="en-US" w:eastAsia="zh-CN"/>
        </w:rPr>
        <w:t>8</w:t>
      </w:r>
      <w:r>
        <w:rPr>
          <w:rFonts w:hint="eastAsia" w:ascii="宋体" w:hAnsi="宋体" w:eastAsia="宋体" w:cs="宋体"/>
          <w:b/>
          <w:bCs w:val="0"/>
          <w:iCs/>
          <w:color w:val="auto"/>
          <w:szCs w:val="21"/>
          <w:highlight w:val="none"/>
        </w:rPr>
        <w:t>:30起至</w:t>
      </w:r>
      <w:r>
        <w:rPr>
          <w:rFonts w:hint="eastAsia" w:ascii="宋体" w:hAnsi="宋体" w:eastAsia="宋体" w:cs="宋体"/>
          <w:b/>
          <w:bCs w:val="0"/>
          <w:iCs/>
          <w:color w:val="auto"/>
          <w:szCs w:val="21"/>
          <w:highlight w:val="none"/>
          <w:lang w:val="en-US" w:eastAsia="zh-CN"/>
        </w:rPr>
        <w:t>202</w:t>
      </w:r>
      <w:r>
        <w:rPr>
          <w:rFonts w:hint="eastAsia" w:ascii="宋体" w:hAnsi="宋体" w:cs="宋体"/>
          <w:b/>
          <w:bCs w:val="0"/>
          <w:iCs/>
          <w:color w:val="auto"/>
          <w:szCs w:val="21"/>
          <w:highlight w:val="none"/>
          <w:lang w:val="en-US" w:eastAsia="zh-CN"/>
        </w:rPr>
        <w:t>6</w:t>
      </w:r>
      <w:r>
        <w:rPr>
          <w:rFonts w:hint="eastAsia" w:ascii="宋体" w:hAnsi="宋体" w:eastAsia="宋体" w:cs="宋体"/>
          <w:b/>
          <w:bCs w:val="0"/>
          <w:iCs/>
          <w:color w:val="auto"/>
          <w:szCs w:val="21"/>
          <w:highlight w:val="none"/>
        </w:rPr>
        <w:t>年</w:t>
      </w:r>
      <w:r>
        <w:rPr>
          <w:rFonts w:hint="eastAsia" w:ascii="宋体" w:hAnsi="宋体" w:cs="宋体"/>
          <w:b/>
          <w:bCs w:val="0"/>
          <w:iCs/>
          <w:color w:val="auto"/>
          <w:szCs w:val="21"/>
          <w:highlight w:val="none"/>
          <w:lang w:val="en-US" w:eastAsia="zh-CN"/>
        </w:rPr>
        <w:t>3月26日</w:t>
      </w:r>
      <w:r>
        <w:rPr>
          <w:rFonts w:hint="eastAsia" w:ascii="宋体" w:hAnsi="宋体" w:eastAsia="宋体" w:cs="宋体"/>
          <w:b/>
          <w:bCs w:val="0"/>
          <w:iCs/>
          <w:color w:val="auto"/>
          <w:szCs w:val="21"/>
          <w:highlight w:val="none"/>
          <w:lang w:val="en-US" w:eastAsia="zh-CN"/>
        </w:rPr>
        <w:t>9</w:t>
      </w:r>
      <w:r>
        <w:rPr>
          <w:rFonts w:hint="eastAsia" w:ascii="宋体" w:hAnsi="宋体" w:eastAsia="宋体" w:cs="宋体"/>
          <w:b/>
          <w:bCs w:val="0"/>
          <w:iCs/>
          <w:color w:val="auto"/>
          <w:szCs w:val="21"/>
          <w:highlight w:val="none"/>
        </w:rPr>
        <w:t>:30。</w:t>
      </w:r>
    </w:p>
    <w:p w14:paraId="453FACC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
          <w:bCs w:val="0"/>
          <w:iCs/>
          <w:color w:val="auto"/>
          <w:szCs w:val="21"/>
          <w:highlight w:val="none"/>
        </w:rPr>
      </w:pPr>
      <w:r>
        <w:rPr>
          <w:rFonts w:hint="eastAsia" w:ascii="宋体" w:hAnsi="宋体" w:cs="宋体"/>
          <w:b/>
          <w:bCs w:val="0"/>
          <w:iCs/>
          <w:color w:val="auto"/>
          <w:szCs w:val="21"/>
          <w:highlight w:val="none"/>
          <w:lang w:val="en-US" w:eastAsia="zh-CN"/>
        </w:rPr>
        <w:t>9</w:t>
      </w:r>
      <w:r>
        <w:rPr>
          <w:rFonts w:hint="eastAsia" w:ascii="宋体" w:hAnsi="宋体" w:eastAsia="宋体" w:cs="宋体"/>
          <w:b/>
          <w:bCs w:val="0"/>
          <w:iCs/>
          <w:color w:val="auto"/>
          <w:szCs w:val="21"/>
          <w:highlight w:val="none"/>
        </w:rPr>
        <w:t>.2样品递交地点：</w:t>
      </w:r>
      <w:r>
        <w:rPr>
          <w:rFonts w:hint="eastAsia" w:ascii="宋体" w:hAnsi="宋体" w:eastAsia="宋体" w:cs="宋体"/>
          <w:b/>
          <w:bCs w:val="0"/>
          <w:iCs/>
          <w:color w:val="auto"/>
          <w:szCs w:val="21"/>
          <w:highlight w:val="none"/>
          <w:lang w:eastAsia="zh-CN"/>
        </w:rPr>
        <w:t>扬州市公共资源交易中心江都分中心</w:t>
      </w:r>
      <w:r>
        <w:rPr>
          <w:rFonts w:hint="eastAsia" w:ascii="宋体" w:hAnsi="宋体" w:eastAsia="宋体" w:cs="宋体"/>
          <w:b/>
          <w:bCs w:val="0"/>
          <w:iCs/>
          <w:color w:val="auto"/>
          <w:szCs w:val="21"/>
          <w:highlight w:val="none"/>
        </w:rPr>
        <w:t>地下车库。</w:t>
      </w:r>
    </w:p>
    <w:p w14:paraId="58CBFBB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
          <w:bCs w:val="0"/>
          <w:iCs/>
          <w:color w:val="auto"/>
          <w:szCs w:val="21"/>
          <w:highlight w:val="none"/>
        </w:rPr>
      </w:pPr>
      <w:r>
        <w:rPr>
          <w:rFonts w:hint="eastAsia" w:ascii="宋体" w:hAnsi="宋体" w:cs="宋体"/>
          <w:b/>
          <w:bCs w:val="0"/>
          <w:iCs/>
          <w:color w:val="auto"/>
          <w:szCs w:val="21"/>
          <w:highlight w:val="none"/>
          <w:lang w:val="en-US" w:eastAsia="zh-CN"/>
        </w:rPr>
        <w:t>9</w:t>
      </w:r>
      <w:r>
        <w:rPr>
          <w:rFonts w:hint="eastAsia" w:ascii="宋体" w:hAnsi="宋体" w:eastAsia="宋体" w:cs="宋体"/>
          <w:b/>
          <w:bCs w:val="0"/>
          <w:iCs/>
          <w:color w:val="auto"/>
          <w:szCs w:val="21"/>
          <w:highlight w:val="none"/>
        </w:rPr>
        <w:t>.3样品接收人</w:t>
      </w:r>
      <w:r>
        <w:rPr>
          <w:rFonts w:hint="eastAsia" w:ascii="宋体" w:hAnsi="宋体" w:eastAsia="宋体" w:cs="宋体"/>
          <w:b/>
          <w:bCs w:val="0"/>
          <w:iCs/>
          <w:color w:val="auto"/>
          <w:szCs w:val="21"/>
          <w:highlight w:val="none"/>
          <w:lang w:eastAsia="zh-CN"/>
        </w:rPr>
        <w:t>：</w:t>
      </w:r>
      <w:r>
        <w:rPr>
          <w:rFonts w:hint="eastAsia" w:ascii="宋体" w:hAnsi="宋体" w:eastAsia="宋体" w:cs="宋体"/>
          <w:b/>
          <w:bCs w:val="0"/>
          <w:iCs/>
          <w:color w:val="auto"/>
          <w:szCs w:val="21"/>
          <w:highlight w:val="none"/>
          <w:lang w:val="en-US" w:eastAsia="zh-CN"/>
        </w:rPr>
        <w:t>庄工</w:t>
      </w:r>
      <w:r>
        <w:rPr>
          <w:rFonts w:hint="eastAsia" w:ascii="宋体" w:hAnsi="宋体" w:eastAsia="宋体" w:cs="宋体"/>
          <w:b/>
          <w:bCs w:val="0"/>
          <w:iCs/>
          <w:color w:val="auto"/>
          <w:szCs w:val="21"/>
          <w:highlight w:val="none"/>
        </w:rPr>
        <w:t>；联系方式：</w:t>
      </w:r>
      <w:r>
        <w:rPr>
          <w:rFonts w:hint="eastAsia" w:ascii="宋体" w:hAnsi="宋体" w:eastAsia="宋体" w:cs="宋体"/>
          <w:b/>
          <w:bCs w:val="0"/>
          <w:iCs/>
          <w:color w:val="auto"/>
          <w:szCs w:val="21"/>
          <w:highlight w:val="none"/>
          <w:lang w:val="en-US" w:eastAsia="zh-CN"/>
        </w:rPr>
        <w:t>18252539505</w:t>
      </w:r>
      <w:r>
        <w:rPr>
          <w:rFonts w:hint="eastAsia" w:ascii="宋体" w:hAnsi="宋体" w:eastAsia="宋体" w:cs="宋体"/>
          <w:b/>
          <w:bCs w:val="0"/>
          <w:iCs/>
          <w:color w:val="auto"/>
          <w:szCs w:val="21"/>
          <w:highlight w:val="none"/>
        </w:rPr>
        <w:t>。</w:t>
      </w:r>
    </w:p>
    <w:p w14:paraId="67AED76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
          <w:bCs w:val="0"/>
          <w:iCs/>
          <w:color w:val="auto"/>
          <w:szCs w:val="21"/>
          <w:highlight w:val="none"/>
        </w:rPr>
      </w:pPr>
      <w:r>
        <w:rPr>
          <w:rFonts w:hint="eastAsia" w:ascii="宋体" w:hAnsi="宋体" w:cs="宋体"/>
          <w:b/>
          <w:bCs w:val="0"/>
          <w:iCs/>
          <w:color w:val="auto"/>
          <w:szCs w:val="21"/>
          <w:highlight w:val="none"/>
          <w:lang w:val="en-US" w:eastAsia="zh-CN"/>
        </w:rPr>
        <w:t>9</w:t>
      </w:r>
      <w:r>
        <w:rPr>
          <w:rFonts w:hint="eastAsia" w:ascii="宋体" w:hAnsi="宋体" w:eastAsia="宋体" w:cs="宋体"/>
          <w:b/>
          <w:bCs w:val="0"/>
          <w:iCs/>
          <w:color w:val="auto"/>
          <w:szCs w:val="21"/>
          <w:highlight w:val="none"/>
        </w:rPr>
        <w:t>.4供应商需提交以下样品：</w:t>
      </w:r>
    </w:p>
    <w:p w14:paraId="2AE82E7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
          <w:bCs w:val="0"/>
          <w:iCs/>
          <w:color w:val="auto"/>
          <w:szCs w:val="21"/>
          <w:highlight w:val="none"/>
          <w:lang w:val="en-US" w:eastAsia="zh-CN"/>
        </w:rPr>
      </w:pPr>
      <w:r>
        <w:rPr>
          <w:rFonts w:hint="eastAsia" w:ascii="宋体" w:hAnsi="宋体" w:eastAsia="宋体" w:cs="宋体"/>
          <w:b/>
          <w:bCs w:val="0"/>
          <w:iCs/>
          <w:color w:val="auto"/>
          <w:szCs w:val="21"/>
          <w:highlight w:val="none"/>
        </w:rPr>
        <w:t>（</w:t>
      </w:r>
      <w:r>
        <w:rPr>
          <w:rFonts w:hint="eastAsia" w:ascii="宋体" w:hAnsi="宋体" w:eastAsia="宋体" w:cs="宋体"/>
          <w:b/>
          <w:bCs w:val="0"/>
          <w:iCs/>
          <w:color w:val="auto"/>
          <w:szCs w:val="21"/>
          <w:highlight w:val="none"/>
          <w:lang w:val="en-US" w:eastAsia="zh-CN"/>
        </w:rPr>
        <w:t>1）包1：货物需求一览表中，教师办公室补充序号1“办公桌”1张。</w:t>
      </w:r>
    </w:p>
    <w:p w14:paraId="0677A873">
      <w:pPr>
        <w:pBdr>
          <w:top w:val="none" w:color="000000" w:sz="0" w:space="0"/>
          <w:left w:val="none" w:color="000000" w:sz="0" w:space="0"/>
          <w:bottom w:val="none" w:color="000000" w:sz="0" w:space="0"/>
          <w:right w:val="none" w:color="000000" w:sz="0" w:space="0"/>
        </w:pBdr>
        <w:spacing w:line="360" w:lineRule="auto"/>
        <w:ind w:firstLine="480"/>
        <w:rPr>
          <w:rFonts w:hint="default" w:ascii="宋体" w:hAnsi="宋体" w:eastAsia="宋体" w:cs="宋体"/>
          <w:b/>
          <w:bCs w:val="0"/>
          <w:iCs/>
          <w:color w:val="auto"/>
          <w:szCs w:val="21"/>
          <w:highlight w:val="none"/>
          <w:lang w:val="en-US" w:eastAsia="zh-CN"/>
        </w:rPr>
      </w:pPr>
      <w:r>
        <w:rPr>
          <w:rFonts w:hint="eastAsia" w:ascii="宋体" w:hAnsi="宋体" w:eastAsia="宋体" w:cs="宋体"/>
          <w:b/>
          <w:bCs w:val="0"/>
          <w:iCs/>
          <w:color w:val="auto"/>
          <w:szCs w:val="21"/>
          <w:highlight w:val="none"/>
          <w:lang w:val="en-US" w:eastAsia="zh-CN"/>
        </w:rPr>
        <w:t>（2）包2：货物需求一览表中，教师阅览室1间序号1“钢木书架”1档。</w:t>
      </w:r>
    </w:p>
    <w:p w14:paraId="650EB45C">
      <w:pPr>
        <w:pBdr>
          <w:top w:val="none" w:color="000000" w:sz="0" w:space="0"/>
          <w:left w:val="none" w:color="000000" w:sz="0" w:space="0"/>
          <w:bottom w:val="none" w:color="000000" w:sz="0" w:space="0"/>
          <w:right w:val="none" w:color="000000" w:sz="0" w:space="0"/>
        </w:pBdr>
        <w:spacing w:line="360" w:lineRule="auto"/>
        <w:ind w:firstLine="480"/>
        <w:rPr>
          <w:rFonts w:hint="default" w:ascii="宋体" w:hAnsi="宋体" w:eastAsia="宋体" w:cs="宋体"/>
          <w:b/>
          <w:bCs w:val="0"/>
          <w:iCs/>
          <w:color w:val="auto"/>
          <w:szCs w:val="21"/>
          <w:highlight w:val="none"/>
          <w:lang w:val="en-US" w:eastAsia="zh-CN"/>
        </w:rPr>
      </w:pPr>
      <w:r>
        <w:rPr>
          <w:rFonts w:hint="eastAsia" w:ascii="宋体" w:hAnsi="宋体" w:eastAsia="宋体" w:cs="宋体"/>
          <w:b/>
          <w:bCs w:val="0"/>
          <w:iCs/>
          <w:color w:val="auto"/>
          <w:szCs w:val="21"/>
          <w:highlight w:val="none"/>
          <w:lang w:val="en-US" w:eastAsia="zh-CN"/>
        </w:rPr>
        <w:t>（</w:t>
      </w:r>
      <w:r>
        <w:rPr>
          <w:rFonts w:hint="eastAsia" w:ascii="宋体" w:hAnsi="宋体" w:cs="宋体"/>
          <w:b/>
          <w:bCs w:val="0"/>
          <w:iCs/>
          <w:color w:val="auto"/>
          <w:szCs w:val="21"/>
          <w:highlight w:val="none"/>
          <w:lang w:val="en-US" w:eastAsia="zh-CN"/>
        </w:rPr>
        <w:t>3</w:t>
      </w:r>
      <w:r>
        <w:rPr>
          <w:rFonts w:hint="eastAsia" w:ascii="宋体" w:hAnsi="宋体" w:eastAsia="宋体" w:cs="宋体"/>
          <w:b/>
          <w:bCs w:val="0"/>
          <w:iCs/>
          <w:color w:val="auto"/>
          <w:szCs w:val="21"/>
          <w:highlight w:val="none"/>
          <w:lang w:val="en-US" w:eastAsia="zh-CN"/>
        </w:rPr>
        <w:t>）包</w:t>
      </w:r>
      <w:r>
        <w:rPr>
          <w:rFonts w:hint="eastAsia" w:ascii="宋体" w:hAnsi="宋体" w:cs="宋体"/>
          <w:b/>
          <w:bCs w:val="0"/>
          <w:iCs/>
          <w:color w:val="auto"/>
          <w:szCs w:val="21"/>
          <w:highlight w:val="none"/>
          <w:lang w:val="en-US" w:eastAsia="zh-CN"/>
        </w:rPr>
        <w:t>3</w:t>
      </w:r>
      <w:r>
        <w:rPr>
          <w:rFonts w:hint="eastAsia" w:ascii="宋体" w:hAnsi="宋体" w:eastAsia="宋体" w:cs="宋体"/>
          <w:b/>
          <w:bCs w:val="0"/>
          <w:iCs/>
          <w:color w:val="auto"/>
          <w:szCs w:val="21"/>
          <w:highlight w:val="none"/>
          <w:lang w:val="en-US" w:eastAsia="zh-CN"/>
        </w:rPr>
        <w:t>：货物需求一览表中，</w:t>
      </w:r>
      <w:r>
        <w:rPr>
          <w:rFonts w:hint="eastAsia" w:ascii="宋体" w:hAnsi="宋体" w:cs="宋体"/>
          <w:b/>
          <w:bCs w:val="0"/>
          <w:iCs/>
          <w:color w:val="auto"/>
          <w:szCs w:val="21"/>
          <w:highlight w:val="none"/>
          <w:u w:val="single"/>
          <w:lang w:val="en-US" w:eastAsia="zh-CN"/>
        </w:rPr>
        <w:t>录播教室序号1:“课桌椅(套)”1套</w:t>
      </w:r>
      <w:r>
        <w:rPr>
          <w:rFonts w:hint="eastAsia" w:ascii="宋体" w:hAnsi="宋体" w:eastAsia="宋体" w:cs="宋体"/>
          <w:b/>
          <w:bCs w:val="0"/>
          <w:iCs/>
          <w:color w:val="auto"/>
          <w:szCs w:val="21"/>
          <w:highlight w:val="none"/>
          <w:lang w:val="en-US" w:eastAsia="zh-CN"/>
        </w:rPr>
        <w:t>。</w:t>
      </w:r>
    </w:p>
    <w:p w14:paraId="5F1439D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
          <w:bCs w:val="0"/>
          <w:iCs/>
          <w:color w:val="auto"/>
          <w:szCs w:val="21"/>
          <w:highlight w:val="none"/>
        </w:rPr>
      </w:pPr>
      <w:r>
        <w:rPr>
          <w:rFonts w:hint="eastAsia" w:ascii="宋体" w:hAnsi="宋体" w:eastAsia="宋体" w:cs="宋体"/>
          <w:b/>
          <w:bCs w:val="0"/>
          <w:iCs/>
          <w:color w:val="auto"/>
          <w:szCs w:val="21"/>
          <w:highlight w:val="none"/>
        </w:rPr>
        <w:t>供应商提交的样品不得含有供应商名称。</w:t>
      </w:r>
    </w:p>
    <w:p w14:paraId="0DCF122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
          <w:bCs w:val="0"/>
          <w:iCs/>
          <w:color w:val="auto"/>
          <w:szCs w:val="21"/>
          <w:highlight w:val="none"/>
        </w:rPr>
      </w:pPr>
      <w:r>
        <w:rPr>
          <w:rFonts w:hint="eastAsia" w:ascii="宋体" w:hAnsi="宋体" w:cs="宋体"/>
          <w:b/>
          <w:bCs w:val="0"/>
          <w:iCs/>
          <w:color w:val="auto"/>
          <w:szCs w:val="21"/>
          <w:highlight w:val="none"/>
          <w:lang w:val="en-US" w:eastAsia="zh-CN"/>
        </w:rPr>
        <w:t>9</w:t>
      </w:r>
      <w:r>
        <w:rPr>
          <w:rFonts w:hint="eastAsia" w:ascii="宋体" w:hAnsi="宋体" w:eastAsia="宋体" w:cs="宋体"/>
          <w:b/>
          <w:bCs w:val="0"/>
          <w:iCs/>
          <w:color w:val="auto"/>
          <w:szCs w:val="21"/>
          <w:highlight w:val="none"/>
        </w:rPr>
        <w:t>.5供应商递交样品时将进行登记，并由样品递交人签字确认。</w:t>
      </w:r>
    </w:p>
    <w:p w14:paraId="612F1F4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
          <w:bCs w:val="0"/>
          <w:iCs/>
          <w:color w:val="auto"/>
          <w:szCs w:val="21"/>
          <w:highlight w:val="none"/>
        </w:rPr>
      </w:pPr>
      <w:r>
        <w:rPr>
          <w:rFonts w:hint="eastAsia" w:ascii="宋体" w:hAnsi="宋体" w:cs="宋体"/>
          <w:b/>
          <w:bCs w:val="0"/>
          <w:iCs/>
          <w:color w:val="auto"/>
          <w:szCs w:val="21"/>
          <w:highlight w:val="none"/>
          <w:lang w:val="en-US" w:eastAsia="zh-CN"/>
        </w:rPr>
        <w:t>9</w:t>
      </w:r>
      <w:r>
        <w:rPr>
          <w:rFonts w:hint="eastAsia" w:ascii="宋体" w:hAnsi="宋体" w:eastAsia="宋体" w:cs="宋体"/>
          <w:b/>
          <w:bCs w:val="0"/>
          <w:iCs/>
          <w:color w:val="auto"/>
          <w:szCs w:val="21"/>
          <w:highlight w:val="none"/>
        </w:rPr>
        <w:t>.6供应商递交/取回样品时，不得破坏或损毁其他供应商的样品，也不得对其他供应商的样品拍照、录像。</w:t>
      </w:r>
    </w:p>
    <w:p w14:paraId="128C0C8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
          <w:bCs w:val="0"/>
          <w:iCs/>
          <w:color w:val="auto"/>
          <w:szCs w:val="21"/>
          <w:highlight w:val="none"/>
          <w:lang w:val="en-US" w:eastAsia="zh-CN"/>
        </w:rPr>
        <w:sectPr>
          <w:pgSz w:w="11906" w:h="16838"/>
          <w:pgMar w:top="1440" w:right="1800" w:bottom="1440" w:left="1800" w:header="851" w:footer="850" w:gutter="0"/>
          <w:pgBorders>
            <w:top w:val="none" w:sz="0" w:space="0"/>
            <w:left w:val="none" w:sz="0" w:space="0"/>
            <w:bottom w:val="none" w:sz="0" w:space="0"/>
            <w:right w:val="none" w:sz="0" w:space="0"/>
          </w:pgBorders>
          <w:pgNumType w:start="1"/>
          <w:cols w:space="720" w:num="1"/>
          <w:docGrid w:linePitch="360" w:charSpace="0"/>
        </w:sectPr>
      </w:pPr>
      <w:r>
        <w:rPr>
          <w:rFonts w:hint="eastAsia" w:ascii="宋体" w:hAnsi="宋体" w:cs="宋体"/>
          <w:b/>
          <w:bCs w:val="0"/>
          <w:iCs/>
          <w:color w:val="auto"/>
          <w:szCs w:val="21"/>
          <w:highlight w:val="none"/>
          <w:lang w:val="en-US" w:eastAsia="zh-CN"/>
        </w:rPr>
        <w:t>9</w:t>
      </w:r>
      <w:r>
        <w:rPr>
          <w:rFonts w:hint="eastAsia" w:ascii="宋体" w:hAnsi="宋体" w:eastAsia="宋体" w:cs="宋体"/>
          <w:b/>
          <w:bCs w:val="0"/>
          <w:iCs/>
          <w:color w:val="auto"/>
          <w:szCs w:val="21"/>
          <w:highlight w:val="none"/>
        </w:rPr>
        <w:t>.7 中标（成交）供应商递交的样品由采购人负责保管、封存并作为履约验收的依据，不再退还中标（成交）供应商。未中标（成交）供应商递交的样品在采购结果公告期结束后</w:t>
      </w:r>
      <w:r>
        <w:rPr>
          <w:rFonts w:hint="eastAsia" w:ascii="宋体" w:hAnsi="宋体" w:eastAsia="宋体" w:cs="宋体"/>
          <w:b/>
          <w:bCs w:val="0"/>
          <w:iCs/>
          <w:color w:val="auto"/>
          <w:szCs w:val="21"/>
          <w:highlight w:val="none"/>
          <w:lang w:val="en-US" w:eastAsia="zh-CN"/>
        </w:rPr>
        <w:t>2</w:t>
      </w:r>
      <w:r>
        <w:rPr>
          <w:rFonts w:hint="eastAsia" w:ascii="宋体" w:hAnsi="宋体" w:eastAsia="宋体" w:cs="宋体"/>
          <w:b/>
          <w:bCs w:val="0"/>
          <w:iCs/>
          <w:color w:val="auto"/>
          <w:szCs w:val="21"/>
          <w:highlight w:val="none"/>
        </w:rPr>
        <w:t>个工作日内，通知未中标（成交）供应商自行取回，逾期未取回，视同供应商放弃样品所有权，由采购人、</w:t>
      </w:r>
      <w:r>
        <w:rPr>
          <w:rFonts w:hint="eastAsia" w:ascii="宋体" w:hAnsi="宋体" w:cs="宋体"/>
          <w:b/>
          <w:bCs w:val="0"/>
          <w:iCs/>
          <w:color w:val="auto"/>
          <w:szCs w:val="21"/>
          <w:highlight w:val="none"/>
          <w:lang w:val="en-US" w:eastAsia="zh-CN"/>
        </w:rPr>
        <w:t>采购代理机构</w:t>
      </w:r>
      <w:r>
        <w:rPr>
          <w:rFonts w:hint="eastAsia" w:ascii="宋体" w:hAnsi="宋体" w:eastAsia="宋体" w:cs="宋体"/>
          <w:b/>
          <w:bCs w:val="0"/>
          <w:iCs/>
          <w:color w:val="auto"/>
          <w:szCs w:val="21"/>
          <w:highlight w:val="none"/>
        </w:rPr>
        <w:t>自行处置。</w:t>
      </w:r>
    </w:p>
    <w:p w14:paraId="6D11AC23">
      <w:pPr>
        <w:pStyle w:val="2"/>
        <w:keepNext/>
        <w:keepLines/>
        <w:pageBreakBefore w:val="0"/>
        <w:widowControl w:val="0"/>
        <w:spacing w:before="0" w:after="0" w:line="360" w:lineRule="auto"/>
        <w:jc w:val="center"/>
        <w:rPr>
          <w:color w:val="auto"/>
          <w:highlight w:val="none"/>
        </w:rPr>
      </w:pPr>
      <w:r>
        <w:rPr>
          <w:rFonts w:hint="eastAsia" w:ascii="宋体" w:hAnsi="宋体" w:eastAsia="宋体" w:cs="Times New Roman"/>
          <w:b/>
          <w:bCs/>
          <w:color w:val="auto"/>
          <w:sz w:val="36"/>
          <w:szCs w:val="36"/>
          <w:highlight w:val="none"/>
          <w:lang w:val="en-US" w:eastAsia="zh-CN"/>
        </w:rPr>
        <w:t>第五章 评标方法及评标标准</w:t>
      </w:r>
      <w:bookmarkEnd w:id="54"/>
      <w:bookmarkEnd w:id="55"/>
    </w:p>
    <w:p w14:paraId="486DF0B1">
      <w:pPr>
        <w:pStyle w:val="193"/>
        <w:ind w:firstLine="422"/>
        <w:rPr>
          <w:rFonts w:ascii="宋体" w:hAnsi="宋体"/>
          <w:b/>
          <w:color w:val="auto"/>
          <w:sz w:val="21"/>
          <w:szCs w:val="21"/>
          <w:highlight w:val="none"/>
        </w:rPr>
      </w:pPr>
      <w:r>
        <w:rPr>
          <w:rFonts w:hint="eastAsia" w:ascii="宋体" w:hAnsi="宋体"/>
          <w:b/>
          <w:color w:val="auto"/>
          <w:sz w:val="21"/>
          <w:szCs w:val="21"/>
          <w:highlight w:val="none"/>
        </w:rPr>
        <w:t>一、评标方法</w:t>
      </w:r>
    </w:p>
    <w:p w14:paraId="143FF79B">
      <w:pPr>
        <w:pStyle w:val="193"/>
        <w:ind w:firstLine="420"/>
        <w:rPr>
          <w:rFonts w:ascii="宋体" w:hAnsi="宋体"/>
          <w:color w:val="auto"/>
          <w:sz w:val="21"/>
          <w:szCs w:val="21"/>
          <w:highlight w:val="none"/>
        </w:rPr>
      </w:pPr>
      <w:r>
        <w:rPr>
          <w:rFonts w:hint="eastAsia" w:ascii="宋体" w:hAnsi="宋体"/>
          <w:color w:val="auto"/>
          <w:sz w:val="21"/>
          <w:szCs w:val="21"/>
          <w:highlight w:val="none"/>
        </w:rPr>
        <w:t>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363F0DA7">
      <w:pPr>
        <w:spacing w:line="360" w:lineRule="auto"/>
        <w:ind w:firstLine="422"/>
        <w:rPr>
          <w:rFonts w:hint="eastAsia" w:ascii="宋体" w:hAnsi="宋体"/>
          <w:b/>
          <w:color w:val="auto"/>
          <w:szCs w:val="21"/>
          <w:highlight w:val="none"/>
        </w:rPr>
      </w:pPr>
      <w:bookmarkStart w:id="56" w:name="_Toc449017024"/>
      <w:bookmarkStart w:id="57" w:name="_Toc449016388"/>
      <w:r>
        <w:rPr>
          <w:rFonts w:ascii="宋体" w:hAnsi="宋体"/>
          <w:b/>
          <w:color w:val="auto"/>
          <w:szCs w:val="21"/>
          <w:highlight w:val="none"/>
        </w:rPr>
        <w:t>二、</w:t>
      </w:r>
      <w:r>
        <w:rPr>
          <w:rFonts w:hint="eastAsia" w:ascii="宋体" w:hAnsi="宋体"/>
          <w:b/>
          <w:color w:val="auto"/>
          <w:szCs w:val="21"/>
          <w:highlight w:val="none"/>
        </w:rPr>
        <w:t>政府采购政策功能落实</w:t>
      </w:r>
      <w:bookmarkEnd w:id="56"/>
      <w:bookmarkEnd w:id="57"/>
    </w:p>
    <w:p w14:paraId="539A6107">
      <w:pPr>
        <w:spacing w:line="360" w:lineRule="auto"/>
        <w:ind w:firstLine="420"/>
        <w:rPr>
          <w:rFonts w:ascii="宋体" w:hAnsi="宋体"/>
          <w:b/>
          <w:color w:val="auto"/>
          <w:szCs w:val="21"/>
          <w:highlight w:val="none"/>
        </w:rPr>
      </w:pPr>
      <w:r>
        <w:rPr>
          <w:color w:val="auto"/>
          <w:highlight w:val="none"/>
        </w:rPr>
        <w:t>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p>
    <w:p w14:paraId="1614B676">
      <w:pPr>
        <w:pStyle w:val="193"/>
        <w:keepNext w:val="0"/>
        <w:keepLines w:val="0"/>
        <w:pageBreakBefore w:val="0"/>
        <w:widowControl w:val="0"/>
        <w:spacing w:before="0" w:after="0"/>
        <w:ind w:firstLine="42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1、小微型企业价格扣除</w:t>
      </w:r>
    </w:p>
    <w:p w14:paraId="63740DF0">
      <w:pPr>
        <w:pStyle w:val="193"/>
        <w:keepNext w:val="0"/>
        <w:keepLines w:val="0"/>
        <w:pageBreakBefore w:val="0"/>
        <w:widowControl w:val="0"/>
        <w:spacing w:before="0" w:after="0"/>
        <w:ind w:firstLine="42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（1）本项目对小型和微型企业产品给予20%（工程5%）的扣除价格，用扣除后的价格参与评审。</w:t>
      </w:r>
    </w:p>
    <w:p w14:paraId="3BA97A4B">
      <w:pPr>
        <w:pStyle w:val="193"/>
        <w:keepNext w:val="0"/>
        <w:keepLines w:val="0"/>
        <w:pageBreakBefore w:val="0"/>
        <w:widowControl w:val="0"/>
        <w:spacing w:before="0" w:after="0"/>
        <w:ind w:firstLine="42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（2）供应商需按照采购文件的要求提供相应的《企业声明函》。</w:t>
      </w:r>
    </w:p>
    <w:p w14:paraId="40DBD55E">
      <w:pPr>
        <w:pStyle w:val="193"/>
        <w:keepNext w:val="0"/>
        <w:keepLines w:val="0"/>
        <w:pageBreakBefore w:val="0"/>
        <w:widowControl w:val="0"/>
        <w:spacing w:before="0" w:after="0"/>
        <w:ind w:firstLine="42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2、残疾人福利单位价格扣除</w:t>
      </w:r>
    </w:p>
    <w:p w14:paraId="78579982">
      <w:pPr>
        <w:pStyle w:val="193"/>
        <w:keepNext w:val="0"/>
        <w:keepLines w:val="0"/>
        <w:pageBreakBefore w:val="0"/>
        <w:widowControl w:val="0"/>
        <w:spacing w:before="0" w:after="0"/>
        <w:ind w:firstLine="42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（1）本项目对残疾人福利性单位视同小型、微型企业，给予</w:t>
      </w:r>
      <w:r>
        <w:rPr>
          <w:rFonts w:hint="eastAsia" w:ascii="宋体" w:hAnsi="宋体" w:eastAsia="宋体" w:cs="Times New Roman"/>
          <w:color w:val="auto"/>
          <w:sz w:val="21"/>
          <w:szCs w:val="21"/>
          <w:highlight w:val="none"/>
          <w:lang w:val="en-US" w:eastAsia="zh-CN"/>
        </w:rPr>
        <w:t>20%（工程5%）</w:t>
      </w:r>
      <w:r>
        <w:rPr>
          <w:rFonts w:hint="eastAsia" w:ascii="宋体" w:hAnsi="宋体" w:eastAsia="宋体" w:cs="Times New Roman"/>
          <w:color w:val="auto"/>
          <w:sz w:val="21"/>
          <w:szCs w:val="21"/>
          <w:highlight w:val="none"/>
        </w:rPr>
        <w:t>的价格扣除，用扣除后的价格参与评审。</w:t>
      </w:r>
    </w:p>
    <w:p w14:paraId="272D19EC">
      <w:pPr>
        <w:pStyle w:val="193"/>
        <w:keepNext w:val="0"/>
        <w:keepLines w:val="0"/>
        <w:pageBreakBefore w:val="0"/>
        <w:widowControl w:val="0"/>
        <w:spacing w:before="0" w:after="0"/>
        <w:ind w:firstLine="42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（2）残疾人福利单位需按照采购文件的要求提供《残疾人福利性单位声明函》。</w:t>
      </w:r>
    </w:p>
    <w:p w14:paraId="3397E242">
      <w:pPr>
        <w:pStyle w:val="193"/>
        <w:keepNext w:val="0"/>
        <w:keepLines w:val="0"/>
        <w:pageBreakBefore w:val="0"/>
        <w:widowControl w:val="0"/>
        <w:spacing w:before="0" w:after="0"/>
        <w:ind w:firstLine="42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（3）残疾人福利单位标准请参照《关于促进残疾人就业政府采购政策的通知》（财库〔2017〕141号）。</w:t>
      </w:r>
    </w:p>
    <w:p w14:paraId="19A471D3">
      <w:pPr>
        <w:pStyle w:val="193"/>
        <w:keepNext w:val="0"/>
        <w:keepLines w:val="0"/>
        <w:pageBreakBefore w:val="0"/>
        <w:widowControl w:val="0"/>
        <w:spacing w:before="0" w:after="0"/>
        <w:ind w:firstLine="42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3、监狱和戒毒企业价格扣除</w:t>
      </w:r>
    </w:p>
    <w:p w14:paraId="4245DBAE">
      <w:pPr>
        <w:pStyle w:val="193"/>
        <w:keepNext w:val="0"/>
        <w:keepLines w:val="0"/>
        <w:pageBreakBefore w:val="0"/>
        <w:widowControl w:val="0"/>
        <w:spacing w:before="0" w:after="0"/>
        <w:ind w:firstLine="42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（1）本项目对监狱和戒毒企业（简称监狱企业）视同小型、微型企业，给予</w:t>
      </w:r>
      <w:r>
        <w:rPr>
          <w:rFonts w:hint="eastAsia" w:ascii="宋体" w:hAnsi="宋体" w:eastAsia="宋体" w:cs="Times New Roman"/>
          <w:color w:val="auto"/>
          <w:sz w:val="21"/>
          <w:szCs w:val="21"/>
          <w:highlight w:val="none"/>
          <w:lang w:val="en-US" w:eastAsia="zh-CN"/>
        </w:rPr>
        <w:t>20%（工程 5%）</w:t>
      </w:r>
      <w:r>
        <w:rPr>
          <w:rFonts w:hint="eastAsia" w:ascii="宋体" w:hAnsi="宋体" w:eastAsia="宋体" w:cs="Times New Roman"/>
          <w:color w:val="auto"/>
          <w:sz w:val="21"/>
          <w:szCs w:val="21"/>
          <w:highlight w:val="none"/>
        </w:rPr>
        <w:t>的价格扣除，用扣除后的价格参与评审。</w:t>
      </w:r>
    </w:p>
    <w:p w14:paraId="53F2151B">
      <w:pPr>
        <w:pStyle w:val="193"/>
        <w:keepNext w:val="0"/>
        <w:keepLines w:val="0"/>
        <w:pageBreakBefore w:val="0"/>
        <w:widowControl w:val="0"/>
        <w:spacing w:before="0" w:after="0"/>
        <w:ind w:firstLine="42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（2）监狱企业参加政府采购活动时，需提供由省级以上监狱管理局、戒毒管理局(含新疆生产建设兵团)出具的属于监狱企业的证明文件。供应商如不提供上述证明文件，价格将不做相应扣除。</w:t>
      </w:r>
    </w:p>
    <w:p w14:paraId="3CE783A5">
      <w:pPr>
        <w:pStyle w:val="193"/>
        <w:keepNext w:val="0"/>
        <w:keepLines w:val="0"/>
        <w:pageBreakBefore w:val="0"/>
        <w:widowControl w:val="0"/>
        <w:spacing w:before="0" w:after="0"/>
        <w:ind w:firstLine="42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（3）监狱企业标准请参照《关于政府采购支持监狱企业发展有关问题的通知》（财库[2014]68号）。</w:t>
      </w:r>
    </w:p>
    <w:p w14:paraId="185C1D03">
      <w:pPr>
        <w:pStyle w:val="193"/>
        <w:keepNext w:val="0"/>
        <w:keepLines w:val="0"/>
        <w:pageBreakBefore w:val="0"/>
        <w:widowControl w:val="0"/>
        <w:spacing w:before="0" w:after="0"/>
        <w:ind w:firstLine="42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4、残疾人福利单位、监狱企业属于小型、微型企业的，不重复享受政策。</w:t>
      </w:r>
    </w:p>
    <w:p w14:paraId="2B2F86EE">
      <w:pPr>
        <w:pStyle w:val="193"/>
        <w:keepNext w:val="0"/>
        <w:keepLines w:val="0"/>
        <w:pageBreakBefore w:val="0"/>
        <w:widowControl w:val="0"/>
        <w:spacing w:before="0" w:after="0"/>
        <w:ind w:firstLine="42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eastAsia="宋体" w:cs="Times New Roman"/>
          <w:color w:val="auto"/>
          <w:sz w:val="21"/>
          <w:szCs w:val="21"/>
          <w:highlight w:val="none"/>
          <w:lang w:val="en-US" w:eastAsia="zh-CN"/>
        </w:rPr>
        <w:t>联合体6%（工程2%）</w:t>
      </w:r>
      <w:r>
        <w:rPr>
          <w:rFonts w:hint="eastAsia" w:ascii="宋体" w:hAnsi="宋体" w:eastAsia="宋体" w:cs="Times New Roman"/>
          <w:color w:val="auto"/>
          <w:sz w:val="21"/>
          <w:szCs w:val="21"/>
          <w:highlight w:val="none"/>
        </w:rPr>
        <w:t>的价格扣除，用扣除后的价格参与评审。 </w:t>
      </w:r>
    </w:p>
    <w:p w14:paraId="20276BC3">
      <w:pPr>
        <w:pStyle w:val="193"/>
        <w:keepNext w:val="0"/>
        <w:keepLines w:val="0"/>
        <w:pageBreakBefore w:val="0"/>
        <w:widowControl w:val="0"/>
        <w:spacing w:before="0" w:after="0"/>
        <w:ind w:firstLine="42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6、联合体各方均为小型、微型企业（残疾人福利单位、监狱企业）的，联合体享受20%(工程5%)的价格扣除，用扣除后的价格参与评审。</w:t>
      </w:r>
    </w:p>
    <w:p w14:paraId="7F8BC957">
      <w:pPr>
        <w:ind w:firstLine="422" w:firstLineChars="200"/>
        <w:jc w:val="both"/>
        <w:rPr>
          <w:rFonts w:hint="eastAsia" w:ascii="宋体" w:hAnsi="宋体"/>
          <w:b/>
          <w:color w:val="auto"/>
          <w:sz w:val="21"/>
          <w:szCs w:val="21"/>
          <w:highlight w:val="none"/>
        </w:rPr>
      </w:pPr>
    </w:p>
    <w:p w14:paraId="09369F5F">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both"/>
        <w:textAlignment w:val="auto"/>
        <w:rPr>
          <w:rFonts w:hint="eastAsia" w:ascii="宋体" w:hAnsi="宋体"/>
          <w:b/>
          <w:color w:val="auto"/>
          <w:sz w:val="21"/>
          <w:szCs w:val="21"/>
          <w:highlight w:val="none"/>
        </w:rPr>
      </w:pPr>
      <w:r>
        <w:rPr>
          <w:rFonts w:hint="eastAsia" w:ascii="宋体" w:hAnsi="宋体"/>
          <w:b/>
          <w:color w:val="auto"/>
          <w:sz w:val="21"/>
          <w:szCs w:val="21"/>
          <w:highlight w:val="none"/>
        </w:rPr>
        <w:t>三、评标标准</w:t>
      </w:r>
    </w:p>
    <w:p w14:paraId="7A274217">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both"/>
        <w:textAlignment w:val="auto"/>
        <w:rPr>
          <w:rFonts w:hint="default" w:ascii="宋体" w:hAnsi="宋体" w:eastAsia="宋体"/>
          <w:b/>
          <w:color w:val="auto"/>
          <w:sz w:val="21"/>
          <w:szCs w:val="21"/>
          <w:highlight w:val="none"/>
          <w:lang w:val="en-US" w:eastAsia="zh-CN"/>
        </w:rPr>
      </w:pPr>
      <w:r>
        <w:rPr>
          <w:rFonts w:hint="eastAsia" w:ascii="宋体" w:hAnsi="宋体"/>
          <w:b/>
          <w:color w:val="auto"/>
          <w:sz w:val="21"/>
          <w:szCs w:val="21"/>
          <w:highlight w:val="none"/>
          <w:lang w:val="en-US" w:eastAsia="zh-CN"/>
        </w:rPr>
        <w:t>包1、包2、包3</w:t>
      </w:r>
    </w:p>
    <w:tbl>
      <w:tblPr>
        <w:tblStyle w:val="37"/>
        <w:tblW w:w="9215"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9"/>
        <w:gridCol w:w="6946"/>
      </w:tblGrid>
      <w:tr w14:paraId="6FDAD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2269" w:type="dxa"/>
            <w:tcBorders>
              <w:right w:val="single" w:color="auto" w:sz="4" w:space="0"/>
            </w:tcBorders>
            <w:noWrap w:val="0"/>
            <w:vAlign w:val="center"/>
          </w:tcPr>
          <w:p w14:paraId="30F1E98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ascii="宋体" w:hAnsi="宋体"/>
                <w:color w:val="auto"/>
                <w:highlight w:val="none"/>
              </w:rPr>
            </w:pPr>
            <w:r>
              <w:rPr>
                <w:rFonts w:hint="eastAsia" w:ascii="宋体" w:hAnsi="宋体"/>
                <w:color w:val="auto"/>
                <w:highlight w:val="none"/>
              </w:rPr>
              <w:t>评审内容</w:t>
            </w:r>
          </w:p>
        </w:tc>
        <w:tc>
          <w:tcPr>
            <w:tcW w:w="6946" w:type="dxa"/>
            <w:tcBorders>
              <w:left w:val="single" w:color="auto" w:sz="4" w:space="0"/>
            </w:tcBorders>
            <w:noWrap w:val="0"/>
            <w:vAlign w:val="center"/>
          </w:tcPr>
          <w:p w14:paraId="71D1C83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ascii="宋体" w:hAnsi="宋体"/>
                <w:color w:val="auto"/>
                <w:highlight w:val="none"/>
              </w:rPr>
            </w:pPr>
            <w:r>
              <w:rPr>
                <w:rFonts w:hint="eastAsia" w:ascii="宋体" w:hAnsi="宋体"/>
                <w:color w:val="auto"/>
                <w:highlight w:val="none"/>
              </w:rPr>
              <w:t>评分标准</w:t>
            </w:r>
          </w:p>
        </w:tc>
      </w:tr>
      <w:tr w14:paraId="53D26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rPr>
        <w:tc>
          <w:tcPr>
            <w:tcW w:w="2269" w:type="dxa"/>
            <w:tcBorders>
              <w:right w:val="single" w:color="auto" w:sz="4" w:space="0"/>
            </w:tcBorders>
            <w:noWrap w:val="0"/>
            <w:vAlign w:val="center"/>
          </w:tcPr>
          <w:p w14:paraId="068120D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ascii="宋体" w:hAnsi="宋体"/>
                <w:color w:val="auto"/>
                <w:highlight w:val="none"/>
              </w:rPr>
            </w:pPr>
            <w:r>
              <w:rPr>
                <w:rFonts w:hint="eastAsia" w:ascii="宋体" w:hAnsi="宋体"/>
                <w:color w:val="auto"/>
                <w:highlight w:val="none"/>
              </w:rPr>
              <w:t>价格部分</w:t>
            </w:r>
          </w:p>
          <w:p w14:paraId="4873784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ascii="宋体" w:hAnsi="宋体"/>
                <w:color w:val="auto"/>
                <w:highlight w:val="none"/>
              </w:rPr>
            </w:pPr>
            <w:r>
              <w:rPr>
                <w:rFonts w:hint="eastAsia" w:ascii="宋体" w:hAnsi="宋体"/>
                <w:color w:val="auto"/>
                <w:highlight w:val="none"/>
              </w:rPr>
              <w:t>（30分）</w:t>
            </w:r>
          </w:p>
        </w:tc>
        <w:tc>
          <w:tcPr>
            <w:tcW w:w="6946" w:type="dxa"/>
            <w:tcBorders>
              <w:left w:val="single" w:color="auto" w:sz="4" w:space="0"/>
            </w:tcBorders>
            <w:noWrap w:val="0"/>
            <w:vAlign w:val="center"/>
          </w:tcPr>
          <w:p w14:paraId="4DA6F64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ascii="宋体" w:hAnsi="宋体"/>
                <w:color w:val="auto"/>
                <w:highlight w:val="none"/>
              </w:rPr>
            </w:pPr>
            <w:r>
              <w:rPr>
                <w:rFonts w:hint="eastAsia" w:ascii="宋体" w:hAnsi="宋体"/>
                <w:color w:val="auto"/>
                <w:highlight w:val="none"/>
              </w:rPr>
              <w:t>以满足招标文件要求且投标价格最低的投标报价为评标基准价，其价格分为满分</w:t>
            </w:r>
            <w:r>
              <w:rPr>
                <w:rFonts w:ascii="宋体" w:hAnsi="宋体"/>
                <w:color w:val="auto"/>
                <w:highlight w:val="none"/>
              </w:rPr>
              <w:t>30</w:t>
            </w:r>
            <w:r>
              <w:rPr>
                <w:rFonts w:hint="eastAsia" w:ascii="宋体" w:hAnsi="宋体"/>
                <w:color w:val="auto"/>
                <w:highlight w:val="none"/>
              </w:rPr>
              <w:t>分。其他投标人的价格分统一按照下列公示计算：投标报价得分＝（评标基准价</w:t>
            </w:r>
            <w:r>
              <w:rPr>
                <w:rFonts w:ascii="宋体" w:hAnsi="宋体"/>
                <w:color w:val="auto"/>
                <w:highlight w:val="none"/>
              </w:rPr>
              <w:t>/</w:t>
            </w:r>
            <w:r>
              <w:rPr>
                <w:rFonts w:hint="eastAsia" w:ascii="宋体" w:hAnsi="宋体"/>
                <w:color w:val="auto"/>
                <w:highlight w:val="none"/>
              </w:rPr>
              <w:t>投标报价）×</w:t>
            </w:r>
            <w:r>
              <w:rPr>
                <w:rFonts w:ascii="宋体" w:hAnsi="宋体"/>
                <w:color w:val="auto"/>
                <w:highlight w:val="none"/>
              </w:rPr>
              <w:t>30</w:t>
            </w:r>
            <w:r>
              <w:rPr>
                <w:rFonts w:hint="eastAsia" w:ascii="宋体" w:hAnsi="宋体"/>
                <w:color w:val="auto"/>
                <w:highlight w:val="none"/>
              </w:rPr>
              <w:t>×1</w:t>
            </w:r>
            <w:r>
              <w:rPr>
                <w:rFonts w:ascii="宋体" w:hAnsi="宋体"/>
                <w:color w:val="auto"/>
                <w:highlight w:val="none"/>
              </w:rPr>
              <w:t>0</w:t>
            </w:r>
            <w:r>
              <w:rPr>
                <w:rFonts w:hint="eastAsia" w:ascii="宋体" w:hAnsi="宋体"/>
                <w:color w:val="auto"/>
                <w:highlight w:val="none"/>
              </w:rPr>
              <w:t>0%（小数点后保留2位）</w:t>
            </w:r>
          </w:p>
          <w:p w14:paraId="591C6CD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ascii="宋体" w:hAnsi="宋体"/>
                <w:color w:val="auto"/>
                <w:highlight w:val="none"/>
              </w:rPr>
            </w:pPr>
            <w:r>
              <w:rPr>
                <w:rFonts w:hint="eastAsia" w:ascii="宋体" w:hAnsi="宋体" w:cs="宋体"/>
                <w:b/>
                <w:bCs/>
                <w:color w:val="auto"/>
                <w:highlight w:val="none"/>
              </w:rPr>
              <w:t>注：评标委员会认为供应商的报价明显低于其他通过符合性审查供应商的报价，有可能影响服务质量或者不能诚信履约的，且供应商不能在评标现场合理的时间内证明其报价合理性的，属于恶意竞争情形，评标委员会有权将其作为无效投标处理。</w:t>
            </w:r>
          </w:p>
        </w:tc>
      </w:tr>
      <w:tr w14:paraId="1DCF0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2269" w:type="dxa"/>
            <w:tcBorders>
              <w:right w:val="single" w:color="auto" w:sz="4" w:space="0"/>
            </w:tcBorders>
            <w:noWrap w:val="0"/>
            <w:vAlign w:val="center"/>
          </w:tcPr>
          <w:p w14:paraId="493D5F7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ascii="宋体" w:hAnsi="宋体"/>
                <w:color w:val="auto"/>
                <w:szCs w:val="24"/>
                <w:highlight w:val="none"/>
              </w:rPr>
            </w:pPr>
            <w:r>
              <w:rPr>
                <w:rFonts w:hint="eastAsia" w:ascii="宋体" w:hAnsi="宋体"/>
                <w:color w:val="auto"/>
                <w:szCs w:val="24"/>
                <w:highlight w:val="none"/>
              </w:rPr>
              <w:t>造型外观、生产工艺、表面处理</w:t>
            </w:r>
          </w:p>
          <w:p w14:paraId="6A5873E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ascii="宋体" w:hAnsi="宋体"/>
                <w:color w:val="auto"/>
                <w:szCs w:val="24"/>
                <w:highlight w:val="none"/>
              </w:rPr>
            </w:pPr>
            <w:r>
              <w:rPr>
                <w:rFonts w:hint="eastAsia" w:ascii="宋体" w:hAnsi="宋体"/>
                <w:color w:val="auto"/>
                <w:szCs w:val="24"/>
                <w:highlight w:val="none"/>
              </w:rPr>
              <w:t>（</w:t>
            </w:r>
            <w:r>
              <w:rPr>
                <w:rFonts w:hint="eastAsia" w:ascii="宋体" w:hAnsi="宋体"/>
                <w:color w:val="auto"/>
                <w:szCs w:val="24"/>
                <w:highlight w:val="none"/>
                <w:lang w:val="en-US" w:eastAsia="zh-CN"/>
              </w:rPr>
              <w:t>22</w:t>
            </w:r>
            <w:r>
              <w:rPr>
                <w:rFonts w:hint="eastAsia" w:ascii="宋体" w:hAnsi="宋体"/>
                <w:color w:val="auto"/>
                <w:szCs w:val="24"/>
                <w:highlight w:val="none"/>
              </w:rPr>
              <w:t>分）</w:t>
            </w:r>
          </w:p>
          <w:p w14:paraId="0B9BECA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ascii="宋体" w:hAnsi="宋体" w:eastAsia="宋体" w:cs="Times New Roman"/>
                <w:color w:val="auto"/>
                <w:sz w:val="21"/>
                <w:szCs w:val="24"/>
                <w:highlight w:val="none"/>
                <w:lang w:val="en-US" w:eastAsia="zh-CN" w:bidi="ar-SA"/>
              </w:rPr>
            </w:pPr>
            <w:r>
              <w:rPr>
                <w:rFonts w:hint="eastAsia" w:ascii="宋体" w:hAnsi="宋体"/>
                <w:color w:val="auto"/>
                <w:szCs w:val="24"/>
                <w:highlight w:val="none"/>
              </w:rPr>
              <w:t>（依据实物样品打分）</w:t>
            </w:r>
          </w:p>
        </w:tc>
        <w:tc>
          <w:tcPr>
            <w:tcW w:w="6946" w:type="dxa"/>
            <w:tcBorders>
              <w:left w:val="single" w:color="auto" w:sz="4" w:space="0"/>
            </w:tcBorders>
            <w:noWrap w:val="0"/>
            <w:vAlign w:val="center"/>
          </w:tcPr>
          <w:p w14:paraId="02ED08C8">
            <w:pPr>
              <w:keepNext w:val="0"/>
              <w:keepLines w:val="0"/>
              <w:pageBreakBefore w:val="0"/>
              <w:numPr>
                <w:ilvl w:val="0"/>
                <w:numId w:val="9"/>
              </w:numPr>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ascii="宋体" w:hAnsi="宋体"/>
                <w:color w:val="auto"/>
                <w:highlight w:val="none"/>
              </w:rPr>
            </w:pPr>
            <w:r>
              <w:rPr>
                <w:rFonts w:hint="eastAsia" w:ascii="宋体" w:hAnsi="宋体"/>
                <w:color w:val="auto"/>
                <w:highlight w:val="none"/>
              </w:rPr>
              <w:t>产品</w:t>
            </w:r>
            <w:r>
              <w:rPr>
                <w:rFonts w:ascii="宋体" w:hAnsi="宋体"/>
                <w:color w:val="auto"/>
                <w:szCs w:val="21"/>
                <w:highlight w:val="none"/>
              </w:rPr>
              <w:t>色泽应</w:t>
            </w:r>
            <w:r>
              <w:rPr>
                <w:rFonts w:hint="eastAsia" w:ascii="宋体" w:hAnsi="宋体"/>
                <w:color w:val="auto"/>
                <w:szCs w:val="21"/>
                <w:highlight w:val="none"/>
              </w:rPr>
              <w:t>与图片基本</w:t>
            </w:r>
            <w:r>
              <w:rPr>
                <w:rFonts w:ascii="宋体" w:hAnsi="宋体"/>
                <w:color w:val="auto"/>
                <w:szCs w:val="21"/>
                <w:highlight w:val="none"/>
              </w:rPr>
              <w:t>相似</w:t>
            </w:r>
            <w:r>
              <w:rPr>
                <w:rFonts w:hint="eastAsia" w:ascii="宋体" w:hAnsi="宋体"/>
                <w:color w:val="auto"/>
                <w:szCs w:val="21"/>
                <w:highlight w:val="none"/>
              </w:rPr>
              <w:t>、</w:t>
            </w:r>
            <w:r>
              <w:rPr>
                <w:rFonts w:hint="eastAsia" w:ascii="宋体" w:hAnsi="宋体"/>
                <w:color w:val="auto"/>
                <w:highlight w:val="none"/>
              </w:rPr>
              <w:t>贴面平整光滑一致、无色差现象的，</w:t>
            </w:r>
            <w:r>
              <w:rPr>
                <w:rFonts w:hint="eastAsia" w:ascii="宋体" w:hAnsi="宋体"/>
                <w:color w:val="auto"/>
                <w:highlight w:val="none"/>
                <w:lang w:val="en-US" w:eastAsia="zh-CN"/>
              </w:rPr>
              <w:t>4</w:t>
            </w:r>
            <w:r>
              <w:rPr>
                <w:rFonts w:hint="eastAsia" w:ascii="宋体" w:hAnsi="宋体"/>
                <w:color w:val="auto"/>
                <w:highlight w:val="none"/>
              </w:rPr>
              <w:t>分；表面平整、色泽相似的，</w:t>
            </w:r>
            <w:r>
              <w:rPr>
                <w:rFonts w:hint="eastAsia" w:ascii="宋体" w:hAnsi="宋体"/>
                <w:color w:val="auto"/>
                <w:highlight w:val="none"/>
                <w:lang w:val="en-US" w:eastAsia="zh-CN"/>
              </w:rPr>
              <w:t>2</w:t>
            </w:r>
            <w:r>
              <w:rPr>
                <w:rFonts w:hint="eastAsia" w:ascii="宋体" w:hAnsi="宋体"/>
                <w:color w:val="auto"/>
                <w:highlight w:val="none"/>
              </w:rPr>
              <w:t>分；表面粗糙、色泽差异较大的，0分。</w:t>
            </w:r>
          </w:p>
          <w:p w14:paraId="1215ACB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olor w:val="auto"/>
                <w:highlight w:val="none"/>
                <w:lang w:eastAsia="zh-CN"/>
              </w:rPr>
            </w:pPr>
            <w:r>
              <w:rPr>
                <w:rFonts w:hint="eastAsia" w:ascii="宋体" w:hAnsi="宋体"/>
                <w:color w:val="auto"/>
                <w:highlight w:val="none"/>
              </w:rPr>
              <w:t>2、涂层</w:t>
            </w:r>
            <w:r>
              <w:rPr>
                <w:rFonts w:hint="eastAsia" w:ascii="宋体" w:hAnsi="宋体"/>
                <w:color w:val="auto"/>
                <w:highlight w:val="none"/>
                <w:lang w:val="en-US" w:eastAsia="zh-CN"/>
              </w:rPr>
              <w:t>无</w:t>
            </w:r>
            <w:r>
              <w:rPr>
                <w:rFonts w:hint="eastAsia" w:ascii="宋体" w:hAnsi="宋体"/>
                <w:color w:val="auto"/>
                <w:highlight w:val="none"/>
              </w:rPr>
              <w:t>皱皮、色差和漏喷现象</w:t>
            </w:r>
            <w:r>
              <w:rPr>
                <w:rFonts w:hint="eastAsia" w:ascii="宋体" w:hAnsi="宋体"/>
                <w:color w:val="auto"/>
                <w:highlight w:val="none"/>
                <w:lang w:val="en-US" w:eastAsia="zh-CN"/>
              </w:rPr>
              <w:t>的，4</w:t>
            </w:r>
            <w:r>
              <w:rPr>
                <w:rFonts w:hint="eastAsia" w:ascii="宋体" w:hAnsi="宋体"/>
                <w:color w:val="auto"/>
                <w:highlight w:val="none"/>
              </w:rPr>
              <w:t>分；图层有</w:t>
            </w:r>
            <w:r>
              <w:rPr>
                <w:rFonts w:hint="eastAsia" w:ascii="宋体" w:hAnsi="宋体"/>
                <w:color w:val="auto"/>
                <w:highlight w:val="none"/>
                <w:lang w:val="en-US" w:eastAsia="zh-CN"/>
              </w:rPr>
              <w:t>轻微</w:t>
            </w:r>
            <w:r>
              <w:rPr>
                <w:rFonts w:hint="eastAsia" w:ascii="宋体" w:hAnsi="宋体"/>
                <w:color w:val="auto"/>
                <w:highlight w:val="none"/>
              </w:rPr>
              <w:t>皱皮、色差、漏喷现象的，</w:t>
            </w:r>
            <w:r>
              <w:rPr>
                <w:rFonts w:hint="eastAsia" w:ascii="宋体" w:hAnsi="宋体"/>
                <w:color w:val="auto"/>
                <w:highlight w:val="none"/>
                <w:lang w:val="en-US" w:eastAsia="zh-CN"/>
              </w:rPr>
              <w:t>2</w:t>
            </w:r>
            <w:r>
              <w:rPr>
                <w:rFonts w:hint="eastAsia" w:ascii="宋体" w:hAnsi="宋体"/>
                <w:color w:val="auto"/>
                <w:highlight w:val="none"/>
              </w:rPr>
              <w:t>分</w:t>
            </w:r>
            <w:r>
              <w:rPr>
                <w:rFonts w:hint="eastAsia" w:ascii="宋体" w:hAnsi="宋体"/>
                <w:color w:val="auto"/>
                <w:highlight w:val="none"/>
                <w:lang w:eastAsia="zh-CN"/>
              </w:rPr>
              <w:t>；</w:t>
            </w:r>
            <w:r>
              <w:rPr>
                <w:rFonts w:hint="eastAsia" w:ascii="宋体" w:hAnsi="宋体"/>
                <w:color w:val="auto"/>
                <w:highlight w:val="none"/>
              </w:rPr>
              <w:t>图层有</w:t>
            </w:r>
            <w:r>
              <w:rPr>
                <w:rFonts w:hint="eastAsia" w:ascii="宋体" w:hAnsi="宋体"/>
                <w:color w:val="auto"/>
                <w:highlight w:val="none"/>
                <w:lang w:val="en-US" w:eastAsia="zh-CN"/>
              </w:rPr>
              <w:t>较多</w:t>
            </w:r>
            <w:r>
              <w:rPr>
                <w:rFonts w:hint="eastAsia" w:ascii="宋体" w:hAnsi="宋体"/>
                <w:color w:val="auto"/>
                <w:highlight w:val="none"/>
              </w:rPr>
              <w:t>皱皮、色差、漏喷现象的，</w:t>
            </w:r>
            <w:r>
              <w:rPr>
                <w:rFonts w:hint="eastAsia" w:ascii="宋体" w:hAnsi="宋体"/>
                <w:color w:val="auto"/>
                <w:highlight w:val="none"/>
                <w:lang w:val="en-US" w:eastAsia="zh-CN"/>
              </w:rPr>
              <w:t>0</w:t>
            </w:r>
            <w:r>
              <w:rPr>
                <w:rFonts w:hint="eastAsia" w:ascii="宋体" w:hAnsi="宋体"/>
                <w:color w:val="auto"/>
                <w:highlight w:val="none"/>
              </w:rPr>
              <w:t>分</w:t>
            </w:r>
          </w:p>
          <w:p w14:paraId="52AAD90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ascii="宋体" w:hAnsi="宋体"/>
                <w:color w:val="auto"/>
                <w:highlight w:val="none"/>
              </w:rPr>
            </w:pPr>
            <w:r>
              <w:rPr>
                <w:rFonts w:hint="eastAsia" w:ascii="宋体" w:hAnsi="宋体"/>
                <w:color w:val="auto"/>
                <w:highlight w:val="none"/>
              </w:rPr>
              <w:t>3、各种配件结合处无松动，安装扎实</w:t>
            </w:r>
            <w:r>
              <w:rPr>
                <w:rFonts w:hint="eastAsia" w:ascii="宋体" w:hAnsi="宋体"/>
                <w:color w:val="auto"/>
                <w:highlight w:val="none"/>
                <w:lang w:val="en-US" w:eastAsia="zh-CN"/>
              </w:rPr>
              <w:t>的</w:t>
            </w:r>
            <w:r>
              <w:rPr>
                <w:rFonts w:hint="eastAsia" w:ascii="宋体" w:hAnsi="宋体"/>
                <w:color w:val="auto"/>
                <w:highlight w:val="none"/>
              </w:rPr>
              <w:t>，</w:t>
            </w:r>
            <w:r>
              <w:rPr>
                <w:rFonts w:hint="eastAsia" w:ascii="宋体" w:hAnsi="宋体"/>
                <w:color w:val="auto"/>
                <w:highlight w:val="none"/>
                <w:lang w:val="en-US" w:eastAsia="zh-CN"/>
              </w:rPr>
              <w:t>3</w:t>
            </w:r>
            <w:r>
              <w:rPr>
                <w:rFonts w:hint="eastAsia" w:ascii="宋体" w:hAnsi="宋体"/>
                <w:color w:val="auto"/>
                <w:highlight w:val="none"/>
              </w:rPr>
              <w:t>分；配件结合处有松动现象，安装基本牢固，</w:t>
            </w:r>
            <w:r>
              <w:rPr>
                <w:rFonts w:hint="eastAsia" w:ascii="宋体" w:hAnsi="宋体"/>
                <w:color w:val="auto"/>
                <w:highlight w:val="none"/>
                <w:lang w:val="en-US" w:eastAsia="zh-CN"/>
              </w:rPr>
              <w:t>1</w:t>
            </w:r>
            <w:r>
              <w:rPr>
                <w:rFonts w:hint="eastAsia" w:ascii="宋体" w:hAnsi="宋体"/>
                <w:color w:val="auto"/>
                <w:highlight w:val="none"/>
              </w:rPr>
              <w:t>分；配件结合处松动，安装不牢固，0分。</w:t>
            </w:r>
          </w:p>
          <w:p w14:paraId="36EB4A4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ascii="宋体" w:hAnsi="宋体"/>
                <w:color w:val="auto"/>
                <w:highlight w:val="none"/>
              </w:rPr>
            </w:pPr>
            <w:r>
              <w:rPr>
                <w:rFonts w:hint="eastAsia" w:ascii="宋体" w:hAnsi="宋体"/>
                <w:color w:val="auto"/>
                <w:highlight w:val="none"/>
              </w:rPr>
              <w:t>4、样品整体牢固、着地平稳、安全程度</w:t>
            </w:r>
            <w:r>
              <w:rPr>
                <w:rFonts w:hint="eastAsia" w:ascii="宋体" w:hAnsi="宋体"/>
                <w:color w:val="auto"/>
                <w:highlight w:val="none"/>
                <w:lang w:val="en-US" w:eastAsia="zh-CN"/>
              </w:rPr>
              <w:t>高的</w:t>
            </w:r>
            <w:r>
              <w:rPr>
                <w:rFonts w:hint="eastAsia" w:ascii="宋体" w:hAnsi="宋体"/>
                <w:color w:val="auto"/>
                <w:highlight w:val="none"/>
              </w:rPr>
              <w:t>，</w:t>
            </w:r>
            <w:r>
              <w:rPr>
                <w:rFonts w:hint="eastAsia" w:ascii="宋体" w:hAnsi="宋体"/>
                <w:color w:val="auto"/>
                <w:highlight w:val="none"/>
                <w:lang w:val="en-US" w:eastAsia="zh-CN"/>
              </w:rPr>
              <w:t>3</w:t>
            </w:r>
            <w:r>
              <w:rPr>
                <w:rFonts w:hint="eastAsia" w:ascii="宋体" w:hAnsi="宋体"/>
                <w:color w:val="auto"/>
                <w:highlight w:val="none"/>
              </w:rPr>
              <w:t>分；样品整体</w:t>
            </w:r>
            <w:r>
              <w:rPr>
                <w:rFonts w:hint="eastAsia" w:ascii="宋体" w:hAnsi="宋体"/>
                <w:color w:val="auto"/>
                <w:highlight w:val="none"/>
                <w:lang w:val="en-US" w:eastAsia="zh-CN"/>
              </w:rPr>
              <w:t>较为</w:t>
            </w:r>
            <w:r>
              <w:rPr>
                <w:rFonts w:hint="eastAsia" w:ascii="宋体" w:hAnsi="宋体"/>
                <w:color w:val="auto"/>
                <w:highlight w:val="none"/>
              </w:rPr>
              <w:t>牢固、着地平稳、安全程度</w:t>
            </w:r>
            <w:r>
              <w:rPr>
                <w:rFonts w:hint="eastAsia" w:ascii="宋体" w:hAnsi="宋体"/>
                <w:color w:val="auto"/>
                <w:highlight w:val="none"/>
                <w:lang w:val="en-US" w:eastAsia="zh-CN"/>
              </w:rPr>
              <w:t>高的</w:t>
            </w:r>
            <w:r>
              <w:rPr>
                <w:rFonts w:hint="eastAsia" w:ascii="宋体" w:hAnsi="宋体"/>
                <w:color w:val="auto"/>
                <w:highlight w:val="none"/>
              </w:rPr>
              <w:t>，</w:t>
            </w:r>
            <w:r>
              <w:rPr>
                <w:rFonts w:hint="eastAsia" w:ascii="宋体" w:hAnsi="宋体"/>
                <w:color w:val="auto"/>
                <w:highlight w:val="none"/>
                <w:lang w:val="en-US" w:eastAsia="zh-CN"/>
              </w:rPr>
              <w:t>1</w:t>
            </w:r>
            <w:r>
              <w:rPr>
                <w:rFonts w:hint="eastAsia" w:ascii="宋体" w:hAnsi="宋体"/>
                <w:color w:val="auto"/>
                <w:highlight w:val="none"/>
              </w:rPr>
              <w:t>分；样品整体牢固</w:t>
            </w:r>
            <w:r>
              <w:rPr>
                <w:rFonts w:hint="eastAsia" w:ascii="宋体" w:hAnsi="宋体"/>
                <w:color w:val="auto"/>
                <w:highlight w:val="none"/>
                <w:lang w:val="en-US" w:eastAsia="zh-CN"/>
              </w:rPr>
              <w:t>差</w:t>
            </w:r>
            <w:r>
              <w:rPr>
                <w:rFonts w:hint="eastAsia" w:ascii="宋体" w:hAnsi="宋体"/>
                <w:color w:val="auto"/>
                <w:highlight w:val="none"/>
              </w:rPr>
              <w:t>、着地</w:t>
            </w:r>
            <w:r>
              <w:rPr>
                <w:rFonts w:hint="eastAsia" w:ascii="宋体" w:hAnsi="宋体"/>
                <w:color w:val="auto"/>
                <w:highlight w:val="none"/>
                <w:lang w:val="en-US" w:eastAsia="zh-CN"/>
              </w:rPr>
              <w:t>不</w:t>
            </w:r>
            <w:r>
              <w:rPr>
                <w:rFonts w:hint="eastAsia" w:ascii="宋体" w:hAnsi="宋体"/>
                <w:color w:val="auto"/>
                <w:highlight w:val="none"/>
              </w:rPr>
              <w:t>平稳、安全程度</w:t>
            </w:r>
            <w:r>
              <w:rPr>
                <w:rFonts w:hint="eastAsia" w:ascii="宋体" w:hAnsi="宋体"/>
                <w:color w:val="auto"/>
                <w:highlight w:val="none"/>
                <w:lang w:val="en-US" w:eastAsia="zh-CN"/>
              </w:rPr>
              <w:t>低的</w:t>
            </w:r>
            <w:r>
              <w:rPr>
                <w:rFonts w:hint="eastAsia" w:ascii="宋体" w:hAnsi="宋体"/>
                <w:color w:val="auto"/>
                <w:highlight w:val="none"/>
              </w:rPr>
              <w:t>，</w:t>
            </w:r>
            <w:r>
              <w:rPr>
                <w:rFonts w:hint="eastAsia" w:ascii="宋体" w:hAnsi="宋体"/>
                <w:color w:val="auto"/>
                <w:highlight w:val="none"/>
                <w:lang w:val="en-US" w:eastAsia="zh-CN"/>
              </w:rPr>
              <w:t>0</w:t>
            </w:r>
            <w:r>
              <w:rPr>
                <w:rFonts w:hint="eastAsia" w:ascii="宋体" w:hAnsi="宋体"/>
                <w:color w:val="auto"/>
                <w:highlight w:val="none"/>
              </w:rPr>
              <w:t>分；。</w:t>
            </w:r>
          </w:p>
          <w:p w14:paraId="788A648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ascii="宋体" w:hAnsi="宋体"/>
                <w:color w:val="auto"/>
                <w:highlight w:val="none"/>
              </w:rPr>
            </w:pPr>
            <w:r>
              <w:rPr>
                <w:rFonts w:hint="eastAsia" w:ascii="宋体" w:hAnsi="宋体"/>
                <w:color w:val="auto"/>
                <w:highlight w:val="none"/>
              </w:rPr>
              <w:t>5、接触人体或收藏物品的部位无毛刺、刃口、棱角</w:t>
            </w:r>
            <w:r>
              <w:rPr>
                <w:rFonts w:hint="eastAsia" w:ascii="宋体" w:hAnsi="宋体"/>
                <w:color w:val="auto"/>
                <w:highlight w:val="none"/>
                <w:lang w:val="en-US" w:eastAsia="zh-CN"/>
              </w:rPr>
              <w:t>的</w:t>
            </w:r>
            <w:r>
              <w:rPr>
                <w:rFonts w:hint="eastAsia" w:ascii="宋体" w:hAnsi="宋体"/>
                <w:color w:val="auto"/>
                <w:highlight w:val="none"/>
              </w:rPr>
              <w:t>，</w:t>
            </w:r>
            <w:r>
              <w:rPr>
                <w:rFonts w:hint="eastAsia" w:ascii="宋体" w:hAnsi="宋体"/>
                <w:color w:val="auto"/>
                <w:highlight w:val="none"/>
                <w:lang w:val="en-US" w:eastAsia="zh-CN"/>
              </w:rPr>
              <w:t>4</w:t>
            </w:r>
            <w:r>
              <w:rPr>
                <w:rFonts w:hint="eastAsia" w:ascii="宋体" w:hAnsi="宋体"/>
                <w:color w:val="auto"/>
                <w:highlight w:val="none"/>
              </w:rPr>
              <w:t>分；接触人体或收藏物品的部位</w:t>
            </w:r>
            <w:r>
              <w:rPr>
                <w:rFonts w:hint="eastAsia" w:ascii="宋体" w:hAnsi="宋体"/>
                <w:color w:val="auto"/>
                <w:highlight w:val="none"/>
                <w:lang w:val="en-US" w:eastAsia="zh-CN"/>
              </w:rPr>
              <w:t>有轻微</w:t>
            </w:r>
            <w:r>
              <w:rPr>
                <w:rFonts w:hint="eastAsia" w:ascii="宋体" w:hAnsi="宋体"/>
                <w:color w:val="auto"/>
                <w:highlight w:val="none"/>
              </w:rPr>
              <w:t>毛刺、刃口、棱角</w:t>
            </w:r>
            <w:r>
              <w:rPr>
                <w:rFonts w:hint="eastAsia" w:ascii="宋体" w:hAnsi="宋体"/>
                <w:color w:val="auto"/>
                <w:highlight w:val="none"/>
                <w:lang w:val="en-US" w:eastAsia="zh-CN"/>
              </w:rPr>
              <w:t>的</w:t>
            </w:r>
            <w:r>
              <w:rPr>
                <w:rFonts w:hint="eastAsia" w:ascii="宋体" w:hAnsi="宋体"/>
                <w:color w:val="auto"/>
                <w:highlight w:val="none"/>
              </w:rPr>
              <w:t>，</w:t>
            </w:r>
            <w:r>
              <w:rPr>
                <w:rFonts w:hint="eastAsia" w:ascii="宋体" w:hAnsi="宋体"/>
                <w:color w:val="auto"/>
                <w:highlight w:val="none"/>
                <w:lang w:val="en-US" w:eastAsia="zh-CN"/>
              </w:rPr>
              <w:t>2</w:t>
            </w:r>
            <w:r>
              <w:rPr>
                <w:rFonts w:hint="eastAsia" w:ascii="宋体" w:hAnsi="宋体"/>
                <w:color w:val="auto"/>
                <w:highlight w:val="none"/>
              </w:rPr>
              <w:t>分；接触人体或收藏物品的部位</w:t>
            </w:r>
            <w:r>
              <w:rPr>
                <w:rFonts w:hint="eastAsia" w:ascii="宋体" w:hAnsi="宋体"/>
                <w:color w:val="auto"/>
                <w:highlight w:val="none"/>
                <w:lang w:val="en-US" w:eastAsia="zh-CN"/>
              </w:rPr>
              <w:t>有较多</w:t>
            </w:r>
            <w:r>
              <w:rPr>
                <w:rFonts w:hint="eastAsia" w:ascii="宋体" w:hAnsi="宋体"/>
                <w:color w:val="auto"/>
                <w:highlight w:val="none"/>
              </w:rPr>
              <w:t>毛刺、刃口、棱角</w:t>
            </w:r>
            <w:r>
              <w:rPr>
                <w:rFonts w:hint="eastAsia" w:ascii="宋体" w:hAnsi="宋体"/>
                <w:color w:val="auto"/>
                <w:highlight w:val="none"/>
                <w:lang w:val="en-US" w:eastAsia="zh-CN"/>
              </w:rPr>
              <w:t>的</w:t>
            </w:r>
            <w:r>
              <w:rPr>
                <w:rFonts w:hint="eastAsia" w:ascii="宋体" w:hAnsi="宋体"/>
                <w:color w:val="auto"/>
                <w:highlight w:val="none"/>
              </w:rPr>
              <w:t>，</w:t>
            </w:r>
            <w:r>
              <w:rPr>
                <w:rFonts w:hint="eastAsia" w:ascii="宋体" w:hAnsi="宋体"/>
                <w:color w:val="auto"/>
                <w:highlight w:val="none"/>
                <w:lang w:val="en-US" w:eastAsia="zh-CN"/>
              </w:rPr>
              <w:t>0</w:t>
            </w:r>
            <w:r>
              <w:rPr>
                <w:rFonts w:hint="eastAsia" w:ascii="宋体" w:hAnsi="宋体"/>
                <w:color w:val="auto"/>
                <w:highlight w:val="none"/>
              </w:rPr>
              <w:t>分。</w:t>
            </w:r>
          </w:p>
          <w:p w14:paraId="5331A39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ascii="宋体" w:hAnsi="宋体" w:eastAsia="宋体" w:cs="Times New Roman"/>
                <w:color w:val="auto"/>
                <w:sz w:val="21"/>
                <w:szCs w:val="21"/>
                <w:highlight w:val="none"/>
                <w:lang w:val="en-US" w:eastAsia="zh-CN" w:bidi="ar-SA"/>
              </w:rPr>
            </w:pPr>
            <w:r>
              <w:rPr>
                <w:rFonts w:hint="eastAsia" w:ascii="宋体" w:hAnsi="宋体"/>
                <w:color w:val="auto"/>
                <w:highlight w:val="none"/>
              </w:rPr>
              <w:t>6、五金配件及标准件的质量及匹配程度佳，</w:t>
            </w:r>
            <w:r>
              <w:rPr>
                <w:rFonts w:hint="eastAsia" w:ascii="宋体" w:hAnsi="宋体"/>
                <w:color w:val="auto"/>
                <w:highlight w:val="none"/>
                <w:lang w:val="en-US" w:eastAsia="zh-CN"/>
              </w:rPr>
              <w:t>4</w:t>
            </w:r>
            <w:r>
              <w:rPr>
                <w:rFonts w:hint="eastAsia" w:ascii="宋体" w:hAnsi="宋体"/>
                <w:color w:val="auto"/>
                <w:highlight w:val="none"/>
              </w:rPr>
              <w:t>分</w:t>
            </w:r>
            <w:r>
              <w:rPr>
                <w:rFonts w:hint="eastAsia" w:ascii="宋体" w:hAnsi="宋体"/>
                <w:color w:val="auto"/>
                <w:highlight w:val="none"/>
                <w:lang w:eastAsia="zh-CN"/>
              </w:rPr>
              <w:t>；</w:t>
            </w:r>
            <w:r>
              <w:rPr>
                <w:rFonts w:hint="eastAsia" w:ascii="宋体" w:hAnsi="宋体"/>
                <w:color w:val="auto"/>
                <w:highlight w:val="none"/>
              </w:rPr>
              <w:t>五金配件的质量合格，匹配程度一般（略有松动），</w:t>
            </w:r>
            <w:r>
              <w:rPr>
                <w:rFonts w:hint="eastAsia" w:ascii="宋体" w:hAnsi="宋体"/>
                <w:color w:val="auto"/>
                <w:highlight w:val="none"/>
                <w:lang w:val="en-US" w:eastAsia="zh-CN"/>
              </w:rPr>
              <w:t>2</w:t>
            </w:r>
            <w:r>
              <w:rPr>
                <w:rFonts w:hint="eastAsia" w:ascii="宋体" w:hAnsi="宋体"/>
                <w:color w:val="auto"/>
                <w:highlight w:val="none"/>
              </w:rPr>
              <w:t>分；质量较差，不匹配，0分。</w:t>
            </w:r>
          </w:p>
        </w:tc>
      </w:tr>
      <w:tr w14:paraId="0EEEF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trPr>
        <w:tc>
          <w:tcPr>
            <w:tcW w:w="2269" w:type="dxa"/>
            <w:tcBorders>
              <w:right w:val="single" w:color="auto" w:sz="4" w:space="0"/>
            </w:tcBorders>
            <w:noWrap w:val="0"/>
            <w:vAlign w:val="center"/>
          </w:tcPr>
          <w:p w14:paraId="5509CC1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ascii="宋体" w:hAnsi="宋体"/>
                <w:color w:val="auto"/>
                <w:szCs w:val="24"/>
                <w:highlight w:val="none"/>
              </w:rPr>
            </w:pPr>
            <w:r>
              <w:rPr>
                <w:rFonts w:hint="eastAsia" w:ascii="宋体" w:hAnsi="宋体"/>
                <w:color w:val="auto"/>
                <w:szCs w:val="24"/>
                <w:highlight w:val="none"/>
              </w:rPr>
              <w:t>质量控制措施方案</w:t>
            </w:r>
          </w:p>
          <w:p w14:paraId="529AB74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ascii="宋体" w:hAnsi="宋体" w:eastAsia="宋体" w:cs="Times New Roman"/>
                <w:color w:val="auto"/>
                <w:sz w:val="21"/>
                <w:szCs w:val="24"/>
                <w:highlight w:val="none"/>
                <w:lang w:val="en-US" w:eastAsia="zh-CN" w:bidi="ar-SA"/>
              </w:rPr>
            </w:pPr>
            <w:r>
              <w:rPr>
                <w:rFonts w:hint="eastAsia" w:ascii="宋体" w:hAnsi="宋体"/>
                <w:color w:val="auto"/>
                <w:szCs w:val="24"/>
                <w:highlight w:val="none"/>
              </w:rPr>
              <w:t>（5分）</w:t>
            </w:r>
          </w:p>
        </w:tc>
        <w:tc>
          <w:tcPr>
            <w:tcW w:w="6946" w:type="dxa"/>
            <w:tcBorders>
              <w:left w:val="single" w:color="auto" w:sz="4" w:space="0"/>
            </w:tcBorders>
            <w:noWrap w:val="0"/>
            <w:vAlign w:val="center"/>
          </w:tcPr>
          <w:p w14:paraId="692DEA5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ascii="宋体" w:hAnsi="宋体" w:eastAsia="宋体" w:cs="Times New Roman"/>
                <w:color w:val="auto"/>
                <w:sz w:val="21"/>
                <w:szCs w:val="21"/>
                <w:highlight w:val="none"/>
                <w:lang w:val="en-US" w:eastAsia="zh-CN" w:bidi="ar-SA"/>
              </w:rPr>
            </w:pPr>
            <w:r>
              <w:rPr>
                <w:rFonts w:hint="eastAsia" w:ascii="宋体" w:hAnsi="宋体" w:cs="宋体"/>
                <w:color w:val="auto"/>
                <w:highlight w:val="none"/>
              </w:rPr>
              <w:t>方案内容优于招标文件要求的得5分，符合招标文件要求的得3分，不符合招标文件或未提供的不得分。</w:t>
            </w:r>
          </w:p>
        </w:tc>
      </w:tr>
      <w:tr w14:paraId="350C8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2269" w:type="dxa"/>
            <w:tcBorders>
              <w:right w:val="single" w:color="auto" w:sz="4" w:space="0"/>
            </w:tcBorders>
            <w:noWrap w:val="0"/>
            <w:vAlign w:val="center"/>
          </w:tcPr>
          <w:p w14:paraId="47B2FBF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ascii="宋体" w:hAnsi="宋体"/>
                <w:color w:val="auto"/>
                <w:szCs w:val="24"/>
                <w:highlight w:val="none"/>
              </w:rPr>
            </w:pPr>
            <w:r>
              <w:rPr>
                <w:rFonts w:hint="eastAsia" w:ascii="宋体" w:hAnsi="宋体"/>
                <w:color w:val="auto"/>
                <w:szCs w:val="24"/>
                <w:highlight w:val="none"/>
              </w:rPr>
              <w:t>供货、安装实施方案</w:t>
            </w:r>
          </w:p>
          <w:p w14:paraId="039AE5A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ascii="宋体" w:hAnsi="宋体" w:eastAsia="宋体" w:cs="Times New Roman"/>
                <w:color w:val="auto"/>
                <w:sz w:val="21"/>
                <w:szCs w:val="24"/>
                <w:highlight w:val="none"/>
                <w:lang w:val="en-US" w:eastAsia="zh-CN" w:bidi="ar-SA"/>
              </w:rPr>
            </w:pPr>
            <w:r>
              <w:rPr>
                <w:rFonts w:hint="eastAsia" w:ascii="宋体" w:hAnsi="宋体"/>
                <w:color w:val="auto"/>
                <w:szCs w:val="24"/>
                <w:highlight w:val="none"/>
              </w:rPr>
              <w:t>（5分）</w:t>
            </w:r>
          </w:p>
        </w:tc>
        <w:tc>
          <w:tcPr>
            <w:tcW w:w="6946" w:type="dxa"/>
            <w:tcBorders>
              <w:left w:val="single" w:color="auto" w:sz="4" w:space="0"/>
            </w:tcBorders>
            <w:noWrap w:val="0"/>
            <w:vAlign w:val="center"/>
          </w:tcPr>
          <w:p w14:paraId="30FEE41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ascii="宋体" w:hAnsi="宋体" w:eastAsia="宋体" w:cs="Times New Roman"/>
                <w:color w:val="auto"/>
                <w:sz w:val="21"/>
                <w:szCs w:val="21"/>
                <w:highlight w:val="none"/>
                <w:lang w:val="en-US" w:eastAsia="zh-CN" w:bidi="ar-SA"/>
              </w:rPr>
            </w:pPr>
            <w:r>
              <w:rPr>
                <w:rFonts w:hint="eastAsia" w:ascii="宋体" w:hAnsi="宋体" w:cs="宋体"/>
                <w:color w:val="auto"/>
                <w:highlight w:val="none"/>
              </w:rPr>
              <w:t>方案内容优于招标文件要求的得5分，符合招标文件要求的得3分，不符合招标文件或未提供的不得分。</w:t>
            </w:r>
          </w:p>
        </w:tc>
      </w:tr>
      <w:tr w14:paraId="06E13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trPr>
        <w:tc>
          <w:tcPr>
            <w:tcW w:w="2269" w:type="dxa"/>
            <w:tcBorders>
              <w:right w:val="single" w:color="auto" w:sz="4" w:space="0"/>
            </w:tcBorders>
            <w:noWrap w:val="0"/>
            <w:vAlign w:val="center"/>
          </w:tcPr>
          <w:p w14:paraId="68FFC50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color w:val="auto"/>
                <w:szCs w:val="24"/>
                <w:highlight w:val="none"/>
              </w:rPr>
            </w:pPr>
            <w:r>
              <w:rPr>
                <w:rFonts w:hint="eastAsia" w:ascii="宋体" w:hAnsi="宋体"/>
                <w:color w:val="auto"/>
                <w:szCs w:val="24"/>
                <w:highlight w:val="none"/>
              </w:rPr>
              <w:t>进度控制措施方案</w:t>
            </w:r>
          </w:p>
          <w:p w14:paraId="7EC209E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color w:val="auto"/>
                <w:szCs w:val="24"/>
                <w:highlight w:val="none"/>
                <w:lang w:val="en-US" w:eastAsia="zh-CN"/>
              </w:rPr>
            </w:pPr>
            <w:r>
              <w:rPr>
                <w:rFonts w:hint="eastAsia" w:ascii="宋体" w:hAnsi="宋体"/>
                <w:color w:val="auto"/>
                <w:szCs w:val="24"/>
                <w:highlight w:val="none"/>
              </w:rPr>
              <w:t>（5分）</w:t>
            </w:r>
          </w:p>
        </w:tc>
        <w:tc>
          <w:tcPr>
            <w:tcW w:w="6946" w:type="dxa"/>
            <w:tcBorders>
              <w:left w:val="single" w:color="auto" w:sz="4" w:space="0"/>
            </w:tcBorders>
            <w:noWrap w:val="0"/>
            <w:vAlign w:val="center"/>
          </w:tcPr>
          <w:p w14:paraId="2363ADE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ascii="宋体" w:hAnsi="宋体" w:eastAsia="宋体" w:cs="Times New Roman"/>
                <w:color w:val="auto"/>
                <w:sz w:val="21"/>
                <w:szCs w:val="21"/>
                <w:highlight w:val="none"/>
                <w:lang w:val="en-US" w:eastAsia="zh-CN" w:bidi="ar-SA"/>
              </w:rPr>
            </w:pPr>
            <w:r>
              <w:rPr>
                <w:rFonts w:hint="eastAsia" w:ascii="宋体" w:hAnsi="宋体" w:cs="宋体"/>
                <w:color w:val="auto"/>
                <w:highlight w:val="none"/>
              </w:rPr>
              <w:t>方案内容优于招标文件要求的得5分，符合招标文件要求的得</w:t>
            </w:r>
            <w:r>
              <w:rPr>
                <w:rFonts w:hint="eastAsia"/>
                <w:color w:val="auto"/>
                <w:highlight w:val="none"/>
              </w:rPr>
              <w:t>3</w:t>
            </w:r>
            <w:r>
              <w:rPr>
                <w:rFonts w:hint="eastAsia" w:ascii="宋体" w:hAnsi="宋体" w:cs="宋体"/>
                <w:color w:val="auto"/>
                <w:highlight w:val="none"/>
              </w:rPr>
              <w:t>分，不符合招标文件或未提供的不得分。</w:t>
            </w:r>
          </w:p>
        </w:tc>
      </w:tr>
      <w:tr w14:paraId="0D4DA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2269" w:type="dxa"/>
            <w:tcBorders>
              <w:right w:val="single" w:color="auto" w:sz="4" w:space="0"/>
            </w:tcBorders>
            <w:noWrap w:val="0"/>
            <w:vAlign w:val="center"/>
          </w:tcPr>
          <w:p w14:paraId="1EF30D6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color w:val="auto"/>
                <w:szCs w:val="24"/>
                <w:highlight w:val="none"/>
              </w:rPr>
            </w:pPr>
            <w:r>
              <w:rPr>
                <w:rFonts w:hint="eastAsia" w:ascii="宋体" w:hAnsi="宋体"/>
                <w:color w:val="auto"/>
                <w:szCs w:val="24"/>
                <w:highlight w:val="none"/>
              </w:rPr>
              <w:t>拟派项目人员方案</w:t>
            </w:r>
          </w:p>
          <w:p w14:paraId="14EE24B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color w:val="auto"/>
                <w:szCs w:val="24"/>
                <w:highlight w:val="none"/>
              </w:rPr>
            </w:pPr>
            <w:r>
              <w:rPr>
                <w:rFonts w:hint="eastAsia" w:ascii="宋体" w:hAnsi="宋体"/>
                <w:color w:val="auto"/>
                <w:szCs w:val="24"/>
                <w:highlight w:val="none"/>
              </w:rPr>
              <w:t>（5分）</w:t>
            </w:r>
          </w:p>
        </w:tc>
        <w:tc>
          <w:tcPr>
            <w:tcW w:w="6946" w:type="dxa"/>
            <w:tcBorders>
              <w:left w:val="single" w:color="auto" w:sz="4" w:space="0"/>
            </w:tcBorders>
            <w:noWrap w:val="0"/>
            <w:vAlign w:val="center"/>
          </w:tcPr>
          <w:p w14:paraId="273ADCB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ascii="宋体" w:hAnsi="宋体"/>
                <w:color w:val="auto"/>
                <w:highlight w:val="none"/>
              </w:rPr>
            </w:pPr>
            <w:r>
              <w:rPr>
                <w:rFonts w:hint="eastAsia" w:ascii="宋体" w:hAnsi="宋体" w:eastAsia="宋体" w:cs="宋体"/>
                <w:color w:val="auto"/>
                <w:szCs w:val="21"/>
                <w:highlight w:val="none"/>
              </w:rPr>
              <w:t>方案内容优于招标文件要求的得5分，符合招标文件要求的得3分，不符合招标文件或未提供的不得分。</w:t>
            </w:r>
          </w:p>
        </w:tc>
      </w:tr>
      <w:tr w14:paraId="49881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2269" w:type="dxa"/>
            <w:tcBorders>
              <w:right w:val="single" w:color="auto" w:sz="4" w:space="0"/>
            </w:tcBorders>
            <w:noWrap w:val="0"/>
            <w:vAlign w:val="center"/>
          </w:tcPr>
          <w:p w14:paraId="4F53D88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color w:val="auto"/>
                <w:szCs w:val="24"/>
                <w:highlight w:val="none"/>
              </w:rPr>
            </w:pPr>
            <w:r>
              <w:rPr>
                <w:rFonts w:hint="eastAsia" w:ascii="宋体" w:hAnsi="宋体"/>
                <w:color w:val="auto"/>
                <w:szCs w:val="24"/>
                <w:highlight w:val="none"/>
              </w:rPr>
              <w:t>安全生产方案</w:t>
            </w:r>
          </w:p>
          <w:p w14:paraId="4C57D40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color w:val="auto"/>
                <w:szCs w:val="24"/>
                <w:highlight w:val="none"/>
              </w:rPr>
            </w:pPr>
            <w:r>
              <w:rPr>
                <w:rFonts w:hint="eastAsia" w:ascii="宋体" w:hAnsi="宋体"/>
                <w:color w:val="auto"/>
                <w:szCs w:val="24"/>
                <w:highlight w:val="none"/>
              </w:rPr>
              <w:t>（5分）</w:t>
            </w:r>
          </w:p>
        </w:tc>
        <w:tc>
          <w:tcPr>
            <w:tcW w:w="6946" w:type="dxa"/>
            <w:tcBorders>
              <w:left w:val="single" w:color="auto" w:sz="4" w:space="0"/>
            </w:tcBorders>
            <w:noWrap w:val="0"/>
            <w:vAlign w:val="center"/>
          </w:tcPr>
          <w:p w14:paraId="476DDCE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ascii="宋体" w:hAnsi="宋体"/>
                <w:color w:val="auto"/>
                <w:highlight w:val="none"/>
              </w:rPr>
            </w:pPr>
            <w:r>
              <w:rPr>
                <w:rFonts w:hint="eastAsia" w:ascii="宋体" w:hAnsi="宋体" w:eastAsia="宋体" w:cs="宋体"/>
                <w:color w:val="auto"/>
                <w:szCs w:val="21"/>
                <w:highlight w:val="none"/>
              </w:rPr>
              <w:t>方案内容优于招标文件要求的得5分，符合招标文件要求的得3分，不符合招标文件或未提供的不得分。</w:t>
            </w:r>
          </w:p>
        </w:tc>
      </w:tr>
      <w:tr w14:paraId="46B5C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trPr>
        <w:tc>
          <w:tcPr>
            <w:tcW w:w="2269" w:type="dxa"/>
            <w:vMerge w:val="restart"/>
            <w:tcBorders>
              <w:right w:val="single" w:color="auto" w:sz="4" w:space="0"/>
            </w:tcBorders>
            <w:noWrap w:val="0"/>
            <w:vAlign w:val="center"/>
          </w:tcPr>
          <w:p w14:paraId="5884311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ascii="宋体" w:hAnsi="宋体"/>
                <w:color w:val="auto"/>
                <w:highlight w:val="none"/>
              </w:rPr>
            </w:pPr>
            <w:r>
              <w:rPr>
                <w:rFonts w:ascii="宋体" w:hAnsi="宋体"/>
                <w:color w:val="auto"/>
                <w:highlight w:val="none"/>
              </w:rPr>
              <w:t>售后服务</w:t>
            </w:r>
          </w:p>
          <w:p w14:paraId="371AA68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ascii="宋体" w:hAnsi="宋体"/>
                <w:color w:val="auto"/>
                <w:highlight w:val="none"/>
              </w:rPr>
            </w:pPr>
            <w:r>
              <w:rPr>
                <w:rFonts w:hint="eastAsia" w:ascii="宋体" w:hAnsi="宋体"/>
                <w:color w:val="auto"/>
                <w:highlight w:val="none"/>
              </w:rPr>
              <w:t>（10分）</w:t>
            </w:r>
          </w:p>
        </w:tc>
        <w:tc>
          <w:tcPr>
            <w:tcW w:w="6946" w:type="dxa"/>
            <w:tcBorders>
              <w:left w:val="single" w:color="auto" w:sz="4" w:space="0"/>
            </w:tcBorders>
            <w:noWrap w:val="0"/>
            <w:vAlign w:val="center"/>
          </w:tcPr>
          <w:p w14:paraId="291E168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ascii="宋体" w:hAnsi="宋体"/>
                <w:color w:val="auto"/>
                <w:highlight w:val="none"/>
              </w:rPr>
            </w:pPr>
            <w:r>
              <w:rPr>
                <w:rFonts w:hint="eastAsia" w:ascii="宋体" w:hAnsi="宋体"/>
                <w:color w:val="auto"/>
                <w:highlight w:val="none"/>
              </w:rPr>
              <w:t>提供24小时售后服务电话，接到使用单位维修通知后2小时内到达现场的得3分；2小时后3小时内到达现场的，得2分；3小时后4小时内到达现场的，得1分，超过4小时到达的不得分。</w:t>
            </w:r>
            <w:r>
              <w:rPr>
                <w:rFonts w:hint="eastAsia" w:ascii="宋体" w:hAnsi="宋体"/>
                <w:b/>
                <w:bCs/>
                <w:color w:val="auto"/>
                <w:highlight w:val="none"/>
              </w:rPr>
              <w:t>（需提供承诺书，原件扫描上传，未提供的，该项不得分）</w:t>
            </w:r>
          </w:p>
        </w:tc>
      </w:tr>
      <w:tr w14:paraId="720B2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2269" w:type="dxa"/>
            <w:vMerge w:val="continue"/>
            <w:tcBorders>
              <w:right w:val="single" w:color="auto" w:sz="4" w:space="0"/>
            </w:tcBorders>
            <w:noWrap w:val="0"/>
            <w:vAlign w:val="center"/>
          </w:tcPr>
          <w:p w14:paraId="7FFBFF7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ascii="宋体" w:hAnsi="宋体"/>
                <w:color w:val="auto"/>
                <w:highlight w:val="none"/>
              </w:rPr>
            </w:pPr>
          </w:p>
        </w:tc>
        <w:tc>
          <w:tcPr>
            <w:tcW w:w="6946" w:type="dxa"/>
            <w:tcBorders>
              <w:left w:val="single" w:color="auto" w:sz="4" w:space="0"/>
            </w:tcBorders>
            <w:noWrap w:val="0"/>
            <w:vAlign w:val="center"/>
          </w:tcPr>
          <w:p w14:paraId="38BC817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ascii="宋体" w:hAnsi="宋体"/>
                <w:color w:val="auto"/>
                <w:highlight w:val="none"/>
              </w:rPr>
            </w:pPr>
            <w:r>
              <w:rPr>
                <w:rFonts w:hint="eastAsia" w:ascii="宋体" w:hAnsi="宋体"/>
                <w:color w:val="auto"/>
                <w:highlight w:val="none"/>
              </w:rPr>
              <w:t>质保期3年，在此基础上投标人承诺每延长一年得1分，最多得2分。</w:t>
            </w:r>
            <w:r>
              <w:rPr>
                <w:rFonts w:hint="eastAsia" w:ascii="宋体" w:hAnsi="宋体"/>
                <w:b/>
                <w:bCs/>
                <w:color w:val="auto"/>
                <w:highlight w:val="none"/>
              </w:rPr>
              <w:t>（需提供承诺书，原件扫描上传，未提供的，该项不得分）</w:t>
            </w:r>
          </w:p>
        </w:tc>
      </w:tr>
      <w:tr w14:paraId="7B122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2269" w:type="dxa"/>
            <w:vMerge w:val="continue"/>
            <w:tcBorders>
              <w:right w:val="single" w:color="auto" w:sz="4" w:space="0"/>
            </w:tcBorders>
            <w:noWrap w:val="0"/>
            <w:vAlign w:val="center"/>
          </w:tcPr>
          <w:p w14:paraId="294CDC3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ascii="宋体" w:hAnsi="宋体" w:cs="Arial"/>
                <w:bCs/>
                <w:iCs/>
                <w:color w:val="auto"/>
                <w:highlight w:val="none"/>
              </w:rPr>
            </w:pPr>
          </w:p>
        </w:tc>
        <w:tc>
          <w:tcPr>
            <w:tcW w:w="6946" w:type="dxa"/>
            <w:tcBorders>
              <w:left w:val="single" w:color="auto" w:sz="4" w:space="0"/>
            </w:tcBorders>
            <w:noWrap w:val="0"/>
            <w:vAlign w:val="center"/>
          </w:tcPr>
          <w:p w14:paraId="0593D89B">
            <w:pPr>
              <w:keepNext w:val="0"/>
              <w:keepLines w:val="0"/>
              <w:pageBreakBefore w:val="0"/>
              <w:suppressLineNumbers w:val="0"/>
              <w:tabs>
                <w:tab w:val="left" w:pos="1350"/>
              </w:tabs>
              <w:kinsoku/>
              <w:wordWrap/>
              <w:overflowPunct/>
              <w:topLinePunct w:val="0"/>
              <w:autoSpaceDE/>
              <w:autoSpaceDN/>
              <w:bidi w:val="0"/>
              <w:adjustRightInd/>
              <w:snapToGrid/>
              <w:spacing w:before="0" w:beforeAutospacing="0" w:after="0" w:afterAutospacing="0" w:line="360" w:lineRule="auto"/>
              <w:ind w:left="0" w:right="0"/>
              <w:textAlignment w:val="auto"/>
              <w:rPr>
                <w:rFonts w:ascii="宋体" w:hAnsi="宋体"/>
                <w:color w:val="auto"/>
                <w:highlight w:val="none"/>
              </w:rPr>
            </w:pPr>
            <w:r>
              <w:rPr>
                <w:rFonts w:hint="eastAsia" w:ascii="宋体" w:hAnsi="宋体"/>
                <w:color w:val="auto"/>
                <w:highlight w:val="none"/>
              </w:rPr>
              <w:t>售后服务方案：</w:t>
            </w:r>
            <w:r>
              <w:rPr>
                <w:rFonts w:hint="eastAsia" w:ascii="宋体" w:hAnsi="宋体" w:cs="宋体"/>
                <w:color w:val="auto"/>
                <w:highlight w:val="none"/>
              </w:rPr>
              <w:t>方案内容优于招标文件要求的得5分，符合招标文件要求的得3分，不符合招标文件或未提供的不得分。</w:t>
            </w:r>
          </w:p>
        </w:tc>
      </w:tr>
      <w:tr w14:paraId="59DD3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2269" w:type="dxa"/>
            <w:vMerge w:val="restart"/>
            <w:tcBorders>
              <w:right w:val="single" w:color="auto" w:sz="4" w:space="0"/>
            </w:tcBorders>
            <w:noWrap w:val="0"/>
            <w:vAlign w:val="center"/>
          </w:tcPr>
          <w:p w14:paraId="5B08642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ascii="宋体" w:hAnsi="宋体" w:cs="宋体"/>
                <w:bCs/>
                <w:color w:val="auto"/>
                <w:highlight w:val="none"/>
              </w:rPr>
            </w:pPr>
            <w:r>
              <w:rPr>
                <w:rFonts w:hint="eastAsia" w:ascii="宋体" w:hAnsi="宋体" w:cs="宋体"/>
                <w:bCs/>
                <w:color w:val="auto"/>
                <w:highlight w:val="none"/>
              </w:rPr>
              <w:t>企业综合实力</w:t>
            </w:r>
          </w:p>
          <w:p w14:paraId="1B7D7DF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ascii="宋体" w:hAnsi="宋体" w:cs="Arial"/>
                <w:bCs/>
                <w:iCs/>
                <w:color w:val="auto"/>
                <w:highlight w:val="none"/>
              </w:rPr>
            </w:pPr>
            <w:r>
              <w:rPr>
                <w:rFonts w:hint="eastAsia" w:ascii="宋体" w:hAnsi="宋体" w:cs="宋体"/>
                <w:bCs/>
                <w:color w:val="auto"/>
                <w:highlight w:val="none"/>
              </w:rPr>
              <w:t>（1</w:t>
            </w:r>
            <w:r>
              <w:rPr>
                <w:rFonts w:hint="eastAsia" w:ascii="宋体" w:hAnsi="宋体" w:cs="宋体"/>
                <w:bCs/>
                <w:color w:val="auto"/>
                <w:highlight w:val="none"/>
                <w:lang w:val="en-US" w:eastAsia="zh-CN"/>
              </w:rPr>
              <w:t>3</w:t>
            </w:r>
            <w:r>
              <w:rPr>
                <w:rFonts w:hint="eastAsia" w:ascii="宋体" w:hAnsi="宋体" w:cs="宋体"/>
                <w:bCs/>
                <w:color w:val="auto"/>
                <w:highlight w:val="none"/>
              </w:rPr>
              <w:t>分）</w:t>
            </w:r>
          </w:p>
        </w:tc>
        <w:tc>
          <w:tcPr>
            <w:tcW w:w="6946" w:type="dxa"/>
            <w:tcBorders>
              <w:left w:val="single" w:color="auto" w:sz="4" w:space="0"/>
            </w:tcBorders>
            <w:noWrap w:val="0"/>
            <w:vAlign w:val="center"/>
          </w:tcPr>
          <w:p w14:paraId="2C06270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ascii="宋体" w:hAnsi="宋体"/>
                <w:color w:val="auto"/>
                <w:highlight w:val="none"/>
              </w:rPr>
            </w:pPr>
            <w:r>
              <w:rPr>
                <w:rFonts w:hint="eastAsia" w:ascii="宋体" w:hAnsi="宋体"/>
                <w:color w:val="auto"/>
                <w:szCs w:val="24"/>
                <w:highlight w:val="none"/>
              </w:rPr>
              <w:t>投标人或所投产品制造商具有有效期内质量管理体系认证证书，职业健康管理体系认证证书，环境管理体系认证证书，每有一项得1分，满分3分。</w:t>
            </w:r>
            <w:r>
              <w:rPr>
                <w:rFonts w:hint="eastAsia" w:ascii="宋体" w:hAnsi="宋体"/>
                <w:b/>
                <w:bCs/>
                <w:color w:val="auto"/>
                <w:szCs w:val="24"/>
                <w:highlight w:val="none"/>
              </w:rPr>
              <w:t>（</w:t>
            </w:r>
            <w:r>
              <w:rPr>
                <w:rFonts w:hint="eastAsia" w:ascii="宋体" w:hAnsi="宋体"/>
                <w:b/>
                <w:bCs/>
                <w:color w:val="auto"/>
                <w:highlight w:val="none"/>
              </w:rPr>
              <w:t>需提供有效证书原件扫描上传</w:t>
            </w:r>
            <w:r>
              <w:rPr>
                <w:rFonts w:hint="eastAsia" w:ascii="宋体" w:hAnsi="宋体" w:cs="宋体"/>
                <w:b/>
                <w:bCs/>
                <w:color w:val="auto"/>
                <w:szCs w:val="21"/>
                <w:highlight w:val="none"/>
                <w:lang w:val="en-US" w:eastAsia="zh-CN"/>
              </w:rPr>
              <w:t>，同时提供国家市场监督管理总局——全国认证认可信息公告服务平台查询截图，否则不得分，</w:t>
            </w:r>
            <w:r>
              <w:rPr>
                <w:rFonts w:hint="eastAsia" w:ascii="宋体" w:hAnsi="宋体"/>
                <w:b/>
                <w:bCs/>
                <w:color w:val="auto"/>
                <w:highlight w:val="none"/>
              </w:rPr>
              <w:t>关键信息模糊或未提供证明材料的，该项不得分</w:t>
            </w:r>
            <w:r>
              <w:rPr>
                <w:rFonts w:hint="eastAsia" w:ascii="宋体" w:hAnsi="宋体"/>
                <w:b/>
                <w:bCs/>
                <w:color w:val="auto"/>
                <w:szCs w:val="24"/>
                <w:highlight w:val="none"/>
              </w:rPr>
              <w:t>）</w:t>
            </w:r>
            <w:r>
              <w:rPr>
                <w:rFonts w:hint="eastAsia" w:ascii="宋体" w:hAnsi="宋体"/>
                <w:color w:val="auto"/>
                <w:szCs w:val="24"/>
                <w:highlight w:val="none"/>
              </w:rPr>
              <w:t>。</w:t>
            </w:r>
          </w:p>
        </w:tc>
      </w:tr>
      <w:tr w14:paraId="590F1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2269" w:type="dxa"/>
            <w:vMerge w:val="continue"/>
            <w:tcBorders>
              <w:right w:val="single" w:color="auto" w:sz="4" w:space="0"/>
            </w:tcBorders>
            <w:noWrap w:val="0"/>
            <w:vAlign w:val="center"/>
          </w:tcPr>
          <w:p w14:paraId="222C852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ascii="宋体" w:hAnsi="宋体"/>
                <w:color w:val="auto"/>
                <w:highlight w:val="none"/>
              </w:rPr>
            </w:pPr>
          </w:p>
        </w:tc>
        <w:tc>
          <w:tcPr>
            <w:tcW w:w="6946" w:type="dxa"/>
            <w:tcBorders>
              <w:left w:val="single" w:color="auto" w:sz="4" w:space="0"/>
            </w:tcBorders>
            <w:noWrap w:val="0"/>
            <w:vAlign w:val="center"/>
          </w:tcPr>
          <w:p w14:paraId="048CFD6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ascii="宋体" w:hAnsi="宋体"/>
                <w:color w:val="auto"/>
                <w:highlight w:val="none"/>
              </w:rPr>
            </w:pPr>
            <w:r>
              <w:rPr>
                <w:rFonts w:hint="eastAsia" w:ascii="宋体" w:hAnsi="宋体" w:cs="宋体"/>
                <w:color w:val="auto"/>
                <w:highlight w:val="none"/>
              </w:rPr>
              <w:t>投标人须提供202</w:t>
            </w:r>
            <w:r>
              <w:rPr>
                <w:rFonts w:hint="eastAsia" w:ascii="宋体" w:hAnsi="宋体" w:cs="宋体"/>
                <w:color w:val="auto"/>
                <w:highlight w:val="none"/>
                <w:lang w:val="en-US" w:eastAsia="zh-CN"/>
              </w:rPr>
              <w:t>3</w:t>
            </w:r>
            <w:r>
              <w:rPr>
                <w:rFonts w:hint="eastAsia" w:ascii="宋体" w:hAnsi="宋体" w:cs="宋体"/>
                <w:color w:val="auto"/>
                <w:highlight w:val="none"/>
              </w:rPr>
              <w:t>年1月以来投标单位签订的与本包采购内容相类似的业绩合同，每有一份得</w:t>
            </w:r>
            <w:r>
              <w:rPr>
                <w:rFonts w:hint="eastAsia" w:ascii="宋体" w:hAnsi="宋体" w:cs="宋体"/>
                <w:color w:val="auto"/>
                <w:highlight w:val="none"/>
                <w:lang w:val="en-US" w:eastAsia="zh-CN"/>
              </w:rPr>
              <w:t>2</w:t>
            </w:r>
            <w:r>
              <w:rPr>
                <w:rFonts w:hint="eastAsia" w:ascii="宋体" w:hAnsi="宋体" w:cs="宋体"/>
                <w:color w:val="auto"/>
                <w:highlight w:val="none"/>
              </w:rPr>
              <w:t>分</w:t>
            </w:r>
            <w:r>
              <w:rPr>
                <w:rFonts w:hint="eastAsia" w:ascii="宋体" w:hAnsi="宋体" w:cs="宋体"/>
                <w:color w:val="auto"/>
                <w:highlight w:val="none"/>
                <w:lang w:val="zh-CN"/>
              </w:rPr>
              <w:t>，满分</w:t>
            </w:r>
            <w:r>
              <w:rPr>
                <w:rFonts w:hint="eastAsia" w:ascii="宋体" w:hAnsi="宋体" w:cs="宋体"/>
                <w:color w:val="auto"/>
                <w:highlight w:val="none"/>
                <w:lang w:val="en-US" w:eastAsia="zh-CN"/>
              </w:rPr>
              <w:t>10</w:t>
            </w:r>
            <w:r>
              <w:rPr>
                <w:rFonts w:hint="eastAsia" w:ascii="宋体" w:hAnsi="宋体" w:cs="宋体"/>
                <w:color w:val="auto"/>
                <w:highlight w:val="none"/>
                <w:lang w:val="zh-CN"/>
              </w:rPr>
              <w:t>分。</w:t>
            </w:r>
            <w:r>
              <w:rPr>
                <w:rFonts w:hint="eastAsia" w:ascii="宋体" w:hAnsi="宋体" w:cs="宋体"/>
                <w:b/>
                <w:bCs/>
                <w:color w:val="auto"/>
                <w:highlight w:val="none"/>
              </w:rPr>
              <w:t>（</w:t>
            </w:r>
            <w:r>
              <w:rPr>
                <w:rFonts w:hint="eastAsia" w:ascii="宋体" w:hAnsi="宋体" w:cs="宋体"/>
                <w:b/>
                <w:color w:val="auto"/>
                <w:highlight w:val="none"/>
              </w:rPr>
              <w:t>以合同签订日期为准，</w:t>
            </w:r>
            <w:r>
              <w:rPr>
                <w:rFonts w:hint="eastAsia" w:ascii="宋体" w:hAnsi="宋体" w:cs="宋体"/>
                <w:b/>
                <w:bCs/>
                <w:color w:val="auto"/>
                <w:highlight w:val="none"/>
              </w:rPr>
              <w:t>须提供合同</w:t>
            </w:r>
            <w:r>
              <w:rPr>
                <w:rFonts w:hint="eastAsia" w:ascii="宋体" w:hAnsi="宋体"/>
                <w:b/>
                <w:bCs/>
                <w:color w:val="auto"/>
                <w:highlight w:val="none"/>
              </w:rPr>
              <w:t>原件扫描上传，关键信息模糊或未提供证明材料的，该项不得分</w:t>
            </w:r>
            <w:r>
              <w:rPr>
                <w:rFonts w:hint="eastAsia" w:ascii="宋体" w:hAnsi="宋体" w:cs="宋体"/>
                <w:b/>
                <w:bCs/>
                <w:color w:val="auto"/>
                <w:highlight w:val="none"/>
              </w:rPr>
              <w:t>）。</w:t>
            </w:r>
          </w:p>
        </w:tc>
      </w:tr>
    </w:tbl>
    <w:p w14:paraId="110E4178">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s="宋体"/>
          <w:color w:val="auto"/>
          <w:highlight w:val="none"/>
        </w:rPr>
      </w:pPr>
      <w:r>
        <w:rPr>
          <w:rFonts w:hint="eastAsia" w:ascii="宋体" w:hAnsi="宋体" w:cs="宋体"/>
          <w:b/>
          <w:bCs/>
          <w:color w:val="auto"/>
          <w:highlight w:val="none"/>
        </w:rPr>
        <w:t>注</w:t>
      </w:r>
      <w:r>
        <w:rPr>
          <w:rFonts w:hint="eastAsia" w:ascii="宋体" w:hAnsi="宋体" w:cs="宋体"/>
          <w:color w:val="auto"/>
          <w:highlight w:val="none"/>
        </w:rPr>
        <w:t>：1、评委应对以上各得分项独立评分，投标人最终得分为所有评委评分汇总的平均值。</w:t>
      </w:r>
    </w:p>
    <w:p w14:paraId="598C6B1A">
      <w:pPr>
        <w:keepNext w:val="0"/>
        <w:keepLines w:val="0"/>
        <w:pageBreakBefore w:val="0"/>
        <w:widowControl w:val="0"/>
        <w:kinsoku/>
        <w:wordWrap/>
        <w:overflowPunct/>
        <w:topLinePunct w:val="0"/>
        <w:autoSpaceDE/>
        <w:autoSpaceDN/>
        <w:bidi w:val="0"/>
        <w:adjustRightInd/>
        <w:snapToGrid/>
        <w:spacing w:line="360" w:lineRule="auto"/>
        <w:ind w:left="422" w:hanging="422"/>
        <w:jc w:val="left"/>
        <w:textAlignment w:val="auto"/>
        <w:rPr>
          <w:rFonts w:ascii="宋体" w:hAnsi="宋体" w:cs="宋体"/>
          <w:color w:val="auto"/>
          <w:highlight w:val="none"/>
        </w:rPr>
      </w:pPr>
      <w:r>
        <w:rPr>
          <w:rFonts w:hint="eastAsia" w:ascii="宋体" w:hAnsi="宋体" w:cs="宋体"/>
          <w:color w:val="auto"/>
          <w:highlight w:val="none"/>
        </w:rPr>
        <w:t xml:space="preserve">    2、以上参与评分的相关证书、合同等其他证明材料，均</w:t>
      </w:r>
      <w:r>
        <w:rPr>
          <w:rFonts w:hint="eastAsia" w:ascii="宋体" w:hAnsi="宋体" w:cs="宋体"/>
          <w:color w:val="auto"/>
          <w:highlight w:val="none"/>
          <w:lang w:val="en-US" w:eastAsia="zh-CN"/>
        </w:rPr>
        <w:t>须</w:t>
      </w:r>
      <w:r>
        <w:rPr>
          <w:rFonts w:hint="eastAsia" w:ascii="宋体" w:hAnsi="宋体" w:cs="宋体"/>
          <w:color w:val="auto"/>
          <w:highlight w:val="none"/>
        </w:rPr>
        <w:t>以原件扫描件形式上传</w:t>
      </w:r>
      <w:r>
        <w:rPr>
          <w:rFonts w:hint="eastAsia" w:ascii="宋体" w:hAnsi="宋体" w:cs="宋体"/>
          <w:color w:val="auto"/>
          <w:highlight w:val="none"/>
          <w:lang w:eastAsia="zh-CN"/>
        </w:rPr>
        <w:t>，</w:t>
      </w:r>
      <w:r>
        <w:rPr>
          <w:rFonts w:hint="eastAsia" w:ascii="宋体" w:hAnsi="宋体" w:cs="宋体"/>
          <w:color w:val="auto"/>
          <w:highlight w:val="none"/>
        </w:rPr>
        <w:t>否则不得分。</w:t>
      </w:r>
    </w:p>
    <w:p w14:paraId="075EC7D2">
      <w:pPr>
        <w:keepNext w:val="0"/>
        <w:keepLines w:val="0"/>
        <w:pageBreakBefore w:val="0"/>
        <w:kinsoku/>
        <w:wordWrap/>
        <w:overflowPunct/>
        <w:topLinePunct w:val="0"/>
        <w:autoSpaceDE/>
        <w:autoSpaceDN/>
        <w:bidi w:val="0"/>
        <w:adjustRightInd/>
        <w:snapToGrid/>
        <w:spacing w:line="360" w:lineRule="auto"/>
        <w:ind w:left="0" w:firstLine="420"/>
        <w:textAlignment w:val="auto"/>
        <w:rPr>
          <w:rFonts w:hint="eastAsia" w:ascii="宋体" w:hAnsi="宋体" w:eastAsia="宋体" w:cs="宋体"/>
          <w:color w:val="auto"/>
          <w:sz w:val="21"/>
          <w:szCs w:val="21"/>
          <w:highlight w:val="none"/>
        </w:rPr>
      </w:pPr>
      <w:r>
        <w:rPr>
          <w:color w:val="auto"/>
          <w:highlight w:val="none"/>
        </w:rPr>
        <w:br w:type="page" w:clear="all"/>
      </w:r>
    </w:p>
    <w:p w14:paraId="0B5782F5">
      <w:pPr>
        <w:pStyle w:val="2"/>
        <w:keepNext/>
        <w:keepLines/>
        <w:pageBreakBefore w:val="0"/>
        <w:widowControl w:val="0"/>
        <w:spacing w:before="0" w:after="0" w:line="360" w:lineRule="auto"/>
        <w:jc w:val="center"/>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t xml:space="preserve"> </w:t>
      </w:r>
      <w:bookmarkStart w:id="58" w:name="_Toc9166"/>
      <w:r>
        <w:rPr>
          <w:rFonts w:hint="eastAsia" w:ascii="宋体" w:hAnsi="宋体" w:eastAsia="宋体" w:cs="Times New Roman"/>
          <w:b/>
          <w:bCs/>
          <w:color w:val="auto"/>
          <w:sz w:val="36"/>
          <w:szCs w:val="36"/>
          <w:highlight w:val="none"/>
          <w:lang w:val="en-US" w:eastAsia="zh-CN"/>
        </w:rPr>
        <w:t>第六章 投标文件格式</w:t>
      </w:r>
      <w:bookmarkEnd w:id="58"/>
      <w:r>
        <w:rPr>
          <w:rFonts w:hint="eastAsia" w:ascii="宋体" w:hAnsi="宋体" w:eastAsia="宋体" w:cs="Times New Roman"/>
          <w:b/>
          <w:bCs/>
          <w:color w:val="auto"/>
          <w:sz w:val="36"/>
          <w:szCs w:val="36"/>
          <w:highlight w:val="none"/>
          <w:lang w:val="en-US" w:eastAsia="zh-CN"/>
        </w:rPr>
        <w:t xml:space="preserve"> </w:t>
      </w:r>
    </w:p>
    <w:p w14:paraId="235AD666">
      <w:pPr>
        <w:spacing w:line="360" w:lineRule="auto"/>
        <w:rPr>
          <w:rFonts w:ascii="黑体" w:eastAsia="黑体"/>
          <w:bCs/>
          <w:color w:val="auto"/>
          <w:sz w:val="44"/>
          <w:highlight w:val="none"/>
        </w:rPr>
      </w:pPr>
    </w:p>
    <w:p w14:paraId="4853600D">
      <w:pPr>
        <w:pStyle w:val="26"/>
        <w:rPr>
          <w:rFonts w:ascii="黑体" w:eastAsia="黑体"/>
          <w:bCs/>
          <w:color w:val="auto"/>
          <w:sz w:val="44"/>
          <w:highlight w:val="none"/>
        </w:rPr>
      </w:pPr>
    </w:p>
    <w:p w14:paraId="50B34FE8">
      <w:pPr>
        <w:rPr>
          <w:rFonts w:ascii="黑体" w:eastAsia="黑体"/>
          <w:bCs/>
          <w:color w:val="auto"/>
          <w:sz w:val="44"/>
          <w:highlight w:val="none"/>
        </w:rPr>
      </w:pPr>
    </w:p>
    <w:p w14:paraId="186D7388">
      <w:pPr>
        <w:pStyle w:val="26"/>
        <w:rPr>
          <w:color w:val="auto"/>
          <w:highlight w:val="none"/>
        </w:rPr>
      </w:pPr>
    </w:p>
    <w:p w14:paraId="25C71738">
      <w:pPr>
        <w:spacing w:line="360" w:lineRule="auto"/>
        <w:jc w:val="center"/>
        <w:rPr>
          <w:rFonts w:ascii="宋体" w:hAnsi="宋体"/>
          <w:b/>
          <w:color w:val="auto"/>
          <w:sz w:val="72"/>
          <w:highlight w:val="none"/>
        </w:rPr>
      </w:pPr>
      <w:r>
        <w:rPr>
          <w:rFonts w:hint="eastAsia" w:ascii="宋体" w:hAnsi="宋体"/>
          <w:b/>
          <w:color w:val="auto"/>
          <w:sz w:val="72"/>
          <w:highlight w:val="none"/>
        </w:rPr>
        <w:t>投  标  文  件</w:t>
      </w:r>
    </w:p>
    <w:p w14:paraId="0307B707">
      <w:pPr>
        <w:spacing w:line="360" w:lineRule="auto"/>
        <w:jc w:val="center"/>
        <w:rPr>
          <w:rFonts w:ascii="宋体" w:hAnsi="宋体"/>
          <w:b/>
          <w:color w:val="auto"/>
          <w:sz w:val="72"/>
          <w:highlight w:val="none"/>
        </w:rPr>
      </w:pPr>
    </w:p>
    <w:p w14:paraId="4C0A736E">
      <w:pPr>
        <w:spacing w:line="360" w:lineRule="auto"/>
        <w:jc w:val="center"/>
        <w:rPr>
          <w:rFonts w:ascii="宋体" w:hAnsi="宋体"/>
          <w:b/>
          <w:color w:val="auto"/>
          <w:sz w:val="72"/>
          <w:highlight w:val="none"/>
        </w:rPr>
      </w:pPr>
    </w:p>
    <w:p w14:paraId="1C011ABC">
      <w:pPr>
        <w:spacing w:line="360" w:lineRule="auto"/>
        <w:jc w:val="center"/>
        <w:rPr>
          <w:rFonts w:ascii="宋体" w:hAnsi="宋体"/>
          <w:b/>
          <w:color w:val="auto"/>
          <w:sz w:val="36"/>
          <w:highlight w:val="none"/>
        </w:rPr>
      </w:pPr>
    </w:p>
    <w:p w14:paraId="78C24B95">
      <w:pPr>
        <w:spacing w:line="360" w:lineRule="auto"/>
        <w:jc w:val="center"/>
        <w:rPr>
          <w:rFonts w:ascii="宋体" w:hAnsi="宋体"/>
          <w:b/>
          <w:color w:val="auto"/>
          <w:sz w:val="36"/>
          <w:highlight w:val="none"/>
        </w:rPr>
      </w:pPr>
    </w:p>
    <w:p w14:paraId="36A2E9F5">
      <w:pPr>
        <w:spacing w:line="360" w:lineRule="auto"/>
        <w:jc w:val="center"/>
        <w:rPr>
          <w:rFonts w:ascii="宋体" w:hAnsi="宋体"/>
          <w:b/>
          <w:color w:val="auto"/>
          <w:sz w:val="36"/>
          <w:highlight w:val="none"/>
        </w:rPr>
      </w:pPr>
    </w:p>
    <w:p w14:paraId="6FF7DE2C">
      <w:pPr>
        <w:pStyle w:val="26"/>
        <w:rPr>
          <w:color w:val="auto"/>
          <w:highlight w:val="none"/>
        </w:rPr>
      </w:pPr>
    </w:p>
    <w:p w14:paraId="785BFD0A">
      <w:pPr>
        <w:spacing w:line="360" w:lineRule="auto"/>
        <w:jc w:val="center"/>
        <w:rPr>
          <w:rFonts w:ascii="宋体" w:hAnsi="宋体"/>
          <w:b/>
          <w:color w:val="auto"/>
          <w:sz w:val="36"/>
          <w:highlight w:val="none"/>
        </w:rPr>
      </w:pPr>
    </w:p>
    <w:p w14:paraId="5D1E64DE">
      <w:pPr>
        <w:spacing w:line="360" w:lineRule="auto"/>
        <w:ind w:firstLine="1084"/>
        <w:rPr>
          <w:rFonts w:ascii="宋体" w:hAnsi="宋体"/>
          <w:b/>
          <w:color w:val="auto"/>
          <w:sz w:val="36"/>
          <w:highlight w:val="none"/>
        </w:rPr>
      </w:pPr>
      <w:r>
        <w:rPr>
          <w:rFonts w:hint="eastAsia" w:ascii="宋体" w:hAnsi="宋体"/>
          <w:b/>
          <w:color w:val="auto"/>
          <w:sz w:val="36"/>
          <w:highlight w:val="none"/>
        </w:rPr>
        <w:t>项 目 名 称：</w:t>
      </w:r>
      <w:r>
        <w:rPr>
          <w:rFonts w:hint="eastAsia" w:ascii="宋体" w:hAnsi="宋体"/>
          <w:b/>
          <w:color w:val="auto"/>
          <w:sz w:val="36"/>
          <w:highlight w:val="none"/>
          <w:u w:val="single"/>
        </w:rPr>
        <w:t xml:space="preserve">               </w:t>
      </w:r>
    </w:p>
    <w:p w14:paraId="69E75119">
      <w:pPr>
        <w:spacing w:line="360" w:lineRule="auto"/>
        <w:ind w:firstLine="1084"/>
        <w:rPr>
          <w:rFonts w:ascii="宋体" w:hAnsi="宋体"/>
          <w:b/>
          <w:color w:val="auto"/>
          <w:sz w:val="36"/>
          <w:highlight w:val="none"/>
          <w:u w:val="single"/>
        </w:rPr>
      </w:pPr>
      <w:r>
        <w:rPr>
          <w:rFonts w:hint="eastAsia" w:ascii="宋体" w:hAnsi="宋体"/>
          <w:b/>
          <w:color w:val="auto"/>
          <w:sz w:val="36"/>
          <w:highlight w:val="none"/>
        </w:rPr>
        <w:t>招 标 编 号：</w:t>
      </w:r>
      <w:r>
        <w:rPr>
          <w:rFonts w:hint="eastAsia" w:ascii="宋体" w:hAnsi="宋体"/>
          <w:b/>
          <w:color w:val="auto"/>
          <w:sz w:val="36"/>
          <w:highlight w:val="none"/>
          <w:u w:val="single"/>
        </w:rPr>
        <w:t xml:space="preserve">               </w:t>
      </w:r>
    </w:p>
    <w:p w14:paraId="20A067A6">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p>
    <w:p w14:paraId="38972C5C">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p>
    <w:p w14:paraId="7AAE60C3">
      <w:pPr>
        <w:spacing w:line="360" w:lineRule="auto"/>
        <w:ind w:firstLine="1084"/>
        <w:rPr>
          <w:rFonts w:ascii="宋体" w:hAnsi="宋体"/>
          <w:b/>
          <w:color w:val="auto"/>
          <w:sz w:val="36"/>
          <w:highlight w:val="none"/>
        </w:rPr>
      </w:pPr>
      <w:r>
        <w:rPr>
          <w:rFonts w:hint="eastAsia" w:ascii="宋体" w:hAnsi="宋体"/>
          <w:b/>
          <w:color w:val="auto"/>
          <w:sz w:val="36"/>
          <w:highlight w:val="none"/>
        </w:rPr>
        <w:t>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（电子签章）</w:t>
      </w:r>
    </w:p>
    <w:p w14:paraId="283C05B7">
      <w:pPr>
        <w:spacing w:line="360" w:lineRule="auto"/>
        <w:jc w:val="center"/>
        <w:rPr>
          <w:rFonts w:ascii="宋体" w:hAnsi="宋体"/>
          <w:b/>
          <w:bCs/>
          <w:color w:val="auto"/>
          <w:sz w:val="32"/>
          <w:szCs w:val="32"/>
          <w:highlight w:val="none"/>
        </w:rPr>
      </w:pPr>
      <w:r>
        <w:rPr>
          <w:rFonts w:hint="eastAsia" w:ascii="宋体" w:hAnsi="宋体"/>
          <w:b/>
          <w:bCs/>
          <w:color w:val="auto"/>
          <w:sz w:val="32"/>
          <w:szCs w:val="32"/>
          <w:highlight w:val="none"/>
        </w:rPr>
        <w:t>投标主要文件目录</w:t>
      </w:r>
    </w:p>
    <w:p w14:paraId="3AC9A776">
      <w:pPr>
        <w:spacing w:line="360" w:lineRule="auto"/>
        <w:jc w:val="center"/>
        <w:rPr>
          <w:rFonts w:ascii="宋体" w:hAnsi="宋体"/>
          <w:b/>
          <w:bCs/>
          <w:color w:val="auto"/>
          <w:sz w:val="32"/>
          <w:szCs w:val="32"/>
          <w:highlight w:val="none"/>
        </w:rPr>
      </w:pPr>
    </w:p>
    <w:p w14:paraId="41B13348">
      <w:pPr>
        <w:spacing w:line="360" w:lineRule="auto"/>
        <w:ind w:firstLine="480"/>
        <w:rPr>
          <w:rFonts w:ascii="宋体" w:hAnsi="宋体"/>
          <w:color w:val="auto"/>
          <w:sz w:val="24"/>
          <w:highlight w:val="none"/>
        </w:rPr>
      </w:pPr>
      <w:r>
        <w:rPr>
          <w:rFonts w:hint="eastAsia" w:ascii="宋体" w:hAnsi="宋体"/>
          <w:color w:val="auto"/>
          <w:sz w:val="24"/>
          <w:highlight w:val="none"/>
        </w:rPr>
        <w:t>一、资格审查响应对照表</w:t>
      </w:r>
    </w:p>
    <w:p w14:paraId="6F17E5E9">
      <w:pPr>
        <w:spacing w:line="360" w:lineRule="auto"/>
        <w:ind w:left="480"/>
        <w:rPr>
          <w:rFonts w:ascii="宋体" w:hAnsi="宋体"/>
          <w:color w:val="auto"/>
          <w:sz w:val="24"/>
          <w:highlight w:val="none"/>
        </w:rPr>
      </w:pPr>
      <w:r>
        <w:rPr>
          <w:rFonts w:hint="eastAsia" w:ascii="宋体" w:hAnsi="宋体"/>
          <w:color w:val="auto"/>
          <w:sz w:val="24"/>
          <w:highlight w:val="none"/>
        </w:rPr>
        <w:t>二、符合性审查响应对照表</w:t>
      </w:r>
    </w:p>
    <w:p w14:paraId="2BD587B7">
      <w:pPr>
        <w:spacing w:line="360" w:lineRule="auto"/>
        <w:ind w:left="480"/>
        <w:rPr>
          <w:rFonts w:ascii="宋体" w:hAnsi="宋体"/>
          <w:color w:val="auto"/>
          <w:sz w:val="24"/>
          <w:highlight w:val="none"/>
        </w:rPr>
      </w:pPr>
      <w:r>
        <w:rPr>
          <w:rFonts w:hint="eastAsia" w:ascii="宋体" w:hAnsi="宋体"/>
          <w:color w:val="auto"/>
          <w:sz w:val="24"/>
          <w:highlight w:val="none"/>
        </w:rPr>
        <w:t>三、非实质性响应对照表</w:t>
      </w:r>
    </w:p>
    <w:p w14:paraId="754C5FEA">
      <w:pPr>
        <w:spacing w:line="360" w:lineRule="auto"/>
        <w:ind w:firstLine="480"/>
        <w:rPr>
          <w:rFonts w:ascii="宋体" w:hAnsi="宋体"/>
          <w:b/>
          <w:bCs/>
          <w:color w:val="auto"/>
          <w:sz w:val="24"/>
          <w:highlight w:val="none"/>
        </w:rPr>
      </w:pPr>
      <w:r>
        <w:rPr>
          <w:rFonts w:hint="eastAsia" w:ascii="宋体" w:hAnsi="宋体"/>
          <w:color w:val="auto"/>
          <w:sz w:val="24"/>
          <w:highlight w:val="none"/>
        </w:rPr>
        <w:t>四</w:t>
      </w:r>
      <w:r>
        <w:rPr>
          <w:rFonts w:hint="eastAsia" w:ascii="宋体" w:hAnsi="宋体"/>
          <w:b/>
          <w:bCs/>
          <w:color w:val="auto"/>
          <w:sz w:val="24"/>
          <w:highlight w:val="none"/>
        </w:rPr>
        <w:t>、</w:t>
      </w:r>
      <w:r>
        <w:rPr>
          <w:rFonts w:hint="eastAsia" w:ascii="宋体" w:hAnsi="宋体"/>
          <w:i/>
          <w:color w:val="auto"/>
          <w:sz w:val="24"/>
          <w:highlight w:val="none"/>
          <w:u w:val="single"/>
        </w:rPr>
        <w:t>开标一览表</w:t>
      </w:r>
    </w:p>
    <w:p w14:paraId="1831672D">
      <w:pPr>
        <w:spacing w:line="360" w:lineRule="auto"/>
        <w:ind w:firstLine="480"/>
        <w:rPr>
          <w:rFonts w:ascii="宋体" w:hAnsi="宋体"/>
          <w:color w:val="auto"/>
          <w:sz w:val="24"/>
          <w:highlight w:val="none"/>
        </w:rPr>
      </w:pPr>
      <w:r>
        <w:rPr>
          <w:rFonts w:hint="eastAsia" w:ascii="宋体" w:hAnsi="宋体"/>
          <w:color w:val="auto"/>
          <w:sz w:val="24"/>
          <w:highlight w:val="none"/>
        </w:rPr>
        <w:t>五、投标配置与分项报价表</w:t>
      </w:r>
    </w:p>
    <w:p w14:paraId="6AB23F25">
      <w:pPr>
        <w:spacing w:line="360" w:lineRule="auto"/>
        <w:ind w:firstLine="480"/>
        <w:rPr>
          <w:rFonts w:ascii="宋体" w:hAnsi="宋体"/>
          <w:color w:val="auto"/>
          <w:sz w:val="24"/>
          <w:highlight w:val="none"/>
        </w:rPr>
      </w:pPr>
      <w:r>
        <w:rPr>
          <w:rFonts w:hint="eastAsia" w:ascii="宋体" w:hAnsi="宋体"/>
          <w:color w:val="auto"/>
          <w:sz w:val="24"/>
          <w:highlight w:val="none"/>
        </w:rPr>
        <w:t>六</w:t>
      </w:r>
      <w:r>
        <w:rPr>
          <w:rFonts w:hint="eastAsia" w:ascii="宋体" w:hAnsi="宋体" w:cs="Courier New"/>
          <w:color w:val="auto"/>
          <w:sz w:val="24"/>
          <w:szCs w:val="24"/>
          <w:highlight w:val="none"/>
        </w:rPr>
        <w:t>、</w:t>
      </w:r>
      <w:r>
        <w:rPr>
          <w:rFonts w:hint="eastAsia" w:ascii="宋体" w:hAnsi="宋体"/>
          <w:color w:val="auto"/>
          <w:sz w:val="24"/>
          <w:szCs w:val="24"/>
          <w:highlight w:val="none"/>
        </w:rPr>
        <w:t>技术参数响应及偏离表</w:t>
      </w:r>
    </w:p>
    <w:p w14:paraId="135D0120">
      <w:pPr>
        <w:spacing w:line="360" w:lineRule="auto"/>
        <w:ind w:firstLine="480"/>
        <w:rPr>
          <w:rFonts w:ascii="宋体" w:hAnsi="宋体"/>
          <w:color w:val="auto"/>
          <w:sz w:val="24"/>
          <w:highlight w:val="none"/>
        </w:rPr>
      </w:pPr>
      <w:r>
        <w:rPr>
          <w:rFonts w:hint="eastAsia" w:ascii="宋体" w:hAnsi="宋体"/>
          <w:color w:val="auto"/>
          <w:sz w:val="24"/>
          <w:highlight w:val="none"/>
        </w:rPr>
        <w:t>七、商务条款响应及偏离表</w:t>
      </w:r>
    </w:p>
    <w:p w14:paraId="7C606711">
      <w:pPr>
        <w:spacing w:line="360" w:lineRule="auto"/>
        <w:ind w:firstLine="480"/>
        <w:rPr>
          <w:color w:val="auto"/>
          <w:sz w:val="36"/>
          <w:szCs w:val="36"/>
          <w:highlight w:val="none"/>
        </w:rPr>
      </w:pPr>
      <w:r>
        <w:rPr>
          <w:rFonts w:hint="eastAsia" w:ascii="宋体" w:hAnsi="宋体"/>
          <w:color w:val="auto"/>
          <w:sz w:val="24"/>
          <w:highlight w:val="none"/>
        </w:rPr>
        <w:t>八、其他 （投标人认为有必要提供的声明和文件，如有自拟并自行添加）</w:t>
      </w:r>
    </w:p>
    <w:p w14:paraId="4FC51317">
      <w:pPr>
        <w:spacing w:line="360" w:lineRule="auto"/>
        <w:contextualSpacing/>
        <w:jc w:val="center"/>
        <w:rPr>
          <w:rFonts w:ascii="宋体" w:hAnsi="宋体"/>
          <w:b/>
          <w:color w:val="auto"/>
          <w:sz w:val="72"/>
          <w:highlight w:val="none"/>
        </w:rPr>
      </w:pPr>
    </w:p>
    <w:p w14:paraId="7D7404E2">
      <w:pPr>
        <w:spacing w:line="360" w:lineRule="auto"/>
        <w:contextualSpacing/>
        <w:jc w:val="center"/>
        <w:rPr>
          <w:rFonts w:ascii="宋体" w:hAnsi="宋体"/>
          <w:b/>
          <w:color w:val="auto"/>
          <w:sz w:val="72"/>
          <w:highlight w:val="none"/>
        </w:rPr>
      </w:pPr>
    </w:p>
    <w:p w14:paraId="1503E904">
      <w:pPr>
        <w:spacing w:line="360" w:lineRule="auto"/>
        <w:contextualSpacing/>
        <w:jc w:val="center"/>
        <w:rPr>
          <w:rFonts w:ascii="宋体" w:hAnsi="宋体"/>
          <w:b/>
          <w:color w:val="auto"/>
          <w:sz w:val="72"/>
          <w:highlight w:val="none"/>
        </w:rPr>
      </w:pPr>
    </w:p>
    <w:p w14:paraId="4A042856">
      <w:pPr>
        <w:spacing w:line="360" w:lineRule="auto"/>
        <w:contextualSpacing/>
        <w:rPr>
          <w:rFonts w:ascii="宋体" w:hAnsi="宋体"/>
          <w:b/>
          <w:color w:val="auto"/>
          <w:sz w:val="36"/>
          <w:highlight w:val="none"/>
        </w:rPr>
      </w:pPr>
    </w:p>
    <w:p w14:paraId="2258D1D7">
      <w:pPr>
        <w:spacing w:line="360" w:lineRule="auto"/>
        <w:contextualSpacing/>
        <w:rPr>
          <w:rFonts w:ascii="宋体" w:hAnsi="宋体"/>
          <w:b/>
          <w:color w:val="auto"/>
          <w:sz w:val="36"/>
          <w:highlight w:val="none"/>
        </w:rPr>
      </w:pPr>
    </w:p>
    <w:p w14:paraId="497CAFD6">
      <w:pPr>
        <w:spacing w:line="360" w:lineRule="auto"/>
        <w:contextualSpacing/>
        <w:rPr>
          <w:rFonts w:ascii="宋体" w:hAnsi="宋体"/>
          <w:b/>
          <w:color w:val="auto"/>
          <w:sz w:val="36"/>
          <w:highlight w:val="none"/>
        </w:rPr>
      </w:pPr>
    </w:p>
    <w:p w14:paraId="208E7756">
      <w:pPr>
        <w:pStyle w:val="3"/>
        <w:numPr>
          <w:ilvl w:val="0"/>
          <w:numId w:val="10"/>
        </w:numPr>
        <w:spacing w:line="360" w:lineRule="auto"/>
        <w:rPr>
          <w:rFonts w:hint="eastAsia" w:asciiTheme="minorEastAsia" w:hAnsiTheme="minorEastAsia" w:eastAsiaTheme="minorEastAsia"/>
          <w:color w:val="auto"/>
          <w:sz w:val="32"/>
          <w:highlight w:val="none"/>
        </w:rPr>
      </w:pPr>
      <w:r>
        <w:rPr>
          <w:rFonts w:hint="eastAsia" w:ascii="宋体" w:hAnsi="宋体"/>
          <w:color w:val="auto"/>
          <w:sz w:val="32"/>
          <w:szCs w:val="32"/>
          <w:highlight w:val="none"/>
        </w:rPr>
        <w:br w:type="page" w:clear="all"/>
      </w:r>
      <w:bookmarkStart w:id="59" w:name="_Toc7159"/>
      <w:bookmarkStart w:id="60" w:name="_Toc9167"/>
      <w:r>
        <w:rPr>
          <w:rFonts w:hint="eastAsia" w:asciiTheme="minorEastAsia" w:hAnsiTheme="minorEastAsia" w:eastAsiaTheme="minorEastAsia"/>
          <w:color w:val="auto"/>
          <w:sz w:val="32"/>
          <w:highlight w:val="none"/>
        </w:rPr>
        <w:t>资格审查响应对照表</w:t>
      </w:r>
      <w:bookmarkEnd w:id="59"/>
      <w:bookmarkEnd w:id="60"/>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2158"/>
      </w:tblGrid>
      <w:tr w14:paraId="0EC2C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646" w:type="dxa"/>
            <w:noWrap w:val="0"/>
            <w:vAlign w:val="center"/>
          </w:tcPr>
          <w:p w14:paraId="43ED83F8">
            <w:pPr>
              <w:spacing w:line="360" w:lineRule="auto"/>
              <w:jc w:val="center"/>
              <w:rPr>
                <w:rFonts w:ascii="幼圆" w:eastAsia="幼圆"/>
                <w:b/>
                <w:color w:val="auto"/>
                <w:szCs w:val="21"/>
                <w:highlight w:val="none"/>
              </w:rPr>
            </w:pPr>
            <w:r>
              <w:rPr>
                <w:rFonts w:hint="eastAsia" w:ascii="幼圆" w:eastAsia="幼圆"/>
                <w:b/>
                <w:color w:val="auto"/>
                <w:szCs w:val="21"/>
                <w:highlight w:val="none"/>
              </w:rPr>
              <w:t>序号</w:t>
            </w:r>
          </w:p>
        </w:tc>
        <w:tc>
          <w:tcPr>
            <w:tcW w:w="5447" w:type="dxa"/>
            <w:noWrap w:val="0"/>
            <w:vAlign w:val="center"/>
          </w:tcPr>
          <w:p w14:paraId="77539557">
            <w:pPr>
              <w:spacing w:line="360" w:lineRule="auto"/>
              <w:jc w:val="center"/>
              <w:rPr>
                <w:rFonts w:ascii="幼圆" w:eastAsia="幼圆"/>
                <w:b/>
                <w:color w:val="auto"/>
                <w:szCs w:val="21"/>
                <w:highlight w:val="none"/>
              </w:rPr>
            </w:pPr>
            <w:r>
              <w:rPr>
                <w:rFonts w:hint="eastAsia" w:ascii="幼圆" w:eastAsia="幼圆"/>
                <w:b/>
                <w:color w:val="auto"/>
                <w:szCs w:val="21"/>
                <w:highlight w:val="none"/>
              </w:rPr>
              <w:t>资格审查响应内容</w:t>
            </w:r>
          </w:p>
        </w:tc>
        <w:tc>
          <w:tcPr>
            <w:tcW w:w="2158" w:type="dxa"/>
            <w:noWrap w:val="0"/>
            <w:vAlign w:val="center"/>
          </w:tcPr>
          <w:p w14:paraId="71A3B1BE">
            <w:pPr>
              <w:spacing w:line="360" w:lineRule="auto"/>
              <w:jc w:val="center"/>
              <w:rPr>
                <w:rFonts w:ascii="幼圆" w:eastAsia="幼圆"/>
                <w:b/>
                <w:color w:val="auto"/>
                <w:szCs w:val="21"/>
                <w:highlight w:val="none"/>
              </w:rPr>
            </w:pPr>
            <w:r>
              <w:rPr>
                <w:rFonts w:hint="eastAsia" w:ascii="幼圆" w:eastAsia="幼圆"/>
                <w:b/>
                <w:color w:val="auto"/>
                <w:szCs w:val="21"/>
                <w:highlight w:val="none"/>
              </w:rPr>
              <w:t>是否响应</w:t>
            </w:r>
          </w:p>
          <w:p w14:paraId="0938BF8D">
            <w:pPr>
              <w:spacing w:line="360" w:lineRule="auto"/>
              <w:jc w:val="center"/>
              <w:rPr>
                <w:rFonts w:ascii="幼圆" w:eastAsia="幼圆"/>
                <w:b/>
                <w:color w:val="auto"/>
                <w:szCs w:val="21"/>
                <w:highlight w:val="none"/>
              </w:rPr>
            </w:pPr>
            <w:r>
              <w:rPr>
                <w:rFonts w:hint="eastAsia" w:ascii="幼圆" w:eastAsia="幼圆"/>
                <w:b/>
                <w:color w:val="auto"/>
                <w:szCs w:val="21"/>
                <w:highlight w:val="none"/>
              </w:rPr>
              <w:t>（填是或者否）</w:t>
            </w:r>
          </w:p>
        </w:tc>
      </w:tr>
      <w:tr w14:paraId="3AB6B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8251" w:type="dxa"/>
            <w:gridSpan w:val="3"/>
            <w:noWrap w:val="0"/>
            <w:vAlign w:val="center"/>
          </w:tcPr>
          <w:p w14:paraId="6160B91E">
            <w:pPr>
              <w:spacing w:line="360" w:lineRule="auto"/>
              <w:rPr>
                <w:rFonts w:ascii="宋体" w:hAnsi="宋体"/>
                <w:b/>
                <w:color w:val="auto"/>
                <w:szCs w:val="21"/>
                <w:highlight w:val="none"/>
              </w:rPr>
            </w:pPr>
            <w:r>
              <w:rPr>
                <w:rFonts w:hint="eastAsia" w:ascii="宋体" w:hAnsi="宋体"/>
                <w:b/>
                <w:color w:val="auto"/>
                <w:szCs w:val="21"/>
                <w:highlight w:val="none"/>
              </w:rPr>
              <w:t>通用资格条件</w:t>
            </w:r>
          </w:p>
        </w:tc>
      </w:tr>
      <w:tr w14:paraId="21C81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646" w:type="dxa"/>
            <w:noWrap w:val="0"/>
            <w:vAlign w:val="center"/>
          </w:tcPr>
          <w:p w14:paraId="4CC069DC">
            <w:pPr>
              <w:spacing w:line="360" w:lineRule="auto"/>
              <w:jc w:val="center"/>
              <w:rPr>
                <w:rFonts w:ascii="宋体" w:hAnsi="宋体"/>
                <w:b/>
                <w:color w:val="auto"/>
                <w:szCs w:val="21"/>
                <w:highlight w:val="none"/>
              </w:rPr>
            </w:pPr>
            <w:r>
              <w:rPr>
                <w:rFonts w:hint="eastAsia" w:ascii="宋体" w:hAnsi="宋体"/>
                <w:color w:val="auto"/>
                <w:szCs w:val="21"/>
                <w:highlight w:val="none"/>
              </w:rPr>
              <w:t>1</w:t>
            </w:r>
          </w:p>
        </w:tc>
        <w:tc>
          <w:tcPr>
            <w:tcW w:w="5447" w:type="dxa"/>
            <w:noWrap w:val="0"/>
            <w:vAlign w:val="center"/>
          </w:tcPr>
          <w:p w14:paraId="56FA7293">
            <w:pPr>
              <w:spacing w:line="360" w:lineRule="auto"/>
              <w:rPr>
                <w:rFonts w:ascii="宋体" w:hAnsi="宋体"/>
                <w:iCs/>
                <w:color w:val="auto"/>
                <w:sz w:val="21"/>
                <w:szCs w:val="21"/>
                <w:highlight w:val="none"/>
              </w:rPr>
            </w:pPr>
            <w:r>
              <w:rPr>
                <w:rFonts w:hint="eastAsia" w:ascii="宋体" w:hAnsi="宋体" w:eastAsia="宋体" w:cs="宋体"/>
                <w:color w:val="auto"/>
                <w:sz w:val="21"/>
                <w:szCs w:val="21"/>
                <w:highlight w:val="none"/>
              </w:rPr>
              <w:t>法人或者其他组织的营业执照等证明文件，自然人的身份证明（身份证为正、反面）</w:t>
            </w:r>
          </w:p>
        </w:tc>
        <w:tc>
          <w:tcPr>
            <w:tcW w:w="2158" w:type="dxa"/>
            <w:noWrap w:val="0"/>
            <w:vAlign w:val="center"/>
          </w:tcPr>
          <w:p w14:paraId="174AF6B7">
            <w:pPr>
              <w:spacing w:line="360" w:lineRule="auto"/>
              <w:rPr>
                <w:rFonts w:ascii="宋体" w:hAnsi="宋体"/>
                <w:b/>
                <w:color w:val="auto"/>
                <w:szCs w:val="21"/>
                <w:highlight w:val="none"/>
              </w:rPr>
            </w:pPr>
          </w:p>
        </w:tc>
      </w:tr>
      <w:tr w14:paraId="1B386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646" w:type="dxa"/>
            <w:noWrap w:val="0"/>
            <w:vAlign w:val="center"/>
          </w:tcPr>
          <w:p w14:paraId="354A1348">
            <w:pPr>
              <w:spacing w:line="360" w:lineRule="auto"/>
              <w:jc w:val="center"/>
              <w:rPr>
                <w:rFonts w:ascii="宋体" w:hAnsi="宋体"/>
                <w:color w:val="auto"/>
                <w:szCs w:val="21"/>
                <w:highlight w:val="none"/>
              </w:rPr>
            </w:pPr>
            <w:r>
              <w:rPr>
                <w:rFonts w:hint="eastAsia" w:ascii="宋体" w:hAnsi="宋体"/>
                <w:color w:val="auto"/>
                <w:szCs w:val="21"/>
                <w:highlight w:val="none"/>
              </w:rPr>
              <w:t>2</w:t>
            </w:r>
          </w:p>
        </w:tc>
        <w:tc>
          <w:tcPr>
            <w:tcW w:w="5447" w:type="dxa"/>
            <w:noWrap w:val="0"/>
            <w:vAlign w:val="center"/>
          </w:tcPr>
          <w:p w14:paraId="71B3C08F">
            <w:pPr>
              <w:spacing w:line="360" w:lineRule="auto"/>
              <w:rPr>
                <w:rFonts w:ascii="宋体" w:hAnsi="宋体"/>
                <w:iCs/>
                <w:color w:val="auto"/>
                <w:sz w:val="21"/>
                <w:szCs w:val="21"/>
                <w:highlight w:val="none"/>
              </w:rPr>
            </w:pPr>
            <w:r>
              <w:rPr>
                <w:rFonts w:hint="eastAsia" w:ascii="宋体" w:hAnsi="宋体" w:eastAsia="宋体" w:cs="宋体"/>
                <w:color w:val="auto"/>
                <w:sz w:val="21"/>
                <w:szCs w:val="21"/>
                <w:highlight w:val="none"/>
              </w:rPr>
              <w:t>依法缴纳职工社会保障资金的证明材料</w:t>
            </w:r>
            <w:r>
              <w:rPr>
                <w:rFonts w:hint="eastAsia" w:ascii="宋体" w:hAnsi="宋体" w:eastAsia="宋体" w:cs="宋体"/>
                <w:b/>
                <w:bCs/>
                <w:color w:val="auto"/>
                <w:sz w:val="21"/>
                <w:szCs w:val="21"/>
                <w:highlight w:val="none"/>
              </w:rPr>
              <w:t>（可提供“基本资格条件承诺函”）</w:t>
            </w:r>
          </w:p>
        </w:tc>
        <w:tc>
          <w:tcPr>
            <w:tcW w:w="2158" w:type="dxa"/>
            <w:noWrap w:val="0"/>
            <w:vAlign w:val="center"/>
          </w:tcPr>
          <w:p w14:paraId="11C9D5EA">
            <w:pPr>
              <w:spacing w:line="360" w:lineRule="auto"/>
              <w:rPr>
                <w:rFonts w:ascii="宋体" w:hAnsi="宋体"/>
                <w:color w:val="auto"/>
                <w:szCs w:val="21"/>
                <w:highlight w:val="none"/>
              </w:rPr>
            </w:pPr>
          </w:p>
        </w:tc>
      </w:tr>
      <w:tr w14:paraId="7D977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646" w:type="dxa"/>
            <w:noWrap w:val="0"/>
            <w:vAlign w:val="center"/>
          </w:tcPr>
          <w:p w14:paraId="3E7DE508">
            <w:pPr>
              <w:spacing w:line="360" w:lineRule="auto"/>
              <w:jc w:val="center"/>
              <w:rPr>
                <w:rFonts w:ascii="宋体" w:hAnsi="宋体"/>
                <w:color w:val="auto"/>
                <w:szCs w:val="21"/>
                <w:highlight w:val="none"/>
              </w:rPr>
            </w:pPr>
            <w:r>
              <w:rPr>
                <w:rFonts w:hint="eastAsia" w:ascii="宋体" w:hAnsi="宋体"/>
                <w:color w:val="auto"/>
                <w:szCs w:val="21"/>
                <w:highlight w:val="none"/>
              </w:rPr>
              <w:t>3</w:t>
            </w:r>
          </w:p>
        </w:tc>
        <w:tc>
          <w:tcPr>
            <w:tcW w:w="5447" w:type="dxa"/>
            <w:noWrap w:val="0"/>
            <w:vAlign w:val="center"/>
          </w:tcPr>
          <w:p w14:paraId="751966C8">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依法纳税的缴款凭证</w:t>
            </w:r>
            <w:r>
              <w:rPr>
                <w:rFonts w:hint="eastAsia" w:ascii="宋体" w:hAnsi="宋体" w:eastAsia="宋体" w:cs="宋体"/>
                <w:b/>
                <w:bCs/>
                <w:color w:val="auto"/>
                <w:sz w:val="21"/>
                <w:szCs w:val="21"/>
                <w:highlight w:val="none"/>
              </w:rPr>
              <w:t>（可提供“基本资格条件承诺函”）</w:t>
            </w:r>
          </w:p>
        </w:tc>
        <w:tc>
          <w:tcPr>
            <w:tcW w:w="2158" w:type="dxa"/>
            <w:noWrap w:val="0"/>
            <w:vAlign w:val="center"/>
          </w:tcPr>
          <w:p w14:paraId="74805CD3">
            <w:pPr>
              <w:spacing w:line="360" w:lineRule="auto"/>
              <w:rPr>
                <w:rFonts w:ascii="宋体" w:hAnsi="宋体"/>
                <w:color w:val="auto"/>
                <w:szCs w:val="21"/>
                <w:highlight w:val="none"/>
              </w:rPr>
            </w:pPr>
          </w:p>
        </w:tc>
      </w:tr>
      <w:tr w14:paraId="4025F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46" w:type="dxa"/>
            <w:noWrap w:val="0"/>
            <w:vAlign w:val="center"/>
          </w:tcPr>
          <w:p w14:paraId="6203D4A7">
            <w:pPr>
              <w:spacing w:line="360" w:lineRule="auto"/>
              <w:jc w:val="center"/>
              <w:rPr>
                <w:rFonts w:ascii="宋体" w:hAnsi="宋体"/>
                <w:color w:val="auto"/>
                <w:szCs w:val="21"/>
                <w:highlight w:val="none"/>
              </w:rPr>
            </w:pPr>
            <w:r>
              <w:rPr>
                <w:rFonts w:hint="eastAsia" w:ascii="宋体" w:hAnsi="宋体"/>
                <w:color w:val="auto"/>
                <w:szCs w:val="21"/>
                <w:highlight w:val="none"/>
              </w:rPr>
              <w:t>4</w:t>
            </w:r>
          </w:p>
        </w:tc>
        <w:tc>
          <w:tcPr>
            <w:tcW w:w="5447" w:type="dxa"/>
            <w:noWrap w:val="0"/>
            <w:vAlign w:val="center"/>
          </w:tcPr>
          <w:p w14:paraId="548057DC">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具有良好的商业信誉和健全的财务会计制度</w:t>
            </w:r>
            <w:r>
              <w:rPr>
                <w:rFonts w:hint="eastAsia" w:ascii="宋体" w:hAnsi="宋体" w:eastAsia="宋体" w:cs="宋体"/>
                <w:b/>
                <w:bCs/>
                <w:color w:val="auto"/>
                <w:sz w:val="21"/>
                <w:szCs w:val="21"/>
                <w:highlight w:val="none"/>
              </w:rPr>
              <w:t>（可提供“基本资格条件承诺函”）</w:t>
            </w:r>
          </w:p>
        </w:tc>
        <w:tc>
          <w:tcPr>
            <w:tcW w:w="2158" w:type="dxa"/>
            <w:noWrap w:val="0"/>
            <w:vAlign w:val="center"/>
          </w:tcPr>
          <w:p w14:paraId="51B06DAD">
            <w:pPr>
              <w:spacing w:line="360" w:lineRule="auto"/>
              <w:rPr>
                <w:rFonts w:ascii="宋体" w:hAnsi="宋体"/>
                <w:color w:val="auto"/>
                <w:szCs w:val="21"/>
                <w:highlight w:val="none"/>
              </w:rPr>
            </w:pPr>
          </w:p>
        </w:tc>
      </w:tr>
      <w:tr w14:paraId="0DC3C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646" w:type="dxa"/>
            <w:noWrap w:val="0"/>
            <w:vAlign w:val="center"/>
          </w:tcPr>
          <w:p w14:paraId="0A8E09B1">
            <w:pPr>
              <w:spacing w:line="360" w:lineRule="auto"/>
              <w:jc w:val="center"/>
              <w:rPr>
                <w:rFonts w:ascii="宋体" w:hAnsi="宋体"/>
                <w:color w:val="auto"/>
                <w:szCs w:val="21"/>
                <w:highlight w:val="none"/>
              </w:rPr>
            </w:pPr>
            <w:r>
              <w:rPr>
                <w:rFonts w:hint="eastAsia" w:ascii="宋体" w:hAnsi="宋体"/>
                <w:color w:val="auto"/>
                <w:szCs w:val="21"/>
                <w:highlight w:val="none"/>
              </w:rPr>
              <w:t>5</w:t>
            </w:r>
          </w:p>
        </w:tc>
        <w:tc>
          <w:tcPr>
            <w:tcW w:w="5447" w:type="dxa"/>
            <w:noWrap w:val="0"/>
            <w:vAlign w:val="center"/>
          </w:tcPr>
          <w:p w14:paraId="38898F98">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具备履行合同所必需的设备和专业技术能力</w:t>
            </w:r>
            <w:r>
              <w:rPr>
                <w:rFonts w:hint="eastAsia" w:ascii="宋体" w:hAnsi="宋体" w:eastAsia="宋体" w:cs="宋体"/>
                <w:b/>
                <w:bCs/>
                <w:color w:val="auto"/>
                <w:sz w:val="21"/>
                <w:szCs w:val="21"/>
                <w:highlight w:val="none"/>
              </w:rPr>
              <w:t>（可提供“基本资格条件承诺函”）</w:t>
            </w:r>
          </w:p>
        </w:tc>
        <w:tc>
          <w:tcPr>
            <w:tcW w:w="2158" w:type="dxa"/>
            <w:noWrap w:val="0"/>
            <w:vAlign w:val="center"/>
          </w:tcPr>
          <w:p w14:paraId="72673933">
            <w:pPr>
              <w:spacing w:line="360" w:lineRule="auto"/>
              <w:rPr>
                <w:rFonts w:ascii="宋体" w:hAnsi="宋体"/>
                <w:color w:val="auto"/>
                <w:szCs w:val="21"/>
                <w:highlight w:val="none"/>
              </w:rPr>
            </w:pPr>
          </w:p>
        </w:tc>
      </w:tr>
      <w:tr w14:paraId="45E48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646" w:type="dxa"/>
            <w:noWrap w:val="0"/>
            <w:vAlign w:val="center"/>
          </w:tcPr>
          <w:p w14:paraId="44624162">
            <w:pPr>
              <w:spacing w:line="360" w:lineRule="auto"/>
              <w:jc w:val="center"/>
              <w:rPr>
                <w:rFonts w:hint="eastAsia" w:ascii="宋体" w:hAnsi="宋体"/>
                <w:color w:val="auto"/>
                <w:szCs w:val="21"/>
                <w:highlight w:val="none"/>
              </w:rPr>
            </w:pPr>
            <w:r>
              <w:rPr>
                <w:rFonts w:hint="eastAsia" w:ascii="宋体" w:hAnsi="宋体"/>
                <w:color w:val="auto"/>
                <w:szCs w:val="21"/>
                <w:highlight w:val="none"/>
              </w:rPr>
              <w:t>6</w:t>
            </w:r>
          </w:p>
        </w:tc>
        <w:tc>
          <w:tcPr>
            <w:tcW w:w="5447" w:type="dxa"/>
            <w:noWrap w:val="0"/>
            <w:vAlign w:val="center"/>
          </w:tcPr>
          <w:p w14:paraId="40A9E93E">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参加本次政府采购活动前3年内在经营活动中没有重大违法记录的书面声明</w:t>
            </w:r>
            <w:r>
              <w:rPr>
                <w:rFonts w:hint="eastAsia" w:ascii="宋体" w:hAnsi="宋体" w:eastAsia="宋体" w:cs="宋体"/>
                <w:b/>
                <w:bCs/>
                <w:color w:val="auto"/>
                <w:sz w:val="21"/>
                <w:szCs w:val="21"/>
                <w:highlight w:val="none"/>
              </w:rPr>
              <w:t>（可提供“基本资格条件承诺函”）</w:t>
            </w:r>
          </w:p>
        </w:tc>
        <w:tc>
          <w:tcPr>
            <w:tcW w:w="2158" w:type="dxa"/>
            <w:noWrap w:val="0"/>
            <w:vAlign w:val="center"/>
          </w:tcPr>
          <w:p w14:paraId="2D1D21D4">
            <w:pPr>
              <w:spacing w:line="360" w:lineRule="auto"/>
              <w:rPr>
                <w:rFonts w:ascii="宋体" w:hAnsi="宋体"/>
                <w:color w:val="auto"/>
                <w:szCs w:val="21"/>
                <w:highlight w:val="none"/>
              </w:rPr>
            </w:pPr>
          </w:p>
        </w:tc>
      </w:tr>
      <w:tr w14:paraId="55C41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646" w:type="dxa"/>
            <w:noWrap w:val="0"/>
            <w:vAlign w:val="center"/>
          </w:tcPr>
          <w:p w14:paraId="6D272FED">
            <w:pPr>
              <w:spacing w:line="360" w:lineRule="auto"/>
              <w:jc w:val="center"/>
              <w:rPr>
                <w:rFonts w:hint="eastAsia" w:ascii="宋体" w:hAnsi="宋体"/>
                <w:color w:val="auto"/>
                <w:szCs w:val="21"/>
                <w:highlight w:val="none"/>
              </w:rPr>
            </w:pPr>
            <w:r>
              <w:rPr>
                <w:rFonts w:hint="eastAsia" w:ascii="宋体" w:hAnsi="宋体"/>
                <w:color w:val="auto"/>
                <w:szCs w:val="21"/>
                <w:highlight w:val="none"/>
              </w:rPr>
              <w:t>7</w:t>
            </w:r>
          </w:p>
        </w:tc>
        <w:tc>
          <w:tcPr>
            <w:tcW w:w="5447" w:type="dxa"/>
            <w:noWrap w:val="0"/>
            <w:vAlign w:val="center"/>
          </w:tcPr>
          <w:p w14:paraId="2A81221E">
            <w:pPr>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未被“信用中国”网站（www.creditchina.gov.cn）、</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中国政府采购网"</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www.ccgp.gov.cn）列入失信被执行人、重大税收违法案件当事人名单、政府采购严重违法失信行为记录名单</w:t>
            </w:r>
            <w:r>
              <w:rPr>
                <w:rFonts w:hint="eastAsia" w:ascii="宋体" w:hAnsi="宋体" w:eastAsia="宋体" w:cs="宋体"/>
                <w:b/>
                <w:bCs/>
                <w:color w:val="auto"/>
                <w:sz w:val="21"/>
                <w:szCs w:val="21"/>
                <w:highlight w:val="none"/>
              </w:rPr>
              <w:t>（可提供“基本资格条件承诺函”）</w:t>
            </w:r>
          </w:p>
        </w:tc>
        <w:tc>
          <w:tcPr>
            <w:tcW w:w="2158" w:type="dxa"/>
            <w:noWrap w:val="0"/>
            <w:vAlign w:val="center"/>
          </w:tcPr>
          <w:p w14:paraId="68F51CC3">
            <w:pPr>
              <w:spacing w:line="360" w:lineRule="auto"/>
              <w:rPr>
                <w:rFonts w:ascii="宋体" w:hAnsi="宋体"/>
                <w:color w:val="auto"/>
                <w:szCs w:val="21"/>
                <w:highlight w:val="none"/>
              </w:rPr>
            </w:pPr>
          </w:p>
        </w:tc>
      </w:tr>
      <w:tr w14:paraId="21AD3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646" w:type="dxa"/>
            <w:noWrap w:val="0"/>
            <w:vAlign w:val="center"/>
          </w:tcPr>
          <w:p w14:paraId="7BC92E77">
            <w:pPr>
              <w:spacing w:line="360" w:lineRule="auto"/>
              <w:jc w:val="center"/>
              <w:rPr>
                <w:rFonts w:hint="eastAsia" w:ascii="宋体" w:hAnsi="宋体"/>
                <w:color w:val="auto"/>
                <w:szCs w:val="21"/>
                <w:highlight w:val="none"/>
              </w:rPr>
            </w:pPr>
            <w:r>
              <w:rPr>
                <w:rFonts w:hint="eastAsia" w:ascii="宋体" w:hAnsi="宋体"/>
                <w:color w:val="auto"/>
                <w:szCs w:val="21"/>
                <w:highlight w:val="none"/>
              </w:rPr>
              <w:t>8</w:t>
            </w:r>
          </w:p>
        </w:tc>
        <w:tc>
          <w:tcPr>
            <w:tcW w:w="5447" w:type="dxa"/>
            <w:noWrap w:val="0"/>
            <w:vAlign w:val="center"/>
          </w:tcPr>
          <w:p w14:paraId="230F3BBE">
            <w:pPr>
              <w:spacing w:line="360" w:lineRule="auto"/>
              <w:rPr>
                <w:rFonts w:ascii="宋体" w:hAnsi="宋体" w:cs="宋体"/>
                <w:color w:val="auto"/>
                <w:sz w:val="21"/>
                <w:szCs w:val="21"/>
                <w:highlight w:val="none"/>
              </w:rPr>
            </w:pPr>
            <w:r>
              <w:rPr>
                <w:rFonts w:hint="eastAsia" w:ascii="宋体" w:hAnsi="宋体" w:eastAsia="宋体" w:cs="宋体"/>
                <w:color w:val="auto"/>
                <w:sz w:val="21"/>
                <w:szCs w:val="21"/>
                <w:highlight w:val="none"/>
              </w:rPr>
              <w:t>供应商信用承诺函</w:t>
            </w:r>
          </w:p>
        </w:tc>
        <w:tc>
          <w:tcPr>
            <w:tcW w:w="2158" w:type="dxa"/>
            <w:noWrap w:val="0"/>
            <w:vAlign w:val="center"/>
          </w:tcPr>
          <w:p w14:paraId="17302A64">
            <w:pPr>
              <w:spacing w:line="360" w:lineRule="auto"/>
              <w:rPr>
                <w:rFonts w:ascii="宋体" w:hAnsi="宋体"/>
                <w:color w:val="auto"/>
                <w:szCs w:val="21"/>
                <w:highlight w:val="none"/>
              </w:rPr>
            </w:pPr>
          </w:p>
        </w:tc>
      </w:tr>
      <w:tr w14:paraId="1ED1C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51" w:type="dxa"/>
            <w:gridSpan w:val="3"/>
            <w:noWrap w:val="0"/>
            <w:vAlign w:val="center"/>
          </w:tcPr>
          <w:p w14:paraId="3E7C0C8C">
            <w:pPr>
              <w:spacing w:line="360" w:lineRule="auto"/>
              <w:rPr>
                <w:rFonts w:ascii="宋体" w:hAnsi="宋体"/>
                <w:color w:val="auto"/>
                <w:szCs w:val="21"/>
                <w:highlight w:val="none"/>
              </w:rPr>
            </w:pPr>
            <w:r>
              <w:rPr>
                <w:rFonts w:hint="eastAsia" w:ascii="宋体" w:hAnsi="宋体" w:cs="宋体"/>
                <w:b/>
                <w:bCs/>
                <w:color w:val="auto"/>
                <w:szCs w:val="21"/>
                <w:highlight w:val="none"/>
              </w:rPr>
              <w:t>落实政府采购政策需满足的资格要求</w:t>
            </w:r>
          </w:p>
        </w:tc>
      </w:tr>
      <w:tr w14:paraId="4B402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46" w:type="dxa"/>
            <w:noWrap w:val="0"/>
            <w:vAlign w:val="center"/>
          </w:tcPr>
          <w:p w14:paraId="2165EF18">
            <w:pPr>
              <w:spacing w:line="360" w:lineRule="auto"/>
              <w:jc w:val="center"/>
              <w:rPr>
                <w:rFonts w:hint="eastAsia" w:ascii="宋体" w:hAnsi="宋体"/>
                <w:color w:val="auto"/>
                <w:szCs w:val="21"/>
                <w:highlight w:val="none"/>
              </w:rPr>
            </w:pPr>
            <w:r>
              <w:rPr>
                <w:rFonts w:hint="eastAsia" w:ascii="宋体" w:hAnsi="宋体"/>
                <w:color w:val="auto"/>
                <w:szCs w:val="21"/>
                <w:highlight w:val="none"/>
              </w:rPr>
              <w:t>9</w:t>
            </w:r>
          </w:p>
        </w:tc>
        <w:tc>
          <w:tcPr>
            <w:tcW w:w="5447" w:type="dxa"/>
            <w:noWrap w:val="0"/>
            <w:vAlign w:val="center"/>
          </w:tcPr>
          <w:p w14:paraId="79614AAB">
            <w:pPr>
              <w:spacing w:line="360" w:lineRule="auto"/>
              <w:rPr>
                <w:rFonts w:hint="eastAsia" w:ascii="宋体" w:hAnsi="宋体" w:eastAsia="宋体" w:cs="宋体"/>
                <w:color w:val="auto"/>
                <w:szCs w:val="21"/>
                <w:highlight w:val="none"/>
                <w:lang w:val="en-US" w:eastAsia="zh-CN"/>
              </w:rPr>
            </w:pPr>
            <w:r>
              <w:rPr>
                <w:rFonts w:hint="eastAsia" w:ascii="宋体" w:hAnsi="宋体" w:cs="宋体"/>
                <w:i/>
                <w:iCs/>
                <w:color w:val="auto"/>
                <w:szCs w:val="21"/>
                <w:highlight w:val="none"/>
                <w:u w:val="single"/>
                <w:lang w:val="en-US" w:eastAsia="zh-CN"/>
              </w:rPr>
              <w:t>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p>
        </w:tc>
        <w:tc>
          <w:tcPr>
            <w:tcW w:w="2158" w:type="dxa"/>
            <w:noWrap w:val="0"/>
            <w:vAlign w:val="center"/>
          </w:tcPr>
          <w:p w14:paraId="608CB660">
            <w:pPr>
              <w:spacing w:line="360" w:lineRule="auto"/>
              <w:rPr>
                <w:rFonts w:ascii="宋体" w:hAnsi="宋体"/>
                <w:color w:val="auto"/>
                <w:szCs w:val="21"/>
                <w:highlight w:val="none"/>
              </w:rPr>
            </w:pPr>
          </w:p>
        </w:tc>
      </w:tr>
      <w:tr w14:paraId="098E0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8251" w:type="dxa"/>
            <w:gridSpan w:val="3"/>
            <w:noWrap w:val="0"/>
            <w:vAlign w:val="center"/>
          </w:tcPr>
          <w:p w14:paraId="2BC2CB37">
            <w:pPr>
              <w:spacing w:line="360" w:lineRule="auto"/>
              <w:rPr>
                <w:rFonts w:ascii="宋体" w:hAnsi="宋体"/>
                <w:color w:val="auto"/>
                <w:szCs w:val="21"/>
                <w:highlight w:val="none"/>
              </w:rPr>
            </w:pPr>
            <w:r>
              <w:rPr>
                <w:rFonts w:hint="eastAsia" w:ascii="宋体" w:hAnsi="宋体"/>
                <w:b/>
                <w:color w:val="auto"/>
                <w:szCs w:val="21"/>
                <w:highlight w:val="none"/>
              </w:rPr>
              <w:t>特定资格条件</w:t>
            </w:r>
          </w:p>
        </w:tc>
      </w:tr>
      <w:tr w14:paraId="34CF3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646" w:type="dxa"/>
            <w:noWrap w:val="0"/>
            <w:vAlign w:val="center"/>
          </w:tcPr>
          <w:p w14:paraId="1AE5D1DD">
            <w:pPr>
              <w:spacing w:line="360" w:lineRule="auto"/>
              <w:jc w:val="center"/>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w:t>
            </w:r>
          </w:p>
        </w:tc>
        <w:tc>
          <w:tcPr>
            <w:tcW w:w="5447" w:type="dxa"/>
            <w:noWrap w:val="0"/>
            <w:vAlign w:val="center"/>
          </w:tcPr>
          <w:p w14:paraId="7A234679">
            <w:pPr>
              <w:keepNext w:val="0"/>
              <w:keepLines w:val="0"/>
              <w:pageBreakBefore w:val="0"/>
              <w:widowControl w:val="0"/>
              <w:spacing w:line="360" w:lineRule="auto"/>
              <w:jc w:val="left"/>
              <w:rPr>
                <w:rFonts w:hint="eastAsia" w:ascii="宋体" w:hAnsi="宋体"/>
                <w:iCs/>
                <w:color w:val="auto"/>
                <w:sz w:val="21"/>
                <w:szCs w:val="21"/>
                <w:highlight w:val="none"/>
              </w:rPr>
            </w:pPr>
          </w:p>
        </w:tc>
        <w:tc>
          <w:tcPr>
            <w:tcW w:w="2158" w:type="dxa"/>
            <w:noWrap w:val="0"/>
            <w:vAlign w:val="center"/>
          </w:tcPr>
          <w:p w14:paraId="77897E05">
            <w:pPr>
              <w:spacing w:line="360" w:lineRule="auto"/>
              <w:rPr>
                <w:rFonts w:ascii="宋体" w:hAnsi="宋体"/>
                <w:color w:val="auto"/>
                <w:szCs w:val="21"/>
                <w:highlight w:val="none"/>
              </w:rPr>
            </w:pPr>
          </w:p>
        </w:tc>
      </w:tr>
      <w:tr w14:paraId="0B374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8251" w:type="dxa"/>
            <w:gridSpan w:val="3"/>
            <w:noWrap w:val="0"/>
            <w:vAlign w:val="center"/>
          </w:tcPr>
          <w:p w14:paraId="1A14F44F">
            <w:pPr>
              <w:spacing w:line="360" w:lineRule="auto"/>
              <w:rPr>
                <w:rFonts w:ascii="宋体" w:hAnsi="宋体"/>
                <w:color w:val="auto"/>
                <w:szCs w:val="21"/>
                <w:highlight w:val="none"/>
              </w:rPr>
            </w:pPr>
            <w:r>
              <w:rPr>
                <w:rFonts w:hint="eastAsia" w:ascii="宋体" w:hAnsi="宋体"/>
                <w:b/>
                <w:color w:val="auto"/>
                <w:szCs w:val="21"/>
                <w:highlight w:val="none"/>
              </w:rPr>
              <w:t>其他资格条件</w:t>
            </w:r>
          </w:p>
        </w:tc>
      </w:tr>
      <w:tr w14:paraId="6F616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46" w:type="dxa"/>
            <w:noWrap w:val="0"/>
            <w:vAlign w:val="center"/>
          </w:tcPr>
          <w:p w14:paraId="532F4BC2">
            <w:pPr>
              <w:spacing w:line="360" w:lineRule="auto"/>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10</w:t>
            </w:r>
          </w:p>
        </w:tc>
        <w:tc>
          <w:tcPr>
            <w:tcW w:w="5447" w:type="dxa"/>
            <w:noWrap w:val="0"/>
            <w:vAlign w:val="center"/>
          </w:tcPr>
          <w:p w14:paraId="50EE340F">
            <w:pPr>
              <w:spacing w:line="360" w:lineRule="auto"/>
              <w:jc w:val="both"/>
              <w:rPr>
                <w:rFonts w:ascii="宋体" w:hAnsi="宋体"/>
                <w:iCs/>
                <w:color w:val="auto"/>
                <w:szCs w:val="21"/>
                <w:highlight w:val="none"/>
              </w:rPr>
            </w:pPr>
            <w:r>
              <w:rPr>
                <w:rFonts w:hint="eastAsia" w:ascii="宋体" w:hAnsi="宋体"/>
                <w:iCs/>
                <w:color w:val="auto"/>
                <w:szCs w:val="21"/>
                <w:highlight w:val="none"/>
              </w:rPr>
              <w:t>投标函</w:t>
            </w:r>
          </w:p>
        </w:tc>
        <w:tc>
          <w:tcPr>
            <w:tcW w:w="2158" w:type="dxa"/>
            <w:noWrap w:val="0"/>
            <w:vAlign w:val="center"/>
          </w:tcPr>
          <w:p w14:paraId="1BA7BF52">
            <w:pPr>
              <w:spacing w:line="360" w:lineRule="auto"/>
              <w:rPr>
                <w:rFonts w:ascii="宋体" w:hAnsi="宋体"/>
                <w:color w:val="auto"/>
                <w:szCs w:val="21"/>
                <w:highlight w:val="none"/>
              </w:rPr>
            </w:pPr>
          </w:p>
        </w:tc>
      </w:tr>
      <w:tr w14:paraId="3DC35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46" w:type="dxa"/>
            <w:noWrap w:val="0"/>
            <w:vAlign w:val="center"/>
          </w:tcPr>
          <w:p w14:paraId="28ED24AC">
            <w:pPr>
              <w:spacing w:line="360" w:lineRule="auto"/>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11</w:t>
            </w:r>
          </w:p>
        </w:tc>
        <w:tc>
          <w:tcPr>
            <w:tcW w:w="5447" w:type="dxa"/>
            <w:noWrap w:val="0"/>
            <w:vAlign w:val="center"/>
          </w:tcPr>
          <w:p w14:paraId="7AFAE1C3">
            <w:pPr>
              <w:spacing w:line="360" w:lineRule="auto"/>
              <w:jc w:val="both"/>
              <w:rPr>
                <w:rFonts w:ascii="宋体" w:hAnsi="宋体"/>
                <w:iCs/>
                <w:color w:val="auto"/>
                <w:szCs w:val="21"/>
                <w:highlight w:val="none"/>
              </w:rPr>
            </w:pPr>
            <w:r>
              <w:rPr>
                <w:rFonts w:hint="eastAsia" w:ascii="宋体" w:hAnsi="宋体"/>
                <w:iCs/>
                <w:color w:val="auto"/>
                <w:szCs w:val="21"/>
                <w:highlight w:val="none"/>
              </w:rPr>
              <w:t>法人授权书</w:t>
            </w:r>
          </w:p>
        </w:tc>
        <w:tc>
          <w:tcPr>
            <w:tcW w:w="2158" w:type="dxa"/>
            <w:noWrap w:val="0"/>
            <w:vAlign w:val="center"/>
          </w:tcPr>
          <w:p w14:paraId="188BF2A6">
            <w:pPr>
              <w:spacing w:line="360" w:lineRule="auto"/>
              <w:rPr>
                <w:rFonts w:ascii="宋体" w:hAnsi="宋体"/>
                <w:color w:val="auto"/>
                <w:szCs w:val="21"/>
                <w:highlight w:val="none"/>
              </w:rPr>
            </w:pPr>
          </w:p>
        </w:tc>
      </w:tr>
    </w:tbl>
    <w:p w14:paraId="3B7DAAC0">
      <w:pPr>
        <w:pStyle w:val="26"/>
        <w:rPr>
          <w:color w:val="auto"/>
          <w:highlight w:val="none"/>
        </w:rPr>
      </w:pPr>
    </w:p>
    <w:p w14:paraId="7B9B096D">
      <w:pPr>
        <w:rPr>
          <w:rFonts w:ascii="宋体" w:hAnsi="宋体"/>
          <w:b/>
          <w:color w:val="auto"/>
          <w:sz w:val="28"/>
          <w:szCs w:val="28"/>
          <w:highlight w:val="none"/>
        </w:rPr>
      </w:pPr>
      <w:r>
        <w:rPr>
          <w:rFonts w:ascii="宋体" w:hAnsi="宋体"/>
          <w:b/>
          <w:color w:val="auto"/>
          <w:sz w:val="28"/>
          <w:szCs w:val="28"/>
          <w:highlight w:val="none"/>
        </w:rPr>
        <w:br w:type="page" w:clear="all"/>
      </w:r>
    </w:p>
    <w:p w14:paraId="20FCA7EA">
      <w:pPr>
        <w:keepNext w:val="0"/>
        <w:keepLines w:val="0"/>
        <w:pageBreakBefore w:val="0"/>
        <w:widowControl w:val="0"/>
        <w:spacing w:before="157" w:after="157" w:line="360" w:lineRule="auto"/>
        <w:jc w:val="center"/>
        <w:rPr>
          <w:rFonts w:ascii="Times New Roman" w:hAnsi="Times New Roman"/>
          <w:color w:val="auto"/>
          <w:sz w:val="28"/>
          <w:szCs w:val="28"/>
          <w:highlight w:val="none"/>
        </w:rPr>
      </w:pPr>
      <w:r>
        <w:rPr>
          <w:rFonts w:ascii="宋体" w:hAnsi="宋体"/>
          <w:b/>
          <w:color w:val="auto"/>
          <w:sz w:val="28"/>
          <w:szCs w:val="28"/>
          <w:highlight w:val="none"/>
        </w:rPr>
        <w:t>基本资格条件承诺函</w:t>
      </w:r>
    </w:p>
    <w:p w14:paraId="4B61356C">
      <w:pPr>
        <w:spacing w:line="560" w:lineRule="exact"/>
        <w:ind w:firstLine="420"/>
        <w:rPr>
          <w:rFonts w:ascii="宋体" w:hAnsi="宋体"/>
          <w:color w:val="auto"/>
          <w:highlight w:val="none"/>
        </w:rPr>
      </w:pPr>
      <w:r>
        <w:rPr>
          <w:rFonts w:ascii="宋体" w:hAnsi="宋体"/>
          <w:color w:val="auto"/>
          <w:highlight w:val="none"/>
        </w:rPr>
        <w:t>致</w:t>
      </w:r>
      <w:r>
        <w:rPr>
          <w:rFonts w:ascii="宋体" w:hAnsi="宋体"/>
          <w:color w:val="auto"/>
          <w:highlight w:val="none"/>
          <w:u w:val="single"/>
        </w:rPr>
        <w:t xml:space="preserve">                   （采购代理机构名称）</w:t>
      </w:r>
      <w:r>
        <w:rPr>
          <w:rFonts w:ascii="宋体" w:hAnsi="宋体"/>
          <w:color w:val="auto"/>
          <w:highlight w:val="none"/>
        </w:rPr>
        <w:t>：</w:t>
      </w:r>
    </w:p>
    <w:p w14:paraId="5EFDCD1B">
      <w:pPr>
        <w:spacing w:line="560" w:lineRule="exact"/>
        <w:ind w:firstLine="420"/>
        <w:rPr>
          <w:rFonts w:ascii="宋体" w:hAnsi="宋体"/>
          <w:color w:val="auto"/>
          <w:highlight w:val="none"/>
        </w:rPr>
      </w:pPr>
      <w:r>
        <w:rPr>
          <w:rFonts w:hint="eastAsia" w:ascii="宋体" w:hAnsi="宋体"/>
          <w:color w:val="auto"/>
          <w:highlight w:val="none"/>
        </w:rPr>
        <w:t>我公司自愿参加</w:t>
      </w:r>
      <w:r>
        <w:rPr>
          <w:rFonts w:ascii="宋体" w:hAnsi="宋体"/>
          <w:color w:val="auto"/>
          <w:highlight w:val="none"/>
          <w:u w:val="single"/>
        </w:rPr>
        <w:t xml:space="preserve">                   （</w:t>
      </w:r>
      <w:r>
        <w:rPr>
          <w:rFonts w:hint="eastAsia" w:ascii="宋体" w:hAnsi="宋体"/>
          <w:color w:val="auto"/>
          <w:highlight w:val="none"/>
          <w:u w:val="single"/>
        </w:rPr>
        <w:t>项目</w:t>
      </w:r>
      <w:r>
        <w:rPr>
          <w:rFonts w:ascii="宋体" w:hAnsi="宋体"/>
          <w:color w:val="auto"/>
          <w:highlight w:val="none"/>
          <w:u w:val="single"/>
        </w:rPr>
        <w:t>名称）</w:t>
      </w:r>
      <w:r>
        <w:rPr>
          <w:rFonts w:hint="eastAsia" w:ascii="宋体" w:hAnsi="宋体"/>
          <w:color w:val="auto"/>
          <w:highlight w:val="none"/>
        </w:rPr>
        <w:t>政府采购活动，并</w:t>
      </w:r>
      <w:r>
        <w:rPr>
          <w:rFonts w:ascii="宋体" w:hAnsi="宋体"/>
          <w:color w:val="auto"/>
          <w:highlight w:val="none"/>
        </w:rPr>
        <w:t>郑重承诺：</w:t>
      </w:r>
    </w:p>
    <w:p w14:paraId="1BC6CFDA">
      <w:pPr>
        <w:spacing w:line="560" w:lineRule="exact"/>
        <w:ind w:firstLine="420"/>
        <w:rPr>
          <w:rFonts w:ascii="宋体" w:hAnsi="宋体"/>
          <w:color w:val="auto"/>
          <w:highlight w:val="none"/>
        </w:rPr>
      </w:pPr>
      <w:r>
        <w:rPr>
          <w:rFonts w:ascii="宋体" w:hAnsi="宋体"/>
          <w:color w:val="auto"/>
          <w:highlight w:val="none"/>
        </w:rPr>
        <w:t>1.我方具有良好的商业信誉和健全的财务会计制度，具有履行合同所必需的设备和专业技术能力，具</w:t>
      </w:r>
      <w:r>
        <w:rPr>
          <w:rFonts w:ascii="宋体" w:hAnsi="宋体"/>
          <w:color w:val="auto"/>
          <w:highlight w:val="none"/>
          <w:lang w:val="zh-CN"/>
        </w:rPr>
        <w:t>有依法缴纳税收和社会保障金的良好记录</w:t>
      </w:r>
      <w:r>
        <w:rPr>
          <w:rFonts w:ascii="宋体" w:hAnsi="宋体"/>
          <w:color w:val="auto"/>
          <w:highlight w:val="none"/>
        </w:rPr>
        <w:t>，参加本项目采购活动前三年内无重大违法活动记录。</w:t>
      </w:r>
    </w:p>
    <w:p w14:paraId="1FDB8BF4">
      <w:pPr>
        <w:spacing w:line="560" w:lineRule="exact"/>
        <w:ind w:firstLine="420"/>
        <w:rPr>
          <w:rFonts w:ascii="宋体" w:hAnsi="宋体"/>
          <w:color w:val="auto"/>
          <w:highlight w:val="none"/>
        </w:rPr>
      </w:pPr>
      <w:r>
        <w:rPr>
          <w:rFonts w:ascii="宋体" w:hAnsi="宋体"/>
          <w:color w:val="auto"/>
          <w:highlight w:val="none"/>
        </w:rPr>
        <w:t>2.我方未列入在信用中国网站（www.creditchina.gov.cn）“失信被执行人”、“重大税收违法案件当事人名单”中，也未列入中国政府采购网（www.ccgp.gov.cn）“政府采购严重违法失信行为记录名单”中。</w:t>
      </w:r>
    </w:p>
    <w:p w14:paraId="68F87156">
      <w:pPr>
        <w:spacing w:line="560" w:lineRule="exact"/>
        <w:ind w:firstLine="420"/>
        <w:rPr>
          <w:rFonts w:ascii="宋体" w:hAnsi="宋体"/>
          <w:color w:val="auto"/>
          <w:highlight w:val="none"/>
        </w:rPr>
      </w:pPr>
      <w:r>
        <w:rPr>
          <w:rFonts w:ascii="宋体" w:hAnsi="宋体"/>
          <w:color w:val="auto"/>
          <w:highlight w:val="none"/>
        </w:rPr>
        <w:t>3.我方在采购项目评审（评标）环节结束后，随时接受采购人、采购代理机构的检查验证，配合提供相关证明材料，证明符合《中华人民共和国政府采购法》规定的投标人基本资格条件。</w:t>
      </w:r>
    </w:p>
    <w:p w14:paraId="7BE74715">
      <w:pPr>
        <w:spacing w:line="560" w:lineRule="exact"/>
        <w:ind w:firstLine="420"/>
        <w:rPr>
          <w:rFonts w:ascii="宋体" w:hAnsi="宋体"/>
          <w:color w:val="auto"/>
          <w:highlight w:val="none"/>
        </w:rPr>
      </w:pPr>
      <w:r>
        <w:rPr>
          <w:rFonts w:ascii="宋体" w:hAnsi="宋体"/>
          <w:color w:val="auto"/>
          <w:highlight w:val="none"/>
        </w:rPr>
        <w:t>我方对以上承诺负全部法律责任。</w:t>
      </w:r>
    </w:p>
    <w:p w14:paraId="1393C43F">
      <w:pPr>
        <w:spacing w:line="560" w:lineRule="exact"/>
        <w:ind w:firstLine="420"/>
        <w:rPr>
          <w:rFonts w:ascii="宋体" w:hAnsi="宋体"/>
          <w:color w:val="auto"/>
          <w:highlight w:val="none"/>
        </w:rPr>
      </w:pPr>
      <w:r>
        <w:rPr>
          <w:rFonts w:ascii="宋体" w:hAnsi="宋体"/>
          <w:color w:val="auto"/>
          <w:highlight w:val="none"/>
        </w:rPr>
        <w:t>特此承诺。</w:t>
      </w:r>
    </w:p>
    <w:p w14:paraId="05D69EA4">
      <w:pPr>
        <w:spacing w:line="560" w:lineRule="exact"/>
        <w:ind w:firstLine="420"/>
        <w:rPr>
          <w:rFonts w:ascii="宋体" w:hAnsi="宋体"/>
          <w:color w:val="auto"/>
          <w:highlight w:val="none"/>
        </w:rPr>
      </w:pPr>
    </w:p>
    <w:p w14:paraId="2314F228">
      <w:pPr>
        <w:spacing w:line="560" w:lineRule="exact"/>
        <w:ind w:firstLine="420"/>
        <w:jc w:val="center"/>
        <w:rPr>
          <w:rFonts w:ascii="宋体" w:hAnsi="宋体"/>
          <w:color w:val="auto"/>
          <w:highlight w:val="none"/>
        </w:rPr>
      </w:pPr>
      <w:r>
        <w:rPr>
          <w:rFonts w:hint="eastAsia" w:ascii="宋体" w:hAnsi="宋体"/>
          <w:color w:val="auto"/>
          <w:highlight w:val="none"/>
          <w:lang w:val="en-US" w:eastAsia="zh-CN"/>
        </w:rPr>
        <w:t xml:space="preserve">                              </w:t>
      </w:r>
      <w:r>
        <w:rPr>
          <w:rFonts w:hint="eastAsia" w:ascii="宋体" w:hAnsi="宋体"/>
          <w:color w:val="auto"/>
          <w:highlight w:val="none"/>
        </w:rPr>
        <w:t>法定代表人（签章）：</w:t>
      </w:r>
    </w:p>
    <w:p w14:paraId="327623CC">
      <w:pPr>
        <w:spacing w:line="560" w:lineRule="exact"/>
        <w:ind w:firstLine="420"/>
        <w:jc w:val="right"/>
        <w:rPr>
          <w:rFonts w:ascii="宋体" w:hAnsi="宋体"/>
          <w:color w:val="auto"/>
          <w:highlight w:val="none"/>
        </w:rPr>
      </w:pPr>
      <w:r>
        <w:rPr>
          <w:rFonts w:hint="eastAsia" w:ascii="宋体" w:hAnsi="宋体"/>
          <w:color w:val="auto"/>
          <w:highlight w:val="none"/>
        </w:rPr>
        <w:t xml:space="preserve">        </w:t>
      </w:r>
    </w:p>
    <w:p w14:paraId="69ED58D6">
      <w:pPr>
        <w:spacing w:line="560" w:lineRule="exact"/>
        <w:ind w:firstLine="420"/>
        <w:jc w:val="center"/>
        <w:rPr>
          <w:rFonts w:ascii="宋体" w:hAnsi="宋体"/>
          <w:color w:val="auto"/>
          <w:highlight w:val="none"/>
        </w:rPr>
      </w:pPr>
      <w:r>
        <w:rPr>
          <w:rFonts w:hint="eastAsia" w:ascii="宋体" w:hAnsi="宋体"/>
          <w:color w:val="auto"/>
          <w:highlight w:val="none"/>
          <w:lang w:val="en-US" w:eastAsia="zh-CN"/>
        </w:rPr>
        <w:t xml:space="preserve">                              </w:t>
      </w:r>
      <w:r>
        <w:rPr>
          <w:rFonts w:hint="eastAsia" w:ascii="宋体" w:hAnsi="宋体"/>
          <w:color w:val="auto"/>
          <w:highlight w:val="none"/>
        </w:rPr>
        <w:t>供应商名称（签章）：</w:t>
      </w:r>
    </w:p>
    <w:p w14:paraId="226F8F34">
      <w:pPr>
        <w:spacing w:line="560" w:lineRule="exact"/>
        <w:ind w:firstLine="420"/>
        <w:jc w:val="right"/>
        <w:rPr>
          <w:rFonts w:ascii="宋体" w:hAnsi="宋体"/>
          <w:color w:val="auto"/>
          <w:highlight w:val="none"/>
        </w:rPr>
      </w:pPr>
    </w:p>
    <w:p w14:paraId="2139DEB0">
      <w:pPr>
        <w:spacing w:line="360" w:lineRule="auto"/>
        <w:jc w:val="right"/>
        <w:rPr>
          <w:rFonts w:ascii="宋体" w:hAnsi="宋体"/>
          <w:color w:val="auto"/>
          <w:highlight w:val="none"/>
        </w:rPr>
      </w:pPr>
      <w:r>
        <w:rPr>
          <w:rFonts w:ascii="宋体" w:hAnsi="宋体"/>
          <w:color w:val="auto"/>
          <w:highlight w:val="none"/>
        </w:rPr>
        <w:t>年   月   日</w:t>
      </w:r>
    </w:p>
    <w:p w14:paraId="6AFE1093">
      <w:pPr>
        <w:spacing w:line="360" w:lineRule="auto"/>
        <w:contextualSpacing/>
        <w:rPr>
          <w:rFonts w:ascii="宋体" w:hAnsi="宋体"/>
          <w:b/>
          <w:color w:val="auto"/>
          <w:sz w:val="36"/>
          <w:highlight w:val="none"/>
        </w:rPr>
      </w:pPr>
    </w:p>
    <w:p w14:paraId="5DE16AF0">
      <w:pPr>
        <w:spacing w:line="360" w:lineRule="auto"/>
        <w:contextualSpacing/>
        <w:rPr>
          <w:rFonts w:ascii="宋体" w:hAnsi="宋体"/>
          <w:b/>
          <w:color w:val="auto"/>
          <w:sz w:val="36"/>
          <w:highlight w:val="none"/>
        </w:rPr>
      </w:pPr>
    </w:p>
    <w:p w14:paraId="1A847F28">
      <w:pPr>
        <w:spacing w:line="360" w:lineRule="auto"/>
        <w:contextualSpacing/>
        <w:rPr>
          <w:rFonts w:ascii="宋体" w:hAnsi="宋体"/>
          <w:b/>
          <w:color w:val="auto"/>
          <w:sz w:val="36"/>
          <w:highlight w:val="none"/>
        </w:rPr>
      </w:pPr>
    </w:p>
    <w:p w14:paraId="3972204C">
      <w:pPr>
        <w:rPr>
          <w:rFonts w:hint="eastAsia" w:ascii="宋体" w:hAnsi="宋体"/>
          <w:b/>
          <w:color w:val="auto"/>
          <w:szCs w:val="21"/>
          <w:highlight w:val="none"/>
        </w:rPr>
      </w:pPr>
      <w:r>
        <w:rPr>
          <w:rFonts w:hint="eastAsia" w:ascii="宋体" w:hAnsi="宋体"/>
          <w:b/>
          <w:color w:val="auto"/>
          <w:szCs w:val="21"/>
          <w:highlight w:val="none"/>
        </w:rPr>
        <w:br w:type="page" w:clear="all"/>
      </w:r>
    </w:p>
    <w:p w14:paraId="1C03DF67">
      <w:pPr>
        <w:spacing w:line="360" w:lineRule="auto"/>
        <w:jc w:val="center"/>
        <w:rPr>
          <w:rFonts w:ascii="宋体" w:hAnsi="宋体"/>
          <w:b/>
          <w:color w:val="auto"/>
          <w:szCs w:val="21"/>
          <w:highlight w:val="none"/>
        </w:rPr>
      </w:pPr>
      <w:r>
        <w:rPr>
          <w:rFonts w:hint="eastAsia" w:ascii="宋体" w:hAnsi="宋体"/>
          <w:b/>
          <w:color w:val="auto"/>
          <w:szCs w:val="21"/>
          <w:highlight w:val="none"/>
        </w:rPr>
        <w:t>供应商信用承诺书</w:t>
      </w:r>
    </w:p>
    <w:p w14:paraId="04900B05">
      <w:pPr>
        <w:spacing w:line="360" w:lineRule="auto"/>
        <w:rPr>
          <w:rFonts w:hint="eastAsia" w:ascii="宋体" w:hAnsi="宋体"/>
          <w:color w:val="auto"/>
          <w:szCs w:val="21"/>
          <w:highlight w:val="none"/>
        </w:rPr>
      </w:pPr>
    </w:p>
    <w:p w14:paraId="7EB89B2C">
      <w:pPr>
        <w:spacing w:line="360" w:lineRule="auto"/>
        <w:rPr>
          <w:rFonts w:hint="default" w:ascii="宋体" w:hAnsi="宋体" w:eastAsia="宋体"/>
          <w:color w:val="auto"/>
          <w:szCs w:val="21"/>
          <w:highlight w:val="none"/>
          <w:u w:val="single"/>
          <w:lang w:val="en-US" w:eastAsia="zh-CN"/>
        </w:rPr>
      </w:pPr>
      <w:r>
        <w:rPr>
          <w:rFonts w:hint="eastAsia" w:ascii="宋体" w:hAnsi="宋体"/>
          <w:color w:val="auto"/>
          <w:szCs w:val="21"/>
          <w:highlight w:val="none"/>
        </w:rPr>
        <w:t>承诺主体名称：</w:t>
      </w:r>
      <w:r>
        <w:rPr>
          <w:rFonts w:hint="eastAsia" w:ascii="宋体" w:hAnsi="宋体"/>
          <w:color w:val="auto"/>
          <w:szCs w:val="21"/>
          <w:highlight w:val="none"/>
          <w:u w:val="single"/>
          <w:lang w:val="en-US" w:eastAsia="zh-CN"/>
        </w:rPr>
        <w:t xml:space="preserve">                     </w:t>
      </w:r>
    </w:p>
    <w:p w14:paraId="7618CBCD">
      <w:pPr>
        <w:spacing w:line="360" w:lineRule="auto"/>
        <w:rPr>
          <w:rFonts w:ascii="宋体" w:hAnsi="宋体"/>
          <w:color w:val="auto"/>
          <w:szCs w:val="21"/>
          <w:highlight w:val="none"/>
        </w:rPr>
      </w:pPr>
      <w:r>
        <w:rPr>
          <w:rFonts w:hint="eastAsia" w:ascii="宋体" w:hAnsi="宋体"/>
          <w:color w:val="auto"/>
          <w:szCs w:val="21"/>
          <w:highlight w:val="none"/>
        </w:rPr>
        <w:t>统一社会信用代码：</w:t>
      </w:r>
      <w:r>
        <w:rPr>
          <w:rFonts w:hint="eastAsia" w:ascii="宋体" w:hAnsi="宋体"/>
          <w:color w:val="auto"/>
          <w:szCs w:val="21"/>
          <w:highlight w:val="none"/>
          <w:u w:val="single"/>
          <w:lang w:val="en-US" w:eastAsia="zh-CN"/>
        </w:rPr>
        <w:t xml:space="preserve">                     </w:t>
      </w:r>
    </w:p>
    <w:p w14:paraId="722C52CC">
      <w:pPr>
        <w:spacing w:line="360" w:lineRule="auto"/>
        <w:ind w:firstLine="420"/>
        <w:rPr>
          <w:rFonts w:ascii="宋体" w:hAnsi="宋体"/>
          <w:color w:val="auto"/>
          <w:szCs w:val="21"/>
          <w:highlight w:val="none"/>
        </w:rPr>
      </w:pPr>
      <w:r>
        <w:rPr>
          <w:rFonts w:hint="eastAsia" w:ascii="宋体" w:hAnsi="宋体"/>
          <w:color w:val="auto"/>
          <w:szCs w:val="21"/>
          <w:highlight w:val="none"/>
        </w:rPr>
        <w:t>为维护公平竞争、规范有序的市场秩序，营造诚实守信的信用环境，共同推进社会信用体系建设完善，树立企业诚信守法形象，本企业对</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项目政府采购活动郑重承诺如下:</w:t>
      </w:r>
    </w:p>
    <w:p w14:paraId="44623ECD">
      <w:pPr>
        <w:spacing w:line="360" w:lineRule="auto"/>
        <w:ind w:firstLine="420"/>
        <w:rPr>
          <w:rFonts w:ascii="宋体" w:hAnsi="宋体"/>
          <w:color w:val="auto"/>
          <w:szCs w:val="21"/>
          <w:highlight w:val="none"/>
        </w:rPr>
      </w:pPr>
      <w:r>
        <w:rPr>
          <w:rFonts w:hint="eastAsia" w:ascii="宋体" w:hAnsi="宋体"/>
          <w:color w:val="auto"/>
          <w:szCs w:val="21"/>
          <w:highlight w:val="none"/>
        </w:rPr>
        <w:t>一、对提供给注册登记部门、行业管理部门、司法部门、行业组织以及在政府采购活动中提交的所有资料的合法性、真实性、准确性和有效性负责；</w:t>
      </w:r>
    </w:p>
    <w:p w14:paraId="7B5ABEBE">
      <w:pPr>
        <w:spacing w:line="360" w:lineRule="auto"/>
        <w:ind w:firstLine="420"/>
        <w:rPr>
          <w:rFonts w:ascii="宋体" w:hAnsi="宋体"/>
          <w:color w:val="auto"/>
          <w:szCs w:val="21"/>
          <w:highlight w:val="none"/>
        </w:rPr>
      </w:pPr>
      <w:r>
        <w:rPr>
          <w:rFonts w:hint="eastAsia" w:ascii="宋体" w:hAnsi="宋体"/>
          <w:color w:val="auto"/>
          <w:szCs w:val="21"/>
          <w:highlight w:val="none"/>
        </w:rPr>
        <w:t>二、严格按照国家法律、法规和规章开展采购活动，全面履行应尽的责任和义务，全面做到履约守信，具备《中华人民共和国政府采购法》第二十二条第一款规定的条件;</w:t>
      </w:r>
    </w:p>
    <w:p w14:paraId="0E235CC3">
      <w:pPr>
        <w:spacing w:line="360" w:lineRule="auto"/>
        <w:ind w:firstLine="420"/>
        <w:rPr>
          <w:rFonts w:ascii="宋体" w:hAnsi="宋体"/>
          <w:color w:val="auto"/>
          <w:szCs w:val="21"/>
          <w:highlight w:val="none"/>
        </w:rPr>
      </w:pPr>
      <w:r>
        <w:rPr>
          <w:rFonts w:hint="eastAsia" w:ascii="宋体" w:hAnsi="宋体"/>
          <w:color w:val="auto"/>
          <w:szCs w:val="21"/>
          <w:highlight w:val="none"/>
        </w:rPr>
        <w:t>三、严格依法开展生产经营活动，主动接受行业监管，自愿接受依法开展的日常检查；违法失信经营后将自愿接受约束和惩戒，并依法承担相应责任；</w:t>
      </w:r>
    </w:p>
    <w:p w14:paraId="6A6C239D">
      <w:pPr>
        <w:spacing w:line="360" w:lineRule="auto"/>
        <w:ind w:firstLine="420"/>
        <w:rPr>
          <w:rFonts w:ascii="宋体" w:hAnsi="宋体"/>
          <w:color w:val="auto"/>
          <w:szCs w:val="21"/>
          <w:highlight w:val="none"/>
        </w:rPr>
      </w:pPr>
      <w:r>
        <w:rPr>
          <w:rFonts w:hint="eastAsia" w:ascii="宋体" w:hAnsi="宋体"/>
          <w:color w:val="auto"/>
          <w:szCs w:val="21"/>
          <w:highlight w:val="none"/>
        </w:rPr>
        <w:t>四、自觉接受行政管理部门、行业组织、社会公众、新闻舆论的监督；</w:t>
      </w:r>
    </w:p>
    <w:p w14:paraId="309A9B29">
      <w:pPr>
        <w:spacing w:line="360" w:lineRule="auto"/>
        <w:ind w:firstLine="420"/>
        <w:rPr>
          <w:rFonts w:ascii="宋体" w:hAnsi="宋体"/>
          <w:color w:val="auto"/>
          <w:szCs w:val="21"/>
          <w:highlight w:val="none"/>
        </w:rPr>
      </w:pPr>
      <w:r>
        <w:rPr>
          <w:rFonts w:hint="eastAsia" w:ascii="宋体" w:hAnsi="宋体"/>
          <w:color w:val="auto"/>
          <w:szCs w:val="21"/>
          <w:highlight w:val="none"/>
        </w:rPr>
        <w:t>五、自觉做到自我约束、自我管理，不制假售假、商标侵权、虚假宣传、违约毁约、恶意逃债、偷税漏税、垄断和不正当竞争，维护经营者、消费者的合法权益；</w:t>
      </w:r>
    </w:p>
    <w:p w14:paraId="79AEB4E2">
      <w:pPr>
        <w:spacing w:line="360" w:lineRule="auto"/>
        <w:ind w:firstLine="420"/>
        <w:rPr>
          <w:rFonts w:ascii="宋体" w:hAnsi="宋体"/>
          <w:color w:val="auto"/>
          <w:szCs w:val="21"/>
          <w:highlight w:val="none"/>
        </w:rPr>
      </w:pPr>
      <w:r>
        <w:rPr>
          <w:rFonts w:hint="eastAsia" w:ascii="宋体" w:hAnsi="宋体"/>
          <w:color w:val="auto"/>
          <w:szCs w:val="21"/>
          <w:highlight w:val="none"/>
        </w:rPr>
        <w:t>六、提出政府采购质疑和投诉坚持依法依规、诚实信用原则，在全国范围12个月内没有三次以上查无实据的政府采购投诉；</w:t>
      </w:r>
    </w:p>
    <w:p w14:paraId="1E0FF17C">
      <w:pPr>
        <w:spacing w:line="360" w:lineRule="auto"/>
        <w:ind w:firstLine="420"/>
        <w:rPr>
          <w:rFonts w:ascii="宋体" w:hAnsi="宋体"/>
          <w:color w:val="auto"/>
          <w:szCs w:val="21"/>
          <w:highlight w:val="none"/>
        </w:rPr>
      </w:pPr>
      <w:r>
        <w:rPr>
          <w:rFonts w:hint="eastAsia" w:ascii="宋体" w:hAnsi="宋体"/>
          <w:color w:val="auto"/>
          <w:szCs w:val="21"/>
          <w:highlight w:val="none"/>
        </w:rPr>
        <w:t>七、严格遵守信用信息公示相关规定，向社会公示信用信息；</w:t>
      </w:r>
    </w:p>
    <w:p w14:paraId="4DA97786">
      <w:pPr>
        <w:spacing w:line="360" w:lineRule="auto"/>
        <w:ind w:firstLine="420"/>
        <w:rPr>
          <w:rFonts w:ascii="宋体" w:hAnsi="宋体"/>
          <w:color w:val="auto"/>
          <w:szCs w:val="21"/>
          <w:highlight w:val="none"/>
        </w:rPr>
      </w:pPr>
      <w:r>
        <w:rPr>
          <w:rFonts w:hint="eastAsia" w:ascii="宋体" w:hAnsi="宋体"/>
          <w:color w:val="auto"/>
          <w:szCs w:val="21"/>
          <w:highlight w:val="none"/>
        </w:rPr>
        <w:t>八、在“信用中国”和“中国政府采购网”网站中无违法违规、较重或严重失信记录；</w:t>
      </w:r>
    </w:p>
    <w:p w14:paraId="639C42A8">
      <w:pPr>
        <w:spacing w:line="360" w:lineRule="auto"/>
        <w:ind w:firstLine="420"/>
        <w:rPr>
          <w:rFonts w:ascii="宋体" w:hAnsi="宋体"/>
          <w:color w:val="auto"/>
          <w:szCs w:val="21"/>
          <w:highlight w:val="none"/>
        </w:rPr>
      </w:pPr>
      <w:r>
        <w:rPr>
          <w:rFonts w:hint="eastAsia" w:ascii="宋体" w:hAnsi="宋体"/>
          <w:color w:val="auto"/>
          <w:szCs w:val="21"/>
          <w:highlight w:val="none"/>
        </w:rPr>
        <w:t>九、如违反承诺，自愿接受管理部门依法给予的行政处罚，同意将违反承诺的行为作为不良记录记入信用档案，依法依规进行信息公示，并承担所产生的一切法律责任和经济损失。</w:t>
      </w:r>
    </w:p>
    <w:p w14:paraId="72DB1430">
      <w:pPr>
        <w:spacing w:line="360" w:lineRule="auto"/>
        <w:ind w:firstLine="420"/>
        <w:rPr>
          <w:rFonts w:ascii="宋体" w:hAnsi="宋体"/>
          <w:color w:val="auto"/>
          <w:szCs w:val="21"/>
          <w:highlight w:val="none"/>
        </w:rPr>
      </w:pPr>
      <w:r>
        <w:rPr>
          <w:rFonts w:hint="eastAsia" w:ascii="宋体" w:hAnsi="宋体"/>
          <w:color w:val="auto"/>
          <w:szCs w:val="21"/>
          <w:highlight w:val="none"/>
        </w:rPr>
        <w:t>十、本承诺书自签订之日起生效。</w:t>
      </w:r>
    </w:p>
    <w:p w14:paraId="303DB9C6">
      <w:pPr>
        <w:spacing w:line="360" w:lineRule="auto"/>
        <w:ind w:firstLine="420"/>
        <w:rPr>
          <w:rFonts w:ascii="宋体" w:hAnsi="宋体"/>
          <w:color w:val="auto"/>
          <w:szCs w:val="21"/>
          <w:highlight w:val="none"/>
        </w:rPr>
      </w:pPr>
      <w:r>
        <w:rPr>
          <w:rFonts w:hint="eastAsia" w:ascii="宋体" w:hAnsi="宋体"/>
          <w:color w:val="auto"/>
          <w:szCs w:val="21"/>
          <w:highlight w:val="none"/>
        </w:rPr>
        <w:t> （注：法定代表人或负责人、主体名称发生变更的应当重新做出承诺。）</w:t>
      </w:r>
    </w:p>
    <w:p w14:paraId="086AB8BC">
      <w:pPr>
        <w:spacing w:line="360" w:lineRule="auto"/>
        <w:rPr>
          <w:rFonts w:ascii="宋体" w:hAnsi="宋体"/>
          <w:color w:val="auto"/>
          <w:szCs w:val="21"/>
          <w:highlight w:val="none"/>
        </w:rPr>
      </w:pPr>
    </w:p>
    <w:p w14:paraId="472CABC8">
      <w:pPr>
        <w:spacing w:line="360" w:lineRule="auto"/>
        <w:jc w:val="center"/>
        <w:rPr>
          <w:rFonts w:ascii="宋体" w:hAnsi="宋体"/>
          <w:color w:val="auto"/>
          <w:szCs w:val="21"/>
          <w:highlight w:val="none"/>
        </w:rPr>
      </w:pPr>
      <w:r>
        <w:rPr>
          <w:rFonts w:hint="eastAsia" w:ascii="宋体" w:hAnsi="宋体"/>
          <w:color w:val="auto"/>
          <w:szCs w:val="21"/>
          <w:highlight w:val="none"/>
        </w:rPr>
        <w:t xml:space="preserve">　　　　　　　　　　        承诺单位（签章）：           </w:t>
      </w:r>
    </w:p>
    <w:p w14:paraId="72D17A33">
      <w:pPr>
        <w:spacing w:line="360" w:lineRule="auto"/>
        <w:jc w:val="center"/>
        <w:rPr>
          <w:rFonts w:ascii="宋体" w:hAnsi="宋体"/>
          <w:color w:val="auto"/>
          <w:szCs w:val="21"/>
          <w:highlight w:val="none"/>
        </w:rPr>
      </w:pPr>
      <w:r>
        <w:rPr>
          <w:rFonts w:hint="eastAsia" w:ascii="宋体" w:hAnsi="宋体"/>
          <w:color w:val="auto"/>
          <w:szCs w:val="21"/>
          <w:highlight w:val="none"/>
        </w:rPr>
        <w:t>　　　　　　　　　   　  法定代表人（负责人）：</w:t>
      </w:r>
    </w:p>
    <w:p w14:paraId="21A02D4B">
      <w:pPr>
        <w:spacing w:line="360" w:lineRule="auto"/>
        <w:jc w:val="center"/>
        <w:rPr>
          <w:rFonts w:ascii="宋体" w:hAnsi="宋体"/>
          <w:color w:val="auto"/>
          <w:szCs w:val="21"/>
          <w:highlight w:val="none"/>
        </w:rPr>
      </w:pPr>
      <w:r>
        <w:rPr>
          <w:rFonts w:hint="eastAsia" w:ascii="宋体" w:hAnsi="宋体"/>
          <w:color w:val="auto"/>
          <w:szCs w:val="21"/>
          <w:highlight w:val="none"/>
        </w:rPr>
        <w:t>　　　　　　　　　      　年    月    日</w:t>
      </w:r>
    </w:p>
    <w:p w14:paraId="72232F7E">
      <w:pPr>
        <w:spacing w:line="360" w:lineRule="auto"/>
        <w:jc w:val="center"/>
        <w:rPr>
          <w:rFonts w:ascii="宋体" w:hAnsi="宋体" w:cs="宋体"/>
          <w:color w:val="auto"/>
          <w:szCs w:val="21"/>
          <w:highlight w:val="none"/>
        </w:rPr>
      </w:pPr>
    </w:p>
    <w:p w14:paraId="5D623567">
      <w:pPr>
        <w:spacing w:line="360" w:lineRule="auto"/>
        <w:rPr>
          <w:rFonts w:ascii="宋体" w:hAnsi="宋体" w:cs="宋体"/>
          <w:color w:val="auto"/>
          <w:szCs w:val="21"/>
          <w:highlight w:val="none"/>
        </w:rPr>
      </w:pPr>
    </w:p>
    <w:p w14:paraId="2FDE3F30">
      <w:pPr>
        <w:rPr>
          <w:rFonts w:ascii="宋体" w:hAnsi="宋体"/>
          <w:b/>
          <w:bCs/>
          <w:color w:val="auto"/>
          <w:highlight w:val="none"/>
        </w:rPr>
      </w:pPr>
      <w:r>
        <w:rPr>
          <w:rFonts w:hint="eastAsia" w:ascii="宋体" w:hAnsi="宋体"/>
          <w:b/>
          <w:bCs/>
          <w:color w:val="auto"/>
          <w:highlight w:val="none"/>
        </w:rPr>
        <w:br w:type="page" w:clear="all"/>
      </w:r>
    </w:p>
    <w:p w14:paraId="502293C8">
      <w:pPr>
        <w:spacing w:line="360" w:lineRule="auto"/>
        <w:jc w:val="center"/>
        <w:rPr>
          <w:rFonts w:hint="eastAsia" w:ascii="宋体" w:hAnsi="宋体"/>
          <w:b/>
          <w:bCs/>
          <w:color w:val="auto"/>
          <w:highlight w:val="none"/>
        </w:rPr>
      </w:pPr>
      <w:r>
        <w:rPr>
          <w:rFonts w:hint="eastAsia" w:ascii="宋体" w:hAnsi="宋体"/>
          <w:b/>
          <w:bCs/>
          <w:color w:val="auto"/>
          <w:highlight w:val="none"/>
        </w:rPr>
        <w:t>投标函格式</w:t>
      </w:r>
    </w:p>
    <w:p w14:paraId="1E8ADCDE">
      <w:pPr>
        <w:pStyle w:val="193"/>
        <w:spacing w:before="0" w:after="0"/>
        <w:ind w:firstLine="0"/>
        <w:rPr>
          <w:rFonts w:ascii="宋体" w:hAnsi="宋体"/>
          <w:color w:val="auto"/>
          <w:sz w:val="21"/>
          <w:szCs w:val="21"/>
          <w:highlight w:val="none"/>
        </w:rPr>
      </w:pPr>
      <w:r>
        <w:rPr>
          <w:rFonts w:hint="eastAsia" w:ascii="宋体" w:hAnsi="宋体"/>
          <w:color w:val="auto"/>
          <w:sz w:val="21"/>
          <w:szCs w:val="21"/>
          <w:highlight w:val="none"/>
        </w:rPr>
        <w:t>致：</w:t>
      </w:r>
      <w:r>
        <w:rPr>
          <w:rFonts w:hint="eastAsia" w:hAnsi="宋体"/>
          <w:color w:val="auto"/>
          <w:sz w:val="21"/>
          <w:highlight w:val="none"/>
        </w:rPr>
        <w:t>（代理机构名称）</w:t>
      </w:r>
    </w:p>
    <w:p w14:paraId="1D24FA67">
      <w:pPr>
        <w:pStyle w:val="193"/>
        <w:spacing w:before="0" w:after="0"/>
        <w:ind w:firstLine="420"/>
        <w:rPr>
          <w:rFonts w:ascii="宋体" w:hAnsi="宋体"/>
          <w:color w:val="auto"/>
          <w:sz w:val="21"/>
          <w:szCs w:val="21"/>
          <w:highlight w:val="none"/>
        </w:rPr>
      </w:pPr>
      <w:r>
        <w:rPr>
          <w:rFonts w:hint="eastAsia" w:ascii="宋体" w:hAnsi="宋体"/>
          <w:color w:val="auto"/>
          <w:sz w:val="21"/>
          <w:szCs w:val="21"/>
          <w:highlight w:val="none"/>
        </w:rPr>
        <w:t>根据贵方的（）号招标文件，正式授权下述签字人_________________(姓名)代表我方______________（投标人的名称），全权处理本次项目投标的有关事宜。</w:t>
      </w:r>
    </w:p>
    <w:p w14:paraId="2A91A235">
      <w:pPr>
        <w:pStyle w:val="193"/>
        <w:spacing w:before="0" w:after="0"/>
        <w:ind w:firstLine="420"/>
        <w:rPr>
          <w:rFonts w:ascii="宋体" w:hAnsi="宋体"/>
          <w:color w:val="auto"/>
          <w:sz w:val="21"/>
          <w:szCs w:val="21"/>
          <w:highlight w:val="none"/>
        </w:rPr>
      </w:pPr>
      <w:r>
        <w:rPr>
          <w:rFonts w:hint="eastAsia" w:ascii="宋体" w:hAnsi="宋体"/>
          <w:color w:val="auto"/>
          <w:sz w:val="21"/>
          <w:szCs w:val="21"/>
          <w:highlight w:val="none"/>
        </w:rPr>
        <w:t>据此函，__________签字人（姓名）兹宣布同意如下：</w:t>
      </w:r>
    </w:p>
    <w:p w14:paraId="15CB8686">
      <w:pPr>
        <w:pStyle w:val="193"/>
        <w:spacing w:before="0" w:after="0"/>
        <w:ind w:firstLine="420"/>
        <w:rPr>
          <w:rFonts w:ascii="宋体" w:hAnsi="宋体"/>
          <w:color w:val="auto"/>
          <w:sz w:val="21"/>
          <w:szCs w:val="21"/>
          <w:highlight w:val="none"/>
        </w:rPr>
      </w:pPr>
      <w:r>
        <w:rPr>
          <w:rFonts w:hint="eastAsia" w:ascii="宋体" w:hAnsi="宋体"/>
          <w:color w:val="auto"/>
          <w:sz w:val="21"/>
          <w:szCs w:val="21"/>
          <w:highlight w:val="none"/>
        </w:rPr>
        <w:t>1.按招标文件规定的各项要求，向买方提供所需货物与服务。</w:t>
      </w:r>
    </w:p>
    <w:p w14:paraId="528FCC55">
      <w:pPr>
        <w:pStyle w:val="193"/>
        <w:spacing w:before="0" w:after="0"/>
        <w:ind w:firstLine="420"/>
        <w:rPr>
          <w:rFonts w:ascii="宋体" w:hAnsi="宋体"/>
          <w:color w:val="auto"/>
          <w:sz w:val="21"/>
          <w:szCs w:val="21"/>
          <w:highlight w:val="none"/>
        </w:rPr>
      </w:pPr>
      <w:r>
        <w:rPr>
          <w:rFonts w:hint="eastAsia" w:ascii="宋体" w:hAnsi="宋体"/>
          <w:color w:val="auto"/>
          <w:sz w:val="21"/>
          <w:szCs w:val="21"/>
          <w:highlight w:val="none"/>
        </w:rPr>
        <w:t>2.我们完全理解贵方不一定将合同授予最低报价的投标人。</w:t>
      </w:r>
    </w:p>
    <w:p w14:paraId="7E36788F">
      <w:pPr>
        <w:pStyle w:val="193"/>
        <w:spacing w:before="0" w:after="0"/>
        <w:ind w:firstLine="420"/>
        <w:rPr>
          <w:rFonts w:ascii="宋体" w:hAnsi="宋体"/>
          <w:color w:val="auto"/>
          <w:sz w:val="21"/>
          <w:szCs w:val="21"/>
          <w:highlight w:val="none"/>
        </w:rPr>
      </w:pPr>
      <w:r>
        <w:rPr>
          <w:rFonts w:hint="eastAsia" w:ascii="宋体" w:hAnsi="宋体"/>
          <w:color w:val="auto"/>
          <w:sz w:val="21"/>
          <w:szCs w:val="21"/>
          <w:highlight w:val="none"/>
        </w:rPr>
        <w:t>3.我们已详细审核全部招标文件及其有效补充文件，我们知道必须放弃提出含糊不清或误解问题的权利。</w:t>
      </w:r>
    </w:p>
    <w:p w14:paraId="22A91049">
      <w:pPr>
        <w:pStyle w:val="193"/>
        <w:spacing w:before="0" w:after="0"/>
        <w:rPr>
          <w:rFonts w:ascii="宋体" w:hAnsi="宋体"/>
          <w:color w:val="auto"/>
          <w:sz w:val="21"/>
          <w:szCs w:val="21"/>
          <w:highlight w:val="none"/>
        </w:rPr>
      </w:pPr>
      <w:r>
        <w:rPr>
          <w:rFonts w:hint="eastAsia" w:ascii="宋体" w:hAnsi="宋体"/>
          <w:color w:val="auto"/>
          <w:sz w:val="21"/>
          <w:szCs w:val="21"/>
          <w:highlight w:val="none"/>
        </w:rPr>
        <w:t>4.我们同意从规定的开标日期起遵循本投标文件，并在规定的投标有效期期满之前均具有约束力。</w:t>
      </w:r>
    </w:p>
    <w:p w14:paraId="2EC8C840">
      <w:pPr>
        <w:pStyle w:val="193"/>
        <w:spacing w:before="0" w:after="0"/>
        <w:rPr>
          <w:rFonts w:ascii="宋体" w:hAnsi="宋体"/>
          <w:color w:val="auto"/>
          <w:sz w:val="21"/>
          <w:szCs w:val="21"/>
          <w:highlight w:val="none"/>
        </w:rPr>
      </w:pPr>
      <w:r>
        <w:rPr>
          <w:rFonts w:hint="eastAsia" w:ascii="宋体" w:hAnsi="宋体"/>
          <w:color w:val="auto"/>
          <w:sz w:val="21"/>
          <w:szCs w:val="21"/>
          <w:highlight w:val="none"/>
        </w:rPr>
        <w:t>5.同意向贵方提供贵方可能另外要求的与投标有关的任何证据或资料，并保证我方已提供和将要提供的文件是真实的、准确的。</w:t>
      </w:r>
    </w:p>
    <w:p w14:paraId="5FA589EF">
      <w:pPr>
        <w:pStyle w:val="193"/>
        <w:spacing w:before="0" w:after="0"/>
        <w:rPr>
          <w:rFonts w:ascii="宋体" w:hAnsi="宋体"/>
          <w:color w:val="auto"/>
          <w:sz w:val="21"/>
          <w:szCs w:val="21"/>
          <w:highlight w:val="none"/>
        </w:rPr>
      </w:pPr>
      <w:r>
        <w:rPr>
          <w:rFonts w:hint="eastAsia" w:ascii="宋体" w:hAnsi="宋体"/>
          <w:color w:val="auto"/>
          <w:sz w:val="21"/>
          <w:szCs w:val="21"/>
          <w:highlight w:val="none"/>
        </w:rPr>
        <w:t>6.一旦我方中标,我方将根据招标文件的规定，严格履行合同的责任和义务,并保证在招标文件规定的时间完成项目，交付买方验收、使用。</w:t>
      </w:r>
    </w:p>
    <w:p w14:paraId="31E8FBE2">
      <w:pPr>
        <w:pStyle w:val="193"/>
        <w:spacing w:before="0" w:after="0"/>
        <w:ind w:left="425" w:firstLine="105"/>
        <w:rPr>
          <w:rFonts w:ascii="宋体" w:hAnsi="宋体"/>
          <w:color w:val="auto"/>
          <w:sz w:val="21"/>
          <w:szCs w:val="21"/>
          <w:highlight w:val="none"/>
        </w:rPr>
      </w:pPr>
      <w:r>
        <w:rPr>
          <w:rFonts w:hint="eastAsia" w:ascii="宋体" w:hAnsi="宋体"/>
          <w:color w:val="auto"/>
          <w:sz w:val="21"/>
          <w:szCs w:val="21"/>
          <w:highlight w:val="none"/>
        </w:rPr>
        <w:t>7.与本投标有关的正式通讯地址为：</w:t>
      </w:r>
    </w:p>
    <w:p w14:paraId="2FCB4345">
      <w:pPr>
        <w:pStyle w:val="193"/>
        <w:spacing w:before="0" w:after="0"/>
        <w:ind w:firstLine="478"/>
        <w:rPr>
          <w:rFonts w:ascii="宋体" w:hAnsi="宋体"/>
          <w:color w:val="auto"/>
          <w:sz w:val="21"/>
          <w:szCs w:val="21"/>
          <w:highlight w:val="none"/>
        </w:rPr>
      </w:pPr>
      <w:r>
        <w:rPr>
          <w:rFonts w:hint="eastAsia" w:ascii="宋体" w:hAnsi="宋体"/>
          <w:color w:val="auto"/>
          <w:sz w:val="21"/>
          <w:szCs w:val="21"/>
          <w:highlight w:val="none"/>
        </w:rPr>
        <w:t>地 址：</w:t>
      </w:r>
    </w:p>
    <w:p w14:paraId="4BA598B6">
      <w:pPr>
        <w:pStyle w:val="193"/>
        <w:spacing w:before="0" w:after="0"/>
        <w:ind w:firstLine="478"/>
        <w:rPr>
          <w:rFonts w:ascii="宋体" w:hAnsi="宋体"/>
          <w:color w:val="auto"/>
          <w:sz w:val="21"/>
          <w:szCs w:val="21"/>
          <w:highlight w:val="none"/>
        </w:rPr>
      </w:pPr>
      <w:r>
        <w:rPr>
          <w:rFonts w:hint="eastAsia" w:ascii="宋体" w:hAnsi="宋体"/>
          <w:color w:val="auto"/>
          <w:sz w:val="21"/>
          <w:szCs w:val="21"/>
          <w:highlight w:val="none"/>
        </w:rPr>
        <w:t>邮 编：</w:t>
      </w:r>
    </w:p>
    <w:p w14:paraId="72718E74">
      <w:pPr>
        <w:pStyle w:val="193"/>
        <w:spacing w:before="0" w:after="0"/>
        <w:ind w:firstLine="478"/>
        <w:rPr>
          <w:rFonts w:ascii="宋体" w:hAnsi="宋体"/>
          <w:color w:val="auto"/>
          <w:sz w:val="21"/>
          <w:szCs w:val="21"/>
          <w:highlight w:val="none"/>
        </w:rPr>
      </w:pPr>
      <w:r>
        <w:rPr>
          <w:rFonts w:hint="eastAsia" w:ascii="宋体" w:hAnsi="宋体"/>
          <w:color w:val="auto"/>
          <w:sz w:val="21"/>
          <w:szCs w:val="21"/>
          <w:highlight w:val="none"/>
        </w:rPr>
        <w:t xml:space="preserve">电 话： </w:t>
      </w:r>
    </w:p>
    <w:p w14:paraId="6BE5720C">
      <w:pPr>
        <w:pStyle w:val="193"/>
        <w:spacing w:before="0" w:after="0"/>
        <w:ind w:firstLine="478"/>
        <w:rPr>
          <w:rFonts w:ascii="宋体" w:hAnsi="宋体"/>
          <w:color w:val="auto"/>
          <w:sz w:val="21"/>
          <w:szCs w:val="21"/>
          <w:highlight w:val="none"/>
        </w:rPr>
      </w:pPr>
      <w:r>
        <w:rPr>
          <w:rFonts w:hint="eastAsia" w:ascii="宋体" w:hAnsi="宋体"/>
          <w:color w:val="auto"/>
          <w:sz w:val="21"/>
          <w:szCs w:val="21"/>
          <w:highlight w:val="none"/>
        </w:rPr>
        <w:t xml:space="preserve">传 真： </w:t>
      </w:r>
    </w:p>
    <w:p w14:paraId="44B3BA33">
      <w:pPr>
        <w:pStyle w:val="193"/>
        <w:spacing w:before="0" w:after="0"/>
        <w:ind w:firstLine="478"/>
        <w:rPr>
          <w:rFonts w:ascii="宋体" w:hAnsi="宋体"/>
          <w:color w:val="auto"/>
          <w:sz w:val="21"/>
          <w:szCs w:val="21"/>
          <w:highlight w:val="none"/>
        </w:rPr>
      </w:pPr>
      <w:r>
        <w:rPr>
          <w:rFonts w:hint="eastAsia" w:ascii="宋体" w:hAnsi="宋体"/>
          <w:color w:val="auto"/>
          <w:sz w:val="21"/>
          <w:szCs w:val="21"/>
          <w:highlight w:val="none"/>
        </w:rPr>
        <w:t>投标人开户行：</w:t>
      </w:r>
    </w:p>
    <w:p w14:paraId="1EBFD9A0">
      <w:pPr>
        <w:pStyle w:val="193"/>
        <w:spacing w:before="0" w:after="0"/>
        <w:ind w:firstLine="478"/>
        <w:rPr>
          <w:rFonts w:ascii="宋体" w:hAnsi="宋体"/>
          <w:color w:val="auto"/>
          <w:sz w:val="21"/>
          <w:szCs w:val="21"/>
          <w:highlight w:val="none"/>
        </w:rPr>
      </w:pPr>
      <w:r>
        <w:rPr>
          <w:rFonts w:hint="eastAsia" w:ascii="宋体" w:hAnsi="宋体"/>
          <w:color w:val="auto"/>
          <w:sz w:val="21"/>
          <w:szCs w:val="21"/>
          <w:highlight w:val="none"/>
        </w:rPr>
        <w:t xml:space="preserve">账 户： </w:t>
      </w:r>
    </w:p>
    <w:p w14:paraId="7AE7EB9F">
      <w:pPr>
        <w:pStyle w:val="193"/>
        <w:spacing w:before="0" w:after="0"/>
        <w:ind w:firstLine="478"/>
        <w:rPr>
          <w:rFonts w:ascii="宋体" w:hAnsi="宋体"/>
          <w:color w:val="auto"/>
          <w:sz w:val="21"/>
          <w:szCs w:val="21"/>
          <w:highlight w:val="none"/>
        </w:rPr>
      </w:pPr>
      <w:r>
        <w:rPr>
          <w:rFonts w:hint="eastAsia" w:ascii="宋体" w:hAnsi="宋体"/>
          <w:color w:val="auto"/>
          <w:sz w:val="21"/>
          <w:szCs w:val="21"/>
          <w:highlight w:val="none"/>
        </w:rPr>
        <w:t>行 号：</w:t>
      </w:r>
    </w:p>
    <w:p w14:paraId="1B30C8F8">
      <w:pPr>
        <w:pStyle w:val="193"/>
        <w:spacing w:before="0" w:after="0"/>
        <w:ind w:firstLine="478"/>
        <w:rPr>
          <w:rFonts w:ascii="宋体" w:hAnsi="宋体"/>
          <w:color w:val="auto"/>
          <w:sz w:val="21"/>
          <w:szCs w:val="21"/>
          <w:highlight w:val="none"/>
        </w:rPr>
      </w:pPr>
      <w:r>
        <w:rPr>
          <w:rFonts w:hint="eastAsia" w:ascii="宋体" w:hAnsi="宋体"/>
          <w:color w:val="auto"/>
          <w:sz w:val="21"/>
          <w:szCs w:val="21"/>
          <w:highlight w:val="none"/>
        </w:rPr>
        <w:t>日 期：________年____月____日</w:t>
      </w:r>
    </w:p>
    <w:p w14:paraId="011ED5AE">
      <w:pPr>
        <w:spacing w:line="360" w:lineRule="auto"/>
        <w:contextualSpacing/>
        <w:rPr>
          <w:rFonts w:ascii="宋体" w:hAnsi="宋体"/>
          <w:b/>
          <w:bCs/>
          <w:color w:val="auto"/>
          <w:sz w:val="32"/>
          <w:szCs w:val="32"/>
          <w:highlight w:val="none"/>
        </w:rPr>
      </w:pPr>
    </w:p>
    <w:p w14:paraId="3E59A2C5">
      <w:pPr>
        <w:spacing w:line="360" w:lineRule="auto"/>
        <w:rPr>
          <w:rFonts w:ascii="宋体" w:hAnsi="宋体"/>
          <w:b/>
          <w:color w:val="auto"/>
          <w:sz w:val="32"/>
          <w:szCs w:val="32"/>
          <w:highlight w:val="none"/>
        </w:rPr>
      </w:pPr>
      <w:r>
        <w:rPr>
          <w:rFonts w:hint="eastAsia" w:ascii="宋体" w:hAnsi="宋体"/>
          <w:b/>
          <w:color w:val="auto"/>
          <w:sz w:val="32"/>
          <w:szCs w:val="32"/>
          <w:highlight w:val="none"/>
        </w:rPr>
        <w:br w:type="page" w:clear="all"/>
      </w:r>
    </w:p>
    <w:p w14:paraId="040823EB">
      <w:pPr>
        <w:pStyle w:val="194"/>
        <w:spacing w:after="312" w:line="360" w:lineRule="auto"/>
        <w:ind w:firstLine="422"/>
        <w:jc w:val="center"/>
        <w:rPr>
          <w:rFonts w:ascii="宋体" w:hAnsi="宋体"/>
          <w:b/>
          <w:color w:val="auto"/>
          <w:sz w:val="21"/>
          <w:szCs w:val="21"/>
          <w:highlight w:val="none"/>
        </w:rPr>
      </w:pPr>
      <w:r>
        <w:rPr>
          <w:rFonts w:hint="eastAsia" w:ascii="宋体" w:hAnsi="宋体"/>
          <w:b/>
          <w:color w:val="auto"/>
          <w:sz w:val="21"/>
          <w:szCs w:val="21"/>
          <w:highlight w:val="none"/>
        </w:rPr>
        <w:t>法人授权书</w:t>
      </w:r>
    </w:p>
    <w:p w14:paraId="0D64A948">
      <w:pPr>
        <w:pStyle w:val="194"/>
        <w:spacing w:line="360" w:lineRule="auto"/>
        <w:ind w:firstLine="420"/>
        <w:rPr>
          <w:rFonts w:ascii="宋体" w:hAnsi="宋体"/>
          <w:color w:val="auto"/>
          <w:sz w:val="21"/>
          <w:szCs w:val="21"/>
          <w:highlight w:val="none"/>
        </w:rPr>
      </w:pPr>
      <w:r>
        <w:rPr>
          <w:rFonts w:hint="eastAsia" w:ascii="宋体" w:hAnsi="宋体"/>
          <w:color w:val="auto"/>
          <w:sz w:val="21"/>
          <w:szCs w:val="21"/>
          <w:highlight w:val="none"/>
        </w:rPr>
        <w:t>本授权书声明：</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（投标人名称）授权</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（被授权人的姓名）为我方就（项目编号）号（项目名称）项目采购活动的合法代理人，以本公司名义全权处理一切与该项目采购有关的事务。</w:t>
      </w:r>
    </w:p>
    <w:p w14:paraId="68A2D2F2">
      <w:pPr>
        <w:pStyle w:val="194"/>
        <w:spacing w:line="360" w:lineRule="auto"/>
        <w:ind w:firstLine="420"/>
        <w:rPr>
          <w:rFonts w:ascii="宋体" w:hAnsi="宋体"/>
          <w:color w:val="auto"/>
          <w:sz w:val="21"/>
          <w:szCs w:val="21"/>
          <w:highlight w:val="none"/>
        </w:rPr>
      </w:pPr>
      <w:r>
        <w:rPr>
          <w:rFonts w:hint="eastAsia" w:ascii="宋体" w:hAnsi="宋体"/>
          <w:color w:val="auto"/>
          <w:sz w:val="21"/>
          <w:szCs w:val="21"/>
          <w:highlight w:val="none"/>
        </w:rPr>
        <w:t>本授权书于</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年</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月</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日起生效，特此声明。</w:t>
      </w:r>
    </w:p>
    <w:p w14:paraId="7EFF0C2F">
      <w:pPr>
        <w:pStyle w:val="194"/>
        <w:spacing w:line="360" w:lineRule="auto"/>
        <w:ind w:firstLine="0"/>
        <w:rPr>
          <w:rFonts w:ascii="宋体" w:hAnsi="宋体"/>
          <w:color w:val="auto"/>
          <w:sz w:val="21"/>
          <w:szCs w:val="21"/>
          <w:highlight w:val="none"/>
        </w:rPr>
      </w:pPr>
      <w:r>
        <w:rPr>
          <w:rFonts w:ascii="宋体" w:hAnsi="宋体"/>
          <w:color w:val="auto"/>
          <w:sz w:val="21"/>
          <w:szCs w:val="21"/>
          <w:highlight w:val="none"/>
        </w:rPr>
        <w:t xml:space="preserve">    </w:t>
      </w:r>
    </w:p>
    <w:p w14:paraId="3A0A3C3C">
      <w:pPr>
        <w:pStyle w:val="194"/>
        <w:spacing w:line="360" w:lineRule="auto"/>
        <w:ind w:firstLine="420"/>
        <w:rPr>
          <w:rFonts w:hint="default" w:ascii="宋体" w:hAnsi="宋体"/>
          <w:color w:val="auto"/>
          <w:sz w:val="21"/>
          <w:szCs w:val="21"/>
          <w:highlight w:val="none"/>
          <w:lang w:val="en-US"/>
        </w:rPr>
      </w:pPr>
      <w:r>
        <w:rPr>
          <w:rFonts w:hint="eastAsia" w:ascii="宋体" w:hAnsi="宋体"/>
          <w:color w:val="auto"/>
          <w:sz w:val="21"/>
          <w:szCs w:val="21"/>
          <w:highlight w:val="none"/>
        </w:rPr>
        <w:t>被授权人姓名：</w:t>
      </w:r>
      <w:r>
        <w:rPr>
          <w:rFonts w:hint="eastAsia" w:ascii="宋体" w:hAnsi="宋体"/>
          <w:color w:val="auto"/>
          <w:sz w:val="21"/>
          <w:szCs w:val="21"/>
          <w:highlight w:val="none"/>
          <w:u w:val="single"/>
          <w:lang w:val="en-US" w:eastAsia="zh-CN"/>
        </w:rPr>
        <w:t xml:space="preserve">                        </w:t>
      </w:r>
    </w:p>
    <w:p w14:paraId="75BC48C5">
      <w:pPr>
        <w:pStyle w:val="194"/>
        <w:spacing w:line="360" w:lineRule="auto"/>
        <w:ind w:firstLine="420"/>
        <w:rPr>
          <w:rFonts w:ascii="宋体" w:hAnsi="宋体"/>
          <w:color w:val="auto"/>
          <w:sz w:val="21"/>
          <w:szCs w:val="21"/>
          <w:highlight w:val="none"/>
          <w:u w:val="single"/>
        </w:rPr>
      </w:pPr>
      <w:r>
        <w:rPr>
          <w:rFonts w:hint="eastAsia" w:ascii="宋体" w:hAnsi="宋体"/>
          <w:color w:val="auto"/>
          <w:sz w:val="21"/>
          <w:szCs w:val="21"/>
          <w:highlight w:val="none"/>
        </w:rPr>
        <w:t>联系电话（手机）：</w:t>
      </w:r>
      <w:r>
        <w:rPr>
          <w:rFonts w:hint="eastAsia" w:ascii="宋体" w:hAnsi="宋体"/>
          <w:color w:val="auto"/>
          <w:sz w:val="21"/>
          <w:szCs w:val="21"/>
          <w:highlight w:val="none"/>
          <w:u w:val="single"/>
          <w:lang w:val="en-US" w:eastAsia="zh-CN"/>
        </w:rPr>
        <w:t xml:space="preserve">                     </w:t>
      </w:r>
    </w:p>
    <w:p w14:paraId="5195A9F5">
      <w:pPr>
        <w:pStyle w:val="194"/>
        <w:spacing w:line="360" w:lineRule="auto"/>
        <w:ind w:firstLine="0"/>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单位名称：</w:t>
      </w:r>
      <w:r>
        <w:rPr>
          <w:rFonts w:hint="eastAsia" w:ascii="宋体" w:hAnsi="宋体"/>
          <w:color w:val="auto"/>
          <w:sz w:val="21"/>
          <w:szCs w:val="21"/>
          <w:highlight w:val="none"/>
          <w:u w:val="single"/>
          <w:lang w:val="en-US" w:eastAsia="zh-CN"/>
        </w:rPr>
        <w:t xml:space="preserve">                            </w:t>
      </w:r>
    </w:p>
    <w:p w14:paraId="1A108906">
      <w:pPr>
        <w:pStyle w:val="194"/>
        <w:spacing w:line="360" w:lineRule="auto"/>
        <w:ind w:firstLine="420"/>
        <w:rPr>
          <w:color w:val="auto"/>
          <w:sz w:val="21"/>
          <w:szCs w:val="21"/>
          <w:highlight w:val="none"/>
          <w:u w:val="single"/>
        </w:rPr>
      </w:pPr>
      <w:r>
        <w:rPr>
          <w:rFonts w:hint="eastAsia"/>
          <w:color w:val="auto"/>
          <w:sz w:val="21"/>
          <w:szCs w:val="21"/>
          <w:highlight w:val="none"/>
        </w:rPr>
        <w:t>单位地址：</w:t>
      </w:r>
      <w:r>
        <w:rPr>
          <w:rFonts w:hint="eastAsia" w:ascii="宋体" w:hAnsi="宋体"/>
          <w:color w:val="auto"/>
          <w:sz w:val="21"/>
          <w:szCs w:val="21"/>
          <w:highlight w:val="none"/>
          <w:u w:val="single"/>
          <w:lang w:val="en-US" w:eastAsia="zh-CN"/>
        </w:rPr>
        <w:t xml:space="preserve">                            </w:t>
      </w:r>
    </w:p>
    <w:p w14:paraId="5D2BF804">
      <w:pPr>
        <w:pStyle w:val="194"/>
        <w:spacing w:line="360" w:lineRule="auto"/>
        <w:ind w:firstLine="420"/>
        <w:rPr>
          <w:color w:val="auto"/>
          <w:sz w:val="21"/>
          <w:szCs w:val="21"/>
          <w:highlight w:val="none"/>
        </w:rPr>
      </w:pPr>
      <w:r>
        <w:rPr>
          <w:rFonts w:hint="eastAsia"/>
          <w:color w:val="auto"/>
          <w:sz w:val="21"/>
          <w:szCs w:val="21"/>
          <w:highlight w:val="none"/>
        </w:rPr>
        <w:t>日期：</w:t>
      </w:r>
      <w:r>
        <w:rPr>
          <w:rFonts w:hint="eastAsia" w:ascii="宋体" w:hAnsi="宋体"/>
          <w:color w:val="auto"/>
          <w:sz w:val="21"/>
          <w:szCs w:val="21"/>
          <w:highlight w:val="none"/>
          <w:u w:val="single"/>
          <w:lang w:val="en-US" w:eastAsia="zh-CN"/>
        </w:rPr>
        <w:t xml:space="preserve">                                </w:t>
      </w:r>
      <w:r>
        <w:rPr>
          <w:color w:val="auto"/>
          <w:sz w:val="21"/>
          <w:szCs w:val="21"/>
          <w:highlight w:val="none"/>
        </w:rPr>
        <w:t xml:space="preserve"> </w:t>
      </w:r>
    </w:p>
    <w:p w14:paraId="31DF79BC">
      <w:pPr>
        <w:spacing w:line="360" w:lineRule="auto"/>
        <w:rPr>
          <w:rFonts w:ascii="宋体" w:hAnsi="宋体"/>
          <w:bCs/>
          <w:color w:val="auto"/>
          <w:highlight w:val="none"/>
        </w:rPr>
      </w:pPr>
    </w:p>
    <w:p w14:paraId="5F8D930F">
      <w:pPr>
        <w:spacing w:line="360" w:lineRule="auto"/>
        <w:ind w:firstLine="420"/>
        <w:rPr>
          <w:rFonts w:ascii="宋体" w:hAnsi="宋体"/>
          <w:bCs/>
          <w:color w:val="auto"/>
          <w:highlight w:val="none"/>
        </w:rPr>
        <w:sectPr>
          <w:pgSz w:w="11906" w:h="16838"/>
          <w:pgMar w:top="1440" w:right="1800" w:bottom="1440" w:left="1800" w:header="851" w:footer="850" w:gutter="0"/>
          <w:pgBorders>
            <w:top w:val="none" w:sz="0" w:space="0"/>
            <w:left w:val="none" w:sz="0" w:space="0"/>
            <w:bottom w:val="none" w:sz="0" w:space="0"/>
            <w:right w:val="none" w:sz="0" w:space="0"/>
          </w:pgBorders>
          <w:pgNumType w:start="1"/>
          <w:cols w:space="720" w:num="1"/>
          <w:docGrid w:linePitch="360" w:charSpace="0"/>
        </w:sectPr>
      </w:pPr>
      <w:r>
        <w:rPr>
          <w:rFonts w:hint="eastAsia" w:ascii="宋体" w:hAnsi="宋体"/>
          <w:bCs/>
          <w:color w:val="auto"/>
          <w:highlight w:val="none"/>
        </w:rPr>
        <w:t>被授权人身份证复印件</w:t>
      </w:r>
    </w:p>
    <w:p w14:paraId="745D1B7C">
      <w:pPr>
        <w:pStyle w:val="3"/>
        <w:spacing w:line="360" w:lineRule="auto"/>
        <w:rPr>
          <w:rFonts w:asciiTheme="minorEastAsia" w:hAnsiTheme="minorEastAsia" w:eastAsiaTheme="minorEastAsia"/>
          <w:color w:val="auto"/>
          <w:sz w:val="32"/>
          <w:highlight w:val="none"/>
        </w:rPr>
      </w:pPr>
      <w:bookmarkStart w:id="61" w:name="_Toc13313"/>
      <w:bookmarkStart w:id="62" w:name="_Toc27055"/>
      <w:r>
        <w:rPr>
          <w:rFonts w:hint="eastAsia" w:asciiTheme="minorEastAsia" w:hAnsiTheme="minorEastAsia" w:eastAsiaTheme="minorEastAsia"/>
          <w:color w:val="auto"/>
          <w:sz w:val="32"/>
          <w:highlight w:val="none"/>
        </w:rPr>
        <w:t>二、符合性审查响应对照表</w:t>
      </w:r>
      <w:bookmarkEnd w:id="61"/>
      <w:bookmarkEnd w:id="62"/>
    </w:p>
    <w:tbl>
      <w:tblPr>
        <w:tblStyle w:val="37"/>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308"/>
      </w:tblGrid>
      <w:tr w14:paraId="673D2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646" w:type="dxa"/>
            <w:noWrap w:val="0"/>
            <w:vAlign w:val="center"/>
          </w:tcPr>
          <w:p w14:paraId="20009882">
            <w:pPr>
              <w:spacing w:line="360" w:lineRule="auto"/>
              <w:jc w:val="center"/>
              <w:rPr>
                <w:rFonts w:ascii="幼圆" w:eastAsia="幼圆"/>
                <w:b/>
                <w:color w:val="auto"/>
                <w:szCs w:val="21"/>
                <w:highlight w:val="none"/>
              </w:rPr>
            </w:pPr>
            <w:r>
              <w:rPr>
                <w:rFonts w:hint="eastAsia" w:ascii="宋体" w:hAnsi="宋体" w:cs="宋体"/>
                <w:b/>
                <w:color w:val="auto"/>
                <w:szCs w:val="21"/>
                <w:highlight w:val="none"/>
              </w:rPr>
              <w:t>序号</w:t>
            </w:r>
          </w:p>
        </w:tc>
        <w:tc>
          <w:tcPr>
            <w:tcW w:w="5447" w:type="dxa"/>
            <w:noWrap w:val="0"/>
            <w:vAlign w:val="center"/>
          </w:tcPr>
          <w:p w14:paraId="724D9DFC">
            <w:pPr>
              <w:spacing w:line="360" w:lineRule="auto"/>
              <w:jc w:val="center"/>
              <w:rPr>
                <w:rFonts w:ascii="幼圆" w:eastAsia="幼圆"/>
                <w:b/>
                <w:color w:val="auto"/>
                <w:szCs w:val="21"/>
                <w:highlight w:val="none"/>
              </w:rPr>
            </w:pPr>
            <w:r>
              <w:rPr>
                <w:rFonts w:hint="eastAsia" w:ascii="宋体" w:hAnsi="宋体" w:cs="宋体"/>
                <w:b/>
                <w:color w:val="auto"/>
                <w:szCs w:val="21"/>
                <w:highlight w:val="none"/>
              </w:rPr>
              <w:t>符合性审查响应内容</w:t>
            </w:r>
          </w:p>
        </w:tc>
        <w:tc>
          <w:tcPr>
            <w:tcW w:w="1680" w:type="dxa"/>
            <w:noWrap w:val="0"/>
            <w:vAlign w:val="center"/>
          </w:tcPr>
          <w:p w14:paraId="4BAD03C3">
            <w:pPr>
              <w:spacing w:line="360" w:lineRule="auto"/>
              <w:jc w:val="center"/>
              <w:rPr>
                <w:rFonts w:ascii="宋体" w:hAnsi="宋体" w:cs="宋体"/>
                <w:b/>
                <w:color w:val="auto"/>
                <w:szCs w:val="21"/>
                <w:highlight w:val="none"/>
              </w:rPr>
            </w:pPr>
            <w:r>
              <w:rPr>
                <w:rFonts w:hint="eastAsia" w:ascii="宋体" w:hAnsi="宋体" w:cs="宋体"/>
                <w:b/>
                <w:color w:val="auto"/>
                <w:szCs w:val="21"/>
                <w:highlight w:val="none"/>
              </w:rPr>
              <w:t>是否响应</w:t>
            </w:r>
          </w:p>
          <w:p w14:paraId="5DD06995">
            <w:pPr>
              <w:spacing w:line="360" w:lineRule="auto"/>
              <w:jc w:val="center"/>
              <w:rPr>
                <w:rFonts w:ascii="幼圆" w:eastAsia="幼圆"/>
                <w:b/>
                <w:color w:val="auto"/>
                <w:szCs w:val="21"/>
                <w:highlight w:val="none"/>
              </w:rPr>
            </w:pPr>
            <w:r>
              <w:rPr>
                <w:rFonts w:hint="eastAsia" w:ascii="宋体" w:hAnsi="宋体" w:cs="宋体"/>
                <w:b/>
                <w:color w:val="auto"/>
                <w:szCs w:val="21"/>
                <w:highlight w:val="none"/>
              </w:rPr>
              <w:t>（填是或者否）</w:t>
            </w:r>
          </w:p>
        </w:tc>
        <w:tc>
          <w:tcPr>
            <w:tcW w:w="1308" w:type="dxa"/>
            <w:noWrap w:val="0"/>
            <w:vAlign w:val="center"/>
          </w:tcPr>
          <w:p w14:paraId="75408661">
            <w:pPr>
              <w:spacing w:line="360" w:lineRule="auto"/>
              <w:jc w:val="center"/>
              <w:rPr>
                <w:rFonts w:ascii="幼圆" w:eastAsia="幼圆"/>
                <w:b/>
                <w:color w:val="auto"/>
                <w:szCs w:val="21"/>
                <w:highlight w:val="none"/>
              </w:rPr>
            </w:pPr>
            <w:r>
              <w:rPr>
                <w:rFonts w:hint="eastAsia" w:ascii="宋体" w:hAnsi="宋体" w:cs="宋体"/>
                <w:b/>
                <w:color w:val="auto"/>
                <w:szCs w:val="21"/>
                <w:highlight w:val="none"/>
              </w:rPr>
              <w:t>响应情况</w:t>
            </w:r>
          </w:p>
        </w:tc>
      </w:tr>
      <w:tr w14:paraId="5F5E2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646" w:type="dxa"/>
            <w:noWrap w:val="0"/>
            <w:vAlign w:val="center"/>
          </w:tcPr>
          <w:p w14:paraId="0F23F0C2">
            <w:pPr>
              <w:spacing w:line="360" w:lineRule="auto"/>
              <w:jc w:val="center"/>
              <w:rPr>
                <w:rFonts w:ascii="宋体" w:hAnsi="宋体"/>
                <w:b/>
                <w:color w:val="auto"/>
                <w:szCs w:val="21"/>
                <w:highlight w:val="none"/>
              </w:rPr>
            </w:pPr>
            <w:r>
              <w:rPr>
                <w:rFonts w:hint="eastAsia" w:ascii="宋体" w:hAnsi="宋体"/>
                <w:b w:val="0"/>
                <w:bCs/>
                <w:color w:val="auto"/>
                <w:szCs w:val="21"/>
                <w:highlight w:val="none"/>
              </w:rPr>
              <w:t>1</w:t>
            </w:r>
          </w:p>
        </w:tc>
        <w:tc>
          <w:tcPr>
            <w:tcW w:w="5447" w:type="dxa"/>
            <w:noWrap w:val="0"/>
            <w:vAlign w:val="center"/>
          </w:tcPr>
          <w:p w14:paraId="45DD3B97">
            <w:pPr>
              <w:spacing w:line="360" w:lineRule="auto"/>
              <w:rPr>
                <w:rFonts w:ascii="宋体" w:hAnsi="宋体"/>
                <w:iCs/>
                <w:color w:val="auto"/>
                <w:szCs w:val="21"/>
                <w:highlight w:val="none"/>
              </w:rPr>
            </w:pPr>
            <w:r>
              <w:rPr>
                <w:rFonts w:hint="eastAsia" w:ascii="宋体" w:hAnsi="宋体"/>
                <w:iCs/>
                <w:color w:val="auto"/>
                <w:szCs w:val="21"/>
                <w:highlight w:val="none"/>
              </w:rPr>
              <w:t>采购需求中必须满足的实质性要求（即加斜体下划线内容，每条详细列出）</w:t>
            </w:r>
          </w:p>
        </w:tc>
        <w:tc>
          <w:tcPr>
            <w:tcW w:w="1680" w:type="dxa"/>
            <w:noWrap w:val="0"/>
            <w:vAlign w:val="center"/>
          </w:tcPr>
          <w:p w14:paraId="77BF819F">
            <w:pPr>
              <w:spacing w:line="360" w:lineRule="auto"/>
              <w:rPr>
                <w:rFonts w:ascii="宋体" w:hAnsi="宋体"/>
                <w:b/>
                <w:color w:val="auto"/>
                <w:szCs w:val="21"/>
                <w:highlight w:val="none"/>
              </w:rPr>
            </w:pPr>
          </w:p>
        </w:tc>
        <w:tc>
          <w:tcPr>
            <w:tcW w:w="1308" w:type="dxa"/>
            <w:noWrap w:val="0"/>
            <w:vAlign w:val="center"/>
          </w:tcPr>
          <w:p w14:paraId="44A9C44D">
            <w:pPr>
              <w:spacing w:line="360" w:lineRule="auto"/>
              <w:rPr>
                <w:rFonts w:ascii="宋体" w:hAnsi="宋体"/>
                <w:b/>
                <w:color w:val="auto"/>
                <w:szCs w:val="21"/>
                <w:highlight w:val="none"/>
              </w:rPr>
            </w:pPr>
          </w:p>
        </w:tc>
      </w:tr>
      <w:tr w14:paraId="26981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646" w:type="dxa"/>
            <w:noWrap w:val="0"/>
            <w:vAlign w:val="center"/>
          </w:tcPr>
          <w:p w14:paraId="07312736">
            <w:pPr>
              <w:spacing w:line="360" w:lineRule="auto"/>
              <w:jc w:val="center"/>
              <w:rPr>
                <w:rFonts w:ascii="宋体" w:hAnsi="宋体"/>
                <w:color w:val="auto"/>
                <w:szCs w:val="21"/>
                <w:highlight w:val="none"/>
              </w:rPr>
            </w:pPr>
            <w:r>
              <w:rPr>
                <w:rFonts w:hint="eastAsia" w:ascii="宋体" w:hAnsi="宋体"/>
                <w:color w:val="auto"/>
                <w:szCs w:val="21"/>
                <w:highlight w:val="none"/>
              </w:rPr>
              <w:t>2</w:t>
            </w:r>
          </w:p>
        </w:tc>
        <w:tc>
          <w:tcPr>
            <w:tcW w:w="5447" w:type="dxa"/>
            <w:noWrap w:val="0"/>
            <w:vAlign w:val="center"/>
          </w:tcPr>
          <w:p w14:paraId="4E1ACA54">
            <w:pPr>
              <w:keepNext w:val="0"/>
              <w:keepLines w:val="0"/>
              <w:pageBreakBefore w:val="0"/>
              <w:widowControl w:val="0"/>
              <w:spacing w:line="360" w:lineRule="auto"/>
              <w:rPr>
                <w:rFonts w:ascii="宋体" w:hAnsi="宋体"/>
                <w:iCs/>
                <w:color w:val="auto"/>
                <w:szCs w:val="21"/>
                <w:highlight w:val="none"/>
              </w:rPr>
            </w:pPr>
          </w:p>
        </w:tc>
        <w:tc>
          <w:tcPr>
            <w:tcW w:w="1680" w:type="dxa"/>
            <w:noWrap w:val="0"/>
            <w:vAlign w:val="center"/>
          </w:tcPr>
          <w:p w14:paraId="661EF5EB">
            <w:pPr>
              <w:spacing w:line="360" w:lineRule="auto"/>
              <w:rPr>
                <w:rFonts w:ascii="宋体" w:hAnsi="宋体"/>
                <w:color w:val="auto"/>
                <w:szCs w:val="21"/>
                <w:highlight w:val="none"/>
              </w:rPr>
            </w:pPr>
          </w:p>
        </w:tc>
        <w:tc>
          <w:tcPr>
            <w:tcW w:w="1308" w:type="dxa"/>
            <w:noWrap w:val="0"/>
            <w:vAlign w:val="center"/>
          </w:tcPr>
          <w:p w14:paraId="3EB6F4A3">
            <w:pPr>
              <w:spacing w:line="360" w:lineRule="auto"/>
              <w:rPr>
                <w:rFonts w:ascii="宋体" w:hAnsi="宋体"/>
                <w:color w:val="auto"/>
                <w:szCs w:val="21"/>
                <w:highlight w:val="none"/>
              </w:rPr>
            </w:pPr>
          </w:p>
        </w:tc>
      </w:tr>
      <w:tr w14:paraId="121C0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646" w:type="dxa"/>
            <w:noWrap w:val="0"/>
            <w:vAlign w:val="center"/>
          </w:tcPr>
          <w:p w14:paraId="22F1FB34">
            <w:pPr>
              <w:spacing w:line="360" w:lineRule="auto"/>
              <w:jc w:val="center"/>
              <w:rPr>
                <w:rFonts w:ascii="宋体" w:hAnsi="宋体"/>
                <w:color w:val="auto"/>
                <w:szCs w:val="21"/>
                <w:highlight w:val="none"/>
              </w:rPr>
            </w:pPr>
            <w:r>
              <w:rPr>
                <w:rFonts w:hint="eastAsia" w:ascii="宋体" w:hAnsi="宋体"/>
                <w:color w:val="auto"/>
                <w:szCs w:val="21"/>
                <w:highlight w:val="none"/>
              </w:rPr>
              <w:t>3</w:t>
            </w:r>
          </w:p>
        </w:tc>
        <w:tc>
          <w:tcPr>
            <w:tcW w:w="5447" w:type="dxa"/>
            <w:noWrap w:val="0"/>
            <w:vAlign w:val="center"/>
          </w:tcPr>
          <w:p w14:paraId="737DA86D">
            <w:pPr>
              <w:keepNext w:val="0"/>
              <w:keepLines w:val="0"/>
              <w:pageBreakBefore w:val="0"/>
              <w:widowControl w:val="0"/>
              <w:spacing w:line="360" w:lineRule="auto"/>
              <w:rPr>
                <w:rFonts w:ascii="宋体" w:hAnsi="宋体"/>
                <w:iCs/>
                <w:color w:val="auto"/>
                <w:szCs w:val="21"/>
                <w:highlight w:val="none"/>
              </w:rPr>
            </w:pPr>
          </w:p>
        </w:tc>
        <w:tc>
          <w:tcPr>
            <w:tcW w:w="1680" w:type="dxa"/>
            <w:noWrap w:val="0"/>
            <w:vAlign w:val="center"/>
          </w:tcPr>
          <w:p w14:paraId="2C2EA46C">
            <w:pPr>
              <w:spacing w:line="360" w:lineRule="auto"/>
              <w:rPr>
                <w:rFonts w:ascii="宋体" w:hAnsi="宋体"/>
                <w:color w:val="auto"/>
                <w:szCs w:val="21"/>
                <w:highlight w:val="none"/>
              </w:rPr>
            </w:pPr>
          </w:p>
        </w:tc>
        <w:tc>
          <w:tcPr>
            <w:tcW w:w="1308" w:type="dxa"/>
            <w:noWrap w:val="0"/>
            <w:vAlign w:val="center"/>
          </w:tcPr>
          <w:p w14:paraId="099E248F">
            <w:pPr>
              <w:spacing w:line="360" w:lineRule="auto"/>
              <w:rPr>
                <w:rFonts w:ascii="宋体" w:hAnsi="宋体"/>
                <w:color w:val="auto"/>
                <w:szCs w:val="21"/>
                <w:highlight w:val="none"/>
              </w:rPr>
            </w:pPr>
          </w:p>
        </w:tc>
      </w:tr>
      <w:tr w14:paraId="7932D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46" w:type="dxa"/>
            <w:noWrap w:val="0"/>
            <w:vAlign w:val="center"/>
          </w:tcPr>
          <w:p w14:paraId="72D6F336">
            <w:pPr>
              <w:spacing w:line="360" w:lineRule="auto"/>
              <w:jc w:val="center"/>
              <w:rPr>
                <w:rFonts w:ascii="宋体" w:hAnsi="宋体"/>
                <w:color w:val="auto"/>
                <w:szCs w:val="21"/>
                <w:highlight w:val="none"/>
              </w:rPr>
            </w:pPr>
            <w:r>
              <w:rPr>
                <w:rFonts w:hint="eastAsia" w:ascii="宋体" w:hAnsi="宋体"/>
                <w:color w:val="auto"/>
                <w:szCs w:val="21"/>
                <w:highlight w:val="none"/>
              </w:rPr>
              <w:t>4</w:t>
            </w:r>
          </w:p>
        </w:tc>
        <w:tc>
          <w:tcPr>
            <w:tcW w:w="5447" w:type="dxa"/>
            <w:noWrap w:val="0"/>
            <w:vAlign w:val="center"/>
          </w:tcPr>
          <w:p w14:paraId="13DD4C9B">
            <w:pPr>
              <w:keepNext w:val="0"/>
              <w:keepLines w:val="0"/>
              <w:pageBreakBefore w:val="0"/>
              <w:widowControl w:val="0"/>
              <w:spacing w:line="360" w:lineRule="auto"/>
              <w:rPr>
                <w:rFonts w:ascii="宋体" w:hAnsi="宋体"/>
                <w:iCs/>
                <w:color w:val="auto"/>
                <w:szCs w:val="21"/>
                <w:highlight w:val="none"/>
              </w:rPr>
            </w:pPr>
          </w:p>
        </w:tc>
        <w:tc>
          <w:tcPr>
            <w:tcW w:w="1680" w:type="dxa"/>
            <w:noWrap w:val="0"/>
            <w:vAlign w:val="center"/>
          </w:tcPr>
          <w:p w14:paraId="3BABEF1B">
            <w:pPr>
              <w:spacing w:line="360" w:lineRule="auto"/>
              <w:rPr>
                <w:rFonts w:ascii="宋体" w:hAnsi="宋体"/>
                <w:color w:val="auto"/>
                <w:szCs w:val="21"/>
                <w:highlight w:val="none"/>
              </w:rPr>
            </w:pPr>
          </w:p>
        </w:tc>
        <w:tc>
          <w:tcPr>
            <w:tcW w:w="1308" w:type="dxa"/>
            <w:noWrap w:val="0"/>
            <w:vAlign w:val="center"/>
          </w:tcPr>
          <w:p w14:paraId="360F2B9F">
            <w:pPr>
              <w:spacing w:line="360" w:lineRule="auto"/>
              <w:rPr>
                <w:rFonts w:ascii="宋体" w:hAnsi="宋体"/>
                <w:color w:val="auto"/>
                <w:szCs w:val="21"/>
                <w:highlight w:val="none"/>
              </w:rPr>
            </w:pPr>
          </w:p>
        </w:tc>
      </w:tr>
      <w:tr w14:paraId="766CA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646" w:type="dxa"/>
            <w:noWrap w:val="0"/>
            <w:vAlign w:val="center"/>
          </w:tcPr>
          <w:p w14:paraId="3751A7D5">
            <w:pPr>
              <w:spacing w:line="360" w:lineRule="auto"/>
              <w:jc w:val="center"/>
              <w:rPr>
                <w:rFonts w:ascii="宋体" w:hAnsi="宋体"/>
                <w:color w:val="auto"/>
                <w:szCs w:val="21"/>
                <w:highlight w:val="none"/>
              </w:rPr>
            </w:pPr>
            <w:r>
              <w:rPr>
                <w:rFonts w:hint="eastAsia" w:ascii="宋体" w:hAnsi="宋体"/>
                <w:color w:val="auto"/>
                <w:szCs w:val="21"/>
                <w:highlight w:val="none"/>
              </w:rPr>
              <w:t>5</w:t>
            </w:r>
          </w:p>
        </w:tc>
        <w:tc>
          <w:tcPr>
            <w:tcW w:w="5447" w:type="dxa"/>
            <w:noWrap w:val="0"/>
            <w:vAlign w:val="center"/>
          </w:tcPr>
          <w:p w14:paraId="5C50DB05">
            <w:pPr>
              <w:spacing w:line="360" w:lineRule="auto"/>
              <w:rPr>
                <w:rFonts w:ascii="宋体" w:hAnsi="宋体"/>
                <w:iCs/>
                <w:color w:val="auto"/>
                <w:szCs w:val="21"/>
                <w:highlight w:val="none"/>
              </w:rPr>
            </w:pPr>
            <w:r>
              <w:rPr>
                <w:rFonts w:ascii="宋体" w:hAnsi="宋体"/>
                <w:iCs/>
                <w:color w:val="auto"/>
                <w:szCs w:val="21"/>
                <w:highlight w:val="none"/>
              </w:rPr>
              <w:t>……</w:t>
            </w:r>
          </w:p>
        </w:tc>
        <w:tc>
          <w:tcPr>
            <w:tcW w:w="1680" w:type="dxa"/>
            <w:noWrap w:val="0"/>
            <w:vAlign w:val="center"/>
          </w:tcPr>
          <w:p w14:paraId="5CA6AFBF">
            <w:pPr>
              <w:spacing w:line="360" w:lineRule="auto"/>
              <w:rPr>
                <w:rFonts w:ascii="宋体" w:hAnsi="宋体"/>
                <w:color w:val="auto"/>
                <w:szCs w:val="21"/>
                <w:highlight w:val="none"/>
              </w:rPr>
            </w:pPr>
          </w:p>
        </w:tc>
        <w:tc>
          <w:tcPr>
            <w:tcW w:w="1308" w:type="dxa"/>
            <w:noWrap w:val="0"/>
            <w:vAlign w:val="center"/>
          </w:tcPr>
          <w:p w14:paraId="46EC6DB2">
            <w:pPr>
              <w:spacing w:line="360" w:lineRule="auto"/>
              <w:rPr>
                <w:rFonts w:ascii="宋体" w:hAnsi="宋体"/>
                <w:color w:val="auto"/>
                <w:szCs w:val="21"/>
                <w:highlight w:val="none"/>
              </w:rPr>
            </w:pPr>
          </w:p>
        </w:tc>
      </w:tr>
    </w:tbl>
    <w:p w14:paraId="3F0F7561">
      <w:pPr>
        <w:spacing w:line="360" w:lineRule="auto"/>
        <w:contextualSpacing/>
        <w:jc w:val="center"/>
        <w:rPr>
          <w:rFonts w:ascii="宋体" w:hAnsi="宋体"/>
          <w:b/>
          <w:bCs/>
          <w:color w:val="auto"/>
          <w:sz w:val="32"/>
          <w:szCs w:val="32"/>
          <w:highlight w:val="none"/>
        </w:rPr>
      </w:pPr>
    </w:p>
    <w:p w14:paraId="3B501B59">
      <w:pPr>
        <w:spacing w:line="360" w:lineRule="auto"/>
        <w:contextualSpacing/>
        <w:jc w:val="center"/>
        <w:rPr>
          <w:rFonts w:ascii="宋体" w:hAnsi="宋体"/>
          <w:b/>
          <w:bCs/>
          <w:color w:val="auto"/>
          <w:sz w:val="32"/>
          <w:szCs w:val="32"/>
          <w:highlight w:val="none"/>
        </w:rPr>
      </w:pPr>
    </w:p>
    <w:p w14:paraId="6F1CC3D4">
      <w:pPr>
        <w:spacing w:line="360" w:lineRule="auto"/>
        <w:contextualSpacing/>
        <w:jc w:val="center"/>
        <w:rPr>
          <w:rFonts w:ascii="宋体" w:hAnsi="宋体"/>
          <w:b/>
          <w:bCs/>
          <w:color w:val="auto"/>
          <w:sz w:val="32"/>
          <w:szCs w:val="32"/>
          <w:highlight w:val="none"/>
        </w:rPr>
      </w:pPr>
    </w:p>
    <w:p w14:paraId="2DEB1DD3">
      <w:pPr>
        <w:spacing w:line="360" w:lineRule="auto"/>
        <w:contextualSpacing/>
        <w:jc w:val="center"/>
        <w:rPr>
          <w:rFonts w:ascii="宋体" w:hAnsi="宋体"/>
          <w:b/>
          <w:bCs/>
          <w:color w:val="auto"/>
          <w:sz w:val="32"/>
          <w:szCs w:val="32"/>
          <w:highlight w:val="none"/>
        </w:rPr>
      </w:pPr>
    </w:p>
    <w:p w14:paraId="608E83D0">
      <w:pPr>
        <w:spacing w:line="360" w:lineRule="auto"/>
        <w:contextualSpacing/>
        <w:jc w:val="center"/>
        <w:rPr>
          <w:rFonts w:ascii="宋体" w:hAnsi="宋体"/>
          <w:b/>
          <w:bCs/>
          <w:color w:val="auto"/>
          <w:sz w:val="32"/>
          <w:szCs w:val="32"/>
          <w:highlight w:val="none"/>
        </w:rPr>
      </w:pPr>
    </w:p>
    <w:p w14:paraId="4DC406F9">
      <w:pPr>
        <w:spacing w:line="360" w:lineRule="auto"/>
        <w:contextualSpacing/>
        <w:jc w:val="center"/>
        <w:rPr>
          <w:rFonts w:ascii="宋体" w:hAnsi="宋体"/>
          <w:b/>
          <w:bCs/>
          <w:color w:val="auto"/>
          <w:sz w:val="32"/>
          <w:szCs w:val="32"/>
          <w:highlight w:val="none"/>
        </w:rPr>
      </w:pPr>
    </w:p>
    <w:p w14:paraId="65DD2E68">
      <w:pPr>
        <w:spacing w:line="360" w:lineRule="auto"/>
        <w:contextualSpacing/>
        <w:jc w:val="center"/>
        <w:rPr>
          <w:rFonts w:ascii="宋体" w:hAnsi="宋体"/>
          <w:b/>
          <w:bCs/>
          <w:color w:val="auto"/>
          <w:sz w:val="32"/>
          <w:szCs w:val="32"/>
          <w:highlight w:val="none"/>
        </w:rPr>
      </w:pPr>
    </w:p>
    <w:p w14:paraId="77711D83">
      <w:pPr>
        <w:spacing w:line="360" w:lineRule="auto"/>
        <w:contextualSpacing/>
        <w:jc w:val="center"/>
        <w:rPr>
          <w:rFonts w:ascii="宋体" w:hAnsi="宋体"/>
          <w:b/>
          <w:bCs/>
          <w:color w:val="auto"/>
          <w:sz w:val="32"/>
          <w:szCs w:val="32"/>
          <w:highlight w:val="none"/>
        </w:rPr>
      </w:pPr>
    </w:p>
    <w:p w14:paraId="146099D4">
      <w:pPr>
        <w:spacing w:line="360" w:lineRule="auto"/>
        <w:contextualSpacing/>
        <w:jc w:val="center"/>
        <w:rPr>
          <w:rFonts w:ascii="宋体" w:hAnsi="宋体"/>
          <w:b/>
          <w:bCs/>
          <w:color w:val="auto"/>
          <w:sz w:val="32"/>
          <w:szCs w:val="32"/>
          <w:highlight w:val="none"/>
        </w:rPr>
      </w:pPr>
    </w:p>
    <w:p w14:paraId="4829DDB7">
      <w:pPr>
        <w:spacing w:line="360" w:lineRule="auto"/>
        <w:contextualSpacing/>
        <w:jc w:val="center"/>
        <w:rPr>
          <w:rFonts w:ascii="宋体" w:hAnsi="宋体"/>
          <w:b/>
          <w:bCs/>
          <w:color w:val="auto"/>
          <w:sz w:val="32"/>
          <w:szCs w:val="32"/>
          <w:highlight w:val="none"/>
        </w:rPr>
      </w:pPr>
    </w:p>
    <w:p w14:paraId="0F6BF00C">
      <w:pPr>
        <w:pStyle w:val="3"/>
        <w:spacing w:line="360" w:lineRule="auto"/>
        <w:rPr>
          <w:rFonts w:hint="eastAsia" w:asciiTheme="minorEastAsia" w:hAnsiTheme="minorEastAsia" w:eastAsiaTheme="minorEastAsia"/>
          <w:color w:val="auto"/>
          <w:sz w:val="32"/>
          <w:highlight w:val="none"/>
        </w:rPr>
      </w:pPr>
      <w:bookmarkStart w:id="63" w:name="_Toc30257"/>
      <w:bookmarkStart w:id="64" w:name="_Toc17600"/>
    </w:p>
    <w:p w14:paraId="46A12AB2">
      <w:pPr>
        <w:pStyle w:val="3"/>
        <w:spacing w:line="360" w:lineRule="auto"/>
        <w:rPr>
          <w:rFonts w:asciiTheme="minorEastAsia" w:hAnsiTheme="minorEastAsia" w:eastAsiaTheme="minorEastAsia"/>
          <w:color w:val="auto"/>
          <w:sz w:val="32"/>
          <w:highlight w:val="none"/>
        </w:rPr>
      </w:pPr>
      <w:r>
        <w:rPr>
          <w:rFonts w:hint="eastAsia" w:asciiTheme="minorEastAsia" w:hAnsiTheme="minorEastAsia" w:eastAsiaTheme="minorEastAsia"/>
          <w:color w:val="auto"/>
          <w:sz w:val="32"/>
          <w:highlight w:val="none"/>
        </w:rPr>
        <w:t>三、非实质性响应对照表</w:t>
      </w:r>
      <w:bookmarkEnd w:id="63"/>
      <w:bookmarkEnd w:id="64"/>
    </w:p>
    <w:tbl>
      <w:tblPr>
        <w:tblStyle w:val="37"/>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308"/>
      </w:tblGrid>
      <w:tr w14:paraId="70A47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646" w:type="dxa"/>
            <w:noWrap w:val="0"/>
            <w:vAlign w:val="center"/>
          </w:tcPr>
          <w:p w14:paraId="7E9F07AA">
            <w:pPr>
              <w:spacing w:line="360" w:lineRule="auto"/>
              <w:jc w:val="center"/>
              <w:rPr>
                <w:rFonts w:ascii="幼圆" w:eastAsia="幼圆"/>
                <w:b/>
                <w:color w:val="auto"/>
                <w:szCs w:val="21"/>
                <w:highlight w:val="none"/>
              </w:rPr>
            </w:pPr>
            <w:r>
              <w:rPr>
                <w:rFonts w:hint="eastAsia" w:ascii="宋体" w:hAnsi="宋体" w:cs="宋体"/>
                <w:b/>
                <w:color w:val="auto"/>
                <w:szCs w:val="21"/>
                <w:highlight w:val="none"/>
              </w:rPr>
              <w:t>序号</w:t>
            </w:r>
          </w:p>
        </w:tc>
        <w:tc>
          <w:tcPr>
            <w:tcW w:w="5447" w:type="dxa"/>
            <w:noWrap w:val="0"/>
            <w:vAlign w:val="center"/>
          </w:tcPr>
          <w:p w14:paraId="2320A5D2">
            <w:pPr>
              <w:spacing w:line="360" w:lineRule="auto"/>
              <w:jc w:val="center"/>
              <w:rPr>
                <w:rFonts w:ascii="幼圆" w:eastAsia="幼圆"/>
                <w:b/>
                <w:color w:val="auto"/>
                <w:szCs w:val="21"/>
                <w:highlight w:val="none"/>
              </w:rPr>
            </w:pPr>
            <w:r>
              <w:rPr>
                <w:rFonts w:hint="eastAsia" w:ascii="宋体" w:hAnsi="宋体" w:cs="宋体"/>
                <w:b/>
                <w:color w:val="auto"/>
                <w:szCs w:val="21"/>
                <w:highlight w:val="none"/>
              </w:rPr>
              <w:t>非实质性响应内容</w:t>
            </w:r>
          </w:p>
        </w:tc>
        <w:tc>
          <w:tcPr>
            <w:tcW w:w="1680" w:type="dxa"/>
            <w:noWrap w:val="0"/>
            <w:vAlign w:val="center"/>
          </w:tcPr>
          <w:p w14:paraId="5E61CDEB">
            <w:pPr>
              <w:spacing w:line="360" w:lineRule="auto"/>
              <w:jc w:val="center"/>
              <w:rPr>
                <w:rFonts w:ascii="宋体" w:hAnsi="宋体" w:cs="宋体"/>
                <w:b/>
                <w:color w:val="auto"/>
                <w:szCs w:val="21"/>
                <w:highlight w:val="none"/>
              </w:rPr>
            </w:pPr>
            <w:r>
              <w:rPr>
                <w:rFonts w:hint="eastAsia" w:ascii="宋体" w:hAnsi="宋体" w:cs="宋体"/>
                <w:b/>
                <w:color w:val="auto"/>
                <w:szCs w:val="21"/>
                <w:highlight w:val="none"/>
              </w:rPr>
              <w:t>是否响应</w:t>
            </w:r>
          </w:p>
          <w:p w14:paraId="30760347">
            <w:pPr>
              <w:spacing w:line="360" w:lineRule="auto"/>
              <w:jc w:val="center"/>
              <w:rPr>
                <w:rFonts w:ascii="幼圆" w:eastAsia="幼圆"/>
                <w:b/>
                <w:color w:val="auto"/>
                <w:szCs w:val="21"/>
                <w:highlight w:val="none"/>
              </w:rPr>
            </w:pPr>
            <w:r>
              <w:rPr>
                <w:rFonts w:hint="eastAsia" w:ascii="宋体" w:hAnsi="宋体" w:cs="宋体"/>
                <w:b/>
                <w:color w:val="auto"/>
                <w:szCs w:val="21"/>
                <w:highlight w:val="none"/>
              </w:rPr>
              <w:t>（填是或者否）</w:t>
            </w:r>
          </w:p>
        </w:tc>
        <w:tc>
          <w:tcPr>
            <w:tcW w:w="1308" w:type="dxa"/>
            <w:noWrap w:val="0"/>
            <w:vAlign w:val="center"/>
          </w:tcPr>
          <w:p w14:paraId="2CB1565F">
            <w:pPr>
              <w:spacing w:line="360" w:lineRule="auto"/>
              <w:jc w:val="center"/>
              <w:rPr>
                <w:rFonts w:ascii="宋体" w:hAnsi="宋体" w:cs="宋体"/>
                <w:b/>
                <w:color w:val="auto"/>
                <w:szCs w:val="21"/>
                <w:highlight w:val="none"/>
              </w:rPr>
            </w:pPr>
            <w:r>
              <w:rPr>
                <w:rFonts w:hint="eastAsia" w:ascii="宋体" w:hAnsi="宋体" w:cs="宋体"/>
                <w:b/>
                <w:color w:val="auto"/>
                <w:szCs w:val="21"/>
                <w:highlight w:val="none"/>
              </w:rPr>
              <w:t>响应情况</w:t>
            </w:r>
          </w:p>
        </w:tc>
      </w:tr>
      <w:tr w14:paraId="1C5EF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646" w:type="dxa"/>
            <w:noWrap w:val="0"/>
            <w:vAlign w:val="center"/>
          </w:tcPr>
          <w:p w14:paraId="4DB4E1E4">
            <w:pPr>
              <w:spacing w:line="360" w:lineRule="auto"/>
              <w:jc w:val="center"/>
              <w:rPr>
                <w:rFonts w:ascii="宋体" w:hAnsi="宋体"/>
                <w:b/>
                <w:color w:val="auto"/>
                <w:szCs w:val="21"/>
                <w:highlight w:val="none"/>
              </w:rPr>
            </w:pPr>
            <w:r>
              <w:rPr>
                <w:rFonts w:hint="eastAsia" w:ascii="宋体" w:hAnsi="宋体"/>
                <w:b/>
                <w:color w:val="auto"/>
                <w:szCs w:val="21"/>
                <w:highlight w:val="none"/>
              </w:rPr>
              <w:t>1</w:t>
            </w:r>
          </w:p>
        </w:tc>
        <w:tc>
          <w:tcPr>
            <w:tcW w:w="5447" w:type="dxa"/>
            <w:noWrap w:val="0"/>
            <w:vAlign w:val="center"/>
          </w:tcPr>
          <w:p w14:paraId="1D8E520B">
            <w:pPr>
              <w:spacing w:line="360" w:lineRule="auto"/>
              <w:rPr>
                <w:rFonts w:ascii="宋体" w:hAnsi="宋体"/>
                <w:iCs/>
                <w:color w:val="auto"/>
                <w:szCs w:val="21"/>
                <w:highlight w:val="none"/>
              </w:rPr>
            </w:pPr>
            <w:r>
              <w:rPr>
                <w:rFonts w:hint="eastAsia" w:ascii="宋体" w:hAnsi="宋体"/>
                <w:color w:val="auto"/>
                <w:szCs w:val="21"/>
                <w:highlight w:val="none"/>
              </w:rPr>
              <w:t>《企业声明函》</w:t>
            </w:r>
          </w:p>
        </w:tc>
        <w:tc>
          <w:tcPr>
            <w:tcW w:w="1680" w:type="dxa"/>
            <w:noWrap w:val="0"/>
            <w:vAlign w:val="center"/>
          </w:tcPr>
          <w:p w14:paraId="19EA6C58">
            <w:pPr>
              <w:spacing w:line="360" w:lineRule="auto"/>
              <w:rPr>
                <w:rFonts w:ascii="宋体" w:hAnsi="宋体"/>
                <w:b/>
                <w:color w:val="auto"/>
                <w:szCs w:val="21"/>
                <w:highlight w:val="none"/>
              </w:rPr>
            </w:pPr>
          </w:p>
        </w:tc>
        <w:tc>
          <w:tcPr>
            <w:tcW w:w="1308" w:type="dxa"/>
            <w:noWrap w:val="0"/>
            <w:vAlign w:val="center"/>
          </w:tcPr>
          <w:p w14:paraId="65DA1292">
            <w:pPr>
              <w:spacing w:line="360" w:lineRule="auto"/>
              <w:rPr>
                <w:rFonts w:ascii="宋体" w:hAnsi="宋体"/>
                <w:b/>
                <w:color w:val="auto"/>
                <w:szCs w:val="21"/>
                <w:highlight w:val="none"/>
              </w:rPr>
            </w:pPr>
          </w:p>
        </w:tc>
      </w:tr>
      <w:tr w14:paraId="27CE3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646" w:type="dxa"/>
            <w:noWrap w:val="0"/>
            <w:vAlign w:val="center"/>
          </w:tcPr>
          <w:p w14:paraId="113CDC21">
            <w:pPr>
              <w:spacing w:line="360" w:lineRule="auto"/>
              <w:jc w:val="center"/>
              <w:rPr>
                <w:rFonts w:ascii="宋体" w:hAnsi="宋体"/>
                <w:color w:val="auto"/>
                <w:szCs w:val="21"/>
                <w:highlight w:val="none"/>
              </w:rPr>
            </w:pPr>
            <w:r>
              <w:rPr>
                <w:rFonts w:hint="eastAsia" w:ascii="宋体" w:hAnsi="宋体"/>
                <w:color w:val="auto"/>
                <w:szCs w:val="21"/>
                <w:highlight w:val="none"/>
              </w:rPr>
              <w:t>2</w:t>
            </w:r>
          </w:p>
        </w:tc>
        <w:tc>
          <w:tcPr>
            <w:tcW w:w="5447" w:type="dxa"/>
            <w:noWrap w:val="0"/>
            <w:vAlign w:val="center"/>
          </w:tcPr>
          <w:p w14:paraId="05B2E289">
            <w:pPr>
              <w:spacing w:line="360" w:lineRule="auto"/>
              <w:rPr>
                <w:rFonts w:ascii="宋体" w:hAnsi="宋体"/>
                <w:iCs/>
                <w:color w:val="auto"/>
                <w:szCs w:val="21"/>
                <w:highlight w:val="none"/>
              </w:rPr>
            </w:pPr>
            <w:r>
              <w:rPr>
                <w:rFonts w:hint="eastAsia" w:ascii="宋体" w:hAnsi="宋体"/>
                <w:color w:val="auto"/>
                <w:szCs w:val="21"/>
                <w:highlight w:val="none"/>
              </w:rPr>
              <w:t>《残疾人福利性单位声明函》</w:t>
            </w:r>
          </w:p>
        </w:tc>
        <w:tc>
          <w:tcPr>
            <w:tcW w:w="1680" w:type="dxa"/>
            <w:noWrap w:val="0"/>
            <w:vAlign w:val="center"/>
          </w:tcPr>
          <w:p w14:paraId="7A3AB801">
            <w:pPr>
              <w:spacing w:line="360" w:lineRule="auto"/>
              <w:rPr>
                <w:rFonts w:ascii="宋体" w:hAnsi="宋体"/>
                <w:color w:val="auto"/>
                <w:szCs w:val="21"/>
                <w:highlight w:val="none"/>
              </w:rPr>
            </w:pPr>
          </w:p>
        </w:tc>
        <w:tc>
          <w:tcPr>
            <w:tcW w:w="1308" w:type="dxa"/>
            <w:noWrap w:val="0"/>
            <w:vAlign w:val="center"/>
          </w:tcPr>
          <w:p w14:paraId="43E4431E">
            <w:pPr>
              <w:spacing w:line="360" w:lineRule="auto"/>
              <w:rPr>
                <w:rFonts w:ascii="宋体" w:hAnsi="宋体"/>
                <w:color w:val="auto"/>
                <w:szCs w:val="21"/>
                <w:highlight w:val="none"/>
              </w:rPr>
            </w:pPr>
          </w:p>
        </w:tc>
      </w:tr>
      <w:tr w14:paraId="15F6D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646" w:type="dxa"/>
            <w:noWrap w:val="0"/>
            <w:vAlign w:val="center"/>
          </w:tcPr>
          <w:p w14:paraId="58CA9981">
            <w:pPr>
              <w:spacing w:line="360" w:lineRule="auto"/>
              <w:jc w:val="center"/>
              <w:rPr>
                <w:rFonts w:ascii="宋体" w:hAnsi="宋体"/>
                <w:color w:val="auto"/>
                <w:szCs w:val="21"/>
                <w:highlight w:val="none"/>
              </w:rPr>
            </w:pPr>
            <w:r>
              <w:rPr>
                <w:rFonts w:hint="eastAsia" w:ascii="宋体" w:hAnsi="宋体"/>
                <w:color w:val="auto"/>
                <w:szCs w:val="21"/>
                <w:highlight w:val="none"/>
              </w:rPr>
              <w:t>3</w:t>
            </w:r>
          </w:p>
        </w:tc>
        <w:tc>
          <w:tcPr>
            <w:tcW w:w="5447" w:type="dxa"/>
            <w:noWrap w:val="0"/>
            <w:vAlign w:val="center"/>
          </w:tcPr>
          <w:p w14:paraId="38A05F12">
            <w:pPr>
              <w:spacing w:line="360" w:lineRule="auto"/>
              <w:rPr>
                <w:rFonts w:ascii="宋体" w:hAnsi="宋体"/>
                <w:iCs/>
                <w:color w:val="auto"/>
                <w:szCs w:val="21"/>
                <w:highlight w:val="none"/>
              </w:rPr>
            </w:pPr>
            <w:r>
              <w:rPr>
                <w:rFonts w:ascii="宋体" w:hAnsi="宋体"/>
                <w:iCs/>
                <w:color w:val="auto"/>
                <w:szCs w:val="21"/>
                <w:highlight w:val="none"/>
              </w:rPr>
              <w:t>……</w:t>
            </w:r>
          </w:p>
        </w:tc>
        <w:tc>
          <w:tcPr>
            <w:tcW w:w="1680" w:type="dxa"/>
            <w:noWrap w:val="0"/>
            <w:vAlign w:val="center"/>
          </w:tcPr>
          <w:p w14:paraId="1716CF67">
            <w:pPr>
              <w:spacing w:line="360" w:lineRule="auto"/>
              <w:rPr>
                <w:rFonts w:ascii="宋体" w:hAnsi="宋体"/>
                <w:color w:val="auto"/>
                <w:szCs w:val="21"/>
                <w:highlight w:val="none"/>
              </w:rPr>
            </w:pPr>
          </w:p>
        </w:tc>
        <w:tc>
          <w:tcPr>
            <w:tcW w:w="1308" w:type="dxa"/>
            <w:noWrap w:val="0"/>
            <w:vAlign w:val="center"/>
          </w:tcPr>
          <w:p w14:paraId="4C315080">
            <w:pPr>
              <w:spacing w:line="360" w:lineRule="auto"/>
              <w:rPr>
                <w:rFonts w:ascii="宋体" w:hAnsi="宋体"/>
                <w:color w:val="auto"/>
                <w:szCs w:val="21"/>
                <w:highlight w:val="none"/>
              </w:rPr>
            </w:pPr>
          </w:p>
        </w:tc>
      </w:tr>
    </w:tbl>
    <w:p w14:paraId="67314175">
      <w:pPr>
        <w:spacing w:line="360" w:lineRule="auto"/>
        <w:contextualSpacing/>
        <w:jc w:val="center"/>
        <w:rPr>
          <w:rFonts w:ascii="宋体" w:hAnsi="宋体"/>
          <w:b/>
          <w:bCs/>
          <w:color w:val="auto"/>
          <w:sz w:val="32"/>
          <w:szCs w:val="32"/>
          <w:highlight w:val="none"/>
        </w:rPr>
      </w:pPr>
    </w:p>
    <w:p w14:paraId="6454BEB2">
      <w:pPr>
        <w:spacing w:line="360" w:lineRule="auto"/>
        <w:contextualSpacing/>
        <w:jc w:val="center"/>
        <w:rPr>
          <w:rFonts w:ascii="宋体" w:hAnsi="宋体"/>
          <w:b/>
          <w:bCs/>
          <w:color w:val="auto"/>
          <w:sz w:val="32"/>
          <w:szCs w:val="32"/>
          <w:highlight w:val="none"/>
        </w:rPr>
      </w:pPr>
    </w:p>
    <w:p w14:paraId="395301CD">
      <w:pPr>
        <w:spacing w:line="360" w:lineRule="auto"/>
        <w:rPr>
          <w:color w:val="auto"/>
          <w:highlight w:val="none"/>
        </w:rPr>
      </w:pPr>
    </w:p>
    <w:p w14:paraId="4ADC4D82">
      <w:pPr>
        <w:widowControl/>
        <w:spacing w:line="360" w:lineRule="auto"/>
        <w:jc w:val="left"/>
        <w:rPr>
          <w:rFonts w:ascii="宋体" w:hAnsi="宋体" w:cs="Arial"/>
          <w:b/>
          <w:bCs/>
          <w:color w:val="auto"/>
          <w:highlight w:val="none"/>
        </w:rPr>
      </w:pPr>
    </w:p>
    <w:p w14:paraId="1053AB13">
      <w:pPr>
        <w:widowControl/>
        <w:spacing w:line="360" w:lineRule="auto"/>
        <w:jc w:val="left"/>
        <w:rPr>
          <w:rFonts w:ascii="宋体" w:hAnsi="宋体" w:cs="Arial"/>
          <w:b/>
          <w:bCs/>
          <w:color w:val="auto"/>
          <w:highlight w:val="none"/>
        </w:rPr>
      </w:pPr>
    </w:p>
    <w:p w14:paraId="73E8E445">
      <w:pPr>
        <w:widowControl/>
        <w:spacing w:line="360" w:lineRule="auto"/>
        <w:jc w:val="left"/>
        <w:rPr>
          <w:rFonts w:ascii="宋体" w:hAnsi="宋体" w:cs="Arial"/>
          <w:b/>
          <w:bCs/>
          <w:color w:val="auto"/>
          <w:highlight w:val="none"/>
        </w:rPr>
      </w:pPr>
    </w:p>
    <w:p w14:paraId="4659CBED">
      <w:pPr>
        <w:widowControl/>
        <w:spacing w:line="360" w:lineRule="auto"/>
        <w:jc w:val="left"/>
        <w:rPr>
          <w:rFonts w:ascii="宋体" w:hAnsi="宋体" w:cs="Arial"/>
          <w:b/>
          <w:bCs/>
          <w:color w:val="auto"/>
          <w:highlight w:val="none"/>
        </w:rPr>
      </w:pPr>
    </w:p>
    <w:p w14:paraId="0D841961">
      <w:pPr>
        <w:widowControl/>
        <w:spacing w:line="360" w:lineRule="auto"/>
        <w:jc w:val="left"/>
        <w:rPr>
          <w:rFonts w:ascii="宋体" w:hAnsi="宋体" w:cs="Arial"/>
          <w:b/>
          <w:bCs/>
          <w:color w:val="auto"/>
          <w:highlight w:val="none"/>
        </w:rPr>
      </w:pPr>
    </w:p>
    <w:p w14:paraId="640B85AC">
      <w:pPr>
        <w:widowControl/>
        <w:spacing w:line="360" w:lineRule="auto"/>
        <w:jc w:val="left"/>
        <w:rPr>
          <w:rFonts w:ascii="宋体" w:hAnsi="宋体" w:cs="Arial"/>
          <w:b/>
          <w:bCs/>
          <w:color w:val="auto"/>
          <w:highlight w:val="none"/>
        </w:rPr>
      </w:pPr>
    </w:p>
    <w:p w14:paraId="09C14F66">
      <w:pPr>
        <w:widowControl/>
        <w:spacing w:line="360" w:lineRule="auto"/>
        <w:jc w:val="left"/>
        <w:rPr>
          <w:rFonts w:ascii="宋体" w:hAnsi="宋体" w:cs="Arial"/>
          <w:b/>
          <w:bCs/>
          <w:color w:val="auto"/>
          <w:highlight w:val="none"/>
        </w:rPr>
      </w:pPr>
    </w:p>
    <w:p w14:paraId="081C4931">
      <w:pPr>
        <w:widowControl/>
        <w:spacing w:line="360" w:lineRule="auto"/>
        <w:jc w:val="left"/>
        <w:rPr>
          <w:rFonts w:ascii="宋体" w:hAnsi="宋体" w:cs="Arial"/>
          <w:b/>
          <w:bCs/>
          <w:color w:val="auto"/>
          <w:highlight w:val="none"/>
        </w:rPr>
      </w:pPr>
    </w:p>
    <w:p w14:paraId="782D44DE">
      <w:pPr>
        <w:widowControl/>
        <w:spacing w:line="360" w:lineRule="auto"/>
        <w:jc w:val="left"/>
        <w:rPr>
          <w:rFonts w:ascii="宋体" w:hAnsi="宋体" w:cs="Arial"/>
          <w:b/>
          <w:bCs/>
          <w:color w:val="auto"/>
          <w:highlight w:val="none"/>
        </w:rPr>
      </w:pPr>
    </w:p>
    <w:p w14:paraId="7FA6EECC">
      <w:pPr>
        <w:widowControl/>
        <w:spacing w:line="360" w:lineRule="auto"/>
        <w:jc w:val="left"/>
        <w:rPr>
          <w:rFonts w:ascii="宋体" w:hAnsi="宋体" w:cs="Arial"/>
          <w:b/>
          <w:bCs/>
          <w:color w:val="auto"/>
          <w:highlight w:val="none"/>
        </w:rPr>
      </w:pPr>
    </w:p>
    <w:p w14:paraId="019533F8">
      <w:pPr>
        <w:widowControl/>
        <w:spacing w:line="360" w:lineRule="auto"/>
        <w:jc w:val="left"/>
        <w:rPr>
          <w:rFonts w:ascii="宋体" w:hAnsi="宋体" w:cs="Arial"/>
          <w:b/>
          <w:bCs/>
          <w:color w:val="auto"/>
          <w:highlight w:val="none"/>
        </w:rPr>
      </w:pPr>
    </w:p>
    <w:p w14:paraId="17BEE711">
      <w:pPr>
        <w:widowControl/>
        <w:spacing w:line="360" w:lineRule="auto"/>
        <w:jc w:val="left"/>
        <w:rPr>
          <w:rFonts w:ascii="宋体" w:hAnsi="宋体" w:cs="Arial"/>
          <w:b/>
          <w:bCs/>
          <w:color w:val="auto"/>
          <w:highlight w:val="none"/>
        </w:rPr>
      </w:pPr>
    </w:p>
    <w:p w14:paraId="026EAF84">
      <w:pPr>
        <w:widowControl/>
        <w:spacing w:line="360" w:lineRule="auto"/>
        <w:jc w:val="left"/>
        <w:rPr>
          <w:rFonts w:ascii="宋体" w:hAnsi="宋体" w:cs="Arial"/>
          <w:b/>
          <w:bCs/>
          <w:color w:val="auto"/>
          <w:highlight w:val="none"/>
        </w:rPr>
      </w:pPr>
    </w:p>
    <w:p w14:paraId="0290B3F6">
      <w:pPr>
        <w:rPr>
          <w:rFonts w:hint="eastAsia"/>
          <w:b/>
          <w:bCs/>
          <w:color w:val="auto"/>
          <w:highlight w:val="none"/>
        </w:rPr>
      </w:pPr>
      <w:r>
        <w:rPr>
          <w:rFonts w:hint="eastAsia"/>
          <w:b/>
          <w:bCs/>
          <w:color w:val="auto"/>
          <w:highlight w:val="none"/>
        </w:rPr>
        <w:br w:type="page" w:clear="all"/>
      </w:r>
    </w:p>
    <w:p w14:paraId="66CD222C">
      <w:pPr>
        <w:keepNext w:val="0"/>
        <w:keepLines w:val="0"/>
        <w:pageBreakBefore w:val="0"/>
        <w:widowControl w:val="0"/>
        <w:spacing w:before="157" w:line="360" w:lineRule="auto"/>
        <w:jc w:val="center"/>
        <w:rPr>
          <w:b/>
          <w:bCs/>
          <w:color w:val="auto"/>
          <w:highlight w:val="none"/>
        </w:rPr>
      </w:pPr>
      <w:r>
        <w:rPr>
          <w:rFonts w:hint="eastAsia"/>
          <w:b/>
          <w:bCs/>
          <w:color w:val="auto"/>
          <w:highlight w:val="none"/>
        </w:rPr>
        <w:t>中小企业声明函（货物）</w:t>
      </w:r>
    </w:p>
    <w:p w14:paraId="29146572">
      <w:pPr>
        <w:spacing w:line="360" w:lineRule="auto"/>
        <w:ind w:firstLine="420"/>
        <w:jc w:val="left"/>
        <w:rPr>
          <w:rFonts w:hint="eastAsia" w:ascii="宋体" w:hAnsi="宋体" w:eastAsia="宋体" w:cs="宋体"/>
          <w:color w:val="auto"/>
          <w:highlight w:val="none"/>
        </w:rPr>
      </w:pPr>
      <w:r>
        <w:rPr>
          <w:rFonts w:hint="eastAsia" w:ascii="宋体" w:hAnsi="宋体" w:eastAsia="宋体" w:cs="宋体"/>
          <w:color w:val="auto"/>
          <w:highlight w:val="none"/>
        </w:rPr>
        <w:t>本公司（联合体）郑重声明，根据《政府采购促进中小企业发展管理办法》（财库﹝2020﹞46 号）的规定，本公司（联合体）参加</w:t>
      </w:r>
      <w:r>
        <w:rPr>
          <w:rFonts w:hint="eastAsia" w:ascii="宋体" w:hAnsi="宋体" w:eastAsia="宋体" w:cs="宋体"/>
          <w:color w:val="auto"/>
          <w:highlight w:val="none"/>
          <w:u w:val="single"/>
        </w:rPr>
        <w:t>（单位名称）</w:t>
      </w:r>
      <w:r>
        <w:rPr>
          <w:rFonts w:hint="eastAsia" w:ascii="宋体" w:hAnsi="宋体" w:eastAsia="宋体" w:cs="宋体"/>
          <w:color w:val="auto"/>
          <w:highlight w:val="none"/>
        </w:rPr>
        <w:t>的</w:t>
      </w:r>
      <w:r>
        <w:rPr>
          <w:rFonts w:hint="eastAsia" w:ascii="宋体" w:hAnsi="宋体" w:eastAsia="宋体" w:cs="宋体"/>
          <w:color w:val="auto"/>
          <w:highlight w:val="none"/>
          <w:u w:val="single"/>
        </w:rPr>
        <w:t>（项目名称）</w:t>
      </w:r>
      <w:r>
        <w:rPr>
          <w:rFonts w:hint="eastAsia" w:ascii="宋体" w:hAnsi="宋体" w:eastAsia="宋体" w:cs="宋体"/>
          <w:color w:val="auto"/>
          <w:highlight w:val="none"/>
        </w:rPr>
        <w:t>采购活动，提供的货物全部由符合政策要求的中小企业制造。相关企业（含联合体中的中小企业、签订分包意向协议的中小企业）的具体情况如下：</w:t>
      </w:r>
    </w:p>
    <w:p w14:paraId="5F515F3E">
      <w:pPr>
        <w:spacing w:line="360" w:lineRule="auto"/>
        <w:ind w:firstLine="420"/>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（采购文件中明确的所属行业）行业（不得对行业类别修改）</w:t>
      </w:r>
      <w:r>
        <w:rPr>
          <w:rFonts w:hint="eastAsia" w:ascii="宋体" w:hAnsi="宋体" w:eastAsia="宋体" w:cs="宋体"/>
          <w:color w:val="auto"/>
          <w:highlight w:val="none"/>
        </w:rPr>
        <w:t>；制造商为</w:t>
      </w:r>
      <w:r>
        <w:rPr>
          <w:rFonts w:hint="eastAsia" w:ascii="宋体" w:hAnsi="宋体" w:eastAsia="宋体" w:cs="宋体"/>
          <w:color w:val="auto"/>
          <w:highlight w:val="none"/>
          <w:u w:val="single"/>
        </w:rPr>
        <w:t>（企业名称）</w:t>
      </w:r>
      <w:r>
        <w:rPr>
          <w:rFonts w:hint="eastAsia" w:ascii="宋体" w:hAnsi="宋体" w:eastAsia="宋体" w:cs="宋体"/>
          <w:color w:val="auto"/>
          <w:highlight w:val="none"/>
        </w:rPr>
        <w:t>，从业人员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"br1"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highlight w:val="none"/>
          <w:vertAlign w:val="superscript"/>
        </w:rPr>
        <w:t>1</w:t>
      </w:r>
      <w:r>
        <w:rPr>
          <w:rFonts w:hint="eastAsia" w:ascii="宋体" w:hAnsi="宋体" w:eastAsia="宋体" w:cs="宋体"/>
          <w:color w:val="auto"/>
          <w:spacing w:val="-1"/>
          <w:highlight w:val="none"/>
          <w:vertAlign w:val="superscript"/>
        </w:rPr>
        <w:fldChar w:fldCharType="end"/>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（中型企业、小型企业、微型企业）；</w:t>
      </w:r>
    </w:p>
    <w:p w14:paraId="230BBC7E">
      <w:pPr>
        <w:spacing w:line="360" w:lineRule="auto"/>
        <w:ind w:firstLine="420"/>
        <w:jc w:val="lef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2.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（采购文件中明确的所属行业）行业（不得对行业类别修改）；</w:t>
      </w:r>
      <w:r>
        <w:rPr>
          <w:rFonts w:hint="eastAsia" w:ascii="宋体" w:hAnsi="宋体" w:eastAsia="宋体" w:cs="宋体"/>
          <w:color w:val="auto"/>
          <w:highlight w:val="none"/>
        </w:rPr>
        <w:t>制造商为</w:t>
      </w:r>
      <w:r>
        <w:rPr>
          <w:rFonts w:hint="eastAsia" w:ascii="宋体" w:hAnsi="宋体" w:eastAsia="宋体" w:cs="宋体"/>
          <w:color w:val="auto"/>
          <w:highlight w:val="none"/>
          <w:u w:val="single"/>
        </w:rPr>
        <w:t>（企业名称）</w:t>
      </w:r>
      <w:r>
        <w:rPr>
          <w:rFonts w:hint="eastAsia" w:ascii="宋体" w:hAnsi="宋体" w:eastAsia="宋体" w:cs="宋体"/>
          <w:color w:val="auto"/>
          <w:highlight w:val="none"/>
        </w:rPr>
        <w:t>，从业人员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万元，属于</w:t>
      </w:r>
      <w:r>
        <w:rPr>
          <w:rFonts w:hint="eastAsia" w:ascii="宋体" w:hAnsi="宋体" w:eastAsia="宋体" w:cs="宋体"/>
          <w:color w:val="auto"/>
          <w:highlight w:val="none"/>
          <w:u w:val="single"/>
        </w:rPr>
        <w:t>（中型企业、小型企业、微型企业）；</w:t>
      </w:r>
    </w:p>
    <w:p w14:paraId="2184115E">
      <w:pPr>
        <w:spacing w:line="360" w:lineRule="auto"/>
        <w:ind w:firstLine="420"/>
        <w:jc w:val="left"/>
        <w:rPr>
          <w:rFonts w:hint="eastAsia" w:ascii="宋体" w:hAnsi="宋体" w:eastAsia="宋体" w:cs="宋体"/>
          <w:color w:val="auto"/>
          <w:highlight w:val="none"/>
        </w:rPr>
      </w:pPr>
      <w:r>
        <w:rPr>
          <w:rFonts w:hint="eastAsia" w:ascii="宋体" w:hAnsi="宋体" w:eastAsia="宋体" w:cs="宋体"/>
          <w:color w:val="auto"/>
          <w:highlight w:val="none"/>
        </w:rPr>
        <w:t>……</w:t>
      </w:r>
    </w:p>
    <w:p w14:paraId="5CAB9778">
      <w:pPr>
        <w:keepNext w:val="0"/>
        <w:keepLines w:val="0"/>
        <w:pageBreakBefore w:val="0"/>
        <w:widowControl w:val="0"/>
        <w:spacing w:line="420" w:lineRule="exact"/>
        <w:ind w:firstLine="420"/>
        <w:jc w:val="left"/>
        <w:rPr>
          <w:color w:val="auto"/>
          <w:highlight w:val="none"/>
        </w:rPr>
      </w:pPr>
      <w:r>
        <w:rPr>
          <w:rFonts w:hint="eastAsia" w:ascii="宋体" w:hAnsi="宋体" w:eastAsia="宋体" w:cs="宋体"/>
          <w:color w:val="auto"/>
          <w:highlight w:val="none"/>
        </w:rPr>
        <w:t>以上企业，不属于大企业的分支机构，不存在控股股东为大企业的情形，也不存在与大</w:t>
      </w:r>
      <w:r>
        <w:rPr>
          <w:rFonts w:hint="eastAsia"/>
          <w:color w:val="auto"/>
          <w:highlight w:val="none"/>
        </w:rPr>
        <w:t>企业的负责人为同一人的情形。</w:t>
      </w:r>
    </w:p>
    <w:p w14:paraId="5BE68A96">
      <w:pPr>
        <w:keepNext w:val="0"/>
        <w:keepLines w:val="0"/>
        <w:pageBreakBefore w:val="0"/>
        <w:widowControl w:val="0"/>
        <w:spacing w:line="420" w:lineRule="exact"/>
        <w:ind w:firstLine="420"/>
        <w:jc w:val="left"/>
        <w:rPr>
          <w:color w:val="auto"/>
          <w:highlight w:val="none"/>
        </w:rPr>
      </w:pPr>
      <w:r>
        <w:rPr>
          <w:rFonts w:hint="eastAsia"/>
          <w:color w:val="auto"/>
          <w:highlight w:val="none"/>
        </w:rPr>
        <w:t>本企业对上述声明内容的真实性负责。如有虚假，将依法承担相应责任。</w:t>
      </w:r>
    </w:p>
    <w:p w14:paraId="661D11E9">
      <w:pPr>
        <w:keepNext w:val="0"/>
        <w:keepLines w:val="0"/>
        <w:pageBreakBefore w:val="0"/>
        <w:widowControl w:val="0"/>
        <w:spacing w:line="420" w:lineRule="exact"/>
        <w:jc w:val="left"/>
        <w:rPr>
          <w:color w:val="auto"/>
          <w:highlight w:val="none"/>
        </w:rPr>
      </w:pPr>
      <w:r>
        <w:rPr>
          <w:rFonts w:hint="eastAsia" w:ascii="宋体" w:hAnsi="宋体"/>
          <w:color w:val="auto"/>
          <w:highlight w:val="none"/>
        </w:rPr>
        <w:t>注： 1、</w:t>
      </w:r>
      <w:r>
        <w:rPr>
          <w:rFonts w:hint="eastAsia"/>
          <w:color w:val="auto"/>
          <w:highlight w:val="none"/>
        </w:rPr>
        <w:t>从业人员（不仅指在职职工）、营业收入、资产总额填报上一年度数据，无上一年度数据的新成立企业可不填报。</w:t>
      </w:r>
    </w:p>
    <w:p w14:paraId="3B781EF4">
      <w:pPr>
        <w:keepNext w:val="0"/>
        <w:keepLines w:val="0"/>
        <w:pageBreakBefore w:val="0"/>
        <w:widowControl w:val="0"/>
        <w:spacing w:line="420" w:lineRule="exact"/>
        <w:ind w:firstLine="420"/>
        <w:rPr>
          <w:rFonts w:ascii="宋体" w:hAnsi="宋体"/>
          <w:color w:val="auto"/>
          <w:highlight w:val="none"/>
        </w:rPr>
      </w:pPr>
      <w:r>
        <w:rPr>
          <w:rFonts w:hint="eastAsia" w:ascii="宋体" w:hAnsi="宋体"/>
          <w:color w:val="auto"/>
          <w:highlight w:val="none"/>
        </w:rPr>
        <w:t>2、供应商如不提供此声明函，价格将不做相应扣除。</w:t>
      </w:r>
    </w:p>
    <w:p w14:paraId="196E4A63">
      <w:pPr>
        <w:keepNext w:val="0"/>
        <w:keepLines w:val="0"/>
        <w:pageBreakBefore w:val="0"/>
        <w:widowControl w:val="0"/>
        <w:spacing w:line="420" w:lineRule="exact"/>
        <w:rPr>
          <w:rFonts w:ascii="宋体" w:hAnsi="宋体"/>
          <w:color w:val="auto"/>
          <w:highlight w:val="none"/>
        </w:rPr>
      </w:pPr>
      <w:r>
        <w:rPr>
          <w:rFonts w:hint="eastAsia" w:ascii="宋体" w:hAnsi="宋体"/>
          <w:color w:val="auto"/>
          <w:highlight w:val="none"/>
        </w:rPr>
        <w:t xml:space="preserve">    3、企业声明函请完整填写，中标后将公示。</w:t>
      </w:r>
    </w:p>
    <w:p w14:paraId="6466D2E3">
      <w:pPr>
        <w:keepNext w:val="0"/>
        <w:keepLines w:val="0"/>
        <w:pageBreakBefore w:val="0"/>
        <w:widowControl w:val="0"/>
        <w:spacing w:line="420" w:lineRule="exact"/>
        <w:ind w:firstLine="420"/>
        <w:jc w:val="left"/>
        <w:rPr>
          <w:color w:val="auto"/>
          <w:highlight w:val="none"/>
        </w:rPr>
      </w:pPr>
      <w:r>
        <w:rPr>
          <w:rFonts w:hint="eastAsia"/>
          <w:color w:val="auto"/>
          <w:highlight w:val="none"/>
        </w:rPr>
        <w:t>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p>
    <w:p w14:paraId="72A0E667">
      <w:pPr>
        <w:keepNext w:val="0"/>
        <w:keepLines w:val="0"/>
        <w:pageBreakBefore w:val="0"/>
        <w:widowControl w:val="0"/>
        <w:spacing w:line="420" w:lineRule="exact"/>
        <w:ind w:firstLine="420"/>
        <w:jc w:val="left"/>
        <w:rPr>
          <w:color w:val="auto"/>
          <w:highlight w:val="none"/>
        </w:rPr>
      </w:pPr>
      <w:r>
        <w:rPr>
          <w:rFonts w:hint="eastAsia"/>
          <w:color w:val="auto"/>
          <w:highlight w:val="none"/>
        </w:rPr>
        <w:t>5</w:t>
      </w:r>
      <w:r>
        <w:rPr>
          <w:color w:val="auto"/>
          <w:highlight w:val="none"/>
        </w:rPr>
        <w:t>、声明函应涵盖本项目(分包)所有货物，否则价格不作扣除。</w:t>
      </w:r>
    </w:p>
    <w:p w14:paraId="107B1A2F">
      <w:pPr>
        <w:keepNext w:val="0"/>
        <w:keepLines w:val="0"/>
        <w:pageBreakBefore w:val="0"/>
        <w:widowControl w:val="0"/>
        <w:spacing w:line="420" w:lineRule="exact"/>
        <w:ind w:firstLine="420"/>
        <w:jc w:val="left"/>
        <w:rPr>
          <w:rFonts w:ascii="宋体" w:hAnsi="宋体"/>
          <w:color w:val="auto"/>
          <w:szCs w:val="21"/>
          <w:highlight w:val="none"/>
        </w:rPr>
      </w:pPr>
      <w:r>
        <w:rPr>
          <w:rFonts w:hint="eastAsia"/>
          <w:color w:val="auto"/>
          <w:highlight w:val="none"/>
        </w:rPr>
        <w:t>6、</w:t>
      </w:r>
      <w:r>
        <w:rPr>
          <w:rFonts w:hint="eastAsia" w:ascii="宋体" w:hAnsi="宋体"/>
          <w:color w:val="auto"/>
          <w:szCs w:val="21"/>
          <w:highlight w:val="none"/>
        </w:rPr>
        <w:t>中小企业不得属于大企业的分支机构，不得存在控股股东为大企业的情形，不得存在与大企业的负责人为同一人的情形。</w:t>
      </w:r>
    </w:p>
    <w:p w14:paraId="6B4EC42C">
      <w:pPr>
        <w:keepNext w:val="0"/>
        <w:keepLines w:val="0"/>
        <w:pageBreakBefore w:val="0"/>
        <w:widowControl w:val="0"/>
        <w:spacing w:line="420" w:lineRule="exact"/>
        <w:ind w:firstLine="420"/>
        <w:jc w:val="left"/>
        <w:rPr>
          <w:rFonts w:ascii="宋体" w:hAnsi="宋体"/>
          <w:color w:val="auto"/>
          <w:szCs w:val="21"/>
          <w:highlight w:val="none"/>
        </w:rPr>
      </w:pPr>
      <w:r>
        <w:rPr>
          <w:rFonts w:hint="eastAsia" w:ascii="宋体" w:hAnsi="宋体"/>
          <w:color w:val="auto"/>
          <w:szCs w:val="21"/>
          <w:highlight w:val="none"/>
        </w:rPr>
        <w:t>7、</w:t>
      </w:r>
      <w:r>
        <w:rPr>
          <w:rFonts w:hint="eastAsia" w:ascii="宋体" w:hAnsi="宋体" w:cs="Arial"/>
          <w:bCs/>
          <w:color w:val="auto"/>
          <w:szCs w:val="21"/>
          <w:highlight w:val="none"/>
          <w:shd w:val="clear" w:color="auto" w:fill="FFFFFF"/>
        </w:rPr>
        <w:t>《政府采购法》第七十七条第一款：</w:t>
      </w:r>
      <w:r>
        <w:rPr>
          <w:rFonts w:hint="eastAsia" w:ascii="宋体" w:hAnsi="宋体"/>
          <w:bCs/>
          <w:color w:val="auto"/>
          <w:szCs w:val="21"/>
          <w:highlight w:val="none"/>
          <w:shd w:val="clear" w:color="auto" w:fill="FFFFFF"/>
        </w:rPr>
        <w:t>提供虚假材料谋取中标、成交的</w:t>
      </w:r>
      <w:r>
        <w:rPr>
          <w:rFonts w:hint="eastAsia" w:ascii="宋体" w:hAnsi="宋体" w:cs="Arial"/>
          <w:bCs/>
          <w:color w:val="auto"/>
          <w:szCs w:val="21"/>
          <w:highlight w:val="none"/>
          <w:shd w:val="clear" w:color="auto" w:fill="FFFFFF"/>
        </w:rPr>
        <w:t>，</w:t>
      </w:r>
      <w:r>
        <w:rPr>
          <w:rFonts w:hint="eastAsia" w:ascii="宋体" w:hAnsi="宋体"/>
          <w:bCs/>
          <w:color w:val="auto"/>
          <w:szCs w:val="21"/>
          <w:highlight w:val="none"/>
          <w:shd w:val="clear" w:color="auto" w:fill="FFFFFF"/>
        </w:rPr>
        <w:t>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p>
    <w:p w14:paraId="0A022333">
      <w:pPr>
        <w:keepNext w:val="0"/>
        <w:keepLines w:val="0"/>
        <w:pageBreakBefore w:val="0"/>
        <w:widowControl w:val="0"/>
        <w:spacing w:line="420" w:lineRule="exact"/>
        <w:ind w:firstLine="5250"/>
        <w:rPr>
          <w:color w:val="auto"/>
          <w:highlight w:val="none"/>
        </w:rPr>
      </w:pPr>
      <w:r>
        <w:rPr>
          <w:rFonts w:hint="eastAsia"/>
          <w:color w:val="auto"/>
          <w:highlight w:val="none"/>
        </w:rPr>
        <w:t>企业名称（盖章）：</w:t>
      </w:r>
    </w:p>
    <w:p w14:paraId="456B9421">
      <w:pPr>
        <w:keepNext w:val="0"/>
        <w:keepLines w:val="0"/>
        <w:pageBreakBefore w:val="0"/>
        <w:widowControl w:val="0"/>
        <w:spacing w:line="420" w:lineRule="exact"/>
        <w:jc w:val="center"/>
        <w:rPr>
          <w:color w:val="auto"/>
          <w:highlight w:val="none"/>
        </w:rPr>
      </w:pPr>
      <w:r>
        <w:rPr>
          <w:rFonts w:hint="eastAsia"/>
          <w:color w:val="auto"/>
          <w:highlight w:val="none"/>
        </w:rPr>
        <w:t xml:space="preserve">                             日 期：</w:t>
      </w:r>
    </w:p>
    <w:p w14:paraId="411B6A77">
      <w:pPr>
        <w:pStyle w:val="3"/>
        <w:widowControl/>
        <w:spacing w:before="300" w:after="300" w:line="360" w:lineRule="auto"/>
        <w:jc w:val="center"/>
        <w:rPr>
          <w:rFonts w:ascii="宋体" w:hAnsi="宋体"/>
          <w:color w:val="auto"/>
          <w:sz w:val="21"/>
          <w:szCs w:val="21"/>
          <w:highlight w:val="none"/>
        </w:rPr>
      </w:pPr>
      <w:bookmarkStart w:id="65" w:name="_Toc29667"/>
      <w:bookmarkStart w:id="66" w:name="_Toc14516"/>
      <w:bookmarkStart w:id="67" w:name="_Toc20920"/>
      <w:r>
        <w:rPr>
          <w:rFonts w:hint="eastAsia" w:ascii="宋体" w:hAnsi="宋体" w:cs="微软雅黑"/>
          <w:bCs w:val="0"/>
          <w:color w:val="auto"/>
          <w:sz w:val="21"/>
          <w:szCs w:val="21"/>
          <w:highlight w:val="none"/>
        </w:rPr>
        <w:t>中小微企业划型标准 </w:t>
      </w:r>
      <w:bookmarkEnd w:id="65"/>
      <w:bookmarkEnd w:id="66"/>
      <w:bookmarkEnd w:id="67"/>
    </w:p>
    <w:p w14:paraId="0B745F22">
      <w:pPr>
        <w:pStyle w:val="34"/>
        <w:keepNext w:val="0"/>
        <w:keepLines w:val="0"/>
        <w:pageBreakBefore w:val="0"/>
        <w:widowControl/>
        <w:spacing w:before="300" w:after="212" w:line="360" w:lineRule="auto"/>
        <w:ind w:firstLine="420"/>
        <w:rPr>
          <w:rStyle w:val="40"/>
          <w:rFonts w:hint="eastAsia" w:ascii="宋体" w:hAnsi="宋体" w:cs="仿宋"/>
          <w:color w:val="auto"/>
          <w:sz w:val="21"/>
          <w:szCs w:val="21"/>
          <w:highlight w:val="none"/>
        </w:rPr>
      </w:pPr>
      <w:r>
        <w:rPr>
          <w:rStyle w:val="40"/>
          <w:rFonts w:hint="eastAsia" w:ascii="宋体" w:hAnsi="宋体" w:cs="仿宋"/>
          <w:color w:val="auto"/>
          <w:sz w:val="21"/>
          <w:szCs w:val="21"/>
          <w:highlight w:val="none"/>
        </w:rPr>
        <w:t>中小微企业划型标准如下：</w:t>
      </w:r>
    </w:p>
    <w:tbl>
      <w:tblPr>
        <w:tblStyle w:val="37"/>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top w:w="0" w:type="dxa"/>
          <w:left w:w="105" w:type="dxa"/>
          <w:bottom w:w="0" w:type="dxa"/>
          <w:right w:w="105" w:type="dxa"/>
        </w:tblCellMar>
      </w:tblPr>
      <w:tblGrid>
        <w:gridCol w:w="1491"/>
        <w:gridCol w:w="1748"/>
        <w:gridCol w:w="732"/>
        <w:gridCol w:w="1922"/>
        <w:gridCol w:w="1739"/>
        <w:gridCol w:w="1545"/>
      </w:tblGrid>
      <w:tr w14:paraId="1C17D66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85" w:hRule="atLeast"/>
          <w:tblCellSpacing w:w="15" w:type="dxa"/>
        </w:trPr>
        <w:tc>
          <w:tcPr>
            <w:tcW w:w="1446" w:type="dxa"/>
            <w:noWrap w:val="0"/>
            <w:tcMar>
              <w:top w:w="0" w:type="dxa"/>
              <w:left w:w="105" w:type="dxa"/>
              <w:bottom w:w="0" w:type="dxa"/>
              <w:right w:w="105" w:type="dxa"/>
            </w:tcMar>
            <w:vAlign w:val="center"/>
          </w:tcPr>
          <w:p w14:paraId="48002D2B">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行业名称</w:t>
            </w:r>
          </w:p>
        </w:tc>
        <w:tc>
          <w:tcPr>
            <w:tcW w:w="1718" w:type="dxa"/>
            <w:noWrap w:val="0"/>
            <w:tcMar>
              <w:top w:w="0" w:type="dxa"/>
              <w:left w:w="105" w:type="dxa"/>
              <w:bottom w:w="0" w:type="dxa"/>
              <w:right w:w="105" w:type="dxa"/>
            </w:tcMar>
            <w:vAlign w:val="center"/>
          </w:tcPr>
          <w:p w14:paraId="323D5B61">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指标名称</w:t>
            </w:r>
          </w:p>
        </w:tc>
        <w:tc>
          <w:tcPr>
            <w:tcW w:w="702" w:type="dxa"/>
            <w:noWrap w:val="0"/>
            <w:tcMar>
              <w:top w:w="0" w:type="dxa"/>
              <w:left w:w="105" w:type="dxa"/>
              <w:bottom w:w="0" w:type="dxa"/>
              <w:right w:w="105" w:type="dxa"/>
            </w:tcMar>
            <w:vAlign w:val="center"/>
          </w:tcPr>
          <w:p w14:paraId="59B64A3C">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计量单位</w:t>
            </w:r>
          </w:p>
        </w:tc>
        <w:tc>
          <w:tcPr>
            <w:tcW w:w="1892" w:type="dxa"/>
            <w:noWrap w:val="0"/>
            <w:tcMar>
              <w:top w:w="0" w:type="dxa"/>
              <w:left w:w="105" w:type="dxa"/>
              <w:bottom w:w="0" w:type="dxa"/>
              <w:right w:w="105" w:type="dxa"/>
            </w:tcMar>
            <w:vAlign w:val="center"/>
          </w:tcPr>
          <w:p w14:paraId="61155FF5">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中型</w:t>
            </w:r>
          </w:p>
        </w:tc>
        <w:tc>
          <w:tcPr>
            <w:tcW w:w="1709" w:type="dxa"/>
            <w:noWrap w:val="0"/>
            <w:tcMar>
              <w:top w:w="0" w:type="dxa"/>
              <w:left w:w="105" w:type="dxa"/>
              <w:bottom w:w="0" w:type="dxa"/>
              <w:right w:w="105" w:type="dxa"/>
            </w:tcMar>
            <w:vAlign w:val="center"/>
          </w:tcPr>
          <w:p w14:paraId="0B5DAF7E">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小型</w:t>
            </w:r>
          </w:p>
        </w:tc>
        <w:tc>
          <w:tcPr>
            <w:tcW w:w="1500" w:type="dxa"/>
            <w:noWrap w:val="0"/>
            <w:tcMar>
              <w:top w:w="0" w:type="dxa"/>
              <w:left w:w="105" w:type="dxa"/>
              <w:bottom w:w="0" w:type="dxa"/>
              <w:right w:w="105" w:type="dxa"/>
            </w:tcMar>
            <w:vAlign w:val="center"/>
          </w:tcPr>
          <w:p w14:paraId="05EAB7F8">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微型</w:t>
            </w:r>
          </w:p>
        </w:tc>
      </w:tr>
      <w:tr w14:paraId="1D140F1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noWrap w:val="0"/>
            <w:tcMar>
              <w:top w:w="0" w:type="dxa"/>
              <w:left w:w="105" w:type="dxa"/>
              <w:bottom w:w="0" w:type="dxa"/>
              <w:right w:w="105" w:type="dxa"/>
            </w:tcMar>
            <w:vAlign w:val="center"/>
          </w:tcPr>
          <w:p w14:paraId="3DE5541F">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农、林、牧、渔</w:t>
            </w:r>
          </w:p>
        </w:tc>
        <w:tc>
          <w:tcPr>
            <w:tcW w:w="1718" w:type="dxa"/>
            <w:noWrap w:val="0"/>
            <w:tcMar>
              <w:top w:w="0" w:type="dxa"/>
              <w:left w:w="105" w:type="dxa"/>
              <w:bottom w:w="0" w:type="dxa"/>
              <w:right w:w="105" w:type="dxa"/>
            </w:tcMar>
            <w:vAlign w:val="center"/>
          </w:tcPr>
          <w:p w14:paraId="154B0144">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营业收入（Y）</w:t>
            </w:r>
          </w:p>
        </w:tc>
        <w:tc>
          <w:tcPr>
            <w:tcW w:w="702" w:type="dxa"/>
            <w:noWrap w:val="0"/>
            <w:tcMar>
              <w:top w:w="0" w:type="dxa"/>
              <w:left w:w="105" w:type="dxa"/>
              <w:bottom w:w="0" w:type="dxa"/>
              <w:right w:w="105" w:type="dxa"/>
            </w:tcMar>
            <w:vAlign w:val="center"/>
          </w:tcPr>
          <w:p w14:paraId="331B7044">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万元</w:t>
            </w:r>
          </w:p>
        </w:tc>
        <w:tc>
          <w:tcPr>
            <w:tcW w:w="1892" w:type="dxa"/>
            <w:noWrap w:val="0"/>
            <w:tcMar>
              <w:top w:w="0" w:type="dxa"/>
              <w:left w:w="105" w:type="dxa"/>
              <w:bottom w:w="0" w:type="dxa"/>
              <w:right w:w="105" w:type="dxa"/>
            </w:tcMar>
            <w:vAlign w:val="center"/>
          </w:tcPr>
          <w:p w14:paraId="78F168AE">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500≤Y＜20000</w:t>
            </w:r>
          </w:p>
        </w:tc>
        <w:tc>
          <w:tcPr>
            <w:tcW w:w="1709" w:type="dxa"/>
            <w:noWrap w:val="0"/>
            <w:tcMar>
              <w:top w:w="0" w:type="dxa"/>
              <w:left w:w="105" w:type="dxa"/>
              <w:bottom w:w="0" w:type="dxa"/>
              <w:right w:w="105" w:type="dxa"/>
            </w:tcMar>
            <w:vAlign w:val="center"/>
          </w:tcPr>
          <w:p w14:paraId="7C8872D5">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50≤Y＜500</w:t>
            </w:r>
          </w:p>
        </w:tc>
        <w:tc>
          <w:tcPr>
            <w:tcW w:w="1500" w:type="dxa"/>
            <w:noWrap w:val="0"/>
            <w:tcMar>
              <w:top w:w="0" w:type="dxa"/>
              <w:left w:w="105" w:type="dxa"/>
              <w:bottom w:w="0" w:type="dxa"/>
              <w:right w:w="105" w:type="dxa"/>
            </w:tcMar>
            <w:vAlign w:val="center"/>
          </w:tcPr>
          <w:p w14:paraId="658E45ED">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Y＜50</w:t>
            </w:r>
          </w:p>
        </w:tc>
      </w:tr>
      <w:tr w14:paraId="79FF427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46" w:type="dxa"/>
            <w:vMerge w:val="restart"/>
            <w:noWrap w:val="0"/>
            <w:tcMar>
              <w:top w:w="0" w:type="dxa"/>
              <w:left w:w="105" w:type="dxa"/>
              <w:bottom w:w="0" w:type="dxa"/>
              <w:right w:w="105" w:type="dxa"/>
            </w:tcMar>
            <w:vAlign w:val="center"/>
          </w:tcPr>
          <w:p w14:paraId="40782798">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工业</w:t>
            </w:r>
          </w:p>
        </w:tc>
        <w:tc>
          <w:tcPr>
            <w:tcW w:w="1718" w:type="dxa"/>
            <w:noWrap w:val="0"/>
            <w:tcMar>
              <w:top w:w="0" w:type="dxa"/>
              <w:left w:w="105" w:type="dxa"/>
              <w:bottom w:w="0" w:type="dxa"/>
              <w:right w:w="105" w:type="dxa"/>
            </w:tcMar>
            <w:vAlign w:val="center"/>
          </w:tcPr>
          <w:p w14:paraId="523A2612">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从业人员（X）</w:t>
            </w:r>
          </w:p>
        </w:tc>
        <w:tc>
          <w:tcPr>
            <w:tcW w:w="702" w:type="dxa"/>
            <w:noWrap w:val="0"/>
            <w:tcMar>
              <w:top w:w="0" w:type="dxa"/>
              <w:left w:w="105" w:type="dxa"/>
              <w:bottom w:w="0" w:type="dxa"/>
              <w:right w:w="105" w:type="dxa"/>
            </w:tcMar>
            <w:vAlign w:val="center"/>
          </w:tcPr>
          <w:p w14:paraId="3C1B46D7">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人</w:t>
            </w:r>
          </w:p>
        </w:tc>
        <w:tc>
          <w:tcPr>
            <w:tcW w:w="1892" w:type="dxa"/>
            <w:noWrap w:val="0"/>
            <w:tcMar>
              <w:top w:w="0" w:type="dxa"/>
              <w:left w:w="105" w:type="dxa"/>
              <w:bottom w:w="0" w:type="dxa"/>
              <w:right w:w="105" w:type="dxa"/>
            </w:tcMar>
            <w:vAlign w:val="center"/>
          </w:tcPr>
          <w:p w14:paraId="0AA8F90A">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300≤X＜1000</w:t>
            </w:r>
          </w:p>
        </w:tc>
        <w:tc>
          <w:tcPr>
            <w:tcW w:w="1709" w:type="dxa"/>
            <w:noWrap w:val="0"/>
            <w:tcMar>
              <w:top w:w="0" w:type="dxa"/>
              <w:left w:w="105" w:type="dxa"/>
              <w:bottom w:w="0" w:type="dxa"/>
              <w:right w:w="105" w:type="dxa"/>
            </w:tcMar>
            <w:vAlign w:val="center"/>
          </w:tcPr>
          <w:p w14:paraId="08E01BEB">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20≤X＜300</w:t>
            </w:r>
          </w:p>
        </w:tc>
        <w:tc>
          <w:tcPr>
            <w:tcW w:w="1500" w:type="dxa"/>
            <w:noWrap w:val="0"/>
            <w:tcMar>
              <w:top w:w="0" w:type="dxa"/>
              <w:left w:w="105" w:type="dxa"/>
              <w:bottom w:w="0" w:type="dxa"/>
              <w:right w:w="105" w:type="dxa"/>
            </w:tcMar>
            <w:vAlign w:val="center"/>
          </w:tcPr>
          <w:p w14:paraId="1726F67A">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X＜20</w:t>
            </w:r>
          </w:p>
        </w:tc>
      </w:tr>
      <w:tr w14:paraId="65E0869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46" w:type="dxa"/>
            <w:vMerge w:val="continue"/>
            <w:noWrap w:val="0"/>
            <w:vAlign w:val="center"/>
          </w:tcPr>
          <w:p w14:paraId="31A90455">
            <w:pPr>
              <w:widowControl/>
              <w:jc w:val="center"/>
              <w:rPr>
                <w:rFonts w:ascii="宋体" w:hAnsi="宋体" w:eastAsia="等线"/>
                <w:color w:val="auto"/>
                <w:highlight w:val="none"/>
              </w:rPr>
            </w:pPr>
          </w:p>
        </w:tc>
        <w:tc>
          <w:tcPr>
            <w:tcW w:w="1718" w:type="dxa"/>
            <w:noWrap w:val="0"/>
            <w:tcMar>
              <w:top w:w="0" w:type="dxa"/>
              <w:left w:w="105" w:type="dxa"/>
              <w:bottom w:w="0" w:type="dxa"/>
              <w:right w:w="105" w:type="dxa"/>
            </w:tcMar>
            <w:vAlign w:val="center"/>
          </w:tcPr>
          <w:p w14:paraId="6BD8FB90">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营业收入（Y）</w:t>
            </w:r>
          </w:p>
        </w:tc>
        <w:tc>
          <w:tcPr>
            <w:tcW w:w="702" w:type="dxa"/>
            <w:noWrap w:val="0"/>
            <w:tcMar>
              <w:top w:w="0" w:type="dxa"/>
              <w:left w:w="105" w:type="dxa"/>
              <w:bottom w:w="0" w:type="dxa"/>
              <w:right w:w="105" w:type="dxa"/>
            </w:tcMar>
            <w:vAlign w:val="center"/>
          </w:tcPr>
          <w:p w14:paraId="4B6CEC05">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万元</w:t>
            </w:r>
          </w:p>
        </w:tc>
        <w:tc>
          <w:tcPr>
            <w:tcW w:w="1892" w:type="dxa"/>
            <w:noWrap w:val="0"/>
            <w:tcMar>
              <w:top w:w="0" w:type="dxa"/>
              <w:left w:w="105" w:type="dxa"/>
              <w:bottom w:w="0" w:type="dxa"/>
              <w:right w:w="105" w:type="dxa"/>
            </w:tcMar>
            <w:vAlign w:val="center"/>
          </w:tcPr>
          <w:p w14:paraId="072BB5F3">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2000≤Y＜40000</w:t>
            </w:r>
          </w:p>
        </w:tc>
        <w:tc>
          <w:tcPr>
            <w:tcW w:w="1709" w:type="dxa"/>
            <w:noWrap w:val="0"/>
            <w:tcMar>
              <w:top w:w="0" w:type="dxa"/>
              <w:left w:w="105" w:type="dxa"/>
              <w:bottom w:w="0" w:type="dxa"/>
              <w:right w:w="105" w:type="dxa"/>
            </w:tcMar>
            <w:vAlign w:val="center"/>
          </w:tcPr>
          <w:p w14:paraId="0DD678A2">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300≤Y＜2000</w:t>
            </w:r>
          </w:p>
        </w:tc>
        <w:tc>
          <w:tcPr>
            <w:tcW w:w="1500" w:type="dxa"/>
            <w:noWrap w:val="0"/>
            <w:tcMar>
              <w:top w:w="0" w:type="dxa"/>
              <w:left w:w="105" w:type="dxa"/>
              <w:bottom w:w="0" w:type="dxa"/>
              <w:right w:w="105" w:type="dxa"/>
            </w:tcMar>
            <w:vAlign w:val="center"/>
          </w:tcPr>
          <w:p w14:paraId="37AD60F6">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Y＜300</w:t>
            </w:r>
          </w:p>
        </w:tc>
      </w:tr>
      <w:tr w14:paraId="12325A1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46" w:type="dxa"/>
            <w:vMerge w:val="restart"/>
            <w:noWrap w:val="0"/>
            <w:tcMar>
              <w:top w:w="0" w:type="dxa"/>
              <w:left w:w="105" w:type="dxa"/>
              <w:bottom w:w="0" w:type="dxa"/>
              <w:right w:w="105" w:type="dxa"/>
            </w:tcMar>
            <w:vAlign w:val="center"/>
          </w:tcPr>
          <w:p w14:paraId="06DC9D57">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建筑业</w:t>
            </w:r>
          </w:p>
        </w:tc>
        <w:tc>
          <w:tcPr>
            <w:tcW w:w="1718" w:type="dxa"/>
            <w:noWrap w:val="0"/>
            <w:tcMar>
              <w:top w:w="0" w:type="dxa"/>
              <w:left w:w="105" w:type="dxa"/>
              <w:bottom w:w="0" w:type="dxa"/>
              <w:right w:w="105" w:type="dxa"/>
            </w:tcMar>
            <w:vAlign w:val="center"/>
          </w:tcPr>
          <w:p w14:paraId="62E4789F">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营业收入（Y）</w:t>
            </w:r>
          </w:p>
        </w:tc>
        <w:tc>
          <w:tcPr>
            <w:tcW w:w="702" w:type="dxa"/>
            <w:noWrap w:val="0"/>
            <w:tcMar>
              <w:top w:w="0" w:type="dxa"/>
              <w:left w:w="105" w:type="dxa"/>
              <w:bottom w:w="0" w:type="dxa"/>
              <w:right w:w="105" w:type="dxa"/>
            </w:tcMar>
            <w:vAlign w:val="center"/>
          </w:tcPr>
          <w:p w14:paraId="7EF77732">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万元</w:t>
            </w:r>
          </w:p>
        </w:tc>
        <w:tc>
          <w:tcPr>
            <w:tcW w:w="1892" w:type="dxa"/>
            <w:noWrap w:val="0"/>
            <w:tcMar>
              <w:top w:w="0" w:type="dxa"/>
              <w:left w:w="105" w:type="dxa"/>
              <w:bottom w:w="0" w:type="dxa"/>
              <w:right w:w="105" w:type="dxa"/>
            </w:tcMar>
            <w:vAlign w:val="center"/>
          </w:tcPr>
          <w:p w14:paraId="5BE1A458">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6000≤Y＜80000</w:t>
            </w:r>
          </w:p>
        </w:tc>
        <w:tc>
          <w:tcPr>
            <w:tcW w:w="1709" w:type="dxa"/>
            <w:noWrap w:val="0"/>
            <w:tcMar>
              <w:top w:w="0" w:type="dxa"/>
              <w:left w:w="105" w:type="dxa"/>
              <w:bottom w:w="0" w:type="dxa"/>
              <w:right w:w="105" w:type="dxa"/>
            </w:tcMar>
            <w:vAlign w:val="center"/>
          </w:tcPr>
          <w:p w14:paraId="088D8DF8">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300≤Y＜6000</w:t>
            </w:r>
          </w:p>
        </w:tc>
        <w:tc>
          <w:tcPr>
            <w:tcW w:w="1500" w:type="dxa"/>
            <w:noWrap w:val="0"/>
            <w:tcMar>
              <w:top w:w="0" w:type="dxa"/>
              <w:left w:w="105" w:type="dxa"/>
              <w:bottom w:w="0" w:type="dxa"/>
              <w:right w:w="105" w:type="dxa"/>
            </w:tcMar>
            <w:vAlign w:val="center"/>
          </w:tcPr>
          <w:p w14:paraId="6DAA055F">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Y＜300</w:t>
            </w:r>
          </w:p>
        </w:tc>
      </w:tr>
      <w:tr w14:paraId="51C9A85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46" w:type="dxa"/>
            <w:vMerge w:val="continue"/>
            <w:noWrap w:val="0"/>
            <w:vAlign w:val="center"/>
          </w:tcPr>
          <w:p w14:paraId="48F3C599">
            <w:pPr>
              <w:widowControl/>
              <w:jc w:val="center"/>
              <w:rPr>
                <w:rFonts w:ascii="宋体" w:hAnsi="宋体" w:eastAsia="等线"/>
                <w:color w:val="auto"/>
                <w:highlight w:val="none"/>
              </w:rPr>
            </w:pPr>
          </w:p>
        </w:tc>
        <w:tc>
          <w:tcPr>
            <w:tcW w:w="1718" w:type="dxa"/>
            <w:noWrap w:val="0"/>
            <w:tcMar>
              <w:top w:w="0" w:type="dxa"/>
              <w:left w:w="105" w:type="dxa"/>
              <w:bottom w:w="0" w:type="dxa"/>
              <w:right w:w="105" w:type="dxa"/>
            </w:tcMar>
            <w:vAlign w:val="center"/>
          </w:tcPr>
          <w:p w14:paraId="286E16B2">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资产总额（Z）</w:t>
            </w:r>
          </w:p>
        </w:tc>
        <w:tc>
          <w:tcPr>
            <w:tcW w:w="702" w:type="dxa"/>
            <w:noWrap w:val="0"/>
            <w:tcMar>
              <w:top w:w="0" w:type="dxa"/>
              <w:left w:w="105" w:type="dxa"/>
              <w:bottom w:w="0" w:type="dxa"/>
              <w:right w:w="105" w:type="dxa"/>
            </w:tcMar>
            <w:vAlign w:val="center"/>
          </w:tcPr>
          <w:p w14:paraId="0AEDD3A2">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万元</w:t>
            </w:r>
          </w:p>
        </w:tc>
        <w:tc>
          <w:tcPr>
            <w:tcW w:w="1892" w:type="dxa"/>
            <w:noWrap w:val="0"/>
            <w:tcMar>
              <w:top w:w="0" w:type="dxa"/>
              <w:left w:w="105" w:type="dxa"/>
              <w:bottom w:w="0" w:type="dxa"/>
              <w:right w:w="105" w:type="dxa"/>
            </w:tcMar>
            <w:vAlign w:val="center"/>
          </w:tcPr>
          <w:p w14:paraId="26F2024B">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5000≤Z＜80000</w:t>
            </w:r>
          </w:p>
        </w:tc>
        <w:tc>
          <w:tcPr>
            <w:tcW w:w="1709" w:type="dxa"/>
            <w:noWrap w:val="0"/>
            <w:tcMar>
              <w:top w:w="0" w:type="dxa"/>
              <w:left w:w="105" w:type="dxa"/>
              <w:bottom w:w="0" w:type="dxa"/>
              <w:right w:w="105" w:type="dxa"/>
            </w:tcMar>
            <w:vAlign w:val="center"/>
          </w:tcPr>
          <w:p w14:paraId="23EAFE93">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300≤Z＜5000</w:t>
            </w:r>
          </w:p>
        </w:tc>
        <w:tc>
          <w:tcPr>
            <w:tcW w:w="1500" w:type="dxa"/>
            <w:noWrap w:val="0"/>
            <w:tcMar>
              <w:top w:w="0" w:type="dxa"/>
              <w:left w:w="105" w:type="dxa"/>
              <w:bottom w:w="0" w:type="dxa"/>
              <w:right w:w="105" w:type="dxa"/>
            </w:tcMar>
            <w:vAlign w:val="center"/>
          </w:tcPr>
          <w:p w14:paraId="322E8DAC">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Z＜300</w:t>
            </w:r>
          </w:p>
        </w:tc>
      </w:tr>
      <w:tr w14:paraId="43BD5AB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46" w:type="dxa"/>
            <w:vMerge w:val="restart"/>
            <w:noWrap w:val="0"/>
            <w:tcMar>
              <w:top w:w="0" w:type="dxa"/>
              <w:left w:w="105" w:type="dxa"/>
              <w:bottom w:w="0" w:type="dxa"/>
              <w:right w:w="105" w:type="dxa"/>
            </w:tcMar>
            <w:vAlign w:val="center"/>
          </w:tcPr>
          <w:p w14:paraId="5CD19EE2">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批发业</w:t>
            </w:r>
          </w:p>
        </w:tc>
        <w:tc>
          <w:tcPr>
            <w:tcW w:w="1718" w:type="dxa"/>
            <w:noWrap w:val="0"/>
            <w:tcMar>
              <w:top w:w="0" w:type="dxa"/>
              <w:left w:w="105" w:type="dxa"/>
              <w:bottom w:w="0" w:type="dxa"/>
              <w:right w:w="105" w:type="dxa"/>
            </w:tcMar>
            <w:vAlign w:val="center"/>
          </w:tcPr>
          <w:p w14:paraId="0D71BD1E">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从业人员（X）</w:t>
            </w:r>
          </w:p>
        </w:tc>
        <w:tc>
          <w:tcPr>
            <w:tcW w:w="702" w:type="dxa"/>
            <w:noWrap w:val="0"/>
            <w:tcMar>
              <w:top w:w="0" w:type="dxa"/>
              <w:left w:w="105" w:type="dxa"/>
              <w:bottom w:w="0" w:type="dxa"/>
              <w:right w:w="105" w:type="dxa"/>
            </w:tcMar>
            <w:vAlign w:val="center"/>
          </w:tcPr>
          <w:p w14:paraId="386EB6B3">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人</w:t>
            </w:r>
          </w:p>
        </w:tc>
        <w:tc>
          <w:tcPr>
            <w:tcW w:w="1892" w:type="dxa"/>
            <w:noWrap w:val="0"/>
            <w:tcMar>
              <w:top w:w="0" w:type="dxa"/>
              <w:left w:w="105" w:type="dxa"/>
              <w:bottom w:w="0" w:type="dxa"/>
              <w:right w:w="105" w:type="dxa"/>
            </w:tcMar>
            <w:vAlign w:val="center"/>
          </w:tcPr>
          <w:p w14:paraId="14F19127">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20≤X＜200</w:t>
            </w:r>
          </w:p>
        </w:tc>
        <w:tc>
          <w:tcPr>
            <w:tcW w:w="1709" w:type="dxa"/>
            <w:noWrap w:val="0"/>
            <w:tcMar>
              <w:top w:w="0" w:type="dxa"/>
              <w:left w:w="105" w:type="dxa"/>
              <w:bottom w:w="0" w:type="dxa"/>
              <w:right w:w="105" w:type="dxa"/>
            </w:tcMar>
            <w:vAlign w:val="center"/>
          </w:tcPr>
          <w:p w14:paraId="0B587F7F">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5≤X＜20</w:t>
            </w:r>
          </w:p>
        </w:tc>
        <w:tc>
          <w:tcPr>
            <w:tcW w:w="1500" w:type="dxa"/>
            <w:noWrap w:val="0"/>
            <w:tcMar>
              <w:top w:w="0" w:type="dxa"/>
              <w:left w:w="105" w:type="dxa"/>
              <w:bottom w:w="0" w:type="dxa"/>
              <w:right w:w="105" w:type="dxa"/>
            </w:tcMar>
            <w:vAlign w:val="center"/>
          </w:tcPr>
          <w:p w14:paraId="06697B78">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X＜5</w:t>
            </w:r>
          </w:p>
        </w:tc>
      </w:tr>
      <w:tr w14:paraId="75FDC71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46" w:type="dxa"/>
            <w:vMerge w:val="continue"/>
            <w:noWrap w:val="0"/>
            <w:vAlign w:val="center"/>
          </w:tcPr>
          <w:p w14:paraId="5FF77EC3">
            <w:pPr>
              <w:widowControl/>
              <w:jc w:val="center"/>
              <w:rPr>
                <w:rFonts w:ascii="宋体" w:hAnsi="宋体" w:eastAsia="等线"/>
                <w:color w:val="auto"/>
                <w:highlight w:val="none"/>
              </w:rPr>
            </w:pPr>
          </w:p>
        </w:tc>
        <w:tc>
          <w:tcPr>
            <w:tcW w:w="1718" w:type="dxa"/>
            <w:noWrap w:val="0"/>
            <w:tcMar>
              <w:top w:w="0" w:type="dxa"/>
              <w:left w:w="105" w:type="dxa"/>
              <w:bottom w:w="0" w:type="dxa"/>
              <w:right w:w="105" w:type="dxa"/>
            </w:tcMar>
            <w:vAlign w:val="center"/>
          </w:tcPr>
          <w:p w14:paraId="1C2DFB53">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营业收入（Y）</w:t>
            </w:r>
          </w:p>
        </w:tc>
        <w:tc>
          <w:tcPr>
            <w:tcW w:w="702" w:type="dxa"/>
            <w:noWrap w:val="0"/>
            <w:tcMar>
              <w:top w:w="0" w:type="dxa"/>
              <w:left w:w="105" w:type="dxa"/>
              <w:bottom w:w="0" w:type="dxa"/>
              <w:right w:w="105" w:type="dxa"/>
            </w:tcMar>
            <w:vAlign w:val="center"/>
          </w:tcPr>
          <w:p w14:paraId="4F02792B">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万元</w:t>
            </w:r>
          </w:p>
        </w:tc>
        <w:tc>
          <w:tcPr>
            <w:tcW w:w="1892" w:type="dxa"/>
            <w:noWrap w:val="0"/>
            <w:tcMar>
              <w:top w:w="0" w:type="dxa"/>
              <w:left w:w="105" w:type="dxa"/>
              <w:bottom w:w="0" w:type="dxa"/>
              <w:right w:w="105" w:type="dxa"/>
            </w:tcMar>
            <w:vAlign w:val="center"/>
          </w:tcPr>
          <w:p w14:paraId="61B41188">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5000≤Y＜40000</w:t>
            </w:r>
          </w:p>
        </w:tc>
        <w:tc>
          <w:tcPr>
            <w:tcW w:w="1709" w:type="dxa"/>
            <w:noWrap w:val="0"/>
            <w:tcMar>
              <w:top w:w="0" w:type="dxa"/>
              <w:left w:w="105" w:type="dxa"/>
              <w:bottom w:w="0" w:type="dxa"/>
              <w:right w:w="105" w:type="dxa"/>
            </w:tcMar>
            <w:vAlign w:val="center"/>
          </w:tcPr>
          <w:p w14:paraId="1E619B2F">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1000≤Y＜5000</w:t>
            </w:r>
          </w:p>
        </w:tc>
        <w:tc>
          <w:tcPr>
            <w:tcW w:w="1500" w:type="dxa"/>
            <w:noWrap w:val="0"/>
            <w:tcMar>
              <w:top w:w="0" w:type="dxa"/>
              <w:left w:w="105" w:type="dxa"/>
              <w:bottom w:w="0" w:type="dxa"/>
              <w:right w:w="105" w:type="dxa"/>
            </w:tcMar>
            <w:vAlign w:val="center"/>
          </w:tcPr>
          <w:p w14:paraId="5CDB3A5E">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Y＜1000</w:t>
            </w:r>
          </w:p>
        </w:tc>
      </w:tr>
      <w:tr w14:paraId="37CF4D1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46" w:type="dxa"/>
            <w:vMerge w:val="restart"/>
            <w:noWrap w:val="0"/>
            <w:tcMar>
              <w:top w:w="0" w:type="dxa"/>
              <w:left w:w="105" w:type="dxa"/>
              <w:bottom w:w="0" w:type="dxa"/>
              <w:right w:w="105" w:type="dxa"/>
            </w:tcMar>
            <w:vAlign w:val="center"/>
          </w:tcPr>
          <w:p w14:paraId="266CCB6F">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零售业</w:t>
            </w:r>
          </w:p>
        </w:tc>
        <w:tc>
          <w:tcPr>
            <w:tcW w:w="1718" w:type="dxa"/>
            <w:noWrap w:val="0"/>
            <w:tcMar>
              <w:top w:w="0" w:type="dxa"/>
              <w:left w:w="105" w:type="dxa"/>
              <w:bottom w:w="0" w:type="dxa"/>
              <w:right w:w="105" w:type="dxa"/>
            </w:tcMar>
            <w:vAlign w:val="center"/>
          </w:tcPr>
          <w:p w14:paraId="21516FA6">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从业人员（X）</w:t>
            </w:r>
          </w:p>
        </w:tc>
        <w:tc>
          <w:tcPr>
            <w:tcW w:w="702" w:type="dxa"/>
            <w:noWrap w:val="0"/>
            <w:tcMar>
              <w:top w:w="0" w:type="dxa"/>
              <w:left w:w="105" w:type="dxa"/>
              <w:bottom w:w="0" w:type="dxa"/>
              <w:right w:w="105" w:type="dxa"/>
            </w:tcMar>
            <w:vAlign w:val="center"/>
          </w:tcPr>
          <w:p w14:paraId="47AB101C">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人</w:t>
            </w:r>
          </w:p>
        </w:tc>
        <w:tc>
          <w:tcPr>
            <w:tcW w:w="1892" w:type="dxa"/>
            <w:noWrap w:val="0"/>
            <w:tcMar>
              <w:top w:w="0" w:type="dxa"/>
              <w:left w:w="105" w:type="dxa"/>
              <w:bottom w:w="0" w:type="dxa"/>
              <w:right w:w="105" w:type="dxa"/>
            </w:tcMar>
            <w:vAlign w:val="center"/>
          </w:tcPr>
          <w:p w14:paraId="2EFC2A81">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50≤X＜300</w:t>
            </w:r>
          </w:p>
        </w:tc>
        <w:tc>
          <w:tcPr>
            <w:tcW w:w="1709" w:type="dxa"/>
            <w:noWrap w:val="0"/>
            <w:tcMar>
              <w:top w:w="0" w:type="dxa"/>
              <w:left w:w="105" w:type="dxa"/>
              <w:bottom w:w="0" w:type="dxa"/>
              <w:right w:w="105" w:type="dxa"/>
            </w:tcMar>
            <w:vAlign w:val="center"/>
          </w:tcPr>
          <w:p w14:paraId="45A80675">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10≤X＜50</w:t>
            </w:r>
          </w:p>
        </w:tc>
        <w:tc>
          <w:tcPr>
            <w:tcW w:w="1500" w:type="dxa"/>
            <w:noWrap w:val="0"/>
            <w:tcMar>
              <w:top w:w="0" w:type="dxa"/>
              <w:left w:w="105" w:type="dxa"/>
              <w:bottom w:w="0" w:type="dxa"/>
              <w:right w:w="105" w:type="dxa"/>
            </w:tcMar>
            <w:vAlign w:val="center"/>
          </w:tcPr>
          <w:p w14:paraId="00FFE579">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X＜10</w:t>
            </w:r>
          </w:p>
        </w:tc>
      </w:tr>
      <w:tr w14:paraId="09FD3AA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46" w:type="dxa"/>
            <w:vMerge w:val="continue"/>
            <w:noWrap w:val="0"/>
            <w:vAlign w:val="center"/>
          </w:tcPr>
          <w:p w14:paraId="7595C563">
            <w:pPr>
              <w:widowControl/>
              <w:jc w:val="center"/>
              <w:rPr>
                <w:rFonts w:ascii="宋体" w:hAnsi="宋体" w:eastAsia="等线"/>
                <w:color w:val="auto"/>
                <w:highlight w:val="none"/>
              </w:rPr>
            </w:pPr>
          </w:p>
        </w:tc>
        <w:tc>
          <w:tcPr>
            <w:tcW w:w="1718" w:type="dxa"/>
            <w:noWrap w:val="0"/>
            <w:tcMar>
              <w:top w:w="0" w:type="dxa"/>
              <w:left w:w="105" w:type="dxa"/>
              <w:bottom w:w="0" w:type="dxa"/>
              <w:right w:w="105" w:type="dxa"/>
            </w:tcMar>
            <w:vAlign w:val="center"/>
          </w:tcPr>
          <w:p w14:paraId="54B348C8">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营业收入（Y）</w:t>
            </w:r>
          </w:p>
        </w:tc>
        <w:tc>
          <w:tcPr>
            <w:tcW w:w="702" w:type="dxa"/>
            <w:noWrap w:val="0"/>
            <w:tcMar>
              <w:top w:w="0" w:type="dxa"/>
              <w:left w:w="105" w:type="dxa"/>
              <w:bottom w:w="0" w:type="dxa"/>
              <w:right w:w="105" w:type="dxa"/>
            </w:tcMar>
            <w:vAlign w:val="center"/>
          </w:tcPr>
          <w:p w14:paraId="69145820">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万元</w:t>
            </w:r>
          </w:p>
        </w:tc>
        <w:tc>
          <w:tcPr>
            <w:tcW w:w="1892" w:type="dxa"/>
            <w:noWrap w:val="0"/>
            <w:tcMar>
              <w:top w:w="0" w:type="dxa"/>
              <w:left w:w="105" w:type="dxa"/>
              <w:bottom w:w="0" w:type="dxa"/>
              <w:right w:w="105" w:type="dxa"/>
            </w:tcMar>
            <w:vAlign w:val="center"/>
          </w:tcPr>
          <w:p w14:paraId="09DECBDD">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500≤Y＜20000</w:t>
            </w:r>
          </w:p>
        </w:tc>
        <w:tc>
          <w:tcPr>
            <w:tcW w:w="1709" w:type="dxa"/>
            <w:noWrap w:val="0"/>
            <w:tcMar>
              <w:top w:w="0" w:type="dxa"/>
              <w:left w:w="105" w:type="dxa"/>
              <w:bottom w:w="0" w:type="dxa"/>
              <w:right w:w="105" w:type="dxa"/>
            </w:tcMar>
            <w:vAlign w:val="center"/>
          </w:tcPr>
          <w:p w14:paraId="3EB76376">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100≤Y＜500</w:t>
            </w:r>
          </w:p>
        </w:tc>
        <w:tc>
          <w:tcPr>
            <w:tcW w:w="1500" w:type="dxa"/>
            <w:noWrap w:val="0"/>
            <w:tcMar>
              <w:top w:w="0" w:type="dxa"/>
              <w:left w:w="105" w:type="dxa"/>
              <w:bottom w:w="0" w:type="dxa"/>
              <w:right w:w="105" w:type="dxa"/>
            </w:tcMar>
            <w:vAlign w:val="center"/>
          </w:tcPr>
          <w:p w14:paraId="1B2DD9A4">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Y＜100</w:t>
            </w:r>
          </w:p>
        </w:tc>
      </w:tr>
      <w:tr w14:paraId="52512B5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46" w:type="dxa"/>
            <w:vMerge w:val="restart"/>
            <w:noWrap w:val="0"/>
            <w:tcMar>
              <w:top w:w="0" w:type="dxa"/>
              <w:left w:w="105" w:type="dxa"/>
              <w:bottom w:w="0" w:type="dxa"/>
              <w:right w:w="105" w:type="dxa"/>
            </w:tcMar>
            <w:vAlign w:val="center"/>
          </w:tcPr>
          <w:p w14:paraId="37F07241">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交通运输业</w:t>
            </w:r>
          </w:p>
        </w:tc>
        <w:tc>
          <w:tcPr>
            <w:tcW w:w="1718" w:type="dxa"/>
            <w:noWrap w:val="0"/>
            <w:tcMar>
              <w:top w:w="0" w:type="dxa"/>
              <w:left w:w="105" w:type="dxa"/>
              <w:bottom w:w="0" w:type="dxa"/>
              <w:right w:w="105" w:type="dxa"/>
            </w:tcMar>
            <w:vAlign w:val="center"/>
          </w:tcPr>
          <w:p w14:paraId="752950FB">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从业人员（X）</w:t>
            </w:r>
          </w:p>
        </w:tc>
        <w:tc>
          <w:tcPr>
            <w:tcW w:w="702" w:type="dxa"/>
            <w:noWrap w:val="0"/>
            <w:tcMar>
              <w:top w:w="0" w:type="dxa"/>
              <w:left w:w="105" w:type="dxa"/>
              <w:bottom w:w="0" w:type="dxa"/>
              <w:right w:w="105" w:type="dxa"/>
            </w:tcMar>
            <w:vAlign w:val="center"/>
          </w:tcPr>
          <w:p w14:paraId="4EBC1683">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人</w:t>
            </w:r>
          </w:p>
        </w:tc>
        <w:tc>
          <w:tcPr>
            <w:tcW w:w="1892" w:type="dxa"/>
            <w:noWrap w:val="0"/>
            <w:tcMar>
              <w:top w:w="0" w:type="dxa"/>
              <w:left w:w="105" w:type="dxa"/>
              <w:bottom w:w="0" w:type="dxa"/>
              <w:right w:w="105" w:type="dxa"/>
            </w:tcMar>
            <w:vAlign w:val="center"/>
          </w:tcPr>
          <w:p w14:paraId="4DB9F5FC">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300≤X＜1000</w:t>
            </w:r>
          </w:p>
        </w:tc>
        <w:tc>
          <w:tcPr>
            <w:tcW w:w="1709" w:type="dxa"/>
            <w:noWrap w:val="0"/>
            <w:tcMar>
              <w:top w:w="0" w:type="dxa"/>
              <w:left w:w="105" w:type="dxa"/>
              <w:bottom w:w="0" w:type="dxa"/>
              <w:right w:w="105" w:type="dxa"/>
            </w:tcMar>
            <w:vAlign w:val="center"/>
          </w:tcPr>
          <w:p w14:paraId="0E0ECD45">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20≤X＜300</w:t>
            </w:r>
          </w:p>
        </w:tc>
        <w:tc>
          <w:tcPr>
            <w:tcW w:w="1500" w:type="dxa"/>
            <w:noWrap w:val="0"/>
            <w:tcMar>
              <w:top w:w="0" w:type="dxa"/>
              <w:left w:w="105" w:type="dxa"/>
              <w:bottom w:w="0" w:type="dxa"/>
              <w:right w:w="105" w:type="dxa"/>
            </w:tcMar>
            <w:vAlign w:val="center"/>
          </w:tcPr>
          <w:p w14:paraId="3A61283F">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X＜20</w:t>
            </w:r>
          </w:p>
        </w:tc>
      </w:tr>
      <w:tr w14:paraId="4096176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46" w:type="dxa"/>
            <w:vMerge w:val="continue"/>
            <w:noWrap w:val="0"/>
            <w:vAlign w:val="center"/>
          </w:tcPr>
          <w:p w14:paraId="3BFE936B">
            <w:pPr>
              <w:widowControl/>
              <w:jc w:val="center"/>
              <w:rPr>
                <w:rFonts w:ascii="宋体" w:hAnsi="宋体" w:eastAsia="等线"/>
                <w:color w:val="auto"/>
                <w:highlight w:val="none"/>
              </w:rPr>
            </w:pPr>
          </w:p>
        </w:tc>
        <w:tc>
          <w:tcPr>
            <w:tcW w:w="1718" w:type="dxa"/>
            <w:noWrap w:val="0"/>
            <w:tcMar>
              <w:top w:w="0" w:type="dxa"/>
              <w:left w:w="105" w:type="dxa"/>
              <w:bottom w:w="0" w:type="dxa"/>
              <w:right w:w="105" w:type="dxa"/>
            </w:tcMar>
            <w:vAlign w:val="center"/>
          </w:tcPr>
          <w:p w14:paraId="7A70F420">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营业收入（Y）</w:t>
            </w:r>
          </w:p>
        </w:tc>
        <w:tc>
          <w:tcPr>
            <w:tcW w:w="702" w:type="dxa"/>
            <w:noWrap w:val="0"/>
            <w:tcMar>
              <w:top w:w="0" w:type="dxa"/>
              <w:left w:w="105" w:type="dxa"/>
              <w:bottom w:w="0" w:type="dxa"/>
              <w:right w:w="105" w:type="dxa"/>
            </w:tcMar>
            <w:vAlign w:val="center"/>
          </w:tcPr>
          <w:p w14:paraId="6C93848B">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万元</w:t>
            </w:r>
          </w:p>
        </w:tc>
        <w:tc>
          <w:tcPr>
            <w:tcW w:w="1892" w:type="dxa"/>
            <w:noWrap w:val="0"/>
            <w:tcMar>
              <w:top w:w="0" w:type="dxa"/>
              <w:left w:w="105" w:type="dxa"/>
              <w:bottom w:w="0" w:type="dxa"/>
              <w:right w:w="105" w:type="dxa"/>
            </w:tcMar>
            <w:vAlign w:val="center"/>
          </w:tcPr>
          <w:p w14:paraId="0D56166C">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3000≤Y＜30000</w:t>
            </w:r>
          </w:p>
        </w:tc>
        <w:tc>
          <w:tcPr>
            <w:tcW w:w="1709" w:type="dxa"/>
            <w:noWrap w:val="0"/>
            <w:tcMar>
              <w:top w:w="0" w:type="dxa"/>
              <w:left w:w="105" w:type="dxa"/>
              <w:bottom w:w="0" w:type="dxa"/>
              <w:right w:w="105" w:type="dxa"/>
            </w:tcMar>
            <w:vAlign w:val="center"/>
          </w:tcPr>
          <w:p w14:paraId="14281AD9">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200≤Y＜3000</w:t>
            </w:r>
          </w:p>
        </w:tc>
        <w:tc>
          <w:tcPr>
            <w:tcW w:w="1500" w:type="dxa"/>
            <w:noWrap w:val="0"/>
            <w:tcMar>
              <w:top w:w="0" w:type="dxa"/>
              <w:left w:w="105" w:type="dxa"/>
              <w:bottom w:w="0" w:type="dxa"/>
              <w:right w:w="105" w:type="dxa"/>
            </w:tcMar>
            <w:vAlign w:val="center"/>
          </w:tcPr>
          <w:p w14:paraId="250C423C">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Y＜200</w:t>
            </w:r>
          </w:p>
        </w:tc>
      </w:tr>
      <w:tr w14:paraId="7927FC3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46" w:type="dxa"/>
            <w:vMerge w:val="restart"/>
            <w:noWrap w:val="0"/>
            <w:tcMar>
              <w:top w:w="0" w:type="dxa"/>
              <w:left w:w="105" w:type="dxa"/>
              <w:bottom w:w="0" w:type="dxa"/>
              <w:right w:w="105" w:type="dxa"/>
            </w:tcMar>
            <w:vAlign w:val="center"/>
          </w:tcPr>
          <w:p w14:paraId="2B50CFFD">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仓储业</w:t>
            </w:r>
          </w:p>
        </w:tc>
        <w:tc>
          <w:tcPr>
            <w:tcW w:w="1718" w:type="dxa"/>
            <w:noWrap w:val="0"/>
            <w:tcMar>
              <w:top w:w="0" w:type="dxa"/>
              <w:left w:w="105" w:type="dxa"/>
              <w:bottom w:w="0" w:type="dxa"/>
              <w:right w:w="105" w:type="dxa"/>
            </w:tcMar>
            <w:vAlign w:val="center"/>
          </w:tcPr>
          <w:p w14:paraId="4883848E">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从业人员（X）</w:t>
            </w:r>
          </w:p>
        </w:tc>
        <w:tc>
          <w:tcPr>
            <w:tcW w:w="702" w:type="dxa"/>
            <w:noWrap w:val="0"/>
            <w:tcMar>
              <w:top w:w="0" w:type="dxa"/>
              <w:left w:w="105" w:type="dxa"/>
              <w:bottom w:w="0" w:type="dxa"/>
              <w:right w:w="105" w:type="dxa"/>
            </w:tcMar>
            <w:vAlign w:val="center"/>
          </w:tcPr>
          <w:p w14:paraId="338B7EB6">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人</w:t>
            </w:r>
          </w:p>
        </w:tc>
        <w:tc>
          <w:tcPr>
            <w:tcW w:w="1892" w:type="dxa"/>
            <w:noWrap w:val="0"/>
            <w:tcMar>
              <w:top w:w="0" w:type="dxa"/>
              <w:left w:w="105" w:type="dxa"/>
              <w:bottom w:w="0" w:type="dxa"/>
              <w:right w:w="105" w:type="dxa"/>
            </w:tcMar>
            <w:vAlign w:val="center"/>
          </w:tcPr>
          <w:p w14:paraId="0A2FF5A9">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100≤X＜200</w:t>
            </w:r>
          </w:p>
        </w:tc>
        <w:tc>
          <w:tcPr>
            <w:tcW w:w="1709" w:type="dxa"/>
            <w:noWrap w:val="0"/>
            <w:tcMar>
              <w:top w:w="0" w:type="dxa"/>
              <w:left w:w="105" w:type="dxa"/>
              <w:bottom w:w="0" w:type="dxa"/>
              <w:right w:w="105" w:type="dxa"/>
            </w:tcMar>
            <w:vAlign w:val="center"/>
          </w:tcPr>
          <w:p w14:paraId="182FE4CB">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20≤X＜100</w:t>
            </w:r>
          </w:p>
        </w:tc>
        <w:tc>
          <w:tcPr>
            <w:tcW w:w="1500" w:type="dxa"/>
            <w:noWrap w:val="0"/>
            <w:tcMar>
              <w:top w:w="0" w:type="dxa"/>
              <w:left w:w="105" w:type="dxa"/>
              <w:bottom w:w="0" w:type="dxa"/>
              <w:right w:w="105" w:type="dxa"/>
            </w:tcMar>
            <w:vAlign w:val="center"/>
          </w:tcPr>
          <w:p w14:paraId="2C658F2E">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X＜20</w:t>
            </w:r>
          </w:p>
        </w:tc>
      </w:tr>
      <w:tr w14:paraId="3D38B4C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46" w:type="dxa"/>
            <w:vMerge w:val="continue"/>
            <w:noWrap w:val="0"/>
            <w:vAlign w:val="center"/>
          </w:tcPr>
          <w:p w14:paraId="68A57E0C">
            <w:pPr>
              <w:widowControl/>
              <w:jc w:val="center"/>
              <w:rPr>
                <w:rFonts w:ascii="宋体" w:hAnsi="宋体" w:eastAsia="等线"/>
                <w:color w:val="auto"/>
                <w:highlight w:val="none"/>
              </w:rPr>
            </w:pPr>
          </w:p>
        </w:tc>
        <w:tc>
          <w:tcPr>
            <w:tcW w:w="1718" w:type="dxa"/>
            <w:noWrap w:val="0"/>
            <w:tcMar>
              <w:top w:w="0" w:type="dxa"/>
              <w:left w:w="105" w:type="dxa"/>
              <w:bottom w:w="0" w:type="dxa"/>
              <w:right w:w="105" w:type="dxa"/>
            </w:tcMar>
            <w:vAlign w:val="center"/>
          </w:tcPr>
          <w:p w14:paraId="0322A923">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营业收入（Y）</w:t>
            </w:r>
          </w:p>
        </w:tc>
        <w:tc>
          <w:tcPr>
            <w:tcW w:w="702" w:type="dxa"/>
            <w:noWrap w:val="0"/>
            <w:tcMar>
              <w:top w:w="0" w:type="dxa"/>
              <w:left w:w="105" w:type="dxa"/>
              <w:bottom w:w="0" w:type="dxa"/>
              <w:right w:w="105" w:type="dxa"/>
            </w:tcMar>
            <w:vAlign w:val="center"/>
          </w:tcPr>
          <w:p w14:paraId="2BED19A4">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万元</w:t>
            </w:r>
          </w:p>
        </w:tc>
        <w:tc>
          <w:tcPr>
            <w:tcW w:w="1892" w:type="dxa"/>
            <w:noWrap w:val="0"/>
            <w:tcMar>
              <w:top w:w="0" w:type="dxa"/>
              <w:left w:w="105" w:type="dxa"/>
              <w:bottom w:w="0" w:type="dxa"/>
              <w:right w:w="105" w:type="dxa"/>
            </w:tcMar>
            <w:vAlign w:val="center"/>
          </w:tcPr>
          <w:p w14:paraId="56830E2D">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1000≤Y＜30000</w:t>
            </w:r>
          </w:p>
        </w:tc>
        <w:tc>
          <w:tcPr>
            <w:tcW w:w="1709" w:type="dxa"/>
            <w:noWrap w:val="0"/>
            <w:tcMar>
              <w:top w:w="0" w:type="dxa"/>
              <w:left w:w="105" w:type="dxa"/>
              <w:bottom w:w="0" w:type="dxa"/>
              <w:right w:w="105" w:type="dxa"/>
            </w:tcMar>
            <w:vAlign w:val="center"/>
          </w:tcPr>
          <w:p w14:paraId="293AEBDB">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100≤Y＜1000</w:t>
            </w:r>
          </w:p>
        </w:tc>
        <w:tc>
          <w:tcPr>
            <w:tcW w:w="1500" w:type="dxa"/>
            <w:noWrap w:val="0"/>
            <w:tcMar>
              <w:top w:w="0" w:type="dxa"/>
              <w:left w:w="105" w:type="dxa"/>
              <w:bottom w:w="0" w:type="dxa"/>
              <w:right w:w="105" w:type="dxa"/>
            </w:tcMar>
            <w:vAlign w:val="center"/>
          </w:tcPr>
          <w:p w14:paraId="03791404">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Y＜100</w:t>
            </w:r>
          </w:p>
        </w:tc>
      </w:tr>
      <w:tr w14:paraId="3F512D0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46" w:type="dxa"/>
            <w:vMerge w:val="restart"/>
            <w:noWrap w:val="0"/>
            <w:tcMar>
              <w:top w:w="0" w:type="dxa"/>
              <w:left w:w="105" w:type="dxa"/>
              <w:bottom w:w="0" w:type="dxa"/>
              <w:right w:w="105" w:type="dxa"/>
            </w:tcMar>
            <w:vAlign w:val="center"/>
          </w:tcPr>
          <w:p w14:paraId="0E207312">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邮政业</w:t>
            </w:r>
          </w:p>
        </w:tc>
        <w:tc>
          <w:tcPr>
            <w:tcW w:w="1718" w:type="dxa"/>
            <w:noWrap w:val="0"/>
            <w:tcMar>
              <w:top w:w="0" w:type="dxa"/>
              <w:left w:w="105" w:type="dxa"/>
              <w:bottom w:w="0" w:type="dxa"/>
              <w:right w:w="105" w:type="dxa"/>
            </w:tcMar>
            <w:vAlign w:val="center"/>
          </w:tcPr>
          <w:p w14:paraId="01DC4E5A">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从业人员（X）</w:t>
            </w:r>
          </w:p>
        </w:tc>
        <w:tc>
          <w:tcPr>
            <w:tcW w:w="702" w:type="dxa"/>
            <w:noWrap w:val="0"/>
            <w:tcMar>
              <w:top w:w="0" w:type="dxa"/>
              <w:left w:w="105" w:type="dxa"/>
              <w:bottom w:w="0" w:type="dxa"/>
              <w:right w:w="105" w:type="dxa"/>
            </w:tcMar>
            <w:vAlign w:val="center"/>
          </w:tcPr>
          <w:p w14:paraId="0380EA02">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人</w:t>
            </w:r>
          </w:p>
        </w:tc>
        <w:tc>
          <w:tcPr>
            <w:tcW w:w="1892" w:type="dxa"/>
            <w:noWrap w:val="0"/>
            <w:tcMar>
              <w:top w:w="0" w:type="dxa"/>
              <w:left w:w="105" w:type="dxa"/>
              <w:bottom w:w="0" w:type="dxa"/>
              <w:right w:w="105" w:type="dxa"/>
            </w:tcMar>
            <w:vAlign w:val="center"/>
          </w:tcPr>
          <w:p w14:paraId="00566F42">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300≤X＜1000</w:t>
            </w:r>
          </w:p>
        </w:tc>
        <w:tc>
          <w:tcPr>
            <w:tcW w:w="1709" w:type="dxa"/>
            <w:noWrap w:val="0"/>
            <w:tcMar>
              <w:top w:w="0" w:type="dxa"/>
              <w:left w:w="105" w:type="dxa"/>
              <w:bottom w:w="0" w:type="dxa"/>
              <w:right w:w="105" w:type="dxa"/>
            </w:tcMar>
            <w:vAlign w:val="center"/>
          </w:tcPr>
          <w:p w14:paraId="1AC4F092">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20≤X＜300</w:t>
            </w:r>
          </w:p>
        </w:tc>
        <w:tc>
          <w:tcPr>
            <w:tcW w:w="1500" w:type="dxa"/>
            <w:noWrap w:val="0"/>
            <w:tcMar>
              <w:top w:w="0" w:type="dxa"/>
              <w:left w:w="105" w:type="dxa"/>
              <w:bottom w:w="0" w:type="dxa"/>
              <w:right w:w="105" w:type="dxa"/>
            </w:tcMar>
            <w:vAlign w:val="center"/>
          </w:tcPr>
          <w:p w14:paraId="1416548E">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X＜20</w:t>
            </w:r>
          </w:p>
        </w:tc>
      </w:tr>
      <w:tr w14:paraId="1BB8D1F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46" w:type="dxa"/>
            <w:vMerge w:val="continue"/>
            <w:noWrap w:val="0"/>
            <w:vAlign w:val="center"/>
          </w:tcPr>
          <w:p w14:paraId="2C71D95C">
            <w:pPr>
              <w:widowControl/>
              <w:jc w:val="center"/>
              <w:rPr>
                <w:rFonts w:ascii="宋体" w:hAnsi="宋体" w:eastAsia="等线"/>
                <w:color w:val="auto"/>
                <w:highlight w:val="none"/>
              </w:rPr>
            </w:pPr>
          </w:p>
        </w:tc>
        <w:tc>
          <w:tcPr>
            <w:tcW w:w="1718" w:type="dxa"/>
            <w:noWrap w:val="0"/>
            <w:tcMar>
              <w:top w:w="0" w:type="dxa"/>
              <w:left w:w="105" w:type="dxa"/>
              <w:bottom w:w="0" w:type="dxa"/>
              <w:right w:w="105" w:type="dxa"/>
            </w:tcMar>
            <w:vAlign w:val="center"/>
          </w:tcPr>
          <w:p w14:paraId="7F6456D2">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营业收入（Y）</w:t>
            </w:r>
          </w:p>
        </w:tc>
        <w:tc>
          <w:tcPr>
            <w:tcW w:w="702" w:type="dxa"/>
            <w:noWrap w:val="0"/>
            <w:tcMar>
              <w:top w:w="0" w:type="dxa"/>
              <w:left w:w="105" w:type="dxa"/>
              <w:bottom w:w="0" w:type="dxa"/>
              <w:right w:w="105" w:type="dxa"/>
            </w:tcMar>
            <w:vAlign w:val="center"/>
          </w:tcPr>
          <w:p w14:paraId="66F2F9C0">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万元</w:t>
            </w:r>
          </w:p>
        </w:tc>
        <w:tc>
          <w:tcPr>
            <w:tcW w:w="1892" w:type="dxa"/>
            <w:noWrap w:val="0"/>
            <w:tcMar>
              <w:top w:w="0" w:type="dxa"/>
              <w:left w:w="105" w:type="dxa"/>
              <w:bottom w:w="0" w:type="dxa"/>
              <w:right w:w="105" w:type="dxa"/>
            </w:tcMar>
            <w:vAlign w:val="center"/>
          </w:tcPr>
          <w:p w14:paraId="7EDD790B">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2000≤Y＜30000</w:t>
            </w:r>
          </w:p>
        </w:tc>
        <w:tc>
          <w:tcPr>
            <w:tcW w:w="1709" w:type="dxa"/>
            <w:noWrap w:val="0"/>
            <w:tcMar>
              <w:top w:w="0" w:type="dxa"/>
              <w:left w:w="105" w:type="dxa"/>
              <w:bottom w:w="0" w:type="dxa"/>
              <w:right w:w="105" w:type="dxa"/>
            </w:tcMar>
            <w:vAlign w:val="center"/>
          </w:tcPr>
          <w:p w14:paraId="5E3ADAC5">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100≤Y＜2000</w:t>
            </w:r>
          </w:p>
        </w:tc>
        <w:tc>
          <w:tcPr>
            <w:tcW w:w="1500" w:type="dxa"/>
            <w:noWrap w:val="0"/>
            <w:tcMar>
              <w:top w:w="0" w:type="dxa"/>
              <w:left w:w="105" w:type="dxa"/>
              <w:bottom w:w="0" w:type="dxa"/>
              <w:right w:w="105" w:type="dxa"/>
            </w:tcMar>
            <w:vAlign w:val="center"/>
          </w:tcPr>
          <w:p w14:paraId="1E4AF2B5">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Y＜100</w:t>
            </w:r>
          </w:p>
        </w:tc>
      </w:tr>
      <w:tr w14:paraId="393C7AA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46" w:type="dxa"/>
            <w:vMerge w:val="restart"/>
            <w:noWrap w:val="0"/>
            <w:tcMar>
              <w:top w:w="0" w:type="dxa"/>
              <w:left w:w="105" w:type="dxa"/>
              <w:bottom w:w="0" w:type="dxa"/>
              <w:right w:w="105" w:type="dxa"/>
            </w:tcMar>
            <w:vAlign w:val="center"/>
          </w:tcPr>
          <w:p w14:paraId="49531D7D">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住宿业</w:t>
            </w:r>
          </w:p>
        </w:tc>
        <w:tc>
          <w:tcPr>
            <w:tcW w:w="1718" w:type="dxa"/>
            <w:noWrap w:val="0"/>
            <w:tcMar>
              <w:top w:w="0" w:type="dxa"/>
              <w:left w:w="105" w:type="dxa"/>
              <w:bottom w:w="0" w:type="dxa"/>
              <w:right w:w="105" w:type="dxa"/>
            </w:tcMar>
            <w:vAlign w:val="center"/>
          </w:tcPr>
          <w:p w14:paraId="26FB97A1">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从业人员（X）</w:t>
            </w:r>
          </w:p>
        </w:tc>
        <w:tc>
          <w:tcPr>
            <w:tcW w:w="702" w:type="dxa"/>
            <w:noWrap w:val="0"/>
            <w:tcMar>
              <w:top w:w="0" w:type="dxa"/>
              <w:left w:w="105" w:type="dxa"/>
              <w:bottom w:w="0" w:type="dxa"/>
              <w:right w:w="105" w:type="dxa"/>
            </w:tcMar>
            <w:vAlign w:val="center"/>
          </w:tcPr>
          <w:p w14:paraId="55988B42">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人</w:t>
            </w:r>
          </w:p>
        </w:tc>
        <w:tc>
          <w:tcPr>
            <w:tcW w:w="1892" w:type="dxa"/>
            <w:noWrap w:val="0"/>
            <w:tcMar>
              <w:top w:w="0" w:type="dxa"/>
              <w:left w:w="105" w:type="dxa"/>
              <w:bottom w:w="0" w:type="dxa"/>
              <w:right w:w="105" w:type="dxa"/>
            </w:tcMar>
            <w:vAlign w:val="center"/>
          </w:tcPr>
          <w:p w14:paraId="05DF6048">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100≤X＜300</w:t>
            </w:r>
          </w:p>
        </w:tc>
        <w:tc>
          <w:tcPr>
            <w:tcW w:w="1709" w:type="dxa"/>
            <w:noWrap w:val="0"/>
            <w:tcMar>
              <w:top w:w="0" w:type="dxa"/>
              <w:left w:w="105" w:type="dxa"/>
              <w:bottom w:w="0" w:type="dxa"/>
              <w:right w:w="105" w:type="dxa"/>
            </w:tcMar>
            <w:vAlign w:val="center"/>
          </w:tcPr>
          <w:p w14:paraId="728D4043">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10≤X＜100</w:t>
            </w:r>
          </w:p>
        </w:tc>
        <w:tc>
          <w:tcPr>
            <w:tcW w:w="1500" w:type="dxa"/>
            <w:noWrap w:val="0"/>
            <w:tcMar>
              <w:top w:w="0" w:type="dxa"/>
              <w:left w:w="105" w:type="dxa"/>
              <w:bottom w:w="0" w:type="dxa"/>
              <w:right w:w="105" w:type="dxa"/>
            </w:tcMar>
            <w:vAlign w:val="center"/>
          </w:tcPr>
          <w:p w14:paraId="02FC3498">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X＜10</w:t>
            </w:r>
          </w:p>
        </w:tc>
      </w:tr>
      <w:tr w14:paraId="39345EE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46" w:type="dxa"/>
            <w:vMerge w:val="continue"/>
            <w:noWrap w:val="0"/>
            <w:vAlign w:val="center"/>
          </w:tcPr>
          <w:p w14:paraId="4AA1579A">
            <w:pPr>
              <w:widowControl/>
              <w:jc w:val="center"/>
              <w:rPr>
                <w:rFonts w:ascii="宋体" w:hAnsi="宋体" w:eastAsia="等线"/>
                <w:color w:val="auto"/>
                <w:highlight w:val="none"/>
              </w:rPr>
            </w:pPr>
          </w:p>
        </w:tc>
        <w:tc>
          <w:tcPr>
            <w:tcW w:w="1718" w:type="dxa"/>
            <w:noWrap w:val="0"/>
            <w:tcMar>
              <w:top w:w="0" w:type="dxa"/>
              <w:left w:w="105" w:type="dxa"/>
              <w:bottom w:w="0" w:type="dxa"/>
              <w:right w:w="105" w:type="dxa"/>
            </w:tcMar>
            <w:vAlign w:val="center"/>
          </w:tcPr>
          <w:p w14:paraId="03BEBD0B">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营业收入（Y）</w:t>
            </w:r>
          </w:p>
        </w:tc>
        <w:tc>
          <w:tcPr>
            <w:tcW w:w="702" w:type="dxa"/>
            <w:noWrap w:val="0"/>
            <w:tcMar>
              <w:top w:w="0" w:type="dxa"/>
              <w:left w:w="105" w:type="dxa"/>
              <w:bottom w:w="0" w:type="dxa"/>
              <w:right w:w="105" w:type="dxa"/>
            </w:tcMar>
            <w:vAlign w:val="center"/>
          </w:tcPr>
          <w:p w14:paraId="1BC4CE4F">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万元</w:t>
            </w:r>
          </w:p>
        </w:tc>
        <w:tc>
          <w:tcPr>
            <w:tcW w:w="1892" w:type="dxa"/>
            <w:noWrap w:val="0"/>
            <w:tcMar>
              <w:top w:w="0" w:type="dxa"/>
              <w:left w:w="105" w:type="dxa"/>
              <w:bottom w:w="0" w:type="dxa"/>
              <w:right w:w="105" w:type="dxa"/>
            </w:tcMar>
            <w:vAlign w:val="center"/>
          </w:tcPr>
          <w:p w14:paraId="36C2CFA6">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2000≤Y＜10000</w:t>
            </w:r>
          </w:p>
        </w:tc>
        <w:tc>
          <w:tcPr>
            <w:tcW w:w="1709" w:type="dxa"/>
            <w:noWrap w:val="0"/>
            <w:tcMar>
              <w:top w:w="0" w:type="dxa"/>
              <w:left w:w="105" w:type="dxa"/>
              <w:bottom w:w="0" w:type="dxa"/>
              <w:right w:w="105" w:type="dxa"/>
            </w:tcMar>
            <w:vAlign w:val="center"/>
          </w:tcPr>
          <w:p w14:paraId="1F888467">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100≤Y＜2000</w:t>
            </w:r>
          </w:p>
        </w:tc>
        <w:tc>
          <w:tcPr>
            <w:tcW w:w="1500" w:type="dxa"/>
            <w:noWrap w:val="0"/>
            <w:tcMar>
              <w:top w:w="0" w:type="dxa"/>
              <w:left w:w="105" w:type="dxa"/>
              <w:bottom w:w="0" w:type="dxa"/>
              <w:right w:w="105" w:type="dxa"/>
            </w:tcMar>
            <w:vAlign w:val="center"/>
          </w:tcPr>
          <w:p w14:paraId="22080737">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Y＜100</w:t>
            </w:r>
          </w:p>
        </w:tc>
      </w:tr>
      <w:tr w14:paraId="7A33CBB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46" w:type="dxa"/>
            <w:vMerge w:val="restart"/>
            <w:noWrap w:val="0"/>
            <w:tcMar>
              <w:top w:w="0" w:type="dxa"/>
              <w:left w:w="105" w:type="dxa"/>
              <w:bottom w:w="0" w:type="dxa"/>
              <w:right w:w="105" w:type="dxa"/>
            </w:tcMar>
            <w:vAlign w:val="center"/>
          </w:tcPr>
          <w:p w14:paraId="432F8605">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餐饮业</w:t>
            </w:r>
          </w:p>
        </w:tc>
        <w:tc>
          <w:tcPr>
            <w:tcW w:w="1718" w:type="dxa"/>
            <w:noWrap w:val="0"/>
            <w:tcMar>
              <w:top w:w="0" w:type="dxa"/>
              <w:left w:w="105" w:type="dxa"/>
              <w:bottom w:w="0" w:type="dxa"/>
              <w:right w:w="105" w:type="dxa"/>
            </w:tcMar>
            <w:vAlign w:val="center"/>
          </w:tcPr>
          <w:p w14:paraId="4EB448D7">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从业人员（X）</w:t>
            </w:r>
          </w:p>
        </w:tc>
        <w:tc>
          <w:tcPr>
            <w:tcW w:w="702" w:type="dxa"/>
            <w:noWrap w:val="0"/>
            <w:tcMar>
              <w:top w:w="0" w:type="dxa"/>
              <w:left w:w="105" w:type="dxa"/>
              <w:bottom w:w="0" w:type="dxa"/>
              <w:right w:w="105" w:type="dxa"/>
            </w:tcMar>
            <w:vAlign w:val="center"/>
          </w:tcPr>
          <w:p w14:paraId="33B3571B">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人</w:t>
            </w:r>
          </w:p>
        </w:tc>
        <w:tc>
          <w:tcPr>
            <w:tcW w:w="1892" w:type="dxa"/>
            <w:noWrap w:val="0"/>
            <w:tcMar>
              <w:top w:w="0" w:type="dxa"/>
              <w:left w:w="105" w:type="dxa"/>
              <w:bottom w:w="0" w:type="dxa"/>
              <w:right w:w="105" w:type="dxa"/>
            </w:tcMar>
            <w:vAlign w:val="center"/>
          </w:tcPr>
          <w:p w14:paraId="02836894">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100≤X＜300</w:t>
            </w:r>
          </w:p>
        </w:tc>
        <w:tc>
          <w:tcPr>
            <w:tcW w:w="1709" w:type="dxa"/>
            <w:noWrap w:val="0"/>
            <w:tcMar>
              <w:top w:w="0" w:type="dxa"/>
              <w:left w:w="105" w:type="dxa"/>
              <w:bottom w:w="0" w:type="dxa"/>
              <w:right w:w="105" w:type="dxa"/>
            </w:tcMar>
            <w:vAlign w:val="center"/>
          </w:tcPr>
          <w:p w14:paraId="7595673B">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10≤X＜100</w:t>
            </w:r>
          </w:p>
        </w:tc>
        <w:tc>
          <w:tcPr>
            <w:tcW w:w="1500" w:type="dxa"/>
            <w:noWrap w:val="0"/>
            <w:tcMar>
              <w:top w:w="0" w:type="dxa"/>
              <w:left w:w="105" w:type="dxa"/>
              <w:bottom w:w="0" w:type="dxa"/>
              <w:right w:w="105" w:type="dxa"/>
            </w:tcMar>
            <w:vAlign w:val="center"/>
          </w:tcPr>
          <w:p w14:paraId="71E1EEE5">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X＜10</w:t>
            </w:r>
          </w:p>
        </w:tc>
      </w:tr>
      <w:tr w14:paraId="5467D43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46" w:type="dxa"/>
            <w:vMerge w:val="continue"/>
            <w:noWrap w:val="0"/>
            <w:vAlign w:val="center"/>
          </w:tcPr>
          <w:p w14:paraId="24461BBE">
            <w:pPr>
              <w:widowControl/>
              <w:jc w:val="center"/>
              <w:rPr>
                <w:rFonts w:ascii="宋体" w:hAnsi="宋体" w:eastAsia="等线"/>
                <w:color w:val="auto"/>
                <w:highlight w:val="none"/>
              </w:rPr>
            </w:pPr>
          </w:p>
        </w:tc>
        <w:tc>
          <w:tcPr>
            <w:tcW w:w="1718" w:type="dxa"/>
            <w:noWrap w:val="0"/>
            <w:tcMar>
              <w:top w:w="0" w:type="dxa"/>
              <w:left w:w="105" w:type="dxa"/>
              <w:bottom w:w="0" w:type="dxa"/>
              <w:right w:w="105" w:type="dxa"/>
            </w:tcMar>
            <w:vAlign w:val="center"/>
          </w:tcPr>
          <w:p w14:paraId="5EAFB802">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营业收入（Y）</w:t>
            </w:r>
          </w:p>
        </w:tc>
        <w:tc>
          <w:tcPr>
            <w:tcW w:w="702" w:type="dxa"/>
            <w:noWrap w:val="0"/>
            <w:tcMar>
              <w:top w:w="0" w:type="dxa"/>
              <w:left w:w="105" w:type="dxa"/>
              <w:bottom w:w="0" w:type="dxa"/>
              <w:right w:w="105" w:type="dxa"/>
            </w:tcMar>
            <w:vAlign w:val="center"/>
          </w:tcPr>
          <w:p w14:paraId="185161E3">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万元</w:t>
            </w:r>
          </w:p>
        </w:tc>
        <w:tc>
          <w:tcPr>
            <w:tcW w:w="1892" w:type="dxa"/>
            <w:noWrap w:val="0"/>
            <w:tcMar>
              <w:top w:w="0" w:type="dxa"/>
              <w:left w:w="105" w:type="dxa"/>
              <w:bottom w:w="0" w:type="dxa"/>
              <w:right w:w="105" w:type="dxa"/>
            </w:tcMar>
            <w:vAlign w:val="center"/>
          </w:tcPr>
          <w:p w14:paraId="0949F8E9">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2000≤Y＜10000</w:t>
            </w:r>
          </w:p>
        </w:tc>
        <w:tc>
          <w:tcPr>
            <w:tcW w:w="1709" w:type="dxa"/>
            <w:noWrap w:val="0"/>
            <w:tcMar>
              <w:top w:w="0" w:type="dxa"/>
              <w:left w:w="105" w:type="dxa"/>
              <w:bottom w:w="0" w:type="dxa"/>
              <w:right w:w="105" w:type="dxa"/>
            </w:tcMar>
            <w:vAlign w:val="center"/>
          </w:tcPr>
          <w:p w14:paraId="0F72F07A">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100≤Y＜2000</w:t>
            </w:r>
          </w:p>
        </w:tc>
        <w:tc>
          <w:tcPr>
            <w:tcW w:w="1500" w:type="dxa"/>
            <w:noWrap w:val="0"/>
            <w:tcMar>
              <w:top w:w="0" w:type="dxa"/>
              <w:left w:w="105" w:type="dxa"/>
              <w:bottom w:w="0" w:type="dxa"/>
              <w:right w:w="105" w:type="dxa"/>
            </w:tcMar>
            <w:vAlign w:val="center"/>
          </w:tcPr>
          <w:p w14:paraId="5BA78416">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Y＜100</w:t>
            </w:r>
          </w:p>
        </w:tc>
      </w:tr>
      <w:tr w14:paraId="167EB74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46" w:type="dxa"/>
            <w:vMerge w:val="restart"/>
            <w:noWrap w:val="0"/>
            <w:tcMar>
              <w:top w:w="0" w:type="dxa"/>
              <w:left w:w="105" w:type="dxa"/>
              <w:bottom w:w="0" w:type="dxa"/>
              <w:right w:w="105" w:type="dxa"/>
            </w:tcMar>
            <w:vAlign w:val="center"/>
          </w:tcPr>
          <w:p w14:paraId="0007A18F">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信息传输业</w:t>
            </w:r>
          </w:p>
        </w:tc>
        <w:tc>
          <w:tcPr>
            <w:tcW w:w="1718" w:type="dxa"/>
            <w:noWrap w:val="0"/>
            <w:tcMar>
              <w:top w:w="0" w:type="dxa"/>
              <w:left w:w="105" w:type="dxa"/>
              <w:bottom w:w="0" w:type="dxa"/>
              <w:right w:w="105" w:type="dxa"/>
            </w:tcMar>
            <w:vAlign w:val="center"/>
          </w:tcPr>
          <w:p w14:paraId="404EC0C4">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从业人员（X）</w:t>
            </w:r>
          </w:p>
        </w:tc>
        <w:tc>
          <w:tcPr>
            <w:tcW w:w="702" w:type="dxa"/>
            <w:noWrap w:val="0"/>
            <w:tcMar>
              <w:top w:w="0" w:type="dxa"/>
              <w:left w:w="105" w:type="dxa"/>
              <w:bottom w:w="0" w:type="dxa"/>
              <w:right w:w="105" w:type="dxa"/>
            </w:tcMar>
            <w:vAlign w:val="center"/>
          </w:tcPr>
          <w:p w14:paraId="011E5C27">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人</w:t>
            </w:r>
          </w:p>
        </w:tc>
        <w:tc>
          <w:tcPr>
            <w:tcW w:w="1892" w:type="dxa"/>
            <w:noWrap w:val="0"/>
            <w:tcMar>
              <w:top w:w="0" w:type="dxa"/>
              <w:left w:w="105" w:type="dxa"/>
              <w:bottom w:w="0" w:type="dxa"/>
              <w:right w:w="105" w:type="dxa"/>
            </w:tcMar>
            <w:vAlign w:val="center"/>
          </w:tcPr>
          <w:p w14:paraId="695F9101">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100≤X＜2000</w:t>
            </w:r>
          </w:p>
        </w:tc>
        <w:tc>
          <w:tcPr>
            <w:tcW w:w="1709" w:type="dxa"/>
            <w:noWrap w:val="0"/>
            <w:tcMar>
              <w:top w:w="0" w:type="dxa"/>
              <w:left w:w="105" w:type="dxa"/>
              <w:bottom w:w="0" w:type="dxa"/>
              <w:right w:w="105" w:type="dxa"/>
            </w:tcMar>
            <w:vAlign w:val="center"/>
          </w:tcPr>
          <w:p w14:paraId="25E54791">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10≤X＜100</w:t>
            </w:r>
          </w:p>
        </w:tc>
        <w:tc>
          <w:tcPr>
            <w:tcW w:w="1500" w:type="dxa"/>
            <w:noWrap w:val="0"/>
            <w:tcMar>
              <w:top w:w="0" w:type="dxa"/>
              <w:left w:w="105" w:type="dxa"/>
              <w:bottom w:w="0" w:type="dxa"/>
              <w:right w:w="105" w:type="dxa"/>
            </w:tcMar>
            <w:vAlign w:val="center"/>
          </w:tcPr>
          <w:p w14:paraId="22AA473A">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X＜10</w:t>
            </w:r>
          </w:p>
        </w:tc>
      </w:tr>
      <w:tr w14:paraId="46EF2CC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46" w:type="dxa"/>
            <w:vMerge w:val="continue"/>
            <w:noWrap w:val="0"/>
            <w:vAlign w:val="center"/>
          </w:tcPr>
          <w:p w14:paraId="7A44220C">
            <w:pPr>
              <w:widowControl/>
              <w:jc w:val="center"/>
              <w:rPr>
                <w:rFonts w:ascii="宋体" w:hAnsi="宋体" w:eastAsia="等线"/>
                <w:color w:val="auto"/>
                <w:highlight w:val="none"/>
              </w:rPr>
            </w:pPr>
          </w:p>
        </w:tc>
        <w:tc>
          <w:tcPr>
            <w:tcW w:w="1718" w:type="dxa"/>
            <w:noWrap w:val="0"/>
            <w:tcMar>
              <w:top w:w="0" w:type="dxa"/>
              <w:left w:w="105" w:type="dxa"/>
              <w:bottom w:w="0" w:type="dxa"/>
              <w:right w:w="105" w:type="dxa"/>
            </w:tcMar>
            <w:vAlign w:val="center"/>
          </w:tcPr>
          <w:p w14:paraId="5E17D52A">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营业收入（Y）</w:t>
            </w:r>
          </w:p>
        </w:tc>
        <w:tc>
          <w:tcPr>
            <w:tcW w:w="702" w:type="dxa"/>
            <w:noWrap w:val="0"/>
            <w:tcMar>
              <w:top w:w="0" w:type="dxa"/>
              <w:left w:w="105" w:type="dxa"/>
              <w:bottom w:w="0" w:type="dxa"/>
              <w:right w:w="105" w:type="dxa"/>
            </w:tcMar>
            <w:vAlign w:val="center"/>
          </w:tcPr>
          <w:p w14:paraId="26638598">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万元</w:t>
            </w:r>
          </w:p>
        </w:tc>
        <w:tc>
          <w:tcPr>
            <w:tcW w:w="1892" w:type="dxa"/>
            <w:noWrap w:val="0"/>
            <w:tcMar>
              <w:top w:w="0" w:type="dxa"/>
              <w:left w:w="105" w:type="dxa"/>
              <w:bottom w:w="0" w:type="dxa"/>
              <w:right w:w="105" w:type="dxa"/>
            </w:tcMar>
            <w:vAlign w:val="center"/>
          </w:tcPr>
          <w:p w14:paraId="437B48D3">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1000≤Y＜100000</w:t>
            </w:r>
          </w:p>
        </w:tc>
        <w:tc>
          <w:tcPr>
            <w:tcW w:w="1709" w:type="dxa"/>
            <w:noWrap w:val="0"/>
            <w:tcMar>
              <w:top w:w="0" w:type="dxa"/>
              <w:left w:w="105" w:type="dxa"/>
              <w:bottom w:w="0" w:type="dxa"/>
              <w:right w:w="105" w:type="dxa"/>
            </w:tcMar>
            <w:vAlign w:val="center"/>
          </w:tcPr>
          <w:p w14:paraId="25DDEEB9">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100≤Y＜1000</w:t>
            </w:r>
          </w:p>
        </w:tc>
        <w:tc>
          <w:tcPr>
            <w:tcW w:w="1500" w:type="dxa"/>
            <w:noWrap w:val="0"/>
            <w:tcMar>
              <w:top w:w="0" w:type="dxa"/>
              <w:left w:w="105" w:type="dxa"/>
              <w:bottom w:w="0" w:type="dxa"/>
              <w:right w:w="105" w:type="dxa"/>
            </w:tcMar>
            <w:vAlign w:val="center"/>
          </w:tcPr>
          <w:p w14:paraId="3C6F4750">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Y＜100</w:t>
            </w:r>
          </w:p>
        </w:tc>
      </w:tr>
      <w:tr w14:paraId="5BCD217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46" w:type="dxa"/>
            <w:vMerge w:val="restart"/>
            <w:noWrap w:val="0"/>
            <w:tcMar>
              <w:top w:w="0" w:type="dxa"/>
              <w:left w:w="105" w:type="dxa"/>
              <w:bottom w:w="0" w:type="dxa"/>
              <w:right w:w="105" w:type="dxa"/>
            </w:tcMar>
            <w:vAlign w:val="center"/>
          </w:tcPr>
          <w:p w14:paraId="3BF1E493">
            <w:pPr>
              <w:widowControl/>
              <w:spacing w:after="150" w:line="360" w:lineRule="auto"/>
              <w:ind w:firstLine="420"/>
              <w:jc w:val="center"/>
              <w:rPr>
                <w:rFonts w:ascii="宋体" w:hAnsi="宋体"/>
                <w:color w:val="auto"/>
                <w:highlight w:val="none"/>
              </w:rPr>
            </w:pPr>
            <w:r>
              <w:rPr>
                <w:rFonts w:hint="eastAsia" w:ascii="宋体" w:hAnsi="宋体" w:eastAsia="等线" w:cs="仿宋"/>
                <w:b/>
                <w:color w:val="auto"/>
                <w:highlight w:val="none"/>
              </w:rPr>
              <w:t>软件和信息技术服务业</w:t>
            </w:r>
          </w:p>
        </w:tc>
        <w:tc>
          <w:tcPr>
            <w:tcW w:w="1718" w:type="dxa"/>
            <w:noWrap w:val="0"/>
            <w:tcMar>
              <w:top w:w="0" w:type="dxa"/>
              <w:left w:w="105" w:type="dxa"/>
              <w:bottom w:w="0" w:type="dxa"/>
              <w:right w:w="105" w:type="dxa"/>
            </w:tcMar>
            <w:vAlign w:val="center"/>
          </w:tcPr>
          <w:p w14:paraId="1AC5C270">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从业人员（X）</w:t>
            </w:r>
          </w:p>
        </w:tc>
        <w:tc>
          <w:tcPr>
            <w:tcW w:w="702" w:type="dxa"/>
            <w:noWrap w:val="0"/>
            <w:tcMar>
              <w:top w:w="0" w:type="dxa"/>
              <w:left w:w="105" w:type="dxa"/>
              <w:bottom w:w="0" w:type="dxa"/>
              <w:right w:w="105" w:type="dxa"/>
            </w:tcMar>
            <w:vAlign w:val="center"/>
          </w:tcPr>
          <w:p w14:paraId="1E16B05B">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人</w:t>
            </w:r>
          </w:p>
        </w:tc>
        <w:tc>
          <w:tcPr>
            <w:tcW w:w="1892" w:type="dxa"/>
            <w:noWrap w:val="0"/>
            <w:tcMar>
              <w:top w:w="0" w:type="dxa"/>
              <w:left w:w="105" w:type="dxa"/>
              <w:bottom w:w="0" w:type="dxa"/>
              <w:right w:w="105" w:type="dxa"/>
            </w:tcMar>
            <w:vAlign w:val="center"/>
          </w:tcPr>
          <w:p w14:paraId="6F00D67F">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100≤X＜300</w:t>
            </w:r>
          </w:p>
        </w:tc>
        <w:tc>
          <w:tcPr>
            <w:tcW w:w="1709" w:type="dxa"/>
            <w:noWrap w:val="0"/>
            <w:tcMar>
              <w:top w:w="0" w:type="dxa"/>
              <w:left w:w="105" w:type="dxa"/>
              <w:bottom w:w="0" w:type="dxa"/>
              <w:right w:w="105" w:type="dxa"/>
            </w:tcMar>
            <w:vAlign w:val="center"/>
          </w:tcPr>
          <w:p w14:paraId="207C08BD">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10≤X＜100</w:t>
            </w:r>
          </w:p>
        </w:tc>
        <w:tc>
          <w:tcPr>
            <w:tcW w:w="1500" w:type="dxa"/>
            <w:noWrap w:val="0"/>
            <w:tcMar>
              <w:top w:w="0" w:type="dxa"/>
              <w:left w:w="105" w:type="dxa"/>
              <w:bottom w:w="0" w:type="dxa"/>
              <w:right w:w="105" w:type="dxa"/>
            </w:tcMar>
            <w:vAlign w:val="center"/>
          </w:tcPr>
          <w:p w14:paraId="367E4626">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X＜10</w:t>
            </w:r>
          </w:p>
        </w:tc>
      </w:tr>
      <w:tr w14:paraId="3AA85C7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46" w:type="dxa"/>
            <w:vMerge w:val="continue"/>
            <w:noWrap w:val="0"/>
            <w:vAlign w:val="center"/>
          </w:tcPr>
          <w:p w14:paraId="509DD633">
            <w:pPr>
              <w:widowControl/>
              <w:jc w:val="center"/>
              <w:rPr>
                <w:rFonts w:ascii="宋体" w:hAnsi="宋体" w:eastAsia="等线"/>
                <w:color w:val="auto"/>
                <w:highlight w:val="none"/>
              </w:rPr>
            </w:pPr>
          </w:p>
        </w:tc>
        <w:tc>
          <w:tcPr>
            <w:tcW w:w="1718" w:type="dxa"/>
            <w:noWrap w:val="0"/>
            <w:tcMar>
              <w:top w:w="0" w:type="dxa"/>
              <w:left w:w="105" w:type="dxa"/>
              <w:bottom w:w="0" w:type="dxa"/>
              <w:right w:w="105" w:type="dxa"/>
            </w:tcMar>
            <w:vAlign w:val="center"/>
          </w:tcPr>
          <w:p w14:paraId="6F5D676F">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营业收入（Y）</w:t>
            </w:r>
          </w:p>
        </w:tc>
        <w:tc>
          <w:tcPr>
            <w:tcW w:w="702" w:type="dxa"/>
            <w:noWrap w:val="0"/>
            <w:tcMar>
              <w:top w:w="0" w:type="dxa"/>
              <w:left w:w="105" w:type="dxa"/>
              <w:bottom w:w="0" w:type="dxa"/>
              <w:right w:w="105" w:type="dxa"/>
            </w:tcMar>
            <w:vAlign w:val="center"/>
          </w:tcPr>
          <w:p w14:paraId="205FC92C">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万元</w:t>
            </w:r>
          </w:p>
        </w:tc>
        <w:tc>
          <w:tcPr>
            <w:tcW w:w="1892" w:type="dxa"/>
            <w:noWrap w:val="0"/>
            <w:tcMar>
              <w:top w:w="0" w:type="dxa"/>
              <w:left w:w="105" w:type="dxa"/>
              <w:bottom w:w="0" w:type="dxa"/>
              <w:right w:w="105" w:type="dxa"/>
            </w:tcMar>
            <w:vAlign w:val="center"/>
          </w:tcPr>
          <w:p w14:paraId="501BACC0">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1000≤Y＜10000</w:t>
            </w:r>
          </w:p>
        </w:tc>
        <w:tc>
          <w:tcPr>
            <w:tcW w:w="1709" w:type="dxa"/>
            <w:noWrap w:val="0"/>
            <w:tcMar>
              <w:top w:w="0" w:type="dxa"/>
              <w:left w:w="105" w:type="dxa"/>
              <w:bottom w:w="0" w:type="dxa"/>
              <w:right w:w="105" w:type="dxa"/>
            </w:tcMar>
            <w:vAlign w:val="center"/>
          </w:tcPr>
          <w:p w14:paraId="4EBD514A">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50≤Y＜1000</w:t>
            </w:r>
          </w:p>
        </w:tc>
        <w:tc>
          <w:tcPr>
            <w:tcW w:w="1500" w:type="dxa"/>
            <w:noWrap w:val="0"/>
            <w:tcMar>
              <w:top w:w="0" w:type="dxa"/>
              <w:left w:w="105" w:type="dxa"/>
              <w:bottom w:w="0" w:type="dxa"/>
              <w:right w:w="105" w:type="dxa"/>
            </w:tcMar>
            <w:vAlign w:val="center"/>
          </w:tcPr>
          <w:p w14:paraId="1446ECED">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Y＜50</w:t>
            </w:r>
          </w:p>
        </w:tc>
      </w:tr>
      <w:tr w14:paraId="022D163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46" w:type="dxa"/>
            <w:vMerge w:val="restart"/>
            <w:noWrap w:val="0"/>
            <w:tcMar>
              <w:top w:w="0" w:type="dxa"/>
              <w:left w:w="105" w:type="dxa"/>
              <w:bottom w:w="0" w:type="dxa"/>
              <w:right w:w="105" w:type="dxa"/>
            </w:tcMar>
            <w:vAlign w:val="center"/>
          </w:tcPr>
          <w:p w14:paraId="422EF6BB">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房地产开发经营</w:t>
            </w:r>
          </w:p>
        </w:tc>
        <w:tc>
          <w:tcPr>
            <w:tcW w:w="1718" w:type="dxa"/>
            <w:noWrap w:val="0"/>
            <w:tcMar>
              <w:top w:w="0" w:type="dxa"/>
              <w:left w:w="105" w:type="dxa"/>
              <w:bottom w:w="0" w:type="dxa"/>
              <w:right w:w="105" w:type="dxa"/>
            </w:tcMar>
            <w:vAlign w:val="center"/>
          </w:tcPr>
          <w:p w14:paraId="1D9F7B68">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营业收入（Y）</w:t>
            </w:r>
          </w:p>
        </w:tc>
        <w:tc>
          <w:tcPr>
            <w:tcW w:w="702" w:type="dxa"/>
            <w:noWrap w:val="0"/>
            <w:tcMar>
              <w:top w:w="0" w:type="dxa"/>
              <w:left w:w="105" w:type="dxa"/>
              <w:bottom w:w="0" w:type="dxa"/>
              <w:right w:w="105" w:type="dxa"/>
            </w:tcMar>
            <w:vAlign w:val="center"/>
          </w:tcPr>
          <w:p w14:paraId="25E3C0E9">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万元</w:t>
            </w:r>
          </w:p>
        </w:tc>
        <w:tc>
          <w:tcPr>
            <w:tcW w:w="1892" w:type="dxa"/>
            <w:noWrap w:val="0"/>
            <w:tcMar>
              <w:top w:w="0" w:type="dxa"/>
              <w:left w:w="105" w:type="dxa"/>
              <w:bottom w:w="0" w:type="dxa"/>
              <w:right w:w="105" w:type="dxa"/>
            </w:tcMar>
            <w:vAlign w:val="center"/>
          </w:tcPr>
          <w:p w14:paraId="20F40C3A">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1000≤Y＜200000</w:t>
            </w:r>
          </w:p>
        </w:tc>
        <w:tc>
          <w:tcPr>
            <w:tcW w:w="1709" w:type="dxa"/>
            <w:noWrap w:val="0"/>
            <w:tcMar>
              <w:top w:w="0" w:type="dxa"/>
              <w:left w:w="105" w:type="dxa"/>
              <w:bottom w:w="0" w:type="dxa"/>
              <w:right w:w="105" w:type="dxa"/>
            </w:tcMar>
            <w:vAlign w:val="center"/>
          </w:tcPr>
          <w:p w14:paraId="24063E50">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100≤X＜1000</w:t>
            </w:r>
          </w:p>
        </w:tc>
        <w:tc>
          <w:tcPr>
            <w:tcW w:w="1500" w:type="dxa"/>
            <w:noWrap w:val="0"/>
            <w:tcMar>
              <w:top w:w="0" w:type="dxa"/>
              <w:left w:w="105" w:type="dxa"/>
              <w:bottom w:w="0" w:type="dxa"/>
              <w:right w:w="105" w:type="dxa"/>
            </w:tcMar>
            <w:vAlign w:val="center"/>
          </w:tcPr>
          <w:p w14:paraId="5AE2650E">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X＜100</w:t>
            </w:r>
          </w:p>
        </w:tc>
      </w:tr>
      <w:tr w14:paraId="41958E0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46" w:type="dxa"/>
            <w:vMerge w:val="continue"/>
            <w:noWrap w:val="0"/>
            <w:vAlign w:val="center"/>
          </w:tcPr>
          <w:p w14:paraId="034C6BD8">
            <w:pPr>
              <w:widowControl/>
              <w:jc w:val="center"/>
              <w:rPr>
                <w:rFonts w:ascii="宋体" w:hAnsi="宋体" w:eastAsia="等线"/>
                <w:color w:val="auto"/>
                <w:highlight w:val="none"/>
              </w:rPr>
            </w:pPr>
          </w:p>
        </w:tc>
        <w:tc>
          <w:tcPr>
            <w:tcW w:w="1718" w:type="dxa"/>
            <w:noWrap w:val="0"/>
            <w:tcMar>
              <w:top w:w="0" w:type="dxa"/>
              <w:left w:w="105" w:type="dxa"/>
              <w:bottom w:w="0" w:type="dxa"/>
              <w:right w:w="105" w:type="dxa"/>
            </w:tcMar>
            <w:vAlign w:val="center"/>
          </w:tcPr>
          <w:p w14:paraId="70215C1E">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资产总额（Z）</w:t>
            </w:r>
          </w:p>
        </w:tc>
        <w:tc>
          <w:tcPr>
            <w:tcW w:w="702" w:type="dxa"/>
            <w:noWrap w:val="0"/>
            <w:tcMar>
              <w:top w:w="0" w:type="dxa"/>
              <w:left w:w="105" w:type="dxa"/>
              <w:bottom w:w="0" w:type="dxa"/>
              <w:right w:w="105" w:type="dxa"/>
            </w:tcMar>
            <w:vAlign w:val="center"/>
          </w:tcPr>
          <w:p w14:paraId="082DB15E">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万元</w:t>
            </w:r>
          </w:p>
        </w:tc>
        <w:tc>
          <w:tcPr>
            <w:tcW w:w="1892" w:type="dxa"/>
            <w:noWrap w:val="0"/>
            <w:tcMar>
              <w:top w:w="0" w:type="dxa"/>
              <w:left w:w="105" w:type="dxa"/>
              <w:bottom w:w="0" w:type="dxa"/>
              <w:right w:w="105" w:type="dxa"/>
            </w:tcMar>
            <w:vAlign w:val="center"/>
          </w:tcPr>
          <w:p w14:paraId="64FED3B2">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5000≤Z＜10000</w:t>
            </w:r>
          </w:p>
        </w:tc>
        <w:tc>
          <w:tcPr>
            <w:tcW w:w="1709" w:type="dxa"/>
            <w:noWrap w:val="0"/>
            <w:tcMar>
              <w:top w:w="0" w:type="dxa"/>
              <w:left w:w="105" w:type="dxa"/>
              <w:bottom w:w="0" w:type="dxa"/>
              <w:right w:w="105" w:type="dxa"/>
            </w:tcMar>
            <w:vAlign w:val="center"/>
          </w:tcPr>
          <w:p w14:paraId="19D2A833">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2000≤Y＜5000</w:t>
            </w:r>
          </w:p>
        </w:tc>
        <w:tc>
          <w:tcPr>
            <w:tcW w:w="1500" w:type="dxa"/>
            <w:noWrap w:val="0"/>
            <w:tcMar>
              <w:top w:w="0" w:type="dxa"/>
              <w:left w:w="105" w:type="dxa"/>
              <w:bottom w:w="0" w:type="dxa"/>
              <w:right w:w="105" w:type="dxa"/>
            </w:tcMar>
            <w:vAlign w:val="center"/>
          </w:tcPr>
          <w:p w14:paraId="1F364E30">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Y＜2000</w:t>
            </w:r>
          </w:p>
        </w:tc>
      </w:tr>
      <w:tr w14:paraId="011D2CE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46" w:type="dxa"/>
            <w:vMerge w:val="restart"/>
            <w:noWrap w:val="0"/>
            <w:tcMar>
              <w:top w:w="0" w:type="dxa"/>
              <w:left w:w="105" w:type="dxa"/>
              <w:bottom w:w="0" w:type="dxa"/>
              <w:right w:w="105" w:type="dxa"/>
            </w:tcMar>
            <w:vAlign w:val="center"/>
          </w:tcPr>
          <w:p w14:paraId="6D76DA55">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物业管理</w:t>
            </w:r>
          </w:p>
        </w:tc>
        <w:tc>
          <w:tcPr>
            <w:tcW w:w="1718" w:type="dxa"/>
            <w:noWrap w:val="0"/>
            <w:tcMar>
              <w:top w:w="0" w:type="dxa"/>
              <w:left w:w="105" w:type="dxa"/>
              <w:bottom w:w="0" w:type="dxa"/>
              <w:right w:w="105" w:type="dxa"/>
            </w:tcMar>
            <w:vAlign w:val="center"/>
          </w:tcPr>
          <w:p w14:paraId="6926841F">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从业人员（X）</w:t>
            </w:r>
          </w:p>
        </w:tc>
        <w:tc>
          <w:tcPr>
            <w:tcW w:w="702" w:type="dxa"/>
            <w:noWrap w:val="0"/>
            <w:tcMar>
              <w:top w:w="0" w:type="dxa"/>
              <w:left w:w="105" w:type="dxa"/>
              <w:bottom w:w="0" w:type="dxa"/>
              <w:right w:w="105" w:type="dxa"/>
            </w:tcMar>
            <w:vAlign w:val="center"/>
          </w:tcPr>
          <w:p w14:paraId="39B55937">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人</w:t>
            </w:r>
          </w:p>
        </w:tc>
        <w:tc>
          <w:tcPr>
            <w:tcW w:w="1892" w:type="dxa"/>
            <w:noWrap w:val="0"/>
            <w:tcMar>
              <w:top w:w="0" w:type="dxa"/>
              <w:left w:w="105" w:type="dxa"/>
              <w:bottom w:w="0" w:type="dxa"/>
              <w:right w:w="105" w:type="dxa"/>
            </w:tcMar>
            <w:vAlign w:val="center"/>
          </w:tcPr>
          <w:p w14:paraId="5485B65A">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300≤X＜1000</w:t>
            </w:r>
          </w:p>
        </w:tc>
        <w:tc>
          <w:tcPr>
            <w:tcW w:w="1709" w:type="dxa"/>
            <w:noWrap w:val="0"/>
            <w:tcMar>
              <w:top w:w="0" w:type="dxa"/>
              <w:left w:w="105" w:type="dxa"/>
              <w:bottom w:w="0" w:type="dxa"/>
              <w:right w:w="105" w:type="dxa"/>
            </w:tcMar>
            <w:vAlign w:val="center"/>
          </w:tcPr>
          <w:p w14:paraId="37A19F64">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100≤X＜300</w:t>
            </w:r>
          </w:p>
        </w:tc>
        <w:tc>
          <w:tcPr>
            <w:tcW w:w="1500" w:type="dxa"/>
            <w:noWrap w:val="0"/>
            <w:tcMar>
              <w:top w:w="0" w:type="dxa"/>
              <w:left w:w="105" w:type="dxa"/>
              <w:bottom w:w="0" w:type="dxa"/>
              <w:right w:w="105" w:type="dxa"/>
            </w:tcMar>
            <w:vAlign w:val="center"/>
          </w:tcPr>
          <w:p w14:paraId="7A002E06">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X＜100</w:t>
            </w:r>
          </w:p>
        </w:tc>
      </w:tr>
      <w:tr w14:paraId="763B0AD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46" w:type="dxa"/>
            <w:vMerge w:val="continue"/>
            <w:noWrap w:val="0"/>
            <w:vAlign w:val="center"/>
          </w:tcPr>
          <w:p w14:paraId="484FDBD4">
            <w:pPr>
              <w:widowControl/>
              <w:jc w:val="center"/>
              <w:rPr>
                <w:rFonts w:ascii="宋体" w:hAnsi="宋体" w:eastAsia="等线"/>
                <w:color w:val="auto"/>
                <w:highlight w:val="none"/>
              </w:rPr>
            </w:pPr>
          </w:p>
        </w:tc>
        <w:tc>
          <w:tcPr>
            <w:tcW w:w="1718" w:type="dxa"/>
            <w:noWrap w:val="0"/>
            <w:tcMar>
              <w:top w:w="0" w:type="dxa"/>
              <w:left w:w="105" w:type="dxa"/>
              <w:bottom w:w="0" w:type="dxa"/>
              <w:right w:w="105" w:type="dxa"/>
            </w:tcMar>
            <w:vAlign w:val="center"/>
          </w:tcPr>
          <w:p w14:paraId="0D0A105F">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营业收入（Y）</w:t>
            </w:r>
          </w:p>
        </w:tc>
        <w:tc>
          <w:tcPr>
            <w:tcW w:w="702" w:type="dxa"/>
            <w:noWrap w:val="0"/>
            <w:tcMar>
              <w:top w:w="0" w:type="dxa"/>
              <w:left w:w="105" w:type="dxa"/>
              <w:bottom w:w="0" w:type="dxa"/>
              <w:right w:w="105" w:type="dxa"/>
            </w:tcMar>
            <w:vAlign w:val="center"/>
          </w:tcPr>
          <w:p w14:paraId="0077FD4C">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万元</w:t>
            </w:r>
          </w:p>
        </w:tc>
        <w:tc>
          <w:tcPr>
            <w:tcW w:w="1892" w:type="dxa"/>
            <w:noWrap w:val="0"/>
            <w:tcMar>
              <w:top w:w="0" w:type="dxa"/>
              <w:left w:w="105" w:type="dxa"/>
              <w:bottom w:w="0" w:type="dxa"/>
              <w:right w:w="105" w:type="dxa"/>
            </w:tcMar>
            <w:vAlign w:val="center"/>
          </w:tcPr>
          <w:p w14:paraId="2F773A2F">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1000≤Y＜5000</w:t>
            </w:r>
          </w:p>
        </w:tc>
        <w:tc>
          <w:tcPr>
            <w:tcW w:w="1709" w:type="dxa"/>
            <w:noWrap w:val="0"/>
            <w:tcMar>
              <w:top w:w="0" w:type="dxa"/>
              <w:left w:w="105" w:type="dxa"/>
              <w:bottom w:w="0" w:type="dxa"/>
              <w:right w:w="105" w:type="dxa"/>
            </w:tcMar>
            <w:vAlign w:val="center"/>
          </w:tcPr>
          <w:p w14:paraId="197C6B27">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500≤Y＜1000</w:t>
            </w:r>
          </w:p>
        </w:tc>
        <w:tc>
          <w:tcPr>
            <w:tcW w:w="1500" w:type="dxa"/>
            <w:noWrap w:val="0"/>
            <w:tcMar>
              <w:top w:w="0" w:type="dxa"/>
              <w:left w:w="105" w:type="dxa"/>
              <w:bottom w:w="0" w:type="dxa"/>
              <w:right w:w="105" w:type="dxa"/>
            </w:tcMar>
            <w:vAlign w:val="center"/>
          </w:tcPr>
          <w:p w14:paraId="2D71AAE5">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Y＜500</w:t>
            </w:r>
          </w:p>
        </w:tc>
      </w:tr>
      <w:tr w14:paraId="284949E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46" w:type="dxa"/>
            <w:vMerge w:val="restart"/>
            <w:noWrap w:val="0"/>
            <w:tcMar>
              <w:top w:w="0" w:type="dxa"/>
              <w:left w:w="105" w:type="dxa"/>
              <w:bottom w:w="0" w:type="dxa"/>
              <w:right w:w="105" w:type="dxa"/>
            </w:tcMar>
            <w:vAlign w:val="center"/>
          </w:tcPr>
          <w:p w14:paraId="16C90547">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租赁和商务服务业</w:t>
            </w:r>
          </w:p>
        </w:tc>
        <w:tc>
          <w:tcPr>
            <w:tcW w:w="1718" w:type="dxa"/>
            <w:noWrap w:val="0"/>
            <w:tcMar>
              <w:top w:w="0" w:type="dxa"/>
              <w:left w:w="105" w:type="dxa"/>
              <w:bottom w:w="0" w:type="dxa"/>
              <w:right w:w="105" w:type="dxa"/>
            </w:tcMar>
            <w:vAlign w:val="center"/>
          </w:tcPr>
          <w:p w14:paraId="3FBDFD03">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从业人员（X）</w:t>
            </w:r>
          </w:p>
        </w:tc>
        <w:tc>
          <w:tcPr>
            <w:tcW w:w="702" w:type="dxa"/>
            <w:noWrap w:val="0"/>
            <w:tcMar>
              <w:top w:w="0" w:type="dxa"/>
              <w:left w:w="105" w:type="dxa"/>
              <w:bottom w:w="0" w:type="dxa"/>
              <w:right w:w="105" w:type="dxa"/>
            </w:tcMar>
            <w:vAlign w:val="center"/>
          </w:tcPr>
          <w:p w14:paraId="25717848">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人</w:t>
            </w:r>
          </w:p>
        </w:tc>
        <w:tc>
          <w:tcPr>
            <w:tcW w:w="1892" w:type="dxa"/>
            <w:noWrap w:val="0"/>
            <w:tcMar>
              <w:top w:w="0" w:type="dxa"/>
              <w:left w:w="105" w:type="dxa"/>
              <w:bottom w:w="0" w:type="dxa"/>
              <w:right w:w="105" w:type="dxa"/>
            </w:tcMar>
            <w:vAlign w:val="center"/>
          </w:tcPr>
          <w:p w14:paraId="4518523F">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100≤X＜300</w:t>
            </w:r>
          </w:p>
        </w:tc>
        <w:tc>
          <w:tcPr>
            <w:tcW w:w="1709" w:type="dxa"/>
            <w:noWrap w:val="0"/>
            <w:tcMar>
              <w:top w:w="0" w:type="dxa"/>
              <w:left w:w="105" w:type="dxa"/>
              <w:bottom w:w="0" w:type="dxa"/>
              <w:right w:w="105" w:type="dxa"/>
            </w:tcMar>
            <w:vAlign w:val="center"/>
          </w:tcPr>
          <w:p w14:paraId="77DBFBC3">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10≤X＜100</w:t>
            </w:r>
          </w:p>
        </w:tc>
        <w:tc>
          <w:tcPr>
            <w:tcW w:w="1500" w:type="dxa"/>
            <w:noWrap w:val="0"/>
            <w:tcMar>
              <w:top w:w="0" w:type="dxa"/>
              <w:left w:w="105" w:type="dxa"/>
              <w:bottom w:w="0" w:type="dxa"/>
              <w:right w:w="105" w:type="dxa"/>
            </w:tcMar>
            <w:vAlign w:val="center"/>
          </w:tcPr>
          <w:p w14:paraId="08BD8BA0">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X＜10</w:t>
            </w:r>
          </w:p>
        </w:tc>
      </w:tr>
      <w:tr w14:paraId="0AC6C64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46" w:type="dxa"/>
            <w:vMerge w:val="continue"/>
            <w:noWrap w:val="0"/>
            <w:vAlign w:val="center"/>
          </w:tcPr>
          <w:p w14:paraId="4E551DC6">
            <w:pPr>
              <w:widowControl/>
              <w:jc w:val="center"/>
              <w:rPr>
                <w:rFonts w:ascii="宋体" w:hAnsi="宋体" w:eastAsia="等线"/>
                <w:color w:val="auto"/>
                <w:highlight w:val="none"/>
              </w:rPr>
            </w:pPr>
          </w:p>
        </w:tc>
        <w:tc>
          <w:tcPr>
            <w:tcW w:w="1718" w:type="dxa"/>
            <w:noWrap w:val="0"/>
            <w:tcMar>
              <w:top w:w="0" w:type="dxa"/>
              <w:left w:w="105" w:type="dxa"/>
              <w:bottom w:w="0" w:type="dxa"/>
              <w:right w:w="105" w:type="dxa"/>
            </w:tcMar>
            <w:vAlign w:val="center"/>
          </w:tcPr>
          <w:p w14:paraId="409B50A3">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资产总额（Z）</w:t>
            </w:r>
          </w:p>
        </w:tc>
        <w:tc>
          <w:tcPr>
            <w:tcW w:w="702" w:type="dxa"/>
            <w:noWrap w:val="0"/>
            <w:tcMar>
              <w:top w:w="0" w:type="dxa"/>
              <w:left w:w="105" w:type="dxa"/>
              <w:bottom w:w="0" w:type="dxa"/>
              <w:right w:w="105" w:type="dxa"/>
            </w:tcMar>
            <w:vAlign w:val="center"/>
          </w:tcPr>
          <w:p w14:paraId="443CF97B">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万元</w:t>
            </w:r>
          </w:p>
        </w:tc>
        <w:tc>
          <w:tcPr>
            <w:tcW w:w="1892" w:type="dxa"/>
            <w:noWrap w:val="0"/>
            <w:tcMar>
              <w:top w:w="0" w:type="dxa"/>
              <w:left w:w="105" w:type="dxa"/>
              <w:bottom w:w="0" w:type="dxa"/>
              <w:right w:w="105" w:type="dxa"/>
            </w:tcMar>
            <w:vAlign w:val="center"/>
          </w:tcPr>
          <w:p w14:paraId="0A30F8B1">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8000≤Z＜120000</w:t>
            </w:r>
          </w:p>
        </w:tc>
        <w:tc>
          <w:tcPr>
            <w:tcW w:w="1709" w:type="dxa"/>
            <w:noWrap w:val="0"/>
            <w:tcMar>
              <w:top w:w="0" w:type="dxa"/>
              <w:left w:w="105" w:type="dxa"/>
              <w:bottom w:w="0" w:type="dxa"/>
              <w:right w:w="105" w:type="dxa"/>
            </w:tcMar>
            <w:vAlign w:val="center"/>
          </w:tcPr>
          <w:p w14:paraId="5437F50B">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100≤Z＜8000</w:t>
            </w:r>
          </w:p>
        </w:tc>
        <w:tc>
          <w:tcPr>
            <w:tcW w:w="1500" w:type="dxa"/>
            <w:noWrap w:val="0"/>
            <w:tcMar>
              <w:top w:w="0" w:type="dxa"/>
              <w:left w:w="105" w:type="dxa"/>
              <w:bottom w:w="0" w:type="dxa"/>
              <w:right w:w="105" w:type="dxa"/>
            </w:tcMar>
            <w:vAlign w:val="center"/>
          </w:tcPr>
          <w:p w14:paraId="1D4B4A54">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Y＜100</w:t>
            </w:r>
          </w:p>
        </w:tc>
      </w:tr>
      <w:tr w14:paraId="2C2CC33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noWrap w:val="0"/>
            <w:tcMar>
              <w:top w:w="0" w:type="dxa"/>
              <w:left w:w="105" w:type="dxa"/>
              <w:bottom w:w="0" w:type="dxa"/>
              <w:right w:w="105" w:type="dxa"/>
            </w:tcMar>
            <w:vAlign w:val="center"/>
          </w:tcPr>
          <w:p w14:paraId="223C7ADC">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其他未列明行业</w:t>
            </w:r>
          </w:p>
        </w:tc>
        <w:tc>
          <w:tcPr>
            <w:tcW w:w="1718" w:type="dxa"/>
            <w:noWrap w:val="0"/>
            <w:tcMar>
              <w:top w:w="0" w:type="dxa"/>
              <w:left w:w="105" w:type="dxa"/>
              <w:bottom w:w="0" w:type="dxa"/>
              <w:right w:w="105" w:type="dxa"/>
            </w:tcMar>
            <w:vAlign w:val="center"/>
          </w:tcPr>
          <w:p w14:paraId="00673052">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从业人员（X）</w:t>
            </w:r>
          </w:p>
        </w:tc>
        <w:tc>
          <w:tcPr>
            <w:tcW w:w="702" w:type="dxa"/>
            <w:noWrap w:val="0"/>
            <w:tcMar>
              <w:top w:w="0" w:type="dxa"/>
              <w:left w:w="105" w:type="dxa"/>
              <w:bottom w:w="0" w:type="dxa"/>
              <w:right w:w="105" w:type="dxa"/>
            </w:tcMar>
            <w:vAlign w:val="center"/>
          </w:tcPr>
          <w:p w14:paraId="0699B686">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人</w:t>
            </w:r>
          </w:p>
        </w:tc>
        <w:tc>
          <w:tcPr>
            <w:tcW w:w="1892" w:type="dxa"/>
            <w:noWrap w:val="0"/>
            <w:tcMar>
              <w:top w:w="0" w:type="dxa"/>
              <w:left w:w="105" w:type="dxa"/>
              <w:bottom w:w="0" w:type="dxa"/>
              <w:right w:w="105" w:type="dxa"/>
            </w:tcMar>
            <w:vAlign w:val="center"/>
          </w:tcPr>
          <w:p w14:paraId="074591B1">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100≤X＜300</w:t>
            </w:r>
          </w:p>
        </w:tc>
        <w:tc>
          <w:tcPr>
            <w:tcW w:w="1709" w:type="dxa"/>
            <w:noWrap w:val="0"/>
            <w:tcMar>
              <w:top w:w="0" w:type="dxa"/>
              <w:left w:w="105" w:type="dxa"/>
              <w:bottom w:w="0" w:type="dxa"/>
              <w:right w:w="105" w:type="dxa"/>
            </w:tcMar>
            <w:vAlign w:val="center"/>
          </w:tcPr>
          <w:p w14:paraId="671A914A">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10≤X＜100</w:t>
            </w:r>
          </w:p>
        </w:tc>
        <w:tc>
          <w:tcPr>
            <w:tcW w:w="1500" w:type="dxa"/>
            <w:noWrap w:val="0"/>
            <w:tcMar>
              <w:top w:w="0" w:type="dxa"/>
              <w:left w:w="105" w:type="dxa"/>
              <w:bottom w:w="0" w:type="dxa"/>
              <w:right w:w="105" w:type="dxa"/>
            </w:tcMar>
            <w:vAlign w:val="center"/>
          </w:tcPr>
          <w:p w14:paraId="272B9263">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X＜10</w:t>
            </w:r>
          </w:p>
        </w:tc>
      </w:tr>
    </w:tbl>
    <w:p w14:paraId="309A5F71">
      <w:pPr>
        <w:pStyle w:val="34"/>
        <w:widowControl/>
        <w:spacing w:before="300" w:after="452" w:line="360" w:lineRule="auto"/>
        <w:ind w:firstLine="420"/>
        <w:rPr>
          <w:rStyle w:val="40"/>
          <w:rFonts w:cs="仿宋"/>
          <w:b w:val="0"/>
          <w:color w:val="auto"/>
          <w:sz w:val="21"/>
          <w:szCs w:val="21"/>
          <w:highlight w:val="none"/>
        </w:rPr>
      </w:pPr>
      <w:r>
        <w:rPr>
          <w:rStyle w:val="40"/>
          <w:rFonts w:hint="eastAsia" w:ascii="宋体" w:hAnsi="宋体" w:cs="仿宋"/>
          <w:color w:val="auto"/>
          <w:sz w:val="21"/>
          <w:szCs w:val="21"/>
          <w:highlight w:val="none"/>
        </w:rPr>
        <w:t>说明：上述标准参照《关于印发中小企业划型标准规定的通知》（工信部联企业[2011]300号），大型、中型和小型企业须同时满足所列指标的下限，否则下划一档；微型企业只须满足所列指标中的一项即可。</w:t>
      </w:r>
      <w:r>
        <w:rPr>
          <w:rStyle w:val="40"/>
          <w:rFonts w:ascii="宋体" w:hAnsi="宋体" w:cs="仿宋"/>
          <w:b w:val="0"/>
          <w:color w:val="auto"/>
          <w:sz w:val="21"/>
          <w:szCs w:val="21"/>
          <w:highlight w:val="none"/>
        </w:rPr>
        <w:br w:type="page" w:clear="all"/>
      </w:r>
    </w:p>
    <w:p w14:paraId="4CE8CC3A">
      <w:pPr>
        <w:spacing w:line="360" w:lineRule="auto"/>
        <w:ind w:left="0" w:firstLine="0"/>
        <w:jc w:val="center"/>
        <w:rPr>
          <w:rFonts w:ascii="宋体" w:hAnsi="宋体"/>
          <w:b/>
          <w:bCs/>
          <w:color w:val="auto"/>
          <w:highlight w:val="none"/>
        </w:rPr>
      </w:pPr>
      <w:r>
        <w:rPr>
          <w:rFonts w:hint="eastAsia" w:ascii="宋体" w:hAnsi="宋体"/>
          <w:b/>
          <w:bCs/>
          <w:color w:val="auto"/>
          <w:highlight w:val="none"/>
        </w:rPr>
        <w:t>残疾人福利性单位声明函</w:t>
      </w:r>
    </w:p>
    <w:p w14:paraId="17C21174">
      <w:pPr>
        <w:spacing w:line="360" w:lineRule="auto"/>
        <w:ind w:firstLine="624"/>
        <w:rPr>
          <w:rFonts w:ascii="仿宋_GB2312" w:eastAsia="仿宋_GB2312"/>
          <w:color w:val="auto"/>
          <w:spacing w:val="6"/>
          <w:sz w:val="30"/>
          <w:szCs w:val="30"/>
          <w:highlight w:val="none"/>
        </w:rPr>
      </w:pPr>
    </w:p>
    <w:p w14:paraId="5FE8D19F">
      <w:pPr>
        <w:spacing w:line="360" w:lineRule="auto"/>
        <w:ind w:firstLine="420"/>
        <w:rPr>
          <w:rFonts w:ascii="宋体" w:hAnsi="宋体"/>
          <w:color w:val="auto"/>
          <w:szCs w:val="21"/>
          <w:highlight w:val="none"/>
        </w:rPr>
      </w:pPr>
      <w:r>
        <w:rPr>
          <w:rFonts w:hint="eastAsia" w:ascii="宋体" w:hAnsi="宋体"/>
          <w:color w:val="auto"/>
          <w:szCs w:val="21"/>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项目采购活动提供本单位制造的产品或服务（由本单位承担工程/提供服务），或者提供其他残疾人福利性单位制造的产品或服务（不包括使用非残疾人福利性单位注册商标的产品或服务）。</w:t>
      </w:r>
    </w:p>
    <w:p w14:paraId="49BA7239">
      <w:pPr>
        <w:spacing w:line="360" w:lineRule="auto"/>
        <w:ind w:firstLine="420"/>
        <w:rPr>
          <w:rFonts w:ascii="宋体" w:hAnsi="宋体"/>
          <w:color w:val="auto"/>
          <w:szCs w:val="21"/>
          <w:highlight w:val="none"/>
        </w:rPr>
      </w:pPr>
      <w:r>
        <w:rPr>
          <w:rFonts w:hint="eastAsia" w:ascii="宋体" w:hAnsi="宋体"/>
          <w:color w:val="auto"/>
          <w:szCs w:val="21"/>
          <w:highlight w:val="none"/>
        </w:rPr>
        <w:t>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圆整（￥：     ）。</w:t>
      </w:r>
    </w:p>
    <w:p w14:paraId="056D8749">
      <w:pPr>
        <w:spacing w:line="360" w:lineRule="auto"/>
        <w:ind w:firstLine="420"/>
        <w:rPr>
          <w:rFonts w:ascii="宋体" w:hAnsi="宋体"/>
          <w:color w:val="auto"/>
          <w:szCs w:val="21"/>
          <w:highlight w:val="none"/>
        </w:rPr>
      </w:pPr>
      <w:r>
        <w:rPr>
          <w:rFonts w:hint="eastAsia" w:ascii="宋体" w:hAnsi="宋体"/>
          <w:color w:val="auto"/>
          <w:szCs w:val="21"/>
          <w:highlight w:val="none"/>
        </w:rPr>
        <w:t>本单位对上述声明的真实性负责。如有虚假，将依法承担相应责任。</w:t>
      </w:r>
    </w:p>
    <w:p w14:paraId="407B0E70">
      <w:pPr>
        <w:spacing w:line="360" w:lineRule="auto"/>
        <w:ind w:firstLine="420"/>
        <w:rPr>
          <w:rFonts w:ascii="宋体" w:hAnsi="宋体"/>
          <w:color w:val="auto"/>
          <w:szCs w:val="21"/>
          <w:highlight w:val="none"/>
        </w:rPr>
      </w:pPr>
    </w:p>
    <w:p w14:paraId="0DEAF0BC">
      <w:pPr>
        <w:spacing w:line="360" w:lineRule="auto"/>
        <w:ind w:firstLine="420"/>
        <w:rPr>
          <w:rFonts w:ascii="宋体" w:hAnsi="宋体"/>
          <w:color w:val="auto"/>
          <w:szCs w:val="21"/>
          <w:highlight w:val="none"/>
        </w:rPr>
      </w:pPr>
      <w:r>
        <w:rPr>
          <w:rFonts w:hint="eastAsia" w:ascii="宋体" w:hAnsi="宋体"/>
          <w:color w:val="auto"/>
          <w:szCs w:val="21"/>
          <w:highlight w:val="none"/>
        </w:rPr>
        <w:t>（备注：1、供应商如不提供此声明函，价格将不做相应扣除。2、中标供应商为残疾人福利单位的，此声明函将随中标结果同时公告，接受社会监督）</w:t>
      </w:r>
    </w:p>
    <w:p w14:paraId="66CF40B2">
      <w:pPr>
        <w:spacing w:line="360" w:lineRule="auto"/>
        <w:ind w:firstLine="444"/>
        <w:rPr>
          <w:rFonts w:ascii="仿宋_GB2312" w:eastAsia="仿宋_GB2312"/>
          <w:color w:val="auto"/>
          <w:spacing w:val="6"/>
          <w:szCs w:val="21"/>
          <w:highlight w:val="none"/>
        </w:rPr>
      </w:pPr>
    </w:p>
    <w:p w14:paraId="45B8AE40">
      <w:pPr>
        <w:tabs>
          <w:tab w:val="left" w:pos="4860"/>
        </w:tabs>
        <w:spacing w:line="360" w:lineRule="auto"/>
        <w:ind w:right="1560" w:firstLine="444"/>
        <w:jc w:val="center"/>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p>
    <w:p w14:paraId="0E1E3D25">
      <w:pPr>
        <w:tabs>
          <w:tab w:val="left" w:pos="4860"/>
        </w:tabs>
        <w:spacing w:line="360" w:lineRule="auto"/>
        <w:ind w:right="1560" w:firstLine="420"/>
        <w:jc w:val="center"/>
        <w:rPr>
          <w:rFonts w:ascii="宋体" w:hAnsi="宋体"/>
          <w:color w:val="auto"/>
          <w:szCs w:val="21"/>
          <w:highlight w:val="none"/>
        </w:rPr>
      </w:pPr>
      <w:r>
        <w:rPr>
          <w:rFonts w:hint="eastAsia" w:ascii="宋体" w:hAnsi="宋体"/>
          <w:color w:val="auto"/>
          <w:szCs w:val="21"/>
          <w:highlight w:val="none"/>
        </w:rPr>
        <w:t xml:space="preserve">                              日  期：</w:t>
      </w:r>
    </w:p>
    <w:p w14:paraId="2F32BD95">
      <w:pPr>
        <w:widowControl/>
        <w:spacing w:line="360" w:lineRule="auto"/>
        <w:jc w:val="left"/>
        <w:rPr>
          <w:rFonts w:ascii="宋体" w:hAnsi="宋体" w:cs="Arial"/>
          <w:b/>
          <w:bCs/>
          <w:color w:val="auto"/>
          <w:highlight w:val="none"/>
        </w:rPr>
      </w:pPr>
    </w:p>
    <w:p w14:paraId="44A19007">
      <w:pPr>
        <w:widowControl/>
        <w:spacing w:line="360" w:lineRule="auto"/>
        <w:jc w:val="left"/>
        <w:rPr>
          <w:rFonts w:ascii="宋体" w:hAnsi="宋体" w:cs="Arial"/>
          <w:b/>
          <w:bCs/>
          <w:color w:val="auto"/>
          <w:highlight w:val="none"/>
        </w:rPr>
      </w:pPr>
    </w:p>
    <w:p w14:paraId="5B77F819">
      <w:pPr>
        <w:widowControl/>
        <w:spacing w:line="360" w:lineRule="auto"/>
        <w:jc w:val="left"/>
        <w:rPr>
          <w:rFonts w:ascii="宋体" w:hAnsi="宋体" w:cs="Arial"/>
          <w:b/>
          <w:bCs/>
          <w:color w:val="auto"/>
          <w:highlight w:val="none"/>
        </w:rPr>
      </w:pPr>
    </w:p>
    <w:p w14:paraId="0936F534">
      <w:pPr>
        <w:widowControl/>
        <w:spacing w:line="360" w:lineRule="auto"/>
        <w:jc w:val="left"/>
        <w:rPr>
          <w:rFonts w:ascii="宋体" w:hAnsi="宋体" w:cs="Arial"/>
          <w:b/>
          <w:bCs/>
          <w:color w:val="auto"/>
          <w:highlight w:val="none"/>
        </w:rPr>
      </w:pPr>
    </w:p>
    <w:p w14:paraId="3E5EBD9F">
      <w:pPr>
        <w:widowControl/>
        <w:spacing w:line="360" w:lineRule="auto"/>
        <w:jc w:val="left"/>
        <w:rPr>
          <w:rFonts w:ascii="宋体" w:hAnsi="宋体" w:cs="Arial"/>
          <w:b/>
          <w:bCs/>
          <w:color w:val="auto"/>
          <w:highlight w:val="none"/>
        </w:rPr>
      </w:pPr>
    </w:p>
    <w:p w14:paraId="7C663BD3">
      <w:pPr>
        <w:widowControl/>
        <w:spacing w:line="360" w:lineRule="auto"/>
        <w:jc w:val="left"/>
        <w:rPr>
          <w:rFonts w:ascii="宋体" w:hAnsi="宋体" w:cs="Arial"/>
          <w:b/>
          <w:bCs/>
          <w:color w:val="auto"/>
          <w:highlight w:val="none"/>
        </w:rPr>
      </w:pPr>
    </w:p>
    <w:p w14:paraId="4982828E">
      <w:pPr>
        <w:widowControl/>
        <w:spacing w:line="360" w:lineRule="auto"/>
        <w:jc w:val="left"/>
        <w:rPr>
          <w:rFonts w:ascii="宋体" w:hAnsi="宋体" w:cs="Arial"/>
          <w:b/>
          <w:bCs/>
          <w:color w:val="auto"/>
          <w:highlight w:val="none"/>
        </w:rPr>
      </w:pPr>
    </w:p>
    <w:p w14:paraId="202CF37F">
      <w:pPr>
        <w:spacing w:line="360" w:lineRule="auto"/>
        <w:jc w:val="center"/>
        <w:rPr>
          <w:rFonts w:ascii="宋体" w:hAnsi="宋体" w:cs="Arial"/>
          <w:b/>
          <w:bCs/>
          <w:color w:val="auto"/>
          <w:highlight w:val="none"/>
        </w:rPr>
      </w:pPr>
    </w:p>
    <w:p w14:paraId="4AB81D53">
      <w:pPr>
        <w:widowControl/>
        <w:spacing w:line="360" w:lineRule="auto"/>
        <w:jc w:val="left"/>
        <w:rPr>
          <w:rFonts w:ascii="宋体" w:hAnsi="宋体" w:cs="Arial"/>
          <w:b/>
          <w:bCs/>
          <w:color w:val="auto"/>
          <w:highlight w:val="none"/>
        </w:rPr>
      </w:pPr>
    </w:p>
    <w:p w14:paraId="74FBF202">
      <w:pPr>
        <w:widowControl/>
        <w:spacing w:line="360" w:lineRule="auto"/>
        <w:jc w:val="left"/>
        <w:rPr>
          <w:rFonts w:ascii="宋体" w:hAnsi="宋体" w:cs="Arial"/>
          <w:b/>
          <w:bCs/>
          <w:color w:val="auto"/>
          <w:highlight w:val="none"/>
        </w:rPr>
      </w:pPr>
    </w:p>
    <w:p w14:paraId="387FA2BC">
      <w:pPr>
        <w:spacing w:line="360" w:lineRule="auto"/>
        <w:rPr>
          <w:rFonts w:ascii="宋体" w:hAnsi="宋体"/>
          <w:b/>
          <w:color w:val="auto"/>
          <w:sz w:val="32"/>
          <w:szCs w:val="32"/>
          <w:highlight w:val="none"/>
        </w:rPr>
      </w:pPr>
      <w:r>
        <w:rPr>
          <w:rFonts w:hint="eastAsia" w:ascii="宋体" w:hAnsi="宋体"/>
          <w:b/>
          <w:color w:val="auto"/>
          <w:sz w:val="32"/>
          <w:szCs w:val="32"/>
          <w:highlight w:val="none"/>
        </w:rPr>
        <w:br w:type="page" w:clear="all"/>
      </w:r>
    </w:p>
    <w:p w14:paraId="358F81B3">
      <w:pPr>
        <w:pStyle w:val="3"/>
        <w:spacing w:line="360" w:lineRule="auto"/>
        <w:rPr>
          <w:rFonts w:asciiTheme="minorEastAsia" w:hAnsiTheme="minorEastAsia" w:eastAsiaTheme="minorEastAsia"/>
          <w:color w:val="auto"/>
          <w:sz w:val="32"/>
          <w:highlight w:val="none"/>
        </w:rPr>
      </w:pPr>
      <w:bookmarkStart w:id="68" w:name="_Toc27571"/>
      <w:bookmarkStart w:id="69" w:name="_Toc26139"/>
      <w:r>
        <w:rPr>
          <w:rFonts w:hint="eastAsia" w:asciiTheme="minorEastAsia" w:hAnsiTheme="minorEastAsia" w:eastAsiaTheme="minorEastAsia"/>
          <w:color w:val="auto"/>
          <w:sz w:val="32"/>
          <w:highlight w:val="none"/>
        </w:rPr>
        <w:t>四、开标一览表</w:t>
      </w:r>
      <w:bookmarkEnd w:id="68"/>
      <w:bookmarkEnd w:id="69"/>
    </w:p>
    <w:p w14:paraId="6FCFAA1C">
      <w:pPr>
        <w:spacing w:line="360" w:lineRule="auto"/>
        <w:ind w:firstLine="480"/>
        <w:rPr>
          <w:color w:val="auto"/>
          <w:szCs w:val="21"/>
          <w:highlight w:val="none"/>
        </w:rPr>
      </w:pPr>
      <w:r>
        <w:rPr>
          <w:rFonts w:hint="eastAsia" w:ascii="宋体" w:hAnsi="宋体"/>
          <w:color w:val="auto"/>
          <w:szCs w:val="21"/>
          <w:highlight w:val="none"/>
        </w:rPr>
        <w:t>项目名称：</w:t>
      </w:r>
    </w:p>
    <w:p w14:paraId="74844C7A">
      <w:pPr>
        <w:spacing w:line="360" w:lineRule="auto"/>
        <w:ind w:firstLine="480"/>
        <w:rPr>
          <w:rFonts w:ascii="宋体" w:hAnsi="宋体"/>
          <w:color w:val="auto"/>
          <w:szCs w:val="21"/>
          <w:highlight w:val="none"/>
        </w:rPr>
      </w:pPr>
      <w:r>
        <w:rPr>
          <w:rFonts w:hint="eastAsia" w:ascii="宋体" w:hAnsi="宋体"/>
          <w:color w:val="auto"/>
          <w:szCs w:val="21"/>
          <w:highlight w:val="none"/>
        </w:rPr>
        <w:t>项目编号：</w:t>
      </w:r>
    </w:p>
    <w:p w14:paraId="63587EF5">
      <w:pPr>
        <w:spacing w:line="360" w:lineRule="auto"/>
        <w:ind w:firstLine="480"/>
        <w:rPr>
          <w:rFonts w:ascii="宋体" w:hAnsi="宋体"/>
          <w:color w:val="auto"/>
          <w:szCs w:val="21"/>
          <w:highlight w:val="none"/>
        </w:rPr>
      </w:pPr>
      <w:r>
        <w:rPr>
          <w:rFonts w:hint="eastAsia" w:ascii="宋体" w:hAnsi="宋体"/>
          <w:color w:val="auto"/>
          <w:szCs w:val="21"/>
          <w:highlight w:val="none"/>
        </w:rPr>
        <w:t xml:space="preserve">分包号(如有)： </w:t>
      </w:r>
    </w:p>
    <w:tbl>
      <w:tblPr>
        <w:tblStyle w:val="37"/>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81"/>
        <w:gridCol w:w="6405"/>
      </w:tblGrid>
      <w:tr w14:paraId="3845B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8" w:hRule="atLeast"/>
        </w:trPr>
        <w:tc>
          <w:tcPr>
            <w:tcW w:w="2481" w:type="dxa"/>
            <w:noWrap w:val="0"/>
            <w:vAlign w:val="center"/>
          </w:tcPr>
          <w:p w14:paraId="509FA465">
            <w:pPr>
              <w:spacing w:line="360" w:lineRule="auto"/>
              <w:ind w:firstLine="480"/>
              <w:rPr>
                <w:rFonts w:ascii="宋体" w:hAnsi="宋体" w:eastAsia="宋体" w:cs="宋体"/>
                <w:color w:val="auto"/>
                <w:sz w:val="21"/>
                <w:szCs w:val="21"/>
                <w:highlight w:val="none"/>
              </w:rPr>
            </w:pPr>
            <w:r>
              <w:rPr>
                <w:rFonts w:hint="eastAsia" w:ascii="宋体" w:hAnsi="宋体"/>
                <w:color w:val="auto"/>
                <w:szCs w:val="21"/>
                <w:highlight w:val="none"/>
              </w:rPr>
              <w:t xml:space="preserve">                       </w:t>
            </w:r>
            <w:r>
              <w:rPr>
                <w:rFonts w:hint="eastAsia" w:ascii="宋体" w:hAnsi="宋体" w:eastAsia="宋体" w:cs="宋体"/>
                <w:color w:val="auto"/>
                <w:sz w:val="21"/>
                <w:szCs w:val="21"/>
                <w:highlight w:val="none"/>
              </w:rPr>
              <w:t xml:space="preserve">  投标货物及服务名称</w:t>
            </w:r>
          </w:p>
        </w:tc>
        <w:tc>
          <w:tcPr>
            <w:tcW w:w="6405" w:type="dxa"/>
            <w:noWrap w:val="0"/>
            <w:vAlign w:val="center"/>
          </w:tcPr>
          <w:p w14:paraId="33EDDF44">
            <w:pPr>
              <w:spacing w:line="360" w:lineRule="auto"/>
              <w:rPr>
                <w:rFonts w:ascii="宋体" w:hAnsi="宋体"/>
                <w:color w:val="auto"/>
                <w:szCs w:val="21"/>
                <w:highlight w:val="none"/>
              </w:rPr>
            </w:pPr>
            <w:r>
              <w:rPr>
                <w:rFonts w:hint="eastAsia" w:ascii="宋体" w:hAnsi="宋体" w:cs="宋体"/>
                <w:color w:val="auto"/>
                <w:szCs w:val="21"/>
                <w:highlight w:val="none"/>
              </w:rPr>
              <w:t xml:space="preserve">                      </w:t>
            </w:r>
            <w:r>
              <w:rPr>
                <w:rFonts w:hint="eastAsia" w:ascii="宋体" w:hAnsi="宋体"/>
                <w:color w:val="auto"/>
                <w:szCs w:val="21"/>
                <w:highlight w:val="none"/>
              </w:rPr>
              <w:t>投标总报价</w:t>
            </w:r>
          </w:p>
        </w:tc>
      </w:tr>
      <w:tr w14:paraId="6522D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697" w:hRule="atLeast"/>
        </w:trPr>
        <w:tc>
          <w:tcPr>
            <w:tcW w:w="2481" w:type="dxa"/>
            <w:noWrap w:val="0"/>
            <w:vAlign w:val="center"/>
          </w:tcPr>
          <w:p w14:paraId="34AB5A21">
            <w:pPr>
              <w:pStyle w:val="15"/>
              <w:spacing w:line="360" w:lineRule="auto"/>
              <w:rPr>
                <w:rFonts w:ascii="宋体" w:hAnsi="宋体" w:eastAsia="宋体" w:cs="宋体"/>
                <w:color w:val="auto"/>
                <w:sz w:val="21"/>
                <w:szCs w:val="21"/>
                <w:highlight w:val="none"/>
              </w:rPr>
            </w:pPr>
          </w:p>
        </w:tc>
        <w:tc>
          <w:tcPr>
            <w:tcW w:w="6405" w:type="dxa"/>
            <w:noWrap w:val="0"/>
            <w:vAlign w:val="center"/>
          </w:tcPr>
          <w:p w14:paraId="46CB819C">
            <w:pPr>
              <w:pStyle w:val="193"/>
              <w:spacing w:before="0" w:after="0"/>
              <w:ind w:firstLine="0"/>
              <w:rPr>
                <w:rFonts w:ascii="宋体" w:hAnsi="宋体" w:cs="宋体"/>
                <w:color w:val="auto"/>
                <w:sz w:val="21"/>
                <w:szCs w:val="21"/>
                <w:highlight w:val="none"/>
              </w:rPr>
            </w:pPr>
            <w:r>
              <w:rPr>
                <w:rFonts w:hint="eastAsia" w:ascii="宋体" w:hAnsi="宋体" w:cs="宋体"/>
                <w:color w:val="auto"/>
                <w:sz w:val="21"/>
                <w:szCs w:val="21"/>
                <w:highlight w:val="none"/>
              </w:rPr>
              <w:t>大写：</w:t>
            </w:r>
          </w:p>
          <w:p w14:paraId="64D2A5C9">
            <w:pPr>
              <w:pStyle w:val="193"/>
              <w:spacing w:before="0" w:after="0"/>
              <w:ind w:firstLine="0"/>
              <w:rPr>
                <w:rFonts w:ascii="宋体" w:hAnsi="宋体" w:cs="宋体"/>
                <w:color w:val="auto"/>
                <w:sz w:val="21"/>
                <w:szCs w:val="21"/>
                <w:highlight w:val="none"/>
              </w:rPr>
            </w:pPr>
            <w:r>
              <w:rPr>
                <w:rFonts w:hint="eastAsia" w:ascii="宋体" w:hAnsi="宋体" w:cs="宋体"/>
                <w:color w:val="auto"/>
                <w:sz w:val="21"/>
                <w:szCs w:val="21"/>
                <w:highlight w:val="none"/>
              </w:rPr>
              <w:t>小写：                             （人民币：元）</w:t>
            </w:r>
          </w:p>
          <w:p w14:paraId="6B88F565">
            <w:pPr>
              <w:pStyle w:val="193"/>
              <w:spacing w:before="0" w:after="0"/>
              <w:ind w:firstLine="0"/>
              <w:rPr>
                <w:rFonts w:ascii="宋体" w:hAnsi="宋体" w:cs="宋体"/>
                <w:color w:val="auto"/>
                <w:sz w:val="21"/>
                <w:szCs w:val="21"/>
                <w:highlight w:val="none"/>
              </w:rPr>
            </w:pPr>
          </w:p>
        </w:tc>
      </w:tr>
    </w:tbl>
    <w:p w14:paraId="4115416F">
      <w:pPr>
        <w:spacing w:line="360" w:lineRule="auto"/>
        <w:rPr>
          <w:rFonts w:ascii="宋体" w:hAnsi="宋体"/>
          <w:color w:val="auto"/>
          <w:szCs w:val="21"/>
          <w:highlight w:val="none"/>
        </w:rPr>
      </w:pPr>
    </w:p>
    <w:p w14:paraId="461690AD">
      <w:pPr>
        <w:spacing w:line="360" w:lineRule="auto"/>
        <w:ind w:firstLine="480"/>
        <w:rPr>
          <w:rFonts w:ascii="宋体" w:hAnsi="宋体"/>
          <w:color w:val="auto"/>
          <w:sz w:val="32"/>
          <w:szCs w:val="32"/>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7E9B5E01">
      <w:pPr>
        <w:pStyle w:val="4"/>
        <w:spacing w:line="360" w:lineRule="auto"/>
        <w:ind w:firstLine="640"/>
        <w:rPr>
          <w:rFonts w:ascii="宋体" w:hAnsi="宋体"/>
          <w:color w:val="auto"/>
          <w:sz w:val="32"/>
          <w:szCs w:val="32"/>
          <w:highlight w:val="none"/>
        </w:rPr>
      </w:pPr>
    </w:p>
    <w:p w14:paraId="326D146B">
      <w:pPr>
        <w:pStyle w:val="4"/>
        <w:spacing w:line="360" w:lineRule="auto"/>
        <w:ind w:firstLine="640"/>
        <w:rPr>
          <w:rFonts w:ascii="宋体" w:hAnsi="宋体"/>
          <w:color w:val="auto"/>
          <w:sz w:val="32"/>
          <w:szCs w:val="32"/>
          <w:highlight w:val="none"/>
        </w:rPr>
      </w:pPr>
    </w:p>
    <w:p w14:paraId="241F110A">
      <w:pPr>
        <w:spacing w:line="360" w:lineRule="auto"/>
        <w:rPr>
          <w:rFonts w:ascii="宋体" w:hAnsi="宋体"/>
          <w:color w:val="auto"/>
          <w:sz w:val="32"/>
          <w:szCs w:val="32"/>
          <w:highlight w:val="none"/>
        </w:rPr>
      </w:pPr>
      <w:r>
        <w:rPr>
          <w:rFonts w:hint="eastAsia" w:ascii="宋体" w:hAnsi="宋体"/>
          <w:color w:val="auto"/>
          <w:sz w:val="32"/>
          <w:szCs w:val="32"/>
          <w:highlight w:val="none"/>
        </w:rPr>
        <w:br w:type="page" w:clear="all"/>
      </w:r>
    </w:p>
    <w:p w14:paraId="08C1171A">
      <w:pPr>
        <w:pStyle w:val="3"/>
        <w:spacing w:line="360" w:lineRule="auto"/>
        <w:rPr>
          <w:rFonts w:asciiTheme="minorEastAsia" w:hAnsiTheme="minorEastAsia" w:eastAsiaTheme="minorEastAsia"/>
          <w:color w:val="auto"/>
          <w:sz w:val="32"/>
          <w:highlight w:val="none"/>
        </w:rPr>
      </w:pPr>
      <w:bookmarkStart w:id="70" w:name="_Toc25042"/>
      <w:bookmarkStart w:id="71" w:name="_Toc12991"/>
      <w:r>
        <w:rPr>
          <w:rFonts w:hint="eastAsia" w:asciiTheme="minorEastAsia" w:hAnsiTheme="minorEastAsia" w:eastAsiaTheme="minorEastAsia"/>
          <w:color w:val="auto"/>
          <w:sz w:val="32"/>
          <w:highlight w:val="none"/>
        </w:rPr>
        <w:t>五、投标产品配置及分项报价表</w:t>
      </w:r>
      <w:bookmarkEnd w:id="70"/>
      <w:bookmarkEnd w:id="71"/>
    </w:p>
    <w:p w14:paraId="442994A5">
      <w:pPr>
        <w:jc w:val="both"/>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 xml:space="preserve">                         </w:t>
      </w:r>
      <w:r>
        <w:rPr>
          <w:rFonts w:hint="eastAsia" w:ascii="宋体" w:hAnsi="宋体"/>
          <w:b/>
          <w:color w:val="auto"/>
          <w:sz w:val="24"/>
          <w:szCs w:val="24"/>
          <w:highlight w:val="none"/>
        </w:rPr>
        <w:t>（采购包号：***）</w:t>
      </w:r>
    </w:p>
    <w:p w14:paraId="4377E781">
      <w:pPr>
        <w:jc w:val="both"/>
        <w:rPr>
          <w:rFonts w:hint="eastAsia" w:ascii="宋体" w:hAnsi="宋体"/>
          <w:b/>
          <w:color w:val="auto"/>
          <w:sz w:val="24"/>
          <w:szCs w:val="24"/>
          <w:highlight w:val="none"/>
        </w:rPr>
      </w:pPr>
    </w:p>
    <w:tbl>
      <w:tblPr>
        <w:tblStyle w:val="37"/>
        <w:tblW w:w="85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0"/>
        <w:gridCol w:w="728"/>
        <w:gridCol w:w="938"/>
        <w:gridCol w:w="980"/>
        <w:gridCol w:w="1106"/>
        <w:gridCol w:w="1385"/>
        <w:gridCol w:w="924"/>
        <w:gridCol w:w="1008"/>
        <w:gridCol w:w="966"/>
      </w:tblGrid>
      <w:tr w14:paraId="67E1C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500" w:type="dxa"/>
            <w:noWrap w:val="0"/>
            <w:vAlign w:val="top"/>
          </w:tcPr>
          <w:p w14:paraId="05006338">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序号</w:t>
            </w:r>
          </w:p>
        </w:tc>
        <w:tc>
          <w:tcPr>
            <w:tcW w:w="728" w:type="dxa"/>
            <w:noWrap w:val="0"/>
            <w:vAlign w:val="center"/>
          </w:tcPr>
          <w:p w14:paraId="38D6F2D5">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1</w:t>
            </w:r>
          </w:p>
        </w:tc>
        <w:tc>
          <w:tcPr>
            <w:tcW w:w="938" w:type="dxa"/>
            <w:noWrap w:val="0"/>
            <w:vAlign w:val="center"/>
          </w:tcPr>
          <w:p w14:paraId="04269EF9">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3</w:t>
            </w:r>
          </w:p>
        </w:tc>
        <w:tc>
          <w:tcPr>
            <w:tcW w:w="980" w:type="dxa"/>
            <w:noWrap w:val="0"/>
            <w:vAlign w:val="center"/>
          </w:tcPr>
          <w:p w14:paraId="32387965">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4</w:t>
            </w:r>
          </w:p>
        </w:tc>
        <w:tc>
          <w:tcPr>
            <w:tcW w:w="1106" w:type="dxa"/>
            <w:noWrap w:val="0"/>
            <w:vAlign w:val="center"/>
          </w:tcPr>
          <w:p w14:paraId="37633587">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r>
              <w:rPr>
                <w:rFonts w:ascii="宋体" w:hAnsi="宋体"/>
                <w:color w:val="auto"/>
                <w:sz w:val="24"/>
                <w:szCs w:val="24"/>
                <w:highlight w:val="none"/>
              </w:rPr>
              <w:t>5</w:t>
            </w:r>
          </w:p>
        </w:tc>
        <w:tc>
          <w:tcPr>
            <w:tcW w:w="1385" w:type="dxa"/>
            <w:noWrap w:val="0"/>
            <w:vAlign w:val="center"/>
          </w:tcPr>
          <w:p w14:paraId="2A493E92">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6</w:t>
            </w:r>
          </w:p>
        </w:tc>
        <w:tc>
          <w:tcPr>
            <w:tcW w:w="924" w:type="dxa"/>
            <w:noWrap w:val="0"/>
            <w:vAlign w:val="center"/>
          </w:tcPr>
          <w:p w14:paraId="67743A28">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7</w:t>
            </w:r>
          </w:p>
        </w:tc>
        <w:tc>
          <w:tcPr>
            <w:tcW w:w="1008" w:type="dxa"/>
            <w:noWrap w:val="0"/>
            <w:vAlign w:val="center"/>
          </w:tcPr>
          <w:p w14:paraId="2ABCF834">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8</w:t>
            </w:r>
          </w:p>
        </w:tc>
        <w:tc>
          <w:tcPr>
            <w:tcW w:w="966" w:type="dxa"/>
            <w:noWrap w:val="0"/>
            <w:vAlign w:val="center"/>
          </w:tcPr>
          <w:p w14:paraId="0D7C86F5">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9</w:t>
            </w:r>
          </w:p>
        </w:tc>
      </w:tr>
      <w:tr w14:paraId="30EBF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500" w:type="dxa"/>
            <w:noWrap w:val="0"/>
            <w:vAlign w:val="center"/>
          </w:tcPr>
          <w:p w14:paraId="49881869">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1</w:t>
            </w:r>
          </w:p>
        </w:tc>
        <w:tc>
          <w:tcPr>
            <w:tcW w:w="728" w:type="dxa"/>
            <w:noWrap w:val="0"/>
            <w:vAlign w:val="center"/>
          </w:tcPr>
          <w:p w14:paraId="06F05BCF">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产品</w:t>
            </w:r>
          </w:p>
          <w:p w14:paraId="73AFA1EA">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名称</w:t>
            </w:r>
          </w:p>
        </w:tc>
        <w:tc>
          <w:tcPr>
            <w:tcW w:w="938" w:type="dxa"/>
            <w:noWrap w:val="0"/>
            <w:vAlign w:val="center"/>
          </w:tcPr>
          <w:p w14:paraId="072A5EAB">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规格</w:t>
            </w:r>
          </w:p>
          <w:p w14:paraId="5EAB114E">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型号</w:t>
            </w:r>
          </w:p>
        </w:tc>
        <w:tc>
          <w:tcPr>
            <w:tcW w:w="980" w:type="dxa"/>
            <w:noWrap w:val="0"/>
            <w:vAlign w:val="center"/>
          </w:tcPr>
          <w:p w14:paraId="6A4456C1">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制造商名称</w:t>
            </w:r>
          </w:p>
        </w:tc>
        <w:tc>
          <w:tcPr>
            <w:tcW w:w="1106" w:type="dxa"/>
            <w:noWrap w:val="0"/>
            <w:vAlign w:val="center"/>
          </w:tcPr>
          <w:p w14:paraId="319AAF06">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产地</w:t>
            </w:r>
          </w:p>
        </w:tc>
        <w:tc>
          <w:tcPr>
            <w:tcW w:w="1385" w:type="dxa"/>
            <w:noWrap w:val="0"/>
            <w:vAlign w:val="center"/>
          </w:tcPr>
          <w:p w14:paraId="544EB77D">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交付期</w:t>
            </w:r>
          </w:p>
        </w:tc>
        <w:tc>
          <w:tcPr>
            <w:tcW w:w="924" w:type="dxa"/>
            <w:noWrap w:val="0"/>
            <w:vAlign w:val="center"/>
          </w:tcPr>
          <w:p w14:paraId="2554F553">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数量</w:t>
            </w:r>
          </w:p>
        </w:tc>
        <w:tc>
          <w:tcPr>
            <w:tcW w:w="1008" w:type="dxa"/>
            <w:noWrap w:val="0"/>
            <w:vAlign w:val="center"/>
          </w:tcPr>
          <w:p w14:paraId="2C4CCD2D">
            <w:pPr>
              <w:keepNext w:val="0"/>
              <w:keepLines w:val="0"/>
              <w:suppressLineNumbers w:val="0"/>
              <w:spacing w:before="0" w:beforeAutospacing="0" w:after="0" w:afterAutospacing="0" w:line="0" w:lineRule="atLeast"/>
              <w:ind w:left="0" w:right="0"/>
              <w:jc w:val="center"/>
              <w:rPr>
                <w:rFonts w:ascii="宋体" w:hAnsi="宋体"/>
                <w:color w:val="auto"/>
                <w:sz w:val="24"/>
                <w:szCs w:val="24"/>
                <w:highlight w:val="none"/>
              </w:rPr>
            </w:pPr>
            <w:r>
              <w:rPr>
                <w:rFonts w:hint="eastAsia" w:ascii="宋体" w:hAnsi="宋体"/>
                <w:color w:val="auto"/>
                <w:sz w:val="24"/>
                <w:szCs w:val="24"/>
                <w:highlight w:val="none"/>
              </w:rPr>
              <w:t>分项</w:t>
            </w:r>
          </w:p>
          <w:p w14:paraId="3C44A255">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单价</w:t>
            </w:r>
          </w:p>
        </w:tc>
        <w:tc>
          <w:tcPr>
            <w:tcW w:w="966" w:type="dxa"/>
            <w:noWrap w:val="0"/>
            <w:vAlign w:val="center"/>
          </w:tcPr>
          <w:p w14:paraId="413E6604">
            <w:pPr>
              <w:keepNext w:val="0"/>
              <w:keepLines w:val="0"/>
              <w:suppressLineNumbers w:val="0"/>
              <w:spacing w:before="0" w:beforeAutospacing="0" w:after="0" w:afterAutospacing="0" w:line="0" w:lineRule="atLeast"/>
              <w:ind w:left="0" w:right="0"/>
              <w:jc w:val="center"/>
              <w:rPr>
                <w:rFonts w:ascii="宋体" w:hAnsi="宋体"/>
                <w:color w:val="auto"/>
                <w:sz w:val="24"/>
                <w:szCs w:val="24"/>
                <w:highlight w:val="none"/>
              </w:rPr>
            </w:pPr>
            <w:r>
              <w:rPr>
                <w:rFonts w:hint="eastAsia" w:ascii="宋体" w:hAnsi="宋体"/>
                <w:color w:val="auto"/>
                <w:sz w:val="24"/>
                <w:szCs w:val="24"/>
                <w:highlight w:val="none"/>
              </w:rPr>
              <w:t>分项</w:t>
            </w:r>
          </w:p>
          <w:p w14:paraId="53CAFFB3">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总价</w:t>
            </w:r>
          </w:p>
        </w:tc>
      </w:tr>
      <w:tr w14:paraId="32FF0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6" w:hRule="atLeast"/>
        </w:trPr>
        <w:tc>
          <w:tcPr>
            <w:tcW w:w="500" w:type="dxa"/>
            <w:noWrap w:val="0"/>
            <w:vAlign w:val="center"/>
          </w:tcPr>
          <w:p w14:paraId="0F23F423">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2</w:t>
            </w:r>
          </w:p>
        </w:tc>
        <w:tc>
          <w:tcPr>
            <w:tcW w:w="728" w:type="dxa"/>
            <w:noWrap w:val="0"/>
            <w:vAlign w:val="center"/>
          </w:tcPr>
          <w:p w14:paraId="10E402BD">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c>
          <w:tcPr>
            <w:tcW w:w="938" w:type="dxa"/>
            <w:noWrap w:val="0"/>
            <w:vAlign w:val="center"/>
          </w:tcPr>
          <w:p w14:paraId="1FD22663">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c>
          <w:tcPr>
            <w:tcW w:w="980" w:type="dxa"/>
            <w:noWrap w:val="0"/>
            <w:vAlign w:val="center"/>
          </w:tcPr>
          <w:p w14:paraId="7C2A2050">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c>
          <w:tcPr>
            <w:tcW w:w="1106" w:type="dxa"/>
            <w:noWrap w:val="0"/>
            <w:vAlign w:val="top"/>
          </w:tcPr>
          <w:p w14:paraId="04C27EBE">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c>
          <w:tcPr>
            <w:tcW w:w="1385" w:type="dxa"/>
            <w:noWrap w:val="0"/>
            <w:vAlign w:val="center"/>
          </w:tcPr>
          <w:p w14:paraId="3FBDB4CE">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u w:val="single"/>
              </w:rPr>
            </w:pPr>
            <w:r>
              <w:rPr>
                <w:rFonts w:hint="eastAsia" w:ascii="宋体" w:hAnsi="宋体"/>
                <w:color w:val="auto"/>
                <w:sz w:val="24"/>
                <w:szCs w:val="24"/>
                <w:highlight w:val="none"/>
              </w:rPr>
              <w:t>合同签订后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w:t>
            </w:r>
          </w:p>
        </w:tc>
        <w:tc>
          <w:tcPr>
            <w:tcW w:w="924" w:type="dxa"/>
            <w:noWrap w:val="0"/>
            <w:vAlign w:val="center"/>
          </w:tcPr>
          <w:p w14:paraId="3D785378">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c>
          <w:tcPr>
            <w:tcW w:w="1008" w:type="dxa"/>
            <w:noWrap w:val="0"/>
            <w:vAlign w:val="center"/>
          </w:tcPr>
          <w:p w14:paraId="5051E68D">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c>
          <w:tcPr>
            <w:tcW w:w="966" w:type="dxa"/>
            <w:noWrap w:val="0"/>
            <w:vAlign w:val="center"/>
          </w:tcPr>
          <w:p w14:paraId="66365390">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r>
      <w:tr w14:paraId="3C0D1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4" w:hRule="atLeast"/>
        </w:trPr>
        <w:tc>
          <w:tcPr>
            <w:tcW w:w="500" w:type="dxa"/>
            <w:noWrap w:val="0"/>
            <w:vAlign w:val="center"/>
          </w:tcPr>
          <w:p w14:paraId="7DD381D7">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3</w:t>
            </w:r>
          </w:p>
        </w:tc>
        <w:tc>
          <w:tcPr>
            <w:tcW w:w="728" w:type="dxa"/>
            <w:noWrap w:val="0"/>
            <w:vAlign w:val="center"/>
          </w:tcPr>
          <w:p w14:paraId="5A442EC9">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c>
          <w:tcPr>
            <w:tcW w:w="938" w:type="dxa"/>
            <w:noWrap w:val="0"/>
            <w:vAlign w:val="center"/>
          </w:tcPr>
          <w:p w14:paraId="33D1A23D">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c>
          <w:tcPr>
            <w:tcW w:w="980" w:type="dxa"/>
            <w:noWrap w:val="0"/>
            <w:vAlign w:val="center"/>
          </w:tcPr>
          <w:p w14:paraId="6CC77DB7">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c>
          <w:tcPr>
            <w:tcW w:w="1106" w:type="dxa"/>
            <w:noWrap w:val="0"/>
            <w:vAlign w:val="top"/>
          </w:tcPr>
          <w:p w14:paraId="2B725B1A">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c>
          <w:tcPr>
            <w:tcW w:w="1385" w:type="dxa"/>
            <w:noWrap w:val="0"/>
            <w:vAlign w:val="center"/>
          </w:tcPr>
          <w:p w14:paraId="43A68715">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c>
          <w:tcPr>
            <w:tcW w:w="924" w:type="dxa"/>
            <w:noWrap w:val="0"/>
            <w:vAlign w:val="center"/>
          </w:tcPr>
          <w:p w14:paraId="45113C47">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c>
          <w:tcPr>
            <w:tcW w:w="1008" w:type="dxa"/>
            <w:noWrap w:val="0"/>
            <w:vAlign w:val="center"/>
          </w:tcPr>
          <w:p w14:paraId="5073D738">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c>
          <w:tcPr>
            <w:tcW w:w="966" w:type="dxa"/>
            <w:noWrap w:val="0"/>
            <w:vAlign w:val="center"/>
          </w:tcPr>
          <w:p w14:paraId="36AAC2D5">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r>
      <w:tr w14:paraId="67EF9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00" w:type="dxa"/>
            <w:noWrap w:val="0"/>
            <w:vAlign w:val="center"/>
          </w:tcPr>
          <w:p w14:paraId="67E0B904">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r>
              <w:rPr>
                <w:rFonts w:hint="eastAsia" w:ascii="宋体" w:hAnsi="宋体"/>
                <w:color w:val="auto"/>
                <w:sz w:val="24"/>
                <w:szCs w:val="24"/>
                <w:highlight w:val="none"/>
              </w:rPr>
              <w:t>4</w:t>
            </w:r>
          </w:p>
        </w:tc>
        <w:tc>
          <w:tcPr>
            <w:tcW w:w="728" w:type="dxa"/>
            <w:noWrap w:val="0"/>
            <w:vAlign w:val="center"/>
          </w:tcPr>
          <w:p w14:paraId="1AB8B117">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c>
          <w:tcPr>
            <w:tcW w:w="938" w:type="dxa"/>
            <w:noWrap w:val="0"/>
            <w:vAlign w:val="center"/>
          </w:tcPr>
          <w:p w14:paraId="02C9AAA5">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c>
          <w:tcPr>
            <w:tcW w:w="980" w:type="dxa"/>
            <w:noWrap w:val="0"/>
            <w:vAlign w:val="center"/>
          </w:tcPr>
          <w:p w14:paraId="778319A0">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c>
          <w:tcPr>
            <w:tcW w:w="1106" w:type="dxa"/>
            <w:noWrap w:val="0"/>
            <w:vAlign w:val="top"/>
          </w:tcPr>
          <w:p w14:paraId="20EDBD12">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c>
          <w:tcPr>
            <w:tcW w:w="1385" w:type="dxa"/>
            <w:noWrap w:val="0"/>
            <w:vAlign w:val="center"/>
          </w:tcPr>
          <w:p w14:paraId="79E53E87">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c>
          <w:tcPr>
            <w:tcW w:w="924" w:type="dxa"/>
            <w:noWrap w:val="0"/>
            <w:vAlign w:val="center"/>
          </w:tcPr>
          <w:p w14:paraId="192FF3E9">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c>
          <w:tcPr>
            <w:tcW w:w="1008" w:type="dxa"/>
            <w:noWrap w:val="0"/>
            <w:vAlign w:val="center"/>
          </w:tcPr>
          <w:p w14:paraId="3BA03E98">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c>
          <w:tcPr>
            <w:tcW w:w="966" w:type="dxa"/>
            <w:noWrap w:val="0"/>
            <w:vAlign w:val="center"/>
          </w:tcPr>
          <w:p w14:paraId="0548DE3D">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r>
      <w:tr w14:paraId="63D41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500" w:type="dxa"/>
            <w:noWrap w:val="0"/>
            <w:vAlign w:val="center"/>
          </w:tcPr>
          <w:p w14:paraId="1F6AB247">
            <w:pPr>
              <w:keepNext w:val="0"/>
              <w:keepLines w:val="0"/>
              <w:suppressLineNumbers w:val="0"/>
              <w:spacing w:before="0" w:beforeAutospacing="0" w:after="0" w:afterAutospacing="0" w:line="0" w:lineRule="atLeast"/>
              <w:ind w:left="0" w:right="0"/>
              <w:jc w:val="center"/>
              <w:rPr>
                <w:rFonts w:ascii="宋体" w:hAnsi="宋体"/>
                <w:color w:val="auto"/>
                <w:sz w:val="24"/>
                <w:szCs w:val="24"/>
                <w:highlight w:val="none"/>
              </w:rPr>
            </w:pPr>
            <w:r>
              <w:rPr>
                <w:rFonts w:ascii="宋体" w:hAnsi="宋体"/>
                <w:color w:val="auto"/>
                <w:sz w:val="24"/>
                <w:szCs w:val="24"/>
                <w:highlight w:val="none"/>
              </w:rPr>
              <w:t>…</w:t>
            </w:r>
          </w:p>
        </w:tc>
        <w:tc>
          <w:tcPr>
            <w:tcW w:w="728" w:type="dxa"/>
            <w:noWrap w:val="0"/>
            <w:vAlign w:val="center"/>
          </w:tcPr>
          <w:p w14:paraId="25129625">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r>
              <w:rPr>
                <w:rFonts w:ascii="宋体" w:hAnsi="宋体"/>
                <w:color w:val="auto"/>
                <w:sz w:val="24"/>
                <w:szCs w:val="24"/>
                <w:highlight w:val="none"/>
              </w:rPr>
              <w:t>……</w:t>
            </w:r>
          </w:p>
        </w:tc>
        <w:tc>
          <w:tcPr>
            <w:tcW w:w="938" w:type="dxa"/>
            <w:noWrap w:val="0"/>
            <w:vAlign w:val="center"/>
          </w:tcPr>
          <w:p w14:paraId="1FBFEF52">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c>
          <w:tcPr>
            <w:tcW w:w="980" w:type="dxa"/>
            <w:noWrap w:val="0"/>
            <w:vAlign w:val="center"/>
          </w:tcPr>
          <w:p w14:paraId="606E5374">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c>
          <w:tcPr>
            <w:tcW w:w="1106" w:type="dxa"/>
            <w:noWrap w:val="0"/>
            <w:vAlign w:val="top"/>
          </w:tcPr>
          <w:p w14:paraId="548EC148">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c>
          <w:tcPr>
            <w:tcW w:w="1385" w:type="dxa"/>
            <w:noWrap w:val="0"/>
            <w:vAlign w:val="center"/>
          </w:tcPr>
          <w:p w14:paraId="77FFA8D5">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c>
          <w:tcPr>
            <w:tcW w:w="924" w:type="dxa"/>
            <w:noWrap w:val="0"/>
            <w:vAlign w:val="center"/>
          </w:tcPr>
          <w:p w14:paraId="23A73CF3">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c>
          <w:tcPr>
            <w:tcW w:w="1008" w:type="dxa"/>
            <w:noWrap w:val="0"/>
            <w:vAlign w:val="center"/>
          </w:tcPr>
          <w:p w14:paraId="407792ED">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c>
          <w:tcPr>
            <w:tcW w:w="966" w:type="dxa"/>
            <w:noWrap w:val="0"/>
            <w:vAlign w:val="center"/>
          </w:tcPr>
          <w:p w14:paraId="6DEF71FB">
            <w:pPr>
              <w:keepNext w:val="0"/>
              <w:keepLines w:val="0"/>
              <w:suppressLineNumbers w:val="0"/>
              <w:spacing w:before="0" w:beforeAutospacing="0" w:after="0" w:afterAutospacing="0" w:line="0" w:lineRule="atLeast"/>
              <w:ind w:left="0" w:right="0"/>
              <w:jc w:val="center"/>
              <w:rPr>
                <w:rFonts w:hint="eastAsia" w:ascii="宋体" w:hAnsi="宋体"/>
                <w:color w:val="auto"/>
                <w:sz w:val="24"/>
                <w:szCs w:val="24"/>
                <w:highlight w:val="none"/>
              </w:rPr>
            </w:pPr>
          </w:p>
        </w:tc>
      </w:tr>
      <w:tr w14:paraId="54B96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500" w:type="dxa"/>
            <w:noWrap w:val="0"/>
            <w:vAlign w:val="center"/>
          </w:tcPr>
          <w:p w14:paraId="400649AA">
            <w:pPr>
              <w:keepNext w:val="0"/>
              <w:keepLines w:val="0"/>
              <w:suppressLineNumbers w:val="0"/>
              <w:spacing w:before="0" w:beforeAutospacing="0" w:after="0" w:afterAutospacing="0" w:line="0" w:lineRule="atLeast"/>
              <w:ind w:left="0" w:right="0"/>
              <w:jc w:val="center"/>
              <w:rPr>
                <w:rFonts w:ascii="宋体" w:hAnsi="宋体"/>
                <w:color w:val="auto"/>
                <w:sz w:val="24"/>
                <w:szCs w:val="24"/>
                <w:highlight w:val="none"/>
              </w:rPr>
            </w:pPr>
          </w:p>
        </w:tc>
        <w:tc>
          <w:tcPr>
            <w:tcW w:w="8035" w:type="dxa"/>
            <w:gridSpan w:val="8"/>
            <w:noWrap w:val="0"/>
            <w:vAlign w:val="center"/>
          </w:tcPr>
          <w:p w14:paraId="0444AC71">
            <w:pPr>
              <w:keepNext w:val="0"/>
              <w:keepLines w:val="0"/>
              <w:suppressLineNumbers w:val="0"/>
              <w:spacing w:before="0" w:beforeAutospacing="0" w:after="0" w:afterAutospacing="0" w:line="0" w:lineRule="atLeast"/>
              <w:ind w:left="0" w:right="0"/>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投标总报价（人民币：元）</w:t>
            </w:r>
          </w:p>
        </w:tc>
      </w:tr>
    </w:tbl>
    <w:p w14:paraId="057633D5">
      <w:pPr>
        <w:spacing w:line="400" w:lineRule="exact"/>
        <w:rPr>
          <w:rFonts w:ascii="宋体" w:hAnsi="宋体"/>
          <w:color w:val="auto"/>
          <w:sz w:val="24"/>
          <w:szCs w:val="24"/>
          <w:highlight w:val="none"/>
        </w:rPr>
      </w:pPr>
      <w:r>
        <w:rPr>
          <w:rFonts w:hint="eastAsia" w:ascii="宋体" w:hAnsi="宋体"/>
          <w:color w:val="auto"/>
          <w:sz w:val="24"/>
          <w:szCs w:val="24"/>
          <w:highlight w:val="none"/>
        </w:rPr>
        <w:t>备注：</w:t>
      </w:r>
    </w:p>
    <w:p w14:paraId="1E61341B">
      <w:pPr>
        <w:spacing w:line="400" w:lineRule="exact"/>
        <w:rPr>
          <w:rFonts w:ascii="宋体" w:hAnsi="宋体"/>
          <w:color w:val="auto"/>
          <w:sz w:val="24"/>
          <w:szCs w:val="21"/>
          <w:highlight w:val="none"/>
        </w:rPr>
      </w:pPr>
      <w:r>
        <w:rPr>
          <w:rFonts w:hint="eastAsia" w:ascii="宋体" w:hAnsi="宋体"/>
          <w:color w:val="auto"/>
          <w:sz w:val="24"/>
          <w:szCs w:val="24"/>
          <w:highlight w:val="none"/>
        </w:rPr>
        <w:t>1.投标报价</w:t>
      </w:r>
      <w:r>
        <w:rPr>
          <w:rFonts w:hint="eastAsia" w:ascii="宋体" w:hAnsi="宋体"/>
          <w:color w:val="auto"/>
          <w:sz w:val="24"/>
          <w:szCs w:val="21"/>
          <w:highlight w:val="none"/>
        </w:rPr>
        <w:t>采用总承包方式，“投标总报价”应包括所投货物（包含与货物相关的服务）费用、安装调试费、测试验收费、培训费、运行维护费用、税金及其他有关的为完成本项目发生的所有费用，招标文件中另有规定的除外。</w:t>
      </w:r>
    </w:p>
    <w:p w14:paraId="6DEB79FF">
      <w:pPr>
        <w:spacing w:line="400" w:lineRule="exact"/>
        <w:rPr>
          <w:rFonts w:ascii="宋体" w:hAnsi="宋体"/>
          <w:color w:val="auto"/>
          <w:sz w:val="24"/>
          <w:szCs w:val="21"/>
          <w:highlight w:val="none"/>
        </w:rPr>
      </w:pPr>
      <w:r>
        <w:rPr>
          <w:rFonts w:hint="eastAsia" w:ascii="宋体" w:hAnsi="宋体"/>
          <w:color w:val="auto"/>
          <w:sz w:val="24"/>
          <w:szCs w:val="21"/>
          <w:highlight w:val="none"/>
        </w:rPr>
        <w:t>2.</w:t>
      </w:r>
      <w:r>
        <w:rPr>
          <w:rFonts w:hint="eastAsia" w:ascii="Times New Roman" w:hAnsi="Times New Roman"/>
          <w:color w:val="auto"/>
          <w:szCs w:val="21"/>
          <w:highlight w:val="none"/>
        </w:rPr>
        <w:t>“</w:t>
      </w:r>
      <w:r>
        <w:rPr>
          <w:rFonts w:hint="eastAsia" w:ascii="宋体" w:hAnsi="宋体"/>
          <w:color w:val="auto"/>
          <w:sz w:val="24"/>
          <w:szCs w:val="21"/>
          <w:highlight w:val="none"/>
        </w:rPr>
        <w:t>投标分项报价表</w:t>
      </w:r>
      <w:r>
        <w:rPr>
          <w:rFonts w:hint="eastAsia" w:ascii="Times New Roman" w:hAnsi="Times New Roman"/>
          <w:color w:val="auto"/>
          <w:szCs w:val="21"/>
          <w:highlight w:val="none"/>
        </w:rPr>
        <w:t>”</w:t>
      </w:r>
      <w:r>
        <w:rPr>
          <w:rFonts w:hint="eastAsia" w:ascii="宋体" w:hAnsi="宋体"/>
          <w:color w:val="auto"/>
          <w:sz w:val="24"/>
          <w:szCs w:val="21"/>
          <w:highlight w:val="none"/>
        </w:rPr>
        <w:t>中“投标总报价”数额应当与“开标一览表”中“投标总报价”数额一致。</w:t>
      </w:r>
    </w:p>
    <w:p w14:paraId="2B6AA8E1">
      <w:pPr>
        <w:spacing w:line="4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3.投标人需认真填写本报价表，尤其注意规格型号的准确填写。</w:t>
      </w:r>
    </w:p>
    <w:p w14:paraId="7D5CF4F0">
      <w:pPr>
        <w:widowControl/>
        <w:spacing w:line="360" w:lineRule="auto"/>
        <w:jc w:val="left"/>
        <w:rPr>
          <w:rFonts w:ascii="宋体" w:hAnsi="宋体" w:cs="Arial"/>
          <w:b/>
          <w:bCs/>
          <w:color w:val="auto"/>
          <w:highlight w:val="none"/>
        </w:rPr>
      </w:pPr>
    </w:p>
    <w:p w14:paraId="7BD38026">
      <w:pPr>
        <w:widowControl/>
        <w:spacing w:line="360" w:lineRule="auto"/>
        <w:jc w:val="left"/>
        <w:rPr>
          <w:rFonts w:ascii="宋体" w:hAnsi="宋体" w:cs="Arial"/>
          <w:b/>
          <w:bCs/>
          <w:color w:val="auto"/>
          <w:highlight w:val="none"/>
        </w:rPr>
      </w:pPr>
    </w:p>
    <w:p w14:paraId="3A20D568">
      <w:pPr>
        <w:widowControl/>
        <w:spacing w:line="360" w:lineRule="auto"/>
        <w:jc w:val="left"/>
        <w:rPr>
          <w:rFonts w:ascii="宋体" w:hAnsi="宋体" w:cs="Arial"/>
          <w:b/>
          <w:bCs/>
          <w:color w:val="auto"/>
          <w:highlight w:val="none"/>
        </w:rPr>
      </w:pPr>
    </w:p>
    <w:p w14:paraId="0A570461">
      <w:pPr>
        <w:widowControl/>
        <w:spacing w:line="360" w:lineRule="auto"/>
        <w:jc w:val="left"/>
        <w:rPr>
          <w:rFonts w:ascii="宋体" w:hAnsi="宋体" w:cs="Arial"/>
          <w:b/>
          <w:bCs/>
          <w:color w:val="auto"/>
          <w:highlight w:val="none"/>
        </w:rPr>
      </w:pPr>
    </w:p>
    <w:p w14:paraId="7CC815D0">
      <w:pPr>
        <w:widowControl/>
        <w:spacing w:line="360" w:lineRule="auto"/>
        <w:jc w:val="left"/>
        <w:rPr>
          <w:rFonts w:ascii="宋体" w:hAnsi="宋体" w:cs="Arial"/>
          <w:b/>
          <w:bCs/>
          <w:color w:val="auto"/>
          <w:highlight w:val="none"/>
        </w:rPr>
      </w:pPr>
    </w:p>
    <w:p w14:paraId="2507F514">
      <w:pPr>
        <w:widowControl/>
        <w:spacing w:line="360" w:lineRule="auto"/>
        <w:jc w:val="left"/>
        <w:rPr>
          <w:rFonts w:ascii="宋体" w:hAnsi="宋体" w:cs="Arial"/>
          <w:b/>
          <w:bCs/>
          <w:color w:val="auto"/>
          <w:highlight w:val="none"/>
        </w:rPr>
      </w:pPr>
    </w:p>
    <w:p w14:paraId="50BF4CA6">
      <w:pPr>
        <w:widowControl/>
        <w:spacing w:line="360" w:lineRule="auto"/>
        <w:jc w:val="left"/>
        <w:rPr>
          <w:rFonts w:ascii="宋体" w:hAnsi="宋体" w:cs="Arial"/>
          <w:b/>
          <w:bCs/>
          <w:color w:val="auto"/>
          <w:highlight w:val="none"/>
        </w:rPr>
      </w:pPr>
    </w:p>
    <w:p w14:paraId="2BCE00F0">
      <w:pPr>
        <w:widowControl/>
        <w:spacing w:line="360" w:lineRule="auto"/>
        <w:jc w:val="left"/>
        <w:rPr>
          <w:rFonts w:ascii="宋体" w:hAnsi="宋体" w:cs="Arial"/>
          <w:b/>
          <w:bCs/>
          <w:color w:val="auto"/>
          <w:highlight w:val="none"/>
        </w:rPr>
      </w:pPr>
    </w:p>
    <w:p w14:paraId="56BE3F5A">
      <w:pPr>
        <w:widowControl/>
        <w:spacing w:line="360" w:lineRule="auto"/>
        <w:jc w:val="left"/>
        <w:rPr>
          <w:rFonts w:ascii="宋体" w:hAnsi="宋体" w:cs="Arial"/>
          <w:b/>
          <w:bCs/>
          <w:color w:val="auto"/>
          <w:highlight w:val="none"/>
        </w:rPr>
      </w:pPr>
    </w:p>
    <w:p w14:paraId="3014F765">
      <w:pPr>
        <w:rPr>
          <w:rFonts w:asciiTheme="minorEastAsia" w:hAnsiTheme="minorEastAsia" w:eastAsiaTheme="minorEastAsia"/>
          <w:color w:val="auto"/>
          <w:sz w:val="32"/>
          <w:szCs w:val="32"/>
          <w:highlight w:val="none"/>
        </w:rPr>
      </w:pPr>
    </w:p>
    <w:p w14:paraId="1D4E1458">
      <w:pPr>
        <w:pStyle w:val="3"/>
        <w:spacing w:line="360" w:lineRule="auto"/>
        <w:rPr>
          <w:rFonts w:hint="eastAsia" w:asciiTheme="minorEastAsia" w:hAnsiTheme="minorEastAsia" w:eastAsiaTheme="minorEastAsia"/>
          <w:color w:val="auto"/>
          <w:sz w:val="32"/>
          <w:highlight w:val="none"/>
        </w:rPr>
      </w:pPr>
      <w:bookmarkStart w:id="72" w:name="_Toc8605"/>
      <w:bookmarkStart w:id="73" w:name="_Toc24330"/>
      <w:r>
        <w:rPr>
          <w:rFonts w:hint="eastAsia" w:asciiTheme="minorEastAsia" w:hAnsiTheme="minorEastAsia" w:eastAsiaTheme="minorEastAsia"/>
          <w:color w:val="auto"/>
          <w:sz w:val="32"/>
          <w:highlight w:val="none"/>
        </w:rPr>
        <w:t>六、技术参数响应及偏离表</w:t>
      </w:r>
      <w:bookmarkEnd w:id="72"/>
      <w:bookmarkEnd w:id="73"/>
    </w:p>
    <w:p w14:paraId="23E74E79">
      <w:pPr>
        <w:pStyle w:val="4"/>
        <w:jc w:val="center"/>
      </w:pPr>
      <w:r>
        <w:rPr>
          <w:rFonts w:hint="eastAsia" w:ascii="宋体" w:hAnsi="宋体"/>
          <w:b/>
          <w:color w:val="auto"/>
          <w:sz w:val="24"/>
          <w:szCs w:val="24"/>
          <w:highlight w:val="none"/>
        </w:rPr>
        <w:t>（采购包号：***）</w:t>
      </w:r>
    </w:p>
    <w:tbl>
      <w:tblPr>
        <w:tblStyle w:val="37"/>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2551"/>
        <w:gridCol w:w="2701"/>
        <w:gridCol w:w="1458"/>
        <w:gridCol w:w="1210"/>
      </w:tblGrid>
      <w:tr w14:paraId="0EA9A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84" w:type="dxa"/>
            <w:noWrap w:val="0"/>
            <w:vAlign w:val="center"/>
          </w:tcPr>
          <w:p w14:paraId="7E190941">
            <w:pPr>
              <w:spacing w:line="360" w:lineRule="auto"/>
              <w:jc w:val="center"/>
              <w:rPr>
                <w:rFonts w:ascii="宋体" w:hAnsi="宋体"/>
                <w:color w:val="auto"/>
                <w:szCs w:val="21"/>
                <w:highlight w:val="none"/>
              </w:rPr>
            </w:pPr>
            <w:r>
              <w:rPr>
                <w:rFonts w:hint="eastAsia" w:ascii="宋体" w:hAnsi="宋体"/>
                <w:color w:val="auto"/>
                <w:szCs w:val="21"/>
                <w:highlight w:val="none"/>
              </w:rPr>
              <w:t>序号</w:t>
            </w:r>
          </w:p>
        </w:tc>
        <w:tc>
          <w:tcPr>
            <w:tcW w:w="2551" w:type="dxa"/>
            <w:noWrap w:val="0"/>
            <w:vAlign w:val="center"/>
          </w:tcPr>
          <w:p w14:paraId="5D84BE48">
            <w:pPr>
              <w:spacing w:line="360" w:lineRule="auto"/>
              <w:jc w:val="center"/>
              <w:rPr>
                <w:rFonts w:ascii="宋体" w:hAnsi="宋体"/>
                <w:color w:val="auto"/>
                <w:szCs w:val="21"/>
                <w:highlight w:val="none"/>
              </w:rPr>
            </w:pPr>
            <w:r>
              <w:rPr>
                <w:rFonts w:hint="eastAsia" w:ascii="宋体" w:hAnsi="宋体"/>
                <w:color w:val="auto"/>
                <w:szCs w:val="21"/>
                <w:highlight w:val="none"/>
              </w:rPr>
              <w:t>招标要求</w:t>
            </w:r>
          </w:p>
        </w:tc>
        <w:tc>
          <w:tcPr>
            <w:tcW w:w="2701" w:type="dxa"/>
            <w:noWrap w:val="0"/>
            <w:vAlign w:val="center"/>
          </w:tcPr>
          <w:p w14:paraId="6430D244">
            <w:pPr>
              <w:spacing w:line="360" w:lineRule="auto"/>
              <w:jc w:val="center"/>
              <w:rPr>
                <w:rFonts w:ascii="宋体" w:hAnsi="宋体"/>
                <w:color w:val="auto"/>
                <w:szCs w:val="21"/>
                <w:highlight w:val="none"/>
              </w:rPr>
            </w:pPr>
            <w:r>
              <w:rPr>
                <w:rFonts w:hint="eastAsia" w:ascii="宋体" w:hAnsi="宋体"/>
                <w:color w:val="auto"/>
                <w:szCs w:val="21"/>
                <w:highlight w:val="none"/>
              </w:rPr>
              <w:t>投标响应</w:t>
            </w:r>
          </w:p>
        </w:tc>
        <w:tc>
          <w:tcPr>
            <w:tcW w:w="1458" w:type="dxa"/>
            <w:noWrap w:val="0"/>
            <w:vAlign w:val="center"/>
          </w:tcPr>
          <w:p w14:paraId="344E4DCF">
            <w:pPr>
              <w:spacing w:line="360" w:lineRule="auto"/>
              <w:jc w:val="center"/>
              <w:rPr>
                <w:rFonts w:ascii="宋体" w:hAnsi="宋体"/>
                <w:color w:val="auto"/>
                <w:szCs w:val="21"/>
                <w:highlight w:val="none"/>
              </w:rPr>
            </w:pPr>
            <w:r>
              <w:rPr>
                <w:rFonts w:hint="eastAsia" w:ascii="宋体" w:hAnsi="宋体"/>
                <w:color w:val="auto"/>
                <w:szCs w:val="21"/>
                <w:highlight w:val="none"/>
              </w:rPr>
              <w:t>超出、符合或偏离</w:t>
            </w:r>
          </w:p>
        </w:tc>
        <w:tc>
          <w:tcPr>
            <w:tcW w:w="1210" w:type="dxa"/>
            <w:noWrap w:val="0"/>
            <w:vAlign w:val="center"/>
          </w:tcPr>
          <w:p w14:paraId="75B2B340">
            <w:pPr>
              <w:spacing w:line="360" w:lineRule="auto"/>
              <w:jc w:val="center"/>
              <w:rPr>
                <w:rFonts w:ascii="宋体" w:hAnsi="宋体"/>
                <w:color w:val="auto"/>
                <w:szCs w:val="21"/>
                <w:highlight w:val="none"/>
              </w:rPr>
            </w:pPr>
            <w:r>
              <w:rPr>
                <w:rFonts w:hint="eastAsia" w:ascii="宋体" w:hAnsi="宋体"/>
                <w:color w:val="auto"/>
                <w:szCs w:val="21"/>
                <w:highlight w:val="none"/>
              </w:rPr>
              <w:t>证明材料</w:t>
            </w:r>
          </w:p>
        </w:tc>
      </w:tr>
      <w:tr w14:paraId="63485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tcPr>
          <w:p w14:paraId="4215884F">
            <w:pPr>
              <w:spacing w:line="360" w:lineRule="auto"/>
              <w:jc w:val="center"/>
              <w:rPr>
                <w:rFonts w:ascii="宋体" w:hAnsi="宋体"/>
                <w:color w:val="auto"/>
                <w:szCs w:val="21"/>
                <w:highlight w:val="none"/>
              </w:rPr>
            </w:pPr>
          </w:p>
        </w:tc>
        <w:tc>
          <w:tcPr>
            <w:tcW w:w="2551" w:type="dxa"/>
            <w:noWrap w:val="0"/>
          </w:tcPr>
          <w:p w14:paraId="62BBA550">
            <w:pPr>
              <w:spacing w:line="360" w:lineRule="auto"/>
              <w:jc w:val="center"/>
              <w:rPr>
                <w:rFonts w:ascii="宋体" w:hAnsi="宋体"/>
                <w:color w:val="auto"/>
                <w:szCs w:val="21"/>
                <w:highlight w:val="none"/>
              </w:rPr>
            </w:pPr>
          </w:p>
        </w:tc>
        <w:tc>
          <w:tcPr>
            <w:tcW w:w="2701" w:type="dxa"/>
            <w:noWrap w:val="0"/>
          </w:tcPr>
          <w:p w14:paraId="59687B8F">
            <w:pPr>
              <w:spacing w:line="360" w:lineRule="auto"/>
              <w:jc w:val="center"/>
              <w:rPr>
                <w:rFonts w:ascii="宋体" w:hAnsi="宋体"/>
                <w:color w:val="auto"/>
                <w:szCs w:val="21"/>
                <w:highlight w:val="none"/>
              </w:rPr>
            </w:pPr>
          </w:p>
        </w:tc>
        <w:tc>
          <w:tcPr>
            <w:tcW w:w="1458" w:type="dxa"/>
            <w:noWrap w:val="0"/>
          </w:tcPr>
          <w:p w14:paraId="1EF7C77C">
            <w:pPr>
              <w:spacing w:line="360" w:lineRule="auto"/>
              <w:jc w:val="center"/>
              <w:rPr>
                <w:rFonts w:ascii="宋体" w:hAnsi="宋体"/>
                <w:color w:val="auto"/>
                <w:szCs w:val="21"/>
                <w:highlight w:val="none"/>
              </w:rPr>
            </w:pPr>
          </w:p>
        </w:tc>
        <w:tc>
          <w:tcPr>
            <w:tcW w:w="1210" w:type="dxa"/>
            <w:noWrap w:val="0"/>
          </w:tcPr>
          <w:p w14:paraId="1F37ECB4">
            <w:pPr>
              <w:spacing w:line="360" w:lineRule="auto"/>
              <w:jc w:val="center"/>
              <w:rPr>
                <w:rFonts w:ascii="宋体" w:hAnsi="宋体"/>
                <w:color w:val="auto"/>
                <w:szCs w:val="21"/>
                <w:highlight w:val="none"/>
              </w:rPr>
            </w:pPr>
          </w:p>
        </w:tc>
      </w:tr>
      <w:tr w14:paraId="70BE9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tcPr>
          <w:p w14:paraId="5F8CC78F">
            <w:pPr>
              <w:spacing w:line="360" w:lineRule="auto"/>
              <w:jc w:val="center"/>
              <w:rPr>
                <w:rFonts w:ascii="宋体" w:hAnsi="宋体"/>
                <w:color w:val="auto"/>
                <w:szCs w:val="21"/>
                <w:highlight w:val="none"/>
              </w:rPr>
            </w:pPr>
          </w:p>
        </w:tc>
        <w:tc>
          <w:tcPr>
            <w:tcW w:w="2551" w:type="dxa"/>
            <w:noWrap w:val="0"/>
          </w:tcPr>
          <w:p w14:paraId="610F6B87">
            <w:pPr>
              <w:spacing w:line="360" w:lineRule="auto"/>
              <w:jc w:val="center"/>
              <w:rPr>
                <w:rFonts w:ascii="宋体" w:hAnsi="宋体"/>
                <w:color w:val="auto"/>
                <w:szCs w:val="21"/>
                <w:highlight w:val="none"/>
              </w:rPr>
            </w:pPr>
          </w:p>
        </w:tc>
        <w:tc>
          <w:tcPr>
            <w:tcW w:w="2701" w:type="dxa"/>
            <w:noWrap w:val="0"/>
          </w:tcPr>
          <w:p w14:paraId="0982D651">
            <w:pPr>
              <w:spacing w:line="360" w:lineRule="auto"/>
              <w:jc w:val="center"/>
              <w:rPr>
                <w:rFonts w:ascii="宋体" w:hAnsi="宋体"/>
                <w:color w:val="auto"/>
                <w:szCs w:val="21"/>
                <w:highlight w:val="none"/>
              </w:rPr>
            </w:pPr>
          </w:p>
        </w:tc>
        <w:tc>
          <w:tcPr>
            <w:tcW w:w="1458" w:type="dxa"/>
            <w:noWrap w:val="0"/>
          </w:tcPr>
          <w:p w14:paraId="5B27C69D">
            <w:pPr>
              <w:spacing w:line="360" w:lineRule="auto"/>
              <w:jc w:val="center"/>
              <w:rPr>
                <w:rFonts w:ascii="宋体" w:hAnsi="宋体"/>
                <w:color w:val="auto"/>
                <w:szCs w:val="21"/>
                <w:highlight w:val="none"/>
              </w:rPr>
            </w:pPr>
          </w:p>
        </w:tc>
        <w:tc>
          <w:tcPr>
            <w:tcW w:w="1210" w:type="dxa"/>
            <w:noWrap w:val="0"/>
          </w:tcPr>
          <w:p w14:paraId="64884540">
            <w:pPr>
              <w:spacing w:line="360" w:lineRule="auto"/>
              <w:jc w:val="center"/>
              <w:rPr>
                <w:rFonts w:ascii="宋体" w:hAnsi="宋体"/>
                <w:color w:val="auto"/>
                <w:szCs w:val="21"/>
                <w:highlight w:val="none"/>
              </w:rPr>
            </w:pPr>
          </w:p>
        </w:tc>
      </w:tr>
      <w:tr w14:paraId="2EC84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tcPr>
          <w:p w14:paraId="6A3B3157">
            <w:pPr>
              <w:spacing w:line="360" w:lineRule="auto"/>
              <w:jc w:val="center"/>
              <w:rPr>
                <w:rFonts w:ascii="宋体" w:hAnsi="宋体"/>
                <w:color w:val="auto"/>
                <w:szCs w:val="21"/>
                <w:highlight w:val="none"/>
              </w:rPr>
            </w:pPr>
          </w:p>
        </w:tc>
        <w:tc>
          <w:tcPr>
            <w:tcW w:w="2551" w:type="dxa"/>
            <w:noWrap w:val="0"/>
          </w:tcPr>
          <w:p w14:paraId="24D95344">
            <w:pPr>
              <w:spacing w:line="360" w:lineRule="auto"/>
              <w:jc w:val="center"/>
              <w:rPr>
                <w:rFonts w:ascii="宋体" w:hAnsi="宋体"/>
                <w:color w:val="auto"/>
                <w:szCs w:val="21"/>
                <w:highlight w:val="none"/>
              </w:rPr>
            </w:pPr>
          </w:p>
        </w:tc>
        <w:tc>
          <w:tcPr>
            <w:tcW w:w="2701" w:type="dxa"/>
            <w:noWrap w:val="0"/>
          </w:tcPr>
          <w:p w14:paraId="12D10827">
            <w:pPr>
              <w:spacing w:line="360" w:lineRule="auto"/>
              <w:jc w:val="center"/>
              <w:rPr>
                <w:rFonts w:ascii="宋体" w:hAnsi="宋体"/>
                <w:color w:val="auto"/>
                <w:szCs w:val="21"/>
                <w:highlight w:val="none"/>
              </w:rPr>
            </w:pPr>
          </w:p>
        </w:tc>
        <w:tc>
          <w:tcPr>
            <w:tcW w:w="1458" w:type="dxa"/>
            <w:noWrap w:val="0"/>
          </w:tcPr>
          <w:p w14:paraId="38669202">
            <w:pPr>
              <w:spacing w:line="360" w:lineRule="auto"/>
              <w:jc w:val="center"/>
              <w:rPr>
                <w:rFonts w:ascii="宋体" w:hAnsi="宋体"/>
                <w:color w:val="auto"/>
                <w:szCs w:val="21"/>
                <w:highlight w:val="none"/>
              </w:rPr>
            </w:pPr>
          </w:p>
        </w:tc>
        <w:tc>
          <w:tcPr>
            <w:tcW w:w="1210" w:type="dxa"/>
            <w:noWrap w:val="0"/>
          </w:tcPr>
          <w:p w14:paraId="02711A3E">
            <w:pPr>
              <w:spacing w:line="360" w:lineRule="auto"/>
              <w:jc w:val="center"/>
              <w:rPr>
                <w:rFonts w:ascii="宋体" w:hAnsi="宋体"/>
                <w:color w:val="auto"/>
                <w:szCs w:val="21"/>
                <w:highlight w:val="none"/>
              </w:rPr>
            </w:pPr>
          </w:p>
        </w:tc>
      </w:tr>
      <w:tr w14:paraId="11EB8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tcPr>
          <w:p w14:paraId="47AECBC0">
            <w:pPr>
              <w:spacing w:line="360" w:lineRule="auto"/>
              <w:jc w:val="center"/>
              <w:rPr>
                <w:rFonts w:ascii="宋体" w:hAnsi="宋体"/>
                <w:color w:val="auto"/>
                <w:szCs w:val="21"/>
                <w:highlight w:val="none"/>
              </w:rPr>
            </w:pPr>
          </w:p>
        </w:tc>
        <w:tc>
          <w:tcPr>
            <w:tcW w:w="2551" w:type="dxa"/>
            <w:noWrap w:val="0"/>
          </w:tcPr>
          <w:p w14:paraId="5B1F9534">
            <w:pPr>
              <w:spacing w:line="360" w:lineRule="auto"/>
              <w:jc w:val="center"/>
              <w:rPr>
                <w:rFonts w:ascii="宋体" w:hAnsi="宋体"/>
                <w:color w:val="auto"/>
                <w:szCs w:val="21"/>
                <w:highlight w:val="none"/>
              </w:rPr>
            </w:pPr>
          </w:p>
        </w:tc>
        <w:tc>
          <w:tcPr>
            <w:tcW w:w="2701" w:type="dxa"/>
            <w:noWrap w:val="0"/>
          </w:tcPr>
          <w:p w14:paraId="729B39C2">
            <w:pPr>
              <w:spacing w:line="360" w:lineRule="auto"/>
              <w:jc w:val="center"/>
              <w:rPr>
                <w:rFonts w:ascii="宋体" w:hAnsi="宋体"/>
                <w:color w:val="auto"/>
                <w:szCs w:val="21"/>
                <w:highlight w:val="none"/>
              </w:rPr>
            </w:pPr>
          </w:p>
        </w:tc>
        <w:tc>
          <w:tcPr>
            <w:tcW w:w="1458" w:type="dxa"/>
            <w:noWrap w:val="0"/>
          </w:tcPr>
          <w:p w14:paraId="57E3DFAD">
            <w:pPr>
              <w:spacing w:line="360" w:lineRule="auto"/>
              <w:jc w:val="center"/>
              <w:rPr>
                <w:rFonts w:ascii="宋体" w:hAnsi="宋体"/>
                <w:color w:val="auto"/>
                <w:szCs w:val="21"/>
                <w:highlight w:val="none"/>
              </w:rPr>
            </w:pPr>
          </w:p>
        </w:tc>
        <w:tc>
          <w:tcPr>
            <w:tcW w:w="1210" w:type="dxa"/>
            <w:noWrap w:val="0"/>
          </w:tcPr>
          <w:p w14:paraId="4D0CFEAE">
            <w:pPr>
              <w:spacing w:line="360" w:lineRule="auto"/>
              <w:jc w:val="center"/>
              <w:rPr>
                <w:rFonts w:ascii="宋体" w:hAnsi="宋体"/>
                <w:color w:val="auto"/>
                <w:szCs w:val="21"/>
                <w:highlight w:val="none"/>
              </w:rPr>
            </w:pPr>
          </w:p>
        </w:tc>
      </w:tr>
      <w:tr w14:paraId="15919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tcPr>
          <w:p w14:paraId="53624A64">
            <w:pPr>
              <w:spacing w:line="360" w:lineRule="auto"/>
              <w:jc w:val="center"/>
              <w:rPr>
                <w:rFonts w:ascii="宋体" w:hAnsi="宋体"/>
                <w:color w:val="auto"/>
                <w:szCs w:val="21"/>
                <w:highlight w:val="none"/>
              </w:rPr>
            </w:pPr>
          </w:p>
        </w:tc>
        <w:tc>
          <w:tcPr>
            <w:tcW w:w="2551" w:type="dxa"/>
            <w:noWrap w:val="0"/>
          </w:tcPr>
          <w:p w14:paraId="25EA363A">
            <w:pPr>
              <w:spacing w:line="360" w:lineRule="auto"/>
              <w:jc w:val="center"/>
              <w:rPr>
                <w:rFonts w:ascii="宋体" w:hAnsi="宋体"/>
                <w:color w:val="auto"/>
                <w:szCs w:val="21"/>
                <w:highlight w:val="none"/>
              </w:rPr>
            </w:pPr>
          </w:p>
        </w:tc>
        <w:tc>
          <w:tcPr>
            <w:tcW w:w="2701" w:type="dxa"/>
            <w:noWrap w:val="0"/>
          </w:tcPr>
          <w:p w14:paraId="490BC340">
            <w:pPr>
              <w:spacing w:line="360" w:lineRule="auto"/>
              <w:jc w:val="center"/>
              <w:rPr>
                <w:rFonts w:ascii="宋体" w:hAnsi="宋体"/>
                <w:color w:val="auto"/>
                <w:szCs w:val="21"/>
                <w:highlight w:val="none"/>
              </w:rPr>
            </w:pPr>
          </w:p>
        </w:tc>
        <w:tc>
          <w:tcPr>
            <w:tcW w:w="1458" w:type="dxa"/>
            <w:noWrap w:val="0"/>
          </w:tcPr>
          <w:p w14:paraId="6AFE7765">
            <w:pPr>
              <w:spacing w:line="360" w:lineRule="auto"/>
              <w:jc w:val="center"/>
              <w:rPr>
                <w:rFonts w:ascii="宋体" w:hAnsi="宋体"/>
                <w:color w:val="auto"/>
                <w:szCs w:val="21"/>
                <w:highlight w:val="none"/>
              </w:rPr>
            </w:pPr>
          </w:p>
        </w:tc>
        <w:tc>
          <w:tcPr>
            <w:tcW w:w="1210" w:type="dxa"/>
            <w:noWrap w:val="0"/>
          </w:tcPr>
          <w:p w14:paraId="3D928B1B">
            <w:pPr>
              <w:spacing w:line="360" w:lineRule="auto"/>
              <w:jc w:val="center"/>
              <w:rPr>
                <w:rFonts w:ascii="宋体" w:hAnsi="宋体"/>
                <w:color w:val="auto"/>
                <w:szCs w:val="21"/>
                <w:highlight w:val="none"/>
              </w:rPr>
            </w:pPr>
          </w:p>
        </w:tc>
      </w:tr>
      <w:tr w14:paraId="350DF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tcPr>
          <w:p w14:paraId="3E4EFBE1">
            <w:pPr>
              <w:spacing w:line="360" w:lineRule="auto"/>
              <w:jc w:val="center"/>
              <w:rPr>
                <w:rFonts w:ascii="宋体" w:hAnsi="宋体"/>
                <w:color w:val="auto"/>
                <w:szCs w:val="21"/>
                <w:highlight w:val="none"/>
              </w:rPr>
            </w:pPr>
          </w:p>
        </w:tc>
        <w:tc>
          <w:tcPr>
            <w:tcW w:w="2551" w:type="dxa"/>
            <w:noWrap w:val="0"/>
          </w:tcPr>
          <w:p w14:paraId="16BF8B30">
            <w:pPr>
              <w:spacing w:line="360" w:lineRule="auto"/>
              <w:jc w:val="center"/>
              <w:rPr>
                <w:rFonts w:ascii="宋体" w:hAnsi="宋体"/>
                <w:color w:val="auto"/>
                <w:szCs w:val="21"/>
                <w:highlight w:val="none"/>
              </w:rPr>
            </w:pPr>
          </w:p>
        </w:tc>
        <w:tc>
          <w:tcPr>
            <w:tcW w:w="2701" w:type="dxa"/>
            <w:noWrap w:val="0"/>
          </w:tcPr>
          <w:p w14:paraId="22BFE23B">
            <w:pPr>
              <w:spacing w:line="360" w:lineRule="auto"/>
              <w:jc w:val="center"/>
              <w:rPr>
                <w:rFonts w:ascii="宋体" w:hAnsi="宋体"/>
                <w:color w:val="auto"/>
                <w:szCs w:val="21"/>
                <w:highlight w:val="none"/>
              </w:rPr>
            </w:pPr>
          </w:p>
        </w:tc>
        <w:tc>
          <w:tcPr>
            <w:tcW w:w="1458" w:type="dxa"/>
            <w:noWrap w:val="0"/>
          </w:tcPr>
          <w:p w14:paraId="7393934E">
            <w:pPr>
              <w:spacing w:line="360" w:lineRule="auto"/>
              <w:jc w:val="center"/>
              <w:rPr>
                <w:rFonts w:ascii="宋体" w:hAnsi="宋体"/>
                <w:color w:val="auto"/>
                <w:szCs w:val="21"/>
                <w:highlight w:val="none"/>
              </w:rPr>
            </w:pPr>
          </w:p>
        </w:tc>
        <w:tc>
          <w:tcPr>
            <w:tcW w:w="1210" w:type="dxa"/>
            <w:noWrap w:val="0"/>
          </w:tcPr>
          <w:p w14:paraId="43A586F7">
            <w:pPr>
              <w:spacing w:line="360" w:lineRule="auto"/>
              <w:jc w:val="center"/>
              <w:rPr>
                <w:rFonts w:ascii="宋体" w:hAnsi="宋体"/>
                <w:color w:val="auto"/>
                <w:szCs w:val="21"/>
                <w:highlight w:val="none"/>
              </w:rPr>
            </w:pPr>
          </w:p>
        </w:tc>
      </w:tr>
      <w:tr w14:paraId="71B6F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tcPr>
          <w:p w14:paraId="5C67572A">
            <w:pPr>
              <w:spacing w:line="360" w:lineRule="auto"/>
              <w:jc w:val="center"/>
              <w:rPr>
                <w:rFonts w:ascii="宋体" w:hAnsi="宋体"/>
                <w:color w:val="auto"/>
                <w:szCs w:val="21"/>
                <w:highlight w:val="none"/>
              </w:rPr>
            </w:pPr>
          </w:p>
        </w:tc>
        <w:tc>
          <w:tcPr>
            <w:tcW w:w="2551" w:type="dxa"/>
            <w:noWrap w:val="0"/>
          </w:tcPr>
          <w:p w14:paraId="2E9B4F84">
            <w:pPr>
              <w:spacing w:line="360" w:lineRule="auto"/>
              <w:jc w:val="center"/>
              <w:rPr>
                <w:rFonts w:ascii="宋体" w:hAnsi="宋体"/>
                <w:color w:val="auto"/>
                <w:szCs w:val="21"/>
                <w:highlight w:val="none"/>
              </w:rPr>
            </w:pPr>
          </w:p>
        </w:tc>
        <w:tc>
          <w:tcPr>
            <w:tcW w:w="2701" w:type="dxa"/>
            <w:noWrap w:val="0"/>
          </w:tcPr>
          <w:p w14:paraId="7E8F1975">
            <w:pPr>
              <w:spacing w:line="360" w:lineRule="auto"/>
              <w:jc w:val="center"/>
              <w:rPr>
                <w:rFonts w:ascii="宋体" w:hAnsi="宋体"/>
                <w:color w:val="auto"/>
                <w:szCs w:val="21"/>
                <w:highlight w:val="none"/>
              </w:rPr>
            </w:pPr>
          </w:p>
        </w:tc>
        <w:tc>
          <w:tcPr>
            <w:tcW w:w="1458" w:type="dxa"/>
            <w:noWrap w:val="0"/>
          </w:tcPr>
          <w:p w14:paraId="2DC10633">
            <w:pPr>
              <w:spacing w:line="360" w:lineRule="auto"/>
              <w:jc w:val="center"/>
              <w:rPr>
                <w:rFonts w:ascii="宋体" w:hAnsi="宋体"/>
                <w:color w:val="auto"/>
                <w:szCs w:val="21"/>
                <w:highlight w:val="none"/>
              </w:rPr>
            </w:pPr>
          </w:p>
        </w:tc>
        <w:tc>
          <w:tcPr>
            <w:tcW w:w="1210" w:type="dxa"/>
            <w:noWrap w:val="0"/>
          </w:tcPr>
          <w:p w14:paraId="4931E926">
            <w:pPr>
              <w:spacing w:line="360" w:lineRule="auto"/>
              <w:jc w:val="center"/>
              <w:rPr>
                <w:rFonts w:ascii="宋体" w:hAnsi="宋体"/>
                <w:color w:val="auto"/>
                <w:szCs w:val="21"/>
                <w:highlight w:val="none"/>
              </w:rPr>
            </w:pPr>
          </w:p>
        </w:tc>
      </w:tr>
      <w:tr w14:paraId="0FB4B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tcPr>
          <w:p w14:paraId="4C00CD09">
            <w:pPr>
              <w:spacing w:line="360" w:lineRule="auto"/>
              <w:jc w:val="center"/>
              <w:rPr>
                <w:rFonts w:ascii="宋体" w:hAnsi="宋体"/>
                <w:color w:val="auto"/>
                <w:szCs w:val="21"/>
                <w:highlight w:val="none"/>
              </w:rPr>
            </w:pPr>
          </w:p>
        </w:tc>
        <w:tc>
          <w:tcPr>
            <w:tcW w:w="2551" w:type="dxa"/>
            <w:noWrap w:val="0"/>
          </w:tcPr>
          <w:p w14:paraId="3A8FB166">
            <w:pPr>
              <w:spacing w:line="360" w:lineRule="auto"/>
              <w:jc w:val="center"/>
              <w:rPr>
                <w:rFonts w:ascii="宋体" w:hAnsi="宋体"/>
                <w:color w:val="auto"/>
                <w:szCs w:val="21"/>
                <w:highlight w:val="none"/>
              </w:rPr>
            </w:pPr>
          </w:p>
        </w:tc>
        <w:tc>
          <w:tcPr>
            <w:tcW w:w="2701" w:type="dxa"/>
            <w:noWrap w:val="0"/>
          </w:tcPr>
          <w:p w14:paraId="4C812B24">
            <w:pPr>
              <w:spacing w:line="360" w:lineRule="auto"/>
              <w:jc w:val="center"/>
              <w:rPr>
                <w:rFonts w:ascii="宋体" w:hAnsi="宋体"/>
                <w:color w:val="auto"/>
                <w:szCs w:val="21"/>
                <w:highlight w:val="none"/>
              </w:rPr>
            </w:pPr>
          </w:p>
        </w:tc>
        <w:tc>
          <w:tcPr>
            <w:tcW w:w="1458" w:type="dxa"/>
            <w:noWrap w:val="0"/>
          </w:tcPr>
          <w:p w14:paraId="73A04BB4">
            <w:pPr>
              <w:spacing w:line="360" w:lineRule="auto"/>
              <w:jc w:val="center"/>
              <w:rPr>
                <w:rFonts w:ascii="宋体" w:hAnsi="宋体"/>
                <w:color w:val="auto"/>
                <w:szCs w:val="21"/>
                <w:highlight w:val="none"/>
              </w:rPr>
            </w:pPr>
          </w:p>
        </w:tc>
        <w:tc>
          <w:tcPr>
            <w:tcW w:w="1210" w:type="dxa"/>
            <w:noWrap w:val="0"/>
          </w:tcPr>
          <w:p w14:paraId="47C1538D">
            <w:pPr>
              <w:spacing w:line="360" w:lineRule="auto"/>
              <w:jc w:val="center"/>
              <w:rPr>
                <w:rFonts w:ascii="宋体" w:hAnsi="宋体"/>
                <w:color w:val="auto"/>
                <w:szCs w:val="21"/>
                <w:highlight w:val="none"/>
              </w:rPr>
            </w:pPr>
          </w:p>
        </w:tc>
      </w:tr>
    </w:tbl>
    <w:p w14:paraId="7728FBA1">
      <w:pPr>
        <w:spacing w:line="360" w:lineRule="auto"/>
        <w:rPr>
          <w:rFonts w:ascii="宋体" w:hAnsi="宋体"/>
          <w:color w:val="auto"/>
          <w:sz w:val="24"/>
          <w:szCs w:val="24"/>
          <w:highlight w:val="none"/>
        </w:rPr>
      </w:pPr>
    </w:p>
    <w:p w14:paraId="395C8EEF">
      <w:pPr>
        <w:spacing w:line="360" w:lineRule="auto"/>
        <w:rPr>
          <w:rFonts w:ascii="宋体" w:hAnsi="宋体"/>
          <w:color w:val="auto"/>
          <w:sz w:val="24"/>
          <w:szCs w:val="24"/>
          <w:highlight w:val="none"/>
        </w:rPr>
      </w:pPr>
      <w:r>
        <w:rPr>
          <w:rFonts w:hint="eastAsia" w:ascii="宋体" w:hAnsi="宋体"/>
          <w:color w:val="auto"/>
          <w:sz w:val="24"/>
          <w:szCs w:val="24"/>
          <w:highlight w:val="none"/>
        </w:rPr>
        <w:t>注：1、按照基本技术要求详细填列。</w:t>
      </w:r>
    </w:p>
    <w:p w14:paraId="52EB178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2、行数不够，可自行添加。</w:t>
      </w:r>
    </w:p>
    <w:p w14:paraId="25E50579">
      <w:pPr>
        <w:spacing w:line="360" w:lineRule="auto"/>
        <w:jc w:val="center"/>
        <w:rPr>
          <w:rFonts w:ascii="黑体" w:hAnsi="Arial" w:eastAsia="黑体"/>
          <w:b/>
          <w:color w:val="auto"/>
          <w:sz w:val="36"/>
          <w:highlight w:val="none"/>
        </w:rPr>
      </w:pPr>
    </w:p>
    <w:p w14:paraId="62E766A6">
      <w:pPr>
        <w:rPr>
          <w:rFonts w:hint="eastAsia" w:asciiTheme="minorEastAsia" w:hAnsiTheme="minorEastAsia" w:eastAsiaTheme="minorEastAsia"/>
          <w:color w:val="auto"/>
          <w:sz w:val="32"/>
          <w:highlight w:val="none"/>
        </w:rPr>
      </w:pPr>
      <w:bookmarkStart w:id="74" w:name="_Hlt26955054"/>
      <w:bookmarkEnd w:id="74"/>
      <w:bookmarkStart w:id="75" w:name="_Toc6354"/>
      <w:r>
        <w:rPr>
          <w:rFonts w:hint="eastAsia" w:asciiTheme="minorEastAsia" w:hAnsiTheme="minorEastAsia" w:eastAsiaTheme="minorEastAsia"/>
          <w:color w:val="auto"/>
          <w:sz w:val="32"/>
          <w:highlight w:val="none"/>
        </w:rPr>
        <w:br w:type="page" w:clear="all"/>
      </w:r>
    </w:p>
    <w:p w14:paraId="2873E3B8">
      <w:pPr>
        <w:pStyle w:val="3"/>
        <w:spacing w:line="360" w:lineRule="auto"/>
        <w:rPr>
          <w:rFonts w:hint="eastAsia" w:asciiTheme="minorEastAsia" w:hAnsiTheme="minorEastAsia" w:eastAsiaTheme="minorEastAsia"/>
          <w:color w:val="auto"/>
          <w:sz w:val="32"/>
          <w:highlight w:val="none"/>
        </w:rPr>
      </w:pPr>
      <w:bookmarkStart w:id="76" w:name="_Toc25045"/>
      <w:r>
        <w:rPr>
          <w:rFonts w:hint="eastAsia" w:asciiTheme="minorEastAsia" w:hAnsiTheme="minorEastAsia" w:eastAsiaTheme="minorEastAsia"/>
          <w:color w:val="auto"/>
          <w:sz w:val="32"/>
          <w:highlight w:val="none"/>
        </w:rPr>
        <w:t>七、商务条款响应及偏离表</w:t>
      </w:r>
      <w:bookmarkEnd w:id="75"/>
      <w:bookmarkEnd w:id="76"/>
    </w:p>
    <w:p w14:paraId="48E8ACA8">
      <w:pPr>
        <w:pStyle w:val="4"/>
        <w:ind w:left="0" w:leftChars="0" w:firstLine="0" w:firstLineChars="0"/>
        <w:jc w:val="center"/>
      </w:pPr>
      <w:r>
        <w:rPr>
          <w:rFonts w:hint="eastAsia" w:ascii="宋体" w:hAnsi="宋体"/>
          <w:b/>
          <w:color w:val="auto"/>
          <w:sz w:val="24"/>
          <w:szCs w:val="24"/>
          <w:highlight w:val="none"/>
        </w:rPr>
        <w:t>（采购包号：***）</w:t>
      </w:r>
    </w:p>
    <w:tbl>
      <w:tblPr>
        <w:tblStyle w:val="37"/>
        <w:tblW w:w="859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38"/>
        <w:gridCol w:w="2502"/>
        <w:gridCol w:w="1837"/>
        <w:gridCol w:w="2614"/>
      </w:tblGrid>
      <w:tr w14:paraId="0EA27C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jc w:val="center"/>
        </w:trPr>
        <w:tc>
          <w:tcPr>
            <w:tcW w:w="1638" w:type="dxa"/>
            <w:tcBorders>
              <w:top w:val="single" w:color="auto" w:sz="4" w:space="0"/>
              <w:left w:val="single" w:color="auto" w:sz="4" w:space="0"/>
              <w:bottom w:val="single" w:color="auto" w:sz="4" w:space="0"/>
              <w:right w:val="single" w:color="auto" w:sz="4" w:space="0"/>
            </w:tcBorders>
            <w:noWrap w:val="0"/>
          </w:tcPr>
          <w:p w14:paraId="608DB21C">
            <w:pPr>
              <w:spacing w:before="156" w:line="360" w:lineRule="auto"/>
              <w:jc w:val="center"/>
              <w:rPr>
                <w:rFonts w:ascii="仿宋_GB2312" w:hAnsi="宋体" w:eastAsia="仿宋_GB2312"/>
                <w:color w:val="auto"/>
                <w:szCs w:val="21"/>
                <w:highlight w:val="none"/>
              </w:rPr>
            </w:pPr>
            <w:bookmarkStart w:id="77" w:name="_Hlt26782999"/>
            <w:bookmarkEnd w:id="77"/>
            <w:bookmarkStart w:id="78" w:name="_Hlt26580838"/>
            <w:bookmarkEnd w:id="78"/>
            <w:bookmarkStart w:id="79" w:name="_Hlt26955064"/>
            <w:bookmarkEnd w:id="79"/>
            <w:bookmarkStart w:id="80" w:name="_Hlt26609391"/>
            <w:bookmarkEnd w:id="80"/>
            <w:bookmarkStart w:id="81" w:name="_Hlt24879081"/>
            <w:bookmarkEnd w:id="81"/>
            <w:bookmarkStart w:id="82" w:name="_Hlt26671372"/>
            <w:bookmarkEnd w:id="82"/>
            <w:bookmarkStart w:id="83" w:name="_Hlt26671343"/>
            <w:bookmarkEnd w:id="83"/>
            <w:bookmarkStart w:id="84" w:name="_Hlt26955056"/>
            <w:bookmarkEnd w:id="84"/>
            <w:r>
              <w:rPr>
                <w:rFonts w:hint="eastAsia" w:ascii="仿宋_GB2312" w:hAnsi="宋体"/>
                <w:color w:val="auto"/>
                <w:szCs w:val="21"/>
                <w:highlight w:val="none"/>
              </w:rPr>
              <w:t>项目</w:t>
            </w:r>
          </w:p>
        </w:tc>
        <w:tc>
          <w:tcPr>
            <w:tcW w:w="2502" w:type="dxa"/>
            <w:tcBorders>
              <w:top w:val="single" w:color="auto" w:sz="4" w:space="0"/>
              <w:left w:val="single" w:color="auto" w:sz="4" w:space="0"/>
              <w:bottom w:val="single" w:color="auto" w:sz="4" w:space="0"/>
              <w:right w:val="single" w:color="auto" w:sz="4" w:space="0"/>
            </w:tcBorders>
            <w:noWrap w:val="0"/>
          </w:tcPr>
          <w:p w14:paraId="3A4F85CD">
            <w:pPr>
              <w:spacing w:before="156" w:line="360" w:lineRule="auto"/>
              <w:jc w:val="center"/>
              <w:rPr>
                <w:rFonts w:ascii="仿宋_GB2312" w:hAnsi="宋体" w:eastAsia="仿宋_GB2312"/>
                <w:color w:val="auto"/>
                <w:szCs w:val="21"/>
                <w:highlight w:val="none"/>
              </w:rPr>
            </w:pPr>
            <w:r>
              <w:rPr>
                <w:rFonts w:hint="eastAsia" w:ascii="仿宋_GB2312" w:hAnsi="宋体"/>
                <w:color w:val="auto"/>
                <w:szCs w:val="21"/>
                <w:highlight w:val="none"/>
              </w:rPr>
              <w:t>招标文件要求</w:t>
            </w:r>
          </w:p>
        </w:tc>
        <w:tc>
          <w:tcPr>
            <w:tcW w:w="1837" w:type="dxa"/>
            <w:tcBorders>
              <w:top w:val="single" w:color="auto" w:sz="4" w:space="0"/>
              <w:left w:val="single" w:color="auto" w:sz="4" w:space="0"/>
              <w:bottom w:val="single" w:color="auto" w:sz="4" w:space="0"/>
              <w:right w:val="single" w:color="auto" w:sz="4" w:space="0"/>
            </w:tcBorders>
            <w:noWrap w:val="0"/>
          </w:tcPr>
          <w:p w14:paraId="7B173CD1">
            <w:pPr>
              <w:spacing w:before="156" w:line="360" w:lineRule="auto"/>
              <w:jc w:val="center"/>
              <w:rPr>
                <w:rFonts w:ascii="仿宋_GB2312" w:hAnsi="宋体" w:eastAsia="仿宋_GB2312"/>
                <w:color w:val="auto"/>
                <w:szCs w:val="21"/>
                <w:highlight w:val="none"/>
              </w:rPr>
            </w:pPr>
            <w:r>
              <w:rPr>
                <w:rFonts w:hint="eastAsia" w:ascii="仿宋_GB2312" w:hAnsi="宋体"/>
                <w:color w:val="auto"/>
                <w:szCs w:val="21"/>
                <w:highlight w:val="none"/>
              </w:rPr>
              <w:t>是否响应</w:t>
            </w:r>
          </w:p>
        </w:tc>
        <w:tc>
          <w:tcPr>
            <w:tcW w:w="2614" w:type="dxa"/>
            <w:tcBorders>
              <w:top w:val="single" w:color="auto" w:sz="4" w:space="0"/>
              <w:left w:val="single" w:color="auto" w:sz="4" w:space="0"/>
              <w:bottom w:val="single" w:color="auto" w:sz="4" w:space="0"/>
              <w:right w:val="single" w:color="auto" w:sz="4" w:space="0"/>
            </w:tcBorders>
            <w:noWrap w:val="0"/>
          </w:tcPr>
          <w:p w14:paraId="330C3EC0">
            <w:pPr>
              <w:spacing w:before="156" w:line="360" w:lineRule="auto"/>
              <w:jc w:val="center"/>
              <w:rPr>
                <w:rFonts w:ascii="仿宋_GB2312" w:hAnsi="宋体" w:eastAsia="仿宋_GB2312"/>
                <w:color w:val="auto"/>
                <w:szCs w:val="21"/>
                <w:highlight w:val="none"/>
              </w:rPr>
            </w:pPr>
            <w:r>
              <w:rPr>
                <w:rFonts w:hint="eastAsia" w:ascii="仿宋_GB2312" w:hAnsi="宋体"/>
                <w:color w:val="auto"/>
                <w:szCs w:val="21"/>
                <w:highlight w:val="none"/>
              </w:rPr>
              <w:t>投标人的承诺或说明</w:t>
            </w:r>
          </w:p>
        </w:tc>
      </w:tr>
      <w:tr w14:paraId="2F8951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9" w:hRule="atLeast"/>
          <w:jc w:val="center"/>
        </w:trPr>
        <w:tc>
          <w:tcPr>
            <w:tcW w:w="1638" w:type="dxa"/>
            <w:tcBorders>
              <w:top w:val="single" w:color="auto" w:sz="4" w:space="0"/>
              <w:left w:val="single" w:color="auto" w:sz="4" w:space="0"/>
              <w:bottom w:val="single" w:color="auto" w:sz="4" w:space="0"/>
              <w:right w:val="single" w:color="auto" w:sz="4" w:space="0"/>
            </w:tcBorders>
            <w:noWrap w:val="0"/>
          </w:tcPr>
          <w:p w14:paraId="380B4512">
            <w:pPr>
              <w:spacing w:before="156" w:line="360" w:lineRule="auto"/>
              <w:jc w:val="center"/>
              <w:rPr>
                <w:rFonts w:ascii="仿宋_GB2312" w:hAnsi="宋体" w:eastAsia="仿宋_GB2312"/>
                <w:color w:val="auto"/>
                <w:szCs w:val="21"/>
                <w:highlight w:val="none"/>
              </w:rPr>
            </w:pPr>
            <w:r>
              <w:rPr>
                <w:rFonts w:hint="eastAsia" w:ascii="仿宋_GB2312" w:hAnsi="宋体"/>
                <w:color w:val="auto"/>
                <w:szCs w:val="21"/>
                <w:highlight w:val="none"/>
              </w:rPr>
              <w:t>质保期</w:t>
            </w:r>
          </w:p>
        </w:tc>
        <w:tc>
          <w:tcPr>
            <w:tcW w:w="2502" w:type="dxa"/>
            <w:tcBorders>
              <w:top w:val="single" w:color="auto" w:sz="4" w:space="0"/>
              <w:left w:val="single" w:color="auto" w:sz="4" w:space="0"/>
              <w:bottom w:val="single" w:color="auto" w:sz="4" w:space="0"/>
              <w:right w:val="single" w:color="auto" w:sz="4" w:space="0"/>
            </w:tcBorders>
            <w:noWrap w:val="0"/>
          </w:tcPr>
          <w:p w14:paraId="7D106DF3">
            <w:pPr>
              <w:spacing w:before="156" w:line="360" w:lineRule="auto"/>
              <w:jc w:val="center"/>
              <w:rPr>
                <w:rFonts w:ascii="仿宋_GB2312" w:hAnsi="宋体" w:eastAsia="仿宋_GB2312"/>
                <w:color w:val="auto"/>
                <w:szCs w:val="21"/>
                <w:highlight w:val="none"/>
              </w:rPr>
            </w:pPr>
          </w:p>
        </w:tc>
        <w:tc>
          <w:tcPr>
            <w:tcW w:w="1837" w:type="dxa"/>
            <w:tcBorders>
              <w:top w:val="single" w:color="auto" w:sz="4" w:space="0"/>
              <w:left w:val="single" w:color="auto" w:sz="4" w:space="0"/>
              <w:bottom w:val="single" w:color="auto" w:sz="4" w:space="0"/>
              <w:right w:val="single" w:color="auto" w:sz="4" w:space="0"/>
            </w:tcBorders>
            <w:noWrap w:val="0"/>
          </w:tcPr>
          <w:p w14:paraId="3D756993">
            <w:pPr>
              <w:spacing w:before="156" w:line="360" w:lineRule="auto"/>
              <w:jc w:val="center"/>
              <w:rPr>
                <w:rFonts w:ascii="仿宋_GB2312" w:hAnsi="宋体" w:eastAsia="仿宋_GB2312"/>
                <w:color w:val="auto"/>
                <w:szCs w:val="21"/>
                <w:highlight w:val="none"/>
              </w:rPr>
            </w:pPr>
          </w:p>
        </w:tc>
        <w:tc>
          <w:tcPr>
            <w:tcW w:w="2614" w:type="dxa"/>
            <w:tcBorders>
              <w:top w:val="single" w:color="auto" w:sz="4" w:space="0"/>
              <w:left w:val="single" w:color="auto" w:sz="4" w:space="0"/>
              <w:bottom w:val="single" w:color="auto" w:sz="4" w:space="0"/>
              <w:right w:val="single" w:color="auto" w:sz="4" w:space="0"/>
            </w:tcBorders>
            <w:noWrap w:val="0"/>
          </w:tcPr>
          <w:p w14:paraId="55C7D4CB">
            <w:pPr>
              <w:spacing w:before="156" w:line="360" w:lineRule="auto"/>
              <w:jc w:val="center"/>
              <w:rPr>
                <w:rFonts w:ascii="仿宋_GB2312" w:hAnsi="宋体" w:eastAsia="仿宋_GB2312"/>
                <w:color w:val="auto"/>
                <w:szCs w:val="21"/>
                <w:highlight w:val="none"/>
              </w:rPr>
            </w:pPr>
          </w:p>
        </w:tc>
      </w:tr>
      <w:tr w14:paraId="33B619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9" w:hRule="atLeast"/>
          <w:jc w:val="center"/>
        </w:trPr>
        <w:tc>
          <w:tcPr>
            <w:tcW w:w="1638" w:type="dxa"/>
            <w:tcBorders>
              <w:top w:val="single" w:color="auto" w:sz="4" w:space="0"/>
              <w:left w:val="single" w:color="auto" w:sz="4" w:space="0"/>
              <w:bottom w:val="single" w:color="auto" w:sz="4" w:space="0"/>
              <w:right w:val="single" w:color="auto" w:sz="4" w:space="0"/>
            </w:tcBorders>
            <w:noWrap w:val="0"/>
          </w:tcPr>
          <w:p w14:paraId="66D578F6">
            <w:pPr>
              <w:spacing w:before="156" w:line="360" w:lineRule="auto"/>
              <w:jc w:val="center"/>
              <w:rPr>
                <w:rFonts w:ascii="仿宋_GB2312" w:hAnsi="宋体" w:eastAsia="仿宋_GB2312"/>
                <w:color w:val="auto"/>
                <w:szCs w:val="21"/>
                <w:highlight w:val="none"/>
              </w:rPr>
            </w:pPr>
            <w:r>
              <w:rPr>
                <w:rFonts w:hint="eastAsia" w:ascii="仿宋_GB2312"/>
                <w:color w:val="auto"/>
                <w:szCs w:val="21"/>
                <w:highlight w:val="none"/>
              </w:rPr>
              <w:t>售后技术服务要求</w:t>
            </w:r>
          </w:p>
        </w:tc>
        <w:tc>
          <w:tcPr>
            <w:tcW w:w="2502" w:type="dxa"/>
            <w:tcBorders>
              <w:top w:val="single" w:color="auto" w:sz="4" w:space="0"/>
              <w:left w:val="single" w:color="auto" w:sz="4" w:space="0"/>
              <w:bottom w:val="single" w:color="auto" w:sz="4" w:space="0"/>
              <w:right w:val="single" w:color="auto" w:sz="4" w:space="0"/>
            </w:tcBorders>
            <w:noWrap w:val="0"/>
          </w:tcPr>
          <w:p w14:paraId="01030F57">
            <w:pPr>
              <w:spacing w:before="156" w:line="360" w:lineRule="auto"/>
              <w:jc w:val="center"/>
              <w:rPr>
                <w:rFonts w:ascii="仿宋_GB2312" w:hAnsi="宋体" w:eastAsia="仿宋_GB2312"/>
                <w:color w:val="auto"/>
                <w:szCs w:val="21"/>
                <w:highlight w:val="none"/>
              </w:rPr>
            </w:pPr>
          </w:p>
        </w:tc>
        <w:tc>
          <w:tcPr>
            <w:tcW w:w="1837" w:type="dxa"/>
            <w:tcBorders>
              <w:top w:val="single" w:color="auto" w:sz="4" w:space="0"/>
              <w:left w:val="single" w:color="auto" w:sz="4" w:space="0"/>
              <w:bottom w:val="single" w:color="auto" w:sz="4" w:space="0"/>
              <w:right w:val="single" w:color="auto" w:sz="4" w:space="0"/>
            </w:tcBorders>
            <w:noWrap w:val="0"/>
          </w:tcPr>
          <w:p w14:paraId="74E9A308">
            <w:pPr>
              <w:spacing w:before="156" w:line="360" w:lineRule="auto"/>
              <w:jc w:val="center"/>
              <w:rPr>
                <w:rFonts w:ascii="仿宋_GB2312" w:hAnsi="宋体" w:eastAsia="仿宋_GB2312"/>
                <w:color w:val="auto"/>
                <w:szCs w:val="21"/>
                <w:highlight w:val="none"/>
              </w:rPr>
            </w:pPr>
          </w:p>
        </w:tc>
        <w:tc>
          <w:tcPr>
            <w:tcW w:w="2614" w:type="dxa"/>
            <w:tcBorders>
              <w:top w:val="single" w:color="auto" w:sz="4" w:space="0"/>
              <w:left w:val="single" w:color="auto" w:sz="4" w:space="0"/>
              <w:bottom w:val="single" w:color="auto" w:sz="4" w:space="0"/>
              <w:right w:val="single" w:color="auto" w:sz="4" w:space="0"/>
            </w:tcBorders>
            <w:noWrap w:val="0"/>
          </w:tcPr>
          <w:p w14:paraId="0DA874B7">
            <w:pPr>
              <w:spacing w:before="156" w:line="360" w:lineRule="auto"/>
              <w:jc w:val="center"/>
              <w:rPr>
                <w:rFonts w:ascii="仿宋_GB2312" w:hAnsi="宋体" w:eastAsia="仿宋_GB2312"/>
                <w:color w:val="auto"/>
                <w:szCs w:val="21"/>
                <w:highlight w:val="none"/>
              </w:rPr>
            </w:pPr>
          </w:p>
        </w:tc>
      </w:tr>
      <w:tr w14:paraId="7FFEBD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638" w:type="dxa"/>
            <w:tcBorders>
              <w:top w:val="single" w:color="auto" w:sz="4" w:space="0"/>
              <w:left w:val="single" w:color="auto" w:sz="4" w:space="0"/>
              <w:bottom w:val="single" w:color="auto" w:sz="4" w:space="0"/>
              <w:right w:val="single" w:color="auto" w:sz="4" w:space="0"/>
            </w:tcBorders>
            <w:noWrap w:val="0"/>
          </w:tcPr>
          <w:p w14:paraId="40CD13C3">
            <w:pPr>
              <w:spacing w:before="156" w:line="360" w:lineRule="auto"/>
              <w:jc w:val="center"/>
              <w:rPr>
                <w:rFonts w:ascii="仿宋_GB2312" w:hAnsi="宋体" w:eastAsia="仿宋_GB2312"/>
                <w:color w:val="auto"/>
                <w:szCs w:val="21"/>
                <w:highlight w:val="none"/>
              </w:rPr>
            </w:pPr>
            <w:r>
              <w:rPr>
                <w:rFonts w:hint="eastAsia" w:ascii="仿宋_GB2312"/>
                <w:color w:val="auto"/>
                <w:szCs w:val="21"/>
                <w:highlight w:val="none"/>
              </w:rPr>
              <w:t>交付时间</w:t>
            </w:r>
          </w:p>
        </w:tc>
        <w:tc>
          <w:tcPr>
            <w:tcW w:w="2502" w:type="dxa"/>
            <w:tcBorders>
              <w:top w:val="single" w:color="auto" w:sz="4" w:space="0"/>
              <w:left w:val="single" w:color="auto" w:sz="4" w:space="0"/>
              <w:bottom w:val="single" w:color="auto" w:sz="4" w:space="0"/>
              <w:right w:val="single" w:color="auto" w:sz="4" w:space="0"/>
            </w:tcBorders>
            <w:noWrap w:val="0"/>
          </w:tcPr>
          <w:p w14:paraId="7AB74E24">
            <w:pPr>
              <w:spacing w:before="156" w:line="360" w:lineRule="auto"/>
              <w:jc w:val="center"/>
              <w:rPr>
                <w:rFonts w:ascii="仿宋_GB2312" w:hAnsi="宋体" w:eastAsia="仿宋_GB2312"/>
                <w:color w:val="auto"/>
                <w:szCs w:val="21"/>
                <w:highlight w:val="none"/>
              </w:rPr>
            </w:pPr>
          </w:p>
        </w:tc>
        <w:tc>
          <w:tcPr>
            <w:tcW w:w="1837" w:type="dxa"/>
            <w:tcBorders>
              <w:top w:val="single" w:color="auto" w:sz="4" w:space="0"/>
              <w:left w:val="single" w:color="auto" w:sz="4" w:space="0"/>
              <w:bottom w:val="single" w:color="auto" w:sz="4" w:space="0"/>
              <w:right w:val="single" w:color="auto" w:sz="4" w:space="0"/>
            </w:tcBorders>
            <w:noWrap w:val="0"/>
          </w:tcPr>
          <w:p w14:paraId="3F4C9013">
            <w:pPr>
              <w:spacing w:before="156" w:line="360" w:lineRule="auto"/>
              <w:ind w:left="43"/>
              <w:jc w:val="center"/>
              <w:rPr>
                <w:rFonts w:ascii="仿宋_GB2312" w:hAnsi="宋体" w:eastAsia="仿宋_GB2312"/>
                <w:color w:val="auto"/>
                <w:szCs w:val="21"/>
                <w:highlight w:val="none"/>
              </w:rPr>
            </w:pPr>
          </w:p>
        </w:tc>
        <w:tc>
          <w:tcPr>
            <w:tcW w:w="2614" w:type="dxa"/>
            <w:tcBorders>
              <w:top w:val="single" w:color="auto" w:sz="4" w:space="0"/>
              <w:left w:val="single" w:color="auto" w:sz="4" w:space="0"/>
              <w:bottom w:val="single" w:color="auto" w:sz="4" w:space="0"/>
              <w:right w:val="single" w:color="auto" w:sz="4" w:space="0"/>
            </w:tcBorders>
            <w:noWrap w:val="0"/>
          </w:tcPr>
          <w:p w14:paraId="11151B74">
            <w:pPr>
              <w:spacing w:before="156" w:line="360" w:lineRule="auto"/>
              <w:ind w:left="43"/>
              <w:jc w:val="center"/>
              <w:rPr>
                <w:rFonts w:ascii="仿宋_GB2312" w:hAnsi="宋体" w:eastAsia="仿宋_GB2312"/>
                <w:color w:val="auto"/>
                <w:szCs w:val="21"/>
                <w:highlight w:val="none"/>
              </w:rPr>
            </w:pPr>
          </w:p>
        </w:tc>
      </w:tr>
      <w:tr w14:paraId="367FC9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1638" w:type="dxa"/>
            <w:tcBorders>
              <w:top w:val="single" w:color="auto" w:sz="4" w:space="0"/>
              <w:left w:val="single" w:color="auto" w:sz="4" w:space="0"/>
              <w:bottom w:val="single" w:color="auto" w:sz="4" w:space="0"/>
              <w:right w:val="single" w:color="auto" w:sz="4" w:space="0"/>
            </w:tcBorders>
            <w:noWrap w:val="0"/>
          </w:tcPr>
          <w:p w14:paraId="5B2B8AC8">
            <w:pPr>
              <w:spacing w:before="156" w:line="360" w:lineRule="auto"/>
              <w:jc w:val="center"/>
              <w:rPr>
                <w:rFonts w:ascii="仿宋_GB2312"/>
                <w:color w:val="auto"/>
                <w:szCs w:val="21"/>
                <w:highlight w:val="none"/>
              </w:rPr>
            </w:pPr>
            <w:r>
              <w:rPr>
                <w:rFonts w:hint="eastAsia" w:ascii="仿宋_GB2312"/>
                <w:color w:val="auto"/>
                <w:szCs w:val="21"/>
                <w:highlight w:val="none"/>
              </w:rPr>
              <w:t>交货方式</w:t>
            </w:r>
          </w:p>
        </w:tc>
        <w:tc>
          <w:tcPr>
            <w:tcW w:w="2502" w:type="dxa"/>
            <w:tcBorders>
              <w:top w:val="single" w:color="auto" w:sz="4" w:space="0"/>
              <w:left w:val="single" w:color="auto" w:sz="4" w:space="0"/>
              <w:bottom w:val="single" w:color="auto" w:sz="4" w:space="0"/>
              <w:right w:val="single" w:color="auto" w:sz="4" w:space="0"/>
            </w:tcBorders>
            <w:noWrap w:val="0"/>
          </w:tcPr>
          <w:p w14:paraId="1DBE1571">
            <w:pPr>
              <w:spacing w:before="156" w:line="360" w:lineRule="auto"/>
              <w:rPr>
                <w:rFonts w:ascii="仿宋_GB2312" w:hAnsi="宋体"/>
                <w:color w:val="auto"/>
                <w:szCs w:val="21"/>
                <w:highlight w:val="none"/>
              </w:rPr>
            </w:pPr>
          </w:p>
        </w:tc>
        <w:tc>
          <w:tcPr>
            <w:tcW w:w="1837" w:type="dxa"/>
            <w:tcBorders>
              <w:top w:val="single" w:color="auto" w:sz="4" w:space="0"/>
              <w:left w:val="single" w:color="auto" w:sz="4" w:space="0"/>
              <w:bottom w:val="single" w:color="auto" w:sz="4" w:space="0"/>
              <w:right w:val="single" w:color="auto" w:sz="4" w:space="0"/>
            </w:tcBorders>
            <w:noWrap w:val="0"/>
          </w:tcPr>
          <w:p w14:paraId="5C693A1E">
            <w:pPr>
              <w:spacing w:before="156" w:line="360" w:lineRule="auto"/>
              <w:ind w:left="43"/>
              <w:jc w:val="center"/>
              <w:rPr>
                <w:rFonts w:ascii="仿宋_GB2312" w:hAnsi="宋体" w:eastAsia="仿宋_GB2312"/>
                <w:color w:val="auto"/>
                <w:szCs w:val="21"/>
                <w:highlight w:val="none"/>
              </w:rPr>
            </w:pPr>
          </w:p>
        </w:tc>
        <w:tc>
          <w:tcPr>
            <w:tcW w:w="2614" w:type="dxa"/>
            <w:tcBorders>
              <w:top w:val="single" w:color="auto" w:sz="4" w:space="0"/>
              <w:left w:val="single" w:color="auto" w:sz="4" w:space="0"/>
              <w:bottom w:val="single" w:color="auto" w:sz="4" w:space="0"/>
              <w:right w:val="single" w:color="auto" w:sz="4" w:space="0"/>
            </w:tcBorders>
            <w:noWrap w:val="0"/>
          </w:tcPr>
          <w:p w14:paraId="52A1771A">
            <w:pPr>
              <w:spacing w:before="156" w:line="360" w:lineRule="auto"/>
              <w:ind w:left="43"/>
              <w:jc w:val="center"/>
              <w:rPr>
                <w:rFonts w:ascii="仿宋_GB2312" w:hAnsi="宋体" w:eastAsia="仿宋_GB2312"/>
                <w:color w:val="auto"/>
                <w:szCs w:val="21"/>
                <w:highlight w:val="none"/>
              </w:rPr>
            </w:pPr>
          </w:p>
        </w:tc>
      </w:tr>
      <w:tr w14:paraId="3E5BDB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1638" w:type="dxa"/>
            <w:tcBorders>
              <w:top w:val="single" w:color="auto" w:sz="4" w:space="0"/>
              <w:left w:val="single" w:color="auto" w:sz="4" w:space="0"/>
              <w:bottom w:val="single" w:color="auto" w:sz="4" w:space="0"/>
              <w:right w:val="single" w:color="auto" w:sz="4" w:space="0"/>
            </w:tcBorders>
            <w:noWrap w:val="0"/>
          </w:tcPr>
          <w:p w14:paraId="7A7C73E7">
            <w:pPr>
              <w:spacing w:before="156" w:line="360" w:lineRule="auto"/>
              <w:jc w:val="center"/>
              <w:rPr>
                <w:rFonts w:ascii="仿宋_GB2312"/>
                <w:color w:val="auto"/>
                <w:szCs w:val="21"/>
                <w:highlight w:val="none"/>
              </w:rPr>
            </w:pPr>
            <w:r>
              <w:rPr>
                <w:rFonts w:hint="eastAsia" w:ascii="仿宋_GB2312"/>
                <w:color w:val="auto"/>
                <w:szCs w:val="21"/>
                <w:highlight w:val="none"/>
              </w:rPr>
              <w:t>交货地点</w:t>
            </w:r>
          </w:p>
        </w:tc>
        <w:tc>
          <w:tcPr>
            <w:tcW w:w="2502" w:type="dxa"/>
            <w:tcBorders>
              <w:top w:val="single" w:color="auto" w:sz="4" w:space="0"/>
              <w:left w:val="single" w:color="auto" w:sz="4" w:space="0"/>
              <w:bottom w:val="single" w:color="auto" w:sz="4" w:space="0"/>
              <w:right w:val="single" w:color="auto" w:sz="4" w:space="0"/>
            </w:tcBorders>
            <w:noWrap w:val="0"/>
          </w:tcPr>
          <w:p w14:paraId="6A8E1E98">
            <w:pPr>
              <w:spacing w:before="156" w:line="360" w:lineRule="auto"/>
              <w:rPr>
                <w:rFonts w:ascii="仿宋_GB2312" w:hAnsi="宋体"/>
                <w:color w:val="auto"/>
                <w:szCs w:val="21"/>
                <w:highlight w:val="none"/>
              </w:rPr>
            </w:pPr>
          </w:p>
        </w:tc>
        <w:tc>
          <w:tcPr>
            <w:tcW w:w="1837" w:type="dxa"/>
            <w:tcBorders>
              <w:top w:val="single" w:color="auto" w:sz="4" w:space="0"/>
              <w:left w:val="single" w:color="auto" w:sz="4" w:space="0"/>
              <w:bottom w:val="single" w:color="auto" w:sz="4" w:space="0"/>
              <w:right w:val="single" w:color="auto" w:sz="4" w:space="0"/>
            </w:tcBorders>
            <w:noWrap w:val="0"/>
          </w:tcPr>
          <w:p w14:paraId="2FBB2F5D">
            <w:pPr>
              <w:spacing w:before="156" w:line="360" w:lineRule="auto"/>
              <w:ind w:left="43"/>
              <w:jc w:val="center"/>
              <w:rPr>
                <w:rFonts w:ascii="仿宋_GB2312" w:hAnsi="宋体" w:eastAsia="仿宋_GB2312"/>
                <w:color w:val="auto"/>
                <w:szCs w:val="21"/>
                <w:highlight w:val="none"/>
              </w:rPr>
            </w:pPr>
          </w:p>
        </w:tc>
        <w:tc>
          <w:tcPr>
            <w:tcW w:w="2614" w:type="dxa"/>
            <w:tcBorders>
              <w:top w:val="single" w:color="auto" w:sz="4" w:space="0"/>
              <w:left w:val="single" w:color="auto" w:sz="4" w:space="0"/>
              <w:bottom w:val="single" w:color="auto" w:sz="4" w:space="0"/>
              <w:right w:val="single" w:color="auto" w:sz="4" w:space="0"/>
            </w:tcBorders>
            <w:noWrap w:val="0"/>
          </w:tcPr>
          <w:p w14:paraId="089150C7">
            <w:pPr>
              <w:spacing w:before="156" w:line="360" w:lineRule="auto"/>
              <w:ind w:left="43"/>
              <w:jc w:val="center"/>
              <w:rPr>
                <w:rFonts w:ascii="仿宋_GB2312" w:hAnsi="宋体" w:eastAsia="仿宋_GB2312"/>
                <w:color w:val="auto"/>
                <w:szCs w:val="21"/>
                <w:highlight w:val="none"/>
              </w:rPr>
            </w:pPr>
          </w:p>
        </w:tc>
      </w:tr>
      <w:tr w14:paraId="4A2199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1638" w:type="dxa"/>
            <w:tcBorders>
              <w:top w:val="single" w:color="auto" w:sz="4" w:space="0"/>
              <w:left w:val="single" w:color="auto" w:sz="4" w:space="0"/>
              <w:bottom w:val="single" w:color="auto" w:sz="4" w:space="0"/>
              <w:right w:val="single" w:color="auto" w:sz="4" w:space="0"/>
            </w:tcBorders>
            <w:noWrap w:val="0"/>
          </w:tcPr>
          <w:p w14:paraId="749B785D">
            <w:pPr>
              <w:spacing w:before="156" w:line="360" w:lineRule="auto"/>
              <w:jc w:val="center"/>
              <w:rPr>
                <w:rFonts w:ascii="仿宋_GB2312" w:hAnsi="宋体" w:eastAsia="仿宋_GB2312"/>
                <w:color w:val="auto"/>
                <w:szCs w:val="21"/>
                <w:highlight w:val="none"/>
              </w:rPr>
            </w:pPr>
            <w:r>
              <w:rPr>
                <w:rFonts w:hint="eastAsia" w:ascii="仿宋_GB2312" w:hAnsi="宋体"/>
                <w:color w:val="auto"/>
                <w:szCs w:val="21"/>
                <w:highlight w:val="none"/>
              </w:rPr>
              <w:t>付款方式</w:t>
            </w:r>
          </w:p>
        </w:tc>
        <w:tc>
          <w:tcPr>
            <w:tcW w:w="2502" w:type="dxa"/>
            <w:tcBorders>
              <w:top w:val="single" w:color="auto" w:sz="4" w:space="0"/>
              <w:left w:val="single" w:color="auto" w:sz="4" w:space="0"/>
              <w:bottom w:val="single" w:color="auto" w:sz="4" w:space="0"/>
              <w:right w:val="single" w:color="auto" w:sz="4" w:space="0"/>
            </w:tcBorders>
            <w:noWrap w:val="0"/>
          </w:tcPr>
          <w:p w14:paraId="4586F1F9">
            <w:pPr>
              <w:spacing w:before="156" w:line="360" w:lineRule="auto"/>
              <w:rPr>
                <w:rFonts w:ascii="仿宋_GB2312" w:hAnsi="宋体" w:eastAsia="仿宋_GB2312"/>
                <w:color w:val="auto"/>
                <w:szCs w:val="21"/>
                <w:highlight w:val="none"/>
              </w:rPr>
            </w:pPr>
          </w:p>
        </w:tc>
        <w:tc>
          <w:tcPr>
            <w:tcW w:w="1837" w:type="dxa"/>
            <w:tcBorders>
              <w:top w:val="single" w:color="auto" w:sz="4" w:space="0"/>
              <w:left w:val="single" w:color="auto" w:sz="4" w:space="0"/>
              <w:bottom w:val="single" w:color="auto" w:sz="4" w:space="0"/>
              <w:right w:val="single" w:color="auto" w:sz="4" w:space="0"/>
            </w:tcBorders>
            <w:noWrap w:val="0"/>
          </w:tcPr>
          <w:p w14:paraId="4EA3A529">
            <w:pPr>
              <w:spacing w:before="156" w:line="360" w:lineRule="auto"/>
              <w:jc w:val="center"/>
              <w:rPr>
                <w:rFonts w:ascii="仿宋_GB2312" w:hAnsi="宋体" w:eastAsia="仿宋_GB2312"/>
                <w:color w:val="auto"/>
                <w:szCs w:val="21"/>
                <w:highlight w:val="none"/>
              </w:rPr>
            </w:pPr>
          </w:p>
        </w:tc>
        <w:tc>
          <w:tcPr>
            <w:tcW w:w="2614" w:type="dxa"/>
            <w:tcBorders>
              <w:top w:val="single" w:color="auto" w:sz="4" w:space="0"/>
              <w:left w:val="single" w:color="auto" w:sz="4" w:space="0"/>
              <w:bottom w:val="single" w:color="auto" w:sz="4" w:space="0"/>
              <w:right w:val="single" w:color="auto" w:sz="4" w:space="0"/>
            </w:tcBorders>
            <w:noWrap w:val="0"/>
          </w:tcPr>
          <w:p w14:paraId="05575514">
            <w:pPr>
              <w:spacing w:before="156" w:line="360" w:lineRule="auto"/>
              <w:jc w:val="center"/>
              <w:rPr>
                <w:rFonts w:ascii="仿宋_GB2312" w:hAnsi="宋体" w:eastAsia="仿宋_GB2312"/>
                <w:color w:val="auto"/>
                <w:szCs w:val="21"/>
                <w:highlight w:val="none"/>
              </w:rPr>
            </w:pPr>
          </w:p>
        </w:tc>
      </w:tr>
    </w:tbl>
    <w:p w14:paraId="0EB25D10">
      <w:pPr>
        <w:spacing w:line="360" w:lineRule="auto"/>
        <w:rPr>
          <w:rFonts w:ascii="宋体" w:hAnsi="宋体"/>
          <w:color w:val="auto"/>
          <w:sz w:val="24"/>
          <w:highlight w:val="none"/>
        </w:rPr>
      </w:pPr>
    </w:p>
    <w:p w14:paraId="7F117278">
      <w:pPr>
        <w:spacing w:line="360" w:lineRule="auto"/>
        <w:rPr>
          <w:rFonts w:ascii="仿宋_GB2312" w:hAnsi="Arial"/>
          <w:color w:val="auto"/>
          <w:sz w:val="30"/>
          <w:highlight w:val="none"/>
        </w:rPr>
      </w:pPr>
    </w:p>
    <w:p w14:paraId="1C6BAE3B">
      <w:pPr>
        <w:pStyle w:val="4"/>
        <w:spacing w:line="360" w:lineRule="auto"/>
        <w:ind w:firstLine="480"/>
        <w:rPr>
          <w:rFonts w:ascii="宋体" w:hAnsi="宋体"/>
          <w:color w:val="auto"/>
          <w:sz w:val="24"/>
          <w:highlight w:val="none"/>
        </w:rPr>
      </w:pPr>
      <w:bookmarkStart w:id="85" w:name="_Hlt26955066"/>
      <w:bookmarkEnd w:id="85"/>
      <w:bookmarkStart w:id="86" w:name="_Hlt26609389"/>
      <w:bookmarkEnd w:id="86"/>
      <w:bookmarkStart w:id="87" w:name="_Hlt26671374"/>
      <w:bookmarkEnd w:id="87"/>
      <w:bookmarkStart w:id="88" w:name="_Toc462564146"/>
    </w:p>
    <w:p w14:paraId="2478FF70">
      <w:pPr>
        <w:pStyle w:val="4"/>
        <w:spacing w:line="360" w:lineRule="auto"/>
        <w:ind w:firstLine="480"/>
        <w:rPr>
          <w:rFonts w:ascii="宋体" w:hAnsi="宋体"/>
          <w:color w:val="auto"/>
          <w:sz w:val="24"/>
          <w:highlight w:val="none"/>
        </w:rPr>
      </w:pPr>
    </w:p>
    <w:p w14:paraId="544BD12A">
      <w:pPr>
        <w:pStyle w:val="4"/>
        <w:spacing w:line="360" w:lineRule="auto"/>
        <w:ind w:firstLine="480"/>
        <w:rPr>
          <w:rFonts w:ascii="宋体" w:hAnsi="宋体"/>
          <w:color w:val="auto"/>
          <w:sz w:val="24"/>
          <w:highlight w:val="none"/>
        </w:rPr>
      </w:pPr>
    </w:p>
    <w:p w14:paraId="7D5D4F6E">
      <w:pPr>
        <w:pStyle w:val="4"/>
        <w:spacing w:line="360" w:lineRule="auto"/>
        <w:ind w:firstLine="480"/>
        <w:rPr>
          <w:rFonts w:ascii="宋体" w:hAnsi="宋体"/>
          <w:color w:val="auto"/>
          <w:sz w:val="24"/>
          <w:highlight w:val="none"/>
        </w:rPr>
      </w:pPr>
    </w:p>
    <w:p w14:paraId="6AE22D2F">
      <w:pPr>
        <w:pStyle w:val="4"/>
        <w:spacing w:line="360" w:lineRule="auto"/>
        <w:ind w:firstLine="480"/>
        <w:rPr>
          <w:rFonts w:ascii="宋体" w:hAnsi="宋体"/>
          <w:color w:val="auto"/>
          <w:sz w:val="24"/>
          <w:highlight w:val="none"/>
        </w:rPr>
      </w:pPr>
      <w:r>
        <w:rPr>
          <w:rFonts w:hint="eastAsia" w:ascii="宋体" w:hAnsi="宋体"/>
          <w:color w:val="auto"/>
          <w:sz w:val="24"/>
          <w:highlight w:val="none"/>
        </w:rPr>
        <w:t>.</w:t>
      </w:r>
    </w:p>
    <w:p w14:paraId="3585DF04">
      <w:pPr>
        <w:pStyle w:val="4"/>
        <w:spacing w:line="360" w:lineRule="auto"/>
        <w:ind w:firstLine="480"/>
        <w:rPr>
          <w:rFonts w:ascii="宋体" w:hAnsi="宋体"/>
          <w:color w:val="auto"/>
          <w:sz w:val="24"/>
          <w:highlight w:val="none"/>
        </w:rPr>
      </w:pPr>
    </w:p>
    <w:p w14:paraId="6417E5B9">
      <w:pPr>
        <w:pStyle w:val="4"/>
        <w:spacing w:line="360" w:lineRule="auto"/>
        <w:ind w:firstLine="480"/>
        <w:rPr>
          <w:rFonts w:ascii="宋体" w:hAnsi="宋体"/>
          <w:color w:val="auto"/>
          <w:sz w:val="24"/>
          <w:highlight w:val="none"/>
        </w:rPr>
      </w:pPr>
    </w:p>
    <w:p w14:paraId="65774ADC">
      <w:pPr>
        <w:pStyle w:val="4"/>
        <w:spacing w:line="360" w:lineRule="auto"/>
        <w:ind w:firstLine="480"/>
        <w:rPr>
          <w:rFonts w:ascii="宋体" w:hAnsi="宋体"/>
          <w:color w:val="auto"/>
          <w:sz w:val="24"/>
          <w:highlight w:val="none"/>
        </w:rPr>
      </w:pPr>
    </w:p>
    <w:p w14:paraId="091556C8">
      <w:pPr>
        <w:pStyle w:val="4"/>
        <w:spacing w:line="360" w:lineRule="auto"/>
        <w:ind w:firstLine="480"/>
        <w:rPr>
          <w:rFonts w:ascii="宋体" w:hAnsi="宋体"/>
          <w:color w:val="auto"/>
          <w:sz w:val="24"/>
          <w:highlight w:val="none"/>
        </w:rPr>
      </w:pPr>
    </w:p>
    <w:p w14:paraId="2ED9A293">
      <w:pPr>
        <w:pStyle w:val="4"/>
        <w:spacing w:line="360" w:lineRule="auto"/>
        <w:ind w:firstLine="480"/>
        <w:rPr>
          <w:rFonts w:ascii="宋体" w:hAnsi="宋体"/>
          <w:color w:val="auto"/>
          <w:sz w:val="24"/>
          <w:highlight w:val="none"/>
        </w:rPr>
      </w:pPr>
    </w:p>
    <w:p w14:paraId="7052CA26">
      <w:pPr>
        <w:pStyle w:val="4"/>
        <w:spacing w:line="360" w:lineRule="auto"/>
        <w:ind w:firstLine="480"/>
        <w:rPr>
          <w:rFonts w:ascii="宋体" w:hAnsi="宋体"/>
          <w:color w:val="auto"/>
          <w:sz w:val="24"/>
          <w:highlight w:val="none"/>
        </w:rPr>
      </w:pPr>
    </w:p>
    <w:p w14:paraId="74C5800D">
      <w:pPr>
        <w:pStyle w:val="4"/>
        <w:spacing w:line="360" w:lineRule="auto"/>
        <w:ind w:firstLine="480"/>
        <w:rPr>
          <w:rFonts w:ascii="宋体" w:hAnsi="宋体"/>
          <w:color w:val="auto"/>
          <w:sz w:val="24"/>
          <w:highlight w:val="none"/>
        </w:rPr>
      </w:pPr>
    </w:p>
    <w:p w14:paraId="03C9C452">
      <w:pPr>
        <w:pStyle w:val="4"/>
        <w:spacing w:line="360" w:lineRule="auto"/>
        <w:ind w:firstLine="480"/>
        <w:rPr>
          <w:rFonts w:ascii="宋体" w:hAnsi="宋体"/>
          <w:color w:val="auto"/>
          <w:sz w:val="24"/>
          <w:highlight w:val="none"/>
        </w:rPr>
      </w:pPr>
    </w:p>
    <w:p w14:paraId="2D4F0B3B">
      <w:pPr>
        <w:pStyle w:val="4"/>
        <w:spacing w:line="360" w:lineRule="auto"/>
        <w:ind w:firstLine="480"/>
        <w:rPr>
          <w:rFonts w:ascii="宋体" w:hAnsi="宋体"/>
          <w:color w:val="auto"/>
          <w:sz w:val="24"/>
          <w:highlight w:val="none"/>
        </w:rPr>
      </w:pPr>
    </w:p>
    <w:p w14:paraId="0595BBCE">
      <w:pPr>
        <w:pStyle w:val="4"/>
        <w:spacing w:line="360" w:lineRule="auto"/>
        <w:ind w:firstLine="480"/>
        <w:rPr>
          <w:rFonts w:ascii="宋体" w:hAnsi="宋体"/>
          <w:color w:val="auto"/>
          <w:sz w:val="24"/>
          <w:highlight w:val="none"/>
        </w:rPr>
      </w:pPr>
    </w:p>
    <w:bookmarkEnd w:id="88"/>
    <w:p w14:paraId="6954860A">
      <w:pPr>
        <w:pStyle w:val="4"/>
        <w:spacing w:line="360" w:lineRule="auto"/>
        <w:ind w:firstLine="480"/>
        <w:rPr>
          <w:rFonts w:ascii="宋体" w:hAnsi="宋体"/>
          <w:color w:val="auto"/>
          <w:sz w:val="24"/>
          <w:highlight w:val="none"/>
        </w:rPr>
      </w:pPr>
    </w:p>
    <w:p w14:paraId="1CF72C3D">
      <w:pPr>
        <w:spacing w:before="312" w:line="360" w:lineRule="auto"/>
        <w:jc w:val="center"/>
        <w:rPr>
          <w:rFonts w:ascii="宋体" w:hAnsi="宋体"/>
          <w:b/>
          <w:color w:val="auto"/>
          <w:highlight w:val="none"/>
        </w:rPr>
      </w:pPr>
      <w:r>
        <w:rPr>
          <w:rFonts w:hint="eastAsia" w:ascii="宋体" w:hAnsi="宋体"/>
          <w:b/>
          <w:color w:val="auto"/>
          <w:highlight w:val="none"/>
        </w:rPr>
        <w:t>主要标的信息（中标后将公示）</w:t>
      </w:r>
    </w:p>
    <w:p w14:paraId="7846DD4F">
      <w:pPr>
        <w:spacing w:after="312" w:line="360" w:lineRule="auto"/>
        <w:rPr>
          <w:rFonts w:ascii="宋体" w:hAnsi="宋体"/>
          <w:b/>
          <w:color w:val="auto"/>
          <w:highlight w:val="none"/>
        </w:rPr>
      </w:pPr>
      <w:r>
        <w:rPr>
          <w:rFonts w:hint="eastAsia" w:ascii="宋体" w:hAnsi="宋体"/>
          <w:color w:val="auto"/>
          <w:highlight w:val="none"/>
        </w:rPr>
        <w:t>投标人全称：</w:t>
      </w:r>
    </w:p>
    <w:tbl>
      <w:tblPr>
        <w:tblStyle w:val="37"/>
        <w:tblW w:w="80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81"/>
        <w:gridCol w:w="3930"/>
      </w:tblGrid>
      <w:tr w14:paraId="473CD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81" w:type="dxa"/>
            <w:noWrap w:val="0"/>
          </w:tcPr>
          <w:p w14:paraId="33E8E9B5">
            <w:pPr>
              <w:spacing w:line="360" w:lineRule="auto"/>
              <w:jc w:val="center"/>
              <w:rPr>
                <w:rFonts w:ascii="宋体" w:hAnsi="宋体" w:cs="宋体"/>
                <w:color w:val="auto"/>
                <w:highlight w:val="none"/>
              </w:rPr>
            </w:pPr>
            <w:r>
              <w:rPr>
                <w:rFonts w:hint="eastAsia" w:ascii="宋体" w:hAnsi="宋体" w:cs="宋体"/>
                <w:color w:val="auto"/>
                <w:highlight w:val="none"/>
              </w:rPr>
              <w:t>货物类</w:t>
            </w:r>
          </w:p>
        </w:tc>
        <w:tc>
          <w:tcPr>
            <w:tcW w:w="3930" w:type="dxa"/>
            <w:noWrap w:val="0"/>
          </w:tcPr>
          <w:p w14:paraId="38D36FA0">
            <w:pPr>
              <w:spacing w:line="360" w:lineRule="auto"/>
              <w:jc w:val="center"/>
              <w:rPr>
                <w:rFonts w:ascii="宋体" w:hAnsi="宋体" w:cs="宋体"/>
                <w:color w:val="auto"/>
                <w:highlight w:val="none"/>
              </w:rPr>
            </w:pPr>
            <w:r>
              <w:rPr>
                <w:rFonts w:hint="eastAsia" w:ascii="宋体" w:hAnsi="宋体" w:cs="宋体"/>
                <w:color w:val="auto"/>
                <w:highlight w:val="none"/>
              </w:rPr>
              <w:t>服务类</w:t>
            </w:r>
          </w:p>
        </w:tc>
      </w:tr>
      <w:tr w14:paraId="4D647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0" w:hRule="atLeast"/>
        </w:trPr>
        <w:tc>
          <w:tcPr>
            <w:tcW w:w="4081" w:type="dxa"/>
            <w:noWrap w:val="0"/>
          </w:tcPr>
          <w:p w14:paraId="19335E19">
            <w:pPr>
              <w:spacing w:line="360" w:lineRule="auto"/>
              <w:rPr>
                <w:rFonts w:ascii="宋体" w:hAnsi="宋体" w:cs="宋体"/>
                <w:color w:val="auto"/>
                <w:highlight w:val="none"/>
              </w:rPr>
            </w:pPr>
            <w:r>
              <w:rPr>
                <w:rFonts w:hint="eastAsia" w:ascii="宋体" w:hAnsi="宋体" w:cs="宋体"/>
                <w:color w:val="auto"/>
                <w:highlight w:val="none"/>
              </w:rPr>
              <w:t>名称：</w:t>
            </w:r>
          </w:p>
          <w:p w14:paraId="74733C49">
            <w:pPr>
              <w:spacing w:line="360" w:lineRule="auto"/>
              <w:rPr>
                <w:rFonts w:ascii="宋体" w:hAnsi="宋体" w:cs="宋体"/>
                <w:color w:val="auto"/>
                <w:highlight w:val="none"/>
              </w:rPr>
            </w:pPr>
            <w:r>
              <w:rPr>
                <w:rFonts w:hint="eastAsia" w:ascii="宋体" w:hAnsi="宋体" w:cs="宋体"/>
                <w:color w:val="auto"/>
                <w:highlight w:val="none"/>
              </w:rPr>
              <w:t>品牌（如有）：</w:t>
            </w:r>
          </w:p>
          <w:p w14:paraId="293B9C08">
            <w:pPr>
              <w:spacing w:line="360" w:lineRule="auto"/>
              <w:rPr>
                <w:rFonts w:ascii="宋体" w:hAnsi="宋体" w:cs="宋体"/>
                <w:color w:val="auto"/>
                <w:highlight w:val="none"/>
              </w:rPr>
            </w:pPr>
            <w:r>
              <w:rPr>
                <w:rFonts w:hint="eastAsia" w:ascii="宋体" w:hAnsi="宋体" w:cs="宋体"/>
                <w:color w:val="auto"/>
                <w:highlight w:val="none"/>
              </w:rPr>
              <w:t>规格型号：</w:t>
            </w:r>
          </w:p>
          <w:p w14:paraId="6357004E">
            <w:pPr>
              <w:spacing w:line="360" w:lineRule="auto"/>
              <w:rPr>
                <w:rFonts w:ascii="宋体" w:hAnsi="宋体" w:cs="宋体"/>
                <w:color w:val="auto"/>
                <w:highlight w:val="none"/>
              </w:rPr>
            </w:pPr>
            <w:r>
              <w:rPr>
                <w:rFonts w:hint="eastAsia" w:ascii="宋体" w:hAnsi="宋体" w:cs="宋体"/>
                <w:color w:val="auto"/>
                <w:highlight w:val="none"/>
              </w:rPr>
              <w:t>数量：</w:t>
            </w:r>
          </w:p>
          <w:p w14:paraId="2DD63C9C">
            <w:pPr>
              <w:spacing w:line="360" w:lineRule="auto"/>
              <w:rPr>
                <w:rFonts w:ascii="宋体" w:hAnsi="宋体" w:cs="宋体"/>
                <w:color w:val="auto"/>
                <w:highlight w:val="none"/>
              </w:rPr>
            </w:pPr>
            <w:r>
              <w:rPr>
                <w:rFonts w:hint="eastAsia" w:ascii="宋体" w:hAnsi="宋体" w:cs="宋体"/>
                <w:color w:val="auto"/>
                <w:highlight w:val="none"/>
              </w:rPr>
              <w:t>单价：</w:t>
            </w:r>
          </w:p>
        </w:tc>
        <w:tc>
          <w:tcPr>
            <w:tcW w:w="3930" w:type="dxa"/>
            <w:noWrap w:val="0"/>
          </w:tcPr>
          <w:p w14:paraId="011AA431">
            <w:pPr>
              <w:spacing w:line="360" w:lineRule="auto"/>
              <w:rPr>
                <w:rFonts w:ascii="宋体" w:hAnsi="宋体" w:cs="宋体"/>
                <w:color w:val="auto"/>
                <w:highlight w:val="none"/>
              </w:rPr>
            </w:pPr>
            <w:r>
              <w:rPr>
                <w:rFonts w:hint="eastAsia" w:ascii="宋体" w:hAnsi="宋体" w:cs="宋体"/>
                <w:color w:val="auto"/>
                <w:highlight w:val="none"/>
              </w:rPr>
              <w:t>名称：</w:t>
            </w:r>
          </w:p>
          <w:p w14:paraId="683B7FEE">
            <w:pPr>
              <w:spacing w:line="360" w:lineRule="auto"/>
              <w:rPr>
                <w:rFonts w:ascii="宋体" w:hAnsi="宋体" w:cs="宋体"/>
                <w:color w:val="auto"/>
                <w:highlight w:val="none"/>
              </w:rPr>
            </w:pPr>
            <w:r>
              <w:rPr>
                <w:rFonts w:hint="eastAsia" w:ascii="宋体" w:hAnsi="宋体" w:cs="宋体"/>
                <w:color w:val="auto"/>
                <w:highlight w:val="none"/>
              </w:rPr>
              <w:t>服务范围：</w:t>
            </w:r>
          </w:p>
          <w:p w14:paraId="15F0E019">
            <w:pPr>
              <w:spacing w:line="360" w:lineRule="auto"/>
              <w:rPr>
                <w:rFonts w:ascii="宋体" w:hAnsi="宋体" w:cs="宋体"/>
                <w:color w:val="auto"/>
                <w:highlight w:val="none"/>
                <w:u w:val="single"/>
              </w:rPr>
            </w:pPr>
            <w:r>
              <w:rPr>
                <w:rFonts w:hint="eastAsia" w:ascii="宋体" w:hAnsi="宋体" w:cs="宋体"/>
                <w:color w:val="auto"/>
                <w:highlight w:val="none"/>
              </w:rPr>
              <w:t>服务要求：</w:t>
            </w:r>
          </w:p>
          <w:p w14:paraId="263566FB">
            <w:pPr>
              <w:spacing w:line="360" w:lineRule="auto"/>
              <w:rPr>
                <w:rFonts w:ascii="宋体" w:hAnsi="宋体" w:cs="宋体"/>
                <w:color w:val="auto"/>
                <w:highlight w:val="none"/>
                <w:u w:val="single"/>
              </w:rPr>
            </w:pPr>
            <w:r>
              <w:rPr>
                <w:rFonts w:hint="eastAsia" w:ascii="宋体" w:hAnsi="宋体" w:cs="宋体"/>
                <w:color w:val="auto"/>
                <w:highlight w:val="none"/>
              </w:rPr>
              <w:t>服务时间：</w:t>
            </w:r>
          </w:p>
          <w:p w14:paraId="108C111B">
            <w:pPr>
              <w:spacing w:line="360" w:lineRule="auto"/>
              <w:rPr>
                <w:rFonts w:ascii="宋体" w:hAnsi="宋体" w:cs="宋体"/>
                <w:color w:val="auto"/>
                <w:highlight w:val="none"/>
              </w:rPr>
            </w:pPr>
            <w:r>
              <w:rPr>
                <w:rFonts w:hint="eastAsia" w:ascii="宋体" w:hAnsi="宋体" w:cs="宋体"/>
                <w:color w:val="auto"/>
                <w:highlight w:val="none"/>
              </w:rPr>
              <w:t>服务标准：</w:t>
            </w:r>
          </w:p>
        </w:tc>
      </w:tr>
    </w:tbl>
    <w:p w14:paraId="54087E7D">
      <w:pPr>
        <w:widowControl/>
        <w:spacing w:line="360" w:lineRule="auto"/>
        <w:jc w:val="left"/>
        <w:rPr>
          <w:rFonts w:ascii="宋体" w:hAnsi="宋体" w:cs="宋体"/>
          <w:color w:val="auto"/>
          <w:sz w:val="24"/>
          <w:szCs w:val="24"/>
          <w:highlight w:val="none"/>
        </w:rPr>
      </w:pPr>
      <w:r>
        <w:rPr>
          <w:rFonts w:ascii="宋体" w:hAnsi="宋体" w:cs="宋体"/>
          <w:color w:val="auto"/>
          <w:sz w:val="24"/>
          <w:szCs w:val="24"/>
          <w:highlight w:val="none"/>
        </w:rPr>
        <w:br w:type="page" w:clear="all"/>
      </w:r>
    </w:p>
    <w:p w14:paraId="1C6BF145">
      <w:pPr>
        <w:spacing w:line="360" w:lineRule="auto"/>
        <w:ind w:firstLine="211"/>
        <w:jc w:val="center"/>
        <w:rPr>
          <w:rFonts w:ascii="宋体" w:hAnsi="宋体"/>
          <w:b/>
          <w:color w:val="auto"/>
          <w:highlight w:val="none"/>
        </w:rPr>
      </w:pPr>
      <w:r>
        <w:rPr>
          <w:rFonts w:hint="eastAsia" w:ascii="宋体" w:hAnsi="宋体"/>
          <w:b/>
          <w:color w:val="auto"/>
          <w:highlight w:val="none"/>
        </w:rPr>
        <w:t>联合体协议（如有）</w:t>
      </w:r>
    </w:p>
    <w:p w14:paraId="2B2E2D6F">
      <w:pPr>
        <w:spacing w:line="360" w:lineRule="auto"/>
        <w:ind w:firstLine="211"/>
        <w:jc w:val="center"/>
        <w:rPr>
          <w:rFonts w:ascii="宋体" w:hAnsi="宋体"/>
          <w:b/>
          <w:color w:val="auto"/>
          <w:highlight w:val="none"/>
        </w:rPr>
      </w:pPr>
    </w:p>
    <w:p w14:paraId="09AD48CE">
      <w:pPr>
        <w:spacing w:line="360" w:lineRule="auto"/>
        <w:rPr>
          <w:rFonts w:ascii="宋体" w:hAnsi="宋体"/>
          <w:color w:val="auto"/>
          <w:highlight w:val="none"/>
        </w:rPr>
      </w:pPr>
      <w:r>
        <w:rPr>
          <w:rFonts w:hint="eastAsia" w:ascii="宋体" w:hAnsi="宋体"/>
          <w:color w:val="auto"/>
          <w:highlight w:val="none"/>
        </w:rPr>
        <w:t>（联合体中各供应商全称）在此达成以下协议：</w:t>
      </w:r>
    </w:p>
    <w:p w14:paraId="5B476A7D">
      <w:pPr>
        <w:spacing w:line="360" w:lineRule="auto"/>
        <w:ind w:firstLine="645"/>
        <w:rPr>
          <w:rFonts w:ascii="宋体" w:hAnsi="宋体"/>
          <w:color w:val="auto"/>
          <w:highlight w:val="none"/>
        </w:rPr>
      </w:pPr>
      <w:r>
        <w:rPr>
          <w:rFonts w:hint="eastAsia" w:ascii="宋体" w:hAnsi="宋体"/>
          <w:color w:val="auto"/>
          <w:highlight w:val="none"/>
        </w:rPr>
        <w:t>1、我们自愿组成联合体，参加代理机构组织的采购编号为（项目编号）（项目全称）的政府采购活动。</w:t>
      </w:r>
    </w:p>
    <w:p w14:paraId="312160E4">
      <w:pPr>
        <w:spacing w:line="360" w:lineRule="auto"/>
        <w:ind w:firstLine="645"/>
        <w:rPr>
          <w:rFonts w:ascii="宋体" w:hAnsi="宋体"/>
          <w:color w:val="auto"/>
          <w:highlight w:val="none"/>
        </w:rPr>
      </w:pPr>
      <w:r>
        <w:rPr>
          <w:rFonts w:hint="eastAsia" w:ascii="宋体" w:hAnsi="宋体"/>
          <w:color w:val="auto"/>
          <w:highlight w:val="none"/>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71A25637">
      <w:pPr>
        <w:spacing w:line="360" w:lineRule="auto"/>
        <w:ind w:firstLine="645"/>
        <w:rPr>
          <w:rFonts w:ascii="宋体" w:hAnsi="宋体"/>
          <w:color w:val="auto"/>
          <w:highlight w:val="none"/>
        </w:rPr>
      </w:pPr>
      <w:r>
        <w:rPr>
          <w:rFonts w:hint="eastAsia" w:ascii="宋体" w:hAnsi="宋体"/>
          <w:color w:val="auto"/>
          <w:sz w:val="24"/>
          <w:highlight w:val="none"/>
        </w:rPr>
        <w:t xml:space="preserve">                                       </w:t>
      </w:r>
      <w:r>
        <w:rPr>
          <w:rFonts w:hint="eastAsia" w:ascii="宋体" w:hAnsi="宋体"/>
          <w:color w:val="auto"/>
          <w:highlight w:val="none"/>
        </w:rPr>
        <w:t xml:space="preserve"> </w:t>
      </w:r>
    </w:p>
    <w:p w14:paraId="3DB0A4A4">
      <w:pPr>
        <w:spacing w:line="360" w:lineRule="auto"/>
        <w:ind w:firstLine="4620"/>
        <w:rPr>
          <w:rFonts w:ascii="宋体" w:hAnsi="宋体"/>
          <w:color w:val="auto"/>
          <w:highlight w:val="none"/>
        </w:rPr>
      </w:pPr>
      <w:r>
        <w:rPr>
          <w:rFonts w:hint="eastAsia" w:ascii="宋体" w:hAnsi="宋体"/>
          <w:color w:val="auto"/>
          <w:highlight w:val="none"/>
        </w:rPr>
        <w:t>所有供应商全称：</w:t>
      </w:r>
    </w:p>
    <w:p w14:paraId="3075DA5C">
      <w:pPr>
        <w:spacing w:line="360" w:lineRule="auto"/>
        <w:ind w:firstLine="645"/>
        <w:rPr>
          <w:rFonts w:ascii="宋体" w:hAnsi="宋体"/>
          <w:color w:val="auto"/>
          <w:highlight w:val="none"/>
        </w:rPr>
      </w:pPr>
      <w:r>
        <w:rPr>
          <w:rFonts w:hint="eastAsia" w:ascii="宋体" w:hAnsi="宋体"/>
          <w:color w:val="auto"/>
          <w:highlight w:val="none"/>
        </w:rPr>
        <w:t xml:space="preserve">                                      法定代表人：  </w:t>
      </w:r>
    </w:p>
    <w:p w14:paraId="45CA0897">
      <w:pPr>
        <w:spacing w:line="360" w:lineRule="auto"/>
        <w:ind w:firstLine="4620"/>
        <w:rPr>
          <w:rFonts w:ascii="宋体" w:hAnsi="宋体"/>
          <w:color w:val="auto"/>
          <w:highlight w:val="none"/>
        </w:rPr>
      </w:pPr>
      <w:r>
        <w:rPr>
          <w:rFonts w:hint="eastAsia" w:ascii="宋体" w:hAnsi="宋体"/>
          <w:color w:val="auto"/>
          <w:highlight w:val="none"/>
        </w:rPr>
        <w:t>日期：</w:t>
      </w:r>
    </w:p>
    <w:p w14:paraId="2613240F">
      <w:pPr>
        <w:spacing w:line="360" w:lineRule="auto"/>
        <w:rPr>
          <w:color w:val="auto"/>
          <w:highlight w:val="none"/>
        </w:rPr>
      </w:pPr>
    </w:p>
    <w:p w14:paraId="02534E1F">
      <w:pPr>
        <w:widowControl/>
        <w:spacing w:before="100" w:beforeAutospacing="1" w:after="143" w:line="360" w:lineRule="auto"/>
        <w:jc w:val="left"/>
        <w:rPr>
          <w:rFonts w:ascii="宋体" w:hAnsi="宋体" w:cs="宋体"/>
          <w:color w:val="auto"/>
          <w:sz w:val="24"/>
          <w:szCs w:val="24"/>
          <w:highlight w:val="none"/>
        </w:rPr>
      </w:pPr>
    </w:p>
    <w:p w14:paraId="7252F99B">
      <w:pPr>
        <w:spacing w:line="360" w:lineRule="auto"/>
        <w:rPr>
          <w:color w:val="auto"/>
          <w:highlight w:val="none"/>
        </w:rPr>
      </w:pPr>
    </w:p>
    <w:p w14:paraId="62C6FED0">
      <w:pPr>
        <w:spacing w:line="360" w:lineRule="auto"/>
        <w:rPr>
          <w:color w:val="auto"/>
          <w:highlight w:val="none"/>
        </w:rPr>
      </w:pPr>
    </w:p>
    <w:p w14:paraId="35B90DD3">
      <w:pPr>
        <w:spacing w:line="360" w:lineRule="auto"/>
        <w:rPr>
          <w:color w:val="auto"/>
          <w:highlight w:val="none"/>
        </w:rPr>
      </w:pPr>
    </w:p>
    <w:p w14:paraId="433670F8">
      <w:pPr>
        <w:spacing w:line="360" w:lineRule="auto"/>
        <w:rPr>
          <w:color w:val="auto"/>
          <w:highlight w:val="none"/>
        </w:rPr>
      </w:pPr>
    </w:p>
    <w:sectPr>
      <w:pgSz w:w="11906" w:h="16838"/>
      <w:pgMar w:top="1440" w:right="1800" w:bottom="1440" w:left="1800" w:header="851" w:footer="850" w:gutter="0"/>
      <w:pgBorders>
        <w:top w:val="none" w:sz="0" w:space="0"/>
        <w:left w:val="none" w:sz="0" w:space="0"/>
        <w:bottom w:val="none" w:sz="0" w:space="0"/>
        <w:right w:val="none" w:sz="0" w:space="0"/>
      </w:pgBorders>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panose1 w:val="02010509060101010101"/>
    <w:charset w:val="86"/>
    <w:family w:val="auto"/>
    <w:pitch w:val="default"/>
    <w:sig w:usb0="00000001" w:usb1="080E0000" w:usb2="00000000" w:usb3="00000000" w:csb0="00040000"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default">
    <w:altName w:val="AMGDT"/>
    <w:panose1 w:val="00000000000000000000"/>
    <w:charset w:val="00"/>
    <w:family w:val="auto"/>
    <w:pitch w:val="default"/>
    <w:sig w:usb0="00000000" w:usb1="00000000" w:usb2="00000000" w:usb3="00000000" w:csb0="00000000" w:csb1="00000000"/>
  </w:font>
  <w:font w:name="AMGDT">
    <w:panose1 w:val="02000400000000000000"/>
    <w:charset w:val="00"/>
    <w:family w:val="auto"/>
    <w:pitch w:val="default"/>
    <w:sig w:usb0="80000003" w:usb1="10000000" w:usb2="00000000" w:usb3="00000000" w:csb0="00000001" w:csb1="0000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汉仪书宋二S">
    <w:altName w:val="宋体"/>
    <w:panose1 w:val="020B0503020202020204"/>
    <w:charset w:val="00"/>
    <w:family w:val="auto"/>
    <w:pitch w:val="default"/>
    <w:sig w:usb0="00000000" w:usb1="00000000" w:usb2="00000000" w:usb3="00000000" w:csb0="00000000" w:csb1="00000000"/>
  </w:font>
  <w:font w:name="思源黑体 CN Normal">
    <w:altName w:val="黑体"/>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auto"/>
    <w:pitch w:val="default"/>
    <w:sig w:usb0="E0002EFF" w:usb1="C000785B" w:usb2="00000009" w:usb3="00000000" w:csb0="400001FF" w:csb1="FFFF0000"/>
  </w:font>
  <w:font w:name="KSOF954951BB">
    <w:panose1 w:val="02010609060101010101"/>
    <w:charset w:val="86"/>
    <w:family w:val="auto"/>
    <w:pitch w:val="default"/>
    <w:sig w:usb0="00000001" w:usb1="00000000" w:usb2="00000000" w:usb3="00000000" w:csb0="0006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BB9FA0">
    <w:pPr>
      <w:pStyle w:val="24"/>
      <w:jc w:val="center"/>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91AC9A">
    <w:pPr>
      <w:pStyle w:val="24"/>
    </w:pPr>
    <w:r>
      <w:rPr>
        <w:rFonts w:hint="eastAsia"/>
        <w:lang w:eastAsia="zh-CN"/>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F57D4A">
    <w:pPr>
      <w:pStyle w:val="24"/>
      <w:jc w:val="center"/>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PAGE   \* MERGEFORMAT</w:instrText>
    </w:r>
    <w:r>
      <w:rPr>
        <w:rFonts w:hint="eastAsia" w:ascii="宋体" w:hAnsi="宋体" w:eastAsia="宋体" w:cs="宋体"/>
      </w:rPr>
      <w:fldChar w:fldCharType="separate"/>
    </w:r>
    <w:r>
      <w:rPr>
        <w:rFonts w:hint="eastAsia" w:ascii="宋体" w:hAnsi="宋体" w:eastAsia="宋体" w:cs="宋体"/>
        <w:lang w:val="zh-CN"/>
      </w:rPr>
      <w:t>6</w:t>
    </w:r>
    <w:r>
      <w:rPr>
        <w:rFonts w:hint="eastAsia" w:ascii="宋体" w:hAnsi="宋体" w:eastAsia="宋体" w:cs="宋体"/>
        <w:lang w:val="zh-CN"/>
      </w:rPr>
      <w:fldChar w:fldCharType="end"/>
    </w:r>
  </w:p>
  <w:p w14:paraId="5D72161D">
    <w:pPr>
      <w:pStyle w:val="2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80BA8A">
    <w:pPr>
      <w:pStyle w:val="24"/>
      <w:jc w:val="center"/>
    </w:pPr>
    <w:r>
      <w:fldChar w:fldCharType="begin"/>
    </w:r>
    <w:r>
      <w:instrText xml:space="preserve">PAGE   \* MERGEFORMAT</w:instrText>
    </w:r>
    <w:r>
      <w:fldChar w:fldCharType="separate"/>
    </w:r>
    <w:r>
      <w:rPr>
        <w:lang w:val="zh-CN"/>
      </w:rPr>
      <w:t>18</w:t>
    </w:r>
    <w:r>
      <w:fldChar w:fldCharType="end"/>
    </w:r>
  </w:p>
  <w:p w14:paraId="77A81B72">
    <w:pPr>
      <w:pStyle w:val="2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95EB0B">
    <w:pPr>
      <w:pStyle w:val="24"/>
      <w:jc w:val="center"/>
      <w:rPr>
        <w:rFonts w:hint="eastAsia" w:ascii="宋体" w:hAnsi="宋体" w:eastAsia="宋体" w:cs="宋体"/>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EA72252">
                          <w:pPr>
                            <w:pStyle w:val="24"/>
                            <w:jc w:val="center"/>
                          </w:pPr>
                          <w:r>
                            <w:rPr>
                              <w:rFonts w:hint="eastAsia" w:ascii="宋体" w:hAnsi="宋体" w:eastAsia="宋体" w:cs="宋体"/>
                            </w:rPr>
                            <w:fldChar w:fldCharType="begin"/>
                          </w:r>
                          <w:r>
                            <w:rPr>
                              <w:rFonts w:hint="eastAsia" w:ascii="宋体" w:hAnsi="宋体" w:eastAsia="宋体" w:cs="宋体"/>
                            </w:rPr>
                            <w:instrText xml:space="preserve">PAGE   \* MERGEFORMAT</w:instrText>
                          </w:r>
                          <w:r>
                            <w:rPr>
                              <w:rFonts w:hint="eastAsia" w:ascii="宋体" w:hAnsi="宋体" w:eastAsia="宋体" w:cs="宋体"/>
                            </w:rPr>
                            <w:fldChar w:fldCharType="separate"/>
                          </w:r>
                          <w:r>
                            <w:rPr>
                              <w:rFonts w:hint="eastAsia" w:ascii="宋体" w:hAnsi="宋体" w:eastAsia="宋体" w:cs="宋体"/>
                              <w:lang w:val="zh-CN"/>
                            </w:rPr>
                            <w:t>6</w:t>
                          </w:r>
                          <w:r>
                            <w:rPr>
                              <w:rFonts w:hint="eastAsia" w:ascii="宋体" w:hAnsi="宋体" w:eastAsia="宋体" w:cs="宋体"/>
                              <w:lang w:val="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zql5uc8AAAAFAQAADwAAAAAAAAABACAAAAAiAAAAZHJzL2Rv&#10;d25yZXYueG1sUEsBAhQAFAAAAAgAh07iQOimN/XRAQAApwMAAA4AAAAAAAAAAQAgAAAAHgEAAGRy&#10;cy9lMm9Eb2MueG1sUEsFBgAAAAAGAAYAWQEAAGEFAAAAAA==&#10;">
              <v:fill on="f" focussize="0,0"/>
              <v:stroke on="f"/>
              <v:imagedata o:title=""/>
              <o:lock v:ext="edit" aspectratio="f"/>
              <v:textbox inset="0mm,0mm,0mm,0mm" style="mso-fit-shape-to-text:t;">
                <w:txbxContent>
                  <w:p w14:paraId="3EA72252">
                    <w:pPr>
                      <w:pStyle w:val="24"/>
                      <w:jc w:val="center"/>
                    </w:pPr>
                    <w:r>
                      <w:rPr>
                        <w:rFonts w:hint="eastAsia" w:ascii="宋体" w:hAnsi="宋体" w:eastAsia="宋体" w:cs="宋体"/>
                      </w:rPr>
                      <w:fldChar w:fldCharType="begin"/>
                    </w:r>
                    <w:r>
                      <w:rPr>
                        <w:rFonts w:hint="eastAsia" w:ascii="宋体" w:hAnsi="宋体" w:eastAsia="宋体" w:cs="宋体"/>
                      </w:rPr>
                      <w:instrText xml:space="preserve">PAGE   \* MERGEFORMAT</w:instrText>
                    </w:r>
                    <w:r>
                      <w:rPr>
                        <w:rFonts w:hint="eastAsia" w:ascii="宋体" w:hAnsi="宋体" w:eastAsia="宋体" w:cs="宋体"/>
                      </w:rPr>
                      <w:fldChar w:fldCharType="separate"/>
                    </w:r>
                    <w:r>
                      <w:rPr>
                        <w:rFonts w:hint="eastAsia" w:ascii="宋体" w:hAnsi="宋体" w:eastAsia="宋体" w:cs="宋体"/>
                        <w:lang w:val="zh-CN"/>
                      </w:rPr>
                      <w:t>6</w:t>
                    </w:r>
                    <w:r>
                      <w:rPr>
                        <w:rFonts w:hint="eastAsia" w:ascii="宋体" w:hAnsi="宋体" w:eastAsia="宋体" w:cs="宋体"/>
                        <w:lang w:val="zh-CN"/>
                      </w:rPr>
                      <w:fldChar w:fldCharType="end"/>
                    </w:r>
                  </w:p>
                </w:txbxContent>
              </v:textbox>
            </v:shape>
          </w:pict>
        </mc:Fallback>
      </mc:AlternateContent>
    </w:r>
  </w:p>
  <w:p w14:paraId="33949FFE">
    <w:pPr>
      <w:pStyle w:val="2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DE8FD">
    <w:pPr>
      <w:pStyle w:val="25"/>
      <w:jc w:val="center"/>
      <w:rPr>
        <w:rFonts w:hint="eastAsia" w:ascii="宋体" w:hAnsi="宋体" w:eastAsia="宋体" w:cs="宋体"/>
        <w:lang w:val="en-US" w:eastAsia="zh-CN"/>
      </w:rPr>
    </w:pPr>
    <w:r>
      <w:rPr>
        <w:rFonts w:hint="eastAsia" w:ascii="宋体" w:hAnsi="宋体" w:eastAsia="宋体" w:cs="宋体"/>
        <w:lang w:val="en-US" w:eastAsia="zh-CN"/>
      </w:rPr>
      <w:t>JSWS-2023GK02</w:t>
    </w:r>
    <w:r>
      <w:rPr>
        <w:rFonts w:hint="eastAsia" w:ascii="宋体" w:hAnsi="宋体" w:cs="宋体"/>
        <w:lang w:val="en-US" w:eastAsia="zh-CN"/>
      </w:rPr>
      <w:t>2</w:t>
    </w:r>
    <w:r>
      <w:rPr>
        <w:rFonts w:hint="eastAsia" w:ascii="宋体" w:hAnsi="宋体" w:eastAsia="宋体" w:cs="宋体"/>
        <w:lang w:val="en-US" w:eastAsia="zh-CN"/>
      </w:rPr>
      <w:t>#                                                 江苏闻韶工程咨询有限公司</w:t>
    </w:r>
  </w:p>
  <w:p w14:paraId="389E8DCA">
    <w:pPr>
      <w:pStyle w:val="2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1F4132">
    <w:pPr>
      <w:pStyle w:val="25"/>
      <w:jc w:val="right"/>
      <w:rPr>
        <w:rFonts w:hint="eastAsia" w:ascii="宋体" w:hAnsi="宋体" w:eastAsia="宋体" w:cs="宋体"/>
        <w:lang w:val="en-US" w:eastAsia="zh-CN"/>
      </w:rPr>
    </w:pPr>
    <w:r>
      <w:rPr>
        <w:rFonts w:hint="eastAsia" w:ascii="宋体" w:hAnsi="宋体" w:eastAsia="宋体" w:cs="宋体"/>
        <w:lang w:val="en-US" w:eastAsia="zh-CN"/>
      </w:rPr>
      <w:t xml:space="preserve">                                     </w:t>
    </w:r>
    <w:r>
      <w:rPr>
        <w:rFonts w:hint="eastAsia" w:ascii="宋体" w:hAnsi="宋体" w:cs="宋体"/>
        <w:lang w:val="en-US" w:eastAsia="zh-CN"/>
      </w:rPr>
      <w:t>江苏志诚工程咨询管理有限公司</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3675D9">
    <w:pPr>
      <w:pStyle w:val="25"/>
      <w:jc w:val="right"/>
    </w:pPr>
    <w:r>
      <w:rPr>
        <w:rFonts w:hint="eastAsia" w:ascii="宋体" w:hAnsi="宋体" w:eastAsia="宋体" w:cs="宋体"/>
        <w:lang w:val="en-US" w:eastAsia="zh-CN"/>
      </w:rPr>
      <w:t xml:space="preserve">                                     </w:t>
    </w:r>
    <w:r>
      <w:rPr>
        <w:rFonts w:hint="eastAsia" w:ascii="宋体" w:hAnsi="宋体" w:cs="宋体"/>
        <w:lang w:val="en-US" w:eastAsia="zh-CN"/>
      </w:rPr>
      <w:t>江苏志诚工程咨询管理有限公司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3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248C179"/>
    <w:multiLevelType w:val="multilevel"/>
    <w:tmpl w:val="0248C179"/>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3D62ECE"/>
    <w:multiLevelType w:val="multilevel"/>
    <w:tmpl w:val="03D62EC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5B654F3"/>
    <w:multiLevelType w:val="multilevel"/>
    <w:tmpl w:val="25B654F3"/>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2A8F537B"/>
    <w:multiLevelType w:val="multilevel"/>
    <w:tmpl w:val="2A8F537B"/>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5A241D34"/>
    <w:multiLevelType w:val="multilevel"/>
    <w:tmpl w:val="5A241D34"/>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72183CF9"/>
    <w:multiLevelType w:val="multilevel"/>
    <w:tmpl w:val="72183CF9"/>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5"/>
  </w:num>
  <w:num w:numId="4">
    <w:abstractNumId w:val="6"/>
  </w:num>
  <w:num w:numId="5">
    <w:abstractNumId w:val="9"/>
  </w:num>
  <w:num w:numId="6">
    <w:abstractNumId w:val="4"/>
  </w:num>
  <w:num w:numId="7">
    <w:abstractNumId w:val="0"/>
  </w:num>
  <w:num w:numId="8">
    <w:abstractNumId w:val="7"/>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45F30"/>
    <w:rsid w:val="001657AA"/>
    <w:rsid w:val="00402FD8"/>
    <w:rsid w:val="00DC7C1D"/>
    <w:rsid w:val="01042CD0"/>
    <w:rsid w:val="015E0632"/>
    <w:rsid w:val="03F84C3D"/>
    <w:rsid w:val="04497378"/>
    <w:rsid w:val="04C81921"/>
    <w:rsid w:val="04DD3F64"/>
    <w:rsid w:val="06113AEC"/>
    <w:rsid w:val="06732D23"/>
    <w:rsid w:val="06C511D1"/>
    <w:rsid w:val="078A2181"/>
    <w:rsid w:val="080715B8"/>
    <w:rsid w:val="09AD65FB"/>
    <w:rsid w:val="0A2D74C1"/>
    <w:rsid w:val="0AA50DCD"/>
    <w:rsid w:val="0B09160F"/>
    <w:rsid w:val="0BFB0E5F"/>
    <w:rsid w:val="0C13423A"/>
    <w:rsid w:val="0C917B0E"/>
    <w:rsid w:val="0CA61B23"/>
    <w:rsid w:val="0D5B011C"/>
    <w:rsid w:val="0E821C25"/>
    <w:rsid w:val="0EA05576"/>
    <w:rsid w:val="0EEE3A44"/>
    <w:rsid w:val="0FAF1719"/>
    <w:rsid w:val="0FE04556"/>
    <w:rsid w:val="106D2640"/>
    <w:rsid w:val="10857989"/>
    <w:rsid w:val="108D683E"/>
    <w:rsid w:val="10CC338E"/>
    <w:rsid w:val="11124F95"/>
    <w:rsid w:val="11556335"/>
    <w:rsid w:val="11A958FA"/>
    <w:rsid w:val="11D5049D"/>
    <w:rsid w:val="123478B9"/>
    <w:rsid w:val="13FC61B5"/>
    <w:rsid w:val="14017276"/>
    <w:rsid w:val="14576D70"/>
    <w:rsid w:val="14C36CD2"/>
    <w:rsid w:val="15681628"/>
    <w:rsid w:val="15C52C71"/>
    <w:rsid w:val="1730282A"/>
    <w:rsid w:val="186C4AC1"/>
    <w:rsid w:val="18846779"/>
    <w:rsid w:val="18A94431"/>
    <w:rsid w:val="19033B41"/>
    <w:rsid w:val="1A0A2507"/>
    <w:rsid w:val="1A27385F"/>
    <w:rsid w:val="1A475CB0"/>
    <w:rsid w:val="1AB1581F"/>
    <w:rsid w:val="1AB377E9"/>
    <w:rsid w:val="1B03607B"/>
    <w:rsid w:val="1B245FF1"/>
    <w:rsid w:val="1B542D7A"/>
    <w:rsid w:val="1D3544E5"/>
    <w:rsid w:val="1DF83E91"/>
    <w:rsid w:val="1E3E7499"/>
    <w:rsid w:val="1E57048B"/>
    <w:rsid w:val="1F0F6D3D"/>
    <w:rsid w:val="1F316F2E"/>
    <w:rsid w:val="1F414C92"/>
    <w:rsid w:val="1F953961"/>
    <w:rsid w:val="20AA6F98"/>
    <w:rsid w:val="20DB53A4"/>
    <w:rsid w:val="20F61D01"/>
    <w:rsid w:val="213A47C0"/>
    <w:rsid w:val="21951093"/>
    <w:rsid w:val="21955F8B"/>
    <w:rsid w:val="21C051C0"/>
    <w:rsid w:val="221B014E"/>
    <w:rsid w:val="229972C4"/>
    <w:rsid w:val="22FA79E5"/>
    <w:rsid w:val="2373644C"/>
    <w:rsid w:val="238B1303"/>
    <w:rsid w:val="25CD79B1"/>
    <w:rsid w:val="26216D23"/>
    <w:rsid w:val="2638095B"/>
    <w:rsid w:val="267047E0"/>
    <w:rsid w:val="274517C9"/>
    <w:rsid w:val="27D56FF1"/>
    <w:rsid w:val="27EE6159"/>
    <w:rsid w:val="29345F99"/>
    <w:rsid w:val="295B63CA"/>
    <w:rsid w:val="29BA35AD"/>
    <w:rsid w:val="29DB65A5"/>
    <w:rsid w:val="2A3D0E7D"/>
    <w:rsid w:val="2B0B4AD7"/>
    <w:rsid w:val="2B4D50F0"/>
    <w:rsid w:val="2BEB60AC"/>
    <w:rsid w:val="2CA156F3"/>
    <w:rsid w:val="2CD07D87"/>
    <w:rsid w:val="2D3447B9"/>
    <w:rsid w:val="2DC01BA9"/>
    <w:rsid w:val="2DD12008"/>
    <w:rsid w:val="2E402CEA"/>
    <w:rsid w:val="2EA83DFB"/>
    <w:rsid w:val="2F0029BF"/>
    <w:rsid w:val="2F487110"/>
    <w:rsid w:val="2F5527C5"/>
    <w:rsid w:val="307F0B1B"/>
    <w:rsid w:val="30E262DA"/>
    <w:rsid w:val="315E713F"/>
    <w:rsid w:val="31A833C8"/>
    <w:rsid w:val="3371744F"/>
    <w:rsid w:val="33AF4B9A"/>
    <w:rsid w:val="34605E94"/>
    <w:rsid w:val="346C2A8B"/>
    <w:rsid w:val="34EF3D1A"/>
    <w:rsid w:val="35736E23"/>
    <w:rsid w:val="35AB313F"/>
    <w:rsid w:val="361B5CC5"/>
    <w:rsid w:val="36874DFF"/>
    <w:rsid w:val="36F17508"/>
    <w:rsid w:val="36FD5C1C"/>
    <w:rsid w:val="36FD79CA"/>
    <w:rsid w:val="375717D0"/>
    <w:rsid w:val="37F94635"/>
    <w:rsid w:val="38325D99"/>
    <w:rsid w:val="384B29B7"/>
    <w:rsid w:val="38CF5396"/>
    <w:rsid w:val="39131727"/>
    <w:rsid w:val="3A2D6818"/>
    <w:rsid w:val="3AC86541"/>
    <w:rsid w:val="3BC82C9D"/>
    <w:rsid w:val="3DBB413B"/>
    <w:rsid w:val="3E216694"/>
    <w:rsid w:val="3E3D5194"/>
    <w:rsid w:val="3F961B94"/>
    <w:rsid w:val="406F1CEC"/>
    <w:rsid w:val="409749EB"/>
    <w:rsid w:val="40E42220"/>
    <w:rsid w:val="41362456"/>
    <w:rsid w:val="4169281B"/>
    <w:rsid w:val="425F778B"/>
    <w:rsid w:val="43291B47"/>
    <w:rsid w:val="44B85878"/>
    <w:rsid w:val="450A0BD9"/>
    <w:rsid w:val="45AC0F39"/>
    <w:rsid w:val="46B5206F"/>
    <w:rsid w:val="46E12E64"/>
    <w:rsid w:val="47AC1C03"/>
    <w:rsid w:val="480A1F47"/>
    <w:rsid w:val="4873065F"/>
    <w:rsid w:val="4885562E"/>
    <w:rsid w:val="48C22822"/>
    <w:rsid w:val="49271F07"/>
    <w:rsid w:val="496E4757"/>
    <w:rsid w:val="498B70B7"/>
    <w:rsid w:val="499441BE"/>
    <w:rsid w:val="49975A5C"/>
    <w:rsid w:val="4A1452FF"/>
    <w:rsid w:val="4A370FED"/>
    <w:rsid w:val="4A606796"/>
    <w:rsid w:val="4AB16FF2"/>
    <w:rsid w:val="4B0B4954"/>
    <w:rsid w:val="4B7047B7"/>
    <w:rsid w:val="4D305A03"/>
    <w:rsid w:val="4D5A571F"/>
    <w:rsid w:val="4D682527"/>
    <w:rsid w:val="4D9B0DDE"/>
    <w:rsid w:val="4DCB2178"/>
    <w:rsid w:val="4EA30A85"/>
    <w:rsid w:val="4ECB4450"/>
    <w:rsid w:val="4EDA02A0"/>
    <w:rsid w:val="4F075432"/>
    <w:rsid w:val="4F846A83"/>
    <w:rsid w:val="504736F2"/>
    <w:rsid w:val="50811214"/>
    <w:rsid w:val="514A7858"/>
    <w:rsid w:val="51581F75"/>
    <w:rsid w:val="51786173"/>
    <w:rsid w:val="52C8340A"/>
    <w:rsid w:val="53A45945"/>
    <w:rsid w:val="54D0457D"/>
    <w:rsid w:val="54FE2E33"/>
    <w:rsid w:val="55320D2F"/>
    <w:rsid w:val="55821CB6"/>
    <w:rsid w:val="558A2919"/>
    <w:rsid w:val="55D63DB0"/>
    <w:rsid w:val="55E93AE3"/>
    <w:rsid w:val="56505911"/>
    <w:rsid w:val="56581723"/>
    <w:rsid w:val="56963721"/>
    <w:rsid w:val="56F976B0"/>
    <w:rsid w:val="573568B4"/>
    <w:rsid w:val="57462870"/>
    <w:rsid w:val="57F66044"/>
    <w:rsid w:val="583D3C73"/>
    <w:rsid w:val="58831FCD"/>
    <w:rsid w:val="58D36385"/>
    <w:rsid w:val="59701E26"/>
    <w:rsid w:val="59B85CA7"/>
    <w:rsid w:val="59CC1752"/>
    <w:rsid w:val="5A6C515F"/>
    <w:rsid w:val="5A7616BE"/>
    <w:rsid w:val="5AB87F28"/>
    <w:rsid w:val="5BE7274E"/>
    <w:rsid w:val="5BEA5EBF"/>
    <w:rsid w:val="5BED59B0"/>
    <w:rsid w:val="5C0C052C"/>
    <w:rsid w:val="5CC11316"/>
    <w:rsid w:val="5D485594"/>
    <w:rsid w:val="5D680459"/>
    <w:rsid w:val="617701F5"/>
    <w:rsid w:val="620D2908"/>
    <w:rsid w:val="621A6DD3"/>
    <w:rsid w:val="62BB6808"/>
    <w:rsid w:val="64381A24"/>
    <w:rsid w:val="64AB615A"/>
    <w:rsid w:val="65A157A3"/>
    <w:rsid w:val="65B84987"/>
    <w:rsid w:val="663E7534"/>
    <w:rsid w:val="66636F9A"/>
    <w:rsid w:val="676254A4"/>
    <w:rsid w:val="686139AD"/>
    <w:rsid w:val="68680898"/>
    <w:rsid w:val="687F3E33"/>
    <w:rsid w:val="68B57855"/>
    <w:rsid w:val="68EB3277"/>
    <w:rsid w:val="69B53FB1"/>
    <w:rsid w:val="69BA3375"/>
    <w:rsid w:val="69C5152E"/>
    <w:rsid w:val="69E95A08"/>
    <w:rsid w:val="6A4F389E"/>
    <w:rsid w:val="6A537326"/>
    <w:rsid w:val="6ABC311D"/>
    <w:rsid w:val="6C0A7EB8"/>
    <w:rsid w:val="6C6819F2"/>
    <w:rsid w:val="6CB14F24"/>
    <w:rsid w:val="6CD7423E"/>
    <w:rsid w:val="6D371181"/>
    <w:rsid w:val="6D5F7F84"/>
    <w:rsid w:val="6E5042A8"/>
    <w:rsid w:val="6E8E4DD0"/>
    <w:rsid w:val="6F2B0871"/>
    <w:rsid w:val="6F4656AB"/>
    <w:rsid w:val="6F5E29F5"/>
    <w:rsid w:val="6FA67EF8"/>
    <w:rsid w:val="6FE50A20"/>
    <w:rsid w:val="6FFB3443"/>
    <w:rsid w:val="71614A1E"/>
    <w:rsid w:val="71BE3C1E"/>
    <w:rsid w:val="71F413EE"/>
    <w:rsid w:val="73797DFD"/>
    <w:rsid w:val="739E1612"/>
    <w:rsid w:val="744762DA"/>
    <w:rsid w:val="7496504C"/>
    <w:rsid w:val="74AC35B3"/>
    <w:rsid w:val="75DC31DD"/>
    <w:rsid w:val="76215A7B"/>
    <w:rsid w:val="767C6D83"/>
    <w:rsid w:val="76B455F0"/>
    <w:rsid w:val="76CD220E"/>
    <w:rsid w:val="77650AE9"/>
    <w:rsid w:val="77A318EC"/>
    <w:rsid w:val="77BA09E4"/>
    <w:rsid w:val="77D25D2E"/>
    <w:rsid w:val="78393FFF"/>
    <w:rsid w:val="78617DC0"/>
    <w:rsid w:val="7904460D"/>
    <w:rsid w:val="794B3C50"/>
    <w:rsid w:val="79D76532"/>
    <w:rsid w:val="7A457898"/>
    <w:rsid w:val="7A513882"/>
    <w:rsid w:val="7A635363"/>
    <w:rsid w:val="7B18614D"/>
    <w:rsid w:val="7BCB1412"/>
    <w:rsid w:val="7BF5648F"/>
    <w:rsid w:val="7D032E2D"/>
    <w:rsid w:val="7D0A25CA"/>
    <w:rsid w:val="7D0E6BEE"/>
    <w:rsid w:val="7D586CD5"/>
    <w:rsid w:val="7E01736D"/>
    <w:rsid w:val="7E1A02C5"/>
    <w:rsid w:val="7E90249F"/>
    <w:rsid w:val="7F4D213E"/>
    <w:rsid w:val="7FA36202"/>
    <w:rsid w:val="7FD60385"/>
    <w:rsid w:val="7FE407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nhideWhenUsed="0" w:uiPriority="0"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qFormat/>
    <w:uiPriority w:val="9"/>
    <w:pPr>
      <w:keepNext/>
      <w:keepLines/>
      <w:spacing w:before="340" w:after="330" w:line="578" w:lineRule="auto"/>
      <w:outlineLvl w:val="0"/>
    </w:pPr>
    <w:rPr>
      <w:b/>
      <w:bCs/>
      <w:sz w:val="44"/>
      <w:szCs w:val="44"/>
    </w:rPr>
  </w:style>
  <w:style w:type="paragraph" w:styleId="3">
    <w:name w:val="heading 2"/>
    <w:basedOn w:val="1"/>
    <w:next w:val="4"/>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paragraph" w:styleId="6">
    <w:name w:val="heading 4"/>
    <w:basedOn w:val="1"/>
    <w:next w:val="1"/>
    <w:link w:val="48"/>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9"/>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0"/>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2"/>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3"/>
    <w:unhideWhenUsed/>
    <w:qFormat/>
    <w:uiPriority w:val="9"/>
    <w:pPr>
      <w:keepNext/>
      <w:keepLines/>
      <w:spacing w:before="320" w:after="200"/>
      <w:outlineLvl w:val="8"/>
    </w:pPr>
    <w:rPr>
      <w:rFonts w:ascii="Arial" w:hAnsi="Arial" w:eastAsia="Arial" w:cs="Arial"/>
      <w:i/>
      <w:iCs/>
      <w:sz w:val="21"/>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4">
    <w:name w:val="Normal Indent"/>
    <w:basedOn w:val="1"/>
    <w:unhideWhenUsed/>
    <w:qFormat/>
    <w:uiPriority w:val="0"/>
    <w:pPr>
      <w:ind w:firstLine="420"/>
    </w:p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4">
    <w:name w:val="annotation text"/>
    <w:basedOn w:val="1"/>
    <w:qFormat/>
    <w:uiPriority w:val="0"/>
    <w:pPr>
      <w:jc w:val="left"/>
    </w:pPr>
  </w:style>
  <w:style w:type="paragraph" w:styleId="15">
    <w:name w:val="Body Text"/>
    <w:basedOn w:val="1"/>
    <w:qFormat/>
    <w:uiPriority w:val="0"/>
    <w:rPr>
      <w:rFonts w:ascii="楷体_GB2312" w:hAnsi="Arial" w:eastAsia="楷体_GB2312"/>
      <w:sz w:val="28"/>
      <w:szCs w:val="28"/>
    </w:rPr>
  </w:style>
  <w:style w:type="paragraph" w:styleId="16">
    <w:name w:val="Body Text Indent"/>
    <w:basedOn w:val="1"/>
    <w:unhideWhenUsed/>
    <w:qFormat/>
    <w:uiPriority w:val="99"/>
    <w:pPr>
      <w:spacing w:after="120"/>
      <w:ind w:left="420"/>
    </w:pPr>
  </w:style>
  <w:style w:type="paragraph" w:styleId="17">
    <w:name w:val="index 4"/>
    <w:basedOn w:val="1"/>
    <w:next w:val="1"/>
    <w:unhideWhenUsed/>
    <w:qFormat/>
    <w:uiPriority w:val="99"/>
    <w:pPr>
      <w:ind w:left="600"/>
    </w:pPr>
    <w:rPr>
      <w:rFonts w:asciiTheme="minorHAnsi" w:hAnsiTheme="minorHAnsi" w:eastAsiaTheme="minorEastAsia" w:cstheme="minorBidi"/>
      <w:szCs w:val="22"/>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Plain Text"/>
    <w:basedOn w:val="1"/>
    <w:qFormat/>
    <w:uiPriority w:val="99"/>
    <w:rPr>
      <w:rFonts w:ascii="宋体" w:hAnsi="Courier New"/>
      <w:sz w:val="20"/>
      <w:szCs w:val="21"/>
    </w:rPr>
  </w:style>
  <w:style w:type="paragraph" w:styleId="21">
    <w:name w:val="toc 8"/>
    <w:basedOn w:val="1"/>
    <w:next w:val="1"/>
    <w:unhideWhenUsed/>
    <w:qFormat/>
    <w:uiPriority w:val="39"/>
    <w:pPr>
      <w:spacing w:after="57"/>
      <w:ind w:left="1984" w:right="0" w:firstLine="0"/>
    </w:pPr>
  </w:style>
  <w:style w:type="paragraph" w:styleId="22">
    <w:name w:val="endnote text"/>
    <w:basedOn w:val="1"/>
    <w:link w:val="190"/>
    <w:semiHidden/>
    <w:unhideWhenUsed/>
    <w:qFormat/>
    <w:uiPriority w:val="99"/>
    <w:pPr>
      <w:spacing w:after="0" w:line="240" w:lineRule="auto"/>
    </w:pPr>
    <w:rPr>
      <w:sz w:val="20"/>
    </w:rPr>
  </w:style>
  <w:style w:type="paragraph" w:styleId="23">
    <w:name w:val="Balloon Text"/>
    <w:basedOn w:val="1"/>
    <w:link w:val="195"/>
    <w:qFormat/>
    <w:uiPriority w:val="0"/>
    <w:rPr>
      <w:sz w:val="18"/>
      <w:szCs w:val="18"/>
    </w:rPr>
  </w:style>
  <w:style w:type="paragraph" w:styleId="24">
    <w:name w:val="footer"/>
    <w:basedOn w:val="1"/>
    <w:unhideWhenUsed/>
    <w:qFormat/>
    <w:uiPriority w:val="99"/>
    <w:pPr>
      <w:tabs>
        <w:tab w:val="center" w:pos="4153"/>
        <w:tab w:val="right" w:pos="8306"/>
      </w:tabs>
      <w:jc w:val="left"/>
    </w:pPr>
    <w:rPr>
      <w:sz w:val="18"/>
      <w:szCs w:val="18"/>
    </w:rPr>
  </w:style>
  <w:style w:type="paragraph" w:styleId="25">
    <w:name w:val="header"/>
    <w:basedOn w:val="1"/>
    <w:unhideWhenUsed/>
    <w:qFormat/>
    <w:uiPriority w:val="99"/>
    <w:pPr>
      <w:pBdr>
        <w:bottom w:val="single" w:color="auto" w:sz="6" w:space="1"/>
      </w:pBdr>
      <w:tabs>
        <w:tab w:val="center" w:pos="4153"/>
        <w:tab w:val="right" w:pos="8306"/>
      </w:tabs>
      <w:jc w:val="center"/>
    </w:pPr>
    <w:rPr>
      <w:sz w:val="18"/>
      <w:szCs w:val="18"/>
    </w:rPr>
  </w:style>
  <w:style w:type="paragraph" w:styleId="26">
    <w:name w:val="toc 1"/>
    <w:basedOn w:val="1"/>
    <w:next w:val="1"/>
    <w:unhideWhenUsed/>
    <w:qFormat/>
    <w:uiPriority w:val="39"/>
  </w:style>
  <w:style w:type="paragraph" w:styleId="27">
    <w:name w:val="toc 4"/>
    <w:basedOn w:val="1"/>
    <w:next w:val="1"/>
    <w:unhideWhenUsed/>
    <w:qFormat/>
    <w:uiPriority w:val="39"/>
    <w:pPr>
      <w:spacing w:after="57"/>
      <w:ind w:left="850" w:right="0" w:firstLine="0"/>
    </w:pPr>
  </w:style>
  <w:style w:type="paragraph" w:styleId="28">
    <w:name w:val="Subtitle"/>
    <w:basedOn w:val="1"/>
    <w:next w:val="1"/>
    <w:link w:val="56"/>
    <w:qFormat/>
    <w:uiPriority w:val="11"/>
    <w:pPr>
      <w:spacing w:before="200" w:after="200"/>
    </w:pPr>
    <w:rPr>
      <w:sz w:val="24"/>
      <w:szCs w:val="24"/>
    </w:rPr>
  </w:style>
  <w:style w:type="paragraph" w:styleId="29">
    <w:name w:val="footnote text"/>
    <w:basedOn w:val="1"/>
    <w:link w:val="189"/>
    <w:semiHidden/>
    <w:unhideWhenUsed/>
    <w:qFormat/>
    <w:uiPriority w:val="99"/>
    <w:pPr>
      <w:spacing w:after="40" w:line="240" w:lineRule="auto"/>
    </w:pPr>
    <w:rPr>
      <w:sz w:val="18"/>
    </w:rPr>
  </w:style>
  <w:style w:type="paragraph" w:styleId="30">
    <w:name w:val="toc 6"/>
    <w:basedOn w:val="1"/>
    <w:next w:val="1"/>
    <w:unhideWhenUsed/>
    <w:qFormat/>
    <w:uiPriority w:val="39"/>
    <w:pPr>
      <w:spacing w:after="57"/>
      <w:ind w:left="1417" w:right="0" w:firstLine="0"/>
    </w:pPr>
  </w:style>
  <w:style w:type="paragraph" w:styleId="31">
    <w:name w:val="table of figures"/>
    <w:basedOn w:val="1"/>
    <w:next w:val="1"/>
    <w:unhideWhenUsed/>
    <w:qFormat/>
    <w:uiPriority w:val="99"/>
    <w:pPr>
      <w:spacing w:after="0" w:afterAutospacing="0"/>
    </w:pPr>
  </w:style>
  <w:style w:type="paragraph" w:styleId="32">
    <w:name w:val="toc 2"/>
    <w:basedOn w:val="1"/>
    <w:next w:val="1"/>
    <w:qFormat/>
    <w:uiPriority w:val="0"/>
    <w:pPr>
      <w:ind w:left="420"/>
    </w:pPr>
  </w:style>
  <w:style w:type="paragraph" w:styleId="33">
    <w:name w:val="toc 9"/>
    <w:basedOn w:val="1"/>
    <w:next w:val="1"/>
    <w:unhideWhenUsed/>
    <w:qFormat/>
    <w:uiPriority w:val="39"/>
    <w:pPr>
      <w:spacing w:after="57"/>
      <w:ind w:left="2268" w:right="0" w:firstLine="0"/>
    </w:pPr>
  </w:style>
  <w:style w:type="paragraph" w:styleId="34">
    <w:name w:val="Normal (Web)"/>
    <w:basedOn w:val="1"/>
    <w:qFormat/>
    <w:uiPriority w:val="0"/>
    <w:rPr>
      <w:rFonts w:ascii="Times New Roman" w:hAnsi="Times New Roman"/>
      <w:sz w:val="24"/>
    </w:rPr>
  </w:style>
  <w:style w:type="paragraph" w:styleId="35">
    <w:name w:val="Title"/>
    <w:basedOn w:val="1"/>
    <w:next w:val="1"/>
    <w:link w:val="55"/>
    <w:qFormat/>
    <w:uiPriority w:val="10"/>
    <w:pPr>
      <w:spacing w:before="300" w:after="200"/>
      <w:contextualSpacing/>
    </w:pPr>
    <w:rPr>
      <w:sz w:val="48"/>
      <w:szCs w:val="48"/>
    </w:rPr>
  </w:style>
  <w:style w:type="paragraph" w:styleId="36">
    <w:name w:val="Body Text First Indent 2"/>
    <w:basedOn w:val="16"/>
    <w:qFormat/>
    <w:uiPriority w:val="0"/>
    <w:pPr>
      <w:spacing w:after="0" w:line="360" w:lineRule="auto"/>
      <w:ind w:left="0" w:firstLine="420"/>
    </w:pPr>
    <w:rPr>
      <w:rFonts w:ascii="宋体" w:hAnsi="宋体"/>
      <w:sz w:val="20"/>
      <w:szCs w:val="20"/>
    </w:rPr>
  </w:style>
  <w:style w:type="table" w:styleId="38">
    <w:name w:val="Table Grid"/>
    <w:basedOn w:val="37"/>
    <w:qFormat/>
    <w:uiPriority w:val="0"/>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Strong"/>
    <w:qFormat/>
    <w:uiPriority w:val="0"/>
    <w:rPr>
      <w:b/>
    </w:rPr>
  </w:style>
  <w:style w:type="character" w:styleId="41">
    <w:name w:val="endnote reference"/>
    <w:basedOn w:val="39"/>
    <w:semiHidden/>
    <w:unhideWhenUsed/>
    <w:qFormat/>
    <w:uiPriority w:val="99"/>
    <w:rPr>
      <w:vertAlign w:val="superscript"/>
    </w:rPr>
  </w:style>
  <w:style w:type="character" w:styleId="42">
    <w:name w:val="Hyperlink"/>
    <w:unhideWhenUsed/>
    <w:qFormat/>
    <w:uiPriority w:val="99"/>
    <w:rPr>
      <w:color w:val="0563C1" w:themeColor="hyperlink"/>
      <w:u w:val="single"/>
      <w14:textFill>
        <w14:solidFill>
          <w14:schemeClr w14:val="hlink"/>
        </w14:solidFill>
      </w14:textFill>
    </w:rPr>
  </w:style>
  <w:style w:type="character" w:styleId="43">
    <w:name w:val="annotation reference"/>
    <w:basedOn w:val="39"/>
    <w:qFormat/>
    <w:uiPriority w:val="0"/>
    <w:rPr>
      <w:sz w:val="21"/>
      <w:szCs w:val="21"/>
    </w:rPr>
  </w:style>
  <w:style w:type="character" w:styleId="44">
    <w:name w:val="footnote reference"/>
    <w:basedOn w:val="39"/>
    <w:unhideWhenUsed/>
    <w:qFormat/>
    <w:uiPriority w:val="99"/>
    <w:rPr>
      <w:vertAlign w:val="superscript"/>
    </w:rPr>
  </w:style>
  <w:style w:type="character" w:customStyle="1" w:styleId="45">
    <w:name w:val="Heading 1 Char"/>
    <w:basedOn w:val="39"/>
    <w:qFormat/>
    <w:uiPriority w:val="9"/>
    <w:rPr>
      <w:rFonts w:ascii="Arial" w:hAnsi="Arial" w:eastAsia="Arial" w:cs="Arial"/>
      <w:sz w:val="40"/>
      <w:szCs w:val="40"/>
    </w:rPr>
  </w:style>
  <w:style w:type="character" w:customStyle="1" w:styleId="46">
    <w:name w:val="Heading 2 Char"/>
    <w:basedOn w:val="39"/>
    <w:qFormat/>
    <w:uiPriority w:val="9"/>
    <w:rPr>
      <w:rFonts w:ascii="Arial" w:hAnsi="Arial" w:eastAsia="Arial" w:cs="Arial"/>
      <w:sz w:val="34"/>
    </w:rPr>
  </w:style>
  <w:style w:type="character" w:customStyle="1" w:styleId="47">
    <w:name w:val="Heading 3 Char"/>
    <w:basedOn w:val="39"/>
    <w:qFormat/>
    <w:uiPriority w:val="9"/>
    <w:rPr>
      <w:rFonts w:ascii="Arial" w:hAnsi="Arial" w:eastAsia="Arial" w:cs="Arial"/>
      <w:sz w:val="30"/>
      <w:szCs w:val="30"/>
    </w:rPr>
  </w:style>
  <w:style w:type="character" w:customStyle="1" w:styleId="48">
    <w:name w:val="Heading 4 Char"/>
    <w:basedOn w:val="39"/>
    <w:link w:val="6"/>
    <w:qFormat/>
    <w:uiPriority w:val="9"/>
    <w:rPr>
      <w:rFonts w:ascii="Arial" w:hAnsi="Arial" w:eastAsia="Arial" w:cs="Arial"/>
      <w:b/>
      <w:bCs/>
      <w:sz w:val="26"/>
      <w:szCs w:val="26"/>
    </w:rPr>
  </w:style>
  <w:style w:type="character" w:customStyle="1" w:styleId="49">
    <w:name w:val="Heading 5 Char"/>
    <w:basedOn w:val="39"/>
    <w:link w:val="7"/>
    <w:qFormat/>
    <w:uiPriority w:val="9"/>
    <w:rPr>
      <w:rFonts w:ascii="Arial" w:hAnsi="Arial" w:eastAsia="Arial" w:cs="Arial"/>
      <w:b/>
      <w:bCs/>
      <w:sz w:val="24"/>
      <w:szCs w:val="24"/>
    </w:rPr>
  </w:style>
  <w:style w:type="character" w:customStyle="1" w:styleId="50">
    <w:name w:val="Heading 6 Char"/>
    <w:basedOn w:val="39"/>
    <w:link w:val="8"/>
    <w:qFormat/>
    <w:uiPriority w:val="9"/>
    <w:rPr>
      <w:rFonts w:ascii="Arial" w:hAnsi="Arial" w:eastAsia="Arial" w:cs="Arial"/>
      <w:b/>
      <w:bCs/>
      <w:sz w:val="22"/>
      <w:szCs w:val="22"/>
    </w:rPr>
  </w:style>
  <w:style w:type="character" w:customStyle="1" w:styleId="51">
    <w:name w:val="Heading 7 Char"/>
    <w:basedOn w:val="39"/>
    <w:link w:val="9"/>
    <w:qFormat/>
    <w:uiPriority w:val="9"/>
    <w:rPr>
      <w:rFonts w:ascii="Arial" w:hAnsi="Arial" w:eastAsia="Arial" w:cs="Arial"/>
      <w:b/>
      <w:bCs/>
      <w:i/>
      <w:iCs/>
      <w:sz w:val="22"/>
      <w:szCs w:val="22"/>
    </w:rPr>
  </w:style>
  <w:style w:type="character" w:customStyle="1" w:styleId="52">
    <w:name w:val="Heading 8 Char"/>
    <w:basedOn w:val="39"/>
    <w:link w:val="10"/>
    <w:qFormat/>
    <w:uiPriority w:val="9"/>
    <w:rPr>
      <w:rFonts w:ascii="Arial" w:hAnsi="Arial" w:eastAsia="Arial" w:cs="Arial"/>
      <w:i/>
      <w:iCs/>
      <w:sz w:val="22"/>
      <w:szCs w:val="22"/>
    </w:rPr>
  </w:style>
  <w:style w:type="character" w:customStyle="1" w:styleId="53">
    <w:name w:val="Heading 9 Char"/>
    <w:basedOn w:val="39"/>
    <w:link w:val="11"/>
    <w:qFormat/>
    <w:uiPriority w:val="9"/>
    <w:rPr>
      <w:rFonts w:ascii="Arial" w:hAnsi="Arial" w:eastAsia="Arial" w:cs="Arial"/>
      <w:i/>
      <w:iCs/>
      <w:sz w:val="21"/>
      <w:szCs w:val="21"/>
    </w:rPr>
  </w:style>
  <w:style w:type="paragraph" w:styleId="54">
    <w:name w:val="No Spacing"/>
    <w:qFormat/>
    <w:uiPriority w:val="1"/>
    <w:pPr>
      <w:spacing w:before="0" w:after="0" w:line="240" w:lineRule="auto"/>
    </w:pPr>
    <w:rPr>
      <w:rFonts w:hint="default" w:ascii="Times New Roman" w:hAnsi="Times New Roman" w:eastAsia="宋体" w:cs="Times New Roman"/>
    </w:rPr>
  </w:style>
  <w:style w:type="character" w:customStyle="1" w:styleId="55">
    <w:name w:val="Title Char"/>
    <w:basedOn w:val="39"/>
    <w:link w:val="35"/>
    <w:qFormat/>
    <w:uiPriority w:val="10"/>
    <w:rPr>
      <w:sz w:val="48"/>
      <w:szCs w:val="48"/>
    </w:rPr>
  </w:style>
  <w:style w:type="character" w:customStyle="1" w:styleId="56">
    <w:name w:val="Subtitle Char"/>
    <w:basedOn w:val="39"/>
    <w:link w:val="28"/>
    <w:qFormat/>
    <w:uiPriority w:val="11"/>
    <w:rPr>
      <w:sz w:val="24"/>
      <w:szCs w:val="24"/>
    </w:rPr>
  </w:style>
  <w:style w:type="paragraph" w:styleId="57">
    <w:name w:val="Quote"/>
    <w:basedOn w:val="1"/>
    <w:next w:val="1"/>
    <w:link w:val="58"/>
    <w:qFormat/>
    <w:uiPriority w:val="29"/>
    <w:pPr>
      <w:ind w:left="720" w:right="720"/>
    </w:pPr>
    <w:rPr>
      <w:i/>
    </w:rPr>
  </w:style>
  <w:style w:type="character" w:customStyle="1" w:styleId="58">
    <w:name w:val="Quote Char"/>
    <w:link w:val="57"/>
    <w:qFormat/>
    <w:uiPriority w:val="29"/>
    <w:rPr>
      <w:i/>
    </w:rPr>
  </w:style>
  <w:style w:type="paragraph" w:styleId="59">
    <w:name w:val="Intense Quote"/>
    <w:basedOn w:val="1"/>
    <w:next w:val="1"/>
    <w:link w:val="6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0">
    <w:name w:val="Intense Quote Char"/>
    <w:link w:val="59"/>
    <w:qFormat/>
    <w:uiPriority w:val="30"/>
    <w:rPr>
      <w:i/>
    </w:rPr>
  </w:style>
  <w:style w:type="character" w:customStyle="1" w:styleId="61">
    <w:name w:val="Header Char"/>
    <w:basedOn w:val="39"/>
    <w:qFormat/>
    <w:uiPriority w:val="99"/>
  </w:style>
  <w:style w:type="character" w:customStyle="1" w:styleId="62">
    <w:name w:val="Footer Char"/>
    <w:basedOn w:val="39"/>
    <w:qFormat/>
    <w:uiPriority w:val="99"/>
  </w:style>
  <w:style w:type="character" w:customStyle="1" w:styleId="63">
    <w:name w:val="Caption Char"/>
    <w:qFormat/>
    <w:uiPriority w:val="99"/>
  </w:style>
  <w:style w:type="table" w:customStyle="1" w:styleId="64">
    <w:name w:val="Table Grid Light"/>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5">
    <w:name w:val="Plain Table 1"/>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6">
    <w:name w:val="Plain Table 2"/>
    <w:basedOn w:val="37"/>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7">
    <w:name w:val="Plain Table 3"/>
    <w:basedOn w:val="37"/>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4"/>
    <w:basedOn w:val="37"/>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5"/>
    <w:basedOn w:val="37"/>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Grid Table 1 Light"/>
    <w:basedOn w:val="37"/>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1">
    <w:name w:val="Grid Table 1 Light - Accent 1"/>
    <w:basedOn w:val="37"/>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2">
    <w:name w:val="Grid Table 1 Light - Accent 2"/>
    <w:basedOn w:val="37"/>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3">
    <w:name w:val="Grid Table 1 Light - Accent 3"/>
    <w:basedOn w:val="37"/>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4">
    <w:name w:val="Grid Table 1 Light - Accent 4"/>
    <w:basedOn w:val="37"/>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5">
    <w:name w:val="Grid Table 1 Light - Accent 5"/>
    <w:basedOn w:val="37"/>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76">
    <w:name w:val="Grid Table 1 Light - Accent 6"/>
    <w:basedOn w:val="37"/>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7">
    <w:name w:val="Grid Table 2"/>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2 - Accent 1"/>
    <w:basedOn w:val="37"/>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79">
    <w:name w:val="Grid Table 2 - Accent 2"/>
    <w:basedOn w:val="37"/>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0">
    <w:name w:val="Grid Table 2 - Accent 3"/>
    <w:basedOn w:val="37"/>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1">
    <w:name w:val="Grid Table 2 - Accent 4"/>
    <w:basedOn w:val="37"/>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2">
    <w:name w:val="Grid Table 2 - Accent 5"/>
    <w:basedOn w:val="37"/>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3">
    <w:name w:val="Grid Table 2 - Accent 6"/>
    <w:basedOn w:val="37"/>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4">
    <w:name w:val="Grid Table 3"/>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3 - Accent 1"/>
    <w:basedOn w:val="37"/>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6">
    <w:name w:val="Grid Table 3 - Accent 2"/>
    <w:basedOn w:val="37"/>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7">
    <w:name w:val="Grid Table 3 - Accent 3"/>
    <w:basedOn w:val="37"/>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8">
    <w:name w:val="Grid Table 3 - Accent 4"/>
    <w:basedOn w:val="37"/>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9">
    <w:name w:val="Grid Table 3 - Accent 5"/>
    <w:basedOn w:val="37"/>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0">
    <w:name w:val="Grid Table 3 - Accent 6"/>
    <w:basedOn w:val="37"/>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1">
    <w:name w:val="Grid Table 4"/>
    <w:basedOn w:val="37"/>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4 - Accent 1"/>
    <w:basedOn w:val="37"/>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3">
    <w:name w:val="Grid Table 4 - Accent 2"/>
    <w:basedOn w:val="37"/>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4">
    <w:name w:val="Grid Table 4 - Accent 3"/>
    <w:basedOn w:val="37"/>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5">
    <w:name w:val="Grid Table 4 - Accent 4"/>
    <w:basedOn w:val="37"/>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6">
    <w:name w:val="Grid Table 4 - Accent 5"/>
    <w:basedOn w:val="37"/>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7">
    <w:name w:val="Grid Table 4 - Accent 6"/>
    <w:basedOn w:val="37"/>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8">
    <w:name w:val="Grid Table 5 Dark"/>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9">
    <w:name w:val="Grid Table 5 Dark- Accent 1"/>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0">
    <w:name w:val="Grid Table 5 Dark - Accent 2"/>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1">
    <w:name w:val="Grid Table 5 Dark - Accent 3"/>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2">
    <w:name w:val="Grid Table 5 Dark- Accent 4"/>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3">
    <w:name w:val="Grid Table 5 Dark - Accent 5"/>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4">
    <w:name w:val="Grid Table 5 Dark - Accent 6"/>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5">
    <w:name w:val="Grid Table 6 Colorful"/>
    <w:basedOn w:val="37"/>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6 Colorful - Accent 1"/>
    <w:basedOn w:val="37"/>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7">
    <w:name w:val="Grid Table 6 Colorful - Accent 2"/>
    <w:basedOn w:val="37"/>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8">
    <w:name w:val="Grid Table 6 Colorful - Accent 3"/>
    <w:basedOn w:val="37"/>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09">
    <w:name w:val="Grid Table 6 Colorful - Accent 4"/>
    <w:basedOn w:val="37"/>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0">
    <w:name w:val="Grid Table 6 Colorful - Accent 5"/>
    <w:basedOn w:val="37"/>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1">
    <w:name w:val="Grid Table 6 Colorful - Accent 6"/>
    <w:basedOn w:val="37"/>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2">
    <w:name w:val="Grid Table 7 Colorful"/>
    <w:basedOn w:val="37"/>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3">
    <w:name w:val="Grid Table 7 Colorful - Accent 1"/>
    <w:basedOn w:val="37"/>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4">
    <w:name w:val="Grid Table 7 Colorful - Accent 2"/>
    <w:basedOn w:val="37"/>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5">
    <w:name w:val="Grid Table 7 Colorful - Accent 3"/>
    <w:basedOn w:val="37"/>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6">
    <w:name w:val="Grid Table 7 Colorful - Accent 4"/>
    <w:basedOn w:val="37"/>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7">
    <w:name w:val="Grid Table 7 Colorful - Accent 5"/>
    <w:basedOn w:val="37"/>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8">
    <w:name w:val="Grid Table 7 Colorful - Accent 6"/>
    <w:basedOn w:val="37"/>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19">
    <w:name w:val="List Table 1 Light"/>
    <w:basedOn w:val="37"/>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0">
    <w:name w:val="List Table 1 Light - Accent 1"/>
    <w:basedOn w:val="37"/>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1">
    <w:name w:val="List Table 1 Light - Accent 2"/>
    <w:basedOn w:val="37"/>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2">
    <w:name w:val="List Table 1 Light - Accent 3"/>
    <w:basedOn w:val="37"/>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3">
    <w:name w:val="List Table 1 Light - Accent 4"/>
    <w:basedOn w:val="37"/>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4">
    <w:name w:val="List Table 1 Light - Accent 5"/>
    <w:basedOn w:val="37"/>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5">
    <w:name w:val="List Table 1 Light - Accent 6"/>
    <w:basedOn w:val="37"/>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6">
    <w:name w:val="List Table 2"/>
    <w:basedOn w:val="37"/>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7">
    <w:name w:val="List Table 2 - Accent 1"/>
    <w:basedOn w:val="37"/>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28">
    <w:name w:val="List Table 2 - Accent 2"/>
    <w:basedOn w:val="37"/>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29">
    <w:name w:val="List Table 2 - Accent 3"/>
    <w:basedOn w:val="37"/>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0">
    <w:name w:val="List Table 2 - Accent 4"/>
    <w:basedOn w:val="37"/>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1">
    <w:name w:val="List Table 2 - Accent 5"/>
    <w:basedOn w:val="37"/>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2">
    <w:name w:val="List Table 2 - Accent 6"/>
    <w:basedOn w:val="37"/>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3">
    <w:name w:val="List Table 3"/>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4">
    <w:name w:val="List Table 3 - Accent 1"/>
    <w:basedOn w:val="37"/>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5">
    <w:name w:val="List Table 3 - Accent 2"/>
    <w:basedOn w:val="37"/>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6">
    <w:name w:val="List Table 3 - Accent 3"/>
    <w:basedOn w:val="37"/>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7">
    <w:name w:val="List Table 3 - Accent 4"/>
    <w:basedOn w:val="37"/>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38">
    <w:name w:val="List Table 3 - Accent 5"/>
    <w:basedOn w:val="37"/>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39">
    <w:name w:val="List Table 3 - Accent 6"/>
    <w:basedOn w:val="37"/>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0">
    <w:name w:val="List Table 4"/>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1">
    <w:name w:val="List Table 4 - Accent 1"/>
    <w:basedOn w:val="37"/>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2">
    <w:name w:val="List Table 4 - Accent 2"/>
    <w:basedOn w:val="37"/>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3">
    <w:name w:val="List Table 4 - Accent 3"/>
    <w:basedOn w:val="37"/>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4">
    <w:name w:val="List Table 4 - Accent 4"/>
    <w:basedOn w:val="37"/>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5">
    <w:name w:val="List Table 4 - Accent 5"/>
    <w:basedOn w:val="37"/>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6">
    <w:name w:val="List Table 4 - Accent 6"/>
    <w:basedOn w:val="37"/>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7">
    <w:name w:val="List Table 5 Dark"/>
    <w:basedOn w:val="37"/>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8">
    <w:name w:val="List Table 5 Dark - Accent 1"/>
    <w:basedOn w:val="37"/>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49">
    <w:name w:val="List Table 5 Dark - Accent 2"/>
    <w:basedOn w:val="37"/>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0">
    <w:name w:val="List Table 5 Dark - Accent 3"/>
    <w:basedOn w:val="37"/>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1">
    <w:name w:val="List Table 5 Dark - Accent 4"/>
    <w:basedOn w:val="37"/>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2">
    <w:name w:val="List Table 5 Dark - Accent 5"/>
    <w:basedOn w:val="37"/>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3">
    <w:name w:val="List Table 5 Dark - Accent 6"/>
    <w:basedOn w:val="37"/>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4">
    <w:name w:val="List Table 6 Colorful"/>
    <w:basedOn w:val="37"/>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5">
    <w:name w:val="List Table 6 Colorful - Accent 1"/>
    <w:basedOn w:val="37"/>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6">
    <w:name w:val="List Table 6 Colorful - Accent 2"/>
    <w:basedOn w:val="37"/>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7">
    <w:name w:val="List Table 6 Colorful - Accent 3"/>
    <w:basedOn w:val="37"/>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8">
    <w:name w:val="List Table 6 Colorful - Accent 4"/>
    <w:basedOn w:val="37"/>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9">
    <w:name w:val="List Table 6 Colorful - Accent 5"/>
    <w:basedOn w:val="37"/>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0">
    <w:name w:val="List Table 6 Colorful - Accent 6"/>
    <w:basedOn w:val="37"/>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1">
    <w:name w:val="List Table 7 Colorful"/>
    <w:basedOn w:val="37"/>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2">
    <w:name w:val="List Table 7 Colorful - Accent 1"/>
    <w:basedOn w:val="37"/>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3">
    <w:name w:val="List Table 7 Colorful - Accent 2"/>
    <w:basedOn w:val="37"/>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4">
    <w:name w:val="List Table 7 Colorful - Accent 3"/>
    <w:basedOn w:val="37"/>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5">
    <w:name w:val="List Table 7 Colorful - Accent 4"/>
    <w:basedOn w:val="37"/>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6">
    <w:name w:val="List Table 7 Colorful - Accent 5"/>
    <w:basedOn w:val="37"/>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7">
    <w:name w:val="List Table 7 Colorful - Accent 6"/>
    <w:basedOn w:val="37"/>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8">
    <w:name w:val="Lined - Accent"/>
    <w:basedOn w:val="37"/>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Lined - Accent 1"/>
    <w:basedOn w:val="37"/>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0">
    <w:name w:val="Lined - Accent 2"/>
    <w:basedOn w:val="37"/>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1">
    <w:name w:val="Lined - Accent 3"/>
    <w:basedOn w:val="37"/>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2">
    <w:name w:val="Lined - Accent 4"/>
    <w:basedOn w:val="37"/>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3">
    <w:name w:val="Lined - Accent 5"/>
    <w:basedOn w:val="37"/>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4">
    <w:name w:val="Lined - Accent 6"/>
    <w:basedOn w:val="37"/>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5">
    <w:name w:val="Bordered &amp; Lined - Accent"/>
    <w:basedOn w:val="37"/>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6">
    <w:name w:val="Bordered &amp; Lined - Accent 1"/>
    <w:basedOn w:val="37"/>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7">
    <w:name w:val="Bordered &amp; Lined - Accent 2"/>
    <w:basedOn w:val="37"/>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8">
    <w:name w:val="Bordered &amp; Lined - Accent 3"/>
    <w:basedOn w:val="37"/>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9">
    <w:name w:val="Bordered &amp; Lined - Accent 4"/>
    <w:basedOn w:val="37"/>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0">
    <w:name w:val="Bordered &amp; Lined - Accent 5"/>
    <w:basedOn w:val="37"/>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1">
    <w:name w:val="Bordered &amp; Lined - Accent 6"/>
    <w:basedOn w:val="37"/>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2">
    <w:name w:val="Bordered"/>
    <w:basedOn w:val="37"/>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3">
    <w:name w:val="Bordered - Accent 1"/>
    <w:basedOn w:val="37"/>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4">
    <w:name w:val="Bordered - Accent 2"/>
    <w:basedOn w:val="37"/>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5">
    <w:name w:val="Bordered - Accent 3"/>
    <w:basedOn w:val="37"/>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6">
    <w:name w:val="Bordered - Accent 4"/>
    <w:basedOn w:val="37"/>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7">
    <w:name w:val="Bordered - Accent 5"/>
    <w:basedOn w:val="37"/>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88">
    <w:name w:val="Bordered - Accent 6"/>
    <w:basedOn w:val="37"/>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89">
    <w:name w:val="Footnote Text Char"/>
    <w:link w:val="29"/>
    <w:qFormat/>
    <w:uiPriority w:val="99"/>
    <w:rPr>
      <w:sz w:val="18"/>
    </w:rPr>
  </w:style>
  <w:style w:type="character" w:customStyle="1" w:styleId="190">
    <w:name w:val="Endnote Text Char"/>
    <w:link w:val="22"/>
    <w:qFormat/>
    <w:uiPriority w:val="99"/>
    <w:rPr>
      <w:sz w:val="20"/>
    </w:rPr>
  </w:style>
  <w:style w:type="paragraph" w:customStyle="1" w:styleId="191">
    <w:name w:val="TOC Heading"/>
    <w:unhideWhenUsed/>
    <w:qFormat/>
    <w:uiPriority w:val="39"/>
    <w:rPr>
      <w:rFonts w:hint="default" w:ascii="Times New Roman" w:hAnsi="Times New Roman" w:eastAsia="宋体" w:cs="Times New Roman"/>
    </w:rPr>
  </w:style>
  <w:style w:type="paragraph" w:customStyle="1" w:styleId="192">
    <w:name w:val="正文（缩进）"/>
    <w:basedOn w:val="1"/>
    <w:qFormat/>
    <w:uiPriority w:val="99"/>
    <w:pPr>
      <w:spacing w:before="156" w:after="156"/>
      <w:ind w:firstLine="480"/>
    </w:pPr>
  </w:style>
  <w:style w:type="paragraph" w:customStyle="1" w:styleId="193">
    <w:name w:val="普通正文"/>
    <w:basedOn w:val="1"/>
    <w:qFormat/>
    <w:uiPriority w:val="0"/>
    <w:pPr>
      <w:spacing w:before="120" w:after="120" w:line="360" w:lineRule="auto"/>
      <w:ind w:firstLine="480"/>
      <w:jc w:val="left"/>
    </w:pPr>
    <w:rPr>
      <w:rFonts w:ascii="Arial" w:hAnsi="Arial"/>
      <w:sz w:val="24"/>
      <w:szCs w:val="24"/>
    </w:rPr>
  </w:style>
  <w:style w:type="paragraph" w:customStyle="1" w:styleId="194">
    <w:name w:val="Char"/>
    <w:basedOn w:val="1"/>
    <w:qFormat/>
    <w:uiPriority w:val="0"/>
    <w:pPr>
      <w:tabs>
        <w:tab w:val="left" w:pos="360"/>
      </w:tabs>
      <w:ind w:firstLine="200"/>
    </w:pPr>
    <w:rPr>
      <w:rFonts w:ascii="Times New Roman" w:hAnsi="Times New Roman"/>
      <w:sz w:val="28"/>
      <w:szCs w:val="30"/>
    </w:rPr>
  </w:style>
  <w:style w:type="character" w:customStyle="1" w:styleId="195">
    <w:name w:val="批注框文本 Char"/>
    <w:basedOn w:val="39"/>
    <w:link w:val="23"/>
    <w:qFormat/>
    <w:uiPriority w:val="0"/>
    <w:rPr>
      <w:sz w:val="18"/>
      <w:szCs w:val="18"/>
    </w:rPr>
  </w:style>
  <w:style w:type="paragraph" w:customStyle="1" w:styleId="196">
    <w:name w:val="正文1"/>
    <w:basedOn w:val="1"/>
    <w:next w:val="197"/>
    <w:qFormat/>
    <w:uiPriority w:val="0"/>
    <w:pPr>
      <w:spacing w:line="360" w:lineRule="atLeast"/>
      <w:jc w:val="left"/>
    </w:pPr>
    <w:rPr>
      <w:rFonts w:ascii="宋体" w:hAnsiTheme="minorHAnsi" w:eastAsiaTheme="minorEastAsia" w:cstheme="minorBidi"/>
      <w:sz w:val="24"/>
      <w:szCs w:val="20"/>
    </w:rPr>
  </w:style>
  <w:style w:type="paragraph" w:customStyle="1" w:styleId="197">
    <w:name w:val="正文文本1"/>
    <w:basedOn w:val="196"/>
    <w:next w:val="198"/>
    <w:qFormat/>
    <w:uiPriority w:val="0"/>
    <w:pPr>
      <w:spacing w:after="120"/>
    </w:pPr>
    <w:rPr>
      <w:lang w:eastAsia="en-US"/>
    </w:rPr>
  </w:style>
  <w:style w:type="paragraph" w:customStyle="1" w:styleId="198">
    <w:name w:val="一级条标题"/>
    <w:basedOn w:val="199"/>
    <w:next w:val="200"/>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199">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200">
    <w:name w:val="段"/>
    <w:basedOn w:val="196"/>
    <w:next w:val="1"/>
    <w:qFormat/>
    <w:uiPriority w:val="0"/>
    <w:pPr>
      <w:widowControl/>
      <w:ind w:firstLine="200"/>
    </w:pPr>
    <w:rPr>
      <w:sz w:val="20"/>
    </w:rPr>
  </w:style>
  <w:style w:type="paragraph" w:customStyle="1" w:styleId="201">
    <w:name w:val="正文缩进1"/>
    <w:basedOn w:val="1"/>
    <w:qFormat/>
    <w:uiPriority w:val="99"/>
    <w:pPr>
      <w:ind w:firstLine="420"/>
    </w:pPr>
  </w:style>
  <w:style w:type="paragraph" w:styleId="202">
    <w:name w:val="List Paragraph"/>
    <w:basedOn w:val="1"/>
    <w:qFormat/>
    <w:uiPriority w:val="34"/>
    <w:pPr>
      <w:widowControl/>
      <w:ind w:left="720" w:firstLine="360"/>
      <w:contextualSpacing/>
      <w:jc w:val="left"/>
    </w:pPr>
    <w:rPr>
      <w:sz w:val="22"/>
      <w:lang w:eastAsia="en-US" w:bidi="en-US"/>
    </w:rPr>
  </w:style>
  <w:style w:type="table" w:customStyle="1" w:styleId="203">
    <w:name w:val="网格型2"/>
    <w:basedOn w:val="37"/>
    <w:qFormat/>
    <w:uiPriority w:val="3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204">
    <w:name w:val="NormalCharacter"/>
    <w:qFormat/>
    <w:uiPriority w:val="0"/>
  </w:style>
  <w:style w:type="paragraph" w:customStyle="1" w:styleId="205">
    <w:name w:val="UserStyle_6"/>
    <w:qFormat/>
    <w:uiPriority w:val="0"/>
    <w:rPr>
      <w:rFonts w:hint="default" w:ascii="宋体" w:hAnsi="Calibri" w:eastAsia="宋体" w:cstheme="minorBidi"/>
      <w:color w:val="000000"/>
      <w:sz w:val="24"/>
      <w:szCs w:val="24"/>
      <w:lang w:val="en-US" w:eastAsia="zh-CN" w:bidi="ar-SA"/>
    </w:rPr>
  </w:style>
  <w:style w:type="paragraph" w:customStyle="1" w:styleId="206">
    <w:name w:val="纯文本1"/>
    <w:basedOn w:val="1"/>
    <w:unhideWhenUsed/>
    <w:qFormat/>
    <w:uiPriority w:val="99"/>
    <w:rPr>
      <w:rFonts w:ascii="宋体" w:hAnsi="Courier New"/>
      <w:sz w:val="20"/>
      <w:szCs w:val="20"/>
      <w:lang w:eastAsia="en-US"/>
    </w:rPr>
  </w:style>
  <w:style w:type="paragraph" w:customStyle="1" w:styleId="207">
    <w:name w:val="纯文本11"/>
    <w:basedOn w:val="196"/>
    <w:qFormat/>
    <w:uiPriority w:val="0"/>
    <w:rPr>
      <w:rFonts w:hAnsi="Courier New"/>
      <w:sz w:val="20"/>
      <w:szCs w:val="21"/>
    </w:rPr>
  </w:style>
  <w:style w:type="character" w:customStyle="1" w:styleId="208">
    <w:name w:val="font51"/>
    <w:basedOn w:val="39"/>
    <w:qFormat/>
    <w:uiPriority w:val="0"/>
    <w:rPr>
      <w:rFonts w:hint="default" w:ascii="default" w:hAnsi="default" w:eastAsia="default" w:cs="default"/>
      <w:color w:val="000000"/>
      <w:sz w:val="20"/>
      <w:szCs w:val="20"/>
      <w:u w:val="none"/>
    </w:rPr>
  </w:style>
  <w:style w:type="character" w:customStyle="1" w:styleId="209">
    <w:name w:val="font112"/>
    <w:basedOn w:val="39"/>
    <w:qFormat/>
    <w:uiPriority w:val="0"/>
    <w:rPr>
      <w:rFonts w:hint="eastAsia" w:ascii="宋体" w:hAnsi="宋体" w:eastAsia="宋体" w:cs="宋体"/>
      <w:color w:val="000000"/>
      <w:sz w:val="20"/>
      <w:szCs w:val="20"/>
      <w:u w:val="none"/>
    </w:rPr>
  </w:style>
  <w:style w:type="character" w:customStyle="1" w:styleId="210">
    <w:name w:val="font11"/>
    <w:basedOn w:val="39"/>
    <w:qFormat/>
    <w:uiPriority w:val="0"/>
    <w:rPr>
      <w:rFonts w:hint="eastAsia" w:ascii="宋体" w:hAnsi="宋体" w:eastAsia="宋体" w:cs="宋体"/>
      <w:color w:val="000000"/>
      <w:sz w:val="20"/>
      <w:szCs w:val="20"/>
      <w:u w:val="none"/>
    </w:rPr>
  </w:style>
  <w:style w:type="character" w:customStyle="1" w:styleId="211">
    <w:name w:val="font71"/>
    <w:basedOn w:val="39"/>
    <w:qFormat/>
    <w:uiPriority w:val="0"/>
    <w:rPr>
      <w:rFonts w:hint="eastAsia" w:ascii="宋体" w:hAnsi="宋体" w:eastAsia="宋体" w:cs="宋体"/>
      <w:color w:val="000000"/>
      <w:sz w:val="20"/>
      <w:szCs w:val="20"/>
      <w:u w:val="none"/>
    </w:rPr>
  </w:style>
  <w:style w:type="character" w:customStyle="1" w:styleId="212">
    <w:name w:val="font61"/>
    <w:basedOn w:val="39"/>
    <w:qFormat/>
    <w:uiPriority w:val="0"/>
    <w:rPr>
      <w:rFonts w:hint="default" w:ascii="default" w:hAnsi="default" w:eastAsia="default" w:cs="default"/>
      <w:color w:val="000000"/>
      <w:sz w:val="20"/>
      <w:szCs w:val="20"/>
      <w:u w:val="none"/>
    </w:rPr>
  </w:style>
  <w:style w:type="paragraph" w:customStyle="1" w:styleId="213">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214">
    <w:name w:val="列出段落1"/>
    <w:basedOn w:val="1"/>
    <w:qFormat/>
    <w:uiPriority w:val="0"/>
    <w:pPr>
      <w:widowControl/>
      <w:ind w:left="720"/>
      <w:contextualSpacing/>
      <w:jc w:val="left"/>
    </w:pPr>
    <w:rPr>
      <w:rFonts w:ascii="Calibri" w:hAnsi="Calibri"/>
      <w:sz w:val="24"/>
      <w:szCs w:val="24"/>
      <w:lang w:eastAsia="en-US" w:bidi="en-US"/>
    </w:rPr>
  </w:style>
  <w:style w:type="character" w:customStyle="1" w:styleId="215">
    <w:name w:val="font141"/>
    <w:basedOn w:val="39"/>
    <w:qFormat/>
    <w:uiPriority w:val="0"/>
    <w:rPr>
      <w:rFonts w:hint="default" w:ascii="Times New Roman" w:hAnsi="Times New Roman" w:cs="Times New Roman"/>
      <w:color w:val="000000"/>
      <w:sz w:val="20"/>
      <w:szCs w:val="20"/>
      <w:u w:val="none"/>
    </w:rPr>
  </w:style>
  <w:style w:type="character" w:customStyle="1" w:styleId="216">
    <w:name w:val="font21"/>
    <w:basedOn w:val="39"/>
    <w:qFormat/>
    <w:uiPriority w:val="0"/>
    <w:rPr>
      <w:rFonts w:hint="eastAsia" w:ascii="宋体" w:hAnsi="宋体" w:eastAsia="宋体" w:cs="宋体"/>
      <w:color w:val="000000"/>
      <w:sz w:val="20"/>
      <w:szCs w:val="20"/>
      <w:u w:val="none"/>
    </w:rPr>
  </w:style>
  <w:style w:type="character" w:customStyle="1" w:styleId="217">
    <w:name w:val="font151"/>
    <w:basedOn w:val="39"/>
    <w:qFormat/>
    <w:uiPriority w:val="0"/>
    <w:rPr>
      <w:rFonts w:hint="default" w:ascii="Times New Roman" w:hAnsi="Times New Roman" w:cs="Times New Roman"/>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9" Type="http://schemas.openxmlformats.org/officeDocument/2006/relationships/fontTable" Target="fontTable.xml"/><Relationship Id="rId58" Type="http://schemas.openxmlformats.org/officeDocument/2006/relationships/numbering" Target="numbering.xml"/><Relationship Id="rId57" Type="http://schemas.openxmlformats.org/officeDocument/2006/relationships/customXml" Target="../customXml/item1.xml"/><Relationship Id="rId56" Type="http://schemas.openxmlformats.org/officeDocument/2006/relationships/image" Target="media/image45.png"/><Relationship Id="rId55" Type="http://schemas.openxmlformats.org/officeDocument/2006/relationships/image" Target="media/image44.png"/><Relationship Id="rId54" Type="http://schemas.openxmlformats.org/officeDocument/2006/relationships/image" Target="media/image43.png"/><Relationship Id="rId53" Type="http://schemas.openxmlformats.org/officeDocument/2006/relationships/image" Target="media/image42.png"/><Relationship Id="rId52" Type="http://schemas.openxmlformats.org/officeDocument/2006/relationships/image" Target="media/image41.png"/><Relationship Id="rId51" Type="http://schemas.openxmlformats.org/officeDocument/2006/relationships/image" Target="media/image40.png"/><Relationship Id="rId50" Type="http://schemas.openxmlformats.org/officeDocument/2006/relationships/image" Target="media/image39.png"/><Relationship Id="rId5" Type="http://schemas.openxmlformats.org/officeDocument/2006/relationships/footer" Target="footer1.xml"/><Relationship Id="rId49" Type="http://schemas.openxmlformats.org/officeDocument/2006/relationships/image" Target="media/image38.png"/><Relationship Id="rId48" Type="http://schemas.openxmlformats.org/officeDocument/2006/relationships/image" Target="media/image37.png"/><Relationship Id="rId47" Type="http://schemas.openxmlformats.org/officeDocument/2006/relationships/image" Target="media/image36.png"/><Relationship Id="rId46" Type="http://schemas.openxmlformats.org/officeDocument/2006/relationships/image" Target="media/image35.png"/><Relationship Id="rId45" Type="http://schemas.openxmlformats.org/officeDocument/2006/relationships/image" Target="media/image34.png"/><Relationship Id="rId44" Type="http://schemas.openxmlformats.org/officeDocument/2006/relationships/image" Target="media/image33.png"/><Relationship Id="rId43" Type="http://schemas.openxmlformats.org/officeDocument/2006/relationships/image" Target="media/image32.png"/><Relationship Id="rId42" Type="http://schemas.openxmlformats.org/officeDocument/2006/relationships/image" Target="media/image31.png"/><Relationship Id="rId41" Type="http://schemas.openxmlformats.org/officeDocument/2006/relationships/image" Target="media/image30.png"/><Relationship Id="rId40" Type="http://schemas.openxmlformats.org/officeDocument/2006/relationships/image" Target="media/image29.png"/><Relationship Id="rId4" Type="http://schemas.openxmlformats.org/officeDocument/2006/relationships/header" Target="header2.xml"/><Relationship Id="rId39" Type="http://schemas.openxmlformats.org/officeDocument/2006/relationships/image" Target="media/image28.png"/><Relationship Id="rId38" Type="http://schemas.openxmlformats.org/officeDocument/2006/relationships/image" Target="media/image27.png"/><Relationship Id="rId37" Type="http://schemas.openxmlformats.org/officeDocument/2006/relationships/image" Target="media/image26.png"/><Relationship Id="rId36" Type="http://schemas.openxmlformats.org/officeDocument/2006/relationships/image" Target="media/image25.png"/><Relationship Id="rId35" Type="http://schemas.openxmlformats.org/officeDocument/2006/relationships/image" Target="media/image24.png"/><Relationship Id="rId34" Type="http://schemas.openxmlformats.org/officeDocument/2006/relationships/image" Target="media/image23.png"/><Relationship Id="rId33" Type="http://schemas.openxmlformats.org/officeDocument/2006/relationships/image" Target="media/image22.png"/><Relationship Id="rId32" Type="http://schemas.openxmlformats.org/officeDocument/2006/relationships/image" Target="media/image21.png"/><Relationship Id="rId31" Type="http://schemas.openxmlformats.org/officeDocument/2006/relationships/image" Target="media/image20.png"/><Relationship Id="rId30" Type="http://schemas.openxmlformats.org/officeDocument/2006/relationships/image" Target="media/image19.png"/><Relationship Id="rId3" Type="http://schemas.openxmlformats.org/officeDocument/2006/relationships/header" Target="header1.xml"/><Relationship Id="rId29" Type="http://schemas.openxmlformats.org/officeDocument/2006/relationships/image" Target="media/image18.png"/><Relationship Id="rId28" Type="http://schemas.openxmlformats.org/officeDocument/2006/relationships/image" Target="media/image17.png"/><Relationship Id="rId27" Type="http://schemas.openxmlformats.org/officeDocument/2006/relationships/image" Target="media/image16.png"/><Relationship Id="rId26" Type="http://schemas.openxmlformats.org/officeDocument/2006/relationships/image" Target="media/image15.png"/><Relationship Id="rId25" Type="http://schemas.openxmlformats.org/officeDocument/2006/relationships/image" Target="media/image14.png"/><Relationship Id="rId24" Type="http://schemas.openxmlformats.org/officeDocument/2006/relationships/image" Target="media/image13.png"/><Relationship Id="rId23" Type="http://schemas.openxmlformats.org/officeDocument/2006/relationships/image" Target="media/image12.png"/><Relationship Id="rId22" Type="http://schemas.openxmlformats.org/officeDocument/2006/relationships/image" Target="media/image11.png"/><Relationship Id="rId21" Type="http://schemas.openxmlformats.org/officeDocument/2006/relationships/image" Target="media/image10.png"/><Relationship Id="rId20" Type="http://schemas.openxmlformats.org/officeDocument/2006/relationships/image" Target="media/image9.png"/><Relationship Id="rId2" Type="http://schemas.openxmlformats.org/officeDocument/2006/relationships/settings" Target="settings.xml"/><Relationship Id="rId19" Type="http://schemas.openxmlformats.org/officeDocument/2006/relationships/image" Target="media/image8.png"/><Relationship Id="rId18" Type="http://schemas.openxmlformats.org/officeDocument/2006/relationships/image" Target="media/image7.png"/><Relationship Id="rId17" Type="http://schemas.openxmlformats.org/officeDocument/2006/relationships/image" Target="media/image6.png"/><Relationship Id="rId16" Type="http://schemas.openxmlformats.org/officeDocument/2006/relationships/image" Target="media/image5.png"/><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HP</Company>
  <Pages>89</Pages>
  <Words>12888</Words>
  <Characters>14092</Characters>
  <TotalTime>42</TotalTime>
  <ScaleCrop>false</ScaleCrop>
  <LinksUpToDate>false</LinksUpToDate>
  <CharactersWithSpaces>14555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19905</dc:creator>
  <cp:lastModifiedBy>Captain AJS</cp:lastModifiedBy>
  <cp:lastPrinted>2025-08-11T03:18:00Z</cp:lastPrinted>
  <dcterms:modified xsi:type="dcterms:W3CDTF">2026-03-11T09:41:36Z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5EC74C68BAF447D4A8DCFA9027632FBF_13</vt:lpwstr>
  </property>
  <property fmtid="{D5CDD505-2E9C-101B-9397-08002B2CF9AE}" pid="4" name="KSOTemplateDocerSaveRecord">
    <vt:lpwstr>eyJoZGlkIjoiY2U4MzJhNWE1YjRmNmQ1ZjA3ZTI4Yzg5YmFmNjQ4NDUiLCJ1c2VySWQiOiIzNzg2Mzc1NjAifQ==</vt:lpwstr>
  </property>
</Properties>
</file>