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7CAAC">
      <w:pPr>
        <w:keepNext w:val="0"/>
        <w:keepLines w:val="0"/>
        <w:pageBreakBefore w:val="0"/>
        <w:kinsoku/>
        <w:wordWrap/>
        <w:overflowPunct/>
        <w:topLinePunct w:val="0"/>
        <w:bidi w:val="0"/>
        <w:snapToGrid w:val="0"/>
        <w:spacing w:line="587" w:lineRule="exact"/>
        <w:jc w:val="both"/>
        <w:textAlignment w:val="baseline"/>
        <w:outlineLvl w:val="9"/>
        <w:rPr>
          <w:rFonts w:hint="eastAsia" w:ascii="仿宋" w:hAnsi="仿宋" w:eastAsia="仿宋" w:cs="仿宋"/>
          <w:sz w:val="24"/>
          <w:szCs w:val="24"/>
        </w:rPr>
      </w:pPr>
      <w:r>
        <mc:AlternateContent>
          <mc:Choice Requires="wpg">
            <w:drawing>
              <wp:anchor distT="0" distB="0" distL="114300" distR="114300" simplePos="0" relativeHeight="251660288" behindDoc="0" locked="0" layoutInCell="1" allowOverlap="1">
                <wp:simplePos x="0" y="0"/>
                <wp:positionH relativeFrom="column">
                  <wp:posOffset>-119380</wp:posOffset>
                </wp:positionH>
                <wp:positionV relativeFrom="paragraph">
                  <wp:posOffset>-571500</wp:posOffset>
                </wp:positionV>
                <wp:extent cx="5713095" cy="7806055"/>
                <wp:effectExtent l="0" t="0" r="0" b="0"/>
                <wp:wrapNone/>
                <wp:docPr id="9" name="组合 9"/>
                <wp:cNvGraphicFramePr/>
                <a:graphic xmlns:a="http://schemas.openxmlformats.org/drawingml/2006/main">
                  <a:graphicData uri="http://schemas.microsoft.com/office/word/2010/wordprocessingGroup">
                    <wpg:wgp>
                      <wpg:cNvGrpSpPr/>
                      <wpg:grpSpPr>
                        <a:xfrm>
                          <a:off x="0" y="0"/>
                          <a:ext cx="5713095" cy="7806055"/>
                          <a:chOff x="15626" y="670"/>
                          <a:chExt cx="9461" cy="8318"/>
                        </a:xfrm>
                      </wpg:grpSpPr>
                      <wps:wsp>
                        <wps:cNvPr id="1" name="文本框 1"/>
                        <wps:cNvSpPr txBox="1"/>
                        <wps:spPr>
                          <a:xfrm>
                            <a:off x="16539" y="4141"/>
                            <a:ext cx="8325" cy="2220"/>
                          </a:xfrm>
                          <a:prstGeom prst="rect">
                            <a:avLst/>
                          </a:prstGeom>
                          <a:noFill/>
                          <a:ln w="6350">
                            <a:noFill/>
                          </a:ln>
                        </wps:spPr>
                        <wps:txbx>
                          <w:txbxContent>
                            <w:p w14:paraId="7A4896E2">
                              <w:pPr>
                                <w:jc w:val="center"/>
                                <w:rPr>
                                  <w:rFonts w:hint="eastAsia" w:ascii="微软雅黑" w:hAnsi="微软雅黑" w:eastAsia="微软雅黑" w:cs="微软雅黑"/>
                                  <w:sz w:val="48"/>
                                  <w:szCs w:val="48"/>
                                </w:rPr>
                              </w:pPr>
                              <w:r>
                                <w:rPr>
                                  <w:rFonts w:hint="eastAsia" w:ascii="微软雅黑" w:hAnsi="微软雅黑" w:eastAsia="微软雅黑" w:cs="微软雅黑"/>
                                  <w:sz w:val="48"/>
                                  <w:szCs w:val="48"/>
                                </w:rPr>
                                <w:t>第</w:t>
                              </w:r>
                              <w:r>
                                <w:rPr>
                                  <w:rFonts w:hint="eastAsia" w:ascii="微软雅黑" w:hAnsi="微软雅黑" w:eastAsia="微软雅黑" w:cs="微软雅黑"/>
                                  <w:sz w:val="48"/>
                                  <w:szCs w:val="48"/>
                                  <w:lang w:val="en-US" w:eastAsia="zh-CN"/>
                                </w:rPr>
                                <w:t>六</w:t>
                              </w:r>
                              <w:r>
                                <w:rPr>
                                  <w:rFonts w:hint="eastAsia" w:ascii="微软雅黑" w:hAnsi="微软雅黑" w:eastAsia="微软雅黑" w:cs="微软雅黑"/>
                                  <w:sz w:val="48"/>
                                  <w:szCs w:val="48"/>
                                </w:rPr>
                                <w:t>届中国国际消费品博览会</w:t>
                              </w:r>
                            </w:p>
                            <w:p w14:paraId="543F8C69">
                              <w:pPr>
                                <w:jc w:val="center"/>
                                <w:rPr>
                                  <w:rFonts w:hint="eastAsia" w:ascii="微软雅黑" w:hAnsi="微软雅黑" w:eastAsia="微软雅黑" w:cs="微软雅黑"/>
                                  <w:sz w:val="48"/>
                                  <w:szCs w:val="48"/>
                                </w:rPr>
                              </w:pPr>
                              <w:r>
                                <w:rPr>
                                  <w:rFonts w:hint="eastAsia" w:ascii="微软雅黑" w:hAnsi="微软雅黑" w:eastAsia="微软雅黑" w:cs="微软雅黑"/>
                                  <w:sz w:val="48"/>
                                  <w:szCs w:val="48"/>
                                </w:rPr>
                                <w:t>江苏展区</w:t>
                              </w:r>
                              <w:r>
                                <w:rPr>
                                  <w:rFonts w:hint="eastAsia" w:ascii="微软雅黑" w:hAnsi="微软雅黑" w:eastAsia="微软雅黑" w:cs="微软雅黑"/>
                                  <w:sz w:val="48"/>
                                  <w:szCs w:val="48"/>
                                  <w:lang w:val="en-US" w:eastAsia="zh-CN"/>
                                </w:rPr>
                                <w:t>服务</w:t>
                              </w:r>
                              <w:r>
                                <w:rPr>
                                  <w:rFonts w:hint="eastAsia" w:ascii="微软雅黑" w:hAnsi="微软雅黑" w:eastAsia="微软雅黑" w:cs="微软雅黑"/>
                                  <w:sz w:val="48"/>
                                  <w:szCs w:val="48"/>
                                </w:rPr>
                                <w:t>合同</w:t>
                              </w:r>
                            </w:p>
                          </w:txbxContent>
                        </wps:txbx>
                        <wps:bodyPr upright="1"/>
                      </wps:wsp>
                      <wps:wsp>
                        <wps:cNvPr id="2" name="文本框 2"/>
                        <wps:cNvSpPr txBox="1"/>
                        <wps:spPr>
                          <a:xfrm>
                            <a:off x="15626" y="670"/>
                            <a:ext cx="2854" cy="990"/>
                          </a:xfrm>
                          <a:prstGeom prst="rect">
                            <a:avLst/>
                          </a:prstGeom>
                          <a:noFill/>
                          <a:ln w="6350">
                            <a:noFill/>
                          </a:ln>
                        </wps:spPr>
                        <wps:txbx>
                          <w:txbxContent>
                            <w:p w14:paraId="5E0FE56B">
                              <w:pPr>
                                <w:rPr>
                                  <w:rFonts w:ascii="微软雅黑" w:hAnsi="微软雅黑" w:eastAsia="微软雅黑" w:cs="微软雅黑"/>
                                  <w:b/>
                                  <w:bCs/>
                                  <w:color w:val="FFFFFF"/>
                                  <w:sz w:val="40"/>
                                  <w:szCs w:val="48"/>
                                </w:rPr>
                              </w:pPr>
                              <w:r>
                                <w:rPr>
                                  <w:rFonts w:hint="eastAsia" w:ascii="微软雅黑" w:hAnsi="微软雅黑" w:eastAsia="微软雅黑" w:cs="微软雅黑"/>
                                  <w:b/>
                                  <w:bCs/>
                                  <w:color w:val="FFFFFF"/>
                                  <w:sz w:val="40"/>
                                  <w:szCs w:val="48"/>
                                </w:rPr>
                                <w:t>LOGO</w:t>
                              </w:r>
                            </w:p>
                          </w:txbxContent>
                        </wps:txbx>
                        <wps:bodyPr upright="1"/>
                      </wps:wsp>
                      <wpg:grpSp>
                        <wpg:cNvPr id="5" name="组合 5"/>
                        <wpg:cNvGrpSpPr/>
                        <wpg:grpSpPr>
                          <a:xfrm>
                            <a:off x="17138" y="7416"/>
                            <a:ext cx="5569" cy="1036"/>
                            <a:chOff x="11116" y="7416"/>
                            <a:chExt cx="5569" cy="1036"/>
                          </a:xfrm>
                        </wpg:grpSpPr>
                        <wps:wsp>
                          <wps:cNvPr id="3" name="文本框 3"/>
                          <wps:cNvSpPr txBox="1"/>
                          <wps:spPr>
                            <a:xfrm>
                              <a:off x="11116" y="7416"/>
                              <a:ext cx="5174" cy="1036"/>
                            </a:xfrm>
                            <a:prstGeom prst="rect">
                              <a:avLst/>
                            </a:prstGeom>
                            <a:noFill/>
                            <a:ln w="6350">
                              <a:noFill/>
                            </a:ln>
                          </wps:spPr>
                          <wps:txbx>
                            <w:txbxContent>
                              <w:p w14:paraId="3C15CDDC">
                                <w:pPr>
                                  <w:jc w:val="left"/>
                                  <w:rPr>
                                    <w:rFonts w:ascii="微软雅黑" w:hAnsi="微软雅黑" w:eastAsia="微软雅黑" w:cs="微软雅黑"/>
                                    <w:sz w:val="32"/>
                                    <w:szCs w:val="32"/>
                                  </w:rPr>
                                </w:pPr>
                                <w:r>
                                  <w:rPr>
                                    <w:rFonts w:hint="eastAsia" w:ascii="微软雅黑" w:hAnsi="微软雅黑" w:eastAsia="微软雅黑" w:cs="微软雅黑"/>
                                    <w:sz w:val="32"/>
                                    <w:szCs w:val="32"/>
                                  </w:rPr>
                                  <w:t>甲 方：江苏省商务厅</w:t>
                                </w:r>
                              </w:p>
                            </w:txbxContent>
                          </wps:txbx>
                          <wps:bodyPr upright="1"/>
                        </wps:wsp>
                        <wps:wsp>
                          <wps:cNvPr id="4" name="直接连接符 4"/>
                          <wps:cNvCnPr/>
                          <wps:spPr>
                            <a:xfrm>
                              <a:off x="12457" y="7833"/>
                              <a:ext cx="4228" cy="0"/>
                            </a:xfrm>
                            <a:prstGeom prst="line">
                              <a:avLst/>
                            </a:prstGeom>
                            <a:ln w="9525" cap="flat" cmpd="sng">
                              <a:solidFill>
                                <a:srgbClr val="000000"/>
                              </a:solidFill>
                              <a:prstDash val="solid"/>
                              <a:headEnd type="none" w="med" len="med"/>
                              <a:tailEnd type="none" w="med" len="med"/>
                            </a:ln>
                          </wps:spPr>
                          <wps:bodyPr upright="1"/>
                        </wps:wsp>
                      </wpg:grpSp>
                      <wpg:grpSp>
                        <wpg:cNvPr id="8" name="组合 8"/>
                        <wpg:cNvGrpSpPr/>
                        <wpg:grpSpPr>
                          <a:xfrm>
                            <a:off x="17128" y="7953"/>
                            <a:ext cx="7959" cy="1035"/>
                            <a:chOff x="11136" y="7093"/>
                            <a:chExt cx="7959" cy="1035"/>
                          </a:xfrm>
                        </wpg:grpSpPr>
                        <wps:wsp>
                          <wps:cNvPr id="6" name="文本框 6"/>
                          <wps:cNvSpPr txBox="1"/>
                          <wps:spPr>
                            <a:xfrm>
                              <a:off x="11136" y="7093"/>
                              <a:ext cx="7959" cy="1035"/>
                            </a:xfrm>
                            <a:prstGeom prst="rect">
                              <a:avLst/>
                            </a:prstGeom>
                            <a:noFill/>
                            <a:ln w="6350">
                              <a:noFill/>
                            </a:ln>
                          </wps:spPr>
                          <wps:txbx>
                            <w:txbxContent>
                              <w:p w14:paraId="57396BF1">
                                <w:pPr>
                                  <w:jc w:val="left"/>
                                  <w:rPr>
                                    <w:rFonts w:ascii="微软雅黑" w:hAnsi="微软雅黑" w:eastAsia="微软雅黑" w:cs="微软雅黑"/>
                                    <w:sz w:val="32"/>
                                    <w:szCs w:val="32"/>
                                  </w:rPr>
                                </w:pPr>
                                <w:r>
                                  <w:rPr>
                                    <w:rFonts w:hint="eastAsia" w:ascii="微软雅黑" w:hAnsi="微软雅黑" w:eastAsia="微软雅黑" w:cs="微软雅黑"/>
                                    <w:sz w:val="32"/>
                                    <w:szCs w:val="32"/>
                                  </w:rPr>
                                  <w:t>乙 方：江苏</w:t>
                                </w:r>
                                <w:r>
                                  <w:rPr>
                                    <w:rFonts w:hint="eastAsia" w:ascii="微软雅黑" w:hAnsi="微软雅黑" w:eastAsia="微软雅黑" w:cs="微软雅黑"/>
                                    <w:sz w:val="32"/>
                                    <w:szCs w:val="32"/>
                                    <w:lang w:eastAsia="zh-CN"/>
                                  </w:rPr>
                                  <w:t>苏豪</w:t>
                                </w:r>
                                <w:r>
                                  <w:rPr>
                                    <w:rFonts w:hint="eastAsia" w:ascii="微软雅黑" w:hAnsi="微软雅黑" w:eastAsia="微软雅黑" w:cs="微软雅黑"/>
                                    <w:sz w:val="32"/>
                                    <w:szCs w:val="32"/>
                                  </w:rPr>
                                  <w:t>国际展览装饰工程有限公司</w:t>
                                </w:r>
                              </w:p>
                            </w:txbxContent>
                          </wps:txbx>
                          <wps:bodyPr upright="1"/>
                        </wps:wsp>
                        <wps:wsp>
                          <wps:cNvPr id="7" name="直接连接符 7"/>
                          <wps:cNvCnPr/>
                          <wps:spPr>
                            <a:xfrm>
                              <a:off x="12476" y="7525"/>
                              <a:ext cx="6417" cy="0"/>
                            </a:xfrm>
                            <a:prstGeom prst="line">
                              <a:avLst/>
                            </a:prstGeom>
                            <a:ln w="9525" cap="flat" cmpd="sng">
                              <a:solidFill>
                                <a:srgbClr val="000000"/>
                              </a:solidFill>
                              <a:prstDash val="solid"/>
                              <a:headEnd type="none" w="med" len="med"/>
                              <a:tailEnd type="none" w="med" len="med"/>
                            </a:ln>
                          </wps:spPr>
                          <wps:bodyPr upright="1"/>
                        </wps:wsp>
                      </wpg:grpSp>
                    </wpg:wgp>
                  </a:graphicData>
                </a:graphic>
              </wp:anchor>
            </w:drawing>
          </mc:Choice>
          <mc:Fallback>
            <w:pict>
              <v:group id="_x0000_s1026" o:spid="_x0000_s1026" o:spt="203" style="position:absolute;left:0pt;margin-left:-9.4pt;margin-top:-45pt;height:614.65pt;width:449.85pt;z-index:251660288;mso-width-relative:page;mso-height-relative:page;" coordorigin="15626,670" coordsize="9461,8318" o:gfxdata="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A1zxH02gAAAAwBAAAPAAAAAAAAAAEAIAAAACIAAABkcnMvZG93&#10;bnJldi54bWxQSwECFAAUAAAACACHTuJAtiGkicYDAAB7DwAADgAAAAAAAAABACAAAAApAQAAZHJz&#10;L2Uyb0RvYy54bWxQSwUGAAAAAAYABgBZAQAAYQcAAAAA&#10;">
                <o:lock v:ext="edit" aspectratio="f"/>
                <v:shape id="_x0000_s1026" o:spid="_x0000_s1026" o:spt="202" type="#_x0000_t202" style="position:absolute;left:16539;top:4141;height:2220;width:8325;" filled="f" stroked="f" coordsize="21600,21600" o:gfxdata="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NyLx+5AAAA2g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7A4896E2">
                        <w:pPr>
                          <w:jc w:val="center"/>
                          <w:rPr>
                            <w:rFonts w:hint="eastAsia" w:ascii="微软雅黑" w:hAnsi="微软雅黑" w:eastAsia="微软雅黑" w:cs="微软雅黑"/>
                            <w:sz w:val="48"/>
                            <w:szCs w:val="48"/>
                          </w:rPr>
                        </w:pPr>
                        <w:r>
                          <w:rPr>
                            <w:rFonts w:hint="eastAsia" w:ascii="微软雅黑" w:hAnsi="微软雅黑" w:eastAsia="微软雅黑" w:cs="微软雅黑"/>
                            <w:sz w:val="48"/>
                            <w:szCs w:val="48"/>
                          </w:rPr>
                          <w:t>第</w:t>
                        </w:r>
                        <w:r>
                          <w:rPr>
                            <w:rFonts w:hint="eastAsia" w:ascii="微软雅黑" w:hAnsi="微软雅黑" w:eastAsia="微软雅黑" w:cs="微软雅黑"/>
                            <w:sz w:val="48"/>
                            <w:szCs w:val="48"/>
                            <w:lang w:val="en-US" w:eastAsia="zh-CN"/>
                          </w:rPr>
                          <w:t>六</w:t>
                        </w:r>
                        <w:r>
                          <w:rPr>
                            <w:rFonts w:hint="eastAsia" w:ascii="微软雅黑" w:hAnsi="微软雅黑" w:eastAsia="微软雅黑" w:cs="微软雅黑"/>
                            <w:sz w:val="48"/>
                            <w:szCs w:val="48"/>
                          </w:rPr>
                          <w:t>届中国国际消费品博览会</w:t>
                        </w:r>
                      </w:p>
                      <w:p w14:paraId="543F8C69">
                        <w:pPr>
                          <w:jc w:val="center"/>
                          <w:rPr>
                            <w:rFonts w:hint="eastAsia" w:ascii="微软雅黑" w:hAnsi="微软雅黑" w:eastAsia="微软雅黑" w:cs="微软雅黑"/>
                            <w:sz w:val="48"/>
                            <w:szCs w:val="48"/>
                          </w:rPr>
                        </w:pPr>
                        <w:r>
                          <w:rPr>
                            <w:rFonts w:hint="eastAsia" w:ascii="微软雅黑" w:hAnsi="微软雅黑" w:eastAsia="微软雅黑" w:cs="微软雅黑"/>
                            <w:sz w:val="48"/>
                            <w:szCs w:val="48"/>
                          </w:rPr>
                          <w:t>江苏展区</w:t>
                        </w:r>
                        <w:r>
                          <w:rPr>
                            <w:rFonts w:hint="eastAsia" w:ascii="微软雅黑" w:hAnsi="微软雅黑" w:eastAsia="微软雅黑" w:cs="微软雅黑"/>
                            <w:sz w:val="48"/>
                            <w:szCs w:val="48"/>
                            <w:lang w:val="en-US" w:eastAsia="zh-CN"/>
                          </w:rPr>
                          <w:t>服务</w:t>
                        </w:r>
                        <w:r>
                          <w:rPr>
                            <w:rFonts w:hint="eastAsia" w:ascii="微软雅黑" w:hAnsi="微软雅黑" w:eastAsia="微软雅黑" w:cs="微软雅黑"/>
                            <w:sz w:val="48"/>
                            <w:szCs w:val="48"/>
                          </w:rPr>
                          <w:t>合同</w:t>
                        </w:r>
                      </w:p>
                    </w:txbxContent>
                  </v:textbox>
                </v:shape>
                <v:shape id="_x0000_s1026" o:spid="_x0000_s1026" o:spt="202" type="#_x0000_t202" style="position:absolute;left:15626;top:670;height:990;width:2854;" filled="f" stroked="f" coordsize="21600,21600" o:gfxdata="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gsWi8AAAA&#10;2g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5E0FE56B">
                        <w:pPr>
                          <w:rPr>
                            <w:rFonts w:ascii="微软雅黑" w:hAnsi="微软雅黑" w:eastAsia="微软雅黑" w:cs="微软雅黑"/>
                            <w:b/>
                            <w:bCs/>
                            <w:color w:val="FFFFFF"/>
                            <w:sz w:val="40"/>
                            <w:szCs w:val="48"/>
                          </w:rPr>
                        </w:pPr>
                        <w:r>
                          <w:rPr>
                            <w:rFonts w:hint="eastAsia" w:ascii="微软雅黑" w:hAnsi="微软雅黑" w:eastAsia="微软雅黑" w:cs="微软雅黑"/>
                            <w:b/>
                            <w:bCs/>
                            <w:color w:val="FFFFFF"/>
                            <w:sz w:val="40"/>
                            <w:szCs w:val="48"/>
                          </w:rPr>
                          <w:t>LOGO</w:t>
                        </w:r>
                      </w:p>
                    </w:txbxContent>
                  </v:textbox>
                </v:shape>
                <v:group id="_x0000_s1026" o:spid="_x0000_s1026" o:spt="203" style="position:absolute;left:17138;top:7416;height:1036;width:5569;" coordorigin="11116,7416" coordsize="5569,1036"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11116;top:7416;height:1036;width:5174;"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C15CDDC">
                          <w:pPr>
                            <w:jc w:val="left"/>
                            <w:rPr>
                              <w:rFonts w:ascii="微软雅黑" w:hAnsi="微软雅黑" w:eastAsia="微软雅黑" w:cs="微软雅黑"/>
                              <w:sz w:val="32"/>
                              <w:szCs w:val="32"/>
                            </w:rPr>
                          </w:pPr>
                          <w:r>
                            <w:rPr>
                              <w:rFonts w:hint="eastAsia" w:ascii="微软雅黑" w:hAnsi="微软雅黑" w:eastAsia="微软雅黑" w:cs="微软雅黑"/>
                              <w:sz w:val="32"/>
                              <w:szCs w:val="32"/>
                            </w:rPr>
                            <w:t>甲 方：江苏省商务厅</w:t>
                          </w:r>
                        </w:p>
                      </w:txbxContent>
                    </v:textbox>
                  </v:shape>
                  <v:line id="_x0000_s1026" o:spid="_x0000_s1026" o:spt="20" style="position:absolute;left:12457;top:7833;height:0;width:4228;"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id="_x0000_s1026" o:spid="_x0000_s1026" o:spt="203" style="position:absolute;left:17128;top:7953;height:1035;width:7959;" coordorigin="11136,7093" coordsize="7959,1035"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202" type="#_x0000_t202" style="position:absolute;left:11136;top:7093;height:1035;width:7959;"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57396BF1">
                          <w:pPr>
                            <w:jc w:val="left"/>
                            <w:rPr>
                              <w:rFonts w:ascii="微软雅黑" w:hAnsi="微软雅黑" w:eastAsia="微软雅黑" w:cs="微软雅黑"/>
                              <w:sz w:val="32"/>
                              <w:szCs w:val="32"/>
                            </w:rPr>
                          </w:pPr>
                          <w:r>
                            <w:rPr>
                              <w:rFonts w:hint="eastAsia" w:ascii="微软雅黑" w:hAnsi="微软雅黑" w:eastAsia="微软雅黑" w:cs="微软雅黑"/>
                              <w:sz w:val="32"/>
                              <w:szCs w:val="32"/>
                            </w:rPr>
                            <w:t>乙 方：江苏</w:t>
                          </w:r>
                          <w:r>
                            <w:rPr>
                              <w:rFonts w:hint="eastAsia" w:ascii="微软雅黑" w:hAnsi="微软雅黑" w:eastAsia="微软雅黑" w:cs="微软雅黑"/>
                              <w:sz w:val="32"/>
                              <w:szCs w:val="32"/>
                              <w:lang w:eastAsia="zh-CN"/>
                            </w:rPr>
                            <w:t>苏豪</w:t>
                          </w:r>
                          <w:r>
                            <w:rPr>
                              <w:rFonts w:hint="eastAsia" w:ascii="微软雅黑" w:hAnsi="微软雅黑" w:eastAsia="微软雅黑" w:cs="微软雅黑"/>
                              <w:sz w:val="32"/>
                              <w:szCs w:val="32"/>
                            </w:rPr>
                            <w:t>国际展览装饰工程有限公司</w:t>
                          </w:r>
                        </w:p>
                      </w:txbxContent>
                    </v:textbox>
                  </v:shape>
                  <v:line id="_x0000_s1026" o:spid="_x0000_s1026" o:spt="20" style="position:absolute;left:12476;top:7525;height:0;width:6417;" filled="f" stroked="t" coordsize="21600,21600" o:gfxdata="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lsmu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v:group>
            </w:pict>
          </mc:Fallback>
        </mc:AlternateContent>
      </w:r>
    </w:p>
    <w:p w14:paraId="6F539507">
      <w:pPr>
        <w:pStyle w:val="2"/>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4C3279E3">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36A89237">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338C253A">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6BE08B69">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34E8E362">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05CDB5EC">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7D1E0D00">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70478B01">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5FBB7B99">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614F2986">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36F5D884">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7A9944CD">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6763658D">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237225C0">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7861AEE0">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2B4F0029">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65814608">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73FBD401">
      <w:pPr>
        <w:pStyle w:val="3"/>
        <w:keepNext w:val="0"/>
        <w:keepLines w:val="0"/>
        <w:pageBreakBefore w:val="0"/>
        <w:kinsoku/>
        <w:wordWrap/>
        <w:overflowPunct/>
        <w:topLinePunct w:val="0"/>
        <w:bidi w:val="0"/>
        <w:spacing w:line="587" w:lineRule="exact"/>
        <w:jc w:val="both"/>
        <w:outlineLvl w:val="9"/>
        <w:rPr>
          <w:rFonts w:hint="eastAsia" w:ascii="仿宋" w:hAnsi="仿宋" w:eastAsia="仿宋" w:cs="仿宋"/>
          <w:sz w:val="24"/>
          <w:szCs w:val="24"/>
        </w:rPr>
      </w:pPr>
    </w:p>
    <w:p w14:paraId="3BC3F75B">
      <w:pPr>
        <w:pStyle w:val="9"/>
        <w:keepNext w:val="0"/>
        <w:keepLines w:val="0"/>
        <w:pageBreakBefore w:val="0"/>
        <w:kinsoku/>
        <w:wordWrap/>
        <w:overflowPunct/>
        <w:topLinePunct w:val="0"/>
        <w:bidi w:val="0"/>
        <w:spacing w:line="587" w:lineRule="exact"/>
        <w:jc w:val="both"/>
        <w:outlineLvl w:val="9"/>
        <w:rPr>
          <w:rFonts w:hint="eastAsia" w:ascii="宋体" w:hAnsi="宋体" w:eastAsia="宋体" w:cs="宋体"/>
          <w:sz w:val="28"/>
          <w:szCs w:val="28"/>
        </w:rPr>
      </w:pPr>
    </w:p>
    <w:p w14:paraId="0F7D4460">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甲方：</w:t>
      </w:r>
      <w:r>
        <w:rPr>
          <w:rFonts w:hint="default" w:ascii="Times New Roman" w:hAnsi="Times New Roman" w:eastAsia="方正仿宋_GBK" w:cs="Times New Roman"/>
          <w:sz w:val="32"/>
          <w:szCs w:val="32"/>
          <w:lang w:val="en-US" w:eastAsia="zh-CN"/>
        </w:rPr>
        <w:t>江苏省商务厅</w:t>
      </w:r>
    </w:p>
    <w:p w14:paraId="101FAC54">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乙方：江苏</w:t>
      </w:r>
      <w:r>
        <w:rPr>
          <w:rFonts w:hint="eastAsia" w:ascii="Times New Roman" w:hAnsi="Times New Roman" w:eastAsia="方正仿宋_GBK" w:cs="Times New Roman"/>
          <w:sz w:val="32"/>
          <w:szCs w:val="32"/>
          <w:lang w:eastAsia="zh-CN"/>
        </w:rPr>
        <w:t>苏豪</w:t>
      </w:r>
      <w:r>
        <w:rPr>
          <w:rFonts w:hint="default" w:ascii="Times New Roman" w:hAnsi="Times New Roman" w:eastAsia="方正仿宋_GBK" w:cs="Times New Roman"/>
          <w:sz w:val="32"/>
          <w:szCs w:val="32"/>
        </w:rPr>
        <w:t>国际展览装饰工程有限公司</w:t>
      </w:r>
    </w:p>
    <w:p w14:paraId="513649A9">
      <w:pPr>
        <w:pStyle w:val="9"/>
        <w:keepNext w:val="0"/>
        <w:keepLines w:val="0"/>
        <w:pageBreakBefore w:val="0"/>
        <w:kinsoku/>
        <w:wordWrap/>
        <w:overflowPunct/>
        <w:topLinePunct w:val="0"/>
        <w:bidi w:val="0"/>
        <w:spacing w:line="587" w:lineRule="exact"/>
        <w:ind w:firstLine="640" w:firstLineChars="200"/>
        <w:jc w:val="both"/>
        <w:outlineLvl w:val="9"/>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按照《中华人民共和国民法典》的规定，结合本项目具体情况，双方达成如下协议</w:t>
      </w:r>
      <w:r>
        <w:rPr>
          <w:rFonts w:hint="eastAsia" w:ascii="Times New Roman" w:hAnsi="Times New Roman" w:eastAsia="方正仿宋_GBK" w:cs="Times New Roman"/>
          <w:sz w:val="32"/>
          <w:szCs w:val="32"/>
          <w:lang w:eastAsia="zh-CN"/>
        </w:rPr>
        <w:t>：</w:t>
      </w:r>
    </w:p>
    <w:p w14:paraId="6A093A2E">
      <w:pPr>
        <w:pStyle w:val="9"/>
        <w:keepNext w:val="0"/>
        <w:keepLines w:val="0"/>
        <w:pageBreakBefore w:val="0"/>
        <w:kinsoku/>
        <w:wordWrap/>
        <w:overflowPunct/>
        <w:topLinePunct w:val="0"/>
        <w:bidi w:val="0"/>
        <w:spacing w:line="587" w:lineRule="exact"/>
        <w:ind w:firstLine="640" w:firstLineChars="200"/>
        <w:jc w:val="both"/>
        <w:outlineLvl w:val="9"/>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一、项目概况</w:t>
      </w:r>
    </w:p>
    <w:p w14:paraId="7F47DD9B">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1.1</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项目名称：</w:t>
      </w:r>
      <w:r>
        <w:rPr>
          <w:rFonts w:hint="default" w:ascii="Times New Roman" w:hAnsi="Times New Roman" w:eastAsia="方正仿宋_GBK" w:cs="Times New Roman"/>
          <w:sz w:val="32"/>
          <w:szCs w:val="32"/>
          <w:lang w:eastAsia="zh-CN"/>
        </w:rPr>
        <w:t>第</w:t>
      </w:r>
      <w:r>
        <w:rPr>
          <w:rFonts w:hint="eastAsia" w:ascii="Times New Roman" w:hAnsi="Times New Roman" w:eastAsia="方正仿宋_GBK" w:cs="Times New Roman"/>
          <w:sz w:val="32"/>
          <w:szCs w:val="32"/>
          <w:lang w:val="en-US" w:eastAsia="zh-CN"/>
        </w:rPr>
        <w:t>六</w:t>
      </w:r>
      <w:r>
        <w:rPr>
          <w:rFonts w:hint="default" w:ascii="Times New Roman" w:hAnsi="Times New Roman" w:eastAsia="方正仿宋_GBK" w:cs="Times New Roman"/>
          <w:sz w:val="32"/>
          <w:szCs w:val="32"/>
          <w:lang w:eastAsia="zh-CN"/>
        </w:rPr>
        <w:t>届中国国际消费品博览会江苏展区搭建</w:t>
      </w:r>
      <w:r>
        <w:rPr>
          <w:rFonts w:hint="eastAsia" w:ascii="Times New Roman" w:hAnsi="Times New Roman" w:eastAsia="方正仿宋_GBK" w:cs="Times New Roman"/>
          <w:sz w:val="32"/>
          <w:szCs w:val="32"/>
          <w:lang w:val="en-US" w:eastAsia="zh-CN"/>
        </w:rPr>
        <w:t>及相关工作。</w:t>
      </w:r>
    </w:p>
    <w:p w14:paraId="633D8783">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 xml:space="preserve">2 </w:t>
      </w:r>
      <w:r>
        <w:rPr>
          <w:rFonts w:hint="default" w:ascii="Times New Roman" w:hAnsi="Times New Roman" w:eastAsia="方正仿宋_GBK" w:cs="Times New Roman"/>
          <w:sz w:val="32"/>
          <w:szCs w:val="32"/>
        </w:rPr>
        <w:t>项目内容：</w:t>
      </w:r>
      <w:r>
        <w:rPr>
          <w:rFonts w:hint="default" w:ascii="Times New Roman" w:hAnsi="Times New Roman" w:eastAsia="方正仿宋_GBK" w:cs="Times New Roman"/>
          <w:sz w:val="32"/>
          <w:szCs w:val="32"/>
          <w:lang w:val="en-US" w:eastAsia="zh-CN"/>
        </w:rPr>
        <w:t>承担同期的部分会展服务任务，含展务协调，对接参展企业，展品安排，证件办理，资料印刷，广告位投放，宣传、服务保障等。</w:t>
      </w:r>
    </w:p>
    <w:p w14:paraId="0DD0ED0C">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 xml:space="preserve">3 </w:t>
      </w:r>
      <w:r>
        <w:rPr>
          <w:rFonts w:hint="default" w:ascii="Times New Roman" w:hAnsi="Times New Roman" w:eastAsia="方正仿宋_GBK" w:cs="Times New Roman"/>
          <w:sz w:val="32"/>
          <w:szCs w:val="32"/>
        </w:rPr>
        <w:t>承包方式：</w:t>
      </w:r>
      <w:r>
        <w:rPr>
          <w:rFonts w:hint="default" w:ascii="Times New Roman" w:hAnsi="Times New Roman" w:eastAsia="方正仿宋_GBK" w:cs="Times New Roman"/>
          <w:sz w:val="32"/>
          <w:szCs w:val="32"/>
          <w:lang w:val="en-US" w:eastAsia="zh-CN"/>
        </w:rPr>
        <w:t>全包</w:t>
      </w:r>
      <w:r>
        <w:rPr>
          <w:rFonts w:hint="eastAsia" w:ascii="Times New Roman" w:hAnsi="Times New Roman" w:eastAsia="方正仿宋_GBK" w:cs="Times New Roman"/>
          <w:sz w:val="32"/>
          <w:szCs w:val="32"/>
          <w:lang w:val="en-US" w:eastAsia="zh-CN"/>
        </w:rPr>
        <w:t>。</w:t>
      </w:r>
    </w:p>
    <w:p w14:paraId="40BA6892">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 xml:space="preserve">4 </w:t>
      </w:r>
      <w:r>
        <w:rPr>
          <w:rFonts w:hint="default" w:ascii="Times New Roman" w:hAnsi="Times New Roman" w:eastAsia="方正仿宋_GBK" w:cs="Times New Roman"/>
          <w:sz w:val="32"/>
          <w:szCs w:val="32"/>
        </w:rPr>
        <w:t>合同价款</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人民币大写</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：壹佰肆拾万零捌仟元整（人民币140</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000元）。</w:t>
      </w:r>
    </w:p>
    <w:p w14:paraId="45AAB1B4">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1.5 面积：500平方米。</w:t>
      </w:r>
    </w:p>
    <w:p w14:paraId="18D69A18">
      <w:pPr>
        <w:pStyle w:val="9"/>
        <w:keepNext w:val="0"/>
        <w:keepLines w:val="0"/>
        <w:pageBreakBefore w:val="0"/>
        <w:kinsoku/>
        <w:wordWrap/>
        <w:overflowPunct/>
        <w:topLinePunct w:val="0"/>
        <w:bidi w:val="0"/>
        <w:spacing w:line="587" w:lineRule="exact"/>
        <w:ind w:firstLine="640" w:firstLineChars="200"/>
        <w:jc w:val="both"/>
        <w:outlineLvl w:val="9"/>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二、甲方责任</w:t>
      </w:r>
    </w:p>
    <w:p w14:paraId="5D8CD93C">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2.1 </w:t>
      </w:r>
      <w:r>
        <w:rPr>
          <w:rFonts w:hint="default" w:ascii="Times New Roman" w:hAnsi="Times New Roman" w:eastAsia="方正仿宋_GBK" w:cs="Times New Roman"/>
          <w:sz w:val="32"/>
          <w:szCs w:val="32"/>
        </w:rPr>
        <w:t>甲方负责向乙方提供承办过程中所需的材料和基础信息。</w:t>
      </w:r>
    </w:p>
    <w:p w14:paraId="4B6B18BF">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2.2 </w:t>
      </w:r>
      <w:r>
        <w:rPr>
          <w:rFonts w:hint="default" w:ascii="Times New Roman" w:hAnsi="Times New Roman" w:eastAsia="方正仿宋_GBK" w:cs="Times New Roman"/>
          <w:sz w:val="32"/>
          <w:szCs w:val="32"/>
        </w:rPr>
        <w:t>甲方负责向各参展企业明确乙方为布展服务承办机构。</w:t>
      </w:r>
    </w:p>
    <w:p w14:paraId="1054ED69">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2.3 </w:t>
      </w:r>
      <w:r>
        <w:rPr>
          <w:rFonts w:hint="default" w:ascii="Times New Roman" w:hAnsi="Times New Roman" w:eastAsia="方正仿宋_GBK" w:cs="Times New Roman"/>
          <w:sz w:val="32"/>
          <w:szCs w:val="32"/>
        </w:rPr>
        <w:t>甲方负责指导、检查乙方承办工作的进程和质量。</w:t>
      </w:r>
    </w:p>
    <w:p w14:paraId="6E6B21C1">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2.4 </w:t>
      </w:r>
      <w:r>
        <w:rPr>
          <w:rFonts w:hint="default" w:ascii="Times New Roman" w:hAnsi="Times New Roman" w:eastAsia="方正仿宋_GBK" w:cs="Times New Roman"/>
          <w:sz w:val="32"/>
          <w:szCs w:val="32"/>
        </w:rPr>
        <w:t>甲方负责对乙方汇总、整理相关材料及现场展位进行审核。</w:t>
      </w:r>
    </w:p>
    <w:p w14:paraId="5A6D3A2E">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2.5 </w:t>
      </w:r>
      <w:r>
        <w:rPr>
          <w:rFonts w:hint="default" w:ascii="Times New Roman" w:hAnsi="Times New Roman" w:eastAsia="方正仿宋_GBK" w:cs="Times New Roman"/>
          <w:sz w:val="32"/>
          <w:szCs w:val="32"/>
        </w:rPr>
        <w:t>甲方有义务对乙方的承办全过程进行跟踪和调查。</w:t>
      </w:r>
    </w:p>
    <w:p w14:paraId="6CF3D4D9">
      <w:pPr>
        <w:pStyle w:val="9"/>
        <w:keepNext w:val="0"/>
        <w:keepLines w:val="0"/>
        <w:pageBreakBefore w:val="0"/>
        <w:kinsoku/>
        <w:wordWrap/>
        <w:overflowPunct/>
        <w:topLinePunct w:val="0"/>
        <w:bidi w:val="0"/>
        <w:spacing w:line="587" w:lineRule="exact"/>
        <w:ind w:firstLine="640" w:firstLineChars="200"/>
        <w:jc w:val="both"/>
        <w:outlineLvl w:val="9"/>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三、乙方责任</w:t>
      </w:r>
    </w:p>
    <w:p w14:paraId="2BF7A8F0">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3.1 </w:t>
      </w:r>
      <w:r>
        <w:rPr>
          <w:rFonts w:hint="default" w:ascii="Times New Roman" w:hAnsi="Times New Roman" w:eastAsia="方正仿宋_GBK" w:cs="Times New Roman"/>
          <w:sz w:val="32"/>
          <w:szCs w:val="32"/>
        </w:rPr>
        <w:t>乙方在承办全过程中必须服从甲方的管理和协调，严格执行甲方的组团方案和组团工作进度的安排。</w:t>
      </w:r>
      <w:bookmarkStart w:id="0" w:name="_GoBack"/>
      <w:bookmarkEnd w:id="0"/>
    </w:p>
    <w:p w14:paraId="733C3424">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3.2 </w:t>
      </w:r>
      <w:r>
        <w:rPr>
          <w:rFonts w:hint="default" w:ascii="Times New Roman" w:hAnsi="Times New Roman" w:eastAsia="方正仿宋_GBK" w:cs="Times New Roman"/>
          <w:sz w:val="32"/>
          <w:szCs w:val="32"/>
        </w:rPr>
        <w:t>乙方必须按照甲方的组团要求及时、准确、规范、专业、严谨地开展承办各阶段的工作，把安全放在首位，不接受任何形式的挂靠施工，确保展位的安全。</w:t>
      </w:r>
    </w:p>
    <w:p w14:paraId="2BF68644">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3.3 </w:t>
      </w:r>
      <w:r>
        <w:rPr>
          <w:rFonts w:hint="default" w:ascii="Times New Roman" w:hAnsi="Times New Roman" w:eastAsia="方正仿宋_GBK" w:cs="Times New Roman"/>
          <w:sz w:val="32"/>
          <w:szCs w:val="32"/>
        </w:rPr>
        <w:t>乙方有责任协助甲方承担各组团单位所要完成的布展方面的任务和要求。</w:t>
      </w:r>
    </w:p>
    <w:p w14:paraId="6475DF4F">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3.4 </w:t>
      </w:r>
      <w:r>
        <w:rPr>
          <w:rFonts w:hint="default" w:ascii="Times New Roman" w:hAnsi="Times New Roman" w:eastAsia="方正仿宋_GBK" w:cs="Times New Roman"/>
          <w:sz w:val="32"/>
          <w:szCs w:val="32"/>
        </w:rPr>
        <w:t>乙方必须选派负责任敬业有经验的专业业务人员开展承办工作。</w:t>
      </w:r>
    </w:p>
    <w:p w14:paraId="7144B7BD">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3.5 </w:t>
      </w:r>
      <w:r>
        <w:rPr>
          <w:rFonts w:hint="default" w:ascii="Times New Roman" w:hAnsi="Times New Roman" w:eastAsia="方正仿宋_GBK" w:cs="Times New Roman"/>
          <w:sz w:val="32"/>
          <w:szCs w:val="32"/>
        </w:rPr>
        <w:t>乙方在承办全过程中不得有损甲方利益和形象的行为。</w:t>
      </w:r>
    </w:p>
    <w:p w14:paraId="43AE0860">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3.6 </w:t>
      </w:r>
      <w:r>
        <w:rPr>
          <w:rFonts w:hint="default" w:ascii="Times New Roman" w:hAnsi="Times New Roman" w:eastAsia="方正仿宋_GBK" w:cs="Times New Roman"/>
          <w:sz w:val="32"/>
          <w:szCs w:val="32"/>
        </w:rPr>
        <w:t>乙方具体服务项目如下：</w:t>
      </w:r>
    </w:p>
    <w:p w14:paraId="3062BAF0">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（1）根据形象展区的展示方案，绘制展区设计图；</w:t>
      </w:r>
    </w:p>
    <w:p w14:paraId="716FA978">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（2）根据甲方确认的展区设计图，完成特装展区搭建，确保搭建工程在展前、展期和撤展期间的安全；</w:t>
      </w:r>
    </w:p>
    <w:p w14:paraId="7AB049B7">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（3）负责跟踪、衔接并落实团部各项具体布展工作；</w:t>
      </w:r>
    </w:p>
    <w:p w14:paraId="332EAC0D">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（4）负责</w:t>
      </w:r>
      <w:r>
        <w:rPr>
          <w:rFonts w:hint="default" w:ascii="Times New Roman" w:hAnsi="Times New Roman" w:eastAsia="方正仿宋_GBK" w:cs="Times New Roman"/>
          <w:sz w:val="32"/>
          <w:szCs w:val="32"/>
          <w:lang w:eastAsia="zh-CN"/>
        </w:rPr>
        <w:t>消博会</w:t>
      </w:r>
      <w:r>
        <w:rPr>
          <w:rFonts w:hint="default" w:ascii="Times New Roman" w:hAnsi="Times New Roman" w:eastAsia="方正仿宋_GBK" w:cs="Times New Roman"/>
          <w:sz w:val="32"/>
          <w:szCs w:val="32"/>
        </w:rPr>
        <w:t>的形象展区整体布展设计（包括形象平面设计），明确布展技术要求，现场督促落实；</w:t>
      </w:r>
    </w:p>
    <w:p w14:paraId="377651E8">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（5）汇总、核实摊位</w:t>
      </w:r>
      <w:r>
        <w:rPr>
          <w:rFonts w:hint="default" w:ascii="Times New Roman" w:hAnsi="Times New Roman" w:eastAsia="方正仿宋_GBK" w:cs="Times New Roman"/>
          <w:sz w:val="32"/>
          <w:szCs w:val="32"/>
          <w:lang w:eastAsia="zh-CN"/>
        </w:rPr>
        <w:t>情况并</w:t>
      </w:r>
      <w:r>
        <w:rPr>
          <w:rFonts w:hint="default" w:ascii="Times New Roman" w:hAnsi="Times New Roman" w:eastAsia="方正仿宋_GBK" w:cs="Times New Roman"/>
          <w:sz w:val="32"/>
          <w:szCs w:val="32"/>
        </w:rPr>
        <w:t>与组展方</w:t>
      </w:r>
      <w:r>
        <w:rPr>
          <w:rFonts w:hint="default" w:ascii="Times New Roman" w:hAnsi="Times New Roman" w:eastAsia="方正仿宋_GBK" w:cs="Times New Roman"/>
          <w:sz w:val="32"/>
          <w:szCs w:val="32"/>
          <w:lang w:val="en-US" w:eastAsia="zh-CN"/>
        </w:rPr>
        <w:t>沟通</w:t>
      </w:r>
      <w:r>
        <w:rPr>
          <w:rFonts w:hint="default" w:ascii="Times New Roman" w:hAnsi="Times New Roman" w:eastAsia="方正仿宋_GBK" w:cs="Times New Roman"/>
          <w:sz w:val="32"/>
          <w:szCs w:val="32"/>
        </w:rPr>
        <w:t>，并确保现场落实；</w:t>
      </w:r>
    </w:p>
    <w:p w14:paraId="0C5F7723">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（6）负责配合办理展会所需的施工人</w:t>
      </w:r>
      <w:r>
        <w:rPr>
          <w:rFonts w:hint="eastAsia" w:ascii="Times New Roman" w:hAnsi="Times New Roman" w:eastAsia="方正仿宋_GBK" w:cs="Times New Roman"/>
          <w:sz w:val="32"/>
          <w:szCs w:val="32"/>
          <w:lang w:eastAsia="zh-CN"/>
        </w:rPr>
        <w:t>员和</w:t>
      </w:r>
      <w:r>
        <w:rPr>
          <w:rFonts w:hint="default" w:ascii="Times New Roman" w:hAnsi="Times New Roman" w:eastAsia="方正仿宋_GBK" w:cs="Times New Roman"/>
          <w:sz w:val="32"/>
          <w:szCs w:val="32"/>
        </w:rPr>
        <w:t>车辆的相关手续；</w:t>
      </w:r>
    </w:p>
    <w:p w14:paraId="56214B1B">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（7）负责</w:t>
      </w:r>
      <w:r>
        <w:rPr>
          <w:rFonts w:hint="default" w:ascii="Times New Roman" w:hAnsi="Times New Roman" w:eastAsia="方正仿宋_GBK" w:cs="Times New Roman"/>
          <w:sz w:val="32"/>
          <w:szCs w:val="32"/>
          <w:lang w:val="en-US" w:eastAsia="zh-CN"/>
        </w:rPr>
        <w:t>展会期间</w:t>
      </w:r>
      <w:r>
        <w:rPr>
          <w:rFonts w:hint="default" w:ascii="Times New Roman" w:hAnsi="Times New Roman" w:eastAsia="方正仿宋_GBK" w:cs="Times New Roman"/>
          <w:sz w:val="32"/>
          <w:szCs w:val="32"/>
        </w:rPr>
        <w:t>与展馆现场协调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展品物流、展品展示、回运等布展、撤展工作；</w:t>
      </w:r>
    </w:p>
    <w:p w14:paraId="7E2DDEC2">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（8）负责展会期间的</w:t>
      </w:r>
      <w:r>
        <w:rPr>
          <w:rFonts w:hint="default" w:ascii="Times New Roman" w:hAnsi="Times New Roman" w:eastAsia="方正仿宋_GBK" w:cs="Times New Roman"/>
          <w:sz w:val="32"/>
          <w:szCs w:val="32"/>
          <w:lang w:val="en-US" w:eastAsia="zh-CN"/>
        </w:rPr>
        <w:t>现场讲解、</w:t>
      </w:r>
      <w:r>
        <w:rPr>
          <w:rFonts w:hint="default" w:ascii="Times New Roman" w:hAnsi="Times New Roman" w:eastAsia="方正仿宋_GBK" w:cs="Times New Roman"/>
          <w:sz w:val="32"/>
          <w:szCs w:val="32"/>
        </w:rPr>
        <w:t>安全检查和咨询工作；</w:t>
      </w:r>
    </w:p>
    <w:p w14:paraId="5F691607">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（9）展会期间的图片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照片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采集和汇总上报工作。</w:t>
      </w:r>
    </w:p>
    <w:p w14:paraId="4EEEEEDA">
      <w:pPr>
        <w:pStyle w:val="9"/>
        <w:keepNext w:val="0"/>
        <w:keepLines w:val="0"/>
        <w:pageBreakBefore w:val="0"/>
        <w:kinsoku/>
        <w:wordWrap/>
        <w:overflowPunct/>
        <w:topLinePunct w:val="0"/>
        <w:bidi w:val="0"/>
        <w:spacing w:line="587" w:lineRule="exact"/>
        <w:ind w:firstLine="640" w:firstLineChars="200"/>
        <w:jc w:val="both"/>
        <w:outlineLvl w:val="9"/>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四、免责条款</w:t>
      </w:r>
    </w:p>
    <w:p w14:paraId="03D45EDA">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4.1 </w:t>
      </w:r>
      <w:r>
        <w:rPr>
          <w:rFonts w:hint="default" w:ascii="Times New Roman" w:hAnsi="Times New Roman" w:eastAsia="方正仿宋_GBK" w:cs="Times New Roman"/>
          <w:sz w:val="32"/>
          <w:szCs w:val="32"/>
        </w:rPr>
        <w:t>因水灾、火灾、地震、战争等不可抗力不能履行合同的，根据不可抗力的影响，部分或者全部免除责任。</w:t>
      </w:r>
    </w:p>
    <w:p w14:paraId="2018A7F5">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4.2 </w:t>
      </w:r>
      <w:r>
        <w:rPr>
          <w:rFonts w:hint="default" w:ascii="Times New Roman" w:hAnsi="Times New Roman" w:eastAsia="方正仿宋_GBK" w:cs="Times New Roman"/>
          <w:sz w:val="32"/>
          <w:szCs w:val="32"/>
        </w:rPr>
        <w:t>合同一方因不可抗力不能履行合同的，应当及时通知对方，以减轻可能给对方造成的损失，并应当在合理期限内提供证明。</w:t>
      </w:r>
    </w:p>
    <w:p w14:paraId="6E25D194">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4.3 </w:t>
      </w:r>
      <w:r>
        <w:rPr>
          <w:rFonts w:hint="default" w:ascii="Times New Roman" w:hAnsi="Times New Roman" w:eastAsia="方正仿宋_GBK" w:cs="Times New Roman"/>
          <w:sz w:val="32"/>
          <w:szCs w:val="32"/>
        </w:rPr>
        <w:t>如甲方发生重大情况变化或其他不可抗力因素，双方协商解决。</w:t>
      </w:r>
    </w:p>
    <w:p w14:paraId="5E18C4C9">
      <w:pPr>
        <w:pStyle w:val="9"/>
        <w:keepNext w:val="0"/>
        <w:keepLines w:val="0"/>
        <w:pageBreakBefore w:val="0"/>
        <w:kinsoku/>
        <w:wordWrap/>
        <w:overflowPunct/>
        <w:topLinePunct w:val="0"/>
        <w:bidi w:val="0"/>
        <w:spacing w:line="587" w:lineRule="exact"/>
        <w:ind w:firstLine="640" w:firstLineChars="200"/>
        <w:jc w:val="both"/>
        <w:outlineLvl w:val="9"/>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五、项目合同款支付的时间和形式</w:t>
      </w:r>
    </w:p>
    <w:p w14:paraId="4FFCE03A">
      <w:pPr>
        <w:keepNext w:val="0"/>
        <w:keepLines w:val="0"/>
        <w:pageBreakBefore w:val="0"/>
        <w:widowControl/>
        <w:kinsoku/>
        <w:wordWrap/>
        <w:overflowPunct/>
        <w:topLinePunct w:val="0"/>
        <w:bidi w:val="0"/>
        <w:spacing w:line="587" w:lineRule="exact"/>
        <w:ind w:firstLine="480" w:firstLineChars="15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展会结束后，经甲方评估，确认乙方完全履行合同约定义务，且质量、进度合乎要求后，</w:t>
      </w:r>
      <w:r>
        <w:rPr>
          <w:rFonts w:hint="default" w:ascii="Times New Roman" w:hAnsi="Times New Roman" w:eastAsia="方正仿宋_GBK" w:cs="Times New Roman"/>
          <w:i w:val="0"/>
          <w:caps w:val="0"/>
          <w:color w:val="000000"/>
          <w:spacing w:val="0"/>
          <w:kern w:val="2"/>
          <w:sz w:val="32"/>
          <w:szCs w:val="32"/>
          <w:shd w:val="clear" w:fill="FFFFFF"/>
          <w:lang w:val="en-US" w:eastAsia="zh-CN" w:bidi="ar"/>
        </w:rPr>
        <w:t>甲方验收合格并收到财政下达资金后的1个月内付款。</w:t>
      </w:r>
    </w:p>
    <w:p w14:paraId="4BBD06A2">
      <w:pPr>
        <w:pStyle w:val="9"/>
        <w:keepNext w:val="0"/>
        <w:keepLines w:val="0"/>
        <w:pageBreakBefore w:val="0"/>
        <w:kinsoku/>
        <w:wordWrap/>
        <w:overflowPunct/>
        <w:topLinePunct w:val="0"/>
        <w:bidi w:val="0"/>
        <w:spacing w:line="587" w:lineRule="exact"/>
        <w:ind w:firstLine="640" w:firstLineChars="200"/>
        <w:jc w:val="both"/>
        <w:outlineLvl w:val="9"/>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六、双方的权利和义务</w:t>
      </w:r>
    </w:p>
    <w:p w14:paraId="03D596F5">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6.1</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本合同实施中乙方不经甲方同意擅自修改展台布展服务方案、展台布展服务道具，甲方有权追究乙方责任。</w:t>
      </w:r>
    </w:p>
    <w:p w14:paraId="44E81DE9">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6.2</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甲方应按规定时间和方式向乙方确认展台保证乙方有足够的展台供应，以确保项目的顺利完成。</w:t>
      </w:r>
    </w:p>
    <w:p w14:paraId="34AABDE7">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6.3</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甲方应按规定时间和方式向乙方付清全部项目款，否则乙方有权追究甲方责任。</w:t>
      </w:r>
    </w:p>
    <w:p w14:paraId="0F453553">
      <w:pPr>
        <w:pStyle w:val="9"/>
        <w:keepNext w:val="0"/>
        <w:keepLines w:val="0"/>
        <w:pageBreakBefore w:val="0"/>
        <w:kinsoku/>
        <w:wordWrap/>
        <w:overflowPunct/>
        <w:topLinePunct w:val="0"/>
        <w:bidi w:val="0"/>
        <w:spacing w:line="587" w:lineRule="exact"/>
        <w:ind w:firstLine="640" w:firstLineChars="200"/>
        <w:jc w:val="both"/>
        <w:outlineLvl w:val="9"/>
        <w:rPr>
          <w:rFonts w:hint="default" w:ascii="方正黑体_GBK" w:hAnsi="方正黑体_GBK" w:eastAsia="方正黑体_GBK" w:cs="方正黑体_GBK"/>
          <w:b w:val="0"/>
          <w:bCs w:val="0"/>
          <w:sz w:val="32"/>
          <w:szCs w:val="32"/>
        </w:rPr>
      </w:pPr>
      <w:r>
        <w:rPr>
          <w:rFonts w:hint="default" w:ascii="方正黑体_GBK" w:hAnsi="方正黑体_GBK" w:eastAsia="方正黑体_GBK" w:cs="方正黑体_GBK"/>
          <w:b w:val="0"/>
          <w:bCs w:val="0"/>
          <w:sz w:val="32"/>
          <w:szCs w:val="32"/>
        </w:rPr>
        <w:t>七、附则</w:t>
      </w:r>
    </w:p>
    <w:p w14:paraId="20443FAA">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7.1</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本协议签订后，统一由双方指定代表进行联系和办理本协议所规定的一切工作和事项。签约双方必须严格遵守本协议所列各项条款，任何一方违约，均应承担因违约造成的责任和经济损失。</w:t>
      </w:r>
    </w:p>
    <w:p w14:paraId="1F7CCE51">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7.2</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本协议未尽事宜，将由甲、乙双方协商解决，必要时将以备忘录或补充协议的形式另行规定。</w:t>
      </w:r>
    </w:p>
    <w:p w14:paraId="23C3925D">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7.3</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如对此合同产生纠纷，将按中华人民共和国有关法律</w:t>
      </w:r>
      <w:r>
        <w:rPr>
          <w:rFonts w:hint="default" w:ascii="Times New Roman" w:hAnsi="Times New Roman" w:eastAsia="方正仿宋_GBK" w:cs="Times New Roman"/>
          <w:sz w:val="32"/>
          <w:szCs w:val="32"/>
          <w:lang w:val="en-US" w:eastAsia="zh-CN"/>
        </w:rPr>
        <w:t>向甲方所在地法院提起诉讼</w:t>
      </w:r>
      <w:r>
        <w:rPr>
          <w:rFonts w:hint="default" w:ascii="Times New Roman" w:hAnsi="Times New Roman" w:eastAsia="方正仿宋_GBK" w:cs="Times New Roman"/>
          <w:sz w:val="32"/>
          <w:szCs w:val="32"/>
        </w:rPr>
        <w:t>。</w:t>
      </w:r>
    </w:p>
    <w:p w14:paraId="13611678">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7.4</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本合同一式肆份，各执贰份。签字之日起生效。</w:t>
      </w:r>
    </w:p>
    <w:p w14:paraId="245E8B00">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lang w:val="en-US" w:eastAsia="zh-CN"/>
        </w:rPr>
      </w:pPr>
    </w:p>
    <w:p w14:paraId="70A7FF98">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p>
    <w:p w14:paraId="30F43307">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甲方（盖章）：</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乙方（盖章）：</w:t>
      </w:r>
    </w:p>
    <w:p w14:paraId="62AA0135">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委托代理人：</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委托代理人：</w:t>
      </w:r>
    </w:p>
    <w:p w14:paraId="2425ACF0">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 xml:space="preserve">年    月    日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 xml:space="preserve"> 年    月    日                    </w:t>
      </w:r>
    </w:p>
    <w:p w14:paraId="3F7C6425">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p>
    <w:p w14:paraId="46A22861">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p>
    <w:p w14:paraId="593DEAEA">
      <w:pPr>
        <w:pStyle w:val="9"/>
        <w:keepNext w:val="0"/>
        <w:keepLines w:val="0"/>
        <w:pageBreakBefore w:val="0"/>
        <w:kinsoku/>
        <w:wordWrap/>
        <w:overflowPunct/>
        <w:topLinePunct w:val="0"/>
        <w:bidi w:val="0"/>
        <w:spacing w:line="587" w:lineRule="exact"/>
        <w:ind w:firstLine="640" w:firstLineChars="200"/>
        <w:jc w:val="both"/>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iCs/>
          <w:color w:val="auto"/>
          <w:sz w:val="32"/>
          <w:szCs w:val="32"/>
        </w:rPr>
        <w:t xml:space="preserve">       </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CACC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91345">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291345">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ZWExZTQ0ZjdiYzNmN2MzNjgwODczMjQ2Mjk3MjQifQ=="/>
  </w:docVars>
  <w:rsids>
    <w:rsidRoot w:val="75BC6DC6"/>
    <w:rsid w:val="00A07548"/>
    <w:rsid w:val="016320EC"/>
    <w:rsid w:val="020B7B28"/>
    <w:rsid w:val="022751E3"/>
    <w:rsid w:val="029C3B08"/>
    <w:rsid w:val="03547AD8"/>
    <w:rsid w:val="04E710D4"/>
    <w:rsid w:val="054A784B"/>
    <w:rsid w:val="05681A7F"/>
    <w:rsid w:val="05CE4713"/>
    <w:rsid w:val="06C929F2"/>
    <w:rsid w:val="077E5CC0"/>
    <w:rsid w:val="07A1396F"/>
    <w:rsid w:val="0913264A"/>
    <w:rsid w:val="096D3B08"/>
    <w:rsid w:val="09BE5C50"/>
    <w:rsid w:val="0B071E48"/>
    <w:rsid w:val="0B0F318F"/>
    <w:rsid w:val="0B4C4283"/>
    <w:rsid w:val="0BFA364D"/>
    <w:rsid w:val="0C7E620F"/>
    <w:rsid w:val="0C9C2911"/>
    <w:rsid w:val="0CDB6A61"/>
    <w:rsid w:val="0D4A2876"/>
    <w:rsid w:val="0E5C05EF"/>
    <w:rsid w:val="0E71409B"/>
    <w:rsid w:val="0E8C4CF5"/>
    <w:rsid w:val="0EF6634E"/>
    <w:rsid w:val="0F2222EB"/>
    <w:rsid w:val="0FC7047B"/>
    <w:rsid w:val="0FFD54BA"/>
    <w:rsid w:val="109B31A5"/>
    <w:rsid w:val="109E4EEF"/>
    <w:rsid w:val="10BC7123"/>
    <w:rsid w:val="12103BCB"/>
    <w:rsid w:val="134D0507"/>
    <w:rsid w:val="14661880"/>
    <w:rsid w:val="15200D1A"/>
    <w:rsid w:val="15DF7B3C"/>
    <w:rsid w:val="16A07BD2"/>
    <w:rsid w:val="174500C1"/>
    <w:rsid w:val="17626C76"/>
    <w:rsid w:val="17DF02C7"/>
    <w:rsid w:val="186802BC"/>
    <w:rsid w:val="1998697F"/>
    <w:rsid w:val="19D454DE"/>
    <w:rsid w:val="19E00326"/>
    <w:rsid w:val="1A3D53FC"/>
    <w:rsid w:val="1AAB26E2"/>
    <w:rsid w:val="1B100797"/>
    <w:rsid w:val="1C9A47BD"/>
    <w:rsid w:val="1E733517"/>
    <w:rsid w:val="1EC77EE9"/>
    <w:rsid w:val="20531852"/>
    <w:rsid w:val="225416C9"/>
    <w:rsid w:val="23013143"/>
    <w:rsid w:val="2318468D"/>
    <w:rsid w:val="23B2004D"/>
    <w:rsid w:val="25A35367"/>
    <w:rsid w:val="25E116AE"/>
    <w:rsid w:val="266A7C6F"/>
    <w:rsid w:val="268F2EB8"/>
    <w:rsid w:val="27135175"/>
    <w:rsid w:val="27994F87"/>
    <w:rsid w:val="2881759A"/>
    <w:rsid w:val="28862099"/>
    <w:rsid w:val="289522DC"/>
    <w:rsid w:val="28D92B11"/>
    <w:rsid w:val="294A57BC"/>
    <w:rsid w:val="29543F45"/>
    <w:rsid w:val="29DF4157"/>
    <w:rsid w:val="2A0A0252"/>
    <w:rsid w:val="2A922F77"/>
    <w:rsid w:val="2C70553A"/>
    <w:rsid w:val="2CFA7278"/>
    <w:rsid w:val="2D5B7F98"/>
    <w:rsid w:val="2E6E7857"/>
    <w:rsid w:val="30E16A06"/>
    <w:rsid w:val="315A227A"/>
    <w:rsid w:val="31DA5018"/>
    <w:rsid w:val="31E57E30"/>
    <w:rsid w:val="32290665"/>
    <w:rsid w:val="3239017C"/>
    <w:rsid w:val="32690A61"/>
    <w:rsid w:val="330B1CD7"/>
    <w:rsid w:val="33165D24"/>
    <w:rsid w:val="33705E1F"/>
    <w:rsid w:val="34DF5FC9"/>
    <w:rsid w:val="36153F87"/>
    <w:rsid w:val="36D81697"/>
    <w:rsid w:val="37F41D2B"/>
    <w:rsid w:val="382D771D"/>
    <w:rsid w:val="387719FE"/>
    <w:rsid w:val="38E2156D"/>
    <w:rsid w:val="39111488"/>
    <w:rsid w:val="39292397"/>
    <w:rsid w:val="3A0E152A"/>
    <w:rsid w:val="3A1C1C90"/>
    <w:rsid w:val="3A276330"/>
    <w:rsid w:val="3B364EFE"/>
    <w:rsid w:val="3B583D69"/>
    <w:rsid w:val="3B5B5607"/>
    <w:rsid w:val="3B8701AA"/>
    <w:rsid w:val="3C2B3C0C"/>
    <w:rsid w:val="3C6F401C"/>
    <w:rsid w:val="3C7E6337"/>
    <w:rsid w:val="3D033F43"/>
    <w:rsid w:val="3D65276D"/>
    <w:rsid w:val="3D6C7658"/>
    <w:rsid w:val="3DE713D4"/>
    <w:rsid w:val="3E832F35"/>
    <w:rsid w:val="40A62E81"/>
    <w:rsid w:val="40E37C31"/>
    <w:rsid w:val="41326E0A"/>
    <w:rsid w:val="41452699"/>
    <w:rsid w:val="41C742C9"/>
    <w:rsid w:val="4253528A"/>
    <w:rsid w:val="425822A6"/>
    <w:rsid w:val="43C0339C"/>
    <w:rsid w:val="444173B8"/>
    <w:rsid w:val="44E4666D"/>
    <w:rsid w:val="46A92E1A"/>
    <w:rsid w:val="474D22A8"/>
    <w:rsid w:val="475E3D3F"/>
    <w:rsid w:val="47CD5197"/>
    <w:rsid w:val="487D4E0F"/>
    <w:rsid w:val="48DB38E3"/>
    <w:rsid w:val="49627B61"/>
    <w:rsid w:val="49B77EAC"/>
    <w:rsid w:val="4A301A0D"/>
    <w:rsid w:val="4A7F4AA6"/>
    <w:rsid w:val="4B007EFB"/>
    <w:rsid w:val="4B2F02BE"/>
    <w:rsid w:val="4B78077E"/>
    <w:rsid w:val="4B990D30"/>
    <w:rsid w:val="4CE9353C"/>
    <w:rsid w:val="4D9F1383"/>
    <w:rsid w:val="4DBA3A74"/>
    <w:rsid w:val="4F571F27"/>
    <w:rsid w:val="51597A9B"/>
    <w:rsid w:val="52C04276"/>
    <w:rsid w:val="538E2B3F"/>
    <w:rsid w:val="53AC2D0E"/>
    <w:rsid w:val="542E70DC"/>
    <w:rsid w:val="54E03AAB"/>
    <w:rsid w:val="54E42BC8"/>
    <w:rsid w:val="558C0743"/>
    <w:rsid w:val="560E217A"/>
    <w:rsid w:val="575A44AC"/>
    <w:rsid w:val="57B231BD"/>
    <w:rsid w:val="58FE78A6"/>
    <w:rsid w:val="59C83A10"/>
    <w:rsid w:val="59D10B16"/>
    <w:rsid w:val="59F40CA9"/>
    <w:rsid w:val="5A035BA5"/>
    <w:rsid w:val="5A583944"/>
    <w:rsid w:val="5A5D684E"/>
    <w:rsid w:val="5B005214"/>
    <w:rsid w:val="5B61236E"/>
    <w:rsid w:val="5B7B7DB3"/>
    <w:rsid w:val="5CB564CD"/>
    <w:rsid w:val="5D5C103F"/>
    <w:rsid w:val="5ECE3876"/>
    <w:rsid w:val="5FFC2665"/>
    <w:rsid w:val="60954845"/>
    <w:rsid w:val="6129212E"/>
    <w:rsid w:val="61F57569"/>
    <w:rsid w:val="62BC7E8A"/>
    <w:rsid w:val="62C84A81"/>
    <w:rsid w:val="635602DE"/>
    <w:rsid w:val="63F975E8"/>
    <w:rsid w:val="64CA612D"/>
    <w:rsid w:val="650C2823"/>
    <w:rsid w:val="65366869"/>
    <w:rsid w:val="65CC4888"/>
    <w:rsid w:val="660142E1"/>
    <w:rsid w:val="66E04A8F"/>
    <w:rsid w:val="66E856F1"/>
    <w:rsid w:val="676E3E49"/>
    <w:rsid w:val="685272C6"/>
    <w:rsid w:val="68A93C83"/>
    <w:rsid w:val="698033CB"/>
    <w:rsid w:val="698F3BF8"/>
    <w:rsid w:val="69984E44"/>
    <w:rsid w:val="699A08EE"/>
    <w:rsid w:val="69E95A08"/>
    <w:rsid w:val="6A9516EC"/>
    <w:rsid w:val="6B4A6F85"/>
    <w:rsid w:val="6B9028DF"/>
    <w:rsid w:val="6CDB1F80"/>
    <w:rsid w:val="6D0B3EE8"/>
    <w:rsid w:val="6D2B2DFA"/>
    <w:rsid w:val="6E5F098F"/>
    <w:rsid w:val="70497201"/>
    <w:rsid w:val="70862203"/>
    <w:rsid w:val="708E10B8"/>
    <w:rsid w:val="70A84A20"/>
    <w:rsid w:val="70C46056"/>
    <w:rsid w:val="70FA4F14"/>
    <w:rsid w:val="71E82A49"/>
    <w:rsid w:val="721E6BED"/>
    <w:rsid w:val="72BD0170"/>
    <w:rsid w:val="73034ED2"/>
    <w:rsid w:val="73D634A1"/>
    <w:rsid w:val="750C4CA1"/>
    <w:rsid w:val="752D1D1B"/>
    <w:rsid w:val="757545F4"/>
    <w:rsid w:val="759251A6"/>
    <w:rsid w:val="75BC6DC6"/>
    <w:rsid w:val="76C021E7"/>
    <w:rsid w:val="76CD220E"/>
    <w:rsid w:val="76EF6628"/>
    <w:rsid w:val="775C1F10"/>
    <w:rsid w:val="77961F1D"/>
    <w:rsid w:val="77EE068E"/>
    <w:rsid w:val="780A61EE"/>
    <w:rsid w:val="78876855"/>
    <w:rsid w:val="790A3EC8"/>
    <w:rsid w:val="79764DDF"/>
    <w:rsid w:val="79C64960"/>
    <w:rsid w:val="79ED50A1"/>
    <w:rsid w:val="7A1C5986"/>
    <w:rsid w:val="7A5FD3E6"/>
    <w:rsid w:val="7C4D1E27"/>
    <w:rsid w:val="7C50758A"/>
    <w:rsid w:val="7DD00F61"/>
    <w:rsid w:val="7E9D3DAF"/>
    <w:rsid w:val="7F34107C"/>
    <w:rsid w:val="7FB02967"/>
    <w:rsid w:val="BBEF6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ind w:firstLine="645"/>
    </w:pPr>
    <w:rPr>
      <w:rFonts w:ascii="Arial" w:hAnsi="Arial" w:eastAsia="仿宋_GB2312"/>
      <w:sz w:val="28"/>
    </w:rPr>
  </w:style>
  <w:style w:type="paragraph" w:styleId="3">
    <w:name w:val="envelope return"/>
    <w:basedOn w:val="1"/>
    <w:qFormat/>
    <w:uiPriority w:val="0"/>
    <w:pPr>
      <w:snapToGrid w:val="0"/>
    </w:pPr>
    <w:rPr>
      <w:rFonts w:ascii="Arial" w:hAnsi="Arial"/>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一级目录"/>
    <w:next w:val="1"/>
    <w:qFormat/>
    <w:uiPriority w:val="99"/>
    <w:pPr>
      <w:spacing w:afterLines="100"/>
      <w:jc w:val="center"/>
      <w:outlineLvl w:val="0"/>
    </w:pPr>
    <w:rPr>
      <w:rFonts w:ascii="黑体" w:hAnsi="Times New Roman" w:eastAsia="黑体" w:cs="Times New Roman"/>
      <w:b/>
      <w:bCs/>
      <w:kern w:val="2"/>
      <w:sz w:val="44"/>
      <w:szCs w:val="44"/>
      <w:lang w:val="en-US" w:eastAsia="zh-CN" w:bidi="ar-SA"/>
    </w:rPr>
  </w:style>
  <w:style w:type="paragraph" w:customStyle="1" w:styleId="9">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949de509-15fc-46d7-86d1-9bc91da9be1d</errorID>
      <errorWord>(</errorWord>
      <group>L1_Format</group>
      <groupName>格式问题</groupName>
      <ability>L2_HalfPunc</ability>
      <abilityName>全半角检查</abilityName>
      <candidateList>
        <item>（</item>
      </candidateList>
      <explain>文本全半角错误。</explain>
      <paraID>40BA6892</paraID>
      <start>8</start>
      <end>9</end>
      <status>modified</status>
      <modifiedWord>（</modifiedWord>
      <trackRevisions>false</trackRevisions>
    </reviewItem>
    <reviewItem>
      <errorID>31dd1c72-5d5b-46a1-9341-91e8b532166d</errorID>
      <errorWord>)</errorWord>
      <group>L1_Format</group>
      <groupName>格式问题</groupName>
      <ability>L2_HalfPunc</ability>
      <abilityName>全半角检查</abilityName>
      <candidateList>
        <item>）</item>
      </candidateList>
      <explain>文本全半角错误。</explain>
      <paraID>40BA6892</paraID>
      <start>14</start>
      <end>15</end>
      <status>modified</status>
      <modifiedWord>）</modifiedWord>
      <trackRevisions>false</trackRevisions>
    </reviewItem>
    <reviewItem>
      <errorID>71f7a151-cd33-4d7e-b15f-d7415d9ac2b8</errorID>
      <errorWord>员</errorWord>
      <group>L1_Word</group>
      <groupName>字词问题</groupName>
      <ability>L2_Typo</ability>
      <abilityName>字词错误</abilityName>
      <candidateList>
        <item>员和</item>
      </candidateList>
      <explain/>
      <paraID> C5F7723</paraID>
      <start>17</start>
      <end>19</end>
      <status>modified</status>
      <modifiedWord>员和</modifiedWord>
      <trackRevisions>false</trackRevisions>
    </reviewItem>
    <reviewItem>
      <errorID>ead2b1b5-62c9-43dd-bbd5-95c0a658190d</errorID>
      <errorWord>肆份</errorWord>
      <group>L1_Word</group>
      <groupName>字词问题</groupName>
      <ability>L2_Typo</ability>
      <abilityName>字词错误</abilityName>
      <candidateList>
        <item>四份</item>
      </candidateList>
      <explain>存在发音相同字词的误用。</explain>
      <paraID>13611678</paraID>
      <start>9</start>
      <end>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d375e2-58c0-4f27-9e27-788ec3343406}">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1418</Words>
  <Characters>1484</Characters>
  <Lines>0</Lines>
  <Paragraphs>0</Paragraphs>
  <TotalTime>24</TotalTime>
  <ScaleCrop>false</ScaleCrop>
  <LinksUpToDate>false</LinksUpToDate>
  <CharactersWithSpaces>1607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2024-03-21T17:29:00Z</dcterms:created>
  <dc:creator>Administrator</dc:creator>
  <cp:lastModifiedBy>徐丹丹</cp:lastModifiedBy>
  <cp:lastPrinted>2025-03-19T04:18:00Z</cp:lastPrinted>
  <dcterms:modified xsi:type="dcterms:W3CDTF">2026-03-11T10:06:47Z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1F5E6D9F08B04C61A61B198D2D013DCC_13</vt:lpwstr>
  </property>
  <property fmtid="{D5CDD505-2E9C-101B-9397-08002B2CF9AE}" pid="4" name="KSOTemplateDocerSaveRecord">
    <vt:lpwstr>eyJoZGlkIjoiOTNhMzE3OWM0NmYzMDE4ZjJkYzE1ZTgxYzk4ZmQzOWEiLCJ1c2VySWQiOiI2MzkwMjcxNTQifQ==</vt:lpwstr>
  </property>
</Properties>
</file>