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pStyle w:val="745"/>
        <w:jc w:val="center"/>
        <w:spacing w:line="1040" w:lineRule="exact"/>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pStyle w:val="745"/>
        <w:jc w:val="center"/>
        <w:spacing w:line="1040" w:lineRule="exact"/>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t xml:space="preserve">公开招标文件</w:t>
      </w:r>
      <w:r>
        <w:rPr>
          <w:rFonts w:hint="eastAsia" w:ascii="仿宋" w:hAnsi="仿宋" w:eastAsia="仿宋" w:cs="仿宋"/>
          <w:b/>
          <w:color w:val="000000"/>
          <w:sz w:val="72"/>
          <w:szCs w:val="72"/>
          <w:highlight w:val="none"/>
        </w:rPr>
      </w:r>
      <w:r/>
    </w:p>
    <w:p>
      <w:pPr>
        <w:pStyle w:val="745"/>
        <w:jc w:val="left"/>
        <w:tabs>
          <w:tab w:val="center" w:pos="4621" w:leader="none"/>
        </w:tabs>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pStyle w:val="745"/>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745"/>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745"/>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745"/>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745"/>
        <w:spacing w:line="760" w:lineRule="exact"/>
        <w:rPr>
          <w:rFonts w:hint="eastAsia" w:ascii="仿宋" w:hAnsi="仿宋" w:eastAsia="仿宋" w:cs="仿宋"/>
          <w:b/>
          <w:color w:val="000000"/>
          <w:sz w:val="32"/>
          <w:szCs w:val="22"/>
          <w:highlight w:val="none"/>
          <w:lang w:eastAsia="zh-CN"/>
        </w:rPr>
      </w:pPr>
      <w:r>
        <w:rPr>
          <w:rFonts w:hint="eastAsia" w:ascii="仿宋" w:hAnsi="仿宋" w:eastAsia="仿宋" w:cs="仿宋"/>
          <w:b/>
          <w:color w:val="000000"/>
          <w:sz w:val="32"/>
          <w:szCs w:val="32"/>
          <w:highlight w:val="none"/>
        </w:rPr>
        <w:t xml:space="preserve">项目名称：</w:t>
      </w:r>
      <w:r>
        <w:rPr>
          <w:rFonts w:hint="eastAsia" w:ascii="仿宋" w:hAnsi="仿宋" w:eastAsia="仿宋" w:cs="仿宋"/>
          <w:b/>
          <w:bCs/>
          <w:color w:val="000000"/>
          <w:sz w:val="32"/>
          <w:szCs w:val="32"/>
          <w:highlight w:val="none"/>
          <w:lang w:eastAsia="zh-CN"/>
        </w:rPr>
        <w:t xml:space="preserve">淮阴区政策性农业保险经办机构遴选项目</w:t>
      </w:r>
      <w:r>
        <w:rPr>
          <w:rFonts w:hint="eastAsia" w:ascii="仿宋" w:hAnsi="仿宋" w:eastAsia="仿宋" w:cs="仿宋"/>
          <w:b/>
          <w:color w:val="000000"/>
          <w:sz w:val="32"/>
          <w:szCs w:val="22"/>
          <w:highlight w:val="none"/>
          <w:lang w:eastAsia="zh-CN"/>
        </w:rPr>
      </w:r>
      <w:r/>
    </w:p>
    <w:p>
      <w:pPr>
        <w:pStyle w:val="745"/>
        <w:spacing w:line="760" w:lineRule="exact"/>
        <w:rPr>
          <w:rFonts w:hint="eastAsia" w:ascii="仿宋" w:hAnsi="仿宋" w:eastAsia="仿宋" w:cs="仿宋"/>
          <w:b/>
          <w:color w:val="000000"/>
          <w:sz w:val="28"/>
          <w:szCs w:val="22"/>
          <w:highlight w:val="none"/>
          <w:lang w:eastAsia="zh-CN"/>
        </w:rPr>
      </w:pPr>
      <w:r>
        <w:rPr>
          <w:rFonts w:hint="eastAsia" w:ascii="仿宋" w:hAnsi="仿宋" w:eastAsia="仿宋" w:cs="仿宋"/>
          <w:b/>
          <w:color w:val="000000"/>
          <w:sz w:val="32"/>
          <w:szCs w:val="22"/>
          <w:highlight w:val="none"/>
        </w:rPr>
        <w:t xml:space="preserve">项目编号：</w:t>
      </w:r>
      <w:r>
        <w:rPr>
          <w:rFonts w:hint="eastAsia" w:ascii="仿宋" w:hAnsi="仿宋" w:eastAsia="仿宋" w:cs="仿宋"/>
          <w:b/>
          <w:color w:val="000000"/>
          <w:sz w:val="32"/>
          <w:szCs w:val="22"/>
          <w:highlight w:val="none"/>
          <w:lang w:eastAsia="zh-CN"/>
        </w:rPr>
        <w:t xml:space="preserve">JSZC-320804-HAJY-G2026-0006</w:t>
      </w:r>
      <w:r>
        <w:rPr>
          <w:rFonts w:hint="eastAsia" w:ascii="仿宋" w:hAnsi="仿宋" w:eastAsia="仿宋" w:cs="仿宋"/>
          <w:b/>
          <w:color w:val="000000"/>
          <w:sz w:val="28"/>
          <w:szCs w:val="22"/>
          <w:highlight w:val="none"/>
          <w:lang w:eastAsia="zh-CN"/>
        </w:rPr>
      </w:r>
      <w:r/>
    </w:p>
    <w:p>
      <w:pPr>
        <w:pStyle w:val="745"/>
        <w:spacing w:line="600" w:lineRule="exact"/>
        <w:tabs>
          <w:tab w:val="center" w:pos="5215" w:leader="none"/>
        </w:tabs>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45"/>
        <w:spacing w:line="600" w:lineRule="exact"/>
        <w:tabs>
          <w:tab w:val="center" w:pos="5215" w:leader="none"/>
        </w:tabs>
        <w:rPr>
          <w:rFonts w:hint="eastAsia" w:ascii="仿宋" w:hAnsi="仿宋" w:eastAsia="仿宋" w:cs="仿宋"/>
          <w:b/>
          <w:color w:val="000000"/>
          <w:sz w:val="32"/>
          <w:szCs w:val="32"/>
          <w:highlight w:val="none"/>
          <w:lang w:eastAsia="zh-CN"/>
        </w:rPr>
      </w:pPr>
      <w:r>
        <w:rPr>
          <w:rFonts w:hint="eastAsia" w:ascii="仿宋" w:hAnsi="仿宋" w:eastAsia="仿宋" w:cs="仿宋"/>
          <w:b/>
          <w:color w:val="000000"/>
          <w:sz w:val="32"/>
          <w:szCs w:val="32"/>
          <w:highlight w:val="none"/>
        </w:rPr>
        <w:t xml:space="preserve">采购单位：</w:t>
      </w:r>
      <w:r>
        <w:rPr>
          <w:rFonts w:hint="eastAsia" w:ascii="仿宋" w:hAnsi="仿宋" w:eastAsia="仿宋" w:cs="仿宋"/>
          <w:b/>
          <w:color w:val="000000"/>
          <w:sz w:val="32"/>
          <w:szCs w:val="32"/>
          <w:highlight w:val="none"/>
          <w:lang w:eastAsia="zh-CN"/>
        </w:rPr>
        <w:t xml:space="preserve">淮安市淮阴区财政局</w:t>
      </w:r>
      <w:r>
        <w:rPr>
          <w:rFonts w:hint="eastAsia" w:ascii="仿宋" w:hAnsi="仿宋" w:eastAsia="仿宋" w:cs="仿宋"/>
          <w:b/>
          <w:color w:val="000000"/>
          <w:sz w:val="32"/>
          <w:szCs w:val="32"/>
          <w:highlight w:val="none"/>
          <w:lang w:eastAsia="zh-CN"/>
        </w:rPr>
      </w:r>
      <w:r/>
    </w:p>
    <w:p>
      <w:pPr>
        <w:pStyle w:val="745"/>
        <w:spacing w:line="600" w:lineRule="exact"/>
        <w:tabs>
          <w:tab w:val="center" w:pos="5215" w:leader="none"/>
        </w:tabs>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45"/>
        <w:spacing w:line="600" w:lineRule="exact"/>
        <w:tabs>
          <w:tab w:val="center" w:pos="5215" w:leader="none"/>
        </w:tabs>
        <w:rPr>
          <w:rFonts w:hint="eastAsia" w:ascii="仿宋" w:hAnsi="仿宋" w:eastAsia="仿宋" w:cs="仿宋"/>
          <w:b/>
          <w:color w:val="000000"/>
          <w:sz w:val="32"/>
          <w:szCs w:val="32"/>
          <w:highlight w:val="none"/>
          <w:lang w:eastAsia="zh-CN"/>
        </w:rPr>
      </w:pPr>
      <w:r>
        <w:rPr>
          <w:rFonts w:hint="eastAsia" w:ascii="仿宋" w:hAnsi="仿宋" w:eastAsia="仿宋" w:cs="仿宋"/>
          <w:b/>
          <w:color w:val="000000"/>
          <w:sz w:val="32"/>
          <w:szCs w:val="32"/>
          <w:highlight w:val="none"/>
        </w:rPr>
        <w:t xml:space="preserve">代理机构：</w:t>
      </w:r>
      <w:r>
        <w:rPr>
          <w:rFonts w:hint="eastAsia" w:ascii="仿宋" w:hAnsi="仿宋" w:eastAsia="仿宋" w:cs="仿宋"/>
          <w:b/>
          <w:color w:val="000000"/>
          <w:sz w:val="32"/>
          <w:szCs w:val="32"/>
          <w:highlight w:val="none"/>
          <w:lang w:eastAsia="zh-CN"/>
        </w:rPr>
        <w:t xml:space="preserve">淮安江益工程项目管理咨询有限公司</w:t>
      </w:r>
      <w:r>
        <w:rPr>
          <w:rFonts w:hint="eastAsia" w:ascii="仿宋" w:hAnsi="仿宋" w:eastAsia="仿宋" w:cs="仿宋"/>
          <w:b/>
          <w:color w:val="000000"/>
          <w:sz w:val="32"/>
          <w:szCs w:val="32"/>
          <w:highlight w:val="none"/>
          <w:lang w:eastAsia="zh-CN"/>
        </w:rPr>
      </w:r>
      <w:r/>
    </w:p>
    <w:p>
      <w:pPr>
        <w:pStyle w:val="745"/>
        <w:jc w:val="center"/>
        <w:spacing w:line="600" w:lineRule="exact"/>
        <w:tabs>
          <w:tab w:val="center" w:pos="5215" w:leader="none"/>
        </w:tabs>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45"/>
        <w:jc w:val="center"/>
        <w:spacing w:line="600" w:lineRule="exact"/>
        <w:tabs>
          <w:tab w:val="center" w:pos="5215" w:leader="none"/>
        </w:tabs>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二〇二</w:t>
      </w:r>
      <w:r>
        <w:rPr>
          <w:rFonts w:hint="eastAsia" w:ascii="仿宋" w:hAnsi="仿宋" w:eastAsia="仿宋" w:cs="仿宋"/>
          <w:b/>
          <w:color w:val="000000"/>
          <w:sz w:val="32"/>
          <w:szCs w:val="32"/>
          <w:highlight w:val="none"/>
          <w:lang w:val="en-US" w:eastAsia="zh-CN"/>
        </w:rPr>
        <w:t xml:space="preserve">六</w:t>
      </w:r>
      <w:r>
        <w:rPr>
          <w:rFonts w:hint="eastAsia" w:ascii="仿宋" w:hAnsi="仿宋" w:eastAsia="仿宋" w:cs="仿宋"/>
          <w:b/>
          <w:color w:val="000000"/>
          <w:sz w:val="32"/>
          <w:szCs w:val="32"/>
          <w:highlight w:val="none"/>
        </w:rPr>
        <w:t xml:space="preserve">年</w:t>
      </w:r>
      <w:r>
        <w:rPr>
          <w:rFonts w:hint="eastAsia" w:ascii="仿宋" w:hAnsi="仿宋" w:eastAsia="仿宋" w:cs="仿宋"/>
          <w:b/>
          <w:color w:val="000000"/>
          <w:sz w:val="32"/>
          <w:szCs w:val="32"/>
          <w:highlight w:val="none"/>
          <w:lang w:val="en-US" w:eastAsia="zh-CN"/>
        </w:rPr>
        <w:t xml:space="preserve">三</w:t>
      </w:r>
      <w:r>
        <w:rPr>
          <w:rFonts w:hint="eastAsia" w:ascii="仿宋" w:hAnsi="仿宋" w:eastAsia="仿宋" w:cs="仿宋"/>
          <w:b/>
          <w:color w:val="000000"/>
          <w:sz w:val="32"/>
          <w:szCs w:val="32"/>
          <w:highlight w:val="none"/>
        </w:rPr>
        <w:t xml:space="preserve">月</w:t>
      </w:r>
      <w:r>
        <w:rPr>
          <w:rFonts w:hint="eastAsia" w:ascii="仿宋" w:hAnsi="仿宋" w:eastAsia="仿宋" w:cs="仿宋"/>
          <w:b/>
          <w:color w:val="000000"/>
          <w:sz w:val="32"/>
          <w:szCs w:val="32"/>
          <w:highlight w:val="none"/>
        </w:rPr>
      </w:r>
      <w:r/>
    </w:p>
    <w:p>
      <w:pPr>
        <w:pStyle w:val="745"/>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97"/>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5"/>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97"/>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4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5"/>
        <w:ind w:firstLine="2512"/>
        <w:spacing w:line="52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74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78"/>
        <w:rPr>
          <w:rFonts w:hint="eastAsia"/>
          <w:color w:val="000000"/>
          <w:highlight w:val="none"/>
        </w:rPr>
      </w:pPr>
      <w:r>
        <w:rPr>
          <w:rFonts w:hint="eastAsia"/>
          <w:color w:val="000000"/>
          <w:highlight w:val="none"/>
        </w:rPr>
      </w:r>
      <w:r/>
    </w:p>
    <w:p>
      <w:pPr>
        <w:pStyle w:val="745"/>
        <w:jc w:val="center"/>
        <w:spacing w:line="52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第一章投标邀请</w:t>
      </w:r>
      <w:r>
        <w:rPr>
          <w:rFonts w:hint="eastAsia" w:ascii="仿宋" w:hAnsi="仿宋" w:eastAsia="仿宋" w:cs="仿宋"/>
          <w:b/>
          <w:color w:val="000000"/>
          <w:sz w:val="36"/>
          <w:szCs w:val="36"/>
          <w:highlight w:val="none"/>
        </w:rPr>
      </w:r>
      <w:r/>
    </w:p>
    <w:p>
      <w:pPr>
        <w:pStyle w:val="745"/>
        <w:ind w:left="1" w:firstLine="537"/>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受</w:t>
      </w:r>
      <w:r>
        <w:rPr>
          <w:rFonts w:hint="eastAsia" w:ascii="仿宋" w:hAnsi="仿宋" w:eastAsia="仿宋" w:cs="仿宋"/>
          <w:color w:val="000000"/>
          <w:sz w:val="28"/>
          <w:highlight w:val="none"/>
          <w:lang w:eastAsia="zh-CN"/>
        </w:rPr>
        <w:t xml:space="preserve">淮安市淮阴区财政局</w:t>
      </w:r>
      <w:r>
        <w:rPr>
          <w:rFonts w:hint="eastAsia" w:ascii="仿宋" w:hAnsi="仿宋" w:eastAsia="仿宋" w:cs="仿宋"/>
          <w:color w:val="000000"/>
          <w:sz w:val="28"/>
          <w:highlight w:val="none"/>
        </w:rPr>
        <w:t xml:space="preserve">的委托，</w:t>
      </w:r>
      <w:r>
        <w:rPr>
          <w:rFonts w:hint="eastAsia" w:ascii="仿宋" w:hAnsi="仿宋" w:eastAsia="仿宋" w:cs="仿宋"/>
          <w:color w:val="000000"/>
          <w:sz w:val="28"/>
          <w:highlight w:val="none"/>
          <w:lang w:eastAsia="zh-CN"/>
        </w:rPr>
        <w:t xml:space="preserve">淮安江益工程项目管理咨询有限公司</w:t>
      </w:r>
      <w:r>
        <w:rPr>
          <w:rFonts w:hint="eastAsia" w:ascii="仿宋" w:hAnsi="仿宋" w:eastAsia="仿宋" w:cs="仿宋"/>
          <w:color w:val="000000"/>
          <w:sz w:val="28"/>
          <w:highlight w:val="none"/>
        </w:rPr>
        <w:t xml:space="preserve">就</w:t>
      </w:r>
      <w:r>
        <w:rPr>
          <w:rFonts w:hint="eastAsia" w:ascii="仿宋" w:hAnsi="仿宋" w:eastAsia="仿宋" w:cs="仿宋"/>
          <w:color w:val="000000"/>
          <w:sz w:val="28"/>
          <w:highlight w:val="none"/>
          <w:lang w:eastAsia="zh-CN"/>
        </w:rPr>
        <w:t xml:space="preserve">淮阴区政策性农业保险经办机构遴选项目</w:t>
      </w:r>
      <w:r>
        <w:rPr>
          <w:rFonts w:hint="eastAsia" w:ascii="仿宋" w:hAnsi="仿宋" w:eastAsia="仿宋" w:cs="仿宋"/>
          <w:color w:val="000000"/>
          <w:sz w:val="28"/>
          <w:highlight w:val="none"/>
        </w:rPr>
        <w:t xml:space="preserve">政府采购项目进行公开招标采购，现邀请</w:t>
      </w:r>
      <w:r>
        <w:rPr>
          <w:rFonts w:hint="eastAsia" w:ascii="仿宋" w:hAnsi="仿宋" w:eastAsia="仿宋" w:cs="仿宋"/>
          <w:color w:val="000000"/>
          <w:sz w:val="28"/>
          <w:szCs w:val="28"/>
          <w:highlight w:val="none"/>
        </w:rPr>
        <w:t xml:space="preserve">符合条件的投标人参加投标</w:t>
      </w:r>
      <w:r>
        <w:rPr>
          <w:rFonts w:hint="eastAsia" w:ascii="仿宋" w:hAnsi="仿宋" w:eastAsia="仿宋" w:cs="仿宋"/>
          <w:color w:val="000000"/>
          <w:sz w:val="28"/>
          <w:highlight w:val="none"/>
        </w:rPr>
        <w:t xml:space="preserve">。</w:t>
      </w:r>
      <w:r>
        <w:rPr>
          <w:rFonts w:hint="eastAsia" w:ascii="仿宋" w:hAnsi="仿宋" w:eastAsia="仿宋" w:cs="仿宋"/>
          <w:color w:val="000000"/>
          <w:sz w:val="28"/>
          <w:szCs w:val="28"/>
          <w:highlight w:val="none"/>
        </w:rPr>
      </w:r>
      <w:r/>
    </w:p>
    <w:p>
      <w:pPr>
        <w:pStyle w:val="745"/>
        <w:ind w:left="1" w:firstLine="537"/>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-20319</wp:posOffset>
                </wp:positionH>
                <wp:positionV relativeFrom="paragraph">
                  <wp:posOffset>120650</wp:posOffset>
                </wp:positionV>
                <wp:extent cx="5761355" cy="159131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591310"/>
                        </a:xfrm>
                        <a:prstGeom prst="rect">
                          <a:avLst/>
                        </a:prstGeom>
                        <a:solidFill>
                          <a:srgbClr val="FFFFFF"/>
                        </a:solidFill>
                        <a:ln>
                          <a:solidFill>
                            <a:srgbClr val="000000"/>
                          </a:solidFill>
                        </a:ln>
                      </wps:spPr>
                      <wps:txbx>
                        <w:txbxContent>
                          <w:p>
                            <w:pPr>
                              <w:pStyle w:val="745"/>
                              <w:ind w:firstLine="539"/>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淮阴区政策性农业保险经办机构遴选项目</w:t>
                            </w:r>
                            <w:r>
                              <w:rPr>
                                <w:rFonts w:hint="eastAsia" w:ascii="仿宋" w:hAnsi="仿宋" w:eastAsia="仿宋"/>
                                <w:sz w:val="28"/>
                                <w:szCs w:val="28"/>
                              </w:rPr>
                              <w:t xml:space="preserve">招标项目的潜在投标人应在淮安市政府采购网（http://czj.huaian.gov.cn/col/13924_326175/index.html）自行免费下载招标文件，并于202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rPr>
                              <w:t xml:space="preserve">4月1</w:t>
                            </w:r>
                            <w:r>
                              <w:rPr>
                                <w:rFonts w:hint="eastAsia" w:ascii="仿宋" w:hAnsi="仿宋" w:eastAsia="仿宋"/>
                                <w:sz w:val="28"/>
                                <w:szCs w:val="28"/>
                              </w:rPr>
                              <w:t xml:space="preserve">日9点</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0分（北京时间）前提交投标文件。</w:t>
                            </w:r>
                            <w:r/>
                          </w:p>
                          <w:p>
                            <w:pPr>
                              <w:pStyle w:val="745"/>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6pt;mso-position-horizontal:absolute;mso-position-vertical-relative:text;margin-top:9.5pt;mso-position-vertical:absolute;width:453.6pt;height:125.3pt;mso-wrap-distance-left:9.0pt;mso-wrap-distance-top:0.0pt;mso-wrap-distance-right:9.0pt;mso-wrap-distance-bottom:0.0pt;visibility:visible;" fillcolor="#FFFFFF" strokecolor="#000000">
                <v:textbox inset="0,0,0,0">
                  <w:txbxContent>
                    <w:p>
                      <w:pPr>
                        <w:pStyle w:val="745"/>
                        <w:ind w:firstLine="539"/>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淮阴区政策性农业保险经办机构遴选项目</w:t>
                      </w:r>
                      <w:r>
                        <w:rPr>
                          <w:rFonts w:hint="eastAsia" w:ascii="仿宋" w:hAnsi="仿宋" w:eastAsia="仿宋"/>
                          <w:sz w:val="28"/>
                          <w:szCs w:val="28"/>
                        </w:rPr>
                        <w:t xml:space="preserve">招标项目的潜在投标人应在淮安市政府采购网（http://czj.huaian.gov.cn/col/13924_326175/index.html）自行免费下载招标文件，并于202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rPr>
                        <w:t xml:space="preserve">4月1</w:t>
                      </w:r>
                      <w:r>
                        <w:rPr>
                          <w:rFonts w:hint="eastAsia" w:ascii="仿宋" w:hAnsi="仿宋" w:eastAsia="仿宋"/>
                          <w:sz w:val="28"/>
                          <w:szCs w:val="28"/>
                        </w:rPr>
                        <w:t xml:space="preserve">日9点</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0分（北京时间）前提交投标文件。</w:t>
                      </w:r>
                      <w:r/>
                    </w:p>
                    <w:p>
                      <w:pPr>
                        <w:pStyle w:val="745"/>
                      </w:pPr>
                      <w:r/>
                      <w:r/>
                    </w:p>
                  </w:txbxContent>
                </v:textbox>
              </v:shape>
            </w:pict>
          </mc:Fallback>
        </mc:AlternateContent>
      </w:r>
      <w:r>
        <w:rPr>
          <w:rFonts w:hint="eastAsia" w:ascii="仿宋" w:hAnsi="仿宋" w:eastAsia="仿宋" w:cs="仿宋"/>
          <w:color w:val="000000"/>
          <w:sz w:val="28"/>
          <w:szCs w:val="28"/>
          <w:highlight w:val="none"/>
        </w:rPr>
      </w:r>
      <w:r/>
    </w:p>
    <w:p>
      <w:pPr>
        <w:pStyle w:val="745"/>
        <w:ind w:left="1" w:firstLine="537"/>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5"/>
        <w:ind w:left="1" w:firstLine="537"/>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5"/>
        <w:ind w:left="1" w:firstLine="537"/>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5"/>
        <w:ind w:left="1" w:firstLine="537"/>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一、项目基本情况</w:t>
      </w:r>
      <w:r>
        <w:rPr>
          <w:rFonts w:hint="eastAsia" w:ascii="仿宋" w:hAnsi="仿宋" w:eastAsia="仿宋" w:cs="仿宋"/>
          <w:color w:val="000000"/>
          <w:sz w:val="28"/>
          <w:szCs w:val="28"/>
          <w:highlight w:val="none"/>
        </w:rPr>
      </w:r>
      <w:r/>
    </w:p>
    <w:p>
      <w:pPr>
        <w:pStyle w:val="745"/>
        <w:ind w:firstLine="565"/>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（一）项目编号：</w:t>
      </w:r>
      <w:r>
        <w:rPr>
          <w:rFonts w:hint="eastAsia" w:ascii="仿宋" w:hAnsi="仿宋" w:eastAsia="仿宋" w:cs="仿宋"/>
          <w:color w:val="000000"/>
          <w:sz w:val="28"/>
          <w:szCs w:val="28"/>
          <w:highlight w:val="none"/>
          <w:lang w:eastAsia="zh-CN"/>
        </w:rPr>
        <w:t xml:space="preserve">JSZC-320804-HAJY-G2026-0006</w:t>
      </w:r>
      <w:r>
        <w:rPr>
          <w:rFonts w:hint="eastAsia" w:ascii="仿宋" w:hAnsi="仿宋" w:eastAsia="仿宋" w:cs="仿宋"/>
          <w:color w:val="000000"/>
          <w:sz w:val="28"/>
          <w:szCs w:val="28"/>
          <w:highlight w:val="none"/>
          <w:lang w:eastAsia="zh-CN"/>
        </w:rPr>
      </w:r>
      <w:r/>
    </w:p>
    <w:p>
      <w:pPr>
        <w:pStyle w:val="745"/>
        <w:ind w:firstLine="565"/>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（二）项目名称：</w:t>
      </w:r>
      <w:r>
        <w:rPr>
          <w:rFonts w:hint="eastAsia" w:ascii="仿宋" w:hAnsi="仿宋" w:eastAsia="仿宋" w:cs="仿宋"/>
          <w:color w:val="000000"/>
          <w:sz w:val="28"/>
          <w:szCs w:val="28"/>
          <w:highlight w:val="none"/>
          <w:lang w:eastAsia="zh-CN"/>
        </w:rPr>
        <w:t xml:space="preserve">淮阴区政策性农业保险经办机构遴选项目</w:t>
      </w:r>
      <w:r>
        <w:rPr>
          <w:rFonts w:hint="eastAsia" w:ascii="仿宋" w:hAnsi="仿宋" w:eastAsia="仿宋" w:cs="仿宋"/>
          <w:color w:val="000000"/>
          <w:sz w:val="28"/>
          <w:szCs w:val="28"/>
          <w:highlight w:val="none"/>
          <w:lang w:eastAsia="zh-CN"/>
        </w:rPr>
      </w:r>
      <w:r/>
    </w:p>
    <w:p>
      <w:pPr>
        <w:pStyle w:val="745"/>
        <w:ind w:firstLine="560"/>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（三）预算金额：</w:t>
      </w:r>
      <w:r>
        <w:rPr>
          <w:rFonts w:hint="eastAsia" w:ascii="仿宋" w:hAnsi="仿宋" w:eastAsia="仿宋" w:cs="仿宋"/>
          <w:color w:val="000000"/>
          <w:sz w:val="28"/>
          <w:szCs w:val="28"/>
          <w:highlight w:val="none"/>
          <w:lang w:val="en-US" w:eastAsia="zh-CN"/>
        </w:rPr>
        <w:t xml:space="preserve">45000</w:t>
      </w:r>
      <w:r>
        <w:rPr>
          <w:rFonts w:hint="eastAsia" w:ascii="仿宋" w:hAnsi="仿宋" w:eastAsia="仿宋" w:cs="仿宋"/>
          <w:color w:val="000000"/>
          <w:sz w:val="28"/>
          <w:szCs w:val="28"/>
          <w:highlight w:val="none"/>
        </w:rPr>
        <w:t xml:space="preserve">万元。（采购包1：</w:t>
      </w:r>
      <w:r>
        <w:rPr>
          <w:rFonts w:hint="eastAsia" w:ascii="仿宋" w:hAnsi="仿宋" w:eastAsia="仿宋" w:cs="仿宋"/>
          <w:color w:val="000000"/>
          <w:sz w:val="28"/>
          <w:szCs w:val="28"/>
          <w:highlight w:val="none"/>
          <w:lang w:val="en-US" w:eastAsia="zh-CN"/>
        </w:rPr>
        <w:t xml:space="preserve">16645.5万元；采购包2:10309.5万元；采购包3:8959.5万元；采购包4:6232.5万元；采购包5:2853万元</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45"/>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（四）最高限价：</w:t>
      </w:r>
      <w:r>
        <w:rPr>
          <w:rFonts w:hint="eastAsia" w:ascii="仿宋" w:hAnsi="仿宋" w:eastAsia="仿宋" w:cs="仿宋"/>
          <w:color w:val="000000"/>
          <w:sz w:val="28"/>
          <w:szCs w:val="28"/>
          <w:highlight w:val="none"/>
          <w:lang w:val="en-US" w:eastAsia="zh-CN"/>
        </w:rPr>
        <w:t xml:space="preserve">45000</w:t>
      </w:r>
      <w:r>
        <w:rPr>
          <w:rFonts w:hint="eastAsia" w:ascii="仿宋" w:hAnsi="仿宋" w:eastAsia="仿宋" w:cs="仿宋"/>
          <w:color w:val="000000"/>
          <w:sz w:val="28"/>
          <w:szCs w:val="28"/>
          <w:highlight w:val="none"/>
        </w:rPr>
        <w:t xml:space="preserve">万元。（采购包1：</w:t>
      </w:r>
      <w:r>
        <w:rPr>
          <w:rFonts w:hint="eastAsia" w:ascii="仿宋" w:hAnsi="仿宋" w:eastAsia="仿宋" w:cs="仿宋"/>
          <w:color w:val="000000"/>
          <w:sz w:val="28"/>
          <w:szCs w:val="28"/>
          <w:highlight w:val="none"/>
          <w:lang w:val="en-US" w:eastAsia="zh-CN"/>
        </w:rPr>
        <w:t xml:space="preserve">16645.5万元；采购包2:10309.5万元；采购包3:8959.5万元；采购包4:6232.5万元；采购包5:2853万元；最终以实际承保为准。）</w:t>
      </w:r>
      <w:r>
        <w:rPr>
          <w:rFonts w:hint="eastAsia" w:ascii="仿宋" w:hAnsi="仿宋" w:eastAsia="仿宋" w:cs="仿宋"/>
          <w:color w:val="000000"/>
          <w:sz w:val="28"/>
          <w:szCs w:val="28"/>
          <w:highlight w:val="none"/>
          <w:lang w:val="en-US" w:eastAsia="zh-CN"/>
        </w:rPr>
      </w:r>
      <w:r/>
    </w:p>
    <w:p>
      <w:pPr>
        <w:pStyle w:val="745"/>
        <w:ind w:left="279" w:firstLine="473"/>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五）采购需求：淮阴区政策性农业保险经办机构遴选项目，共分为5个采购包，遴选5家保险机构，分区域经办政策性农业保险。采购包1：淮高镇、渔沟镇、丁集镇、王家营街道；采购包2：马头镇、高家堰镇、新渡口街道；采购包3：刘老庄镇、徐溜镇、古清口街道；采购包4：南陈集镇、长江路街道；采购包5：三树镇。各投标人可投其中一个采购包，也可投多个采购包，但只能中一个采购包。</w:t>
      </w:r>
      <w:r>
        <w:rPr>
          <w:rFonts w:hint="eastAsia" w:ascii="仿宋" w:hAnsi="仿宋" w:eastAsia="仿宋" w:cs="仿宋"/>
          <w:color w:val="000000"/>
          <w:sz w:val="28"/>
          <w:szCs w:val="28"/>
          <w:highlight w:val="none"/>
          <w:lang w:val="en-US" w:eastAsia="zh-CN"/>
        </w:rPr>
      </w:r>
      <w:r/>
    </w:p>
    <w:p>
      <w:pPr>
        <w:pStyle w:val="745"/>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（六）合同履行期限：三年。 </w:t>
      </w:r>
      <w:r>
        <w:rPr>
          <w:rFonts w:hint="eastAsia" w:ascii="仿宋" w:hAnsi="仿宋" w:eastAsia="仿宋" w:cs="仿宋"/>
          <w:color w:val="000000"/>
          <w:sz w:val="28"/>
          <w:szCs w:val="28"/>
          <w:highlight w:val="none"/>
        </w:rPr>
      </w:r>
      <w:r/>
    </w:p>
    <w:p>
      <w:pPr>
        <w:pStyle w:val="745"/>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（七）本项目不接受联合体或外资保险公司投标。</w:t>
      </w:r>
      <w:r>
        <w:rPr>
          <w:rFonts w:hint="eastAsia" w:ascii="仿宋" w:hAnsi="仿宋" w:eastAsia="仿宋" w:cs="仿宋"/>
          <w:color w:val="000000"/>
          <w:sz w:val="28"/>
          <w:szCs w:val="28"/>
          <w:highlight w:val="none"/>
        </w:rPr>
      </w:r>
      <w:r/>
    </w:p>
    <w:p>
      <w:pPr>
        <w:pStyle w:val="745"/>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（八）本项目采购标的对应的中小企业划分标准所属行业为</w:t>
      </w:r>
      <w:r>
        <w:rPr>
          <w:rFonts w:hint="eastAsia" w:ascii="仿宋" w:hAnsi="仿宋" w:eastAsia="仿宋" w:cs="仿宋"/>
          <w:color w:val="000000"/>
          <w:sz w:val="28"/>
          <w:szCs w:val="28"/>
          <w:highlight w:val="none"/>
          <w:u w:val="single"/>
        </w:rPr>
        <w:t xml:space="preserve">其他财产保险服务</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二、申请人的资格要求：（</w:t>
      </w:r>
      <w:r>
        <w:rPr>
          <w:rFonts w:hint="eastAsia" w:ascii="仿宋" w:hAnsi="仿宋" w:eastAsia="仿宋" w:cs="仿宋"/>
          <w:color w:val="000000"/>
          <w:sz w:val="28"/>
          <w:szCs w:val="28"/>
          <w:highlight w:val="none"/>
          <w:lang w:val="en-US" w:eastAsia="zh-CN"/>
        </w:rPr>
        <w:t xml:space="preserve">五</w:t>
      </w:r>
      <w:r>
        <w:rPr>
          <w:rFonts w:hint="eastAsia" w:ascii="仿宋" w:hAnsi="仿宋" w:eastAsia="仿宋" w:cs="仿宋"/>
          <w:color w:val="000000"/>
          <w:sz w:val="28"/>
          <w:szCs w:val="28"/>
          <w:highlight w:val="none"/>
        </w:rPr>
        <w:t xml:space="preserve">个采购包通用）</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（一）符合《中华人民共和国政府采购法》第二十二条规定并提供下列材料：</w:t>
      </w:r>
      <w:r>
        <w:rPr>
          <w:rFonts w:hint="eastAsia" w:ascii="仿宋" w:hAnsi="仿宋" w:eastAsia="仿宋" w:cs="仿宋"/>
          <w:color w:val="000000"/>
          <w:sz w:val="28"/>
          <w:szCs w:val="28"/>
          <w:highlight w:val="none"/>
        </w:rPr>
      </w:r>
      <w:r/>
    </w:p>
    <w:p>
      <w:pPr>
        <w:pStyle w:val="745"/>
        <w:ind w:left="55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1、法人或者其他组织的营业执照等证明文件；</w:t>
      </w:r>
      <w:r>
        <w:rPr>
          <w:rFonts w:hint="eastAsia" w:ascii="仿宋" w:hAnsi="仿宋" w:eastAsia="仿宋" w:cs="仿宋"/>
          <w:color w:val="000000"/>
          <w:sz w:val="28"/>
          <w:szCs w:val="28"/>
          <w:highlight w:val="none"/>
        </w:rPr>
      </w:r>
      <w:r/>
    </w:p>
    <w:p>
      <w:pPr>
        <w:pStyle w:val="745"/>
        <w:ind w:left="55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2、财务状况报告；</w:t>
      </w:r>
      <w:r>
        <w:rPr>
          <w:rFonts w:hint="eastAsia" w:ascii="仿宋" w:hAnsi="仿宋" w:eastAsia="仿宋" w:cs="仿宋"/>
          <w:color w:val="000000"/>
          <w:sz w:val="28"/>
          <w:szCs w:val="28"/>
          <w:highlight w:val="none"/>
        </w:rPr>
      </w:r>
      <w:r/>
    </w:p>
    <w:p>
      <w:pPr>
        <w:pStyle w:val="745"/>
        <w:ind w:left="55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3、依法缴纳税收和社会保障资金的相关材料；</w:t>
      </w:r>
      <w:r>
        <w:rPr>
          <w:rFonts w:hint="eastAsia" w:ascii="仿宋" w:hAnsi="仿宋" w:eastAsia="仿宋" w:cs="仿宋"/>
          <w:color w:val="000000"/>
          <w:sz w:val="28"/>
          <w:szCs w:val="28"/>
          <w:highlight w:val="none"/>
        </w:rPr>
      </w:r>
      <w:r/>
    </w:p>
    <w:p>
      <w:pPr>
        <w:pStyle w:val="745"/>
        <w:ind w:left="55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4、具备履行合同所必需的设备和专业技术能力的证明材料；</w:t>
      </w:r>
      <w:r>
        <w:rPr>
          <w:rFonts w:hint="eastAsia" w:ascii="仿宋" w:hAnsi="仿宋" w:eastAsia="仿宋" w:cs="仿宋"/>
          <w:color w:val="000000"/>
          <w:sz w:val="28"/>
          <w:szCs w:val="28"/>
          <w:highlight w:val="none"/>
        </w:rPr>
      </w:r>
      <w:r/>
    </w:p>
    <w:p>
      <w:pPr>
        <w:pStyle w:val="745"/>
        <w:ind w:left="55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5、参加政府采购活动前3年内在经营活动中没有重大违法记录的书面声明。</w:t>
      </w:r>
      <w:r>
        <w:rPr>
          <w:rFonts w:hint="eastAsia" w:ascii="仿宋" w:hAnsi="仿宋" w:eastAsia="仿宋" w:cs="仿宋"/>
          <w:color w:val="000000"/>
          <w:sz w:val="28"/>
          <w:szCs w:val="28"/>
          <w:highlight w:val="none"/>
        </w:rPr>
      </w:r>
      <w:r/>
    </w:p>
    <w:p>
      <w:pPr>
        <w:pStyle w:val="745"/>
        <w:ind w:left="559"/>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（二）落实政府采购政策需满足的资格要求：</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本项目</w:t>
      </w:r>
      <w:r>
        <w:rPr>
          <w:rFonts w:hint="eastAsia" w:ascii="仿宋" w:hAnsi="仿宋" w:eastAsia="仿宋" w:cs="仿宋"/>
          <w:color w:val="000000"/>
          <w:sz w:val="28"/>
          <w:szCs w:val="28"/>
          <w:highlight w:val="none"/>
        </w:rPr>
        <w:t xml:space="preserve">按照</w:t>
      </w:r>
      <w:r>
        <w:rPr>
          <w:rFonts w:hint="eastAsia" w:ascii="仿宋" w:hAnsi="仿宋" w:eastAsia="仿宋" w:cs="仿宋"/>
          <w:color w:val="000000"/>
          <w:sz w:val="28"/>
          <w:szCs w:val="28"/>
          <w:highlight w:val="none"/>
          <w:lang w:val="zh-CN"/>
        </w:rPr>
        <w:t xml:space="preserve">以下第</w:t>
      </w:r>
      <w:r>
        <w:rPr>
          <w:rFonts w:hint="eastAsia" w:ascii="仿宋" w:hAnsi="仿宋" w:eastAsia="仿宋" w:cs="仿宋"/>
          <w:color w:val="000000"/>
          <w:sz w:val="28"/>
          <w:szCs w:val="28"/>
          <w:highlight w:val="none"/>
          <w:u w:val="single"/>
        </w:rPr>
        <w:t xml:space="preserve">3</w:t>
      </w:r>
      <w:r>
        <w:rPr>
          <w:rFonts w:hint="eastAsia" w:ascii="仿宋" w:hAnsi="仿宋" w:eastAsia="仿宋" w:cs="仿宋"/>
          <w:color w:val="000000"/>
          <w:sz w:val="28"/>
          <w:szCs w:val="28"/>
          <w:highlight w:val="none"/>
          <w:lang w:val="zh-CN"/>
        </w:rPr>
        <w:t xml:space="preserve">种方式落实政府采购促进中小企业发展的要求：</w:t>
      </w:r>
      <w:r>
        <w:rPr>
          <w:rFonts w:hint="eastAsia" w:ascii="仿宋" w:hAnsi="仿宋" w:eastAsia="仿宋" w:cs="仿宋"/>
          <w:color w:val="000000"/>
          <w:sz w:val="28"/>
          <w:szCs w:val="28"/>
          <w:highlight w:val="none"/>
          <w:lang w:val="zh-CN"/>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1、</w:t>
      </w:r>
      <w:r>
        <w:rPr>
          <w:rFonts w:hint="eastAsia" w:ascii="仿宋" w:hAnsi="仿宋" w:eastAsia="仿宋" w:cs="仿宋"/>
          <w:color w:val="000000"/>
          <w:sz w:val="28"/>
          <w:szCs w:val="28"/>
          <w:highlight w:val="none"/>
        </w:rPr>
        <w:t xml:space="preserve">本项目为专门面向中小企业采购的项目。</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zh-CN"/>
        </w:rPr>
        <w:t xml:space="preserve">本项目通过以下第（）种方式预留部分采购份额</w:t>
      </w:r>
      <w:r>
        <w:rPr>
          <w:rFonts w:hint="eastAsia" w:ascii="仿宋" w:hAnsi="仿宋" w:eastAsia="仿宋" w:cs="仿宋"/>
          <w:color w:val="000000"/>
          <w:sz w:val="28"/>
          <w:szCs w:val="28"/>
          <w:highlight w:val="none"/>
        </w:rPr>
        <w:t xml:space="preserve">采购</w:t>
      </w:r>
      <w:r>
        <w:rPr>
          <w:rFonts w:hint="eastAsia" w:ascii="仿宋" w:hAnsi="仿宋" w:eastAsia="仿宋" w:cs="仿宋"/>
          <w:color w:val="000000"/>
          <w:sz w:val="28"/>
          <w:szCs w:val="28"/>
          <w:highlight w:val="none"/>
          <w:lang w:val="zh-CN"/>
        </w:rPr>
        <w:t xml:space="preserve">中小企业</w:t>
      </w:r>
      <w:r>
        <w:rPr>
          <w:rFonts w:hint="eastAsia" w:ascii="仿宋" w:hAnsi="仿宋" w:eastAsia="仿宋" w:cs="仿宋"/>
          <w:color w:val="000000"/>
          <w:sz w:val="28"/>
          <w:szCs w:val="28"/>
          <w:highlight w:val="none"/>
        </w:rPr>
        <w:t xml:space="preserve">服务</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rPr>
      </w:r>
      <w:r/>
    </w:p>
    <w:p>
      <w:pPr>
        <w:pStyle w:val="745"/>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（1）本项目要求投标人以联合体形式参加，中小企业合同金额应当达到的比例为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，其中小微企业所占比例应为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（两项比例均应符合《政府采购促进中小企业发展管理办法》第八条规定）。</w:t>
      </w:r>
      <w:r>
        <w:rPr>
          <w:rFonts w:hint="eastAsia" w:ascii="仿宋" w:hAnsi="仿宋" w:eastAsia="仿宋" w:cs="仿宋"/>
          <w:color w:val="000000"/>
          <w:sz w:val="28"/>
          <w:szCs w:val="28"/>
          <w:highlight w:val="none"/>
          <w:lang w:val="zh-CN"/>
        </w:rPr>
      </w:r>
      <w:r/>
    </w:p>
    <w:p>
      <w:pPr>
        <w:pStyle w:val="745"/>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（2）本项目要求投标人进行合同分包，中小企业合同金额应当达到的比例为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，其中小微企业所占比例应为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zh-CN"/>
        </w:rPr>
        <w:t xml:space="preserve">（两项比例均应符合《政府采购促进中小企业发展管理办法》第八条规定）。</w:t>
      </w:r>
      <w:r>
        <w:rPr>
          <w:rFonts w:hint="eastAsia" w:ascii="仿宋" w:hAnsi="仿宋" w:eastAsia="仿宋" w:cs="仿宋"/>
          <w:color w:val="000000"/>
          <w:sz w:val="28"/>
          <w:szCs w:val="28"/>
          <w:highlight w:val="none"/>
          <w:lang w:val="zh-CN"/>
        </w:rPr>
      </w:r>
      <w:r/>
    </w:p>
    <w:p>
      <w:pPr>
        <w:pStyle w:val="745"/>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3、本项目为非预留份额的采购项目，</w:t>
      </w:r>
      <w:r>
        <w:rPr>
          <w:rFonts w:hint="eastAsia" w:ascii="仿宋" w:hAnsi="仿宋" w:eastAsia="仿宋" w:cs="仿宋"/>
          <w:color w:val="000000"/>
          <w:sz w:val="28"/>
          <w:szCs w:val="28"/>
          <w:highlight w:val="none"/>
        </w:rPr>
        <w:t xml:space="preserve">对小微企业报价给予扣除，用扣除后的价格参加评审，具体详见第二章“投标人须知”第33.1项</w:t>
      </w:r>
      <w:r>
        <w:rPr>
          <w:rFonts w:hint="eastAsia" w:ascii="仿宋" w:hAnsi="仿宋" w:eastAsia="仿宋" w:cs="仿宋"/>
          <w:color w:val="000000"/>
          <w:sz w:val="28"/>
          <w:szCs w:val="28"/>
          <w:highlight w:val="none"/>
          <w:lang w:val="zh-CN"/>
        </w:rPr>
        <w:t xml:space="preserve">。</w:t>
      </w:r>
      <w:r>
        <w:rPr>
          <w:rFonts w:hint="eastAsia" w:ascii="仿宋" w:hAnsi="仿宋" w:eastAsia="仿宋" w:cs="仿宋"/>
          <w:color w:val="000000"/>
          <w:sz w:val="28"/>
          <w:szCs w:val="28"/>
          <w:highlight w:val="none"/>
          <w:lang w:val="zh-CN"/>
        </w:rPr>
      </w:r>
      <w:r/>
    </w:p>
    <w:p>
      <w:pPr>
        <w:pStyle w:val="745"/>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cs="仿宋"/>
          <w:color w:val="000000"/>
          <w:sz w:val="28"/>
          <w:szCs w:val="28"/>
          <w:highlight w:val="none"/>
          <w:lang w:val="zh-CN"/>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（三）本项目的特定资格要求：</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（1）投标人具有《经营保险业务许可证》。</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（2）投标人总公司或省级公司具有国家保险监督管理机关批准开展农业保险业务的经营资质或者公布的具有符合规定的经营条件。</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投标人必须符合《中国银保监会办公厅关于进一步明确农业保险业务经营条件的通知》（银保监办发〔2020〕51号）、《关于加强政策性农业保险承保机构遴选管理工作的通知》（财金〔2020〕128号）、《江苏省财政厅江苏省农业农村厅关于做好政策性农业保险承保机构遴选工作的通知》（苏财金〔2021〕42号）和《关于进一步加强政策性农业保险承保机构遴选管理工作的通知》(苏财金〔2024〕144号)对于承保机构的要求。</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val="en-US" w:eastAsia="zh-CN"/>
        </w:rPr>
        <w:t xml:space="preserve">为支公司或者分公司的，必须具有由</w:t>
      </w:r>
      <w:r>
        <w:rPr>
          <w:rFonts w:hint="eastAsia" w:ascii="仿宋" w:hAnsi="仿宋" w:eastAsia="仿宋" w:cs="仿宋"/>
          <w:color w:val="000000"/>
          <w:sz w:val="28"/>
          <w:szCs w:val="28"/>
          <w:highlight w:val="none"/>
        </w:rPr>
        <w:t xml:space="preserve">总公司</w:t>
      </w:r>
      <w:r>
        <w:rPr>
          <w:rFonts w:hint="eastAsia" w:ascii="仿宋" w:hAnsi="仿宋" w:eastAsia="仿宋" w:cs="仿宋"/>
          <w:color w:val="000000"/>
          <w:sz w:val="28"/>
          <w:szCs w:val="28"/>
          <w:highlight w:val="none"/>
          <w:lang w:val="en-US" w:eastAsia="zh-CN"/>
        </w:rPr>
        <w:t xml:space="preserve">或者</w:t>
      </w:r>
      <w:r>
        <w:rPr>
          <w:rFonts w:hint="eastAsia" w:ascii="仿宋" w:hAnsi="仿宋" w:eastAsia="仿宋" w:cs="仿宋"/>
          <w:color w:val="000000"/>
          <w:sz w:val="28"/>
          <w:szCs w:val="28"/>
          <w:highlight w:val="none"/>
        </w:rPr>
        <w:t xml:space="preserve">省公司</w:t>
      </w:r>
      <w:r>
        <w:rPr>
          <w:rFonts w:hint="eastAsia" w:ascii="仿宋" w:hAnsi="仿宋" w:eastAsia="仿宋" w:cs="仿宋"/>
          <w:color w:val="000000"/>
          <w:sz w:val="28"/>
          <w:szCs w:val="28"/>
          <w:highlight w:val="none"/>
          <w:lang w:val="en-US" w:eastAsia="zh-CN"/>
        </w:rPr>
        <w:t xml:space="preserve">出具的授权。</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（四）拒绝下述条件的投标人参加本次采购活动：</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1、投标人单位负责人为同一人或者存在直接控股、管理关系的不同投标人，不得同时参加同一合同项下的政府采购活动。</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2、凡为采购项目提供整体设计、规范编制或者项目管理、监理、检测等服务的投标人，不得再参加本项目的采购活动。</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3、投标人被“信用中国”网站、“中国政府采购网”列入失信被执行人、重大税收违法案件当事人名单、政府采购严重违法失信行为记录名单。</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三、获取招标文件</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（一）时间：自招标公告发布之日起</w:t>
      </w:r>
      <w:r>
        <w:rPr>
          <w:rFonts w:hint="eastAsia" w:ascii="仿宋" w:hAnsi="仿宋" w:eastAsia="仿宋" w:cs="仿宋"/>
          <w:color w:val="000000"/>
          <w:sz w:val="28"/>
          <w:szCs w:val="28"/>
          <w:highlight w:val="none"/>
          <w:lang w:val="en-US" w:eastAsia="zh-CN"/>
        </w:rPr>
        <w:t xml:space="preserve">五</w:t>
      </w:r>
      <w:r>
        <w:rPr>
          <w:rFonts w:hint="eastAsia" w:ascii="仿宋" w:hAnsi="仿宋" w:eastAsia="仿宋" w:cs="仿宋"/>
          <w:color w:val="000000"/>
          <w:sz w:val="28"/>
          <w:szCs w:val="28"/>
          <w:highlight w:val="none"/>
        </w:rPr>
        <w:t xml:space="preserve">个工作日。</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（二）方式：在“淮安市政府采购网”自行免费下载招标文件。</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四、提交投标文件截止时间、开标时间和地点</w:t>
      </w:r>
      <w:r>
        <w:rPr>
          <w:rFonts w:hint="eastAsia" w:ascii="仿宋" w:hAnsi="仿宋" w:eastAsia="仿宋" w:cs="仿宋"/>
          <w:color w:val="000000"/>
          <w:sz w:val="28"/>
          <w:szCs w:val="28"/>
          <w:highlight w:val="none"/>
        </w:rPr>
      </w:r>
      <w:r/>
    </w:p>
    <w:p>
      <w:pPr>
        <w:pStyle w:val="745"/>
        <w:ind w:firstLine="2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（一）投标文件提交截止时间及开标时间：202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年4</w:t>
      </w:r>
      <w:r>
        <w:rPr>
          <w:rFonts w:hint="eastAsia" w:ascii="仿宋" w:hAnsi="仿宋" w:eastAsia="仿宋" w:cs="仿宋"/>
          <w:color w:val="000000"/>
          <w:sz w:val="28"/>
          <w:szCs w:val="28"/>
          <w:highlight w:val="none"/>
        </w:rPr>
        <w:t xml:space="preserve">月1</w:t>
      </w:r>
      <w:r>
        <w:rPr>
          <w:rFonts w:hint="eastAsia" w:ascii="仿宋" w:hAnsi="仿宋" w:eastAsia="仿宋" w:cs="仿宋"/>
          <w:color w:val="000000"/>
          <w:sz w:val="28"/>
          <w:szCs w:val="28"/>
          <w:highlight w:val="none"/>
        </w:rPr>
        <w:t xml:space="preserve">日9点</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0分。</w:t>
      </w:r>
      <w:r>
        <w:rPr>
          <w:rFonts w:hint="eastAsia" w:ascii="仿宋" w:hAnsi="仿宋" w:eastAsia="仿宋" w:cs="仿宋"/>
          <w:color w:val="000000"/>
          <w:sz w:val="28"/>
          <w:szCs w:val="28"/>
          <w:highlight w:val="none"/>
        </w:rPr>
      </w:r>
      <w:r/>
    </w:p>
    <w:p>
      <w:pPr>
        <w:pStyle w:val="745"/>
        <w:ind w:firstLine="28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（二）投标文件上传地址：“苏采云”政府采购交易系统网上开标大厅。</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五、公告期限</w:t>
      </w:r>
      <w:r>
        <w:rPr>
          <w:rFonts w:hint="eastAsia" w:ascii="仿宋" w:hAnsi="仿宋" w:eastAsia="仿宋" w:cs="仿宋"/>
          <w:color w:val="000000"/>
          <w:sz w:val="28"/>
          <w:szCs w:val="28"/>
          <w:highlight w:val="none"/>
        </w:rPr>
      </w:r>
      <w:r/>
    </w:p>
    <w:p>
      <w:pPr>
        <w:pStyle w:val="745"/>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自本公告发布之日起</w:t>
      </w:r>
      <w:r>
        <w:rPr>
          <w:rFonts w:hint="eastAsia" w:ascii="仿宋" w:hAnsi="仿宋" w:eastAsia="仿宋" w:cs="仿宋"/>
          <w:color w:val="000000"/>
          <w:sz w:val="28"/>
          <w:szCs w:val="28"/>
          <w:highlight w:val="none"/>
          <w:lang w:val="en-US" w:eastAsia="zh-CN"/>
        </w:rPr>
        <w:t xml:space="preserve">五</w:t>
      </w:r>
      <w:r>
        <w:rPr>
          <w:rFonts w:hint="eastAsia" w:ascii="仿宋" w:hAnsi="仿宋" w:eastAsia="仿宋" w:cs="仿宋"/>
          <w:color w:val="000000"/>
          <w:sz w:val="28"/>
          <w:szCs w:val="28"/>
          <w:highlight w:val="none"/>
        </w:rPr>
        <w:t xml:space="preserve">个工作日。</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六、其他补充事宜</w:t>
      </w:r>
      <w:r>
        <w:rPr>
          <w:rFonts w:hint="eastAsia" w:ascii="仿宋" w:hAnsi="仿宋" w:eastAsia="仿宋" w:cs="仿宋"/>
          <w:color w:val="000000"/>
          <w:sz w:val="28"/>
          <w:szCs w:val="28"/>
          <w:highlight w:val="none"/>
        </w:rPr>
      </w:r>
      <w:r/>
    </w:p>
    <w:p>
      <w:pPr>
        <w:pStyle w:val="745"/>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本项目仅采购非进口产品（注：本文件所称进口产品是指通过中国海关报关验放进入中国境内且产自关境外的产品）。</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七、对本次采购提出询问，请按以下方式联系。</w:t>
      </w:r>
      <w:r>
        <w:rPr>
          <w:rFonts w:hint="eastAsia" w:ascii="仿宋" w:hAnsi="仿宋" w:eastAsia="仿宋" w:cs="仿宋"/>
          <w:color w:val="000000"/>
          <w:sz w:val="28"/>
          <w:szCs w:val="28"/>
          <w:highlight w:val="none"/>
        </w:rPr>
      </w:r>
      <w:r/>
    </w:p>
    <w:p>
      <w:pPr>
        <w:pStyle w:val="745"/>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1、招标人联系方式</w:t>
      </w:r>
      <w:r>
        <w:rPr>
          <w:rFonts w:ascii="仿宋" w:hAnsi="仿宋" w:eastAsia="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淮安市淮阴区财政局</w:t>
      </w:r>
      <w:r>
        <w:rPr>
          <w:rFonts w:hint="eastAsia" w:ascii="仿宋" w:hAnsi="仿宋" w:eastAsia="仿宋" w:cs="仿宋"/>
          <w:color w:val="000000"/>
          <w:sz w:val="28"/>
          <w:szCs w:val="28"/>
          <w:highlight w:val="none"/>
          <w:lang w:eastAsia="zh-CN"/>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地址：淮阴区承德北路606号  </w:t>
      </w:r>
      <w:r>
        <w:rPr>
          <w:rFonts w:hint="eastAsia" w:ascii="仿宋" w:hAnsi="仿宋" w:eastAsia="仿宋" w:cs="仿宋"/>
          <w:color w:val="000000"/>
          <w:sz w:val="28"/>
          <w:szCs w:val="28"/>
          <w:highlight w:val="none"/>
        </w:rPr>
      </w:r>
      <w:r/>
    </w:p>
    <w:p>
      <w:pPr>
        <w:pStyle w:val="745"/>
        <w:ind w:firstLine="560"/>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lang w:val="en-US" w:eastAsia="zh-CN"/>
        </w:rPr>
        <w:t xml:space="preserve">王主任  0517-84934318</w:t>
      </w:r>
      <w:r>
        <w:rPr>
          <w:rFonts w:ascii="仿宋" w:hAnsi="仿宋" w:eastAsia="仿宋" w:cs="仿宋"/>
          <w:color w:val="000000"/>
          <w:sz w:val="28"/>
          <w:szCs w:val="28"/>
          <w:highlight w:val="none"/>
          <w:lang w:val="en-US" w:eastAsia="zh-CN"/>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2、采购代理机构信息</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eastAsia="zh-CN"/>
        </w:rPr>
        <w:t xml:space="preserve">名称：淮安江益工程项目管理咨询有限公司</w:t>
      </w:r>
      <w:r>
        <w:rPr>
          <w:rFonts w:hint="eastAsia" w:ascii="仿宋" w:hAnsi="仿宋" w:eastAsia="仿宋" w:cs="Times New Roman"/>
          <w:color w:val="000000"/>
          <w:sz w:val="28"/>
          <w:szCs w:val="28"/>
          <w:highlight w:val="none"/>
          <w:lang w:eastAsia="zh-CN"/>
        </w:rPr>
      </w:r>
      <w:r/>
    </w:p>
    <w:p>
      <w:pPr>
        <w:pStyle w:val="745"/>
        <w:ind w:firstLine="560"/>
        <w:spacing w:line="520" w:lineRule="exact"/>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eastAsia="zh-CN"/>
        </w:rPr>
        <w:t xml:space="preserve">地址：淮安市淮阴区中业慧谷B-27幢2室商办楼</w:t>
      </w:r>
      <w:r>
        <w:rPr>
          <w:rFonts w:hint="eastAsia" w:ascii="仿宋" w:hAnsi="仿宋" w:eastAsia="仿宋" w:cs="Times New Roman"/>
          <w:color w:val="000000"/>
          <w:sz w:val="28"/>
          <w:szCs w:val="28"/>
          <w:highlight w:val="none"/>
          <w:lang w:eastAsia="zh-CN"/>
        </w:rPr>
      </w:r>
      <w:r/>
    </w:p>
    <w:p>
      <w:pPr>
        <w:pStyle w:val="745"/>
        <w:ind w:firstLine="560"/>
        <w:spacing w:line="520" w:lineRule="exact"/>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eastAsia="zh-CN"/>
        </w:rPr>
        <w:t xml:space="preserve">联系方式：</w:t>
      </w:r>
      <w:r>
        <w:rPr>
          <w:rFonts w:hint="eastAsia" w:ascii="仿宋" w:hAnsi="仿宋" w:eastAsia="仿宋" w:cs="Times New Roman"/>
          <w:color w:val="000000"/>
          <w:sz w:val="28"/>
          <w:szCs w:val="28"/>
          <w:highlight w:val="none"/>
          <w:lang w:val="en-US" w:eastAsia="zh-CN"/>
        </w:rPr>
        <w:t xml:space="preserve">潘工 </w:t>
      </w:r>
      <w:r>
        <w:rPr>
          <w:rFonts w:hint="eastAsia" w:ascii="仿宋" w:hAnsi="仿宋" w:eastAsia="仿宋" w:cs="Times New Roman"/>
          <w:color w:val="000000"/>
          <w:sz w:val="28"/>
          <w:szCs w:val="28"/>
          <w:highlight w:val="none"/>
          <w:lang w:eastAsia="zh-CN"/>
        </w:rPr>
        <w:t xml:space="preserve">  电话：</w:t>
      </w:r>
      <w:r>
        <w:rPr>
          <w:rFonts w:hint="eastAsia" w:ascii="仿宋" w:hAnsi="仿宋" w:eastAsia="仿宋" w:cs="Times New Roman"/>
          <w:color w:val="000000"/>
          <w:sz w:val="28"/>
          <w:szCs w:val="28"/>
          <w:highlight w:val="none"/>
          <w:lang w:val="en-US" w:eastAsia="zh-CN"/>
        </w:rPr>
        <w:t xml:space="preserve">13023541300</w:t>
      </w:r>
      <w:r>
        <w:rPr>
          <w:rFonts w:hint="eastAsia" w:ascii="仿宋" w:hAnsi="仿宋" w:eastAsia="仿宋" w:cs="Times New Roman"/>
          <w:color w:val="000000"/>
          <w:sz w:val="28"/>
          <w:szCs w:val="28"/>
          <w:highlight w:val="none"/>
          <w:lang w:eastAsia="zh-CN"/>
        </w:rPr>
        <w:t xml:space="preserve">  </w:t>
      </w:r>
      <w:r>
        <w:rPr>
          <w:rFonts w:hint="eastAsia" w:ascii="仿宋" w:hAnsi="仿宋" w:eastAsia="仿宋" w:cs="Times New Roman"/>
          <w:color w:val="000000"/>
          <w:sz w:val="28"/>
          <w:szCs w:val="28"/>
          <w:highlight w:val="none"/>
          <w:lang w:eastAsia="zh-CN"/>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八、其他</w:t>
      </w:r>
      <w:r>
        <w:rPr>
          <w:rFonts w:hint="eastAsia" w:ascii="仿宋" w:hAnsi="仿宋" w:eastAsia="仿宋" w:cs="仿宋"/>
          <w:color w:val="000000"/>
          <w:sz w:val="28"/>
          <w:szCs w:val="28"/>
          <w:highlight w:val="none"/>
        </w:rPr>
      </w:r>
      <w:r/>
    </w:p>
    <w:p>
      <w:pPr>
        <w:pStyle w:val="745"/>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hint="eastAsia" w:ascii="仿宋" w:hAnsi="仿宋" w:eastAsia="仿宋" w:cs="仿宋"/>
          <w:color w:val="000000"/>
          <w:sz w:val="28"/>
          <w:szCs w:val="28"/>
          <w:highlight w:val="none"/>
        </w:rPr>
      </w:r>
      <w:r/>
    </w:p>
    <w:p>
      <w:pPr>
        <w:pStyle w:val="745"/>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领取CA和办理公章（请至淮安市清江浦区深圳路16号淮安市公共资源交易中心二楼13号CA办理窗口办理，具体联系方式见《苏采云系统投标人操作手册》（以下简称《操作手册》）、进行注册并按《操作手册》要求制作、上传电子响应文件。</w:t>
      </w:r>
      <w:r>
        <w:rPr>
          <w:rFonts w:hint="eastAsia" w:ascii="仿宋" w:hAnsi="仿宋" w:eastAsia="仿宋" w:cs="仿宋"/>
          <w:color w:val="000000"/>
          <w:sz w:val="28"/>
          <w:szCs w:val="28"/>
          <w:highlight w:val="none"/>
        </w:rPr>
      </w:r>
      <w:r/>
    </w:p>
    <w:p>
      <w:pPr>
        <w:pStyle w:val="745"/>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2.有关本次招标的事项若存在变动或修改，敬请及时关注代理机构在“淮安市政府采购网”发布的更正公告。</w:t>
      </w:r>
      <w:r>
        <w:rPr>
          <w:rFonts w:hint="eastAsia" w:ascii="仿宋" w:hAnsi="仿宋" w:eastAsia="仿宋" w:cs="仿宋"/>
          <w:color w:val="000000"/>
          <w:sz w:val="28"/>
          <w:szCs w:val="28"/>
          <w:highlight w:val="none"/>
        </w:rPr>
      </w:r>
      <w:r/>
    </w:p>
    <w:p>
      <w:pPr>
        <w:pStyle w:val="745"/>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3.本次招标不收取投标保证金。</w:t>
      </w:r>
      <w:r>
        <w:rPr>
          <w:rFonts w:hint="eastAsia" w:ascii="仿宋" w:hAnsi="仿宋" w:eastAsia="仿宋" w:cs="仿宋"/>
          <w:color w:val="000000"/>
          <w:sz w:val="28"/>
          <w:szCs w:val="28"/>
          <w:highlight w:val="none"/>
        </w:rPr>
      </w:r>
      <w:r/>
    </w:p>
    <w:p>
      <w:pPr>
        <w:pStyle w:val="745"/>
        <w:jc w:val="center"/>
        <w:spacing w:line="520" w:lineRule="exact"/>
        <w:rPr>
          <w:rFonts w:hint="eastAsia" w:ascii="仿宋" w:hAnsi="仿宋" w:eastAsia="仿宋" w:cs="仿宋"/>
          <w:b/>
          <w:color w:val="000000"/>
          <w:sz w:val="36"/>
          <w:szCs w:val="36"/>
          <w:highlight w:val="none"/>
        </w:rPr>
      </w:pPr>
      <w:r>
        <w:rPr>
          <w:rFonts w:hint="eastAsia" w:ascii="仿宋" w:hAnsi="仿宋" w:eastAsia="仿宋" w:cs="仿宋"/>
          <w:color w:val="000000"/>
          <w:sz w:val="28"/>
          <w:szCs w:val="28"/>
          <w:highlight w:val="none"/>
        </w:rPr>
        <w:br w:type="page" w:clear="all"/>
      </w:r>
      <w:r>
        <w:rPr>
          <w:rFonts w:hint="eastAsia" w:ascii="仿宋" w:hAnsi="仿宋" w:eastAsia="仿宋" w:cs="仿宋"/>
          <w:b/>
          <w:color w:val="000000"/>
          <w:sz w:val="36"/>
          <w:szCs w:val="36"/>
          <w:highlight w:val="none"/>
        </w:rPr>
        <w:t xml:space="preserve">第二章投标人须知</w:t>
      </w:r>
      <w:r>
        <w:rPr>
          <w:rFonts w:hint="eastAsia" w:ascii="仿宋" w:hAnsi="仿宋" w:eastAsia="仿宋" w:cs="仿宋"/>
          <w:b/>
          <w:color w:val="000000"/>
          <w:sz w:val="36"/>
          <w:szCs w:val="36"/>
          <w:highlight w:val="none"/>
        </w:rPr>
      </w:r>
      <w:r/>
    </w:p>
    <w:p>
      <w:pPr>
        <w:pStyle w:val="745"/>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一、总则</w:t>
      </w:r>
      <w:r>
        <w:rPr>
          <w:rFonts w:hint="eastAsia" w:ascii="仿宋" w:hAnsi="仿宋" w:eastAsia="仿宋" w:cs="仿宋"/>
          <w:b/>
          <w:color w:val="000000"/>
          <w:sz w:val="32"/>
          <w:szCs w:val="32"/>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1.适用范围</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本招标文件仅适用于本次投标邀请中所述项目的采购。</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2.合格的投标人</w:t>
      </w:r>
      <w:r>
        <w:rPr>
          <w:rFonts w:hint="eastAsia" w:ascii="仿宋" w:hAnsi="仿宋" w:eastAsia="仿宋" w:cs="仿宋"/>
          <w:color w:val="000000"/>
          <w:sz w:val="28"/>
          <w:szCs w:val="28"/>
          <w:highlight w:val="none"/>
        </w:rPr>
      </w:r>
      <w:r/>
    </w:p>
    <w:p>
      <w:pPr>
        <w:pStyle w:val="745"/>
        <w:ind w:firstLine="5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2.1满足第一章投标邀请中投标人资格要求的规定。</w:t>
      </w:r>
      <w:r>
        <w:rPr>
          <w:rFonts w:hint="eastAsia" w:ascii="仿宋" w:hAnsi="仿宋" w:eastAsia="仿宋" w:cs="仿宋"/>
          <w:color w:val="000000"/>
          <w:sz w:val="28"/>
          <w:szCs w:val="28"/>
          <w:highlight w:val="none"/>
        </w:rPr>
      </w:r>
      <w:r/>
    </w:p>
    <w:p>
      <w:pPr>
        <w:pStyle w:val="745"/>
        <w:ind w:firstLine="5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2.2满足招标文件中实质性条款的规定。</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3.适用法律</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3.1《中华人民共和国政府采购法》《中华人民共和国政府采购法实施条例》《政府采购货物和服务招标投标管理</w:t>
      </w:r>
      <w:r>
        <w:rPr>
          <w:rFonts w:hint="eastAsia" w:ascii="仿宋" w:hAnsi="仿宋" w:eastAsia="仿宋" w:cs="仿宋"/>
          <w:color w:val="000000"/>
          <w:sz w:val="28"/>
          <w:szCs w:val="28"/>
          <w:highlight w:val="none"/>
        </w:rPr>
        <w:t xml:space="preserve">办法》、《农业保险条例》《关于加强政策性农业保险承保机构遴选管理工作的通知》（财金〔2020〕128号）、《关于做好政策性农业保险承保机构遴选工作的通知》（苏财金〔2021〕42号）、《关于贯彻落实&lt;中国银保监会办公厅关于进一步明确农业保险业务经营条件的通知&gt;的通知》(苏银保监办〔2020〕322号)、《中国银保监会办公厅关于进一步明确农业保险业务经营条件的通知》（银保监办发〔2020〕51号）《关于进一步加强政策性农业保险承保机构遴选管理工作的通知》(苏财金〔2024〕144号)等有关法律、规章和规定等。</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4.投标费用</w:t>
      </w:r>
      <w:r>
        <w:rPr>
          <w:rFonts w:hint="eastAsia" w:ascii="仿宋" w:hAnsi="仿宋" w:eastAsia="仿宋" w:cs="仿宋"/>
          <w:color w:val="000000"/>
          <w:sz w:val="28"/>
          <w:szCs w:val="28"/>
          <w:highlight w:val="none"/>
        </w:rPr>
      </w:r>
      <w:r/>
    </w:p>
    <w:p>
      <w:pPr>
        <w:pStyle w:val="745"/>
        <w:ind w:firstLine="5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4.1投标人应自行承担所有与参加投标有关的费用。不论投标的结果如何，</w:t>
      </w:r>
      <w:r>
        <w:rPr>
          <w:rFonts w:hint="eastAsia" w:ascii="仿宋" w:hAnsi="仿宋" w:eastAsia="仿宋" w:cs="仿宋"/>
          <w:color w:val="000000"/>
          <w:sz w:val="28"/>
          <w:szCs w:val="28"/>
          <w:highlight w:val="none"/>
          <w:lang w:eastAsia="zh-CN"/>
        </w:rPr>
        <w:t xml:space="preserve">淮安江益工程项目管理咨询有限公司</w:t>
      </w:r>
      <w:r>
        <w:rPr>
          <w:rFonts w:hint="eastAsia" w:ascii="仿宋" w:hAnsi="仿宋" w:eastAsia="仿宋" w:cs="仿宋"/>
          <w:color w:val="000000"/>
          <w:sz w:val="28"/>
          <w:szCs w:val="28"/>
          <w:highlight w:val="none"/>
        </w:rPr>
        <w:t xml:space="preserve">（以下简称代理机构）在任何情况下均无义务和责任承担这些费用。</w:t>
      </w:r>
      <w:r>
        <w:rPr>
          <w:rFonts w:hint="eastAsia" w:ascii="仿宋" w:hAnsi="仿宋" w:eastAsia="仿宋" w:cs="仿宋"/>
          <w:color w:val="000000"/>
          <w:sz w:val="28"/>
          <w:szCs w:val="28"/>
          <w:highlight w:val="none"/>
        </w:rPr>
      </w:r>
      <w:r/>
    </w:p>
    <w:p>
      <w:pPr>
        <w:pStyle w:val="745"/>
        <w:ind w:firstLine="55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4.2本项目由</w:t>
      </w:r>
      <w:r>
        <w:rPr>
          <w:rFonts w:hint="eastAsia" w:ascii="仿宋" w:hAnsi="仿宋" w:eastAsia="仿宋" w:cs="仿宋"/>
          <w:color w:val="000000"/>
          <w:sz w:val="28"/>
          <w:szCs w:val="28"/>
          <w:highlight w:val="none"/>
          <w:lang w:eastAsia="zh-CN"/>
        </w:rPr>
        <w:t xml:space="preserve">淮安江益工程项目管理咨询有限公司</w:t>
      </w:r>
      <w:r>
        <w:rPr>
          <w:rFonts w:hint="eastAsia" w:ascii="仿宋" w:hAnsi="仿宋" w:eastAsia="仿宋" w:cs="仿宋"/>
          <w:color w:val="000000"/>
          <w:sz w:val="28"/>
          <w:szCs w:val="28"/>
          <w:highlight w:val="none"/>
        </w:rPr>
        <w:t xml:space="preserve">协助招标人做了前期咨询工作，因此各中标人在报价时必须将咨询费用包含在投标报价中，无需单独列项计取，咨询费用总计</w:t>
      </w:r>
      <w:r>
        <w:rPr>
          <w:rFonts w:hint="eastAsia" w:ascii="仿宋" w:hAnsi="仿宋" w:eastAsia="仿宋" w:cs="仿宋"/>
          <w:color w:val="000000"/>
          <w:sz w:val="28"/>
          <w:szCs w:val="28"/>
          <w:highlight w:val="none"/>
          <w:lang w:val="en-US" w:eastAsia="zh-CN"/>
        </w:rPr>
        <w:t xml:space="preserve">5.5</w:t>
      </w:r>
      <w:r>
        <w:rPr>
          <w:rFonts w:hint="eastAsia" w:ascii="仿宋" w:hAnsi="仿宋" w:eastAsia="仿宋" w:cs="仿宋"/>
          <w:color w:val="000000"/>
          <w:sz w:val="28"/>
          <w:szCs w:val="28"/>
          <w:highlight w:val="none"/>
        </w:rPr>
        <w:t xml:space="preserve">万元，其中（采购包1：</w:t>
      </w:r>
      <w:r>
        <w:rPr>
          <w:rFonts w:hint="eastAsia" w:ascii="仿宋" w:hAnsi="仿宋" w:eastAsia="仿宋" w:cs="仿宋"/>
          <w:color w:val="000000"/>
          <w:sz w:val="28"/>
          <w:szCs w:val="28"/>
          <w:highlight w:val="none"/>
          <w:lang w:val="en-US" w:eastAsia="zh-CN"/>
        </w:rPr>
        <w:t xml:space="preserve">20400</w:t>
      </w:r>
      <w:r>
        <w:rPr>
          <w:rFonts w:hint="eastAsia" w:ascii="仿宋" w:hAnsi="仿宋" w:eastAsia="仿宋" w:cs="仿宋"/>
          <w:color w:val="000000"/>
          <w:sz w:val="28"/>
          <w:szCs w:val="28"/>
          <w:highlight w:val="none"/>
        </w:rPr>
        <w:t xml:space="preserve">元；采购包2:</w:t>
      </w:r>
      <w:r>
        <w:rPr>
          <w:rFonts w:hint="eastAsia" w:ascii="仿宋" w:hAnsi="仿宋" w:eastAsia="仿宋" w:cs="仿宋"/>
          <w:color w:val="000000"/>
          <w:sz w:val="28"/>
          <w:szCs w:val="28"/>
          <w:highlight w:val="none"/>
          <w:lang w:val="en-US" w:eastAsia="zh-CN"/>
        </w:rPr>
        <w:t xml:space="preserve">12600</w:t>
      </w:r>
      <w:r>
        <w:rPr>
          <w:rFonts w:hint="eastAsia" w:ascii="仿宋" w:hAnsi="仿宋" w:eastAsia="仿宋" w:cs="仿宋"/>
          <w:color w:val="000000"/>
          <w:sz w:val="28"/>
          <w:szCs w:val="28"/>
          <w:highlight w:val="none"/>
        </w:rPr>
        <w:t xml:space="preserve">元；采购包3:</w:t>
      </w:r>
      <w:r>
        <w:rPr>
          <w:rFonts w:hint="eastAsia" w:ascii="仿宋" w:hAnsi="仿宋" w:eastAsia="仿宋" w:cs="仿宋"/>
          <w:color w:val="000000"/>
          <w:sz w:val="28"/>
          <w:szCs w:val="28"/>
          <w:highlight w:val="none"/>
          <w:lang w:val="en-US" w:eastAsia="zh-CN"/>
        </w:rPr>
        <w:t xml:space="preserve">10900</w:t>
      </w:r>
      <w:r>
        <w:rPr>
          <w:rFonts w:hint="eastAsia" w:ascii="仿宋" w:hAnsi="仿宋" w:eastAsia="仿宋" w:cs="仿宋"/>
          <w:color w:val="000000"/>
          <w:sz w:val="28"/>
          <w:szCs w:val="28"/>
          <w:highlight w:val="none"/>
        </w:rPr>
        <w:t xml:space="preserve">元；采购包4:</w:t>
      </w:r>
      <w:r>
        <w:rPr>
          <w:rFonts w:hint="eastAsia" w:ascii="仿宋" w:hAnsi="仿宋" w:eastAsia="仿宋" w:cs="仿宋"/>
          <w:color w:val="000000"/>
          <w:sz w:val="28"/>
          <w:szCs w:val="28"/>
          <w:highlight w:val="none"/>
          <w:lang w:val="en-US" w:eastAsia="zh-CN"/>
        </w:rPr>
        <w:t xml:space="preserve">7600</w:t>
      </w:r>
      <w:r>
        <w:rPr>
          <w:rFonts w:hint="eastAsia" w:ascii="仿宋" w:hAnsi="仿宋" w:eastAsia="仿宋" w:cs="仿宋"/>
          <w:color w:val="000000"/>
          <w:sz w:val="28"/>
          <w:szCs w:val="28"/>
          <w:highlight w:val="none"/>
        </w:rPr>
        <w:t xml:space="preserve">元</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采购包</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3500</w:t>
      </w:r>
      <w:r>
        <w:rPr>
          <w:rFonts w:hint="eastAsia" w:ascii="仿宋" w:hAnsi="仿宋" w:eastAsia="仿宋" w:cs="仿宋"/>
          <w:color w:val="000000"/>
          <w:sz w:val="28"/>
          <w:szCs w:val="28"/>
          <w:highlight w:val="none"/>
        </w:rPr>
        <w:t xml:space="preserve">元</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二、招标文件</w:t>
      </w:r>
      <w:r>
        <w:rPr>
          <w:rFonts w:hint="eastAsia" w:ascii="仿宋" w:hAnsi="仿宋" w:eastAsia="仿宋" w:cs="仿宋"/>
          <w:b/>
          <w:color w:val="000000"/>
          <w:sz w:val="32"/>
          <w:szCs w:val="32"/>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5.招标文件由以下部分组成：</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5.1投标邀请</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5.2投标人须知</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5.3合同文本</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5.4项目采购需求</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5.5评标方法与评标标准</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5.6投标文件</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6.招标文件的澄清</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6.1任何要求对招标文件进行澄清的投标人，均应在投标截止时间十日前通过以书面形式并加盖公章通知代理机构，代理机构对投标截止时间前十日收到的任何澄清要求将以书面形式予以答复。</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7.招标文件的更正或补充</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7.1在投标截止时间十五日前，代理机构可主动或在解答投标人提出的澄清问题时对招标文件用更正公告的方式进行修正。</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7.2对招标文件的更正将在淮安市政府采购网进行公告，更正公告将作为招标文件的组成部分，对所有参加本次投标的投标人都具有约束力。</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7.3为使投标人有足够的时间按招标文件的更正要求修正投标文件，代理机构有权按照相关法定的要求推迟投标截止时间和开标日期。</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三、投标文件的编制</w:t>
      </w:r>
      <w:r>
        <w:rPr>
          <w:rFonts w:hint="eastAsia" w:ascii="仿宋" w:hAnsi="仿宋" w:eastAsia="仿宋" w:cs="仿宋"/>
          <w:b/>
          <w:color w:val="000000"/>
          <w:sz w:val="32"/>
          <w:szCs w:val="32"/>
          <w:highlight w:val="none"/>
        </w:rPr>
      </w:r>
      <w:r/>
    </w:p>
    <w:p>
      <w:pPr>
        <w:pStyle w:val="745"/>
        <w:spacing w:line="520" w:lineRule="exact"/>
        <w:rPr>
          <w:rFonts w:hint="eastAsia" w:ascii="仿宋" w:hAnsi="仿宋" w:eastAsia="仿宋" w:cs="仿宋"/>
          <w:color w:val="000000"/>
          <w:sz w:val="28"/>
          <w:szCs w:val="28"/>
          <w:highlight w:val="none"/>
        </w:rPr>
      </w:pPr>
      <w:r/>
      <w:bookmarkStart w:id="0" w:name="_Toc462564073"/>
      <w:r/>
      <w:bookmarkStart w:id="1" w:name="_Toc20823286"/>
      <w:r/>
      <w:bookmarkStart w:id="2" w:name="_Toc513029214"/>
      <w:r/>
      <w:bookmarkStart w:id="3" w:name="_Toc16938530"/>
      <w:r>
        <w:rPr>
          <w:rFonts w:hint="eastAsia" w:ascii="仿宋" w:hAnsi="仿宋" w:eastAsia="仿宋" w:cs="仿宋"/>
          <w:color w:val="000000"/>
          <w:sz w:val="28"/>
          <w:szCs w:val="28"/>
          <w:highlight w:val="none"/>
        </w:rPr>
        <w:t xml:space="preserve">8.投标文件的语言及度量衡单位</w:t>
      </w:r>
      <w:bookmarkEnd w:id="0"/>
      <w:r/>
      <w:bookmarkEnd w:id="1"/>
      <w:r/>
      <w:bookmarkEnd w:id="2"/>
      <w:r/>
      <w:bookmarkEnd w:id="3"/>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8.1投标人提交的投标文件以及投标人与代理机构就有关投标的所有来往通知、函件和文件均应使用简体中文。</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8.2除技术性能另有规定外，投标文件所使用的度量衡单位，均须采用国家法定计量单位。</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9.投标文件构成</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9.1投标人编写的投标文件应包括资格证明文件、符合性证明文件、其他证明文件、投标函等部分。</w:t>
      </w:r>
      <w:r>
        <w:rPr>
          <w:rFonts w:hint="eastAsia" w:ascii="仿宋" w:hAnsi="仿宋" w:eastAsia="仿宋" w:cs="仿宋"/>
          <w:color w:val="000000"/>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cs="仿宋"/>
          <w:color w:val="000000"/>
          <w:sz w:val="28"/>
          <w:szCs w:val="28"/>
          <w:highlight w:val="none"/>
        </w:rPr>
        <w:t xml:space="preserve">视同未提交该投标材料处理。</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9.2如标书制作工具中格式和内容与“淮安市政府采购网”发布的招标文件不一致，请以“淮安市政府采购网”发布的招标文件为准。</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10.证明投标人及投标标的符合招标文件规定的文件</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10.1投标人应按照招标文件要求提交证明文件，证明其及投标标的符合招标文件规定。</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10.2招标文件对证明文件无明确形式要求的，证明文件可以以文字资料、图纸和数据等形式提交。</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11.投标报价表</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11.1根据《江苏省省级财政农业保险保费补贴管理办法》的要求，本项目执行国家统一定价标准，</w:t>
      </w:r>
      <w:r>
        <w:rPr>
          <w:rFonts w:hint="eastAsia" w:ascii="仿宋" w:hAnsi="仿宋" w:eastAsia="仿宋" w:cs="仿宋"/>
          <w:color w:val="000000"/>
          <w:sz w:val="28"/>
          <w:szCs w:val="28"/>
          <w:highlight w:val="none"/>
          <w:lang w:val="en-US" w:eastAsia="zh-CN"/>
        </w:rPr>
        <w:t xml:space="preserve">由招标人按实际承保业务量和补贴政策结算保费补贴资金，投标报价对应每个采购包预算金额，</w:t>
      </w:r>
      <w:r>
        <w:rPr>
          <w:rFonts w:hint="eastAsia" w:ascii="仿宋" w:hAnsi="仿宋" w:eastAsia="仿宋" w:cs="仿宋"/>
          <w:color w:val="000000"/>
          <w:sz w:val="28"/>
          <w:szCs w:val="28"/>
          <w:highlight w:val="none"/>
        </w:rPr>
        <w:t xml:space="preserve">价格不列为评审因素。</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技术）</w:t>
      </w:r>
      <w:r>
        <w:rPr>
          <w:rFonts w:hint="eastAsia" w:ascii="仿宋" w:hAnsi="仿宋" w:eastAsia="仿宋" w:cs="仿宋"/>
          <w:color w:val="000000"/>
          <w:sz w:val="28"/>
          <w:szCs w:val="28"/>
          <w:highlight w:val="none"/>
        </w:rPr>
        <w:t xml:space="preserve">要求响应及偏离表</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12.1投标人需对招标文件中的服务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技术）</w:t>
      </w:r>
      <w:r>
        <w:rPr>
          <w:rFonts w:hint="eastAsia" w:ascii="仿宋" w:hAnsi="仿宋" w:eastAsia="仿宋" w:cs="仿宋"/>
          <w:color w:val="000000"/>
          <w:sz w:val="28"/>
          <w:szCs w:val="28"/>
          <w:highlight w:val="none"/>
        </w:rPr>
        <w:t xml:space="preserve">要求逐项作出响应或偏离，并说明原因。</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12.2投标人可在投标文件中提供认为需要的其他技术文件或说明。</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13.服务承诺、人员安排及其他</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13.1投标人需根据招标文件要求提供有关售后服务的管理制度，售后服务机构的分布情况，售后服务人员的数量、素质、技术水平及售后服务的反应能力等。</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bookmarkStart w:id="4" w:name="_Toc14577359"/>
      <w:r/>
      <w:bookmarkStart w:id="5" w:name="_Toc49090510"/>
      <w:r>
        <w:rPr>
          <w:rFonts w:hint="eastAsia" w:ascii="仿宋" w:hAnsi="仿宋" w:eastAsia="仿宋" w:cs="仿宋"/>
          <w:color w:val="000000"/>
          <w:sz w:val="28"/>
          <w:szCs w:val="28"/>
          <w:highlight w:val="none"/>
        </w:rPr>
        <w:t xml:space="preserve">14.投标函和开标一览表</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14.1投标人应按照招标文件中提供的格式完整、正确填写投标函、开标一览表。</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14.2对于采用货币报价的项目，开标一览表中的投标总报价应与</w:t>
      </w:r>
      <w:r>
        <w:rPr>
          <w:rFonts w:hint="eastAsia" w:ascii="仿宋" w:hAnsi="仿宋" w:eastAsia="仿宋" w:cs="仿宋"/>
          <w:color w:val="000000"/>
          <w:sz w:val="28"/>
          <w:szCs w:val="28"/>
          <w:highlight w:val="none"/>
          <w:lang w:val="en-US" w:eastAsia="zh-CN"/>
        </w:rPr>
        <w:t xml:space="preserve">每个招标采购包预算金额</w:t>
      </w:r>
      <w:r>
        <w:rPr>
          <w:rFonts w:hint="eastAsia" w:ascii="仿宋" w:hAnsi="仿宋" w:eastAsia="仿宋" w:cs="仿宋"/>
          <w:color w:val="000000"/>
          <w:sz w:val="28"/>
          <w:szCs w:val="28"/>
          <w:highlight w:val="none"/>
        </w:rPr>
        <w:t xml:space="preserve">一致。</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bookmarkEnd w:id="4"/>
      <w:r/>
      <w:bookmarkEnd w:id="5"/>
      <w:r/>
      <w:bookmarkStart w:id="6" w:name="_Toc14577360"/>
      <w:r/>
      <w:bookmarkStart w:id="7" w:name="_Toc49090511"/>
      <w:r>
        <w:rPr>
          <w:rFonts w:hint="eastAsia" w:ascii="仿宋" w:hAnsi="仿宋" w:eastAsia="仿宋" w:cs="仿宋"/>
          <w:color w:val="000000"/>
          <w:sz w:val="28"/>
          <w:szCs w:val="28"/>
          <w:highlight w:val="none"/>
        </w:rPr>
        <w:t xml:space="preserve">15.投标有效期</w:t>
      </w:r>
      <w:bookmarkEnd w:id="6"/>
      <w:r/>
      <w:bookmarkEnd w:id="7"/>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15.1投标有效期为代理机构规定的开标之日后九十（90）天。投标有效期比规定短的将被视为未实质性响应招标文件而予以拒绝。</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16.投标有效期的延长</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17.方案部分</w:t>
      </w:r>
      <w:r>
        <w:rPr>
          <w:rFonts w:hint="eastAsia" w:ascii="仿宋" w:hAnsi="仿宋" w:eastAsia="仿宋" w:cs="仿宋"/>
          <w:bCs/>
          <w:color w:val="000000"/>
          <w:sz w:val="28"/>
          <w:szCs w:val="28"/>
          <w:highlight w:val="none"/>
        </w:rPr>
      </w:r>
      <w:r/>
    </w:p>
    <w:p>
      <w:pPr>
        <w:pStyle w:val="74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17.1本项目评标标准中的方案部分不采用暗标方式进行评审。</w:t>
      </w:r>
      <w:r>
        <w:rPr>
          <w:rFonts w:hint="eastAsia" w:ascii="仿宋" w:hAnsi="仿宋" w:eastAsia="仿宋" w:cs="仿宋"/>
          <w:bCs/>
          <w:color w:val="000000"/>
          <w:sz w:val="28"/>
          <w:szCs w:val="28"/>
          <w:highlight w:val="none"/>
        </w:rPr>
      </w:r>
      <w:r/>
    </w:p>
    <w:p>
      <w:pPr>
        <w:pStyle w:val="745"/>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四、投标文件上传</w:t>
      </w:r>
      <w:r>
        <w:rPr>
          <w:rFonts w:hint="eastAsia" w:ascii="仿宋" w:hAnsi="仿宋" w:eastAsia="仿宋" w:cs="仿宋"/>
          <w:b/>
          <w:color w:val="000000"/>
          <w:sz w:val="32"/>
          <w:szCs w:val="32"/>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18.投标文件的上传</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18.1投标人应当按照《操作手册》规定，在投标截止时间前制作并上传电子投标文件。</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bCs/>
          <w:color w:val="000000"/>
          <w:sz w:val="28"/>
          <w:szCs w:val="28"/>
          <w:highlight w:val="none"/>
          <w:lang w:val="zh-CN"/>
        </w:rPr>
      </w:pPr>
      <w:r>
        <w:rPr>
          <w:rFonts w:hint="eastAsia" w:ascii="仿宋" w:hAnsi="仿宋" w:eastAsia="仿宋" w:cs="仿宋"/>
          <w:color w:val="000000"/>
          <w:sz w:val="28"/>
          <w:szCs w:val="28"/>
          <w:highlight w:val="none"/>
        </w:rPr>
        <w:t xml:space="preserve">18.2投标人上传的电子投标文件内容不清楚或不清晰的（含扫描</w:t>
      </w:r>
      <w:r>
        <w:rPr>
          <w:rFonts w:hint="eastAsia" w:ascii="仿宋" w:hAnsi="仿宋" w:eastAsia="仿宋" w:cs="仿宋"/>
          <w:bCs/>
          <w:color w:val="000000"/>
          <w:sz w:val="28"/>
          <w:szCs w:val="28"/>
          <w:highlight w:val="none"/>
        </w:rPr>
        <w:t xml:space="preserve">件），造成无法评审或部分影响评审的，</w:t>
      </w:r>
      <w:r>
        <w:rPr>
          <w:rFonts w:hint="eastAsia" w:ascii="仿宋" w:hAnsi="仿宋" w:eastAsia="仿宋" w:cs="仿宋"/>
          <w:bCs/>
          <w:color w:val="000000"/>
          <w:sz w:val="28"/>
          <w:szCs w:val="28"/>
          <w:highlight w:val="none"/>
          <w:lang w:val="zh-CN"/>
        </w:rPr>
        <w:t xml:space="preserve">责任由</w:t>
      </w:r>
      <w:r>
        <w:rPr>
          <w:rFonts w:hint="eastAsia" w:ascii="仿宋" w:hAnsi="仿宋" w:eastAsia="仿宋" w:cs="仿宋"/>
          <w:bCs/>
          <w:color w:val="000000"/>
          <w:sz w:val="28"/>
          <w:szCs w:val="28"/>
          <w:highlight w:val="none"/>
        </w:rPr>
        <w:t xml:space="preserve">投标人</w:t>
      </w:r>
      <w:r>
        <w:rPr>
          <w:rFonts w:hint="eastAsia" w:ascii="仿宋" w:hAnsi="仿宋" w:eastAsia="仿宋" w:cs="仿宋"/>
          <w:bCs/>
          <w:color w:val="000000"/>
          <w:sz w:val="28"/>
          <w:szCs w:val="28"/>
          <w:highlight w:val="none"/>
          <w:lang w:val="zh-CN"/>
        </w:rPr>
        <w:t xml:space="preserve">自负。</w:t>
      </w:r>
      <w:r>
        <w:rPr>
          <w:rFonts w:hint="eastAsia" w:ascii="仿宋" w:hAnsi="仿宋" w:eastAsia="仿宋" w:cs="仿宋"/>
          <w:bCs/>
          <w:color w:val="000000"/>
          <w:sz w:val="28"/>
          <w:szCs w:val="28"/>
          <w:highlight w:val="none"/>
          <w:lang w:val="zh-CN"/>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18.3投标人上传电子投标文件的时间不得迟于投标邀请中规定的截止时间。</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18.4代理机构可以按第7条规定，通过修改招标文件有权酌情延长投标文件接收截止时间。在此情况下，投标人的所有权利和义务以及投标人受制约的截止日期均应以延长后新的截止日期为准。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19.投标文件被拒绝接收的情形</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19.1在招标文件规定的提交投标文件截止时间后上传的电子投标文件。</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20.投标文件的修改和撤回</w:t>
      </w:r>
      <w:r>
        <w:rPr>
          <w:rFonts w:hint="eastAsia" w:ascii="仿宋" w:hAnsi="仿宋" w:eastAsia="仿宋" w:cs="仿宋"/>
          <w:b/>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20.1投标人在上传电子投标文件后可以对其修改或撤回，但这种修改和撤回，必须在规定的开标时间之前，具体操作方法见《操作手册》。</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20.2投标人不得在开标时间以后修改电子投标文件。</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20.3投标人不得在提交电子投标文件截止时间起至投标有效期满前撤回电子投标文件。</w:t>
      </w:r>
      <w:r>
        <w:rPr>
          <w:rFonts w:hint="eastAsia" w:ascii="仿宋" w:hAnsi="仿宋" w:eastAsia="仿宋" w:cs="仿宋"/>
          <w:color w:val="000000"/>
          <w:sz w:val="28"/>
          <w:szCs w:val="28"/>
          <w:highlight w:val="none"/>
        </w:rPr>
      </w:r>
      <w:r/>
    </w:p>
    <w:p>
      <w:pPr>
        <w:pStyle w:val="745"/>
        <w:numPr>
          <w:ilvl w:val="0"/>
          <w:numId w:val="4"/>
        </w:numPr>
        <w:spacing w:line="520" w:lineRule="exact"/>
        <w:rPr>
          <w:rFonts w:hint="eastAsia" w:ascii="仿宋" w:hAnsi="仿宋" w:eastAsia="仿宋" w:cs="仿宋"/>
          <w:b/>
          <w:color w:val="000000"/>
          <w:sz w:val="32"/>
          <w:szCs w:val="32"/>
          <w:highlight w:val="none"/>
        </w:rPr>
      </w:pPr>
      <w:r/>
      <w:bookmarkStart w:id="8" w:name="_Toc162083530"/>
      <w:r>
        <w:rPr>
          <w:rFonts w:hint="eastAsia" w:ascii="仿宋" w:hAnsi="仿宋" w:eastAsia="仿宋" w:cs="仿宋"/>
          <w:b/>
          <w:color w:val="000000"/>
          <w:sz w:val="32"/>
          <w:szCs w:val="32"/>
          <w:highlight w:val="none"/>
        </w:rPr>
        <w:t xml:space="preserve">开标及评标</w:t>
      </w:r>
      <w:r>
        <w:rPr>
          <w:rFonts w:hint="eastAsia" w:ascii="仿宋" w:hAnsi="仿宋" w:eastAsia="仿宋" w:cs="仿宋"/>
          <w:b/>
          <w:color w:val="000000"/>
          <w:sz w:val="32"/>
          <w:szCs w:val="32"/>
          <w:highlight w:val="none"/>
        </w:rPr>
      </w:r>
      <w:r/>
    </w:p>
    <w:p>
      <w:pPr>
        <w:pStyle w:val="745"/>
        <w:spacing w:line="520" w:lineRule="exact"/>
        <w:rPr>
          <w:rFonts w:hint="eastAsia" w:ascii="仿宋" w:hAnsi="仿宋" w:eastAsia="仿宋" w:cs="仿宋"/>
          <w:color w:val="000000"/>
          <w:sz w:val="28"/>
          <w:szCs w:val="28"/>
          <w:highlight w:val="none"/>
        </w:rPr>
      </w:pPr>
      <w:r/>
      <w:bookmarkEnd w:id="8"/>
      <w:r>
        <w:rPr>
          <w:rFonts w:hint="eastAsia" w:ascii="仿宋" w:hAnsi="仿宋" w:eastAsia="仿宋" w:cs="仿宋"/>
          <w:color w:val="000000"/>
          <w:sz w:val="28"/>
          <w:szCs w:val="28"/>
          <w:highlight w:val="none"/>
        </w:rPr>
        <w:t xml:space="preserve">21.开标</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21.1代理机构将在招标公告中规定的时间和地点组织开标。投标人应当按照《操作手册》规定，参加开标活动和在苏采云系统规定的时间内对投标文件进行解密。</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21.2开标仪式由代理机构组织。苏采云系统将自动对项目进行开标，并宣布各投标人名称和投标价格。</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21.3投标人在开标过程中涉及到的投标文件解密、开标结果确认等工作，应按照《操作手册》规定执行。</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21.4投标人如果对开标过程和开标记录有疑义，应当根据《操作手册》规定提出，如苏采云系统中《开标记录表》宣布后5分钟内未提出的，视同认可开标结果。</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bookmarkStart w:id="9" w:name="_Toc20823303"/>
      <w:r/>
      <w:bookmarkStart w:id="10" w:name="_Toc16938547"/>
      <w:r/>
      <w:bookmarkStart w:id="11" w:name="_Toc513029231"/>
      <w:r>
        <w:rPr>
          <w:rFonts w:hint="eastAsia" w:ascii="仿宋" w:hAnsi="仿宋" w:eastAsia="仿宋" w:cs="仿宋"/>
          <w:color w:val="000000"/>
          <w:sz w:val="28"/>
          <w:szCs w:val="28"/>
          <w:highlight w:val="none"/>
        </w:rPr>
        <w:t xml:space="preserve">22.评标委员会</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22.1开标后，代理机构将立即组织评标委员会（以下简称评委会）进行评标。</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22.2评委会由招标人代表和有关技术、经济等方面的专家组成，且人员构成符合政府采购有关规定。</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22.3评委会独立工作，负责评审所有投标文件并确定中标候选人。</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23．评标过程的保密与公正</w:t>
      </w:r>
      <w:bookmarkEnd w:id="9"/>
      <w:r/>
      <w:bookmarkEnd w:id="10"/>
      <w:r/>
      <w:bookmarkEnd w:id="11"/>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23.1凡是与审查、澄清、评价和比较投标的有关资料以及授标建议等，招标人、评委、代理机构均不得向投标人或与评标无关的其他人员透露。</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23.2在评标过程中，投标人不得以任何行为影响评标过程，否则其投标文件将被作为无效投标文件。</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23.3代理机构和评标委员会不向未中标的投标人解释未中标原因，也不公布评标过程中的相关细节。</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23.4采用综合评分法的项目，未中标的投标人可于中标结果公告期限届满之日起通过苏采云系统查看自己的评审得分及排序情况。</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bookmarkStart w:id="12" w:name="_Toc16938548"/>
      <w:r/>
      <w:bookmarkStart w:id="13" w:name="_Toc20823304"/>
      <w:r/>
      <w:bookmarkStart w:id="14" w:name="_Toc513029232"/>
      <w:r>
        <w:rPr>
          <w:rFonts w:hint="eastAsia" w:ascii="仿宋" w:hAnsi="仿宋" w:eastAsia="仿宋" w:cs="仿宋"/>
          <w:color w:val="000000"/>
          <w:sz w:val="28"/>
          <w:szCs w:val="28"/>
          <w:highlight w:val="none"/>
        </w:rPr>
        <w:t xml:space="preserve">24．投标文件的澄清</w:t>
      </w:r>
      <w:bookmarkEnd w:id="12"/>
      <w:r/>
      <w:bookmarkEnd w:id="13"/>
      <w:r/>
      <w:bookmarkEnd w:id="14"/>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bookmarkStart w:id="15" w:name="_Toc513029233"/>
      <w:r/>
      <w:bookmarkStart w:id="16" w:name="_Toc16938549"/>
      <w:r/>
      <w:bookmarkStart w:id="17" w:name="_Toc20823305"/>
      <w:r>
        <w:rPr>
          <w:rFonts w:hint="eastAsia" w:ascii="仿宋" w:hAnsi="仿宋" w:eastAsia="仿宋" w:cs="仿宋"/>
          <w:color w:val="000000"/>
          <w:sz w:val="28"/>
          <w:szCs w:val="28"/>
          <w:highlight w:val="none"/>
        </w:rPr>
        <w:t xml:space="preserve">24.1评标期间，评委会对投标文件中含义不明确、同类问题表述不一致或者有明显文字和计算错误的内容，有权要求投标人作出必要的澄清、说明或者补正。</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投标人的澄清、说明或者补正不得超出投标文件的范围或者改变投标文件的实质性内容。</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评委会并非对每个投标人都做澄清要求。</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24.3接到评委会澄清、说明和补正要求的投标人如未按规定做出澄清、说明和补正，其风险由投标人自行承担。</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25.对投标文件的初审</w:t>
      </w:r>
      <w:bookmarkEnd w:id="15"/>
      <w:r/>
      <w:bookmarkEnd w:id="16"/>
      <w:r/>
      <w:bookmarkEnd w:id="17"/>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25.1投标文件初审分为资格审查和符合性审查。</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25.1.1资格审查：依据法律法规和招标文件的规定，由招标人对投标文件中的资格证明文件进行审查。资格审查的结论，招标人向评委会进行反馈。</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招标人在进行资格性审查的同时，将在“信用中国”网站（www.creditchina.gov.cn）查询投标人的信用记录，以确定投标人是否具备投标资格，查询结果留存并归档。</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25.1.3未通过资格审查或符合性审查的投标人，代理机构将在苏采云系统中告知未通过资格审查或符合性审查的原因，评审结束后，代理机构将不再告知未通过资格审查或符合性审查的原因。</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25.4评委会将对确定为实质性响应的投标进行进一步审核，看其是否有计算上或累加上的算术错误，修正错误的原则如下：</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（1）投标文件中开标一览表内容与投标文件中相应内容不一致的，以开标一览表为准。</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（2）大写金额和小写金额不一致的，以大写金额为准。</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同时出现两种以上错误的，按照前款规定的顺序修正。</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bookmarkStart w:id="18" w:name="_Toc20823306"/>
      <w:r/>
      <w:bookmarkStart w:id="19" w:name="_Toc16938550"/>
      <w:r/>
      <w:bookmarkStart w:id="20" w:name="_Toc513029234"/>
      <w:r>
        <w:rPr>
          <w:rFonts w:hint="eastAsia" w:ascii="仿宋" w:hAnsi="仿宋" w:eastAsia="仿宋" w:cs="仿宋"/>
          <w:color w:val="000000"/>
          <w:sz w:val="28"/>
          <w:szCs w:val="28"/>
          <w:highlight w:val="none"/>
        </w:rPr>
        <w:t xml:space="preserve">使用综合评分法的采购项目，评审得分相同的，由评标委员会根据招标文件规定的方式（招标文件未规定的采取随机抽取的方式）确定一个中标候选人。</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25.7投标人在开、评标全过程中应保持通信畅通，及时登录苏采云系统查阅、答复相关信息，并安排专人与代理机构及评标委员会联系。</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bookmarkEnd w:id="18"/>
      <w:r/>
      <w:bookmarkEnd w:id="19"/>
      <w:r/>
      <w:bookmarkEnd w:id="20"/>
      <w:r>
        <w:rPr>
          <w:rFonts w:hint="eastAsia" w:ascii="仿宋" w:hAnsi="仿宋" w:eastAsia="仿宋" w:cs="仿宋"/>
          <w:color w:val="000000"/>
          <w:sz w:val="28"/>
          <w:szCs w:val="28"/>
          <w:highlight w:val="none"/>
        </w:rPr>
        <w:t xml:space="preserve">6.无效投标条款和废标条款</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lang w:eastAsia="zh-CN"/>
        </w:rPr>
      </w:pPr>
      <w:r/>
      <w:bookmarkStart w:id="21" w:name="_Toc16938551"/>
      <w:r/>
      <w:bookmarkStart w:id="22" w:name="_Toc20823307"/>
      <w:r/>
      <w:bookmarkStart w:id="23" w:name="_Toc513029235"/>
      <w:r>
        <w:rPr>
          <w:rFonts w:hint="eastAsia" w:ascii="仿宋" w:hAnsi="仿宋" w:eastAsia="仿宋" w:cs="仿宋"/>
          <w:color w:val="000000"/>
          <w:sz w:val="28"/>
          <w:szCs w:val="28"/>
          <w:highlight w:val="none"/>
        </w:rPr>
        <w:t xml:space="preserve">26.1无效投标条款</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五个采购包</w:t>
      </w:r>
      <w:r>
        <w:rPr>
          <w:rFonts w:hint="eastAsia" w:ascii="仿宋" w:hAnsi="仿宋" w:eastAsia="仿宋" w:cs="仿宋"/>
          <w:color w:val="000000"/>
          <w:sz w:val="28"/>
          <w:szCs w:val="28"/>
          <w:highlight w:val="none"/>
        </w:rPr>
        <w:t xml:space="preserve">通用）</w:t>
      </w:r>
      <w:r>
        <w:rPr>
          <w:rFonts w:hint="eastAsia" w:ascii="仿宋" w:hAnsi="仿宋" w:eastAsia="仿宋" w:cs="仿宋"/>
          <w:color w:val="000000"/>
          <w:sz w:val="28"/>
          <w:szCs w:val="28"/>
          <w:highlight w:val="none"/>
          <w:lang w:eastAsia="zh-CN"/>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26.1.1投标人在苏采云系统规定的时间内未成功解密电子投标文件的。</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26.1.2投标人未按照招标文件要求上传电子投标文件的。</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投标人不具备招标文件中规定资格要求的。</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投标人的报价超过了采购预算或最高限价的。</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未通过符合性审查的。</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不符合招标文件中规定的实质性要求和条件的（实质性要求和条件是指本招标文件中用带星号“★”的商务和技术要求）。</w:t>
      </w:r>
      <w:r>
        <w:rPr>
          <w:rFonts w:hint="eastAsia" w:ascii="仿宋" w:hAnsi="仿宋" w:eastAsia="仿宋" w:cs="仿宋"/>
          <w:color w:val="000000"/>
          <w:sz w:val="28"/>
          <w:szCs w:val="28"/>
          <w:highlight w:val="none"/>
        </w:rPr>
      </w:r>
      <w:r/>
    </w:p>
    <w:p>
      <w:pPr>
        <w:pStyle w:val="745"/>
        <w:ind w:firstLine="561"/>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投标文件含有招标人不能接受的附加条件的。</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投标文件未按照招标文件要求加盖CA电子公章的。</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其他法律法规及本招标文件规定的属无效投标的情形。</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26.2废标条款</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26.2.1符合专业条件的投标人或者对招标文件作实质响应的投标人不足三家的。</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26.2.2出现影响采购公正的违法、违规行为的。</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26.2.3因重大变故，采购任务取消的。</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26.2.4评标委员会认定招标文件存在歧义、重大缺陷导致评审工作无法进行。</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26.2.5因苏采云系统故障原因造成开标不成功的。</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26.3投标截止时间结束后参加投标的投标人不足三家的处理：</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26.3.1如出现投标截止时间结束后参加投标的投标人或者在评标期间对招标文件做出实质响应的投标人不足三家情况，按政府采购相关规定执行。</w:t>
      </w:r>
      <w:r>
        <w:rPr>
          <w:rFonts w:hint="eastAsia" w:ascii="仿宋" w:hAnsi="仿宋" w:eastAsia="仿宋" w:cs="仿宋"/>
          <w:color w:val="000000"/>
          <w:sz w:val="28"/>
          <w:szCs w:val="28"/>
          <w:highlight w:val="none"/>
        </w:rPr>
      </w:r>
      <w:r/>
    </w:p>
    <w:p>
      <w:pPr>
        <w:pStyle w:val="745"/>
        <w:numPr>
          <w:ilvl w:val="0"/>
          <w:numId w:val="4"/>
        </w:numPr>
        <w:ind w:firstLine="482"/>
        <w:spacing w:line="520" w:lineRule="exact"/>
        <w:rPr>
          <w:rFonts w:hint="eastAsia" w:ascii="仿宋" w:hAnsi="仿宋" w:eastAsia="仿宋" w:cs="仿宋"/>
          <w:b/>
          <w:color w:val="000000"/>
          <w:sz w:val="32"/>
          <w:szCs w:val="32"/>
          <w:highlight w:val="none"/>
        </w:rPr>
      </w:pPr>
      <w:r/>
      <w:bookmarkEnd w:id="21"/>
      <w:r/>
      <w:bookmarkEnd w:id="22"/>
      <w:r/>
      <w:bookmarkEnd w:id="23"/>
      <w:r/>
      <w:bookmarkStart w:id="24" w:name="_Toc120614219"/>
      <w:r>
        <w:rPr>
          <w:rFonts w:hint="eastAsia" w:ascii="仿宋" w:hAnsi="仿宋" w:eastAsia="仿宋" w:cs="仿宋"/>
          <w:b/>
          <w:color w:val="000000"/>
          <w:sz w:val="32"/>
          <w:szCs w:val="32"/>
          <w:highlight w:val="none"/>
        </w:rPr>
        <w:t xml:space="preserve">定标</w:t>
      </w:r>
      <w:bookmarkEnd w:id="24"/>
      <w:r>
        <w:rPr>
          <w:rFonts w:hint="eastAsia" w:ascii="仿宋" w:hAnsi="仿宋" w:eastAsia="仿宋" w:cs="仿宋"/>
          <w:b/>
          <w:color w:val="000000"/>
          <w:sz w:val="32"/>
          <w:szCs w:val="32"/>
          <w:highlight w:val="none"/>
        </w:rPr>
      </w:r>
      <w:r/>
    </w:p>
    <w:p>
      <w:pPr>
        <w:pStyle w:val="745"/>
        <w:spacing w:line="520" w:lineRule="exact"/>
        <w:rPr>
          <w:rFonts w:hint="eastAsia" w:ascii="仿宋" w:hAnsi="仿宋" w:eastAsia="仿宋" w:cs="仿宋"/>
          <w:color w:val="000000"/>
          <w:sz w:val="28"/>
          <w:szCs w:val="28"/>
          <w:highlight w:val="none"/>
        </w:rPr>
      </w:pPr>
      <w:r/>
      <w:bookmarkStart w:id="25" w:name="_Toc513029238"/>
      <w:r/>
      <w:bookmarkStart w:id="26" w:name="_Toc20823310"/>
      <w:r/>
      <w:bookmarkStart w:id="27" w:name="_Toc16938554"/>
      <w:r>
        <w:rPr>
          <w:rFonts w:hint="eastAsia" w:ascii="仿宋" w:hAnsi="仿宋" w:eastAsia="仿宋" w:cs="仿宋"/>
          <w:color w:val="000000"/>
          <w:sz w:val="28"/>
          <w:szCs w:val="28"/>
          <w:highlight w:val="none"/>
        </w:rPr>
        <w:t xml:space="preserve">2</w:t>
      </w:r>
      <w:bookmarkEnd w:id="25"/>
      <w:r>
        <w:rPr>
          <w:rFonts w:hint="eastAsia" w:ascii="仿宋" w:hAnsi="仿宋" w:eastAsia="仿宋" w:cs="仿宋"/>
          <w:color w:val="000000"/>
          <w:sz w:val="28"/>
          <w:szCs w:val="28"/>
          <w:highlight w:val="none"/>
        </w:rPr>
        <w:t xml:space="preserve">7.确定</w:t>
      </w:r>
      <w:bookmarkEnd w:id="26"/>
      <w:r/>
      <w:bookmarkEnd w:id="27"/>
      <w:r>
        <w:rPr>
          <w:rFonts w:hint="eastAsia" w:ascii="仿宋" w:hAnsi="仿宋" w:eastAsia="仿宋" w:cs="仿宋"/>
          <w:color w:val="000000"/>
          <w:sz w:val="28"/>
          <w:szCs w:val="28"/>
          <w:highlight w:val="none"/>
        </w:rPr>
        <w:t xml:space="preserve">中标单位</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27.1中标候选人的选取原则和数量见招标文件第三章规定。</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27.2招标人应根据评委会推荐的中标候选人确定中标人。</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27.3代理机构将在“淮安市政府采购网”发布中标公告，公告期限为1个工作日。</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27.4若有充分证据证明，中标人出现下列情况之一的，一经查实，将被取消中标资格：</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27.4.1提供虚假材料谋取中标的。</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27.4.2向招标人、代理机构行贿或者提供其他不正当利益的。</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27.4.3属于本文件规定的无效条件，但在评标过程中又未被评委会发现的。</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27.4.4与招标人或者其他投标人恶意串通的。</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27.4.5采取不正当手段诋毁、排挤其他投标人的。</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bookmarkStart w:id="28" w:name="_Toc200451960"/>
      <w:r>
        <w:rPr>
          <w:rFonts w:hint="eastAsia" w:ascii="仿宋" w:hAnsi="仿宋" w:eastAsia="仿宋" w:cs="仿宋"/>
          <w:color w:val="000000"/>
          <w:sz w:val="28"/>
          <w:szCs w:val="28"/>
          <w:highlight w:val="none"/>
        </w:rPr>
        <w:t xml:space="preserve">27.5.有下列情形之一的，视为投标人串通投标，投标无效：</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27.5.1不同投标人的投标文件由同一单位或者个人编制；</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27.5.2不同投标人委托同一单位或者个人办理投标事宜；</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27.5.3不同投标人的投标文件载明的项目管理成员或者联系人员为同一人；</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27.5.4不同投标人的投标文件异常一致或者投标报价呈规律性差异；</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28．质疑处理</w:t>
      </w:r>
      <w:bookmarkEnd w:id="28"/>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28.1投标人认为采购文件、采购过程和中标结果使自己的权益受到损害的，可以在知道或者应知其权益受到损害之日起七个工作日内，以电子文件形式通过“苏采云平台”－&gt;“投标人“登录，从”项目质疑申请”模块中提出质疑。未通过交易平台提交的、七个工作日之外以及未按27.5条的要求提供质疑的均不予受理。</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28.2上述应知其权益受到损害之日是指：</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（1）对招标文件提出质疑的，为采购文件公告期限届满之日起计算；</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（2）对采购过程提出质疑的，为各采购程序环节结束之日起计算；</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（3）对中标结果提出质疑的，为中标结果公告期限届满之日起计算。</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28.3质疑投标人是指直接参加本次投标活动的投标人，未参加投标活动的投标人或在投标活动中自身权益未受到损害的投标人所提出的质疑不予受理。</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28.4质疑投标人在法定质疑期内应当一次性针对同一采购环节提出质疑。</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28.5质疑函应当包括以下主要内容，附上相关证明材料。否则，代理机构不予受理。</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（1）质疑投标人的名称、地址、邮编、联系人及联系电话；</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（2）质疑项目的名称、编号；</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（3）具体、明确的质疑事项和与质疑事实相关的请求；</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（4）事实依据；</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（5）必要的法律依据；</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（6）提起质疑的日期；</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28.6代理机构收到质疑函后，将对质疑的形式和内容进行审查，如质疑函内容、格式不符合规定，代理机构将告知质疑人进行补正。质疑人应当在法定质疑期限内进行补正并重新提交质疑函，拒不补正或者超过法定期限后未重新提交质疑函的，为无效质疑，代理机构有权不予受理。</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28.7对于内容、格式符合规定的质疑函，代理机构将在七个工作日内以电子文件的形式作出答复，但质疑答复的内容不涉及商业秘密。如果质疑投标人还需要纸质形式回复函的，需主动与代理机构联系索取，或者在质疑函中明确提出该要求。</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28.8投标人提出的质疑必须有理、有据，不得恶意质疑或提交虚假质疑。否则，一经查实，代理机构有权依据政府采购的有关规定，报请</w:t>
      </w:r>
      <w:r>
        <w:rPr>
          <w:rFonts w:hint="eastAsia" w:ascii="仿宋" w:hAnsi="仿宋" w:eastAsia="仿宋"/>
          <w:color w:val="000000"/>
          <w:sz w:val="28"/>
          <w:szCs w:val="28"/>
          <w:highlight w:val="none"/>
          <w:lang w:val="en-US" w:eastAsia="zh-CN"/>
        </w:rPr>
        <w:t xml:space="preserve">财政监管部门</w:t>
      </w:r>
      <w:r>
        <w:rPr>
          <w:rFonts w:hint="eastAsia" w:ascii="仿宋" w:hAnsi="仿宋" w:eastAsia="仿宋" w:cs="仿宋"/>
          <w:color w:val="000000"/>
          <w:sz w:val="28"/>
          <w:szCs w:val="28"/>
          <w:highlight w:val="none"/>
        </w:rPr>
        <w:t xml:space="preserve">将该投标人列入失信行为或不良行为记录名单，进行相应的行政处罚。</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29.中标通知书</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29.2中标通知书将是合同的一个组成部分。对招标人和中标投标人均具有法律效力。中标通知书发出后，招标人改变中标结果的，或者中标投标人放弃中标项目的，应当依法承担法律责任。</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b/>
          <w:color w:val="000000"/>
          <w:sz w:val="32"/>
          <w:szCs w:val="32"/>
          <w:highlight w:val="none"/>
        </w:rPr>
      </w:pPr>
      <w:r/>
      <w:bookmarkStart w:id="29" w:name="_Toc120614220"/>
      <w:r/>
      <w:bookmarkStart w:id="30" w:name="_Toc513029236"/>
      <w:r/>
      <w:bookmarkStart w:id="31" w:name="_Toc20823308"/>
      <w:r/>
      <w:bookmarkStart w:id="32" w:name="_Toc16938552"/>
      <w:r>
        <w:rPr>
          <w:rFonts w:hint="eastAsia" w:ascii="仿宋" w:hAnsi="仿宋" w:eastAsia="仿宋" w:cs="仿宋"/>
          <w:b/>
          <w:color w:val="000000"/>
          <w:sz w:val="32"/>
          <w:szCs w:val="32"/>
          <w:highlight w:val="none"/>
        </w:rPr>
        <w:t xml:space="preserve">七、授予合同</w:t>
      </w:r>
      <w:bookmarkEnd w:id="29"/>
      <w:r>
        <w:rPr>
          <w:rFonts w:hint="eastAsia" w:ascii="仿宋" w:hAnsi="仿宋" w:eastAsia="仿宋" w:cs="仿宋"/>
          <w:b/>
          <w:color w:val="000000"/>
          <w:sz w:val="32"/>
          <w:szCs w:val="32"/>
          <w:highlight w:val="none"/>
        </w:rPr>
      </w:r>
      <w:r/>
    </w:p>
    <w:p>
      <w:pPr>
        <w:pStyle w:val="745"/>
        <w:spacing w:line="520" w:lineRule="exact"/>
        <w:rPr>
          <w:rFonts w:hint="eastAsia" w:ascii="仿宋" w:hAnsi="仿宋" w:eastAsia="仿宋" w:cs="仿宋"/>
          <w:color w:val="000000"/>
          <w:sz w:val="28"/>
          <w:szCs w:val="28"/>
          <w:highlight w:val="none"/>
        </w:rPr>
      </w:pPr>
      <w:r/>
      <w:bookmarkEnd w:id="30"/>
      <w:r/>
      <w:bookmarkEnd w:id="31"/>
      <w:r/>
      <w:bookmarkEnd w:id="32"/>
      <w:r/>
      <w:bookmarkStart w:id="33" w:name="_Toc513029237"/>
      <w:r/>
      <w:bookmarkStart w:id="34" w:name="_Toc16938553"/>
      <w:r/>
      <w:bookmarkStart w:id="35" w:name="_Toc20823309"/>
      <w:r>
        <w:rPr>
          <w:rFonts w:hint="eastAsia" w:ascii="仿宋" w:hAnsi="仿宋" w:eastAsia="仿宋" w:cs="仿宋"/>
          <w:color w:val="000000"/>
          <w:sz w:val="28"/>
          <w:szCs w:val="28"/>
          <w:highlight w:val="none"/>
        </w:rPr>
        <w:t xml:space="preserve">30.签订合同</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30.l中标人应当在中标通知书发出之日起三十日内，按照招标文件确定的事项与招标人签订政府采购合同。</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30.2招标文件、中标人的投标文件及招标过程中有关澄清、承诺文件均应作为合同附件。</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30.3签订合同后，中标人不得将合同标的进行转包。未经招标人同意，中标人也不得采用分包的形式履行合同，否则招标人有权终止合同。转包或分包造成招标人损失的，中标人应承担相应赔偿责任。</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31.货物（包含与货物相关的服务）的追加</w:t>
      </w:r>
      <w:r>
        <w:rPr>
          <w:rFonts w:hint="eastAsia" w:ascii="仿宋" w:hAnsi="仿宋" w:eastAsia="仿宋" w:cs="仿宋"/>
          <w:color w:val="000000"/>
          <w:sz w:val="28"/>
          <w:szCs w:val="28"/>
          <w:highlight w:val="none"/>
        </w:rPr>
      </w:r>
      <w:r/>
    </w:p>
    <w:p>
      <w:pPr>
        <w:pStyle w:val="745"/>
        <w:ind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政府采购合同履行中，招标人需追加与合同标的相同的货物（包含与货物相关的服务）的，在不改变合同其他条款的前提下，可以与中标人协商签订补充合同，但所有补充合同的采购金额不超过原合同金额10%。  </w:t>
      </w:r>
      <w:r>
        <w:rPr>
          <w:rFonts w:ascii="仿宋" w:hAnsi="仿宋" w:eastAsia="仿宋" w:cs="仿宋"/>
          <w:color w:val="000000"/>
          <w:sz w:val="28"/>
          <w:szCs w:val="28"/>
          <w:highlight w:val="none"/>
        </w:rPr>
      </w:r>
      <w:r/>
    </w:p>
    <w:p>
      <w:pPr>
        <w:pStyle w:val="868"/>
        <w:spacing w:line="520" w:lineRule="exact"/>
        <w:rPr>
          <w:rFonts w:ascii="仿宋" w:hAnsi="仿宋" w:eastAsia="仿宋" w:cs="仿宋"/>
          <w:color w:val="000000"/>
          <w:sz w:val="28"/>
          <w:szCs w:val="28"/>
          <w:highlight w:val="none"/>
          <w:lang w:val="en-US" w:eastAsia="zh-CN"/>
        </w:rPr>
      </w:pPr>
      <w:r/>
      <w:bookmarkEnd w:id="33"/>
      <w:r/>
      <w:bookmarkEnd w:id="34"/>
      <w:r/>
      <w:bookmarkEnd w:id="35"/>
      <w:r>
        <w:rPr>
          <w:rFonts w:hint="eastAsia" w:ascii="仿宋" w:hAnsi="仿宋" w:eastAsia="仿宋" w:cs="仿宋"/>
          <w:color w:val="000000"/>
          <w:sz w:val="28"/>
          <w:szCs w:val="28"/>
          <w:highlight w:val="none"/>
        </w:rPr>
        <w:t xml:space="preserve">32.履约保证金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本项目不收取</w:t>
      </w:r>
      <w:r>
        <w:rPr>
          <w:rFonts w:ascii="仿宋" w:hAnsi="仿宋" w:eastAsia="仿宋" w:cs="仿宋"/>
          <w:color w:val="000000"/>
          <w:sz w:val="28"/>
          <w:szCs w:val="28"/>
          <w:highlight w:val="none"/>
          <w:lang w:val="en-US" w:eastAsia="zh-CN"/>
        </w:rPr>
      </w:r>
      <w:r/>
    </w:p>
    <w:p>
      <w:pPr>
        <w:pStyle w:val="745"/>
        <w:spacing w:line="520" w:lineRule="exact"/>
        <w:rPr>
          <w:rFonts w:hint="eastAsia" w:ascii="仿宋" w:hAnsi="仿宋" w:eastAsia="仿宋" w:cs="仿宋"/>
          <w:b/>
          <w:bCs/>
          <w:color w:val="000000"/>
          <w:sz w:val="32"/>
          <w:szCs w:val="28"/>
          <w:highlight w:val="none"/>
        </w:rPr>
      </w:pPr>
      <w:r>
        <w:rPr>
          <w:rFonts w:hint="eastAsia" w:ascii="仿宋" w:hAnsi="仿宋" w:eastAsia="仿宋" w:cs="仿宋"/>
          <w:b/>
          <w:bCs/>
          <w:color w:val="000000"/>
          <w:sz w:val="32"/>
          <w:szCs w:val="28"/>
          <w:highlight w:val="none"/>
        </w:rPr>
        <w:t xml:space="preserve">八、政府采购政策功能落实</w:t>
      </w:r>
      <w:r>
        <w:rPr>
          <w:rFonts w:hint="eastAsia" w:ascii="仿宋" w:hAnsi="仿宋" w:eastAsia="仿宋" w:cs="仿宋"/>
          <w:b/>
          <w:bCs/>
          <w:color w:val="000000"/>
          <w:sz w:val="32"/>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w:t>
      </w:r>
      <w:r>
        <w:rPr>
          <w:rFonts w:hint="eastAsia" w:ascii="仿宋" w:hAnsi="仿宋" w:eastAsia="仿宋" w:cs="仿宋"/>
          <w:color w:val="000000"/>
          <w:sz w:val="28"/>
          <w:szCs w:val="28"/>
          <w:highlight w:val="none"/>
          <w:lang w:val="zh-CN"/>
        </w:rPr>
        <w:t xml:space="preserve">促进中小企业发展</w:t>
      </w:r>
      <w:r>
        <w:rPr>
          <w:rFonts w:hint="eastAsia" w:ascii="仿宋" w:hAnsi="仿宋" w:eastAsia="仿宋" w:cs="仿宋"/>
          <w:color w:val="000000"/>
          <w:sz w:val="28"/>
          <w:szCs w:val="28"/>
          <w:highlight w:val="none"/>
        </w:rPr>
        <w:t xml:space="preserve">政策</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33.1小微型企业价格扣除</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33.1.1</w:t>
      </w:r>
      <w:r>
        <w:rPr>
          <w:rFonts w:hint="eastAsia" w:ascii="仿宋" w:hAnsi="仿宋" w:eastAsia="仿宋" w:cs="仿宋"/>
          <w:color w:val="000000"/>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cs="仿宋"/>
          <w:color w:val="000000"/>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（1）在货物采购项目中，货物由中小企业制造，即货物由中小企业生产且使用该中小企业商号或者注册商标；</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33.1.2在货物采购项目中，投标人提供的货物既有中小企业制造货物，也有大型企业制造货物的，不享受本办法规定的中小企业扶持政策。</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33.2联合体及分包</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33.2.1以联合体形式参加政府采购活动，联合体各方均为中小企业的，联合体视同中小企业。其中，联合体各方均为小微企业的，联合体视同小微企业。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33.2.2享受扶持政策获得政府采购合同的，小微企业不得将合同分包给大中型企业，中型企业不得将合同分包给大型企业。</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30%以上的，招标人应当对联合体或者大中型企业的报价给予5%的扣除，用扣除后的价格参加评审。</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33.3小微型企业</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（1）投标人须按照招标文件的要求提供相应的《企业声明函》，详见招标文件第六章示范格式。</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（2）企业标准请参照《政府采购促进中小企业发展管理办法》（财库〔2020〕46号）文件规定自行填写。</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33.4残疾人福利单位</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（1）残疾人福利单位需按照招标文件的要求提供《残疾人福利性单位声明函》，详见招标文件第六章示范格式。</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（2）残疾人福利单位标准请参照《关于促进残疾人就业政府采购政策的通知》（财库〔2017〕141号）。</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33.5监狱和戒毒企业</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（2）监狱企业标准请参照《关于政府采购支持监狱企业发展有关问题的通知》（财库〔2014〕68号）。</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34.节能、环保政策</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34.2节能产品（本项目不涉及）</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w:t>
      </w:r>
      <w:r>
        <w:rPr>
          <w:rFonts w:hint="eastAsia" w:ascii="仿宋" w:hAnsi="仿宋" w:eastAsia="仿宋" w:cs="仿宋"/>
          <w:color w:val="000000"/>
          <w:sz w:val="28"/>
          <w:szCs w:val="28"/>
          <w:highlight w:val="none"/>
          <w:u w:val="single"/>
        </w:rPr>
        <w:t xml:space="preserve">（采购产品）</w:t>
      </w:r>
      <w:r>
        <w:rPr>
          <w:rFonts w:hint="eastAsia" w:ascii="仿宋" w:hAnsi="仿宋" w:eastAsia="仿宋" w:cs="仿宋"/>
          <w:color w:val="000000"/>
          <w:sz w:val="28"/>
          <w:szCs w:val="28"/>
          <w:highlight w:val="none"/>
        </w:rPr>
        <w:t xml:space="preserve">被列入“节能产品品目清单”的，实行</w:t>
      </w:r>
      <w:r>
        <w:rPr>
          <w:rFonts w:hint="eastAsia" w:ascii="仿宋" w:hAnsi="仿宋" w:eastAsia="仿宋" w:cs="仿宋"/>
          <w:color w:val="000000"/>
          <w:sz w:val="28"/>
          <w:szCs w:val="28"/>
          <w:highlight w:val="none"/>
          <w:u w:val="single"/>
        </w:rPr>
        <w:t xml:space="preserve">（优先采购/强制采购）</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34.3环保产品（本项目不涉及）</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u w:val="single"/>
        </w:rPr>
        <w:t xml:space="preserve">（采购产品）</w:t>
      </w:r>
      <w:r>
        <w:rPr>
          <w:rFonts w:hint="eastAsia" w:ascii="仿宋" w:hAnsi="仿宋" w:eastAsia="仿宋" w:cs="仿宋"/>
          <w:color w:val="000000"/>
          <w:sz w:val="28"/>
          <w:szCs w:val="28"/>
          <w:highlight w:val="none"/>
        </w:rPr>
        <w:t xml:space="preserve">被列入“环境标志产品品目清单”的，实行优先采购。</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rPr>
        <w:t xml:space="preserve">34.4本项目中实行“强制采购”的，需</w:t>
      </w:r>
      <w:r>
        <w:rPr>
          <w:rFonts w:hint="eastAsia" w:ascii="仿宋" w:hAnsi="仿宋" w:eastAsia="仿宋" w:cs="仿宋"/>
          <w:color w:val="000000"/>
          <w:sz w:val="28"/>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rPr>
          <w:rFonts w:hint="eastAsia" w:ascii="仿宋" w:hAnsi="仿宋" w:eastAsia="仿宋" w:cs="仿宋"/>
          <w:color w:val="000000"/>
          <w:sz w:val="28"/>
          <w:highlight w:val="none"/>
        </w:rPr>
      </w:r>
      <w:r/>
    </w:p>
    <w:p>
      <w:pPr>
        <w:pStyle w:val="74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34.5节能、环保产品的品目清单按照《关于印发环境标志产品政府采购品目清单的通知》（财库〔2019〕18号）、《关于印发节能产品政府采购品目清单的</w:t>
      </w:r>
      <w:r>
        <w:rPr>
          <w:rFonts w:hint="eastAsia" w:ascii="仿宋" w:hAnsi="仿宋" w:eastAsia="仿宋" w:cs="仿宋"/>
          <w:bCs/>
          <w:color w:val="000000"/>
          <w:sz w:val="28"/>
          <w:szCs w:val="28"/>
          <w:highlight w:val="none"/>
        </w:rPr>
        <w:t xml:space="preserve">通知》（财库〔2019〕19号）执行。国家对品目清单进行调整的，按照最新调整的品目清单执行。</w:t>
      </w:r>
      <w:r>
        <w:rPr>
          <w:rFonts w:hint="eastAsia" w:ascii="仿宋" w:hAnsi="仿宋" w:eastAsia="仿宋" w:cs="仿宋"/>
          <w:bCs/>
          <w:color w:val="000000"/>
          <w:sz w:val="28"/>
          <w:szCs w:val="28"/>
          <w:highlight w:val="none"/>
        </w:rPr>
      </w:r>
      <w:r/>
    </w:p>
    <w:p>
      <w:pPr>
        <w:pStyle w:val="745"/>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35．政府绿色采购</w:t>
      </w:r>
      <w:r>
        <w:rPr>
          <w:rFonts w:hint="eastAsia" w:ascii="仿宋" w:hAnsi="仿宋" w:eastAsia="仿宋" w:cs="仿宋"/>
          <w:bCs/>
          <w:color w:val="000000"/>
          <w:sz w:val="28"/>
          <w:szCs w:val="28"/>
          <w:highlight w:val="none"/>
        </w:rPr>
      </w:r>
      <w:r/>
    </w:p>
    <w:p>
      <w:pPr>
        <w:pStyle w:val="745"/>
        <w:ind w:firstLine="280"/>
        <w:spacing w:line="52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cs="仿宋"/>
          <w:bCs/>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s="仿宋"/>
          <w:color w:val="000000"/>
          <w:sz w:val="28"/>
          <w:szCs w:val="28"/>
          <w:highlight w:val="none"/>
        </w:rPr>
      </w:r>
      <w:r/>
    </w:p>
    <w:p>
      <w:pPr>
        <w:pStyle w:val="910"/>
        <w:ind w:left="0" w:firstLine="560"/>
        <w:spacing w:after="0"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35.2本项目中涉及商品的包装应按照“财办库〔2020〕123号《关于印发&lt;商品包装政府采购需求标准（试行）&gt;、&lt;快递包装政府采购需求标准（试行）&gt;的通知》”执行，在供货、安装过程中能做到低碳物流、环保节约、提高资源利用率；涉及设备运维参考《绿色数据中心政府采购需求标准（试行）》（财库〔2023〕7号文）执行。</w:t>
      </w:r>
      <w:r>
        <w:rPr>
          <w:rFonts w:hint="eastAsia"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36.履约资金扶持政策</w:t>
      </w:r>
      <w:r>
        <w:rPr>
          <w:rFonts w:hint="eastAsia" w:ascii="仿宋" w:hAnsi="仿宋" w:eastAsia="仿宋" w:cs="仿宋"/>
          <w:bCs/>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36.2有融资贷款需求的中标人，与招标人在苏采云【合同在线签订】模块中进行合同在线签订时，【账户信息完善】的“是否融资”一栏中需选择“是”，同时完善收款账号信息和合同补充协议（融资账号）。</w:t>
      </w:r>
      <w:r>
        <w:rPr>
          <w:rFonts w:hint="eastAsia" w:ascii="仿宋" w:hAnsi="仿宋" w:eastAsia="仿宋" w:cs="仿宋"/>
          <w:color w:val="000000"/>
          <w:sz w:val="28"/>
          <w:szCs w:val="28"/>
          <w:highlight w:val="none"/>
        </w:rPr>
      </w:r>
      <w:r/>
    </w:p>
    <w:p>
      <w:pPr>
        <w:pStyle w:val="745"/>
        <w:jc w:val="center"/>
        <w:widowControl/>
        <w:rPr>
          <w:rFonts w:hint="eastAsia" w:ascii="仿宋" w:hAnsi="仿宋" w:eastAsia="仿宋" w:cs="仿宋"/>
          <w:b/>
          <w:bCs/>
          <w:color w:val="000000"/>
          <w:sz w:val="40"/>
          <w:szCs w:val="40"/>
          <w:highlight w:val="none"/>
        </w:rPr>
      </w:pPr>
      <w:r>
        <w:rPr>
          <w:rFonts w:hint="eastAsia" w:ascii="仿宋" w:hAnsi="仿宋" w:eastAsia="仿宋" w:cs="仿宋"/>
          <w:b/>
          <w:bCs/>
          <w:color w:val="000000"/>
          <w:sz w:val="40"/>
          <w:szCs w:val="40"/>
          <w:highlight w:val="none"/>
        </w:rPr>
      </w:r>
      <w:r/>
    </w:p>
    <w:p>
      <w:pPr>
        <w:pStyle w:val="745"/>
        <w:jc w:val="both"/>
        <w:widowControl/>
        <w:rPr>
          <w:rFonts w:hint="eastAsia" w:ascii="仿宋" w:hAnsi="仿宋" w:eastAsia="仿宋" w:cs="仿宋"/>
          <w:b/>
          <w:bCs/>
          <w:color w:val="000000"/>
          <w:sz w:val="40"/>
          <w:szCs w:val="40"/>
          <w:highlight w:val="none"/>
        </w:rPr>
      </w:pPr>
      <w:r>
        <w:rPr>
          <w:rFonts w:hint="eastAsia" w:ascii="仿宋" w:hAnsi="仿宋" w:eastAsia="仿宋" w:cs="仿宋"/>
          <w:b/>
          <w:bCs/>
          <w:color w:val="000000"/>
          <w:sz w:val="40"/>
          <w:szCs w:val="40"/>
          <w:highlight w:val="none"/>
        </w:rPr>
      </w:r>
      <w:r/>
    </w:p>
    <w:p>
      <w:pPr>
        <w:pStyle w:val="745"/>
        <w:jc w:val="center"/>
        <w:widowControl/>
        <w:rPr>
          <w:rFonts w:hint="eastAsia" w:ascii="仿宋" w:hAnsi="仿宋" w:eastAsia="仿宋" w:cs="仿宋"/>
          <w:b/>
          <w:bCs/>
          <w:color w:val="000000"/>
          <w:sz w:val="40"/>
          <w:szCs w:val="40"/>
          <w:highlight w:val="none"/>
        </w:rPr>
      </w:pPr>
      <w:r>
        <w:rPr>
          <w:rFonts w:hint="eastAsia" w:ascii="仿宋" w:hAnsi="仿宋" w:eastAsia="仿宋" w:cs="仿宋"/>
          <w:b/>
          <w:bCs/>
          <w:color w:val="000000"/>
          <w:sz w:val="40"/>
          <w:szCs w:val="40"/>
          <w:highlight w:val="none"/>
        </w:rPr>
        <w:t xml:space="preserve">第三章评标标准</w:t>
      </w:r>
      <w:r>
        <w:rPr>
          <w:rFonts w:hint="eastAsia" w:ascii="仿宋" w:hAnsi="仿宋" w:eastAsia="仿宋" w:cs="仿宋"/>
          <w:b/>
          <w:bCs/>
          <w:color w:val="000000"/>
          <w:sz w:val="40"/>
          <w:szCs w:val="40"/>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一、本项目</w:t>
      </w:r>
      <w:r>
        <w:rPr>
          <w:rFonts w:hint="eastAsia" w:ascii="仿宋" w:hAnsi="仿宋" w:eastAsia="仿宋" w:cs="仿宋"/>
          <w:color w:val="000000"/>
          <w:sz w:val="28"/>
          <w:szCs w:val="28"/>
          <w:highlight w:val="none"/>
          <w:lang w:val="en-US" w:eastAsia="zh-CN"/>
        </w:rPr>
        <w:t xml:space="preserve">五</w:t>
      </w:r>
      <w:r>
        <w:rPr>
          <w:rFonts w:hint="eastAsia" w:ascii="仿宋" w:hAnsi="仿宋" w:eastAsia="仿宋" w:cs="仿宋"/>
          <w:color w:val="000000"/>
          <w:sz w:val="28"/>
          <w:szCs w:val="28"/>
          <w:highlight w:val="none"/>
        </w:rPr>
        <w:t xml:space="preserve">个采购包均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仿宋" w:hAnsi="仿宋" w:eastAsia="仿宋" w:cs="仿宋"/>
          <w:color w:val="000000"/>
          <w:sz w:val="28"/>
          <w:szCs w:val="28"/>
          <w:highlight w:val="none"/>
        </w:rPr>
      </w:r>
      <w:r/>
    </w:p>
    <w:p>
      <w:pPr>
        <w:pStyle w:val="910"/>
        <w:ind w:left="0" w:firstLine="560"/>
        <w:spacing w:line="520" w:lineRule="exact"/>
        <w:rPr>
          <w:rFonts w:hint="eastAsia"/>
          <w:color w:val="000000"/>
          <w:highlight w:val="none"/>
        </w:rPr>
      </w:pPr>
      <w:r>
        <w:rPr>
          <w:rFonts w:hint="eastAsia" w:ascii="仿宋" w:hAnsi="仿宋" w:eastAsia="仿宋" w:cs="仿宋"/>
          <w:color w:val="000000"/>
          <w:sz w:val="28"/>
          <w:szCs w:val="28"/>
          <w:highlight w:val="none"/>
        </w:rPr>
        <w:t xml:space="preserve">二、评委会将依据下列评标标准进行评标，</w:t>
      </w:r>
      <w:r>
        <w:rPr>
          <w:rFonts w:hint="eastAsia" w:ascii="仿宋" w:hAnsi="仿宋" w:eastAsia="仿宋" w:cs="仿宋"/>
          <w:color w:val="000000"/>
          <w:sz w:val="28"/>
          <w:szCs w:val="28"/>
          <w:highlight w:val="none"/>
          <w:lang w:val="en-US" w:eastAsia="zh-CN"/>
        </w:rPr>
        <w:t xml:space="preserve">五</w:t>
      </w:r>
      <w:r>
        <w:rPr>
          <w:rFonts w:hint="eastAsia" w:ascii="仿宋" w:hAnsi="仿宋" w:eastAsia="仿宋" w:cs="仿宋"/>
          <w:color w:val="000000"/>
          <w:sz w:val="28"/>
          <w:szCs w:val="28"/>
          <w:highlight w:val="none"/>
        </w:rPr>
        <w:t xml:space="preserve">个采购包评标标准的总分均为100分。各采购包按综合评审后得分由高到低顺序排列，得分相同的，按照</w:t>
      </w:r>
      <w:r>
        <w:rPr>
          <w:rFonts w:hint="eastAsia" w:ascii="仿宋" w:hAnsi="仿宋" w:eastAsia="仿宋" w:cs="仿宋"/>
          <w:color w:val="000000"/>
          <w:sz w:val="28"/>
          <w:szCs w:val="28"/>
          <w:highlight w:val="none"/>
          <w:lang w:val="en-US" w:eastAsia="zh-CN"/>
        </w:rPr>
        <w:t xml:space="preserve">服务能力</w:t>
      </w:r>
      <w:r>
        <w:rPr>
          <w:rFonts w:hint="eastAsia" w:ascii="仿宋" w:hAnsi="仿宋" w:eastAsia="仿宋" w:cs="仿宋"/>
          <w:color w:val="000000"/>
          <w:sz w:val="28"/>
          <w:szCs w:val="28"/>
          <w:highlight w:val="none"/>
        </w:rPr>
        <w:t xml:space="preserve">优劣排列，如还相同</w:t>
      </w:r>
      <w:r>
        <w:rPr>
          <w:rFonts w:hint="eastAsia" w:ascii="仿宋" w:hAnsi="仿宋" w:eastAsia="仿宋" w:cs="仿宋"/>
          <w:color w:val="000000"/>
          <w:sz w:val="28"/>
          <w:szCs w:val="28"/>
          <w:highlight w:val="none"/>
          <w:lang w:val="en-US" w:eastAsia="zh-CN"/>
        </w:rPr>
        <w:t xml:space="preserve">则按合规经营能力、风险管控能力、服务方案依次</w:t>
      </w:r>
      <w:r>
        <w:rPr>
          <w:rFonts w:hint="eastAsia" w:ascii="仿宋" w:hAnsi="仿宋" w:eastAsia="仿宋" w:cs="仿宋"/>
          <w:color w:val="000000"/>
          <w:sz w:val="28"/>
          <w:szCs w:val="28"/>
          <w:highlight w:val="none"/>
        </w:rPr>
        <w:t xml:space="preserve">优劣排列。</w:t>
      </w:r>
      <w:r>
        <w:rPr>
          <w:rFonts w:hint="eastAsia" w:ascii="仿宋" w:hAnsi="仿宋" w:eastAsia="仿宋"/>
          <w:color w:val="000000"/>
          <w:sz w:val="28"/>
          <w:szCs w:val="28"/>
          <w:highlight w:val="none"/>
        </w:rPr>
        <w:t xml:space="preserve">投标人最多只能中1个</w:t>
      </w:r>
      <w:r>
        <w:rPr>
          <w:rFonts w:hint="eastAsia" w:ascii="仿宋" w:hAnsi="仿宋" w:eastAsia="仿宋"/>
          <w:color w:val="000000"/>
          <w:sz w:val="28"/>
          <w:szCs w:val="28"/>
          <w:highlight w:val="none"/>
          <w:lang w:val="en-US" w:eastAsia="zh-CN"/>
        </w:rPr>
        <w:t xml:space="preserve">采购包</w:t>
      </w:r>
      <w:r>
        <w:rPr>
          <w:rFonts w:hint="eastAsia" w:ascii="仿宋" w:hAnsi="仿宋" w:eastAsia="仿宋"/>
          <w:color w:val="000000"/>
          <w:sz w:val="28"/>
          <w:szCs w:val="28"/>
          <w:highlight w:val="none"/>
        </w:rPr>
        <w:t xml:space="preserve">，若中</w:t>
      </w:r>
      <w:r>
        <w:rPr>
          <w:rFonts w:hint="eastAsia" w:ascii="仿宋" w:hAnsi="仿宋" w:eastAsia="仿宋"/>
          <w:color w:val="000000"/>
          <w:sz w:val="28"/>
          <w:szCs w:val="28"/>
          <w:highlight w:val="none"/>
          <w:lang w:val="en-US" w:eastAsia="zh-CN"/>
        </w:rPr>
        <w:t xml:space="preserve">标</w:t>
      </w:r>
      <w:r>
        <w:rPr>
          <w:rFonts w:hint="eastAsia" w:ascii="仿宋" w:hAnsi="仿宋" w:eastAsia="仿宋"/>
          <w:color w:val="000000"/>
          <w:sz w:val="28"/>
          <w:szCs w:val="28"/>
          <w:highlight w:val="none"/>
        </w:rPr>
        <w:t xml:space="preserve">多于1个</w:t>
      </w:r>
      <w:r>
        <w:rPr>
          <w:rFonts w:hint="eastAsia" w:ascii="仿宋" w:hAnsi="仿宋" w:eastAsia="仿宋"/>
          <w:color w:val="000000"/>
          <w:sz w:val="28"/>
          <w:szCs w:val="28"/>
          <w:highlight w:val="none"/>
          <w:lang w:val="en-US" w:eastAsia="zh-CN"/>
        </w:rPr>
        <w:t xml:space="preserve">采购包的</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按照采购包先后顺序进行排列</w:t>
      </w:r>
      <w:r>
        <w:rPr>
          <w:rFonts w:hint="eastAsia" w:ascii="仿宋" w:hAnsi="仿宋" w:eastAsia="仿宋"/>
          <w:color w:val="000000"/>
          <w:sz w:val="28"/>
          <w:szCs w:val="28"/>
          <w:highlight w:val="none"/>
        </w:rPr>
        <w:t xml:space="preserve">，</w:t>
      </w:r>
      <w:r>
        <w:rPr>
          <w:rFonts w:hint="eastAsia" w:ascii="仿宋" w:hAnsi="仿宋" w:eastAsia="仿宋" w:cs="仿宋"/>
          <w:color w:val="000000"/>
          <w:sz w:val="28"/>
          <w:szCs w:val="28"/>
          <w:highlight w:val="none"/>
        </w:rPr>
        <w:t xml:space="preserve">则其在其他采购包的得分清零，将不推荐为中标候选人；其次，第二采购包得分排名在其后的投标人排名自动进位，以此类推。</w:t>
      </w:r>
      <w:r>
        <w:rPr>
          <w:rFonts w:hint="eastAsia"/>
          <w:color w:val="000000"/>
          <w:highlight w:val="none"/>
        </w:rPr>
      </w:r>
      <w:r/>
    </w:p>
    <w:p>
      <w:pPr>
        <w:pStyle w:val="910"/>
        <w:ind w:left="0" w:firstLine="560"/>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注：如是投标人授权其地市级及以上分公司（支公司）等机构代表投标人参加投标的，本章第三条“具体标准”中所表述的“投标人”指被授权的地市级及以上分公司（支公司）等机构。</w:t>
      </w:r>
      <w:r>
        <w:rPr>
          <w:rFonts w:hint="eastAsia" w:ascii="仿宋" w:hAnsi="仿宋" w:eastAsia="仿宋" w:cs="仿宋"/>
          <w:b/>
          <w:bCs/>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三、具体标准（</w:t>
      </w:r>
      <w:r>
        <w:rPr>
          <w:rFonts w:hint="eastAsia" w:ascii="仿宋" w:hAnsi="仿宋" w:eastAsia="仿宋" w:cs="仿宋"/>
          <w:color w:val="000000"/>
          <w:sz w:val="28"/>
          <w:szCs w:val="28"/>
          <w:highlight w:val="none"/>
          <w:lang w:val="en-US" w:eastAsia="zh-CN"/>
        </w:rPr>
        <w:t xml:space="preserve">五</w:t>
      </w:r>
      <w:r>
        <w:rPr>
          <w:rFonts w:hint="eastAsia" w:ascii="仿宋" w:hAnsi="仿宋" w:eastAsia="仿宋" w:cs="仿宋"/>
          <w:color w:val="000000"/>
          <w:sz w:val="28"/>
          <w:szCs w:val="28"/>
          <w:highlight w:val="none"/>
        </w:rPr>
        <w:t xml:space="preserve">个采购包均适用）:</w:t>
      </w:r>
      <w:r>
        <w:rPr>
          <w:rFonts w:hint="eastAsia" w:ascii="仿宋" w:hAnsi="仿宋" w:eastAsia="仿宋" w:cs="仿宋"/>
          <w:color w:val="000000"/>
          <w:sz w:val="28"/>
          <w:szCs w:val="28"/>
          <w:highlight w:val="none"/>
        </w:rPr>
      </w:r>
      <w:r/>
    </w:p>
    <w:p>
      <w:pPr>
        <w:pStyle w:val="910"/>
        <w:ind w:left="0" w:firstLine="560"/>
        <w:spacing w:line="520" w:lineRule="exact"/>
        <w:tabs>
          <w:tab w:val="left" w:pos="7868" w:leader="none"/>
        </w:tabs>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1、合规经营能力（</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eastAsia="zh-CN"/>
        </w:rPr>
        <w:tab/>
      </w:r>
      <w:r>
        <w:rPr>
          <w:rFonts w:hint="eastAsia" w:ascii="仿宋" w:hAnsi="仿宋" w:eastAsia="仿宋" w:cs="仿宋"/>
          <w:color w:val="000000"/>
          <w:sz w:val="28"/>
          <w:szCs w:val="28"/>
          <w:highlight w:val="none"/>
          <w:lang w:eastAsia="zh-CN"/>
        </w:rPr>
      </w:r>
      <w:r/>
    </w:p>
    <w:p>
      <w:pPr>
        <w:pStyle w:val="910"/>
        <w:ind w:left="0"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（1）上年</w:t>
      </w:r>
      <w:r>
        <w:rPr>
          <w:rFonts w:hint="eastAsia" w:ascii="仿宋" w:hAnsi="仿宋" w:eastAsia="仿宋" w:cs="仿宋"/>
          <w:color w:val="000000"/>
          <w:sz w:val="28"/>
          <w:szCs w:val="28"/>
          <w:highlight w:val="none"/>
          <w:lang w:val="en-US" w:eastAsia="zh-CN"/>
        </w:rPr>
        <w:t xml:space="preserve">度</w:t>
      </w:r>
      <w:r>
        <w:rPr>
          <w:rFonts w:hint="eastAsia" w:ascii="仿宋" w:hAnsi="仿宋" w:eastAsia="仿宋" w:cs="仿宋"/>
          <w:color w:val="000000"/>
          <w:sz w:val="28"/>
          <w:szCs w:val="28"/>
          <w:highlight w:val="none"/>
        </w:rPr>
        <w:t xml:space="preserve">公司偿付能力充足率（</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rPr>
        <w:t xml:space="preserve">总公司</w:t>
      </w:r>
      <w:r>
        <w:rPr>
          <w:rFonts w:hint="eastAsia" w:ascii="仿宋" w:hAnsi="仿宋" w:eastAsia="仿宋" w:cs="仿宋"/>
          <w:color w:val="000000"/>
          <w:sz w:val="28"/>
          <w:szCs w:val="28"/>
          <w:highlight w:val="none"/>
          <w:lang w:val="en-US" w:eastAsia="zh-CN"/>
        </w:rPr>
        <w:t xml:space="preserve">2025年度</w:t>
      </w:r>
      <w:r>
        <w:rPr>
          <w:rFonts w:hint="eastAsia" w:ascii="仿宋" w:hAnsi="仿宋" w:eastAsia="仿宋" w:cs="仿宋"/>
          <w:color w:val="000000"/>
          <w:sz w:val="28"/>
          <w:szCs w:val="28"/>
          <w:highlight w:val="none"/>
        </w:rPr>
        <w:t xml:space="preserve">的综合偿付能力充足率</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0%</w:t>
      </w:r>
      <w:r>
        <w:rPr>
          <w:rFonts w:hint="eastAsia" w:ascii="仿宋" w:hAnsi="仿宋" w:eastAsia="仿宋" w:cs="仿宋"/>
          <w:color w:val="000000"/>
          <w:sz w:val="28"/>
          <w:szCs w:val="28"/>
          <w:highlight w:val="none"/>
        </w:rPr>
        <w:t xml:space="preserve">（含）以上得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分；200%（含）</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0%得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分；1</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0%（含）-200%得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分，1</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0%（含）-</w:t>
      </w:r>
      <w:r>
        <w:rPr>
          <w:rFonts w:hint="eastAsia" w:ascii="仿宋" w:hAnsi="仿宋" w:eastAsia="仿宋" w:cs="仿宋"/>
          <w:color w:val="000000"/>
          <w:sz w:val="28"/>
          <w:szCs w:val="28"/>
          <w:highlight w:val="none"/>
          <w:lang w:val="en-US" w:eastAsia="zh-CN"/>
        </w:rPr>
        <w:t xml:space="preserve">19</w:t>
      </w:r>
      <w:r>
        <w:rPr>
          <w:rFonts w:hint="eastAsia" w:ascii="仿宋" w:hAnsi="仿宋" w:eastAsia="仿宋" w:cs="仿宋"/>
          <w:color w:val="000000"/>
          <w:sz w:val="28"/>
          <w:szCs w:val="28"/>
          <w:highlight w:val="none"/>
        </w:rPr>
        <w:t xml:space="preserve">0%得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180%以下不得分</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本项最多得4分，</w:t>
      </w:r>
      <w:r>
        <w:rPr>
          <w:rFonts w:hint="eastAsia" w:ascii="仿宋" w:hAnsi="仿宋" w:eastAsia="仿宋" w:cs="仿宋"/>
          <w:color w:val="000000"/>
          <w:sz w:val="28"/>
          <w:szCs w:val="28"/>
          <w:highlight w:val="none"/>
        </w:rPr>
        <w:t xml:space="preserve">不提供不得分。（</w:t>
      </w:r>
      <w:r>
        <w:rPr>
          <w:rFonts w:hint="eastAsia" w:ascii="仿宋" w:hAnsi="仿宋" w:eastAsia="仿宋" w:cs="仿宋"/>
          <w:color w:val="000000"/>
          <w:sz w:val="28"/>
          <w:szCs w:val="28"/>
          <w:highlight w:val="none"/>
        </w:rPr>
        <w:t xml:space="preserve">提供</w:t>
      </w:r>
      <w:r>
        <w:rPr>
          <w:rFonts w:hint="eastAsia" w:ascii="仿宋" w:hAnsi="仿宋" w:eastAsia="仿宋" w:cs="仿宋"/>
          <w:color w:val="000000"/>
          <w:sz w:val="28"/>
          <w:szCs w:val="28"/>
          <w:highlight w:val="none"/>
          <w:lang w:val="en-US" w:eastAsia="zh-CN"/>
        </w:rPr>
        <w:t xml:space="preserve">2025年第</w:t>
      </w:r>
      <w:r>
        <w:rPr>
          <w:rFonts w:hint="eastAsia" w:ascii="仿宋" w:hAnsi="仿宋" w:eastAsia="仿宋" w:cs="仿宋"/>
          <w:color w:val="000000"/>
          <w:sz w:val="28"/>
          <w:szCs w:val="28"/>
          <w:highlight w:val="none"/>
        </w:rPr>
        <w:t xml:space="preserve">4季度</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如第4季度未出，提供2024年度第4季度或2025年第3季度</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偿付能力审计报告或保险监管机构偿二代监管信息系统截图加盖投标人电子签章）</w:t>
      </w:r>
      <w:r>
        <w:rPr>
          <w:rFonts w:hint="eastAsia" w:ascii="仿宋" w:hAnsi="仿宋" w:eastAsia="仿宋" w:cs="仿宋"/>
          <w:color w:val="000000"/>
          <w:sz w:val="28"/>
          <w:szCs w:val="28"/>
          <w:highlight w:val="none"/>
        </w:rPr>
      </w:r>
      <w:r/>
    </w:p>
    <w:p>
      <w:pPr>
        <w:pStyle w:val="910"/>
        <w:ind w:left="0"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）上年</w:t>
      </w:r>
      <w:r>
        <w:rPr>
          <w:rFonts w:hint="eastAsia" w:ascii="仿宋" w:hAnsi="仿宋" w:eastAsia="仿宋" w:cs="仿宋"/>
          <w:color w:val="000000"/>
          <w:sz w:val="28"/>
          <w:szCs w:val="28"/>
          <w:highlight w:val="none"/>
          <w:lang w:val="en-US" w:eastAsia="zh-CN"/>
        </w:rPr>
        <w:t xml:space="preserve">度</w:t>
      </w:r>
      <w:r>
        <w:rPr>
          <w:rFonts w:hint="eastAsia" w:ascii="仿宋" w:hAnsi="仿宋" w:eastAsia="仿宋" w:cs="仿宋"/>
          <w:color w:val="000000"/>
          <w:sz w:val="28"/>
          <w:szCs w:val="28"/>
          <w:highlight w:val="none"/>
        </w:rPr>
        <w:t xml:space="preserve">风险综合评级（</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rPr>
          <w:rFonts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rPr>
        <w:t xml:space="preserve">总公司</w:t>
      </w:r>
      <w:r>
        <w:rPr>
          <w:rFonts w:hint="eastAsia" w:ascii="仿宋" w:hAnsi="仿宋" w:eastAsia="仿宋" w:cs="仿宋"/>
          <w:color w:val="000000"/>
          <w:sz w:val="28"/>
          <w:szCs w:val="28"/>
          <w:highlight w:val="none"/>
          <w:lang w:val="en-US" w:eastAsia="zh-CN"/>
        </w:rPr>
        <w:t xml:space="preserve">2025年度</w:t>
      </w:r>
      <w:r>
        <w:rPr>
          <w:rFonts w:hint="eastAsia" w:ascii="仿宋" w:hAnsi="仿宋" w:eastAsia="仿宋" w:cs="仿宋"/>
          <w:color w:val="000000"/>
          <w:sz w:val="28"/>
          <w:szCs w:val="28"/>
          <w:highlight w:val="none"/>
        </w:rPr>
        <w:t xml:space="preserve">的风险综合评级（分类监管），A</w:t>
      </w:r>
      <w:r>
        <w:rPr>
          <w:rFonts w:hint="eastAsia" w:ascii="仿宋" w:hAnsi="仿宋" w:eastAsia="仿宋" w:cs="仿宋"/>
          <w:color w:val="000000"/>
          <w:sz w:val="28"/>
          <w:szCs w:val="28"/>
          <w:highlight w:val="none"/>
          <w:lang w:val="en-US" w:eastAsia="zh-CN"/>
        </w:rPr>
        <w:t xml:space="preserve">级及以上的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分；B</w:t>
      </w:r>
      <w:r>
        <w:rPr>
          <w:rFonts w:hint="eastAsia" w:ascii="仿宋" w:hAnsi="仿宋" w:eastAsia="仿宋" w:cs="仿宋"/>
          <w:color w:val="000000"/>
          <w:sz w:val="28"/>
          <w:szCs w:val="28"/>
          <w:highlight w:val="none"/>
          <w:lang w:val="en-US" w:eastAsia="zh-CN"/>
        </w:rPr>
        <w:t xml:space="preserve">级及以上的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t xml:space="preserve">本项最多得4分，</w:t>
      </w:r>
      <w:r>
        <w:rPr>
          <w:rFonts w:hint="eastAsia" w:ascii="仿宋" w:hAnsi="仿宋" w:eastAsia="仿宋" w:cs="仿宋"/>
          <w:color w:val="000000"/>
          <w:sz w:val="28"/>
          <w:szCs w:val="28"/>
          <w:highlight w:val="none"/>
        </w:rPr>
        <w:t xml:space="preserve">不提供不得分。（提供</w:t>
      </w:r>
      <w:r>
        <w:rPr>
          <w:rFonts w:hint="eastAsia" w:ascii="仿宋" w:hAnsi="仿宋" w:eastAsia="仿宋" w:cs="仿宋"/>
          <w:color w:val="000000"/>
          <w:sz w:val="28"/>
          <w:szCs w:val="28"/>
          <w:highlight w:val="none"/>
          <w:lang w:val="en-US" w:eastAsia="zh-CN"/>
        </w:rPr>
        <w:t xml:space="preserve">2025年第</w:t>
      </w:r>
      <w:r>
        <w:rPr>
          <w:rFonts w:hint="eastAsia" w:ascii="仿宋" w:hAnsi="仿宋" w:eastAsia="仿宋" w:cs="仿宋"/>
          <w:color w:val="000000"/>
          <w:sz w:val="28"/>
          <w:szCs w:val="28"/>
          <w:highlight w:val="none"/>
        </w:rPr>
        <w:t xml:space="preserve">4季度</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如第4季度未出，提供2024年度第4季度或2025年第3季度）</w:t>
      </w:r>
      <w:r>
        <w:rPr>
          <w:rFonts w:hint="eastAsia" w:ascii="仿宋" w:hAnsi="仿宋" w:eastAsia="仿宋" w:cs="仿宋"/>
          <w:color w:val="000000"/>
          <w:sz w:val="28"/>
          <w:szCs w:val="28"/>
          <w:highlight w:val="none"/>
        </w:rPr>
        <w:t xml:space="preserve">保险监管机构偿二代监管信息系统截图加盖投标人电子签章）</w:t>
      </w:r>
      <w:r>
        <w:rPr>
          <w:rFonts w:hint="eastAsia"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2、风险管控能力（1</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10"/>
        <w:ind w:left="0"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（1）大灾风险分散（再保险）（2分）</w:t>
      </w:r>
      <w:r>
        <w:rPr>
          <w:rFonts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投标人总公司与中国农业再保险股份有限公司签署当期有效的《政策性农业保险再保险标准协议》得2分，</w:t>
      </w:r>
      <w:r>
        <w:rPr>
          <w:rFonts w:hint="eastAsia" w:ascii="仿宋" w:hAnsi="仿宋" w:eastAsia="仿宋" w:cs="仿宋"/>
          <w:color w:val="000000"/>
          <w:sz w:val="28"/>
          <w:szCs w:val="28"/>
          <w:highlight w:val="none"/>
          <w:lang w:val="en-US" w:eastAsia="zh-CN"/>
        </w:rPr>
        <w:t xml:space="preserve">本项最多得2分，</w:t>
      </w:r>
      <w:r>
        <w:rPr>
          <w:rFonts w:hint="eastAsia" w:ascii="仿宋" w:hAnsi="仿宋" w:eastAsia="仿宋" w:cs="仿宋"/>
          <w:color w:val="000000"/>
          <w:sz w:val="28"/>
          <w:szCs w:val="28"/>
          <w:highlight w:val="none"/>
        </w:rPr>
        <w:t xml:space="preserve">不提供不得分。（提供当期有效的《政策性农业保险再保险标准协议》扫描件加盖投标人电子签章）</w:t>
      </w:r>
      <w:r>
        <w:rPr>
          <w:rFonts w:hint="eastAsia" w:ascii="仿宋" w:hAnsi="仿宋" w:eastAsia="仿宋" w:cs="仿宋"/>
          <w:color w:val="000000"/>
          <w:sz w:val="28"/>
          <w:szCs w:val="28"/>
          <w:highlight w:val="none"/>
        </w:rPr>
      </w:r>
      <w:r/>
    </w:p>
    <w:p>
      <w:pPr>
        <w:pStyle w:val="910"/>
        <w:ind w:left="0"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（2）大灾风险分散（准备金）（2分）</w:t>
      </w:r>
      <w:r>
        <w:rPr>
          <w:rFonts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val="en-US" w:eastAsia="zh-CN"/>
        </w:rPr>
        <w:t xml:space="preserve">总公司或省</w:t>
      </w:r>
      <w:r>
        <w:rPr>
          <w:rFonts w:hint="eastAsia" w:ascii="仿宋" w:hAnsi="仿宋" w:eastAsia="仿宋" w:cs="仿宋"/>
          <w:color w:val="000000"/>
          <w:sz w:val="28"/>
          <w:szCs w:val="28"/>
          <w:highlight w:val="none"/>
        </w:rPr>
        <w:t xml:space="preserve">公司按照财政部《农业保险大灾风险准备金管理办法》（财金〔2013〕129号）计提202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年农业大灾风险准备金的得2分，</w:t>
      </w:r>
      <w:r>
        <w:rPr>
          <w:rFonts w:hint="eastAsia" w:ascii="仿宋" w:hAnsi="仿宋" w:eastAsia="仿宋" w:cs="仿宋"/>
          <w:color w:val="000000"/>
          <w:sz w:val="28"/>
          <w:szCs w:val="28"/>
          <w:highlight w:val="none"/>
          <w:lang w:val="en-US" w:eastAsia="zh-CN"/>
        </w:rPr>
        <w:t xml:space="preserve">本项最多得2分，</w:t>
      </w:r>
      <w:r>
        <w:rPr>
          <w:rFonts w:hint="eastAsia" w:ascii="仿宋" w:hAnsi="仿宋" w:eastAsia="仿宋" w:cs="仿宋"/>
          <w:color w:val="000000"/>
          <w:sz w:val="28"/>
          <w:szCs w:val="28"/>
          <w:highlight w:val="none"/>
        </w:rPr>
        <w:t xml:space="preserve">不提供不得分。（提供向省财政部门报送的大灾准备金的计提、使用、管理等情况报告，扫描件加盖投标人电子签章。）</w:t>
      </w:r>
      <w:r>
        <w:rPr>
          <w:rFonts w:hint="eastAsia" w:ascii="仿宋" w:hAnsi="仿宋" w:eastAsia="仿宋" w:cs="仿宋"/>
          <w:color w:val="000000"/>
          <w:sz w:val="28"/>
          <w:szCs w:val="28"/>
          <w:highlight w:val="none"/>
        </w:rPr>
      </w:r>
      <w:r/>
    </w:p>
    <w:p>
      <w:pPr>
        <w:pStyle w:val="910"/>
        <w:ind w:left="0"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（3）信息化建设及共享（</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w:t>
      </w:r>
      <w:r>
        <w:rPr>
          <w:rFonts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提供投标人农险业务信息系统与其他保险业务分开管理，单独核算损益的证明，能够按要求与中国农业再保险股份有限公司约定分保业务信息系统对接得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t xml:space="preserve">本项最多得3分，</w:t>
      </w:r>
      <w:r>
        <w:rPr>
          <w:rFonts w:hint="eastAsia" w:ascii="仿宋" w:hAnsi="仿宋" w:eastAsia="仿宋" w:cs="仿宋"/>
          <w:color w:val="000000"/>
          <w:sz w:val="28"/>
          <w:szCs w:val="28"/>
          <w:highlight w:val="none"/>
        </w:rPr>
        <w:t xml:space="preserve">不提供不得分。（提供农业保险信息系统有关功能截图</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中国农业再保险股份有限公司约定分保业务信息系统对接</w:t>
      </w:r>
      <w:r>
        <w:rPr>
          <w:rFonts w:hint="eastAsia" w:ascii="仿宋" w:hAnsi="仿宋" w:eastAsia="仿宋" w:cs="仿宋"/>
          <w:color w:val="000000"/>
          <w:sz w:val="28"/>
          <w:szCs w:val="28"/>
          <w:highlight w:val="none"/>
          <w:lang w:val="en-US" w:eastAsia="zh-CN"/>
        </w:rPr>
        <w:t xml:space="preserve">函</w:t>
      </w:r>
      <w:r>
        <w:rPr>
          <w:rFonts w:hint="eastAsia" w:ascii="仿宋" w:hAnsi="仿宋" w:eastAsia="仿宋" w:cs="仿宋"/>
          <w:color w:val="000000"/>
          <w:sz w:val="28"/>
          <w:szCs w:val="28"/>
          <w:highlight w:val="none"/>
        </w:rPr>
        <w:t xml:space="preserve">加盖投标人电子签章）</w:t>
      </w:r>
      <w:r>
        <w:rPr>
          <w:rFonts w:hint="eastAsia" w:ascii="仿宋" w:hAnsi="仿宋" w:eastAsia="仿宋" w:cs="仿宋"/>
          <w:color w:val="000000"/>
          <w:sz w:val="28"/>
          <w:szCs w:val="28"/>
          <w:highlight w:val="none"/>
        </w:rPr>
      </w:r>
      <w:r/>
    </w:p>
    <w:p>
      <w:pPr>
        <w:pStyle w:val="910"/>
        <w:ind w:left="0"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（4）农业保险业务信息管理系统（3分）</w:t>
      </w:r>
      <w:r>
        <w:rPr>
          <w:rFonts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投标人总公司具有</w:t>
      </w:r>
      <w:r>
        <w:rPr>
          <w:rFonts w:hint="eastAsia" w:ascii="仿宋" w:hAnsi="仿宋" w:eastAsia="仿宋" w:cs="仿宋"/>
          <w:color w:val="000000"/>
          <w:sz w:val="28"/>
          <w:szCs w:val="28"/>
          <w:highlight w:val="none"/>
        </w:rPr>
        <w:t xml:space="preserve">农业保险业务信息管理系统具备相对独立、功能完善的农业保险信息管理系统，具备数据管理和统计分析功能、能够直接导出承保、理赔、批改、统计等数据，得3分；能导出承保、理赔、批改信息，得1.5分；能导出统计数据得1.5分。</w:t>
      </w:r>
      <w:r>
        <w:rPr>
          <w:rFonts w:hint="eastAsia" w:ascii="仿宋" w:hAnsi="仿宋" w:eastAsia="仿宋" w:cs="仿宋"/>
          <w:color w:val="000000"/>
          <w:sz w:val="28"/>
          <w:szCs w:val="28"/>
          <w:highlight w:val="none"/>
          <w:lang w:val="en-US" w:eastAsia="zh-CN"/>
        </w:rPr>
        <w:t xml:space="preserve">本项最多得3分，</w:t>
      </w:r>
      <w:r>
        <w:rPr>
          <w:rFonts w:hint="eastAsia" w:ascii="仿宋" w:hAnsi="仿宋" w:eastAsia="仿宋" w:cs="仿宋"/>
          <w:color w:val="000000"/>
          <w:sz w:val="28"/>
          <w:szCs w:val="28"/>
          <w:highlight w:val="none"/>
        </w:rPr>
        <w:t xml:space="preserve">不提供不得分</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（提供农业保险信息系统有关功能截图加盖投标人电子签章）</w:t>
      </w:r>
      <w:r>
        <w:rPr>
          <w:rFonts w:hint="eastAsia" w:ascii="仿宋" w:hAnsi="仿宋" w:eastAsia="仿宋" w:cs="仿宋"/>
          <w:color w:val="000000"/>
          <w:sz w:val="28"/>
          <w:szCs w:val="28"/>
          <w:highlight w:val="none"/>
        </w:rPr>
      </w:r>
      <w:r/>
    </w:p>
    <w:p>
      <w:pPr>
        <w:pStyle w:val="910"/>
        <w:ind w:left="0"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（5）农业保险管理制度（3分）</w:t>
      </w:r>
      <w:r>
        <w:rPr>
          <w:rFonts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投标人或总公司具有</w:t>
      </w:r>
      <w:r>
        <w:rPr>
          <w:rFonts w:hint="eastAsia" w:ascii="仿宋" w:hAnsi="仿宋" w:eastAsia="仿宋" w:cs="仿宋"/>
          <w:color w:val="000000"/>
          <w:sz w:val="28"/>
          <w:szCs w:val="28"/>
          <w:highlight w:val="none"/>
        </w:rPr>
        <w:t xml:space="preserve">农业保险管理制度文件，包括但不限于承保、理赔制度、费用管理制度、客户服务制度、风险控制制度、职责分工制度、健全的财务费用管理制度、有效的内部审计制度、档案管理、报表制度、服务网点和人员管理制度、协保员队伍管理制度（包括聘用、待遇、考核、回避等）等每项制度得0.25分，本项最多得3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不提供不得分。（提供投标人文件扫描件加盖投标人电子签章）</w:t>
      </w:r>
      <w:r>
        <w:rPr>
          <w:rFonts w:hint="eastAsia"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rPr>
          <w:rFonts w:ascii="仿宋" w:hAnsi="仿宋" w:eastAsia="仿宋" w:cs="仿宋"/>
          <w:color w:val="000000"/>
          <w:sz w:val="28"/>
          <w:szCs w:val="28"/>
          <w:highlight w:val="none"/>
        </w:rPr>
        <w:t xml:space="preserve">农业保险责任部门、责任人员</w:t>
      </w:r>
      <w:r>
        <w:rPr>
          <w:rFonts w:hint="eastAsia" w:ascii="仿宋" w:hAnsi="仿宋" w:eastAsia="仿宋" w:cs="仿宋"/>
          <w:color w:val="000000"/>
          <w:sz w:val="28"/>
          <w:szCs w:val="28"/>
          <w:highlight w:val="none"/>
        </w:rPr>
        <w:t xml:space="preserve">（4分）</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ascii="仿宋" w:hAnsi="仿宋" w:eastAsia="仿宋" w:cs="仿宋"/>
          <w:color w:val="000000"/>
          <w:sz w:val="28"/>
          <w:szCs w:val="28"/>
          <w:highlight w:val="none"/>
        </w:rPr>
        <w:t xml:space="preserve">根据</w:t>
      </w:r>
      <w:r>
        <w:rPr>
          <w:rFonts w:hint="eastAsia" w:ascii="仿宋" w:hAnsi="仿宋" w:eastAsia="仿宋" w:cs="仿宋"/>
          <w:color w:val="000000"/>
          <w:sz w:val="28"/>
          <w:szCs w:val="28"/>
          <w:highlight w:val="none"/>
          <w:lang w:val="en-US" w:eastAsia="zh-CN"/>
        </w:rPr>
        <w:t xml:space="preserve">项目采购需求中的要求，对本项目拟派的政策性农业保险服务人员及协保员进行</w:t>
      </w:r>
      <w:r>
        <w:rPr>
          <w:rFonts w:ascii="仿宋" w:hAnsi="仿宋" w:eastAsia="仿宋" w:cs="仿宋"/>
          <w:color w:val="000000"/>
          <w:sz w:val="28"/>
          <w:szCs w:val="28"/>
          <w:highlight w:val="none"/>
        </w:rPr>
        <w:t xml:space="preserve">职责分工，设置农业保险责任部门</w:t>
      </w:r>
      <w:r>
        <w:rPr>
          <w:rFonts w:hint="eastAsia" w:ascii="仿宋" w:hAnsi="仿宋" w:eastAsia="仿宋" w:cs="仿宋"/>
          <w:color w:val="000000"/>
          <w:sz w:val="28"/>
          <w:szCs w:val="28"/>
          <w:highlight w:val="none"/>
          <w:lang w:val="en-US" w:eastAsia="zh-CN"/>
        </w:rPr>
        <w:t xml:space="preserve">并</w:t>
      </w:r>
      <w:r>
        <w:rPr>
          <w:rFonts w:ascii="仿宋" w:hAnsi="仿宋" w:eastAsia="仿宋" w:cs="仿宋"/>
          <w:color w:val="000000"/>
          <w:sz w:val="28"/>
          <w:szCs w:val="28"/>
          <w:highlight w:val="none"/>
        </w:rPr>
        <w:t xml:space="preserve">安排责任人员，</w:t>
      </w:r>
      <w:r>
        <w:rPr>
          <w:rFonts w:hint="eastAsia" w:ascii="仿宋" w:hAnsi="仿宋" w:eastAsia="仿宋" w:cs="仿宋"/>
          <w:color w:val="000000"/>
          <w:sz w:val="28"/>
          <w:szCs w:val="28"/>
          <w:highlight w:val="none"/>
          <w:lang w:val="en-US" w:eastAsia="zh-CN"/>
        </w:rPr>
        <w:t xml:space="preserve">能够</w:t>
      </w:r>
      <w:r>
        <w:rPr>
          <w:rFonts w:ascii="仿宋" w:hAnsi="仿宋" w:eastAsia="仿宋" w:cs="仿宋"/>
          <w:color w:val="000000"/>
          <w:sz w:val="28"/>
          <w:szCs w:val="28"/>
          <w:highlight w:val="none"/>
        </w:rPr>
        <w:t xml:space="preserve">满足核保、核赔、回访、稽核，每</w:t>
      </w:r>
      <w:r>
        <w:rPr>
          <w:rFonts w:hint="eastAsia" w:ascii="仿宋" w:hAnsi="仿宋" w:eastAsia="仿宋" w:cs="仿宋"/>
          <w:color w:val="000000"/>
          <w:sz w:val="28"/>
          <w:szCs w:val="28"/>
          <w:highlight w:val="none"/>
          <w:lang w:val="en-US" w:eastAsia="zh-CN"/>
        </w:rPr>
        <w:t xml:space="preserve">满足1项</w:t>
      </w:r>
      <w:r>
        <w:rPr>
          <w:rFonts w:ascii="仿宋" w:hAnsi="仿宋" w:eastAsia="仿宋" w:cs="仿宋"/>
          <w:color w:val="000000"/>
          <w:sz w:val="28"/>
          <w:szCs w:val="28"/>
          <w:highlight w:val="none"/>
        </w:rPr>
        <w:t xml:space="preserve">得1分，</w:t>
      </w:r>
      <w:r>
        <w:rPr>
          <w:rFonts w:hint="eastAsia" w:ascii="仿宋" w:hAnsi="仿宋" w:eastAsia="仿宋" w:cs="仿宋"/>
          <w:color w:val="000000"/>
          <w:sz w:val="28"/>
          <w:szCs w:val="28"/>
          <w:highlight w:val="none"/>
        </w:rPr>
        <w:t xml:space="preserve">本项最多</w:t>
      </w:r>
      <w:r>
        <w:rPr>
          <w:rFonts w:ascii="仿宋" w:hAnsi="仿宋" w:eastAsia="仿宋" w:cs="仿宋"/>
          <w:color w:val="000000"/>
          <w:sz w:val="28"/>
          <w:szCs w:val="28"/>
          <w:highlight w:val="none"/>
        </w:rPr>
        <w:t xml:space="preserve">得4分。</w:t>
      </w:r>
      <w:r>
        <w:rPr>
          <w:rFonts w:hint="eastAsia" w:ascii="仿宋" w:hAnsi="仿宋" w:eastAsia="仿宋" w:cs="仿宋"/>
          <w:color w:val="000000"/>
          <w:sz w:val="28"/>
          <w:szCs w:val="28"/>
          <w:highlight w:val="none"/>
        </w:rPr>
        <w:t xml:space="preserve">（提供</w:t>
      </w:r>
      <w:r>
        <w:rPr>
          <w:rFonts w:ascii="仿宋" w:hAnsi="仿宋" w:eastAsia="仿宋" w:cs="仿宋"/>
          <w:color w:val="000000"/>
          <w:sz w:val="28"/>
          <w:szCs w:val="28"/>
          <w:highlight w:val="none"/>
        </w:rPr>
        <w:t xml:space="preserve">农业保险责任部门</w:t>
      </w:r>
      <w:r>
        <w:rPr>
          <w:rFonts w:hint="eastAsia" w:ascii="仿宋" w:hAnsi="仿宋" w:eastAsia="仿宋" w:cs="仿宋"/>
          <w:color w:val="000000"/>
          <w:sz w:val="28"/>
          <w:szCs w:val="28"/>
          <w:highlight w:val="none"/>
        </w:rPr>
        <w:t xml:space="preserve">相关证明材料、服务人员名单、劳动合同协议以及</w:t>
      </w:r>
      <w:r>
        <w:rPr>
          <w:rFonts w:hint="eastAsia" w:ascii="仿宋" w:hAnsi="仿宋" w:eastAsia="仿宋" w:cs="仿宋"/>
          <w:color w:val="000000"/>
          <w:sz w:val="28"/>
          <w:szCs w:val="28"/>
          <w:highlight w:val="none"/>
          <w:lang w:val="en-US" w:eastAsia="zh-CN"/>
        </w:rPr>
        <w:t xml:space="preserve">2025年9月以来</w:t>
      </w:r>
      <w:r>
        <w:rPr>
          <w:rFonts w:hint="eastAsia" w:ascii="仿宋" w:hAnsi="仿宋" w:eastAsia="仿宋" w:cs="仿宋"/>
          <w:color w:val="000000"/>
          <w:sz w:val="28"/>
          <w:szCs w:val="28"/>
          <w:highlight w:val="none"/>
        </w:rPr>
        <w:t xml:space="preserve">任意一个月支付人员劳务费用的银行转账凭证，加盖投标人电子签章）</w:t>
      </w:r>
      <w:r>
        <w:rPr>
          <w:rFonts w:hint="eastAsia" w:ascii="仿宋" w:hAnsi="仿宋" w:eastAsia="仿宋" w:cs="仿宋"/>
          <w:color w:val="000000"/>
          <w:sz w:val="28"/>
          <w:szCs w:val="28"/>
          <w:highlight w:val="none"/>
        </w:rPr>
      </w:r>
      <w:r/>
    </w:p>
    <w:p>
      <w:pPr>
        <w:pStyle w:val="745"/>
        <w:rPr>
          <w:rFonts w:hint="eastAsia"/>
          <w:color w:val="000000"/>
          <w:highlight w:val="none"/>
        </w:rPr>
      </w:pPr>
      <w:r>
        <w:rPr>
          <w:rFonts w:hint="eastAsia"/>
          <w:color w:val="000000"/>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3、服务能力（</w:t>
      </w:r>
      <w:r>
        <w:rPr>
          <w:rFonts w:hint="eastAsia" w:ascii="仿宋" w:hAnsi="仿宋" w:eastAsia="仿宋" w:cs="仿宋"/>
          <w:color w:val="000000"/>
          <w:sz w:val="28"/>
          <w:szCs w:val="28"/>
          <w:highlight w:val="none"/>
          <w:lang w:val="en-US" w:eastAsia="zh-CN"/>
        </w:rPr>
        <w:t xml:space="preserve">60</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10"/>
        <w:ind w:left="0"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（1）服务经验（8分）</w:t>
      </w:r>
      <w:r>
        <w:rPr>
          <w:rFonts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自2023年1月1日以来，投标人与县（区）级政府农业保险管理部门签订的政策性农业保险服务合同，每提供1份得2分，本项最多得8分。</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注：1）上述投标人是指投标人总公司或其分支机构。</w:t>
      </w:r>
      <w:r>
        <w:rPr>
          <w:rFonts w:hint="eastAsia" w:ascii="仿宋" w:hAnsi="仿宋" w:eastAsia="仿宋" w:cs="仿宋"/>
          <w:color w:val="000000"/>
          <w:sz w:val="28"/>
          <w:szCs w:val="28"/>
          <w:highlight w:val="none"/>
          <w:lang w:val="en-US" w:eastAsia="zh-CN"/>
        </w:rPr>
      </w:r>
      <w:r/>
    </w:p>
    <w:p>
      <w:pPr>
        <w:pStyle w:val="745"/>
        <w:ind w:firstLine="560"/>
        <w:rPr>
          <w:color w:val="000000"/>
          <w:highlight w:val="none"/>
          <w:lang w:val="en-US" w:eastAsia="zh-CN"/>
        </w:rPr>
      </w:pPr>
      <w:r>
        <w:rPr>
          <w:rFonts w:hint="eastAsia" w:ascii="仿宋" w:hAnsi="仿宋" w:eastAsia="仿宋" w:cs="仿宋"/>
          <w:color w:val="000000"/>
          <w:sz w:val="28"/>
          <w:szCs w:val="28"/>
          <w:highlight w:val="none"/>
          <w:lang w:val="en-US" w:eastAsia="zh-CN"/>
        </w:rPr>
        <w:t xml:space="preserve">2）提供合同或协议等原件扫描并加盖投标人电子签章</w:t>
      </w:r>
      <w:r>
        <w:rPr>
          <w:color w:val="000000"/>
          <w:highlight w:val="none"/>
          <w:lang w:val="en-US" w:eastAsia="zh-CN"/>
        </w:rPr>
      </w:r>
      <w:r/>
    </w:p>
    <w:p>
      <w:pPr>
        <w:pStyle w:val="910"/>
        <w:ind w:left="0"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（2）科技赋能（6分）</w:t>
      </w:r>
      <w:r>
        <w:rPr>
          <w:rFonts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①</w:t>
      </w: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val="en-US" w:eastAsia="zh-CN"/>
        </w:rPr>
        <w:t xml:space="preserve">具有</w:t>
      </w:r>
      <w:r>
        <w:rPr>
          <w:rFonts w:hint="eastAsia" w:ascii="仿宋" w:hAnsi="仿宋" w:eastAsia="仿宋" w:cs="仿宋"/>
          <w:color w:val="000000"/>
          <w:sz w:val="28"/>
          <w:szCs w:val="28"/>
          <w:highlight w:val="none"/>
        </w:rPr>
        <w:t xml:space="preserve">利用卫星、网络、移动端开展农业保险线上化精准承保理赔服务，每提供1项得0.5分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本项最多得</w:t>
      </w:r>
      <w:r>
        <w:rPr>
          <w:rFonts w:hint="eastAsia" w:ascii="仿宋" w:hAnsi="仿宋" w:eastAsia="仿宋" w:cs="仿宋"/>
          <w:color w:val="000000"/>
          <w:sz w:val="28"/>
          <w:szCs w:val="28"/>
          <w:highlight w:val="none"/>
          <w:lang w:val="en-US" w:eastAsia="zh-CN"/>
        </w:rPr>
        <w:t xml:space="preserve">1.5</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提供相关</w:t>
      </w:r>
      <w:r>
        <w:rPr>
          <w:rFonts w:hint="eastAsia" w:ascii="仿宋" w:hAnsi="仿宋" w:eastAsia="仿宋" w:cs="仿宋"/>
          <w:color w:val="000000"/>
          <w:sz w:val="28"/>
          <w:szCs w:val="28"/>
          <w:highlight w:val="none"/>
        </w:rPr>
        <w:t xml:space="preserve">工具照片</w:t>
      </w:r>
      <w:r>
        <w:rPr>
          <w:rFonts w:hint="eastAsia" w:ascii="仿宋" w:hAnsi="仿宋" w:eastAsia="仿宋" w:cs="仿宋"/>
          <w:color w:val="000000"/>
          <w:sz w:val="28"/>
          <w:szCs w:val="28"/>
          <w:highlight w:val="none"/>
          <w:lang w:val="en-US" w:eastAsia="zh-CN"/>
        </w:rPr>
        <w:t xml:space="preserve">或相关系统截图的</w:t>
      </w:r>
      <w:r>
        <w:rPr>
          <w:rFonts w:hint="eastAsia" w:ascii="仿宋" w:hAnsi="仿宋" w:eastAsia="仿宋" w:cs="仿宋"/>
          <w:color w:val="000000"/>
          <w:sz w:val="28"/>
          <w:szCs w:val="28"/>
          <w:highlight w:val="none"/>
        </w:rPr>
        <w:t xml:space="preserve">证明材料等</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②</w:t>
      </w:r>
      <w:r>
        <w:rPr>
          <w:rFonts w:hint="eastAsia" w:ascii="仿宋" w:hAnsi="仿宋" w:eastAsia="仿宋" w:cs="仿宋"/>
          <w:color w:val="000000"/>
          <w:sz w:val="28"/>
          <w:szCs w:val="28"/>
          <w:highlight w:val="none"/>
        </w:rPr>
        <w:t xml:space="preserve">投标人具有保险标的定位、保险标的数量识别、理赔处理、保单查询能力；每提供1项得0.5分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本项最多得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提</w:t>
      </w:r>
      <w:r>
        <w:rPr>
          <w:rFonts w:hint="eastAsia" w:ascii="仿宋" w:hAnsi="仿宋" w:eastAsia="仿宋" w:cs="仿宋"/>
          <w:color w:val="000000"/>
          <w:sz w:val="28"/>
          <w:szCs w:val="28"/>
          <w:highlight w:val="none"/>
        </w:rPr>
        <w:t xml:space="preserve">供相关工具照片和能够显示保险标的位置、保险标的数量、查勘理赔处理、保单查询结果的证明材料等</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lang w:val="en-US" w:eastAsia="zh-CN"/>
        </w:rPr>
        <w:t xml:space="preserve">③</w:t>
      </w: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val="en-US" w:eastAsia="zh-CN"/>
        </w:rPr>
        <w:t xml:space="preserve">具有</w:t>
      </w:r>
      <w:r>
        <w:rPr>
          <w:rFonts w:hint="eastAsia" w:ascii="仿宋" w:hAnsi="仿宋" w:eastAsia="仿宋" w:cs="仿宋"/>
          <w:color w:val="000000"/>
          <w:sz w:val="28"/>
          <w:szCs w:val="28"/>
          <w:highlight w:val="none"/>
        </w:rPr>
        <w:t xml:space="preserve">利用科技手段支持作物生长监测、协防喷洒农药、查勘灾情防灾减损工作；每提供1项得0.5分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本项最多得</w:t>
      </w:r>
      <w:r>
        <w:rPr>
          <w:rFonts w:hint="eastAsia" w:ascii="仿宋" w:hAnsi="仿宋" w:eastAsia="仿宋" w:cs="仿宋"/>
          <w:color w:val="000000"/>
          <w:sz w:val="28"/>
          <w:szCs w:val="28"/>
          <w:highlight w:val="none"/>
          <w:lang w:val="en-US" w:eastAsia="zh-CN"/>
        </w:rPr>
        <w:t xml:space="preserve">1.5</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提</w:t>
      </w:r>
      <w:r>
        <w:rPr>
          <w:rFonts w:hint="eastAsia" w:ascii="仿宋" w:hAnsi="仿宋" w:eastAsia="仿宋" w:cs="仿宋"/>
          <w:color w:val="000000"/>
          <w:sz w:val="28"/>
          <w:szCs w:val="28"/>
          <w:highlight w:val="none"/>
        </w:rPr>
        <w:t xml:space="preserve">供相关工具照片</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证明材料等</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④</w:t>
      </w: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val="en-US" w:eastAsia="zh-CN"/>
        </w:rPr>
        <w:t xml:space="preserve">具有</w:t>
      </w:r>
      <w:r>
        <w:rPr>
          <w:rFonts w:hint="eastAsia" w:ascii="仿宋" w:hAnsi="仿宋" w:eastAsia="仿宋" w:cs="仿宋"/>
          <w:color w:val="000000"/>
          <w:sz w:val="28"/>
          <w:szCs w:val="28"/>
          <w:highlight w:val="none"/>
        </w:rPr>
        <w:t xml:space="preserve">利用科技手段进行“</w:t>
      </w:r>
      <w:r>
        <w:rPr>
          <w:rFonts w:hint="eastAsia" w:ascii="仿宋" w:hAnsi="仿宋" w:eastAsia="仿宋" w:cs="仿宋"/>
          <w:color w:val="000000"/>
          <w:sz w:val="28"/>
          <w:szCs w:val="28"/>
          <w:highlight w:val="none"/>
          <w:lang w:val="en-US" w:eastAsia="zh-CN"/>
        </w:rPr>
        <w:t xml:space="preserve">牲畜</w:t>
      </w:r>
      <w:r>
        <w:rPr>
          <w:rFonts w:hint="eastAsia" w:ascii="仿宋" w:hAnsi="仿宋" w:eastAsia="仿宋" w:cs="仿宋"/>
          <w:color w:val="000000"/>
          <w:sz w:val="28"/>
          <w:szCs w:val="28"/>
          <w:highlight w:val="none"/>
        </w:rPr>
        <w:t xml:space="preserve">识别”</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“电子点数”，每提供1项得0.5分，本项最多得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提供相关工具照片的证明材料等）</w:t>
      </w:r>
      <w:r>
        <w:rPr>
          <w:rFonts w:hint="eastAsia" w:ascii="仿宋" w:hAnsi="仿宋" w:eastAsia="仿宋" w:cs="仿宋"/>
          <w:color w:val="000000"/>
          <w:sz w:val="28"/>
          <w:szCs w:val="28"/>
          <w:highlight w:val="none"/>
        </w:rPr>
      </w:r>
      <w:r/>
    </w:p>
    <w:p>
      <w:pPr>
        <w:pStyle w:val="745"/>
        <w:ind w:firstLine="560"/>
        <w:rPr>
          <w:rFonts w:eastAsia="仿宋"/>
          <w:color w:val="000000"/>
          <w:highlight w:val="none"/>
          <w:lang w:val="en-US" w:eastAsia="zh-CN"/>
        </w:rPr>
      </w:pPr>
      <w:r>
        <w:rPr>
          <w:rFonts w:hint="eastAsia" w:ascii="仿宋" w:hAnsi="仿宋" w:eastAsia="仿宋" w:cs="仿宋"/>
          <w:color w:val="000000"/>
          <w:sz w:val="28"/>
          <w:szCs w:val="28"/>
          <w:highlight w:val="none"/>
          <w:lang w:val="en-US" w:eastAsia="zh-CN"/>
        </w:rPr>
        <w:t xml:space="preserve">注：1）上述投标人是指投标人总公司或其分支机构。</w:t>
      </w:r>
      <w:r>
        <w:rPr>
          <w:rFonts w:eastAsia="仿宋"/>
          <w:color w:val="000000"/>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）基层服务网点覆盖率（8分）</w:t>
      </w:r>
      <w:r>
        <w:rPr>
          <w:rFonts w:hint="eastAsia" w:ascii="仿宋" w:hAnsi="仿宋" w:eastAsia="仿宋" w:cs="仿宋"/>
          <w:color w:val="000000"/>
          <w:sz w:val="28"/>
          <w:szCs w:val="28"/>
          <w:highlight w:val="none"/>
        </w:rPr>
      </w:r>
      <w:r/>
    </w:p>
    <w:p>
      <w:pPr>
        <w:pStyle w:val="910"/>
        <w:ind w:left="0" w:firstLine="560"/>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根据投标人设立镇（街道）级服务网点配置情况进行打分，本项最多得8分。</w:t>
      </w:r>
      <w:r>
        <w:rPr>
          <w:rFonts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①设立镇（街道）级保险监管机构批准的保险营销服务部和三农保险服务站的，按照配置率得分。其投标人得分按照下列公式计算(小数点保两位)</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配置率得分=保险监管机构批准的保险营销服务部和三农保险服务站总数/13个乡镇（街）×4分，本项最多得4分。</w:t>
      </w:r>
      <w:r>
        <w:rPr>
          <w:rFonts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②在所投采购包设立镇（街道）级保险监管机构批准的保险营销服务部和三农保险服务站的，按照配置率得分。其投标人得分按照下列公式计算(小数点保两位)：</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配置率得分=所投采购包设立镇（街道）级保险监管机构批准的保险营销服务部和三农保险服务站总数/ 所投采购包乡</w:t>
      </w:r>
      <w:r>
        <w:rPr>
          <w:rFonts w:ascii="仿宋" w:hAnsi="仿宋" w:eastAsia="仿宋" w:cs="仿宋"/>
          <w:color w:val="000000"/>
          <w:sz w:val="28"/>
          <w:szCs w:val="28"/>
          <w:highlight w:val="none"/>
          <w:lang w:val="en-US" w:eastAsia="zh-CN"/>
        </w:rPr>
        <w:t xml:space="preserve">镇</w:t>
      </w:r>
      <w:r>
        <w:rPr>
          <w:rFonts w:hint="eastAsia" w:ascii="仿宋" w:hAnsi="仿宋" w:eastAsia="仿宋" w:cs="仿宋"/>
          <w:color w:val="000000"/>
          <w:sz w:val="28"/>
          <w:szCs w:val="28"/>
          <w:highlight w:val="none"/>
          <w:lang w:val="en-US" w:eastAsia="zh-CN"/>
        </w:rPr>
        <w:t xml:space="preserve">（</w:t>
      </w:r>
      <w:r>
        <w:rPr>
          <w:rFonts w:ascii="仿宋" w:hAnsi="仿宋" w:eastAsia="仿宋" w:cs="仿宋"/>
          <w:color w:val="000000"/>
          <w:sz w:val="28"/>
          <w:szCs w:val="28"/>
          <w:highlight w:val="none"/>
          <w:lang w:val="en-US" w:eastAsia="zh-CN"/>
        </w:rPr>
        <w:t xml:space="preserve">街</w:t>
      </w:r>
      <w:r>
        <w:rPr>
          <w:rFonts w:hint="eastAsia" w:ascii="仿宋" w:hAnsi="仿宋" w:eastAsia="仿宋" w:cs="仿宋"/>
          <w:color w:val="000000"/>
          <w:sz w:val="28"/>
          <w:szCs w:val="28"/>
          <w:highlight w:val="none"/>
          <w:lang w:val="en-US" w:eastAsia="zh-CN"/>
        </w:rPr>
        <w:t xml:space="preserve">）×4分，本项最多得4分。</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③</w:t>
      </w:r>
      <w:r>
        <w:rPr>
          <w:rFonts w:hint="eastAsia" w:ascii="仿宋" w:hAnsi="仿宋" w:eastAsia="仿宋" w:cs="仿宋"/>
          <w:color w:val="000000"/>
          <w:sz w:val="28"/>
          <w:szCs w:val="28"/>
          <w:highlight w:val="none"/>
          <w:lang w:val="en-US" w:eastAsia="zh-CN"/>
        </w:rPr>
        <w:t xml:space="preserve">所投采购包未设立镇（街道）级保险监管机构批准的保险营销服务部或三农保险服务站的，提供承诺中标后三个月内在不影响承保、理赔等日常工作的前提下镇（街道）级分支机构和农险服务网点配备率达到50%及以上的得2分，提供承诺书加盖投标人电子签章，不承诺不得分。</w:t>
      </w:r>
      <w:r>
        <w:rPr>
          <w:rFonts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注：1）第①、②项需提供镇（街道）级服务网点的保险许可证或乡镇三农保险服务站提供站点照片、</w:t>
      </w:r>
      <w:r>
        <w:rPr>
          <w:rFonts w:hint="eastAsia" w:ascii="仿宋" w:hAnsi="仿宋" w:eastAsia="仿宋" w:cs="仿宋"/>
          <w:color w:val="000000"/>
          <w:sz w:val="28"/>
          <w:szCs w:val="28"/>
          <w:highlight w:val="none"/>
          <w:lang w:val="en-US" w:eastAsia="zh-CN"/>
        </w:rPr>
        <w:t xml:space="preserve">租赁/建设协议（或产权证明）（如无产权证明，需提供相关证明材料）加盖电子签章</w:t>
      </w:r>
      <w:r>
        <w:rPr>
          <w:rFonts w:hint="eastAsia" w:ascii="仿宋" w:hAnsi="仿宋" w:eastAsia="仿宋" w:cs="仿宋"/>
          <w:color w:val="000000"/>
          <w:sz w:val="28"/>
          <w:szCs w:val="28"/>
          <w:highlight w:val="none"/>
          <w:lang w:val="en-US" w:eastAsia="zh-CN"/>
        </w:rPr>
        <w:t xml:space="preserve">，否则不得分。</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2）上述①、②项中同一镇（街道）级服务网点可重复得分，②与</w:t>
      </w:r>
      <w:r>
        <w:rPr>
          <w:rFonts w:ascii="仿宋" w:hAnsi="仿宋" w:eastAsia="仿宋" w:cs="仿宋"/>
          <w:color w:val="000000"/>
          <w:sz w:val="28"/>
          <w:szCs w:val="28"/>
          <w:highlight w:val="none"/>
          <w:lang w:val="en-US" w:eastAsia="zh-CN"/>
        </w:rPr>
        <w:t xml:space="preserve">③</w:t>
      </w:r>
      <w:r>
        <w:rPr>
          <w:rFonts w:hint="eastAsia" w:ascii="仿宋" w:hAnsi="仿宋" w:eastAsia="仿宋" w:cs="仿宋"/>
          <w:color w:val="000000"/>
          <w:sz w:val="28"/>
          <w:szCs w:val="28"/>
          <w:highlight w:val="none"/>
          <w:lang w:val="en-US" w:eastAsia="zh-CN"/>
        </w:rPr>
        <w:t xml:space="preserve">项不重复得分。</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（4）镇（街道）政策性农业保险服务人员配置率（8分）</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根据项目采购需求投标人配备镇（街道）政策性农业保险服务人员和所投采购包配备镇（街道）政策性农业保险服务人员的情况进行打分，本项最多得8分。</w:t>
      </w:r>
      <w:r>
        <w:rPr>
          <w:rFonts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①配备镇（街道）政策性农业保险服务人员的，按照配置率得分。其投标人得分按照下列公式计算(小数点保两位)</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配置率得分=配备镇（街道）农险服务人员总数/ 13个乡镇（街）×4分，本项最多得4分。</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②所投采购包配备镇（街道）政策性农业保险服务人员的，按照配置率得分。其投标人得分按照下列公式计算(小数点保两位)</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配置率得分=所投采购包配备镇（街道）农险服务人员总数/所投采购包镇（街道）×4分，本项最多得4分。</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③</w:t>
      </w:r>
      <w:r>
        <w:rPr>
          <w:rFonts w:hint="eastAsia" w:ascii="仿宋" w:hAnsi="仿宋" w:eastAsia="仿宋" w:cs="仿宋"/>
          <w:color w:val="000000"/>
          <w:sz w:val="28"/>
          <w:szCs w:val="28"/>
          <w:highlight w:val="none"/>
          <w:lang w:val="en-US" w:eastAsia="zh-CN"/>
        </w:rPr>
        <w:t xml:space="preserve">所投采购包未配备政策性农业保险服务人员的，提供承诺中标后三个月内在不影响承保、理赔等日常工作的前提下镇（街道）级农险服务人员配备率达到50%及以上的得2分，提供承诺书加盖投标人电子签章，不承诺不得分。</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注：1）第①、②项中需提供服务人员名单、合同协议以及2025年9月以来任意一个月支付人员劳务费用的银行转账凭证加盖电子签章，否则不得分。</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2）上述①、②项中同一人员可重复得分，②与</w:t>
      </w:r>
      <w:r>
        <w:rPr>
          <w:rFonts w:ascii="仿宋" w:hAnsi="仿宋" w:eastAsia="仿宋" w:cs="仿宋"/>
          <w:color w:val="000000"/>
          <w:sz w:val="28"/>
          <w:szCs w:val="28"/>
          <w:highlight w:val="none"/>
          <w:lang w:val="en-US" w:eastAsia="zh-CN"/>
        </w:rPr>
        <w:t xml:space="preserve">③</w:t>
      </w:r>
      <w:r>
        <w:rPr>
          <w:rFonts w:hint="eastAsia" w:ascii="仿宋" w:hAnsi="仿宋" w:eastAsia="仿宋" w:cs="仿宋"/>
          <w:color w:val="000000"/>
          <w:sz w:val="28"/>
          <w:szCs w:val="28"/>
          <w:highlight w:val="none"/>
          <w:lang w:val="en-US" w:eastAsia="zh-CN"/>
        </w:rPr>
        <w:t xml:space="preserve">项不重复得分。</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（5）村居政策性农业保险协保员配置率（8分）</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根据项目采购需求投标人配备村居政策性农业保险协保员、所投采购包配备村居政策性农业保险协保员的情况进行打分，本项最多得8分。</w:t>
      </w:r>
      <w:r>
        <w:rPr>
          <w:rFonts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①配备村居政策性农业保险协保员的，按照配置率得分。其投标人得分按照下列公式计算(小数点保两位)</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配置率得分=配备村居政策性农业保险协保员总数/ 184个村（</w:t>
      </w:r>
      <w:r>
        <w:rPr>
          <w:rFonts w:ascii="仿宋" w:hAnsi="仿宋" w:eastAsia="仿宋" w:cs="仿宋"/>
          <w:color w:val="000000"/>
          <w:sz w:val="28"/>
          <w:szCs w:val="28"/>
          <w:highlight w:val="none"/>
          <w:lang w:val="en-US" w:eastAsia="zh-CN"/>
        </w:rPr>
        <w:t xml:space="preserve">涉农社区</w:t>
      </w:r>
      <w:r>
        <w:rPr>
          <w:rFonts w:hint="eastAsia" w:ascii="仿宋" w:hAnsi="仿宋" w:eastAsia="仿宋" w:cs="仿宋"/>
          <w:color w:val="000000"/>
          <w:sz w:val="28"/>
          <w:szCs w:val="28"/>
          <w:highlight w:val="none"/>
          <w:lang w:val="en-US" w:eastAsia="zh-CN"/>
        </w:rPr>
        <w:t xml:space="preserve">）×4分，本项最多得4分</w:t>
      </w:r>
      <w:r>
        <w:rPr>
          <w:rFonts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②所投采购包配备村居政策性农业保险协保员的，按照配置率得分。其投标人得分按照下列公式计算(小数点保两位)</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配置率得分=所投采购包配备村居政策性农业保险协保员总数/ 所投采购包村（</w:t>
      </w:r>
      <w:r>
        <w:rPr>
          <w:rFonts w:ascii="仿宋" w:hAnsi="仿宋" w:eastAsia="仿宋" w:cs="仿宋"/>
          <w:color w:val="000000"/>
          <w:sz w:val="28"/>
          <w:szCs w:val="28"/>
          <w:highlight w:val="none"/>
          <w:lang w:val="en-US" w:eastAsia="zh-CN"/>
        </w:rPr>
        <w:t xml:space="preserve">涉农社区</w:t>
      </w:r>
      <w:r>
        <w:rPr>
          <w:rFonts w:hint="eastAsia" w:ascii="仿宋" w:hAnsi="仿宋" w:eastAsia="仿宋" w:cs="仿宋"/>
          <w:color w:val="000000"/>
          <w:sz w:val="28"/>
          <w:szCs w:val="28"/>
          <w:highlight w:val="none"/>
          <w:lang w:val="en-US" w:eastAsia="zh-CN"/>
        </w:rPr>
        <w:t xml:space="preserve">）×4分，本项最多得4分</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③</w:t>
      </w:r>
      <w:r>
        <w:rPr>
          <w:rFonts w:hint="eastAsia" w:ascii="仿宋" w:hAnsi="仿宋" w:eastAsia="仿宋" w:cs="仿宋"/>
          <w:color w:val="000000"/>
          <w:sz w:val="28"/>
          <w:szCs w:val="28"/>
          <w:highlight w:val="none"/>
          <w:lang w:val="en-US" w:eastAsia="zh-CN"/>
        </w:rPr>
        <w:t xml:space="preserve">所投采购包未配备村居政策性农业保险协保员的，提供承诺中标后三个月内在不影响承保、理赔等日常工作的前提下镇（街道）级农险服务人员配备率达到50%及以上的得2分，提供承诺书加盖投标人电子签章，不承诺不得分。</w:t>
      </w:r>
      <w:r>
        <w:rPr>
          <w:rFonts w:ascii="仿宋" w:hAnsi="仿宋" w:eastAsia="仿宋" w:cs="仿宋"/>
          <w:color w:val="000000"/>
          <w:sz w:val="28"/>
          <w:szCs w:val="28"/>
          <w:highlight w:val="none"/>
          <w:lang w:val="en-US" w:eastAsia="zh-CN"/>
        </w:rPr>
      </w:r>
      <w:r/>
    </w:p>
    <w:p>
      <w:pPr>
        <w:pStyle w:val="910"/>
        <w:numPr>
          <w:ilvl w:val="0"/>
          <w:numId w:val="0"/>
        </w:numPr>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注：1）第②项中，“所投采购包村（</w:t>
      </w:r>
      <w:r>
        <w:rPr>
          <w:rFonts w:ascii="仿宋" w:hAnsi="仿宋" w:eastAsia="仿宋" w:cs="仿宋"/>
          <w:color w:val="000000"/>
          <w:sz w:val="28"/>
          <w:szCs w:val="28"/>
          <w:highlight w:val="none"/>
          <w:lang w:val="en-US" w:eastAsia="zh-CN"/>
        </w:rPr>
        <w:t xml:space="preserve">涉农社区</w:t>
      </w:r>
      <w:r>
        <w:rPr>
          <w:rFonts w:hint="eastAsia" w:ascii="仿宋" w:hAnsi="仿宋" w:eastAsia="仿宋" w:cs="仿宋"/>
          <w:color w:val="000000"/>
          <w:sz w:val="28"/>
          <w:szCs w:val="28"/>
          <w:highlight w:val="none"/>
          <w:lang w:val="en-US" w:eastAsia="zh-CN"/>
        </w:rPr>
        <w:t xml:space="preserve">）”是指：王家营街道4个村、长江路街道12个村、新渡口街道8个村、古清口街道8个村、高家堰镇17个村、南陈集镇15个村、马头镇22个村、淮高镇24个村、丁集镇15个村、徐溜镇17个村、刘老庄镇12个村、三树镇10个村、渔沟镇20个。</w:t>
      </w:r>
      <w:r>
        <w:rPr>
          <w:rFonts w:hint="eastAsia" w:ascii="仿宋" w:hAnsi="仿宋" w:eastAsia="仿宋" w:cs="仿宋"/>
          <w:color w:val="000000"/>
          <w:sz w:val="28"/>
          <w:szCs w:val="28"/>
          <w:highlight w:val="none"/>
          <w:lang w:val="en-US" w:eastAsia="zh-CN"/>
        </w:rPr>
      </w:r>
      <w:r/>
    </w:p>
    <w:p>
      <w:pPr>
        <w:pStyle w:val="910"/>
        <w:numPr>
          <w:ilvl w:val="0"/>
          <w:numId w:val="0"/>
        </w:numPr>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2）第①、②项中需提供服务人员名单、合同协议以及2025年9月以来任意一个月支付人员劳务费用的银行转账凭证加盖电子签章，否则不得分。</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3）上述①、②项中同一人员可重复得分，②与</w:t>
      </w:r>
      <w:r>
        <w:rPr>
          <w:rFonts w:ascii="仿宋" w:hAnsi="仿宋" w:eastAsia="仿宋" w:cs="仿宋"/>
          <w:color w:val="000000"/>
          <w:sz w:val="28"/>
          <w:szCs w:val="28"/>
          <w:highlight w:val="none"/>
          <w:lang w:val="en-US" w:eastAsia="zh-CN"/>
        </w:rPr>
        <w:t xml:space="preserve">③</w:t>
      </w:r>
      <w:r>
        <w:rPr>
          <w:rFonts w:hint="eastAsia" w:ascii="仿宋" w:hAnsi="仿宋" w:eastAsia="仿宋" w:cs="仿宋"/>
          <w:color w:val="000000"/>
          <w:sz w:val="28"/>
          <w:szCs w:val="28"/>
          <w:highlight w:val="none"/>
          <w:lang w:val="en-US" w:eastAsia="zh-CN"/>
        </w:rPr>
        <w:t xml:space="preserve">项不重复得分。</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（6）理赔</w:t>
      </w:r>
      <w:r>
        <w:rPr>
          <w:rFonts w:hint="eastAsia" w:ascii="仿宋" w:hAnsi="仿宋" w:eastAsia="仿宋" w:cs="仿宋"/>
          <w:color w:val="000000"/>
          <w:sz w:val="28"/>
          <w:szCs w:val="28"/>
          <w:highlight w:val="none"/>
          <w:lang w:val="en-US" w:eastAsia="zh-CN"/>
        </w:rPr>
        <w:t xml:space="preserve">受理并</w:t>
      </w:r>
      <w:r>
        <w:rPr>
          <w:rFonts w:hint="eastAsia" w:ascii="仿宋" w:hAnsi="仿宋" w:eastAsia="仿宋" w:cs="仿宋"/>
          <w:color w:val="000000"/>
          <w:sz w:val="28"/>
          <w:szCs w:val="28"/>
          <w:highlight w:val="none"/>
        </w:rPr>
        <w:t xml:space="preserve">结案率（</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①</w:t>
      </w: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val="en-US" w:eastAsia="zh-CN"/>
        </w:rPr>
        <w:t xml:space="preserve">理赔案件</w:t>
      </w:r>
      <w:r>
        <w:rPr>
          <w:rFonts w:hint="eastAsia" w:ascii="仿宋" w:hAnsi="仿宋" w:eastAsia="仿宋" w:cs="仿宋"/>
          <w:color w:val="000000"/>
          <w:sz w:val="28"/>
          <w:szCs w:val="28"/>
          <w:highlight w:val="none"/>
        </w:rPr>
        <w:t xml:space="preserve">在202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年1月1日-12月31日政策性农业保险</w:t>
      </w:r>
      <w:r>
        <w:rPr>
          <w:rFonts w:hint="eastAsia" w:ascii="仿宋" w:hAnsi="仿宋" w:eastAsia="仿宋" w:cs="仿宋"/>
          <w:color w:val="000000"/>
          <w:sz w:val="28"/>
          <w:szCs w:val="28"/>
          <w:highlight w:val="none"/>
          <w:lang w:val="en-US" w:eastAsia="zh-CN"/>
        </w:rPr>
        <w:t xml:space="preserve">结案率</w:t>
      </w:r>
      <w:r>
        <w:rPr>
          <w:rFonts w:hint="eastAsia" w:ascii="仿宋" w:hAnsi="仿宋" w:eastAsia="仿宋" w:cs="仿宋"/>
          <w:color w:val="000000"/>
          <w:sz w:val="28"/>
          <w:szCs w:val="28"/>
          <w:highlight w:val="none"/>
        </w:rPr>
        <w:t xml:space="preserve">（已结案件数量／已立案件数量×0.5＋已结案件金额／已立案件金额×0.5）95%及以上</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得</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分；90%</w:t>
      </w:r>
      <w:r>
        <w:rPr>
          <w:rFonts w:hint="eastAsia" w:ascii="仿宋" w:hAnsi="仿宋" w:eastAsia="仿宋" w:cs="仿宋"/>
          <w:color w:val="000000"/>
          <w:sz w:val="28"/>
          <w:szCs w:val="28"/>
          <w:highlight w:val="none"/>
          <w:lang w:val="en-US" w:eastAsia="zh-CN"/>
        </w:rPr>
        <w:t xml:space="preserve">及</w:t>
      </w:r>
      <w:r>
        <w:rPr>
          <w:rFonts w:hint="eastAsia" w:ascii="仿宋" w:hAnsi="仿宋" w:eastAsia="仿宋" w:cs="仿宋"/>
          <w:color w:val="000000"/>
          <w:sz w:val="28"/>
          <w:szCs w:val="28"/>
          <w:highlight w:val="none"/>
        </w:rPr>
        <w:t xml:space="preserve">以上-95%以下的得</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分，90%以下不得分；本项最多得</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②</w:t>
      </w:r>
      <w:r>
        <w:rPr>
          <w:rFonts w:hint="eastAsia" w:ascii="仿宋" w:hAnsi="仿宋" w:eastAsia="仿宋" w:cs="仿宋"/>
          <w:color w:val="000000"/>
          <w:sz w:val="28"/>
          <w:szCs w:val="28"/>
          <w:highlight w:val="none"/>
        </w:rPr>
        <w:t xml:space="preserve">投标人没有政策性农业保险理赔案件，提供全部保险理赔结案率，得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分；本项最多得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注：1）第①项需提供</w:t>
      </w:r>
      <w:r>
        <w:rPr>
          <w:rFonts w:hint="eastAsia" w:ascii="仿宋" w:hAnsi="仿宋" w:eastAsia="仿宋" w:cs="仿宋"/>
          <w:color w:val="000000"/>
          <w:sz w:val="28"/>
          <w:szCs w:val="28"/>
          <w:highlight w:val="none"/>
        </w:rPr>
        <w:t xml:space="preserve">业务信息系统统计分析截图</w:t>
      </w:r>
      <w:r>
        <w:rPr>
          <w:rFonts w:hint="eastAsia" w:ascii="仿宋" w:hAnsi="仿宋" w:eastAsia="仿宋" w:cs="仿宋"/>
          <w:color w:val="000000"/>
          <w:sz w:val="28"/>
          <w:szCs w:val="28"/>
          <w:highlight w:val="none"/>
          <w:lang w:val="en-US" w:eastAsia="zh-CN"/>
        </w:rPr>
        <w:t xml:space="preserve">加盖电子签章，否则不得分。</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2）上述①、②项不重复得分。</w:t>
      </w:r>
      <w:r>
        <w:rPr>
          <w:rFonts w:hint="eastAsia"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（7）基层设备配置（2分）</w:t>
      </w:r>
      <w:r>
        <w:rPr>
          <w:rFonts w:hint="eastAsia"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投标人配备农险查勘车辆总数为5辆及以上并配备无人机总数2架及以上的得2分；低于标准不得分。</w:t>
      </w:r>
      <w:r>
        <w:rPr>
          <w:rFonts w:hint="eastAsia"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注：①</w:t>
      </w: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val="en-US" w:eastAsia="zh-CN"/>
        </w:rPr>
        <w:t xml:space="preserve">需提供</w:t>
      </w:r>
      <w:r>
        <w:rPr>
          <w:rFonts w:hint="eastAsia" w:ascii="仿宋" w:hAnsi="仿宋" w:eastAsia="仿宋" w:cs="仿宋"/>
          <w:color w:val="000000"/>
          <w:sz w:val="28"/>
          <w:szCs w:val="28"/>
          <w:highlight w:val="none"/>
        </w:rPr>
        <w:t xml:space="preserve">车辆</w:t>
      </w:r>
      <w:r>
        <w:rPr>
          <w:rFonts w:hint="eastAsia" w:ascii="仿宋" w:hAnsi="仿宋" w:eastAsia="仿宋" w:cs="仿宋"/>
          <w:color w:val="000000"/>
          <w:sz w:val="28"/>
          <w:szCs w:val="28"/>
          <w:highlight w:val="none"/>
          <w:lang w:val="en-US" w:eastAsia="zh-CN"/>
        </w:rPr>
        <w:t xml:space="preserve">及无人机的</w:t>
      </w:r>
      <w:r>
        <w:rPr>
          <w:rFonts w:hint="eastAsia" w:ascii="仿宋" w:hAnsi="仿宋" w:eastAsia="仿宋" w:cs="仿宋"/>
          <w:color w:val="000000"/>
          <w:sz w:val="28"/>
          <w:szCs w:val="28"/>
          <w:highlight w:val="none"/>
        </w:rPr>
        <w:t xml:space="preserve">所有权人为投标人或其上级机构的机动车行驶证</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购买发票原件扫描或复印件加盖投标人电子签章；</w:t>
      </w:r>
      <w:r>
        <w:rPr>
          <w:rFonts w:hint="eastAsia" w:ascii="仿宋" w:hAnsi="仿宋" w:eastAsia="仿宋" w:cs="仿宋"/>
          <w:color w:val="000000"/>
          <w:sz w:val="28"/>
          <w:szCs w:val="28"/>
          <w:highlight w:val="none"/>
          <w:lang w:val="en-US" w:eastAsia="zh-CN"/>
        </w:rPr>
        <w:t xml:space="preserve">若为租赁，提供租赁合同扫描件，车辆还需提供行驶证</w:t>
      </w:r>
      <w:r>
        <w:rPr>
          <w:rFonts w:hint="eastAsia" w:ascii="仿宋" w:hAnsi="仿宋" w:eastAsia="仿宋" w:cs="仿宋"/>
          <w:color w:val="000000"/>
          <w:sz w:val="28"/>
          <w:szCs w:val="28"/>
          <w:highlight w:val="none"/>
        </w:rPr>
        <w:t xml:space="preserve">加盖投标人电子签章。</w:t>
      </w:r>
      <w:r>
        <w:rPr>
          <w:rFonts w:hint="eastAsia" w:ascii="仿宋" w:hAnsi="仿宋" w:eastAsia="仿宋" w:cs="仿宋"/>
          <w:color w:val="000000"/>
          <w:sz w:val="28"/>
          <w:szCs w:val="28"/>
          <w:highlight w:val="none"/>
        </w:rPr>
      </w:r>
      <w:r/>
    </w:p>
    <w:p>
      <w:pPr>
        <w:pStyle w:val="910"/>
        <w:ind w:left="0"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（8）服务评价（</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w:t>
      </w:r>
      <w:r>
        <w:rPr>
          <w:rFonts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rPr>
        <w:t xml:space="preserve">连续两年</w:t>
      </w:r>
      <w:r>
        <w:rPr>
          <w:rFonts w:hint="eastAsia" w:ascii="仿宋" w:hAnsi="仿宋" w:eastAsia="仿宋" w:cs="仿宋"/>
          <w:color w:val="000000"/>
          <w:sz w:val="28"/>
          <w:szCs w:val="28"/>
          <w:highlight w:val="none"/>
          <w:lang w:val="en-US" w:eastAsia="zh-CN"/>
        </w:rPr>
        <w:t xml:space="preserve">及以上</w:t>
      </w:r>
      <w:r>
        <w:rPr>
          <w:rFonts w:hint="eastAsia" w:ascii="仿宋" w:hAnsi="仿宋" w:eastAsia="仿宋" w:cs="仿宋"/>
          <w:color w:val="000000"/>
          <w:sz w:val="28"/>
          <w:szCs w:val="28"/>
          <w:highlight w:val="none"/>
        </w:rPr>
        <w:t xml:space="preserve">获得农业保险绩效评价“优”等次的得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获得一年“优”等次的得2分；获得一年及以上“良”等次的得1分；其他等次不得分；没有评价结果的，提供未开展服务的说明，得基础分1分（本项得分不累计不叠加，以最高分值计算，投标人提供市级及以上农业保险管理部门对服务机构的评价材料，原件扫描上传并加盖投标人电子签章）</w:t>
      </w:r>
      <w:r>
        <w:rPr>
          <w:rFonts w:hint="eastAsia"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（9）险种创新及开发能力（</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10"/>
        <w:ind w:left="0" w:firstLine="560"/>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t xml:space="preserve">①</w:t>
      </w:r>
      <w:r>
        <w:rPr>
          <w:rFonts w:hint="eastAsia" w:ascii="仿宋" w:hAnsi="仿宋" w:eastAsia="仿宋" w:cs="仿宋"/>
          <w:color w:val="000000"/>
          <w:sz w:val="28"/>
          <w:szCs w:val="28"/>
          <w:highlight w:val="none"/>
          <w:lang w:val="en-US" w:eastAsia="zh-CN"/>
        </w:rPr>
        <w:t xml:space="preserve">自2023年1月1日以来</w:t>
      </w:r>
      <w:r>
        <w:rPr>
          <w:rFonts w:hint="eastAsia" w:ascii="仿宋" w:hAnsi="仿宋" w:eastAsia="仿宋" w:cs="仿宋"/>
          <w:color w:val="000000"/>
          <w:sz w:val="28"/>
          <w:szCs w:val="28"/>
          <w:highlight w:val="none"/>
        </w:rPr>
        <w:t xml:space="preserve">投标人在拓展商业性创新险种，每提供1个得0.5分，本项最多得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分。（提供向金融监管部门（原银保监部门）报备批复（或中国保险行业协会认定并盖章）的相关证明材料及实际开具的保单</w:t>
      </w:r>
      <w:r>
        <w:rPr>
          <w:rFonts w:hint="eastAsia" w:ascii="仿宋" w:hAnsi="仿宋" w:eastAsia="仿宋" w:cs="仿宋"/>
          <w:color w:val="000000"/>
          <w:sz w:val="28"/>
          <w:szCs w:val="28"/>
          <w:highlight w:val="none"/>
          <w:lang w:val="en-US" w:eastAsia="zh-CN"/>
        </w:rPr>
        <w:t xml:space="preserve">扫描件加盖投标人电子签章</w:t>
      </w:r>
      <w:r>
        <w:rPr>
          <w:rFonts w:hint="eastAsia" w:ascii="仿宋" w:hAnsi="仿宋" w:eastAsia="仿宋" w:cs="仿宋"/>
          <w:color w:val="000000"/>
          <w:sz w:val="28"/>
          <w:szCs w:val="28"/>
          <w:highlight w:val="none"/>
        </w:rPr>
        <w:t xml:space="preserve">）。</w:t>
      </w:r>
      <w:r>
        <w:rPr>
          <w:rFonts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②</w:t>
      </w:r>
      <w:r>
        <w:rPr>
          <w:rFonts w:hint="eastAsia" w:ascii="仿宋" w:hAnsi="仿宋" w:eastAsia="仿宋" w:cs="仿宋"/>
          <w:color w:val="000000"/>
          <w:sz w:val="28"/>
          <w:szCs w:val="28"/>
          <w:highlight w:val="none"/>
        </w:rPr>
        <w:t xml:space="preserve">服务创新方案（</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结合项目实际和公司服务能力实际拟定服务创新方案，方案应包括特色优势农产品险种创新、工作方式创新、服务技术手段创新以及创新成效等。方案完全满足采购需求，可操作性强，安全可靠、逻辑清晰的得</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分；方案基本满足要求</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，可操作性一般，安全性一般、逻辑一般的得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分；方案满足要求</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，可操作性差，安全性差、逻辑差的得1分；方案不满足要求的，不得分。</w:t>
      </w:r>
      <w:r>
        <w:rPr>
          <w:rFonts w:hint="eastAsia"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4、服务方案（</w:t>
      </w:r>
      <w:r>
        <w:rPr>
          <w:rFonts w:hint="eastAsia" w:ascii="仿宋" w:hAnsi="仿宋" w:eastAsia="仿宋" w:cs="仿宋"/>
          <w:color w:val="000000"/>
          <w:sz w:val="28"/>
          <w:szCs w:val="28"/>
          <w:highlight w:val="none"/>
          <w:lang w:val="en-US" w:eastAsia="zh-CN"/>
        </w:rPr>
        <w:t xml:space="preserve">15</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910"/>
        <w:ind w:left="0"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（1）风险管控方案（</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w:t>
      </w:r>
      <w:r>
        <w:rPr>
          <w:rFonts w:ascii="仿宋" w:hAnsi="仿宋" w:eastAsia="仿宋" w:cs="仿宋"/>
          <w:color w:val="000000"/>
          <w:sz w:val="28"/>
          <w:szCs w:val="28"/>
          <w:highlight w:val="none"/>
        </w:rPr>
      </w:r>
      <w:r/>
    </w:p>
    <w:p>
      <w:pPr>
        <w:pStyle w:val="745"/>
        <w:ind w:firstLine="560"/>
        <w:spacing w:line="52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提供的本级公司重大灾害风险应急管理预案应包含（不限于）以下内容：农业保险防灾防损工作制度及重大灾害、突发事件应急管理制度；工作原则、组织体系及职责分工；大灾分级、应急准备；应急处置及预警、预赔付管理机制及预赔付比例、理赔及后期处置等应对预案。方案完全满足采购需求，可操作性强，安全可靠、逻辑清晰的得</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分；方案基本满足要求</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，可操作性一般，安全性一般、逻辑一般的得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分；方案满足要求</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，可操作性差，安全性差、逻辑差的得1分；方案不满足要求的，不得分。</w:t>
      </w:r>
      <w:r>
        <w:rPr>
          <w:rFonts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（2）宣传推动方案（</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结合项目实际，拟定农业保险政策宣传推动方案，方案应包括以前年度宣传活动成果回顾、以后年度宣传工作计划（包括但不限于开展宣传活动次数、宣传活动的内容与主题、宣传活动形式、宣传活动的预期效果）等。方案完全满足采购需求，可操作性强，安全可靠、逻辑清晰的得</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分；方案基本满足要求</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，可操作性一般，安全性一般、逻辑一般的得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分；方案满足要求</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，可操作性差，安全性差、逻辑差的得1分；方案不满足要求的，不得分。</w:t>
      </w:r>
      <w:r>
        <w:rPr>
          <w:rFonts w:hint="eastAsia" w:ascii="仿宋" w:hAnsi="仿宋" w:eastAsia="仿宋" w:cs="仿宋"/>
          <w:color w:val="000000"/>
          <w:sz w:val="28"/>
          <w:szCs w:val="28"/>
          <w:highlight w:val="none"/>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（3）承保理赔方案（</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结合项目实际，拟定农业保险承保理赔方案，方案应包括但不限于保前风险评估：投保前采用现场、线上等多种形式宣讲农业保险等惠农政策、服务标准和监管要求，做好保险标的数据基础数据及投保数据收集、统计工作；保中验标管理：根据保险标的特征和分布情况，采用全验或比例抽验方式，核查保险标的的位置、数量、权属和风险等情况，单独投保的或规模经营主体应采用全验方式，对村委会组织集体投保的按不低于3%的比例抽验</w:t>
      </w:r>
      <w:r>
        <w:rPr>
          <w:rFonts w:hint="eastAsia" w:ascii="仿宋" w:hAnsi="仿宋" w:eastAsia="仿宋" w:cs="仿宋"/>
          <w:color w:val="000000"/>
          <w:sz w:val="28"/>
          <w:szCs w:val="28"/>
          <w:highlight w:val="none"/>
        </w:rPr>
        <w:t xml:space="preserve">，且应包括所有投保的村干部及协保员；保后信息校验：对分户投保清单进行不少于3天的承保公示，对投保的散户按照不低于60%的比例进行回访，对投保的规模经营大户全部回访。建立完善的理赔工作管理制度，规范接报案、立案、查勘、定损、理赔、回访、支付等各环节工作，在监管部门规定的时间内做好各项理赔工作，对组织投保的分户定损结果进行不少于3天的理赔公示，按照不低于5%的比例进行理赔回访，在规定时间内完成理赔款支付。具备详细的定损理赔规则，对争议事件有明确的处理流程。方案完全满足采购需求，可操作性强，安全可靠、逻辑清晰的得</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分；方案基本满足要求</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，可操作性一般，安全性一般、逻辑一般的得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分；方案满足要求</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，可操作性差，安全性差、逻辑差的得1分；方案不满足要求的，不得分。</w:t>
      </w:r>
      <w:r>
        <w:rPr>
          <w:rFonts w:hint="eastAsia" w:ascii="仿宋" w:hAnsi="仿宋" w:eastAsia="仿宋" w:cs="仿宋"/>
          <w:color w:val="000000"/>
          <w:sz w:val="28"/>
          <w:szCs w:val="28"/>
          <w:highlight w:val="none"/>
        </w:rPr>
      </w:r>
      <w:r/>
    </w:p>
    <w:p>
      <w:pPr>
        <w:pStyle w:val="910"/>
        <w:ind w:left="0" w:firstLine="0"/>
        <w:jc w:val="both"/>
        <w:spacing w:line="520" w:lineRule="exact"/>
        <w:rPr>
          <w:rFonts w:hint="eastAsia" w:ascii="仿宋" w:hAnsi="仿宋" w:eastAsia="仿宋" w:cs="仿宋"/>
          <w:b/>
          <w:bCs/>
          <w:color w:val="000000"/>
          <w:sz w:val="40"/>
          <w:szCs w:val="40"/>
          <w:highlight w:val="none"/>
        </w:rPr>
      </w:pPr>
      <w:r>
        <w:rPr>
          <w:rFonts w:hint="eastAsia" w:ascii="仿宋" w:hAnsi="仿宋" w:eastAsia="仿宋" w:cs="仿宋"/>
          <w:b/>
          <w:bCs/>
          <w:color w:val="000000"/>
          <w:sz w:val="40"/>
          <w:szCs w:val="40"/>
          <w:highlight w:val="none"/>
        </w:rPr>
      </w:r>
      <w:r/>
    </w:p>
    <w:p>
      <w:pPr>
        <w:pStyle w:val="910"/>
        <w:ind w:left="0" w:firstLine="560"/>
        <w:jc w:val="center"/>
        <w:spacing w:line="520" w:lineRule="exact"/>
        <w:rPr>
          <w:rFonts w:hint="eastAsia" w:ascii="仿宋" w:hAnsi="仿宋" w:eastAsia="仿宋" w:cs="仿宋"/>
          <w:b/>
          <w:bCs/>
          <w:color w:val="000000"/>
          <w:sz w:val="40"/>
          <w:szCs w:val="40"/>
          <w:highlight w:val="none"/>
        </w:rPr>
      </w:pPr>
      <w:r>
        <w:rPr>
          <w:rFonts w:hint="eastAsia" w:ascii="仿宋" w:hAnsi="仿宋" w:eastAsia="仿宋" w:cs="仿宋"/>
          <w:b/>
          <w:bCs/>
          <w:color w:val="000000"/>
          <w:sz w:val="40"/>
          <w:szCs w:val="40"/>
          <w:highlight w:val="none"/>
        </w:rPr>
        <w:t xml:space="preserve">第四章合同格式及条款</w:t>
      </w:r>
      <w:r>
        <w:rPr>
          <w:rFonts w:hint="eastAsia" w:ascii="仿宋" w:hAnsi="仿宋" w:eastAsia="仿宋" w:cs="仿宋"/>
          <w:b/>
          <w:bCs/>
          <w:color w:val="000000"/>
          <w:sz w:val="40"/>
          <w:szCs w:val="40"/>
          <w:highlight w:val="none"/>
        </w:rPr>
      </w:r>
      <w:r/>
    </w:p>
    <w:p>
      <w:pPr>
        <w:pStyle w:val="745"/>
        <w:ind w:firstLine="560"/>
        <w:spacing w:line="520" w:lineRule="exact"/>
        <w:tabs>
          <w:tab w:val="left" w:pos="180" w:leader="none"/>
        </w:tabs>
        <w:rPr>
          <w:rFonts w:hint="eastAsia" w:ascii="仿宋" w:hAnsi="仿宋" w:eastAsia="仿宋" w:cs="仿宋"/>
          <w:color w:val="000000"/>
          <w:sz w:val="32"/>
          <w:highlight w:val="none"/>
        </w:rPr>
      </w:pPr>
      <w:r>
        <w:rPr>
          <w:rFonts w:hint="eastAsia" w:ascii="仿宋" w:hAnsi="仿宋" w:eastAsia="仿宋" w:cs="仿宋"/>
          <w:bCs/>
          <w:color w:val="000000"/>
          <w:sz w:val="28"/>
          <w:szCs w:val="28"/>
          <w:highlight w:val="none"/>
        </w:rPr>
        <w:t xml:space="preserve">注：以下为招标人提出中标后签订本项目合同的条款，投标人必须实质性响应，中标投标人不得提出实质性的修改，关于专用条款将由招标人与中标投标人结合本项目具体情况协商后签订。</w:t>
      </w:r>
      <w:r>
        <w:rPr>
          <w:rFonts w:hint="eastAsia" w:ascii="仿宋" w:hAnsi="仿宋" w:eastAsia="仿宋" w:cs="仿宋"/>
          <w:color w:val="000000"/>
          <w:sz w:val="32"/>
          <w:highlight w:val="none"/>
        </w:rPr>
      </w:r>
      <w:r/>
    </w:p>
    <w:p>
      <w:pPr>
        <w:pStyle w:val="905"/>
        <w:jc w:val="center"/>
        <w:spacing w:before="181" w:after="181" w:line="52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一、合同格式</w:t>
      </w:r>
      <w:r>
        <w:rPr>
          <w:rFonts w:hint="eastAsia" w:ascii="仿宋" w:hAnsi="仿宋" w:eastAsia="仿宋" w:cs="仿宋"/>
          <w:bCs/>
          <w:color w:val="000000"/>
          <w:sz w:val="28"/>
          <w:szCs w:val="28"/>
          <w:highlight w:val="none"/>
        </w:rPr>
      </w:r>
      <w:r/>
    </w:p>
    <w:p>
      <w:pPr>
        <w:pStyle w:val="745"/>
        <w:jc w:val="center"/>
        <w:spacing w:before="156" w:after="156" w:line="360" w:lineRule="exact"/>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36"/>
          <w:szCs w:val="36"/>
          <w:highlight w:val="none"/>
          <w:lang w:eastAsia="zh-CN"/>
        </w:rPr>
        <w:t xml:space="preserve">淮阴区政策性农业保险服务合同</w:t>
      </w:r>
      <w:r>
        <w:rPr>
          <w:rFonts w:hint="eastAsia" w:ascii="仿宋" w:hAnsi="仿宋" w:eastAsia="仿宋" w:cs="仿宋"/>
          <w:b/>
          <w:bCs/>
          <w:color w:val="000000"/>
          <w:sz w:val="28"/>
          <w:szCs w:val="28"/>
          <w:highlight w:val="none"/>
          <w:lang w:eastAsia="zh-CN"/>
        </w:rPr>
      </w:r>
      <w:r/>
    </w:p>
    <w:p>
      <w:pPr>
        <w:pStyle w:val="745"/>
        <w:spacing w:line="5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甲方：</w:t>
      </w:r>
      <w:r>
        <w:rPr>
          <w:rFonts w:hint="eastAsia" w:ascii="仿宋" w:hAnsi="仿宋" w:eastAsia="仿宋" w:cs="仿宋"/>
          <w:b/>
          <w:bCs/>
          <w:color w:val="000000"/>
          <w:sz w:val="28"/>
          <w:szCs w:val="28"/>
          <w:highlight w:val="none"/>
        </w:rPr>
      </w:r>
      <w:r/>
    </w:p>
    <w:p>
      <w:pPr>
        <w:pStyle w:val="745"/>
        <w:spacing w:line="50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乙方：</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中华人民共和国政府采购法》《中华人民共和国民法典》、本项目《公开招标文件》《响应文件》和农业保险相关文件政策的要求，经双方协商，本着平等互利和诚实信用的原则，甲乙双方按照公开招标结果签订本合同。</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1．定义及解释</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1.1下列措辞和用语，除上下文另有要求外，应具有所赋予它们的含义：</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（1）“项目”是指本次采购的全部服务。</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（2）“服务”是指乙方根据合同条件为完成项目所提供和履行的所有服务，包括正常的服务、附加的服务和额外的服务。</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（3）“甲方”为</w:t>
      </w:r>
      <w:r>
        <w:rPr>
          <w:rFonts w:hint="eastAsia" w:ascii="仿宋" w:hAnsi="仿宋" w:eastAsia="仿宋" w:cs="仿宋"/>
          <w:color w:val="000000"/>
          <w:sz w:val="28"/>
          <w:szCs w:val="28"/>
          <w:highlight w:val="none"/>
          <w:lang w:eastAsia="zh-CN"/>
        </w:rPr>
        <w:t xml:space="preserve">淮安市淮阴区财政局</w:t>
      </w:r>
      <w:r>
        <w:rPr>
          <w:rFonts w:hint="eastAsia" w:ascii="仿宋" w:hAnsi="仿宋" w:eastAsia="仿宋" w:cs="仿宋"/>
          <w:color w:val="000000"/>
          <w:sz w:val="28"/>
          <w:szCs w:val="28"/>
          <w:highlight w:val="none"/>
          <w:lang w:eastAsia="zh-CN"/>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（4）“乙方”为项目的受委托方，它作为一个独立的专业公司受甲方委托，提供和履行合同服务。</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（5）“合同双方”是指甲方和乙方的统称。</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（6）“日”“天”是指公历日。</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（7）“周”“星期”是指七个公历日。</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（8）“月”是指公历月份。</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2．项目服务范围</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3.合同的组成</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下列文件应作为本合同的组成部分</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3.1本合同书。</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3.2成交通知书。</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3.3投标文件及其附件（含投标人在评标期间递交和确认并经代理机构同意的对有关问题的补充资料和澄清文件等）。</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3.4招标文件及其附件（含招标过程中对有关问题的补充资料和澄清文件等）。</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3.5与本次招标有关的并经当事人双方确认的其他文件。</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上述文件互为补充和解释，如有不清或相互矛盾之处，以所列顺序在前的为准，但甲乙双方有特别约定的除外。</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4.基本约定</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4.1开办险种</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4.1.1中央、省发布的政策性种植业保险、养殖业保险、高效设施农业保险、农机具保险等险种，并根据上级有关规定及本地实际情况增设由乙方负责承保。</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4.1.2在招标人统筹指导下在本行政区域服务范围内开办新险种，包括增加保险品种、提高保险金额的补充保险等。</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对享受财政补贴的政策性农业保险品种给予首创承保机构在本行政区域独家经营的首创保护期，保护期一般为3年。保护期与正在履行的服务合同（协议）期限不一致的，可以适当延长。承保机构自主开展的其他各类涉农商业性保险品种不受限制。</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4.2投保险种与保险金额/赔偿限额</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4.2.1投保的农业保险项目以中央、省、市、区级财政补贴的险种为准。</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4.2.2保险金额与赔偿限额根据保险条款、相关文件以及投保具体情况而定。</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4.3保险费率</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4.3.1保险费率采用乙方经国家金融监督管理总局报备的农业保险费率。</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4.4保险期限</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4.4.1保险期限由保险投保单位或农户选择确定，但应符合下列条件：</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保险期限符合农业种植业、养殖业生长周期，符合保险条款有关规定，最长为壹年；</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5．组织实施</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5.1.1乙方设置农险业务部门，由公司经理分管，乡镇、村服务网络覆盖面要达到省财政厅绩效目标，配备必要的农业、保险等相关专业人员，具有较强的农业保险经营和风险管理能力，能够满足农业保险业务管理和服务的需要，提供宣传、推动、承保、理赔及收取保费、培训、回访农户、数据报送、印迹留痕等相关农业保险方面的服务，包括内外各方关系的协调工作。农业保险专兼职人员（含协保员）应书面备案。</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乙方及时组织完成相关人员的培训工作，①开展各类保险知识培训、政策宣传、养殖种植科技培训、防灾减损宣传、风险评估等活动，提高农户对农业保险、国家强农惠农富农政策的认知水平。②做到惠农政策、承保情况、理赔结果、服务标准、监管要求“五公开”。</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5.3报表制度：每月5日前，乙方必须提交上月份承保、理赔统计报表，同时提交电子文档。</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财政年度决算制度：每年度2月15日前，乙方必须按本次招标相关内容、条件的要求，提交上年度决算报告，同时提交电子文档。每年度第一季度末提交上一年度农业保险绩效自评报告相关材料。每季度第一个月5日前，报送上季度的农业保险保费补贴资金申报相关材料。</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5.5乙方应按照本合同、招标文件的要求以及投标文件的承诺认真履行。</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6.操作流程</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6.1投保</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6.1.1主动高效服务农户保险需要，按照《中国银保监会关于印发农业保险承保理赔管理办法的通知》（银保监规〔2022〕4号）的规定，规范开展承保理赔工作，并留存承保、理赔档案。</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6.1.2验标承保。①对单独出单的种养大户、家庭农场、龙头企业或农业生产经营组织，实行全部实地验标；②对集体投保的种植业保险标的实行抽检，抽检比例不低于3%且不少于5户，如小于5户的必须全部抽检，分户清单中投保的土地面积大于50亩的按照单独投保要求做好验标工作。</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6.1.3及时承保。应根据保险标的种植和养殖周期以及条款规定，完成农业保险各险种的承保工作。能繁母猪、育肥猪、蔬菜大棚等所有高效农业类险种，根据各类主体需求及时承保。小麦、油菜应该在每年2月底前完成承保工作；水稻必须在每年8月底前完成承保工作。农户保费收缴率要达到绩效目标。</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6.1.4在收取投保人保费后，向投保人出具相应的保险单和保费收据。</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6.1.5按省文件规定需要承保公示的，公示时间不得少于3天。公示期间，若接到对公示内容的反馈意见，应及时进行核实，必要时修改投保信息。</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6.2理赔</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6.2.1乙方应建立政策性农业保险理赔服务绿色通道，保证农业保险获得优先服务的权利，以优良的服务态度、便利、快捷的上门服务方式响应被保险人的索赔要求，主动迅速地为各被保险人提供优质的理赔服务，不断提高客户满意度。</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6.2.2报案受理。设立24小时保险服务专线电话，随时接受被保险人的出险报案。</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6.2.3查勘时效。接到报案后需要进行现场查勘的，8小时内到达现场，组织现场查勘工作。</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6.2.4查勘人员。现场查勘人员须正式员工2人以上共同查勘。</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6.2.5损失鉴定报告。有农业专家参与查勘，超过500万元损失鉴定报告应有3名以上农业专家的签字。</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6.2.6及时定责定损。对于技术性较强或有争议、疑难的案件时，应当聘请第三方机构、有关专家或技术人员参与赔案的处理。对于不属于保险责任的，应在接到被保险人赔偿请求后3个工作日内向其发出《拒赔通知书》。</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6.2.7及时理赔。及时处理保险事故、及时理赔付款，小麦油菜应在8月底前、水稻玉米应在12月底前全部结案，年度结案率95%以上。</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6.2.8发生大灾和突发事件后，乙方应启动大灾及突发事件应急预案，及时向招标人和上级公司汇报灾情及突发事件情况。</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6.2.9对病死畜禽必须进行现场查勘，必须100%无害化处理。</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6.2.10业务信息真实完整。承保理赔应真实，留存材料应符合相关政策规定。</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6.2.11公示要求。村集体组织投保的应以行政村为单位将相关承保、理赔信息在村务公开栏予以公示，有条件的地方还可另外通过地方报纸等集中公示。公示时间不得少于3天，若接到对公示内容的反馈意见，应及时进行核实处理。</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6.2.12回访要求。出单后两个月内，要对农户承保、理赔等环节工作质量进行回访，采取随机抽样方式选择回访对象，各乡镇投保、理赔户次的回访比例团单不低于30%，大户全部回访。可以通过电话、短信或现场回访等方式进行，现场回访记录应留存纸质文件，非现场回访记录可留存电子版文件，以备调阅抽查。</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6.2.13出席由招标人组织召开的季度农业保险联席会议，定期通报保险业务开展、理赔与服务情况，就有关问题进行沟通与协商。</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6.2.14投诉制度。乙方应设立投诉受理电话，由高管人员负责受理各被保险人对各分支机构的保险投诉；对于同一服务机构发生超过3次（含3次）以上的有效投诉，应更换该服务机构的分管经理和负责人。</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6.2.15赔付方式</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农业保险赔款一律采取转账方式直接支付到农户一卡通财政涉农补贴账户或被保险人银行账户（卡）。</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6.2.16承保理赔公示率100%。集体出单的应公示承保、定损、理赔结果，且公示时间不少于3天。</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6.2.17参保农户满意度不低于90%。</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7.不可抗力</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7.1不可抗力事件是指甲乙双方在缔结合同时所不能预见的，且它的发生及其后果是无法避免和无法克服的灾害、事故。</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7.2合同任何一方由于受地震的自然因素以及诸如战争、骚乱等非自然因素的不可抗力事件（以下简称不可抗力）影响而不能执行合同时，履行合同的期限应予以延长，延长的期限应相当于战争、骚乱、地震等所影响的时间。</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7.3遭受不可抗力的一方应在不可抗力灾害、事故发生后尽快以书面形式通知对方，并于事故发生后14天内将有关当局出具的证明文件、详细情况报告以及不可抗力对履行合同影响程度的说明用特快专递或挂号信寄给对方。</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7.4发生不可抗力时，任何一方均不对因不可抗力无法履行或延迟履行本合同义务而使另一方蒙受损失承担责任，但遭受不可抗力的一方有责任尽可能及时采取适当或必要措施减少或消除不可抗力的影响。遭受不可抗力的一方对因未尽本项义务而造成的损失承担赔偿责任。</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7.5一旦不可抗力事故的影响持续120天以上，甲乙双方通过友好协商，在合理的时间内达成进一步履行合同或终止合同的协议。</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7.6乙方需建立大灾应急预案机制，提供应急预案。</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8.保险费划拨及乙方防灾防损服务</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8.1乙方按照区财政局结算工作要求申请财政补贴保险费。</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8.1.1农业保险承保机构应提高农业保险服务能力和水平,扎实做好农业保险保费基础数据的各项管理工作。</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(一)承保机构申请保费补贴资金,应提供保单及数据、申请报告及有关附件和其他相关证明材料,并对相关数据真实性负责。</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1.申请报告:总体表述本公司农业保险工作开展情况、分险种承保情况,具体包括:保险费率、保险金额、承保数量、单位保险费、总保险费、保费构成比例和金额等以及农户应缴保费收交情况、申请事项等内容。</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有关附件:作为申请报告的支撑材料,包括:农业保险保费补贴结算申请汇总表、承保明细表、当年理赔明细表、承保机构申报补贴资金承诺书和承保电子档案(含保险单、农户交费凭证、公示证明等)。承保明细表、当年理赔明细表应由业务管理系统导出,不限于附件要求的内容。</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3.其他相关证明材料:指各地财政部门要求提供的其他相关证明材料。</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承保机构需要调整已报送的保单及数据的,应向当地财政部门及时报告并申请调整保费补贴。承保机构发现已报送的保单及数据、汇总数据申请数据有误,或发生批改退费、退保的,要及时向对应的财政部门书面报告申请调整相应保费补贴,更新相关数据,重新提供相关附件和证明材料。</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申请材料填报要求。承保机构提供的申请报告、农业保险保费补贴结算申请汇总表和申报单位承诺书应有负责人和经办人签名并加盖申请机构印章,扫描后和其他附件一起制作光盘,连同纸质原件报送至对应的财政部门审核。</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乙方制定年度防灾防损方案，包括防灾防损活动内容、方案、时间、对象、实施责任人、费用预算等。按计划开展各类保险培训、养殖种植科技培训、防灾防损主体宣传、风险评估活动，提高农户的防灾防损尤其是防范大灾的能力，降低事故发生率、降低因自然灾害造成的损失程度，同时乙方建立理赔核定小组不少于3人。</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8.3乙方负责建立农业种植、养殖技术专家队伍、动物防疫技术专家组，协助开展区镇村防疫机构的技术培训工作以及对农户的知识普及工作。</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9．绩效及违约责任</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9.1农业保险管理部门定期对乙方的农险工作开展绩效评价，年度承保机构绩效评价为"不合格"，则取消在该区域剩余服务期限的承保资格，</w:t>
      </w:r>
      <w:r>
        <w:rPr>
          <w:rFonts w:hint="eastAsia" w:ascii="仿宋" w:hAnsi="仿宋" w:eastAsia="仿宋" w:cs="仿宋"/>
          <w:color w:val="000000"/>
          <w:sz w:val="28"/>
          <w:szCs w:val="28"/>
          <w:highlight w:val="none"/>
          <w:lang w:val="en-US" w:eastAsia="zh-CN"/>
        </w:rPr>
        <w:t xml:space="preserve">将重新组织该片区招标，招标完成后与新中标单位完成交接</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9.2乙方对所提供的服务与合同要求不符应负违约责任。若乙方有下列情形之一，甲方有权解除合同、将其列入</w:t>
      </w:r>
      <w:r>
        <w:rPr>
          <w:rFonts w:hint="eastAsia" w:ascii="仿宋" w:hAnsi="仿宋" w:eastAsia="仿宋" w:cs="仿宋"/>
          <w:color w:val="000000"/>
          <w:sz w:val="28"/>
          <w:szCs w:val="28"/>
          <w:highlight w:val="none"/>
          <w:lang w:val="en-US" w:eastAsia="zh-CN"/>
        </w:rPr>
        <w:t xml:space="preserve">淮阴</w:t>
      </w:r>
      <w:r>
        <w:rPr>
          <w:rFonts w:hint="eastAsia" w:ascii="仿宋" w:hAnsi="仿宋" w:eastAsia="仿宋" w:cs="仿宋"/>
          <w:color w:val="000000"/>
          <w:sz w:val="28"/>
          <w:szCs w:val="28"/>
          <w:highlight w:val="none"/>
        </w:rPr>
        <w:t xml:space="preserve">区农险市场禁入名单：</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9.1.1因乙方原因影响本合同无法履行或终止的；</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9.1.2因损害农民利益、违规经营被农户投诉并造成恶劣影响和产生不良后果的、被省市批评或媒体曝光3次以上的；</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9.1.3通过虚假承保、虚假理赔、虚列费用等方式骗取农业保险保费补贴。</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9.1.4乙方完不成年度服务承诺或服务质量不合格</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9.1.5各项农业保险绩效目标未按期或未达到省市区下达目标</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9.2违约责任</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乙方对所提供的服务与合同要求不符的情形需承担违约责任。乙方在服务期间存在以下情形的，取消承保服务合同，依照有关法律法规、政策等追究责任</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(一)恶意套取财政补贴资金; </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(二)未按规定区域、合同约定承保；</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(三)不履行合同义务或者履行合同义务不符合约定;</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(四)不接受政府有关部门管理;</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(五)上年度政策性农业保险服务评价经同级农业保险工作(领导)小组评定不合格的;</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(六)被相关管理部门处罚停止农业保险补贴，被禁止或限制农业保险业务的;</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(七)因农业保险业务违规，被移送纪检监察及司法部门并受到处理的;</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(八)因违法违规行为导致出现重大舆情;</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(九)服务合同约定的其他情形。</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9.3乙方不诚信责任：</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有下列情形之一，尚未签订合同的，取消其中选资格;已经签订合同的，解除与其签订的合同:</w:t>
      </w:r>
      <w:r>
        <w:rPr>
          <w:rFonts w:hint="eastAsia" w:ascii="仿宋" w:hAnsi="仿宋" w:eastAsia="仿宋" w:cs="仿宋"/>
          <w:color w:val="000000"/>
          <w:sz w:val="28"/>
          <w:szCs w:val="28"/>
          <w:highlight w:val="none"/>
        </w:rPr>
      </w:r>
      <w:r/>
    </w:p>
    <w:p>
      <w:pPr>
        <w:pStyle w:val="745"/>
        <w:ind w:firstLine="560"/>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t xml:space="preserve">(一)恶意串通谋取中选的;</w:t>
      </w:r>
      <w:r>
        <w:rPr>
          <w:rFonts w:ascii="仿宋" w:hAnsi="仿宋" w:eastAsia="仿宋" w:cs="仿宋"/>
          <w:color w:val="000000"/>
          <w:sz w:val="28"/>
          <w:szCs w:val="28"/>
          <w:highlight w:val="none"/>
        </w:rPr>
      </w:r>
      <w:r/>
    </w:p>
    <w:p>
      <w:pPr>
        <w:pStyle w:val="745"/>
        <w:ind w:firstLine="560"/>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t xml:space="preserve">(二)提供虚假材料谋取中选的;</w:t>
      </w:r>
      <w:r>
        <w:rPr>
          <w:rFonts w:ascii="仿宋" w:hAnsi="仿宋" w:eastAsia="仿宋" w:cs="仿宋"/>
          <w:color w:val="000000"/>
          <w:sz w:val="28"/>
          <w:szCs w:val="28"/>
          <w:highlight w:val="none"/>
        </w:rPr>
      </w:r>
      <w:r/>
    </w:p>
    <w:p>
      <w:pPr>
        <w:pStyle w:val="745"/>
        <w:ind w:firstLine="560"/>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t xml:space="preserve">(三)无正当理由拒不签订合同的</w:t>
      </w:r>
      <w:r>
        <w:rPr>
          <w:rFonts w:ascii="仿宋" w:hAnsi="仿宋" w:eastAsia="仿宋" w:cs="仿宋"/>
          <w:color w:val="000000"/>
          <w:sz w:val="28"/>
          <w:szCs w:val="28"/>
          <w:highlight w:val="none"/>
        </w:rPr>
      </w:r>
      <w:r/>
    </w:p>
    <w:p>
      <w:pPr>
        <w:pStyle w:val="745"/>
        <w:ind w:firstLine="560"/>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t xml:space="preserve">(四)其他不符合签订服务合同的情形。</w:t>
      </w:r>
      <w:r>
        <w:rPr>
          <w:rFonts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．保密条款</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.1任何一方对其获知的本合同涉及的所有有形、无形的信息及资料（包括但不限于甲乙双方的往来书面文字文件、电子邮件及信息、电子资料等）中另一方的商业秘密负有保密义务。</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.2除非法律法规另有规定或得到本合同之另一方的书面许可，任何一方不得向第三方泄露前款规定的商业秘密。保密期限自任何一方获知该商业秘密之日起至本条规定的秘密通过正常渠道成为公众信息之日止。</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.合同的解释</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.1任何一方对本合同及其附件的解释均应遵循诚实信用原则，依照本合同签订时有效的中华人民共和国的法律法规以及人们通常的理解进行。</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.2本合同标题仅供查阅方便，并非对本合同的诠释或解释，本合同中以日表述的时间期限均指公历日。</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.3对本合同的任何解释均应以书面做出。</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．争议的解决</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.1本协议未尽事宜，由甲乙双方协商处理，协商不成，甲乙双方一致同意向甲方所在地法院申请通过诉讼途径解决。</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.合同的终止</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.1本合同有效期内，任何一方不得擅自终止合同，否则应负担所造成的一切损失。如一方因故需终止合同，必须提前三个月书面通知另一方，经双方达成一致意见后，方可终止。</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.2出现下列情况时本合同自行终止：</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.2.1本合同正常履行完毕。</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.2.2甲乙双方协议终止本合同的履行。</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.2.3不可抗力导致本合同无法履行或履行不必要时。</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.2.4一方不履行合同条款，造成另一方无法执行合同协议，协商又不能求得解决，责任方赔偿损失并经另一方同意后，合同终止。</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.3除本合同另有约定外，发生任何以下一种情况，甲方有权解除本合同，对于由此给乙方造成的损失甲方不承担赔偿责任，对于由此给甲方造成的损失，乙方应负赔偿责任：</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.3.1乙方向被保险单位农业保险经办人员提供任何形式的回扣。</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.4国家保险政策发生重大变化时，双方应及时协商重新修订合同相关条款。如协商未达成一致，甲方有权终止合同。</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.5乙方违约甲方解除合同，重新组织招标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双方应及时清算已收保费，未到期保费扣除已承担风险部分的保费后，按比例或约定退还，并确保已发生保险责任对应的补贴合法合规，违规部分需返还。对未到期责任乙方退出的份额不再补贴保费；乙方需负责其保险期内已发生、未支付的保险赔款。</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．法律适用</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.1本合同及附件的订立、效力、解释、履行、争议的解决等适用本合同签订时有效的中华人民共和国法律法规、规范性文件的有关规定。</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．权利的保留</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2如果本合同部分条款依据现行有关法律法规被确认为无效或无法履行，且该部分无效或无法履行的条款不影响本合同其他条款效力的，本合同其他条款继续有效；同时，合同各方应根据现行有关法律法规对该部分无效或无法履行的条款进行调整，使其依法成为有效条款，并尽量符合本合同所体现的原则和精神。</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.3在本合同履行期间，因中国法律法规、政策的变化致使本合同的部分条款相冲突、无效或失去可强制执行效力时，甲乙双方应尽快修改本合同中相冲突或无效或失去可强制执行效力的条款。</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．主导语言与计量单位</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.1合同书写应用中文。甲乙双方所有的来往信函，以及合同有关的文件均应以中文书写。</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.2除合同另有规定外，计量单位均使用中华人民共和国法定计量单位。</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．合同修改</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.1对于本合同的未尽事宜，需进行修改、补充或完善的，甲乙双方必须就所修改的内容签订书面的合同修改书，作为本合同的补充协议。合同期内，上级有新出台的政策，须签订补充条款。</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.2补充协议与本合同具有同等法律效力。</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.转让</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除甲方事先书面同意外，乙方不能全部或部分转让本合同项下的权利和义务。</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19</w:t>
      </w:r>
      <w:r>
        <w:rPr>
          <w:rFonts w:hint="eastAsia" w:ascii="仿宋" w:hAnsi="仿宋" w:eastAsia="仿宋" w:cs="仿宋"/>
          <w:color w:val="000000"/>
          <w:sz w:val="28"/>
          <w:szCs w:val="28"/>
          <w:highlight w:val="none"/>
        </w:rPr>
        <w:t xml:space="preserve">.验收</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甲方按招标文件相关要求进行。如需委托第三方验收，第三方是指: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，验收费用由甲方承担。因乙方交付的服务不符合标准导致甲方重复支出的验收费用，由乙方承担。 </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．合同生效及其他</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.1除非合同中另有说明，本合同经甲乙双方法定代表人或负责人或授权代理人签字盖章后，即开始生效。</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.2本合同中的附件均为本合同不可分割的部分，与本合同具有同等的法律效力。</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.3本合同期满后，在合同有效期内乙方与被保险人签订的农业保险单，在保险单约定的保险期限内继续有效。</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.4本合同期限</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年，自  年  月  日至  年  月  日止。</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.5本合同正本一式八份，甲方执六份，乙方执两份，每份具有同等法律效力。</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甲方：（盖章）             </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乙方：（盖章）</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代表人：</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                     代表人：</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电话：</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                     电话：</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日期：年月日</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               日期：年月日</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68"/>
        <w:spacing w:line="52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68"/>
        <w:jc w:val="center"/>
        <w:spacing w:line="52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68"/>
        <w:jc w:val="center"/>
        <w:spacing w:line="52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68"/>
        <w:jc w:val="center"/>
        <w:spacing w:line="52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68"/>
        <w:jc w:val="center"/>
        <w:spacing w:line="52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68"/>
        <w:jc w:val="center"/>
        <w:spacing w:line="52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68"/>
        <w:jc w:val="both"/>
        <w:spacing w:line="52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68"/>
        <w:jc w:val="both"/>
        <w:spacing w:line="52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68"/>
        <w:jc w:val="both"/>
        <w:spacing w:line="52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68"/>
        <w:jc w:val="center"/>
        <w:spacing w:line="520" w:lineRule="exact"/>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t xml:space="preserve">第五章项目采购需求</w:t>
      </w:r>
      <w:r>
        <w:rPr>
          <w:rFonts w:hint="eastAsia" w:ascii="仿宋" w:hAnsi="仿宋" w:eastAsia="仿宋" w:cs="仿宋"/>
          <w:b/>
          <w:bCs/>
          <w:color w:val="000000"/>
          <w:sz w:val="36"/>
          <w:szCs w:val="36"/>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一、项目概况 </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贯彻落实《关于加快农业保险高质量发展的指导意见》（财金〔2019〕102号）、《关于加快农业保险高质量发展的实施意见》（苏财金〔2020〕51号）、《关于做好政策性农业保险承保机构遴选工作的通知》（苏财金〔2021〕42号）、《关于进一步加强政策性农业保险承保机构遴选管理工作的通知》(苏财金〔2024〕144号)等文件精神，进一步完善政策性农业保险工作机制和发展机制，依据法律法规和政策规定开展政策性农业保险承保机构遴选活动，为政策性农业保险择优选择承保机构。</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二、项目需求 </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全区分</w:t>
      </w:r>
      <w:r>
        <w:rPr>
          <w:rFonts w:hint="eastAsia" w:ascii="仿宋" w:hAnsi="仿宋" w:eastAsia="仿宋" w:cs="仿宋"/>
          <w:color w:val="000000"/>
          <w:sz w:val="28"/>
          <w:szCs w:val="28"/>
          <w:highlight w:val="none"/>
          <w:lang w:val="en-US" w:eastAsia="zh-CN" w:bidi="ar-SA"/>
        </w:rPr>
        <w:t xml:space="preserve">乡镇、街道划分五个采购包</w:t>
      </w:r>
      <w:r>
        <w:rPr>
          <w:rFonts w:hint="eastAsia" w:ascii="仿宋" w:hAnsi="仿宋" w:eastAsia="仿宋" w:cs="仿宋"/>
          <w:color w:val="000000"/>
          <w:sz w:val="28"/>
          <w:szCs w:val="28"/>
          <w:highlight w:val="none"/>
        </w:rPr>
        <w:t xml:space="preserve">，遴选</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家承保机构，按照《农业保险条例》、《中央财政农业保险保费补贴管理办法》（财金〔2021〕130号）、《农业保险承保理赔管理办法》（银保监规〔2022〕4号）、《江苏省省级财政农业保险费补贴资金管理办法》、《江苏省财政厅关于进一步加强和改进农业保险保费补贴资金管理的通知》（苏财金〔2021〕98号）、《关于进一步加强政策性农业保险承保机构遴选管理工作的通知》(苏财金〔2024〕144号)等政策制度的规定做好政策性农业保险服务工作。</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（一）承保服务内容： </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ascii="仿宋" w:hAnsi="仿宋" w:eastAsia="仿宋" w:cs="仿宋"/>
          <w:color w:val="000000"/>
          <w:sz w:val="28"/>
          <w:szCs w:val="28"/>
          <w:highlight w:val="none"/>
        </w:rPr>
        <w:t xml:space="preserve">1.区域划分：政策性农业保险业务采取以镇为单位划区域经营模</w:t>
      </w:r>
      <w:r>
        <w:rPr>
          <w:rFonts w:hint="eastAsia" w:ascii="仿宋" w:hAnsi="仿宋" w:eastAsia="仿宋" w:cs="仿宋"/>
          <w:color w:val="000000"/>
          <w:sz w:val="28"/>
          <w:szCs w:val="28"/>
          <w:highlight w:val="none"/>
        </w:rPr>
        <w:t xml:space="preserve">式，将全区</w:t>
      </w:r>
      <w:r>
        <w:rPr>
          <w:rFonts w:hint="eastAsia" w:ascii="仿宋" w:hAnsi="仿宋" w:eastAsia="仿宋" w:cs="仿宋"/>
          <w:color w:val="000000"/>
          <w:sz w:val="28"/>
          <w:szCs w:val="28"/>
          <w:highlight w:val="none"/>
          <w:lang w:val="en-US" w:eastAsia="zh-CN"/>
        </w:rPr>
        <w:t xml:space="preserve">13</w:t>
      </w:r>
      <w:r>
        <w:rPr>
          <w:rFonts w:hint="eastAsia" w:ascii="仿宋" w:hAnsi="仿宋" w:eastAsia="仿宋" w:cs="仿宋"/>
          <w:color w:val="000000"/>
          <w:sz w:val="28"/>
          <w:szCs w:val="28"/>
          <w:highlight w:val="none"/>
        </w:rPr>
        <w:t xml:space="preserve">个镇、街道划分为</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个不同采购包：</w:t>
      </w:r>
      <w:r>
        <w:rPr>
          <w:rFonts w:hint="eastAsia" w:ascii="仿宋" w:hAnsi="仿宋" w:eastAsia="仿宋" w:cs="仿宋"/>
          <w:color w:val="000000"/>
          <w:sz w:val="28"/>
          <w:szCs w:val="28"/>
          <w:highlight w:val="none"/>
          <w:lang w:val="en-US" w:eastAsia="zh-CN"/>
        </w:rPr>
        <w:t xml:space="preserve">采购包1：淮高镇、渔沟镇、丁集镇、王家营街道；采购包2：马头镇、高家堰镇、新渡口街道；采购包3：刘老庄镇、徐溜镇、古清口街道；采购包4：南陈集镇、长江路街道；采购包5：三树镇</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745"/>
        <w:ind w:firstLine="480"/>
        <w:spacing w:line="56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★2.承保险种。政策性农业保险，所涉及的保险标的具体包含：水稻</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包含：</w:t>
      </w:r>
      <w:r>
        <w:rPr>
          <w:rFonts w:hint="eastAsia" w:ascii="仿宋" w:hAnsi="仿宋" w:eastAsia="仿宋" w:cs="仿宋"/>
          <w:color w:val="000000"/>
          <w:sz w:val="28"/>
          <w:szCs w:val="28"/>
          <w:highlight w:val="none"/>
          <w:lang w:eastAsia="zh-CN"/>
        </w:rPr>
        <w:t xml:space="preserve">粳稻</w:t>
      </w:r>
      <w:r>
        <w:rPr>
          <w:rFonts w:hint="eastAsia" w:ascii="仿宋" w:hAnsi="仿宋" w:eastAsia="仿宋" w:cs="仿宋"/>
          <w:color w:val="000000"/>
          <w:sz w:val="28"/>
          <w:szCs w:val="28"/>
          <w:highlight w:val="none"/>
        </w:rPr>
        <w:t xml:space="preserve">、籼稻</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小麦、玉米、</w:t>
      </w:r>
      <w:r>
        <w:rPr>
          <w:rFonts w:hint="eastAsia" w:ascii="仿宋" w:hAnsi="仿宋" w:eastAsia="仿宋" w:cs="仿宋"/>
          <w:color w:val="000000"/>
          <w:sz w:val="28"/>
          <w:szCs w:val="28"/>
          <w:highlight w:val="none"/>
          <w:lang w:val="en-US" w:eastAsia="zh-CN"/>
        </w:rPr>
        <w:t xml:space="preserve">大豆、</w:t>
      </w:r>
      <w:r>
        <w:rPr>
          <w:rFonts w:hint="eastAsia" w:ascii="仿宋" w:hAnsi="仿宋" w:eastAsia="仿宋" w:cs="仿宋"/>
          <w:color w:val="000000"/>
          <w:sz w:val="28"/>
          <w:szCs w:val="28"/>
          <w:highlight w:val="none"/>
        </w:rPr>
        <w:t xml:space="preserve">花生、能繁母猪、育肥猪、奶牛</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肉鸡、种（蛋）鸡</w:t>
      </w:r>
      <w:r>
        <w:rPr>
          <w:rFonts w:hint="eastAsia" w:ascii="仿宋" w:hAnsi="仿宋" w:eastAsia="仿宋" w:cs="仿宋"/>
          <w:color w:val="000000"/>
          <w:sz w:val="28"/>
          <w:szCs w:val="28"/>
          <w:highlight w:val="none"/>
          <w:lang w:eastAsia="zh-CN"/>
        </w:rPr>
        <w:t xml:space="preserve">（蛋鸡）</w:t>
      </w:r>
      <w:r>
        <w:rPr>
          <w:rFonts w:hint="eastAsia" w:ascii="仿宋" w:hAnsi="仿宋" w:eastAsia="仿宋" w:cs="仿宋"/>
          <w:color w:val="000000"/>
          <w:sz w:val="28"/>
          <w:szCs w:val="28"/>
          <w:highlight w:val="none"/>
        </w:rPr>
        <w:t xml:space="preserve">、设施大棚</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包含：竹架大棚、钢筋混凝土结构大棚</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单体钢架大棚、连体钢架大棚、智能温室钢架大棚、长寿塑料薄膜（含进口)、普通塑料薄膜、硬质塑料板材、玻璃</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附加棚内作物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包含：蔬菜、瓜类</w:t>
      </w:r>
      <w:r>
        <w:rPr>
          <w:rFonts w:hint="eastAsia" w:ascii="仿宋" w:hAnsi="仿宋" w:eastAsia="仿宋" w:cs="仿宋"/>
          <w:color w:val="000000"/>
          <w:sz w:val="28"/>
          <w:szCs w:val="28"/>
          <w:highlight w:val="none"/>
        </w:rPr>
        <w:t xml:space="preserve">、果品类</w:t>
      </w:r>
      <w:r>
        <w:rPr>
          <w:rFonts w:hint="eastAsia" w:ascii="仿宋" w:hAnsi="仿宋" w:eastAsia="仿宋" w:cs="仿宋"/>
          <w:color w:val="000000"/>
          <w:sz w:val="28"/>
          <w:szCs w:val="28"/>
          <w:highlight w:val="none"/>
          <w:lang w:eastAsia="zh-CN"/>
        </w:rPr>
        <w:t xml:space="preserve">、花卉、苗木、育苗类）、</w:t>
      </w:r>
      <w:r>
        <w:rPr>
          <w:rFonts w:hint="eastAsia" w:ascii="仿宋" w:hAnsi="仿宋" w:eastAsia="仿宋" w:cs="仿宋"/>
          <w:color w:val="000000"/>
          <w:sz w:val="28"/>
          <w:szCs w:val="28"/>
          <w:highlight w:val="none"/>
        </w:rPr>
        <w:t xml:space="preserve">肉用仔鹅</w:t>
      </w:r>
      <w:r>
        <w:rPr>
          <w:rFonts w:hint="eastAsia" w:ascii="仿宋" w:hAnsi="仿宋" w:eastAsia="仿宋" w:cs="仿宋"/>
          <w:color w:val="000000"/>
          <w:sz w:val="28"/>
          <w:szCs w:val="28"/>
          <w:highlight w:val="none"/>
          <w:lang w:eastAsia="zh-CN"/>
        </w:rPr>
        <w:t xml:space="preserve">、鸭（肉鸭、蛋鸭）、莲（荷）藕、露地水生蔬菜、螃蟹、河蟹、羊、桃、露地葡萄、池塘淡水鱼、仔猪、蚕、肉牛、拖拉机交强险、农机综合保险</w:t>
      </w:r>
      <w:r>
        <w:rPr>
          <w:rFonts w:hint="eastAsia" w:ascii="仿宋" w:hAnsi="仿宋" w:eastAsia="仿宋" w:cs="仿宋"/>
          <w:color w:val="000000"/>
          <w:sz w:val="28"/>
          <w:szCs w:val="28"/>
          <w:highlight w:val="none"/>
        </w:rPr>
        <w:t xml:space="preserve">等以及根据《江苏省省级财政农业保险费补贴资金管理办法》有关规定及本地实际情况增设的奖补险种</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★3.险种标准。承保政策性险种应严格执行</w:t>
      </w:r>
      <w:r>
        <w:rPr>
          <w:rFonts w:hint="eastAsia" w:ascii="仿宋" w:hAnsi="仿宋" w:eastAsia="仿宋" w:cs="仿宋"/>
          <w:color w:val="000000"/>
          <w:sz w:val="28"/>
          <w:szCs w:val="28"/>
          <w:highlight w:val="none"/>
          <w:lang w:val="en-US" w:eastAsia="zh-CN"/>
        </w:rPr>
        <w:t xml:space="preserve">省、市下发的</w:t>
      </w:r>
      <w:r>
        <w:rPr>
          <w:rFonts w:hint="eastAsia" w:ascii="仿宋" w:hAnsi="仿宋" w:eastAsia="仿宋" w:cs="仿宋"/>
          <w:color w:val="000000"/>
          <w:sz w:val="28"/>
          <w:szCs w:val="28"/>
          <w:highlight w:val="none"/>
        </w:rPr>
        <w:t xml:space="preserve">关于条款及费率、操作规程、指导意见、标准指引等文件实施项目操作。保险金额或赔偿限额根据省、市要求。</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★4.中标后不允许分包或转包。</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（二）服务（技术）要求及相关说明</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★1.服务要求：供应商需要</w:t>
      </w:r>
      <w:r>
        <w:rPr>
          <w:rFonts w:hint="eastAsia" w:ascii="仿宋" w:hAnsi="仿宋" w:eastAsia="仿宋" w:cs="仿宋"/>
          <w:color w:val="000000"/>
          <w:sz w:val="28"/>
          <w:szCs w:val="28"/>
          <w:highlight w:val="none"/>
          <w:lang w:val="en-US" w:eastAsia="zh-CN"/>
        </w:rPr>
        <w:t xml:space="preserve">在承保区</w:t>
      </w:r>
      <w:r>
        <w:rPr>
          <w:rFonts w:hint="eastAsia" w:ascii="仿宋" w:hAnsi="仿宋" w:eastAsia="仿宋" w:cs="仿宋"/>
          <w:color w:val="000000"/>
          <w:sz w:val="28"/>
          <w:szCs w:val="28"/>
          <w:highlight w:val="none"/>
        </w:rPr>
        <w:t xml:space="preserve">有区、镇、村三级服务网络，每个镇、街道、村至少一名专职人员或协保员，保证每个乡镇和行政村农业保险服务网点的服务功能，能够深入农村做好农业保险政策宣传、业务培训、承保、勘察定损、无害化处理和理赔工作；积极探索建立风险防范和预警机制，发挥农险防灾减损作用；保证每个工作程序公平、公正、公开，不发生重大理赔信访、集访、重访案件。建立健全农业保险投诉及来访接待制度，及时登记处理，做到件件有回复；</w:t>
      </w:r>
      <w:r>
        <w:rPr>
          <w:rFonts w:ascii="仿宋" w:hAnsi="仿宋" w:eastAsia="仿宋" w:cs="仿宋"/>
          <w:color w:val="000000"/>
          <w:sz w:val="28"/>
          <w:szCs w:val="28"/>
          <w:highlight w:val="none"/>
        </w:rPr>
        <w:t xml:space="preserve">每月向</w:t>
      </w:r>
      <w:r>
        <w:rPr>
          <w:rFonts w:hint="eastAsia" w:ascii="仿宋" w:hAnsi="仿宋" w:eastAsia="仿宋" w:cs="仿宋"/>
          <w:color w:val="000000"/>
          <w:sz w:val="28"/>
          <w:szCs w:val="28"/>
          <w:highlight w:val="none"/>
        </w:rPr>
        <w:t xml:space="preserve">农业保险工作小组</w:t>
      </w:r>
      <w:r>
        <w:rPr>
          <w:rFonts w:ascii="仿宋" w:hAnsi="仿宋" w:eastAsia="仿宋" w:cs="仿宋"/>
          <w:color w:val="000000"/>
          <w:sz w:val="28"/>
          <w:szCs w:val="28"/>
          <w:highlight w:val="none"/>
        </w:rPr>
        <w:t xml:space="preserve">报告农业保险</w:t>
      </w:r>
      <w:r>
        <w:rPr>
          <w:rFonts w:hint="eastAsia" w:ascii="仿宋" w:hAnsi="仿宋" w:eastAsia="仿宋" w:cs="仿宋"/>
          <w:color w:val="000000"/>
          <w:sz w:val="28"/>
          <w:szCs w:val="28"/>
          <w:highlight w:val="none"/>
          <w:lang w:val="en-US" w:eastAsia="zh-CN"/>
        </w:rPr>
        <w:t xml:space="preserve">承保理赔</w:t>
      </w:r>
      <w:r>
        <w:rPr>
          <w:rFonts w:ascii="仿宋" w:hAnsi="仿宋" w:eastAsia="仿宋" w:cs="仿宋"/>
          <w:color w:val="000000"/>
          <w:sz w:val="28"/>
          <w:szCs w:val="28"/>
          <w:highlight w:val="none"/>
        </w:rPr>
        <w:t xml:space="preserve">情况；完成省、市、</w:t>
      </w:r>
      <w:r>
        <w:rPr>
          <w:rFonts w:hint="eastAsia" w:ascii="仿宋" w:hAnsi="仿宋" w:eastAsia="仿宋" w:cs="仿宋"/>
          <w:color w:val="000000"/>
          <w:sz w:val="28"/>
          <w:szCs w:val="28"/>
          <w:highlight w:val="none"/>
        </w:rPr>
        <w:t xml:space="preserve">区下达的农业保险高质量发展目标任务。</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2.相关说明</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 组织及业务管理</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2.1.1 设置农险责任部门，由公司经理分管，配置专门人员，落实展业、核保、出单、查勘、核赔、定损、财务、统计、档案等工作，专业技术人员在业务素质和数量上能够适应服务工作要求。</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2.1.2 强化乡镇服务站点建设，安排服务人员，保证农业保险服务站正常运行，能够深入农村高质量做好农业保险服务工作。</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2.1.3 积极与镇村基层组织沟通协调，争取支持，每村选聘一名保险协办人员（协保员），签订服务协议。专兼职人员（含协保员）应书面报甲方备案。变更农业保险人员应书面报甲方备案。</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2.1.4 及时完成相关人员的培训工作，专业技术人员在业务素质和数量上要充分保障本项目相关条件及要求。每年对保险业务人员、服务人员、种养大户、村组干部开展宣传培训活动。</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2.1.5 按照《江苏省财政厅关于进一步加强和改进农业保险保费补贴资金管理的通知》（苏财金〔2021〕98号）和甲方的具体要求，按季度向区财政局报送承保理赔保单级数据、拨付保费补贴资金材料凭证。</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2.1.6 按照省农业保险保费补贴资金管理和市区财政部门的结算要求，于 2 月 1 日前向区财政局报送上年度财政补贴资金结算申请报告及附件（含电子文档）。</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2.1.7 按照政策性农业保险承保机构服务评价办法，对照承保机</w:t>
      </w:r>
      <w:r>
        <w:rPr>
          <w:rFonts w:hint="eastAsia" w:ascii="仿宋" w:hAnsi="仿宋" w:eastAsia="仿宋" w:cs="仿宋"/>
          <w:color w:val="000000"/>
          <w:sz w:val="28"/>
          <w:szCs w:val="28"/>
          <w:highlight w:val="none"/>
        </w:rPr>
        <w:t xml:space="preserve">构服务评价指标体系及评分细则，开展本机构上一年度农业保险工作情况自评工作，并将自评表和评价得分的支撑资料装订成册，于 2 月 1 日前报送农业保险工作小组。</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2.1.8 每季度第一个月 3 日前，报送截至上季度末的农业保险保费补贴情况统计表。每年7月10 日前，根据政策性农业保险承保数量、保险金额、保险费率和保险费补贴比例等测算报送下一年度预计各级财政承担的保费补贴资金。</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2.1.9 按时完成区农业保险工作小组安排的农业保险相关工作。</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 服务规范要求</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主动高效服务农业保险发展需要，按照</w:t>
      </w:r>
      <w:r>
        <w:rPr>
          <w:rFonts w:ascii="仿宋" w:hAnsi="仿宋" w:eastAsia="仿宋" w:cs="仿宋"/>
          <w:color w:val="000000"/>
          <w:sz w:val="28"/>
          <w:szCs w:val="28"/>
          <w:highlight w:val="none"/>
          <w:shd w:val="clear" w:color="auto" w:fill="ffffff"/>
        </w:rPr>
        <w:t xml:space="preserve">《中国银保监会关于印发农业保险承保理赔管理办法的通知》（银保监规</w:t>
      </w:r>
      <w:r>
        <w:rPr>
          <w:rFonts w:hint="eastAsia" w:ascii="仿宋" w:hAnsi="仿宋" w:eastAsia="仿宋" w:cs="仿宋"/>
          <w:color w:val="000000"/>
          <w:sz w:val="28"/>
          <w:szCs w:val="28"/>
          <w:highlight w:val="none"/>
          <w:shd w:val="clear" w:color="auto" w:fill="ffffff"/>
        </w:rPr>
        <w:t xml:space="preserve">〔2022〕4号）</w:t>
      </w:r>
      <w:r>
        <w:rPr>
          <w:rFonts w:hint="eastAsia" w:ascii="仿宋" w:hAnsi="仿宋" w:eastAsia="仿宋" w:cs="仿宋"/>
          <w:color w:val="000000"/>
          <w:sz w:val="28"/>
          <w:szCs w:val="28"/>
          <w:highlight w:val="none"/>
        </w:rPr>
        <w:t xml:space="preserve">等有关文件规定，规范开展承保理赔工作，并留存承保、理赔档案。</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2.2.1 如实告知。严格履行说明义务，向投保人重点说明投保险种的保险责任、责任免除、合同双方权利义务、特别约定、理赔</w:t>
      </w:r>
      <w:r>
        <w:rPr>
          <w:rFonts w:ascii="仿宋" w:hAnsi="仿宋" w:eastAsia="仿宋" w:cs="仿宋"/>
          <w:color w:val="000000"/>
          <w:sz w:val="28"/>
          <w:szCs w:val="28"/>
          <w:highlight w:val="none"/>
        </w:rPr>
        <w:t xml:space="preserve">标准和方式等条款内容。保障投保人、被保险人的知情权和自主权，</w:t>
      </w:r>
      <w:r>
        <w:rPr>
          <w:rFonts w:hint="eastAsia" w:ascii="仿宋" w:hAnsi="仿宋" w:eastAsia="仿宋" w:cs="仿宋"/>
          <w:color w:val="000000"/>
          <w:sz w:val="28"/>
          <w:szCs w:val="28"/>
          <w:highlight w:val="none"/>
        </w:rPr>
        <w:t xml:space="preserve">不得欺骗、误导投保，不得以不正当手段强迫投保或限制投保；不得向投保人、被保险人给予或承诺给予保险合同约定以外的保费回扣、赔付返还或者其他利益。</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2.2.2 验标承保。对保险标的真实性、准确性、权属和风险等情况进行查验，并妥善保存相关证明资料。对保险标的不具有保险利益的个人或单位，保险机构不得将其确定为被保险人。</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2.2.3 出单。投保信息应真实、准确、完整，严禁虚假记录或编制投保信息。相关承保业务单证（包括分户投保清单）应当由投保人、被保险人签名或盖章确认。在确认收到应缴保费后，出具保险单。保险单或保险凭证应当及时发放到户。</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2.2.4 查勘时效。接到报案后，保险机构应当在24小时内进行查勘，因客观原因难以及时查勘的，应当与报案人联系并说明原因。</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2.2.5 查勘影像。对损失情况进行拍摄，并确保影像资料清晰、完整、未经任何修改。查勘影像应当体现查勘人员、拍摄位置、拍摄日期、受损标的特征和规模、损失原因和程度、标识或有关信息等。</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2.2.6 及时定责定损。种植业、森林保险发生全部损失的，在接到报案后10日内完成损失核定；发生部分损失的，在接到报案后20日内完成损失核定。养殖业保险在接到报案后3日内完成损失核定。发生重大灾害、大范围疫情以及存在其他特殊情形的，保险机构可以适当延长损失核定时间，应向被保险人做好解释说明工作。组织投保的分户理赔清单，应由被保险人签名或盖章确认。</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2.2.7 公示。在依法保护个人信息的前提下，对分户投保清单、</w:t>
      </w:r>
      <w:r>
        <w:rPr>
          <w:rFonts w:hint="eastAsia" w:ascii="仿宋" w:hAnsi="仿宋" w:eastAsia="仿宋" w:cs="仿宋"/>
          <w:color w:val="000000"/>
          <w:sz w:val="28"/>
          <w:szCs w:val="28"/>
          <w:highlight w:val="none"/>
        </w:rPr>
        <w:t xml:space="preserve">定损结果进行不少于3天的承保公示。公示方式包括：在村级或农业生产经营组织公共区域张贴公告；通过政府公共网站、行业信息平台发布；经被保险人同意的其他线上公示方式。公示期间，若接到对公示内容的反馈意见，应及时处理。</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2.2.8 保处联动。病死畜禽必须100%无害化处理，否则，不得理赔。</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2.2.9 支付赔款。在与被保险人达成赔偿协议后10日内，将赔款支付给被保险人。赔款一律通过转账方式直接支付到被保险人银行账户（卡）或被保险人一折通财政涉农补贴账户，同时，留存支付证明，并将理赔信息及时告知被保险人。</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2.2.10 对承保、理赔业务的真实性负责，及时报送真实性、合规、准确的数据材料。</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.11 不得因拒绝承保、拖赔、惜赔等损害农民权益行为被投诉、举报、上访，及时处理处理理赔纠纷，妥善化解矛盾与争议。</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 服务绩效目标</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2.3.1 三大粮食作物承保率、育肥猪保险不低于省、市、区下达的年度指标。三大粮食作物保险覆盖率=三大粮食作物参加农业保险面积/播种面积；育肥猪保险覆盖率=育肥猪投保头数/年出栏头数。</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2.3.2 农业保险保费规模不低于上年，农业保险保障总额增幅超过第一产业增加值增幅10%。</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2.3.3 农业保险理赔兑现率</w:t>
      </w:r>
      <w:r>
        <w:rPr>
          <w:rFonts w:ascii="仿宋" w:hAnsi="仿宋" w:eastAsia="仿宋" w:cs="仿宋"/>
          <w:color w:val="000000"/>
          <w:sz w:val="28"/>
          <w:szCs w:val="28"/>
          <w:highlight w:val="none"/>
        </w:rPr>
        <w:t xml:space="preserve">≥95</w:t>
      </w:r>
      <w:r>
        <w:rPr>
          <w:rFonts w:hint="eastAsia" w:ascii="仿宋" w:hAnsi="仿宋" w:eastAsia="仿宋" w:cs="仿宋"/>
          <w:color w:val="000000"/>
          <w:sz w:val="28"/>
          <w:szCs w:val="28"/>
          <w:highlight w:val="none"/>
        </w:rPr>
        <w:t xml:space="preserve">%。理赔结案率＝已结案件数量/</w:t>
      </w:r>
      <w:r>
        <w:rPr>
          <w:rFonts w:ascii="仿宋" w:hAnsi="仿宋" w:eastAsia="仿宋" w:cs="仿宋"/>
          <w:color w:val="000000"/>
          <w:sz w:val="28"/>
          <w:szCs w:val="28"/>
          <w:highlight w:val="none"/>
        </w:rPr>
        <w:t xml:space="preserve">已立案件数量×0.5＋已结案件金额/已立案件金额×0.5。</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2.3.4 农户满意度（政策知晓率、满意率）</w:t>
      </w:r>
      <w:r>
        <w:rPr>
          <w:rFonts w:ascii="仿宋" w:hAnsi="仿宋" w:eastAsia="仿宋" w:cs="仿宋"/>
          <w:color w:val="000000"/>
          <w:sz w:val="28"/>
          <w:szCs w:val="28"/>
          <w:highlight w:val="none"/>
        </w:rPr>
        <w:t xml:space="preserve">≥90</w:t>
      </w:r>
      <w:r>
        <w:rPr>
          <w:rFonts w:hint="eastAsia" w:ascii="仿宋" w:hAnsi="仿宋" w:eastAsia="仿宋" w:cs="仿宋"/>
          <w:color w:val="000000"/>
          <w:sz w:val="28"/>
          <w:szCs w:val="28"/>
          <w:highlight w:val="none"/>
        </w:rPr>
        <w:t xml:space="preserve">%。政策知晓率＝知晓人数/调查总人数；满意率＝满意人数/调查总人数。</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（三）商务部分</w:t>
      </w:r>
      <w:r>
        <w:rPr>
          <w:rFonts w:hint="eastAsia" w:ascii="仿宋" w:hAnsi="仿宋" w:eastAsia="仿宋" w:cs="仿宋"/>
          <w:color w:val="000000"/>
          <w:sz w:val="28"/>
          <w:szCs w:val="28"/>
          <w:highlight w:val="none"/>
        </w:rPr>
      </w:r>
      <w:r/>
    </w:p>
    <w:p>
      <w:pPr>
        <w:pStyle w:val="745"/>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1.保费补贴资金拨付。依据国家、省、市、区有关农业保险保费补贴资金管理的规定，原则上</w:t>
      </w:r>
      <w:r>
        <w:rPr>
          <w:rFonts w:hint="eastAsia" w:ascii="仿宋" w:hAnsi="仿宋" w:eastAsia="仿宋" w:cs="仿宋"/>
          <w:color w:val="000000"/>
          <w:sz w:val="28"/>
          <w:szCs w:val="28"/>
          <w:highlight w:val="none"/>
          <w:lang w:val="en-US" w:eastAsia="zh-CN"/>
        </w:rPr>
        <w:t xml:space="preserve">中标单位</w:t>
      </w:r>
      <w:r>
        <w:rPr>
          <w:rFonts w:hint="eastAsia" w:ascii="仿宋" w:hAnsi="仿宋" w:eastAsia="仿宋" w:cs="仿宋"/>
          <w:color w:val="000000"/>
          <w:sz w:val="28"/>
          <w:szCs w:val="28"/>
          <w:highlight w:val="none"/>
        </w:rPr>
        <w:t xml:space="preserve">按季度提交申请保费补贴报告以及必要的凭证材料，甲方在审核检查无误的基础上拨付保险费补贴资金。</w:t>
      </w:r>
      <w:r>
        <w:rPr>
          <w:rFonts w:hint="eastAsia" w:ascii="仿宋" w:hAnsi="仿宋" w:eastAsia="仿宋" w:cs="仿宋"/>
          <w:color w:val="000000"/>
          <w:sz w:val="28"/>
          <w:szCs w:val="28"/>
          <w:highlight w:val="none"/>
        </w:rPr>
      </w:r>
      <w:r/>
    </w:p>
    <w:p>
      <w:pPr>
        <w:pStyle w:val="745"/>
        <w:ind w:firstLine="560"/>
        <w:spacing w:line="50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服务期限：承保服务三年，理赔服务至全部承保保单理赔完毕。</w:t>
      </w:r>
      <w:r>
        <w:rPr>
          <w:rFonts w:ascii="仿宋" w:hAnsi="仿宋" w:eastAsia="仿宋" w:cs="仿宋"/>
          <w:color w:val="000000"/>
          <w:sz w:val="28"/>
          <w:szCs w:val="28"/>
          <w:highlight w:val="none"/>
          <w:lang w:val="en-US" w:eastAsia="zh-CN"/>
        </w:rPr>
      </w:r>
      <w:r/>
    </w:p>
    <w:p>
      <w:pPr>
        <w:pStyle w:val="910"/>
        <w:ind w:left="0"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四）其他要求</w:t>
      </w:r>
      <w:r>
        <w:rPr>
          <w:rFonts w:hint="eastAsia" w:ascii="仿宋" w:hAnsi="仿宋" w:eastAsia="仿宋" w:cs="仿宋"/>
          <w:color w:val="000000"/>
          <w:sz w:val="28"/>
          <w:szCs w:val="28"/>
          <w:highlight w:val="none"/>
        </w:rPr>
      </w:r>
      <w:r/>
    </w:p>
    <w:p>
      <w:pPr>
        <w:pStyle w:val="910"/>
        <w:numPr>
          <w:ilvl w:val="0"/>
          <w:numId w:val="0"/>
        </w:numPr>
        <w:ind w:firstLine="560"/>
        <w:spacing w:line="52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★1.完成区（县）级及以上农业保险管理部门下达的绩效目标。</w:t>
      </w:r>
      <w:r>
        <w:rPr>
          <w:rFonts w:hint="eastAsia" w:ascii="仿宋" w:hAnsi="仿宋" w:eastAsia="仿宋" w:cs="仿宋"/>
          <w:color w:val="000000"/>
          <w:sz w:val="28"/>
          <w:szCs w:val="28"/>
          <w:highlight w:val="none"/>
          <w:lang w:val="en-US" w:eastAsia="zh-CN" w:bidi="ar-SA"/>
        </w:rPr>
      </w:r>
      <w:r/>
    </w:p>
    <w:p>
      <w:pPr>
        <w:pStyle w:val="910"/>
        <w:numPr>
          <w:ilvl w:val="0"/>
          <w:numId w:val="0"/>
        </w:numPr>
        <w:ind w:firstLine="560"/>
        <w:spacing w:line="52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★2.三大粮食作物种植面积承保率、育肥猪承保率等达到区（县）级及以上高质量发展要求。</w:t>
      </w:r>
      <w:r>
        <w:rPr>
          <w:rFonts w:hint="eastAsia" w:ascii="仿宋" w:hAnsi="仿宋" w:eastAsia="仿宋" w:cs="仿宋"/>
          <w:color w:val="000000"/>
          <w:sz w:val="28"/>
          <w:szCs w:val="28"/>
          <w:highlight w:val="none"/>
          <w:lang w:val="en-US" w:eastAsia="zh-CN" w:bidi="ar-SA"/>
        </w:rPr>
      </w:r>
      <w:r/>
    </w:p>
    <w:p>
      <w:pPr>
        <w:pStyle w:val="910"/>
        <w:numPr>
          <w:ilvl w:val="0"/>
          <w:numId w:val="0"/>
        </w:numPr>
        <w:ind w:firstLine="560"/>
        <w:spacing w:line="52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★3.农业保险保障水平不低于上年。</w:t>
      </w:r>
      <w:r>
        <w:rPr>
          <w:rFonts w:hint="eastAsia" w:ascii="仿宋" w:hAnsi="仿宋" w:eastAsia="仿宋" w:cs="仿宋"/>
          <w:color w:val="000000"/>
          <w:sz w:val="28"/>
          <w:szCs w:val="28"/>
          <w:highlight w:val="none"/>
          <w:lang w:val="en-US" w:eastAsia="zh-CN" w:bidi="ar-SA"/>
        </w:rPr>
      </w:r>
      <w:r/>
    </w:p>
    <w:p>
      <w:pPr>
        <w:pStyle w:val="910"/>
        <w:numPr>
          <w:ilvl w:val="0"/>
          <w:numId w:val="0"/>
        </w:numPr>
        <w:ind w:firstLine="560"/>
        <w:spacing w:line="52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★4.按照要求及时报送承保理赔数据、 总结材料、承保理赔凭证。</w:t>
      </w:r>
      <w:r>
        <w:rPr>
          <w:rFonts w:hint="eastAsia" w:ascii="仿宋" w:hAnsi="仿宋" w:eastAsia="仿宋" w:cs="仿宋"/>
          <w:color w:val="000000"/>
          <w:sz w:val="28"/>
          <w:szCs w:val="28"/>
          <w:highlight w:val="none"/>
          <w:lang w:val="en-US" w:eastAsia="zh-CN" w:bidi="ar-SA"/>
        </w:rPr>
      </w:r>
      <w:r/>
    </w:p>
    <w:p>
      <w:pPr>
        <w:pStyle w:val="745"/>
        <w:ind w:firstLine="560"/>
        <w:rPr>
          <w:rFonts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lang w:val="en-US" w:eastAsia="zh-CN" w:bidi="ar-SA"/>
        </w:rPr>
        <w:t xml:space="preserve">5.其他说明</w:t>
      </w:r>
      <w:r>
        <w:rPr>
          <w:rFonts w:ascii="仿宋" w:hAnsi="仿宋" w:eastAsia="仿宋" w:cs="仿宋"/>
          <w:color w:val="000000"/>
          <w:sz w:val="28"/>
          <w:szCs w:val="28"/>
          <w:highlight w:val="none"/>
          <w:lang w:val="en-US"/>
        </w:rPr>
      </w:r>
      <w:r/>
    </w:p>
    <w:p>
      <w:pPr>
        <w:pStyle w:val="745"/>
        <w:ind w:firstLine="560"/>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如投标人对本项目存在疑问或其他事宜需要咨询，请与下列人员联系</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745"/>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联系部门：</w:t>
      </w:r>
      <w:r>
        <w:rPr>
          <w:rFonts w:hint="eastAsia" w:ascii="仿宋" w:hAnsi="仿宋" w:eastAsia="仿宋" w:cs="仿宋"/>
          <w:color w:val="000000"/>
          <w:sz w:val="28"/>
          <w:szCs w:val="28"/>
          <w:highlight w:val="none"/>
          <w:lang w:eastAsia="zh-CN"/>
        </w:rPr>
        <w:t xml:space="preserve">淮安市淮阴区财政局</w:t>
      </w:r>
      <w:r>
        <w:rPr>
          <w:rFonts w:hint="eastAsia" w:ascii="仿宋" w:hAnsi="仿宋" w:eastAsia="仿宋" w:cs="仿宋"/>
          <w:color w:val="000000"/>
          <w:sz w:val="28"/>
          <w:szCs w:val="28"/>
          <w:highlight w:val="none"/>
        </w:rPr>
        <w:t xml:space="preserve">、</w:t>
      </w:r>
      <w:r>
        <w:rPr>
          <w:rFonts w:hint="eastAsia" w:ascii="仿宋" w:hAnsi="仿宋" w:eastAsia="仿宋" w:cs="Times New Roman"/>
          <w:color w:val="000000"/>
          <w:sz w:val="28"/>
          <w:szCs w:val="28"/>
          <w:highlight w:val="none"/>
          <w:lang w:eastAsia="zh-CN"/>
        </w:rPr>
        <w:t xml:space="preserve">淮安江益工程项目管理咨询有限公司</w:t>
      </w:r>
      <w:r>
        <w:rPr>
          <w:rFonts w:hint="eastAsia" w:ascii="仿宋" w:hAnsi="仿宋" w:eastAsia="仿宋" w:cs="仿宋"/>
          <w:color w:val="000000"/>
          <w:sz w:val="28"/>
          <w:szCs w:val="28"/>
          <w:highlight w:val="none"/>
        </w:rPr>
        <w:t xml:space="preserve"> 联系电话： </w:t>
      </w:r>
      <w:r>
        <w:rPr>
          <w:rFonts w:hint="eastAsia" w:ascii="仿宋" w:hAnsi="仿宋" w:eastAsia="仿宋" w:cs="仿宋"/>
          <w:color w:val="000000"/>
          <w:sz w:val="28"/>
          <w:szCs w:val="28"/>
          <w:highlight w:val="none"/>
          <w:lang w:val="en-US" w:eastAsia="zh-CN"/>
        </w:rPr>
        <w:t xml:space="preserve">0517-84934318</w:t>
      </w:r>
      <w:r>
        <w:rPr>
          <w:rFonts w:hint="eastAsia" w:ascii="仿宋" w:hAnsi="仿宋" w:eastAsia="仿宋" w:cs="仿宋"/>
          <w:color w:val="000000"/>
          <w:sz w:val="28"/>
          <w:szCs w:val="28"/>
          <w:highlight w:val="none"/>
        </w:rPr>
        <w:t xml:space="preserve">（采购人）、</w:t>
      </w:r>
      <w:r>
        <w:rPr>
          <w:rFonts w:hint="eastAsia" w:ascii="仿宋" w:hAnsi="仿宋" w:eastAsia="仿宋" w:cs="仿宋"/>
          <w:color w:val="000000"/>
          <w:sz w:val="28"/>
          <w:szCs w:val="28"/>
          <w:highlight w:val="none"/>
          <w:lang w:val="en-US" w:eastAsia="zh-CN"/>
        </w:rPr>
        <w:t xml:space="preserve">13023541300</w:t>
      </w:r>
      <w:r>
        <w:rPr>
          <w:rFonts w:hint="eastAsia" w:ascii="仿宋" w:hAnsi="仿宋" w:eastAsia="仿宋" w:cs="仿宋"/>
          <w:color w:val="000000"/>
          <w:sz w:val="28"/>
          <w:szCs w:val="28"/>
          <w:highlight w:val="none"/>
        </w:rPr>
        <w:t xml:space="preserve">（代理机构） </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通讯地址： 淮阴区承德北路606号、</w:t>
      </w:r>
      <w:r>
        <w:rPr>
          <w:rFonts w:hint="eastAsia" w:ascii="仿宋" w:hAnsi="仿宋" w:eastAsia="仿宋" w:cs="Times New Roman"/>
          <w:color w:val="000000"/>
          <w:sz w:val="28"/>
          <w:szCs w:val="28"/>
          <w:highlight w:val="none"/>
          <w:lang w:eastAsia="zh-CN"/>
        </w:rPr>
        <w:t xml:space="preserve">淮安市淮阴区中业慧谷B-27幢2室商办楼</w:t>
      </w:r>
      <w:r>
        <w:rPr>
          <w:rFonts w:ascii="仿宋" w:hAnsi="仿宋" w:eastAsia="仿宋" w:cs="仿宋"/>
          <w:color w:val="000000"/>
          <w:sz w:val="28"/>
          <w:szCs w:val="28"/>
          <w:highlight w:val="none"/>
          <w:lang w:val="en-US" w:eastAsia="zh-CN"/>
        </w:rPr>
      </w:r>
      <w:r/>
    </w:p>
    <w:p>
      <w:pPr>
        <w:pStyle w:val="745"/>
        <w:ind w:firstLine="560"/>
        <w:keepLines w:val="0"/>
        <w:keepNext w:val="0"/>
        <w:pageBreakBefore w:val="0"/>
        <w:spacing w:line="480" w:lineRule="exact"/>
        <w:widowControl w:val="off"/>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r>
      <w:r/>
    </w:p>
    <w:p>
      <w:pPr>
        <w:pStyle w:val="745"/>
        <w:jc w:val="center"/>
        <w:spacing w:line="5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745"/>
        <w:jc w:val="center"/>
        <w:spacing w:line="5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745"/>
        <w:jc w:val="center"/>
        <w:spacing w:line="5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745"/>
        <w:jc w:val="center"/>
        <w:spacing w:line="5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745"/>
        <w:jc w:val="center"/>
        <w:spacing w:line="5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745"/>
        <w:jc w:val="center"/>
        <w:spacing w:line="5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745"/>
        <w:jc w:val="both"/>
        <w:spacing w:line="5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745"/>
        <w:jc w:val="center"/>
        <w:spacing w:line="5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745"/>
        <w:jc w:val="center"/>
        <w:spacing w:line="5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745"/>
        <w:jc w:val="center"/>
        <w:spacing w:line="5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第六章投标文件（</w:t>
      </w:r>
      <w:r>
        <w:rPr>
          <w:rFonts w:hint="eastAsia" w:ascii="仿宋" w:hAnsi="仿宋" w:eastAsia="仿宋" w:cs="仿宋"/>
          <w:b/>
          <w:bCs/>
          <w:color w:val="000000"/>
          <w:sz w:val="36"/>
          <w:highlight w:val="none"/>
          <w:lang w:val="en-US" w:eastAsia="zh-CN"/>
        </w:rPr>
        <w:t xml:space="preserve">五</w:t>
      </w:r>
      <w:r>
        <w:rPr>
          <w:rFonts w:hint="eastAsia" w:ascii="仿宋" w:hAnsi="仿宋" w:eastAsia="仿宋" w:cs="仿宋"/>
          <w:b/>
          <w:bCs/>
          <w:color w:val="000000"/>
          <w:sz w:val="36"/>
          <w:highlight w:val="none"/>
        </w:rPr>
        <w:t xml:space="preserve">个采购包通用）</w:t>
      </w:r>
      <w:r>
        <w:rPr>
          <w:rFonts w:hint="eastAsia" w:ascii="仿宋" w:hAnsi="仿宋" w:eastAsia="仿宋" w:cs="仿宋"/>
          <w:b/>
          <w:bCs/>
          <w:color w:val="000000"/>
          <w:sz w:val="36"/>
          <w:highlight w:val="none"/>
        </w:rPr>
      </w:r>
      <w:r/>
    </w:p>
    <w:p>
      <w:pPr>
        <w:pStyle w:val="868"/>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868"/>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68"/>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68"/>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68"/>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45"/>
        <w:ind w:firstLine="1084"/>
        <w:spacing w:line="4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项目名称：</w:t>
      </w:r>
      <w:r>
        <w:rPr>
          <w:rFonts w:hint="eastAsia" w:ascii="仿宋" w:hAnsi="仿宋" w:eastAsia="仿宋" w:cs="仿宋"/>
          <w:b/>
          <w:bCs/>
          <w:color w:val="000000"/>
          <w:sz w:val="36"/>
          <w:highlight w:val="none"/>
        </w:rPr>
      </w:r>
      <w:r/>
    </w:p>
    <w:p>
      <w:pPr>
        <w:pStyle w:val="868"/>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868"/>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868"/>
        <w:ind w:firstLine="1066"/>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t xml:space="preserve">项目编号：</w:t>
      </w:r>
      <w:r>
        <w:rPr>
          <w:rFonts w:hint="eastAsia" w:ascii="仿宋" w:hAnsi="仿宋" w:eastAsia="仿宋" w:cs="仿宋"/>
          <w:b/>
          <w:color w:val="000000"/>
          <w:sz w:val="36"/>
          <w:szCs w:val="24"/>
          <w:highlight w:val="none"/>
        </w:rPr>
      </w:r>
      <w:r/>
    </w:p>
    <w:p>
      <w:pPr>
        <w:pStyle w:val="745"/>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745"/>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745"/>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745"/>
        <w:ind w:firstLine="1066"/>
        <w:spacing w:line="40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6"/>
          <w:highlight w:val="none"/>
        </w:rPr>
        <w:t xml:space="preserve">投标人：</w:t>
      </w:r>
      <w:r>
        <w:rPr>
          <w:rFonts w:hint="eastAsia" w:ascii="仿宋" w:hAnsi="仿宋" w:eastAsia="仿宋" w:cs="仿宋"/>
          <w:b/>
          <w:bCs/>
          <w:color w:val="000000"/>
          <w:sz w:val="32"/>
          <w:highlight w:val="none"/>
        </w:rPr>
      </w:r>
      <w:r/>
    </w:p>
    <w:p>
      <w:pPr>
        <w:pStyle w:val="868"/>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68"/>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68"/>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68"/>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68"/>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68"/>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68"/>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68"/>
        <w:ind w:firstLine="2103"/>
        <w:rPr>
          <w:rFonts w:hint="eastAsia" w:ascii="仿宋" w:hAnsi="仿宋" w:eastAsia="仿宋" w:cs="仿宋"/>
          <w:b/>
          <w:color w:val="000000"/>
          <w:sz w:val="32"/>
          <w:highlight w:val="none"/>
        </w:rPr>
      </w:pPr>
      <w:r>
        <w:rPr>
          <w:rFonts w:hint="eastAsia" w:ascii="仿宋" w:hAnsi="仿宋" w:eastAsia="仿宋" w:cs="仿宋"/>
          <w:b/>
          <w:color w:val="000000"/>
          <w:sz w:val="36"/>
          <w:szCs w:val="24"/>
          <w:highlight w:val="none"/>
        </w:rPr>
        <w:t xml:space="preserve">二〇二</w:t>
      </w:r>
      <w:r>
        <w:rPr>
          <w:rFonts w:hint="eastAsia" w:ascii="仿宋" w:hAnsi="仿宋" w:eastAsia="仿宋" w:cs="仿宋"/>
          <w:b/>
          <w:color w:val="000000"/>
          <w:sz w:val="36"/>
          <w:szCs w:val="24"/>
          <w:highlight w:val="none"/>
          <w:lang w:val="en-US" w:eastAsia="zh-CN"/>
        </w:rPr>
        <w:t xml:space="preserve">六</w:t>
      </w:r>
      <w:r>
        <w:rPr>
          <w:rFonts w:hint="eastAsia" w:ascii="仿宋" w:hAnsi="仿宋" w:eastAsia="仿宋" w:cs="仿宋"/>
          <w:b/>
          <w:color w:val="000000"/>
          <w:sz w:val="36"/>
          <w:szCs w:val="24"/>
          <w:highlight w:val="none"/>
        </w:rPr>
        <w:t xml:space="preserve">年月日</w:t>
      </w:r>
      <w:r>
        <w:rPr>
          <w:rFonts w:hint="eastAsia" w:ascii="仿宋" w:hAnsi="仿宋" w:eastAsia="仿宋" w:cs="仿宋"/>
          <w:b/>
          <w:color w:val="000000"/>
          <w:sz w:val="32"/>
          <w:highlight w:val="none"/>
        </w:rPr>
      </w:r>
      <w:r/>
    </w:p>
    <w:p>
      <w:pPr>
        <w:pStyle w:val="745"/>
        <w:spacing w:line="600" w:lineRule="exact"/>
        <w:rPr>
          <w:rFonts w:hint="eastAsia" w:ascii="仿宋" w:hAnsi="仿宋" w:eastAsia="仿宋" w:cs="仿宋"/>
          <w:b/>
          <w:bCs/>
          <w:color w:val="000000"/>
          <w:sz w:val="28"/>
          <w:szCs w:val="28"/>
          <w:highlight w:val="none"/>
          <w:lang w:val="zh-CN"/>
        </w:rPr>
      </w:pPr>
      <w:r>
        <w:rPr>
          <w:rFonts w:hint="eastAsia" w:ascii="仿宋" w:hAnsi="仿宋" w:eastAsia="仿宋" w:cs="仿宋"/>
          <w:b/>
          <w:bCs/>
          <w:color w:val="000000"/>
          <w:sz w:val="28"/>
          <w:szCs w:val="28"/>
          <w:highlight w:val="none"/>
          <w:lang w:val="zh-CN"/>
        </w:rPr>
      </w:r>
      <w:r/>
    </w:p>
    <w:p>
      <w:pPr>
        <w:pStyle w:val="868"/>
        <w:jc w:val="center"/>
        <w:spacing w:line="6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一、投标函</w:t>
      </w:r>
      <w:r>
        <w:rPr>
          <w:rFonts w:hint="eastAsia" w:ascii="仿宋" w:hAnsi="仿宋" w:eastAsia="仿宋" w:cs="仿宋"/>
          <w:b/>
          <w:color w:val="000000"/>
          <w:sz w:val="32"/>
          <w:szCs w:val="32"/>
          <w:highlight w:val="none"/>
        </w:rPr>
      </w:r>
      <w:r/>
    </w:p>
    <w:p>
      <w:pPr>
        <w:pStyle w:val="868"/>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招标人：</w:t>
      </w:r>
      <w:r>
        <w:rPr>
          <w:rFonts w:hint="eastAsia" w:ascii="仿宋" w:hAnsi="仿宋" w:eastAsia="仿宋" w:cs="仿宋"/>
          <w:color w:val="000000"/>
          <w:sz w:val="28"/>
          <w:szCs w:val="24"/>
          <w:highlight w:val="none"/>
        </w:rPr>
      </w:r>
      <w:r/>
    </w:p>
    <w:p>
      <w:pPr>
        <w:pStyle w:val="948"/>
        <w:ind w:firstLine="70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关于采购项目（项目编号：）招标文件（包括更正公告、如果有的话）收悉，我们经详细审阅和研究，现决定参加投标。同时，正式授权下述签字人（姓名和职务）代表（投标人单位名称），全权处理本次项目投标的有关事宜。</w:t>
      </w:r>
      <w:r>
        <w:rPr>
          <w:rFonts w:hint="eastAsia" w:ascii="仿宋" w:hAnsi="仿宋" w:eastAsia="仿宋" w:cs="仿宋"/>
          <w:color w:val="000000"/>
          <w:sz w:val="28"/>
          <w:szCs w:val="28"/>
          <w:highlight w:val="none"/>
        </w:rPr>
      </w:r>
      <w:r/>
    </w:p>
    <w:p>
      <w:pPr>
        <w:pStyle w:val="745"/>
        <w:ind w:firstLine="560"/>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1、</w:t>
      </w:r>
      <w:r>
        <w:rPr>
          <w:rFonts w:hint="eastAsia" w:ascii="仿宋" w:hAnsi="仿宋" w:eastAsia="仿宋" w:cs="仿宋"/>
          <w:color w:val="000000"/>
          <w:sz w:val="28"/>
          <w:szCs w:val="28"/>
          <w:highlight w:val="none"/>
        </w:rPr>
        <w:t xml:space="preserve">我公司没有为本项目提供整体设计、规范编制或者项目管理、监理、检测等服务。</w:t>
      </w:r>
      <w:r>
        <w:rPr>
          <w:rFonts w:hint="eastAsia" w:ascii="仿宋" w:hAnsi="仿宋" w:eastAsia="仿宋" w:cs="仿宋"/>
          <w:color w:val="000000"/>
          <w:sz w:val="28"/>
          <w:szCs w:val="28"/>
          <w:highlight w:val="none"/>
        </w:rPr>
      </w:r>
      <w:r/>
    </w:p>
    <w:p>
      <w:pPr>
        <w:pStyle w:val="745"/>
        <w:ind w:firstLine="560"/>
        <w:spacing w:line="6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cs="仿宋"/>
          <w:color w:val="000000"/>
          <w:sz w:val="28"/>
          <w:highlight w:val="none"/>
        </w:rPr>
      </w:r>
      <w:r/>
    </w:p>
    <w:p>
      <w:pPr>
        <w:pStyle w:val="948"/>
        <w:ind w:firstLine="56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3、我们接受招标文件的所有的条款和规定。</w:t>
      </w:r>
      <w:r>
        <w:rPr>
          <w:rFonts w:hint="eastAsia" w:ascii="仿宋" w:hAnsi="仿宋" w:eastAsia="仿宋" w:cs="仿宋"/>
          <w:color w:val="000000"/>
          <w:sz w:val="28"/>
          <w:szCs w:val="28"/>
          <w:highlight w:val="none"/>
        </w:rPr>
      </w:r>
      <w:r/>
    </w:p>
    <w:p>
      <w:pPr>
        <w:pStyle w:val="948"/>
        <w:ind w:firstLine="56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我们同意按照招标文件第二章第15条的规定，本投标文件的有效期为从开标之日起计算的九十天，在此期间，本投标文件将始终对我们具有约束力，并可随时被接受。如果我们中标，本投标文件在此期间之后将继续保持有效。</w:t>
      </w:r>
      <w:r>
        <w:rPr>
          <w:rFonts w:hint="eastAsia" w:ascii="仿宋" w:hAnsi="仿宋" w:eastAsia="仿宋" w:cs="仿宋"/>
          <w:color w:val="000000"/>
          <w:sz w:val="28"/>
          <w:szCs w:val="28"/>
          <w:highlight w:val="none"/>
        </w:rPr>
      </w:r>
      <w:r/>
    </w:p>
    <w:p>
      <w:pPr>
        <w:pStyle w:val="948"/>
        <w:ind w:firstLine="56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5、我们理解，你们无义务必须接受投标价最低的投标。同时也理解你们不承担我们本次投标的费用。</w:t>
      </w:r>
      <w:r>
        <w:rPr>
          <w:rFonts w:hint="eastAsia" w:ascii="仿宋" w:hAnsi="仿宋" w:eastAsia="仿宋" w:cs="仿宋"/>
          <w:color w:val="000000"/>
          <w:sz w:val="28"/>
          <w:szCs w:val="28"/>
          <w:highlight w:val="none"/>
        </w:rPr>
      </w:r>
      <w:r/>
    </w:p>
    <w:p>
      <w:pPr>
        <w:pStyle w:val="948"/>
        <w:ind w:firstLine="56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6、我们同意向贵方提供贵方可能要求的与投标有关的任何证据或资料，并保证所提供的都是真实的、准确的。</w:t>
      </w:r>
      <w:r>
        <w:rPr>
          <w:rFonts w:hint="eastAsia" w:ascii="仿宋" w:hAnsi="仿宋" w:eastAsia="仿宋" w:cs="仿宋"/>
          <w:color w:val="000000"/>
          <w:sz w:val="28"/>
          <w:szCs w:val="28"/>
          <w:highlight w:val="none"/>
        </w:rPr>
      </w:r>
      <w:r/>
    </w:p>
    <w:p>
      <w:pPr>
        <w:pStyle w:val="948"/>
        <w:ind w:firstLine="56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cs="仿宋"/>
          <w:color w:val="000000"/>
          <w:sz w:val="28"/>
          <w:szCs w:val="28"/>
          <w:highlight w:val="none"/>
        </w:rPr>
      </w:r>
      <w:r/>
    </w:p>
    <w:p>
      <w:pPr>
        <w:pStyle w:val="948"/>
        <w:ind w:right="560" w:firstLine="2940"/>
        <w:spacing w:before="0" w:after="0" w:line="64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948"/>
        <w:ind w:right="560" w:firstLine="2940"/>
        <w:spacing w:before="0" w:after="0" w:line="640" w:lineRule="exact"/>
        <w:rPr>
          <w:rFonts w:hint="eastAsia" w:ascii="仿宋" w:hAnsi="仿宋" w:eastAsia="仿宋" w:cs="仿宋"/>
          <w:color w:val="000000"/>
          <w:sz w:val="28"/>
          <w:highlight w:val="none"/>
          <w:u w:val="single"/>
        </w:rPr>
      </w:pPr>
      <w:r>
        <w:rPr>
          <w:rFonts w:hint="eastAsia" w:ascii="仿宋" w:hAnsi="仿宋" w:eastAsia="仿宋" w:cs="仿宋"/>
          <w:color w:val="000000"/>
          <w:sz w:val="28"/>
          <w:highlight w:val="none"/>
        </w:rPr>
        <w:t xml:space="preserve">投标人名称（电子签章）：</w:t>
      </w:r>
      <w:r>
        <w:rPr>
          <w:rFonts w:hint="eastAsia" w:ascii="仿宋" w:hAnsi="仿宋" w:eastAsia="仿宋" w:cs="仿宋"/>
          <w:color w:val="000000"/>
          <w:sz w:val="28"/>
          <w:highlight w:val="none"/>
          <w:u w:val="single"/>
        </w:rPr>
      </w:r>
      <w:r/>
    </w:p>
    <w:p>
      <w:pPr>
        <w:pStyle w:val="948"/>
        <w:ind w:right="560" w:firstLine="2940"/>
        <w:spacing w:before="0" w:after="0"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地址：邮编：</w:t>
      </w:r>
      <w:r>
        <w:rPr>
          <w:rFonts w:hint="eastAsia" w:ascii="仿宋" w:hAnsi="仿宋" w:eastAsia="仿宋" w:cs="仿宋"/>
          <w:color w:val="000000"/>
          <w:sz w:val="28"/>
          <w:szCs w:val="28"/>
          <w:highlight w:val="none"/>
        </w:rPr>
      </w:r>
      <w:r/>
    </w:p>
    <w:p>
      <w:pPr>
        <w:pStyle w:val="745"/>
        <w:ind w:right="560" w:firstLine="3080"/>
        <w:spacing w:line="64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电话：传真：</w:t>
      </w:r>
      <w:r>
        <w:rPr>
          <w:rFonts w:hint="eastAsia" w:ascii="仿宋" w:hAnsi="仿宋" w:eastAsia="仿宋" w:cs="仿宋"/>
          <w:color w:val="000000"/>
          <w:sz w:val="28"/>
          <w:szCs w:val="28"/>
          <w:highlight w:val="none"/>
          <w:u w:val="single"/>
        </w:rPr>
      </w:r>
      <w:r/>
    </w:p>
    <w:p>
      <w:pPr>
        <w:pStyle w:val="868"/>
        <w:ind w:right="560" w:firstLine="420"/>
        <w:jc w:val="center"/>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 xml:space="preserve">日期：年月日</w:t>
      </w:r>
      <w:r>
        <w:rPr>
          <w:rFonts w:hint="eastAsia" w:ascii="仿宋" w:hAnsi="仿宋" w:eastAsia="仿宋" w:cs="仿宋"/>
          <w:color w:val="000000"/>
          <w:sz w:val="28"/>
          <w:szCs w:val="24"/>
          <w:highlight w:val="none"/>
        </w:rPr>
      </w:r>
      <w:r/>
    </w:p>
    <w:p>
      <w:pPr>
        <w:pStyle w:val="745"/>
        <w:ind w:firstLine="3036"/>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45"/>
        <w:ind w:firstLine="3036"/>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45"/>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68"/>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868"/>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868"/>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868"/>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868"/>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868"/>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868"/>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868"/>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868"/>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868"/>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r>
      <w:r/>
    </w:p>
    <w:p>
      <w:pPr>
        <w:pStyle w:val="745"/>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5"/>
        <w:spacing w:before="19" w:line="440" w:lineRule="exact"/>
        <w:widowControl/>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pStyle w:val="745"/>
        <w:ind w:firstLine="3036"/>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二、开标一览表</w:t>
      </w:r>
      <w:r>
        <w:rPr>
          <w:rFonts w:hint="eastAsia" w:ascii="仿宋" w:hAnsi="仿宋" w:eastAsia="仿宋" w:cs="仿宋"/>
          <w:b/>
          <w:color w:val="000000"/>
          <w:sz w:val="32"/>
          <w:szCs w:val="32"/>
          <w:highlight w:val="none"/>
        </w:rPr>
      </w:r>
      <w:r/>
    </w:p>
    <w:p>
      <w:pPr>
        <w:pStyle w:val="745"/>
        <w:ind w:firstLine="3036"/>
        <w:spacing w:before="19" w:line="4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tbl>
      <w:tblPr>
        <w:tblW w:w="90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441"/>
        <w:gridCol w:w="4600"/>
      </w:tblGrid>
      <w:tr>
        <w:trPr>
          <w:trHeight w:val="694"/>
        </w:trPr>
        <w:tc>
          <w:tcPr>
            <w:tcW w:w="4441" w:type="dxa"/>
            <w:vAlign w:val="top"/>
            <w:textDirection w:val="lrTb"/>
            <w:noWrap w:val="false"/>
          </w:tcPr>
          <w:p>
            <w:pPr>
              <w:pStyle w:val="745"/>
              <w:spacing w:line="440" w:lineRule="exact"/>
              <w:rPr>
                <w:rFonts w:hint="eastAsia" w:ascii="仿宋" w:hAnsi="仿宋" w:eastAsia="仿宋" w:cs="仿宋"/>
                <w:color w:val="000000"/>
                <w:sz w:val="28"/>
                <w:szCs w:val="28"/>
                <w:highlight w:val="none"/>
              </w:rPr>
            </w:pPr>
            <w:r/>
            <w:bookmarkStart w:id="36" w:name="_Toc136924766"/>
            <w:r/>
            <w:bookmarkStart w:id="37" w:name="_Toc157775459"/>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rPr>
            </w:r>
            <w:r/>
          </w:p>
        </w:tc>
        <w:tc>
          <w:tcPr>
            <w:tcW w:w="4600" w:type="dxa"/>
            <w:vAlign w:val="top"/>
            <w:textDirection w:val="lrTb"/>
            <w:noWrap w:val="false"/>
          </w:tcPr>
          <w:p>
            <w:pPr>
              <w:pStyle w:val="745"/>
              <w:ind w:firstLine="28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90"/>
        </w:trPr>
        <w:tc>
          <w:tcPr>
            <w:tcW w:w="4441" w:type="dxa"/>
            <w:vAlign w:val="top"/>
            <w:textDirection w:val="lrTb"/>
            <w:noWrap w:val="false"/>
          </w:tcPr>
          <w:p>
            <w:pPr>
              <w:pStyle w:val="745"/>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rPr>
            </w:r>
            <w:r/>
          </w:p>
        </w:tc>
        <w:tc>
          <w:tcPr>
            <w:tcW w:w="4600" w:type="dxa"/>
            <w:vAlign w:val="top"/>
            <w:textDirection w:val="lrTb"/>
            <w:noWrap w:val="false"/>
          </w:tcPr>
          <w:p>
            <w:pPr>
              <w:pStyle w:val="745"/>
              <w:ind w:firstLine="28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90"/>
        </w:trPr>
        <w:tc>
          <w:tcPr>
            <w:tcW w:w="4441" w:type="dxa"/>
            <w:vAlign w:val="top"/>
            <w:textDirection w:val="lrTb"/>
            <w:noWrap w:val="false"/>
          </w:tcPr>
          <w:p>
            <w:pPr>
              <w:pStyle w:val="745"/>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投标报价</w:t>
            </w:r>
            <w:r>
              <w:rPr>
                <w:rFonts w:hint="eastAsia" w:ascii="仿宋" w:hAnsi="仿宋" w:eastAsia="仿宋" w:cs="仿宋"/>
                <w:color w:val="000000"/>
                <w:sz w:val="28"/>
                <w:szCs w:val="28"/>
                <w:highlight w:val="none"/>
              </w:rPr>
            </w:r>
            <w:r/>
          </w:p>
        </w:tc>
        <w:tc>
          <w:tcPr>
            <w:tcW w:w="4600" w:type="dxa"/>
            <w:vAlign w:val="top"/>
            <w:textDirection w:val="lrTb"/>
            <w:noWrap w:val="false"/>
          </w:tcPr>
          <w:p>
            <w:pPr>
              <w:pStyle w:val="745"/>
              <w:spacing w:line="44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执行国家统一定价标准(投标时按所投采购包预算金额报价）</w:t>
            </w:r>
            <w:r>
              <w:rPr>
                <w:rFonts w:ascii="仿宋" w:hAnsi="仿宋" w:eastAsia="仿宋" w:cs="仿宋"/>
                <w:color w:val="000000"/>
                <w:sz w:val="28"/>
                <w:szCs w:val="28"/>
                <w:highlight w:val="none"/>
                <w:lang w:val="en-US" w:eastAsia="zh-CN"/>
              </w:rPr>
            </w:r>
            <w:r/>
          </w:p>
        </w:tc>
      </w:tr>
      <w:tr>
        <w:trPr>
          <w:trHeight w:val="806"/>
        </w:trPr>
        <w:tc>
          <w:tcPr>
            <w:tcW w:w="4441" w:type="dxa"/>
            <w:vAlign w:val="top"/>
            <w:textDirection w:val="lrTb"/>
            <w:noWrap w:val="false"/>
          </w:tcPr>
          <w:p>
            <w:pPr>
              <w:pStyle w:val="745"/>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是否响应招标文件的保险服务要求</w:t>
            </w:r>
            <w:r>
              <w:rPr>
                <w:rFonts w:hint="eastAsia" w:ascii="仿宋" w:hAnsi="仿宋" w:eastAsia="仿宋" w:cs="仿宋"/>
                <w:color w:val="000000"/>
                <w:sz w:val="28"/>
                <w:szCs w:val="28"/>
                <w:highlight w:val="none"/>
              </w:rPr>
            </w:r>
            <w:r/>
          </w:p>
        </w:tc>
        <w:tc>
          <w:tcPr>
            <w:tcW w:w="4600" w:type="dxa"/>
            <w:vAlign w:val="top"/>
            <w:textDirection w:val="lrTb"/>
            <w:noWrap w:val="false"/>
          </w:tcPr>
          <w:p>
            <w:pPr>
              <w:pStyle w:val="745"/>
              <w:ind w:firstLine="28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745"/>
        <w:ind w:firstLine="411"/>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5"/>
        <w:ind w:firstLine="280"/>
        <w:spacing w:line="44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u w:val="single"/>
        </w:rPr>
        <w:t xml:space="preserve">（电子签章）</w:t>
      </w:r>
      <w:r>
        <w:rPr>
          <w:rFonts w:hint="eastAsia" w:ascii="仿宋" w:hAnsi="仿宋" w:eastAsia="仿宋" w:cs="仿宋"/>
          <w:color w:val="000000"/>
          <w:sz w:val="28"/>
          <w:szCs w:val="28"/>
          <w:highlight w:val="none"/>
          <w:u w:val="single"/>
        </w:rPr>
      </w:r>
      <w:r/>
    </w:p>
    <w:p>
      <w:pPr>
        <w:pStyle w:val="745"/>
        <w:ind w:firstLine="28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lang w:val="en-US" w:eastAsia="zh-CN"/>
        </w:rPr>
        <w:t xml:space="preserve">或负责人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highlight w:val="none"/>
          <w:u w:val="single"/>
        </w:rPr>
        <w:t xml:space="preserve">（电子签章或电子签字）</w:t>
      </w:r>
      <w:r>
        <w:rPr>
          <w:rFonts w:hint="eastAsia" w:ascii="仿宋" w:hAnsi="仿宋" w:eastAsia="仿宋" w:cs="仿宋"/>
          <w:color w:val="000000"/>
          <w:sz w:val="28"/>
          <w:szCs w:val="28"/>
          <w:highlight w:val="none"/>
        </w:rPr>
      </w:r>
      <w:r/>
    </w:p>
    <w:p>
      <w:pPr>
        <w:pStyle w:val="745"/>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注:1.由于财政补贴险种严格执行省市县有关规定，由招标人按实际承保业务量和补贴政策结算保费补贴资金。</w:t>
      </w:r>
      <w:r>
        <w:rPr>
          <w:rFonts w:hint="eastAsia" w:ascii="仿宋" w:hAnsi="仿宋" w:eastAsia="仿宋" w:cs="仿宋"/>
          <w:color w:val="000000"/>
          <w:sz w:val="28"/>
          <w:szCs w:val="28"/>
          <w:highlight w:val="none"/>
        </w:rPr>
      </w:r>
      <w:r/>
    </w:p>
    <w:p>
      <w:pPr>
        <w:pStyle w:val="91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45"/>
        <w:ind w:firstLine="411"/>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68"/>
        <w:ind w:firstLine="2875"/>
        <w:rPr>
          <w:rFonts w:hint="eastAsia" w:ascii="仿宋" w:hAnsi="仿宋" w:eastAsia="仿宋" w:cs="仿宋"/>
          <w:b/>
          <w:color w:val="000000"/>
          <w:sz w:val="32"/>
          <w:szCs w:val="32"/>
          <w:highlight w:val="none"/>
        </w:rPr>
      </w:pPr>
      <w:r/>
      <w:bookmarkEnd w:id="36"/>
      <w:r/>
      <w:bookmarkEnd w:id="37"/>
      <w:r/>
      <w:bookmarkStart w:id="38" w:name="_Toc157775468"/>
      <w:r>
        <w:rPr>
          <w:rFonts w:hint="eastAsia" w:ascii="仿宋" w:hAnsi="仿宋" w:eastAsia="仿宋" w:cs="仿宋"/>
          <w:b/>
          <w:color w:val="000000"/>
          <w:sz w:val="32"/>
          <w:szCs w:val="32"/>
          <w:highlight w:val="none"/>
        </w:rPr>
      </w:r>
      <w:r/>
    </w:p>
    <w:p>
      <w:pPr>
        <w:pStyle w:val="868"/>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68"/>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68"/>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68"/>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68"/>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68"/>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68"/>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68"/>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68"/>
        <w:ind w:firstLine="287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68"/>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68"/>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68"/>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68"/>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68"/>
        <w:jc w:val="center"/>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highlight w:val="none"/>
        </w:rPr>
        <w:t xml:space="preserve">三、</w:t>
      </w:r>
      <w:r>
        <w:rPr>
          <w:rFonts w:hint="eastAsia" w:ascii="仿宋" w:hAnsi="仿宋" w:eastAsia="仿宋" w:cs="仿宋"/>
          <w:b/>
          <w:color w:val="000000"/>
          <w:sz w:val="32"/>
          <w:szCs w:val="32"/>
          <w:highlight w:val="none"/>
        </w:rPr>
        <w:t xml:space="preserve">人员配备表</w:t>
      </w:r>
      <w:r>
        <w:rPr>
          <w:rFonts w:hint="eastAsia" w:ascii="仿宋" w:hAnsi="仿宋" w:eastAsia="仿宋" w:cs="仿宋"/>
          <w:b/>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76"/>
        <w:gridCol w:w="1076"/>
        <w:gridCol w:w="1076"/>
        <w:gridCol w:w="1215"/>
        <w:gridCol w:w="1121"/>
        <w:gridCol w:w="1490"/>
        <w:gridCol w:w="1624"/>
      </w:tblGrid>
      <w:tr>
        <w:trPr>
          <w:trHeight w:val="480"/>
        </w:trPr>
        <w:tc>
          <w:tcPr>
            <w:tcW w:w="1072" w:type="dxa"/>
            <w:vAlign w:val="center"/>
            <w:textDirection w:val="lrTb"/>
            <w:noWrap w:val="false"/>
          </w:tcPr>
          <w:p>
            <w:pPr>
              <w:pStyle w:val="74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姓名</w:t>
            </w: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性别</w:t>
            </w:r>
            <w:r>
              <w:rPr>
                <w:rFonts w:hint="eastAsia" w:ascii="仿宋" w:hAnsi="仿宋" w:eastAsia="仿宋" w:cs="仿宋"/>
                <w:color w:val="000000"/>
                <w:sz w:val="28"/>
                <w:szCs w:val="28"/>
                <w:highlight w:val="none"/>
              </w:rPr>
            </w:r>
            <w:r/>
          </w:p>
        </w:tc>
        <w:tc>
          <w:tcPr>
            <w:tcW w:w="1076" w:type="dxa"/>
            <w:vAlign w:val="center"/>
            <w:textDirection w:val="lrTb"/>
            <w:noWrap w:val="false"/>
          </w:tcPr>
          <w:p>
            <w:pPr>
              <w:pStyle w:val="74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年龄</w:t>
            </w:r>
            <w:r>
              <w:rPr>
                <w:rFonts w:hint="eastAsia" w:ascii="仿宋" w:hAnsi="仿宋" w:eastAsia="仿宋" w:cs="仿宋"/>
                <w:color w:val="000000"/>
                <w:sz w:val="28"/>
                <w:szCs w:val="28"/>
                <w:highlight w:val="none"/>
              </w:rPr>
            </w:r>
            <w:r/>
          </w:p>
        </w:tc>
        <w:tc>
          <w:tcPr>
            <w:tcW w:w="1215" w:type="dxa"/>
            <w:vAlign w:val="center"/>
            <w:textDirection w:val="lrTb"/>
            <w:noWrap w:val="false"/>
          </w:tcPr>
          <w:p>
            <w:pPr>
              <w:pStyle w:val="745"/>
              <w:ind w:firstLine="1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学历</w:t>
            </w:r>
            <w:r>
              <w:rPr>
                <w:rFonts w:hint="eastAsia" w:ascii="仿宋" w:hAnsi="仿宋" w:eastAsia="仿宋" w:cs="仿宋"/>
                <w:color w:val="000000"/>
                <w:sz w:val="28"/>
                <w:szCs w:val="28"/>
                <w:highlight w:val="none"/>
              </w:rPr>
            </w:r>
            <w:r/>
          </w:p>
        </w:tc>
        <w:tc>
          <w:tcPr>
            <w:tcW w:w="1121" w:type="dxa"/>
            <w:vAlign w:val="center"/>
            <w:textDirection w:val="lrTb"/>
            <w:noWrap w:val="false"/>
          </w:tcPr>
          <w:p>
            <w:pPr>
              <w:pStyle w:val="74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职称</w:t>
            </w:r>
            <w:r>
              <w:rPr>
                <w:rFonts w:hint="eastAsia" w:ascii="仿宋" w:hAnsi="仿宋" w:eastAsia="仿宋" w:cs="仿宋"/>
                <w:color w:val="000000"/>
                <w:sz w:val="28"/>
                <w:szCs w:val="28"/>
                <w:highlight w:val="none"/>
              </w:rPr>
            </w:r>
            <w:r/>
          </w:p>
        </w:tc>
        <w:tc>
          <w:tcPr>
            <w:tcW w:w="1490" w:type="dxa"/>
            <w:vAlign w:val="center"/>
            <w:textDirection w:val="lrTb"/>
            <w:noWrap w:val="false"/>
          </w:tcPr>
          <w:p>
            <w:pPr>
              <w:pStyle w:val="74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相关证书</w:t>
            </w:r>
            <w:r>
              <w:rPr>
                <w:rFonts w:hint="eastAsia" w:ascii="仿宋" w:hAnsi="仿宋" w:eastAsia="仿宋" w:cs="仿宋"/>
                <w:color w:val="000000"/>
                <w:sz w:val="28"/>
                <w:szCs w:val="28"/>
                <w:highlight w:val="none"/>
              </w:rPr>
            </w:r>
            <w:r/>
          </w:p>
        </w:tc>
        <w:tc>
          <w:tcPr>
            <w:tcW w:w="1624" w:type="dxa"/>
            <w:vAlign w:val="center"/>
            <w:textDirection w:val="lrTb"/>
            <w:noWrap w:val="false"/>
          </w:tcPr>
          <w:p>
            <w:pPr>
              <w:pStyle w:val="745"/>
              <w:jc w:val="cente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拟任岗位</w:t>
            </w: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76"/>
        </w:trPr>
        <w:tc>
          <w:tcPr>
            <w:tcW w:w="1072"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76"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15"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21"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90"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624" w:type="dxa"/>
            <w:vAlign w:val="top"/>
            <w:textDirection w:val="lrTb"/>
            <w:noWrap w:val="false"/>
          </w:tcPr>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745"/>
        <w:ind w:firstLine="3357"/>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45"/>
        <w:spacing w:line="44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u w:val="single"/>
        </w:rPr>
        <w:t xml:space="preserve">（电子签章）</w:t>
      </w:r>
      <w:r>
        <w:rPr>
          <w:rFonts w:hint="eastAsia" w:ascii="仿宋" w:hAnsi="仿宋" w:eastAsia="仿宋" w:cs="仿宋"/>
          <w:color w:val="000000"/>
          <w:sz w:val="28"/>
          <w:szCs w:val="28"/>
          <w:highlight w:val="none"/>
          <w:u w:val="single"/>
        </w:rPr>
      </w:r>
      <w:r/>
    </w:p>
    <w:p>
      <w:pPr>
        <w:pStyle w:val="745"/>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lang w:val="en-US" w:eastAsia="zh-CN"/>
        </w:rPr>
        <w:t xml:space="preserve">或负责人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highlight w:val="none"/>
          <w:u w:val="single"/>
        </w:rPr>
        <w:t xml:space="preserve">（电子签章或电子签字）</w:t>
      </w:r>
      <w:r>
        <w:rPr>
          <w:rFonts w:hint="eastAsia" w:ascii="仿宋" w:hAnsi="仿宋" w:eastAsia="仿宋" w:cs="仿宋"/>
          <w:color w:val="000000"/>
          <w:sz w:val="28"/>
          <w:szCs w:val="28"/>
          <w:highlight w:val="none"/>
        </w:rPr>
      </w:r>
      <w:r/>
    </w:p>
    <w:p>
      <w:pPr>
        <w:pStyle w:val="924"/>
        <w:ind w:left="0" w:right="34" w:firstLine="2715"/>
        <w:spacing w:before="120"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24"/>
        <w:ind w:left="0" w:right="34" w:firstLine="2715"/>
        <w:spacing w:before="120"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24"/>
        <w:ind w:left="0" w:right="34" w:firstLine="2715"/>
        <w:spacing w:before="120"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45"/>
        <w:ind w:firstLine="2875"/>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45"/>
        <w:ind w:firstLine="2875"/>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45"/>
        <w:ind w:firstLine="2875"/>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45"/>
        <w:ind w:firstLine="2875"/>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lang w:val="en-US" w:eastAsia="zh-CN"/>
        </w:rPr>
        <w:t xml:space="preserve">四</w:t>
      </w:r>
      <w:r>
        <w:rPr>
          <w:rFonts w:hint="eastAsia" w:ascii="仿宋" w:hAnsi="仿宋" w:eastAsia="仿宋" w:cs="仿宋"/>
          <w:b/>
          <w:color w:val="000000"/>
          <w:sz w:val="32"/>
          <w:szCs w:val="32"/>
          <w:highlight w:val="none"/>
        </w:rPr>
        <w:t xml:space="preserve">、服务要求响应偏离表</w:t>
      </w:r>
      <w:r>
        <w:rPr>
          <w:rFonts w:hint="eastAsia" w:ascii="仿宋" w:hAnsi="仿宋" w:eastAsia="仿宋" w:cs="仿宋"/>
          <w:b/>
          <w:color w:val="000000"/>
          <w:sz w:val="32"/>
          <w:szCs w:val="32"/>
          <w:highlight w:val="none"/>
        </w:rPr>
      </w:r>
      <w:r/>
    </w:p>
    <w:tbl>
      <w:tblPr>
        <w:tblW w:w="0" w:type="auto"/>
        <w:jc w:val="center"/>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3420" w:type="dxa"/>
            <w:vAlign w:val="center"/>
            <w:textDirection w:val="lrTb"/>
            <w:noWrap w:val="false"/>
          </w:tcPr>
          <w:p>
            <w:pPr>
              <w:pStyle w:val="74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项目采购需求中主要服务</w:t>
            </w:r>
            <w:r>
              <w:rPr>
                <w:rFonts w:hint="eastAsia" w:ascii="仿宋" w:hAnsi="仿宋" w:eastAsia="仿宋" w:cs="仿宋"/>
                <w:color w:val="000000"/>
                <w:sz w:val="24"/>
                <w:highlight w:val="none"/>
              </w:rPr>
            </w:r>
            <w:r/>
          </w:p>
          <w:p>
            <w:pPr>
              <w:pStyle w:val="74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条款描述</w:t>
            </w:r>
            <w:r>
              <w:rPr>
                <w:rFonts w:hint="eastAsia" w:ascii="仿宋" w:hAnsi="仿宋" w:eastAsia="仿宋" w:cs="仿宋"/>
                <w:color w:val="000000"/>
                <w:sz w:val="24"/>
                <w:highlight w:val="none"/>
              </w:rPr>
            </w:r>
            <w:r/>
          </w:p>
        </w:tc>
        <w:tc>
          <w:tcPr>
            <w:tcW w:w="2880" w:type="dxa"/>
            <w:vAlign w:val="center"/>
            <w:textDirection w:val="lrTb"/>
            <w:noWrap w:val="false"/>
          </w:tcPr>
          <w:p>
            <w:pPr>
              <w:pStyle w:val="74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所报服务及相关描述</w:t>
            </w:r>
            <w:r>
              <w:rPr>
                <w:rFonts w:hint="eastAsia" w:ascii="仿宋" w:hAnsi="仿宋" w:eastAsia="仿宋" w:cs="仿宋"/>
                <w:color w:val="000000"/>
                <w:sz w:val="24"/>
                <w:highlight w:val="none"/>
              </w:rPr>
            </w:r>
            <w:r/>
          </w:p>
        </w:tc>
        <w:tc>
          <w:tcPr>
            <w:tcW w:w="1080" w:type="dxa"/>
            <w:vAlign w:val="center"/>
            <w:textDirection w:val="lrTb"/>
            <w:noWrap w:val="false"/>
          </w:tcPr>
          <w:p>
            <w:pPr>
              <w:pStyle w:val="745"/>
              <w:ind w:firstLine="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w:t>
            </w:r>
            <w:r>
              <w:rPr>
                <w:rFonts w:hint="eastAsia" w:ascii="仿宋" w:hAnsi="仿宋" w:eastAsia="仿宋" w:cs="仿宋"/>
                <w:color w:val="000000"/>
                <w:sz w:val="24"/>
                <w:highlight w:val="none"/>
              </w:rPr>
            </w:r>
            <w:r/>
          </w:p>
          <w:p>
            <w:pPr>
              <w:pStyle w:val="745"/>
              <w:ind w:firstLine="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情况</w:t>
            </w: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rPr>
                <w:rFonts w:hint="eastAsia" w:ascii="仿宋" w:hAnsi="仿宋" w:eastAsia="仿宋" w:cs="仿宋"/>
                <w:color w:val="000000"/>
                <w:sz w:val="24"/>
                <w:highlight w:val="none"/>
              </w:rPr>
            </w:r>
            <w:r/>
          </w:p>
        </w:tc>
      </w:tr>
      <w:tr>
        <w:trPr>
          <w:cantSplit/>
          <w:trHeight w:val="704"/>
        </w:trPr>
        <w:tc>
          <w:tcPr>
            <w:tcW w:w="900" w:type="dxa"/>
            <w:vAlign w:val="center"/>
            <w:textDirection w:val="lrTb"/>
            <w:noWrap w:val="false"/>
          </w:tcPr>
          <w:p>
            <w:pPr>
              <w:pStyle w:val="745"/>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74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880" w:type="dxa"/>
            <w:vAlign w:val="center"/>
            <w:textDirection w:val="lrTb"/>
            <w:noWrap w:val="false"/>
          </w:tcPr>
          <w:p>
            <w:pPr>
              <w:pStyle w:val="74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04"/>
        </w:trPr>
        <w:tc>
          <w:tcPr>
            <w:tcW w:w="900" w:type="dxa"/>
            <w:vAlign w:val="center"/>
            <w:textDirection w:val="lrTb"/>
            <w:noWrap w:val="false"/>
          </w:tcPr>
          <w:p>
            <w:pPr>
              <w:pStyle w:val="745"/>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745"/>
              <w:jc w:val="center"/>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tc>
        <w:tc>
          <w:tcPr>
            <w:tcW w:w="2880" w:type="dxa"/>
            <w:vAlign w:val="center"/>
            <w:textDirection w:val="lrTb"/>
            <w:noWrap w:val="false"/>
          </w:tcPr>
          <w:p>
            <w:pPr>
              <w:pStyle w:val="74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04"/>
        </w:trPr>
        <w:tc>
          <w:tcPr>
            <w:tcW w:w="900" w:type="dxa"/>
            <w:vAlign w:val="center"/>
            <w:textDirection w:val="lrTb"/>
            <w:noWrap w:val="false"/>
          </w:tcPr>
          <w:p>
            <w:pPr>
              <w:pStyle w:val="745"/>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74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880" w:type="dxa"/>
            <w:vAlign w:val="center"/>
            <w:textDirection w:val="lrTb"/>
            <w:noWrap w:val="false"/>
          </w:tcPr>
          <w:p>
            <w:pPr>
              <w:pStyle w:val="74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04"/>
        </w:trPr>
        <w:tc>
          <w:tcPr>
            <w:tcW w:w="900" w:type="dxa"/>
            <w:vAlign w:val="center"/>
            <w:textDirection w:val="lrTb"/>
            <w:noWrap w:val="false"/>
          </w:tcPr>
          <w:p>
            <w:pPr>
              <w:pStyle w:val="745"/>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74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880" w:type="dxa"/>
            <w:vAlign w:val="center"/>
            <w:textDirection w:val="lrTb"/>
            <w:noWrap w:val="false"/>
          </w:tcPr>
          <w:p>
            <w:pPr>
              <w:pStyle w:val="74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04"/>
        </w:trPr>
        <w:tc>
          <w:tcPr>
            <w:tcW w:w="900" w:type="dxa"/>
            <w:vAlign w:val="center"/>
            <w:textDirection w:val="lrTb"/>
            <w:noWrap w:val="false"/>
          </w:tcPr>
          <w:p>
            <w:pPr>
              <w:pStyle w:val="745"/>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74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880" w:type="dxa"/>
            <w:vAlign w:val="center"/>
            <w:textDirection w:val="lrTb"/>
            <w:noWrap w:val="false"/>
          </w:tcPr>
          <w:p>
            <w:pPr>
              <w:pStyle w:val="74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04"/>
        </w:trPr>
        <w:tc>
          <w:tcPr>
            <w:tcW w:w="900" w:type="dxa"/>
            <w:vAlign w:val="center"/>
            <w:textDirection w:val="lrTb"/>
            <w:noWrap w:val="false"/>
          </w:tcPr>
          <w:p>
            <w:pPr>
              <w:pStyle w:val="745"/>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74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880" w:type="dxa"/>
            <w:vAlign w:val="center"/>
            <w:textDirection w:val="lrTb"/>
            <w:noWrap w:val="false"/>
          </w:tcPr>
          <w:p>
            <w:pPr>
              <w:pStyle w:val="74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04"/>
        </w:trPr>
        <w:tc>
          <w:tcPr>
            <w:tcW w:w="900" w:type="dxa"/>
            <w:vAlign w:val="center"/>
            <w:textDirection w:val="lrTb"/>
            <w:noWrap w:val="false"/>
          </w:tcPr>
          <w:p>
            <w:pPr>
              <w:pStyle w:val="745"/>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74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880" w:type="dxa"/>
            <w:vAlign w:val="center"/>
            <w:textDirection w:val="lrTb"/>
            <w:noWrap w:val="false"/>
          </w:tcPr>
          <w:p>
            <w:pPr>
              <w:pStyle w:val="74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04"/>
        </w:trPr>
        <w:tc>
          <w:tcPr>
            <w:tcW w:w="900" w:type="dxa"/>
            <w:vAlign w:val="center"/>
            <w:textDirection w:val="lrTb"/>
            <w:noWrap w:val="false"/>
          </w:tcPr>
          <w:p>
            <w:pPr>
              <w:pStyle w:val="745"/>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745"/>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tc>
        <w:tc>
          <w:tcPr>
            <w:tcW w:w="2880" w:type="dxa"/>
            <w:vAlign w:val="center"/>
            <w:textDirection w:val="lrTb"/>
            <w:noWrap w:val="false"/>
          </w:tcPr>
          <w:p>
            <w:pPr>
              <w:pStyle w:val="74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04"/>
        </w:trPr>
        <w:tc>
          <w:tcPr>
            <w:tcW w:w="900" w:type="dxa"/>
            <w:vAlign w:val="center"/>
            <w:textDirection w:val="lrTb"/>
            <w:noWrap w:val="false"/>
          </w:tcPr>
          <w:p>
            <w:pPr>
              <w:pStyle w:val="745"/>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745"/>
              <w:rPr>
                <w:rFonts w:hint="eastAsia" w:ascii="仿宋" w:hAnsi="仿宋" w:eastAsia="仿宋" w:cs="仿宋"/>
                <w:color w:val="000000"/>
                <w:spacing w:val="-10"/>
                <w:sz w:val="24"/>
                <w:highlight w:val="none"/>
              </w:rPr>
            </w:pPr>
            <w:r>
              <w:rPr>
                <w:rFonts w:hint="eastAsia" w:ascii="仿宋" w:hAnsi="仿宋" w:eastAsia="仿宋" w:cs="仿宋"/>
                <w:color w:val="000000"/>
                <w:spacing w:val="-10"/>
                <w:sz w:val="24"/>
                <w:highlight w:val="none"/>
              </w:rPr>
            </w:r>
            <w:r/>
          </w:p>
        </w:tc>
        <w:tc>
          <w:tcPr>
            <w:tcW w:w="2880" w:type="dxa"/>
            <w:vAlign w:val="center"/>
            <w:textDirection w:val="lrTb"/>
            <w:noWrap w:val="false"/>
          </w:tcPr>
          <w:p>
            <w:pPr>
              <w:pStyle w:val="74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04"/>
        </w:trPr>
        <w:tc>
          <w:tcPr>
            <w:tcW w:w="900" w:type="dxa"/>
            <w:vAlign w:val="center"/>
            <w:textDirection w:val="lrTb"/>
            <w:noWrap w:val="false"/>
          </w:tcPr>
          <w:p>
            <w:pPr>
              <w:pStyle w:val="745"/>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74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880" w:type="dxa"/>
            <w:vAlign w:val="center"/>
            <w:textDirection w:val="lrTb"/>
            <w:noWrap w:val="false"/>
          </w:tcPr>
          <w:p>
            <w:pPr>
              <w:pStyle w:val="74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04"/>
        </w:trPr>
        <w:tc>
          <w:tcPr>
            <w:tcW w:w="900" w:type="dxa"/>
            <w:vAlign w:val="center"/>
            <w:textDirection w:val="lrTb"/>
            <w:noWrap w:val="false"/>
          </w:tcPr>
          <w:p>
            <w:pPr>
              <w:pStyle w:val="745"/>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420" w:type="dxa"/>
            <w:vAlign w:val="center"/>
            <w:textDirection w:val="lrTb"/>
            <w:noWrap w:val="false"/>
          </w:tcPr>
          <w:p>
            <w:pPr>
              <w:pStyle w:val="745"/>
              <w:rPr>
                <w:rFonts w:hint="eastAsia" w:ascii="仿宋" w:hAnsi="仿宋" w:eastAsia="仿宋" w:cs="仿宋"/>
                <w:color w:val="000000"/>
                <w:spacing w:val="-10"/>
                <w:sz w:val="24"/>
                <w:highlight w:val="none"/>
              </w:rPr>
            </w:pPr>
            <w:r>
              <w:rPr>
                <w:rFonts w:hint="eastAsia" w:ascii="仿宋" w:hAnsi="仿宋" w:eastAsia="仿宋" w:cs="仿宋"/>
                <w:color w:val="000000"/>
                <w:spacing w:val="-10"/>
                <w:sz w:val="24"/>
                <w:highlight w:val="none"/>
              </w:rPr>
            </w:r>
            <w:r/>
          </w:p>
        </w:tc>
        <w:tc>
          <w:tcPr>
            <w:tcW w:w="2880" w:type="dxa"/>
            <w:vAlign w:val="center"/>
            <w:textDirection w:val="lrTb"/>
            <w:noWrap w:val="false"/>
          </w:tcPr>
          <w:p>
            <w:pPr>
              <w:pStyle w:val="745"/>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80" w:type="dxa"/>
            <w:vAlign w:val="center"/>
            <w:textDirection w:val="lrTb"/>
            <w:noWrap w:val="false"/>
          </w:tcPr>
          <w:p>
            <w:pPr>
              <w:pStyle w:val="745"/>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注:（1）是否偏离用符号“+、=、-”分别表示正偏离、完全响应、负偏离。 </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rPr>
        <w:t xml:space="preserve">必须仔细阅读本</w:t>
      </w:r>
      <w:r>
        <w:rPr>
          <w:rFonts w:hint="eastAsia" w:ascii="仿宋" w:hAnsi="仿宋" w:eastAsia="仿宋" w:cs="仿宋"/>
          <w:color w:val="000000"/>
          <w:sz w:val="28"/>
          <w:szCs w:val="28"/>
          <w:highlight w:val="none"/>
          <w:lang w:val="en-US" w:eastAsia="zh-CN"/>
        </w:rPr>
        <w:t xml:space="preserve">招标</w:t>
      </w:r>
      <w:r>
        <w:rPr>
          <w:rFonts w:hint="eastAsia" w:ascii="仿宋" w:hAnsi="仿宋" w:eastAsia="仿宋" w:cs="仿宋"/>
          <w:color w:val="000000"/>
          <w:sz w:val="28"/>
          <w:szCs w:val="28"/>
          <w:highlight w:val="none"/>
        </w:rPr>
        <w:t xml:space="preserve">文件第五章中所有服务技术条款和相关功能要求，并将响应情况及偏离情况逐项填入上表，响应时不得对原有技术规范进行直接复制粘贴及简单表述为完全响应。</w:t>
      </w:r>
      <w:r>
        <w:rPr>
          <w:rFonts w:hint="eastAsia" w:ascii="仿宋" w:hAnsi="仿宋" w:eastAsia="仿宋" w:cs="仿宋"/>
          <w:color w:val="000000"/>
          <w:sz w:val="28"/>
          <w:szCs w:val="28"/>
          <w:highlight w:val="none"/>
        </w:rPr>
      </w:r>
      <w:r/>
    </w:p>
    <w:p>
      <w:pPr>
        <w:pStyle w:val="745"/>
        <w:ind w:firstLine="3357"/>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924"/>
        <w:ind w:left="0" w:right="34" w:firstLine="0"/>
        <w:spacing w:before="120"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68"/>
        <w:numPr>
          <w:ilvl w:val="0"/>
          <w:numId w:val="0"/>
        </w:numPr>
        <w:spacing w:line="520" w:lineRule="exact"/>
        <w:rPr>
          <w:rFonts w:hint="eastAsia" w:ascii="仿宋" w:hAnsi="仿宋" w:eastAsia="仿宋" w:cs="仿宋"/>
          <w:b/>
          <w:color w:val="000000"/>
          <w:sz w:val="32"/>
          <w:szCs w:val="32"/>
          <w:highlight w:val="none"/>
        </w:rPr>
      </w:pPr>
      <w:r/>
      <w:bookmarkEnd w:id="38"/>
      <w:r>
        <w:rPr>
          <w:rFonts w:hint="eastAsia" w:ascii="仿宋" w:hAnsi="仿宋" w:eastAsia="仿宋" w:cs="仿宋"/>
          <w:b/>
          <w:color w:val="000000"/>
          <w:sz w:val="32"/>
          <w:szCs w:val="32"/>
          <w:highlight w:val="none"/>
        </w:rPr>
      </w:r>
      <w:r/>
    </w:p>
    <w:p>
      <w:pPr>
        <w:pStyle w:val="868"/>
        <w:numPr>
          <w:ilvl w:val="0"/>
          <w:numId w:val="0"/>
        </w:numPr>
        <w:jc w:val="center"/>
        <w:spacing w:line="520" w:lineRule="exact"/>
        <w:rPr>
          <w:rFonts w:hint="eastAsia" w:ascii="仿宋" w:hAnsi="仿宋" w:eastAsia="仿宋" w:cs="仿宋"/>
          <w:b/>
          <w:bCs/>
          <w:color w:val="000000"/>
          <w:sz w:val="32"/>
          <w:szCs w:val="32"/>
          <w:highlight w:val="none"/>
        </w:rPr>
      </w:pPr>
      <w:r>
        <w:rPr>
          <w:rFonts w:hint="eastAsia" w:ascii="仿宋" w:hAnsi="仿宋" w:eastAsia="仿宋" w:cs="仿宋"/>
          <w:b/>
          <w:color w:val="000000"/>
          <w:sz w:val="32"/>
          <w:szCs w:val="32"/>
          <w:highlight w:val="none"/>
          <w:lang w:val="en-US" w:eastAsia="zh-CN"/>
        </w:rPr>
        <w:t xml:space="preserve">五、</w:t>
      </w:r>
      <w:r>
        <w:rPr>
          <w:rFonts w:hint="eastAsia" w:ascii="仿宋" w:hAnsi="仿宋" w:eastAsia="仿宋" w:cs="仿宋"/>
          <w:b/>
          <w:color w:val="000000"/>
          <w:sz w:val="32"/>
          <w:szCs w:val="32"/>
          <w:highlight w:val="none"/>
        </w:rPr>
        <w:t xml:space="preserve">资质审查时</w:t>
      </w:r>
      <w:r>
        <w:rPr>
          <w:rFonts w:hint="eastAsia" w:ascii="仿宋" w:hAnsi="仿宋" w:eastAsia="仿宋" w:cs="仿宋"/>
          <w:b/>
          <w:bCs/>
          <w:color w:val="000000"/>
          <w:sz w:val="32"/>
          <w:szCs w:val="32"/>
          <w:highlight w:val="none"/>
        </w:rPr>
        <w:t xml:space="preserve">投标人必须提供的资格证明文件</w:t>
      </w:r>
      <w:r>
        <w:rPr>
          <w:rFonts w:hint="eastAsia" w:ascii="仿宋" w:hAnsi="仿宋" w:eastAsia="仿宋" w:cs="仿宋"/>
          <w:b/>
          <w:bCs/>
          <w:color w:val="000000"/>
          <w:sz w:val="32"/>
          <w:szCs w:val="32"/>
          <w:highlight w:val="none"/>
        </w:rPr>
      </w:r>
      <w:r/>
    </w:p>
    <w:p>
      <w:pPr>
        <w:pStyle w:val="868"/>
        <w:ind w:firstLine="551"/>
        <w:spacing w:line="520" w:lineRule="exact"/>
        <w:rPr>
          <w:rFonts w:hint="eastAsia" w:ascii="仿宋" w:hAnsi="仿宋" w:eastAsia="仿宋" w:cs="仿宋"/>
          <w:b/>
          <w:bCs/>
          <w:color w:val="000000"/>
          <w:sz w:val="32"/>
          <w:szCs w:val="32"/>
          <w:highlight w:val="none"/>
        </w:rPr>
      </w:pPr>
      <w:r>
        <w:rPr>
          <w:rFonts w:hint="eastAsia" w:ascii="仿宋" w:hAnsi="仿宋" w:eastAsia="仿宋" w:cs="仿宋"/>
          <w:color w:val="000000"/>
          <w:sz w:val="28"/>
          <w:szCs w:val="28"/>
          <w:highlight w:val="none"/>
        </w:rPr>
        <w:t xml:space="preserve">1、提供下列材料之一：</w:t>
      </w:r>
      <w:r>
        <w:rPr>
          <w:rFonts w:hint="eastAsia" w:ascii="仿宋" w:hAnsi="仿宋" w:eastAsia="仿宋" w:cs="仿宋"/>
          <w:b/>
          <w:bCs/>
          <w:color w:val="000000"/>
          <w:sz w:val="32"/>
          <w:szCs w:val="32"/>
          <w:highlight w:val="none"/>
        </w:rPr>
      </w:r>
      <w:r/>
    </w:p>
    <w:p>
      <w:pPr>
        <w:pStyle w:val="745"/>
        <w:ind w:firstLine="420"/>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（1）投标人</w:t>
      </w:r>
      <w:r>
        <w:rPr>
          <w:rFonts w:hint="eastAsia" w:ascii="仿宋" w:hAnsi="仿宋" w:eastAsia="仿宋" w:cs="仿宋"/>
          <w:color w:val="000000"/>
          <w:sz w:val="28"/>
          <w:szCs w:val="28"/>
          <w:highlight w:val="none"/>
        </w:rPr>
        <w:t xml:space="preserve">提供</w:t>
      </w:r>
      <w:r>
        <w:rPr>
          <w:rFonts w:hint="eastAsia" w:ascii="仿宋" w:hAnsi="仿宋" w:eastAsia="仿宋" w:cs="仿宋"/>
          <w:bCs/>
          <w:color w:val="000000"/>
          <w:sz w:val="28"/>
          <w:szCs w:val="28"/>
          <w:highlight w:val="none"/>
        </w:rPr>
        <w:t xml:space="preserve">法定代表人资格证明</w:t>
      </w:r>
      <w:r>
        <w:rPr>
          <w:rFonts w:hint="eastAsia" w:ascii="仿宋" w:hAnsi="仿宋" w:eastAsia="仿宋" w:cs="仿宋"/>
          <w:color w:val="000000"/>
          <w:sz w:val="28"/>
          <w:highlight w:val="none"/>
        </w:rPr>
        <w:t xml:space="preserve">（格式详见示范格式一）和</w:t>
      </w:r>
      <w:r>
        <w:rPr>
          <w:rFonts w:hint="eastAsia" w:ascii="仿宋" w:hAnsi="仿宋" w:eastAsia="仿宋" w:cs="仿宋"/>
          <w:bCs/>
          <w:color w:val="000000"/>
          <w:sz w:val="28"/>
          <w:highlight w:val="none"/>
        </w:rPr>
        <w:t xml:space="preserve">法定代表人</w:t>
      </w:r>
      <w:r>
        <w:rPr>
          <w:rFonts w:hint="eastAsia" w:ascii="仿宋" w:hAnsi="仿宋" w:eastAsia="仿宋" w:cs="仿宋"/>
          <w:bCs/>
          <w:color w:val="000000"/>
          <w:sz w:val="28"/>
          <w:szCs w:val="28"/>
          <w:highlight w:val="none"/>
        </w:rPr>
        <w:t xml:space="preserve">身份证（加盖</w:t>
      </w:r>
      <w:r>
        <w:rPr>
          <w:rFonts w:hint="eastAsia" w:ascii="仿宋" w:hAnsi="仿宋" w:eastAsia="仿宋" w:cs="仿宋"/>
          <w:color w:val="000000"/>
          <w:sz w:val="28"/>
          <w:highlight w:val="none"/>
        </w:rPr>
        <w:t xml:space="preserve">CA电子签</w:t>
      </w:r>
      <w:r>
        <w:rPr>
          <w:rFonts w:hint="eastAsia" w:ascii="仿宋" w:hAnsi="仿宋" w:eastAsia="仿宋" w:cs="仿宋"/>
          <w:bCs/>
          <w:color w:val="000000"/>
          <w:sz w:val="28"/>
          <w:szCs w:val="28"/>
          <w:highlight w:val="none"/>
        </w:rPr>
        <w:t xml:space="preserve">章）</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 xml:space="preserve">（2）投标人提供授权委托书（格式详见示范格式二）和</w:t>
      </w:r>
      <w:r>
        <w:rPr>
          <w:rFonts w:hint="eastAsia" w:ascii="仿宋" w:hAnsi="仿宋" w:eastAsia="仿宋" w:cs="仿宋"/>
          <w:bCs/>
          <w:color w:val="000000"/>
          <w:sz w:val="28"/>
          <w:szCs w:val="28"/>
          <w:highlight w:val="none"/>
        </w:rPr>
        <w:t xml:space="preserve">受托人身份证（加</w:t>
      </w:r>
      <w:r>
        <w:rPr>
          <w:rFonts w:hint="eastAsia" w:ascii="仿宋" w:hAnsi="仿宋" w:eastAsia="仿宋" w:cs="仿宋"/>
          <w:color w:val="000000"/>
          <w:sz w:val="28"/>
          <w:szCs w:val="28"/>
          <w:highlight w:val="none"/>
        </w:rPr>
        <w:t xml:space="preserve">盖CA电子签章）。</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2、</w:t>
      </w:r>
      <w:r>
        <w:rPr>
          <w:rFonts w:hint="eastAsia" w:ascii="仿宋" w:hAnsi="仿宋" w:eastAsia="仿宋" w:cs="仿宋"/>
          <w:color w:val="000000"/>
          <w:sz w:val="28"/>
          <w:szCs w:val="28"/>
          <w:highlight w:val="none"/>
        </w:rPr>
        <w:t xml:space="preserve">投标人提供下列材料之一：</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A.投标人为企业的：提供营业执照（扫描件并加盖投标人电子签章，必须提供）；</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B.投标人为事业单位的：提供事业法人证书（扫描件并加盖投标人电子签章，必须提供）。</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3、提供“财务状况良好”的书面承诺（格式自定，加盖投标人电子签章，必须提供）；</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4、提供“依法缴纳税收和社会保障资金”的书面承诺（格式自定，加盖投标人电子签章，必须提供）</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5、提供“具备履行合同所必需的设备和专业技术能力”的书面承诺（格式自定，加盖投标人电子签章，必须提供）；</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6、提供“参加政府采购活动前三年内，在经营活动中没有重大违法记录”的书面承诺（格式自定，加盖投标人电子签章，必须提供）；</w:t>
      </w:r>
      <w:r>
        <w:rPr>
          <w:rFonts w:hint="eastAsia" w:ascii="仿宋" w:hAnsi="仿宋" w:eastAsia="仿宋" w:cs="仿宋"/>
          <w:color w:val="000000"/>
          <w:sz w:val="28"/>
          <w:szCs w:val="28"/>
          <w:highlight w:val="none"/>
          <w:lang w:val="zh-CN"/>
        </w:rPr>
      </w:r>
      <w:r/>
    </w:p>
    <w:p>
      <w:pPr>
        <w:pStyle w:val="745"/>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7</w:t>
      </w:r>
      <w:r>
        <w:rPr>
          <w:rFonts w:hint="eastAsia" w:ascii="仿宋" w:hAnsi="仿宋" w:eastAsia="仿宋" w:cs="仿宋"/>
          <w:color w:val="000000"/>
          <w:sz w:val="28"/>
          <w:szCs w:val="28"/>
          <w:highlight w:val="none"/>
          <w:lang w:val="zh-CN"/>
        </w:rPr>
        <w:t xml:space="preserve">、本项目的特定资格要求：</w:t>
      </w:r>
      <w:r>
        <w:rPr>
          <w:rFonts w:hint="eastAsia" w:ascii="仿宋" w:hAnsi="仿宋" w:eastAsia="仿宋" w:cs="仿宋"/>
          <w:color w:val="000000"/>
          <w:sz w:val="28"/>
          <w:szCs w:val="28"/>
          <w:highlight w:val="none"/>
          <w:lang w:val="zh-CN"/>
        </w:rPr>
      </w:r>
      <w:r/>
    </w:p>
    <w:p>
      <w:pPr>
        <w:pStyle w:val="745"/>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（1）投标人具有《经营保险业务许可证》。</w:t>
      </w:r>
      <w:r>
        <w:rPr>
          <w:rFonts w:hint="eastAsia" w:ascii="仿宋" w:hAnsi="仿宋" w:eastAsia="仿宋" w:cs="仿宋"/>
          <w:color w:val="000000"/>
          <w:sz w:val="28"/>
          <w:szCs w:val="28"/>
          <w:highlight w:val="none"/>
          <w:lang w:val="zh-CN"/>
        </w:rPr>
        <w:t xml:space="preserve">（扫描件并加盖投标人电子签章，必须 提供）。</w:t>
      </w:r>
      <w:r>
        <w:rPr>
          <w:rFonts w:hint="eastAsia" w:ascii="仿宋" w:hAnsi="仿宋" w:eastAsia="仿宋" w:cs="仿宋"/>
          <w:color w:val="000000"/>
          <w:sz w:val="28"/>
          <w:szCs w:val="28"/>
          <w:highlight w:val="none"/>
          <w:lang w:val="zh-CN"/>
        </w:rPr>
      </w:r>
      <w:r/>
    </w:p>
    <w:p>
      <w:pPr>
        <w:pStyle w:val="745"/>
        <w:ind w:firstLine="56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（2）投标人或其总公司或省级公司具有国家保险监督管理机关批准开展农业保险业务的经营资质或者公布的具有符合规定的经营条件。</w:t>
      </w:r>
      <w:r>
        <w:rPr>
          <w:rFonts w:hint="eastAsia" w:ascii="仿宋" w:hAnsi="仿宋" w:eastAsia="仿宋" w:cs="仿宋"/>
          <w:color w:val="000000"/>
          <w:sz w:val="28"/>
          <w:szCs w:val="28"/>
          <w:highlight w:val="none"/>
          <w:lang w:val="zh-CN"/>
        </w:rPr>
        <w:t xml:space="preserve">（扫描件并加盖投标人电子签章，必须提供）。</w:t>
      </w:r>
      <w:r>
        <w:rPr>
          <w:rFonts w:hint="eastAsia" w:ascii="仿宋" w:hAnsi="仿宋" w:eastAsia="仿宋" w:cs="仿宋"/>
          <w:color w:val="000000"/>
          <w:sz w:val="28"/>
          <w:szCs w:val="28"/>
          <w:highlight w:val="none"/>
          <w:lang w:val="zh-CN"/>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投标人必须符合《中国银保监会办公厅关于进一步明确农业保险业务经营条件的通知》（银保监办发〔2020〕51号）、《关于加强政策性农业保险承保机构遴选管理工作的通知》（财金〔2020〕128号）、《江苏省财政厅江苏省农业农村厅关于做好政策性农业保险承保机构遴选工作的通知》（苏财金〔2021〕42号）和《关于进一步加强政策性农业保险承保机构遴选管理工作的通知》(苏财金〔2024〕144号)对于承保机构的要求。</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val="en-US" w:eastAsia="zh-CN"/>
        </w:rPr>
        <w:t xml:space="preserve">为支公司或者分公司的，必须具有由</w:t>
      </w:r>
      <w:r>
        <w:rPr>
          <w:rFonts w:hint="eastAsia" w:ascii="仿宋" w:hAnsi="仿宋" w:eastAsia="仿宋" w:cs="仿宋"/>
          <w:color w:val="000000"/>
          <w:sz w:val="28"/>
          <w:szCs w:val="28"/>
          <w:highlight w:val="none"/>
        </w:rPr>
        <w:t xml:space="preserve">总公司</w:t>
      </w:r>
      <w:r>
        <w:rPr>
          <w:rFonts w:hint="eastAsia" w:ascii="仿宋" w:hAnsi="仿宋" w:eastAsia="仿宋" w:cs="仿宋"/>
          <w:color w:val="000000"/>
          <w:sz w:val="28"/>
          <w:szCs w:val="28"/>
          <w:highlight w:val="none"/>
          <w:lang w:val="en-US" w:eastAsia="zh-CN"/>
        </w:rPr>
        <w:t xml:space="preserve">或者</w:t>
      </w:r>
      <w:r>
        <w:rPr>
          <w:rFonts w:hint="eastAsia" w:ascii="仿宋" w:hAnsi="仿宋" w:eastAsia="仿宋" w:cs="仿宋"/>
          <w:color w:val="000000"/>
          <w:sz w:val="28"/>
          <w:szCs w:val="28"/>
          <w:highlight w:val="none"/>
        </w:rPr>
        <w:t xml:space="preserve">省公司</w:t>
      </w:r>
      <w:r>
        <w:rPr>
          <w:rFonts w:hint="eastAsia" w:ascii="仿宋" w:hAnsi="仿宋" w:eastAsia="仿宋" w:cs="仿宋"/>
          <w:color w:val="000000"/>
          <w:sz w:val="28"/>
          <w:szCs w:val="28"/>
          <w:highlight w:val="none"/>
          <w:lang w:val="en-US" w:eastAsia="zh-CN"/>
        </w:rPr>
        <w:t xml:space="preserve">出具的授权。</w:t>
      </w:r>
      <w:r>
        <w:rPr>
          <w:rFonts w:hint="eastAsia" w:ascii="仿宋" w:hAnsi="仿宋" w:eastAsia="仿宋" w:cs="仿宋"/>
          <w:color w:val="000000"/>
          <w:sz w:val="28"/>
          <w:szCs w:val="28"/>
          <w:highlight w:val="none"/>
          <w:lang w:val="zh-CN"/>
        </w:rPr>
        <w:t xml:space="preserve">（授权书扫描件并加盖投标人电子签章，必须提供）。</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8、落实政府采购政策需满足的资格要求（提供下列任一项材料即可，</w:t>
      </w:r>
      <w:r>
        <w:rPr>
          <w:rFonts w:hint="eastAsia" w:ascii="仿宋" w:hAnsi="仿宋" w:eastAsia="仿宋" w:cs="仿宋"/>
          <w:color w:val="000000"/>
          <w:sz w:val="28"/>
          <w:szCs w:val="28"/>
          <w:highlight w:val="none"/>
          <w:lang w:val="zh-CN"/>
        </w:rPr>
        <w:t xml:space="preserve">非专门面向中小企业或者预留份额的采购项目，本项无需提供</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（1）企业声明函（详见示范格式四）；</w:t>
      </w:r>
      <w:r>
        <w:rPr>
          <w:rFonts w:hint="eastAsia" w:ascii="仿宋" w:hAnsi="仿宋" w:eastAsia="仿宋" w:cs="仿宋"/>
          <w:bCs/>
          <w:color w:val="000000"/>
          <w:sz w:val="28"/>
          <w:szCs w:val="28"/>
          <w:highlight w:val="none"/>
        </w:rPr>
      </w:r>
      <w:r/>
    </w:p>
    <w:p>
      <w:pPr>
        <w:pStyle w:val="745"/>
        <w:ind w:firstLine="56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（2）《残疾人福利性单位声明函》（详见示范格式五）；</w:t>
      </w:r>
      <w:r>
        <w:rPr>
          <w:rFonts w:hint="eastAsia" w:ascii="仿宋" w:hAnsi="仿宋" w:eastAsia="仿宋" w:cs="仿宋"/>
          <w:bCs/>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cs="仿宋"/>
          <w:color w:val="000000"/>
          <w:sz w:val="28"/>
          <w:szCs w:val="28"/>
          <w:highlight w:val="none"/>
        </w:rPr>
      </w:r>
      <w:r/>
    </w:p>
    <w:p>
      <w:pPr>
        <w:pStyle w:val="745"/>
        <w:ind w:firstLine="42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5"/>
        <w:ind w:firstLine="1428"/>
        <w:jc w:val="left"/>
        <w:spacing w:line="520" w:lineRule="exact"/>
        <w:widowControl/>
        <w:rPr>
          <w:rFonts w:hint="eastAsia" w:ascii="仿宋" w:hAnsi="仿宋" w:eastAsia="仿宋" w:cs="仿宋"/>
          <w:b/>
          <w:bCs/>
          <w:color w:val="000000"/>
          <w:sz w:val="32"/>
          <w:highlight w:val="none"/>
        </w:rPr>
      </w:pPr>
      <w:r/>
      <w:bookmarkStart w:id="39" w:name="_Toc157775454"/>
      <w:r>
        <w:rPr>
          <w:rFonts w:hint="eastAsia" w:ascii="仿宋" w:hAnsi="仿宋" w:eastAsia="仿宋" w:cs="仿宋"/>
          <w:b/>
          <w:bCs/>
          <w:color w:val="000000"/>
          <w:sz w:val="32"/>
          <w:highlight w:val="none"/>
        </w:rPr>
      </w:r>
      <w:r/>
    </w:p>
    <w:p>
      <w:pPr>
        <w:pStyle w:val="745"/>
        <w:jc w:val="left"/>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745"/>
        <w:ind w:firstLine="1428"/>
        <w:jc w:val="left"/>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745"/>
        <w:ind w:firstLine="1428"/>
        <w:jc w:val="left"/>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745"/>
        <w:ind w:firstLine="1428"/>
        <w:jc w:val="left"/>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745"/>
        <w:ind w:firstLine="1428"/>
        <w:jc w:val="left"/>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745"/>
        <w:ind w:firstLine="1428"/>
        <w:jc w:val="left"/>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745"/>
        <w:ind w:firstLine="1428"/>
        <w:jc w:val="left"/>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745"/>
        <w:ind w:firstLine="1428"/>
        <w:jc w:val="left"/>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745"/>
        <w:ind w:firstLine="1428"/>
        <w:jc w:val="left"/>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745"/>
        <w:ind w:firstLine="1428"/>
        <w:jc w:val="left"/>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745"/>
        <w:ind w:firstLine="1428"/>
        <w:jc w:val="left"/>
        <w:spacing w:line="520" w:lineRule="exac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lang w:val="en-US" w:eastAsia="zh-CN"/>
        </w:rPr>
        <w:t xml:space="preserve">六</w:t>
      </w:r>
      <w:r>
        <w:rPr>
          <w:rFonts w:hint="eastAsia" w:ascii="仿宋" w:hAnsi="仿宋" w:eastAsia="仿宋" w:cs="仿宋"/>
          <w:b/>
          <w:bCs/>
          <w:color w:val="000000"/>
          <w:sz w:val="32"/>
          <w:highlight w:val="none"/>
        </w:rPr>
        <w:t xml:space="preserve">、综合评分时投标人需提供的证明文件</w:t>
      </w:r>
      <w:r>
        <w:rPr>
          <w:rFonts w:hint="eastAsia" w:ascii="仿宋" w:hAnsi="仿宋" w:eastAsia="仿宋" w:cs="仿宋"/>
          <w:b/>
          <w:bCs/>
          <w:color w:val="000000"/>
          <w:sz w:val="32"/>
          <w:highlight w:val="none"/>
        </w:rPr>
      </w:r>
      <w:r/>
    </w:p>
    <w:p>
      <w:pPr>
        <w:pStyle w:val="745"/>
        <w:ind w:firstLine="840"/>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（投标人根据第三章评标标准的要求提供相关材料）</w:t>
      </w:r>
      <w:r>
        <w:rPr>
          <w:rFonts w:hint="eastAsia" w:ascii="仿宋" w:hAnsi="仿宋" w:eastAsia="仿宋" w:cs="仿宋"/>
          <w:color w:val="000000"/>
          <w:sz w:val="28"/>
          <w:szCs w:val="28"/>
          <w:highlight w:val="none"/>
          <w:lang w:val="zh-CN"/>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ind w:firstLine="2877"/>
        <w:spacing w:line="44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63"/>
        <w:ind w:firstLine="723"/>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63"/>
        <w:ind w:firstLine="723"/>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745"/>
        <w:rPr>
          <w:rFonts w:hint="eastAsia"/>
          <w:color w:val="000000"/>
          <w:highlight w:val="none"/>
        </w:rPr>
      </w:pPr>
      <w:r>
        <w:rPr>
          <w:rFonts w:hint="eastAsia"/>
          <w:color w:val="000000"/>
          <w:highlight w:val="none"/>
        </w:rPr>
      </w:r>
      <w:r/>
    </w:p>
    <w:p>
      <w:pPr>
        <w:pStyle w:val="745"/>
        <w:jc w:val="center"/>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lang w:val="en-US" w:eastAsia="zh-CN"/>
        </w:rPr>
        <w:t xml:space="preserve">七</w:t>
      </w: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rPr>
      </w:r>
      <w:r/>
    </w:p>
    <w:p>
      <w:pPr>
        <w:pStyle w:val="745"/>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示范格式一</w:t>
      </w:r>
      <w:r>
        <w:rPr>
          <w:rFonts w:hint="eastAsia" w:ascii="仿宋" w:hAnsi="仿宋" w:eastAsia="仿宋" w:cs="仿宋"/>
          <w:b/>
          <w:color w:val="000000"/>
          <w:sz w:val="32"/>
          <w:szCs w:val="32"/>
          <w:highlight w:val="none"/>
        </w:rPr>
      </w:r>
      <w:r/>
    </w:p>
    <w:p>
      <w:pPr>
        <w:pStyle w:val="745"/>
        <w:ind w:firstLine="2570"/>
        <w:spacing w:line="44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745"/>
        <w:ind w:firstLine="2891"/>
        <w:spacing w:line="640" w:lineRule="exact"/>
        <w:rPr>
          <w:rFonts w:hint="eastAsia" w:ascii="仿宋" w:hAnsi="仿宋" w:eastAsia="仿宋" w:cs="仿宋"/>
          <w:b/>
          <w:bCs/>
          <w:color w:val="000000"/>
          <w:sz w:val="32"/>
          <w:szCs w:val="32"/>
          <w:highlight w:val="none"/>
          <w:lang w:val="zh-CN"/>
        </w:rPr>
      </w:pPr>
      <w:r/>
      <w:bookmarkEnd w:id="39"/>
      <w:r>
        <w:rPr>
          <w:rFonts w:hint="eastAsia" w:ascii="仿宋" w:hAnsi="仿宋" w:eastAsia="仿宋" w:cs="仿宋"/>
          <w:b/>
          <w:bCs/>
          <w:color w:val="000000"/>
          <w:sz w:val="32"/>
          <w:szCs w:val="32"/>
          <w:highlight w:val="none"/>
          <w:lang w:val="zh-CN"/>
        </w:rPr>
        <w:t xml:space="preserve">法定代表人资格证明</w:t>
      </w:r>
      <w:r>
        <w:rPr>
          <w:rFonts w:hint="eastAsia" w:ascii="仿宋" w:hAnsi="仿宋" w:eastAsia="仿宋" w:cs="仿宋"/>
          <w:b/>
          <w:bCs/>
          <w:color w:val="000000"/>
          <w:sz w:val="32"/>
          <w:szCs w:val="32"/>
          <w:highlight w:val="none"/>
          <w:lang w:val="zh-CN"/>
        </w:rPr>
      </w:r>
      <w:r/>
    </w:p>
    <w:p>
      <w:pPr>
        <w:pStyle w:val="745"/>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单位名称：</w:t>
      </w:r>
      <w:r>
        <w:rPr>
          <w:rFonts w:hint="eastAsia" w:ascii="仿宋" w:hAnsi="仿宋" w:eastAsia="仿宋" w:cs="仿宋"/>
          <w:color w:val="000000"/>
          <w:sz w:val="28"/>
          <w:szCs w:val="28"/>
          <w:highlight w:val="none"/>
          <w:lang w:val="zh-CN"/>
        </w:rPr>
      </w:r>
      <w:r/>
    </w:p>
    <w:p>
      <w:pPr>
        <w:pStyle w:val="745"/>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地址：</w:t>
      </w:r>
      <w:r>
        <w:rPr>
          <w:rFonts w:hint="eastAsia" w:ascii="仿宋" w:hAnsi="仿宋" w:eastAsia="仿宋" w:cs="仿宋"/>
          <w:color w:val="000000"/>
          <w:sz w:val="28"/>
          <w:szCs w:val="28"/>
          <w:highlight w:val="none"/>
          <w:lang w:val="zh-CN"/>
        </w:rPr>
      </w:r>
      <w:r/>
    </w:p>
    <w:p>
      <w:pPr>
        <w:pStyle w:val="745"/>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姓名：性别：年龄：职务：</w:t>
      </w:r>
      <w:r>
        <w:rPr>
          <w:rFonts w:hint="eastAsia" w:ascii="仿宋" w:hAnsi="仿宋" w:eastAsia="仿宋" w:cs="仿宋"/>
          <w:color w:val="000000"/>
          <w:sz w:val="28"/>
          <w:szCs w:val="28"/>
          <w:highlight w:val="none"/>
          <w:lang w:val="zh-CN"/>
        </w:rPr>
      </w:r>
      <w:r/>
    </w:p>
    <w:p>
      <w:pPr>
        <w:pStyle w:val="745"/>
        <w:ind w:left="1" w:firstLine="560"/>
        <w:spacing w:line="640" w:lineRule="exact"/>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lang w:val="zh-CN"/>
        </w:rPr>
        <w:t xml:space="preserve">系</w:t>
      </w:r>
      <w:r>
        <w:rPr>
          <w:rFonts w:hint="eastAsia" w:ascii="仿宋" w:hAnsi="仿宋" w:eastAsia="仿宋" w:cs="仿宋"/>
          <w:color w:val="000000"/>
          <w:sz w:val="28"/>
          <w:szCs w:val="28"/>
          <w:highlight w:val="none"/>
          <w:u w:val="single"/>
          <w:lang w:val="zh-CN"/>
        </w:rPr>
        <w:t xml:space="preserve">（投标人单位名称）</w:t>
      </w:r>
      <w:r>
        <w:rPr>
          <w:rFonts w:hint="eastAsia" w:ascii="仿宋" w:hAnsi="仿宋" w:eastAsia="仿宋" w:cs="仿宋"/>
          <w:color w:val="000000"/>
          <w:sz w:val="28"/>
          <w:szCs w:val="28"/>
          <w:highlight w:val="none"/>
          <w:lang w:val="zh-CN"/>
        </w:rPr>
        <w:t xml:space="preserve">的法定代表人。</w:t>
      </w:r>
      <w:r>
        <w:rPr>
          <w:rFonts w:hint="eastAsia" w:ascii="仿宋" w:hAnsi="仿宋" w:eastAsia="仿宋" w:cs="仿宋"/>
          <w:color w:val="000000"/>
          <w:sz w:val="28"/>
          <w:highlight w:val="none"/>
        </w:rPr>
        <w:t xml:space="preserve">为参与项目，签署上述项目的投标文件、进行招标、签署合同和处理与之有关的一切事务。</w:t>
      </w:r>
      <w:r>
        <w:rPr>
          <w:rFonts w:hint="eastAsia" w:ascii="仿宋" w:hAnsi="仿宋" w:eastAsia="仿宋" w:cs="仿宋"/>
          <w:color w:val="000000"/>
          <w:sz w:val="28"/>
          <w:highlight w:val="none"/>
        </w:rPr>
      </w:r>
      <w:r/>
    </w:p>
    <w:p>
      <w:pPr>
        <w:pStyle w:val="745"/>
        <w:ind w:firstLine="280"/>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5"/>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745"/>
        <w:ind w:firstLine="280"/>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特此证明。</w:t>
      </w:r>
      <w:r>
        <w:rPr>
          <w:rFonts w:hint="eastAsia" w:ascii="仿宋" w:hAnsi="仿宋" w:eastAsia="仿宋" w:cs="仿宋"/>
          <w:color w:val="000000"/>
          <w:sz w:val="28"/>
          <w:szCs w:val="28"/>
          <w:highlight w:val="none"/>
          <w:lang w:val="zh-CN"/>
        </w:rPr>
      </w:r>
      <w:r/>
    </w:p>
    <w:p>
      <w:pPr>
        <w:pStyle w:val="74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74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（电子签章）</w:t>
      </w:r>
      <w:r>
        <w:rPr>
          <w:rFonts w:hint="eastAsia" w:ascii="仿宋" w:hAnsi="仿宋" w:eastAsia="仿宋" w:cs="仿宋"/>
          <w:color w:val="000000"/>
          <w:sz w:val="28"/>
          <w:szCs w:val="28"/>
          <w:highlight w:val="none"/>
          <w:lang w:val="zh-CN"/>
        </w:rPr>
      </w:r>
      <w:r/>
    </w:p>
    <w:p>
      <w:pPr>
        <w:pStyle w:val="74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日期：年月日</w:t>
      </w:r>
      <w:r>
        <w:rPr>
          <w:rFonts w:hint="eastAsia" w:ascii="仿宋" w:hAnsi="仿宋" w:eastAsia="仿宋" w:cs="仿宋"/>
          <w:color w:val="000000"/>
          <w:sz w:val="28"/>
          <w:szCs w:val="28"/>
          <w:highlight w:val="none"/>
          <w:lang w:val="zh-CN"/>
        </w:rPr>
      </w:r>
      <w:r/>
    </w:p>
    <w:p>
      <w:pPr>
        <w:pStyle w:val="948"/>
        <w:ind w:left="4760" w:right="560" w:hanging="1820"/>
        <w:spacing w:before="0" w:after="0"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74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745"/>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highlight w:val="none"/>
        </w:rPr>
        <w:t xml:space="preserve">注：投标人法定代表人</w:t>
      </w:r>
      <w:r>
        <w:rPr>
          <w:rFonts w:hint="eastAsia" w:ascii="仿宋" w:hAnsi="仿宋" w:eastAsia="仿宋" w:cs="仿宋"/>
          <w:bCs/>
          <w:color w:val="000000"/>
          <w:sz w:val="28"/>
          <w:szCs w:val="28"/>
          <w:highlight w:val="none"/>
        </w:rPr>
        <w:t xml:space="preserve">参加投标的，必须附</w:t>
      </w:r>
      <w:r>
        <w:rPr>
          <w:rFonts w:hint="eastAsia" w:ascii="仿宋" w:hAnsi="仿宋" w:eastAsia="仿宋" w:cs="仿宋"/>
          <w:bCs/>
          <w:color w:val="000000"/>
          <w:sz w:val="28"/>
          <w:highlight w:val="none"/>
        </w:rPr>
        <w:t xml:space="preserve">法定代表人</w:t>
      </w:r>
      <w:r>
        <w:rPr>
          <w:rFonts w:hint="eastAsia" w:ascii="仿宋" w:hAnsi="仿宋" w:eastAsia="仿宋" w:cs="仿宋"/>
          <w:bCs/>
          <w:color w:val="000000"/>
          <w:sz w:val="28"/>
          <w:szCs w:val="28"/>
          <w:highlight w:val="none"/>
        </w:rPr>
        <w:t xml:space="preserve">身份证扫描件加盖投标人电子签章。</w:t>
      </w:r>
      <w:r>
        <w:rPr>
          <w:rFonts w:hint="eastAsia" w:ascii="仿宋" w:hAnsi="仿宋" w:eastAsia="仿宋" w:cs="仿宋"/>
          <w:color w:val="000000"/>
          <w:sz w:val="28"/>
          <w:szCs w:val="28"/>
          <w:highlight w:val="none"/>
        </w:rPr>
        <w:t xml:space="preserve">法定代表人授权其他人参加投标的，仅需填写“授权委托书”。</w:t>
      </w:r>
      <w:r>
        <w:rPr>
          <w:rFonts w:hint="eastAsia" w:ascii="仿宋" w:hAnsi="仿宋" w:eastAsia="仿宋" w:cs="仿宋"/>
          <w:bCs/>
          <w:color w:val="000000"/>
          <w:sz w:val="28"/>
          <w:szCs w:val="28"/>
          <w:highlight w:val="none"/>
        </w:rPr>
      </w:r>
      <w:r/>
    </w:p>
    <w:p>
      <w:pPr>
        <w:pStyle w:val="745"/>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745"/>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745"/>
        <w:ind w:left="-359" w:firstLine="357"/>
        <w:spacing w:line="64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32"/>
          <w:highlight w:val="none"/>
        </w:rPr>
        <w:t xml:space="preserve">示范格式二</w:t>
      </w:r>
      <w:r>
        <w:rPr>
          <w:rFonts w:hint="eastAsia" w:ascii="仿宋" w:hAnsi="仿宋" w:eastAsia="仿宋" w:cs="仿宋"/>
          <w:b/>
          <w:color w:val="000000"/>
          <w:sz w:val="28"/>
          <w:szCs w:val="28"/>
          <w:highlight w:val="none"/>
        </w:rPr>
      </w:r>
      <w:r/>
    </w:p>
    <w:p>
      <w:pPr>
        <w:pStyle w:val="745"/>
        <w:ind w:firstLine="3213"/>
        <w:spacing w:line="520" w:lineRule="exact"/>
        <w:rPr>
          <w:rFonts w:hint="eastAsia" w:ascii="仿宋" w:hAnsi="仿宋" w:eastAsia="仿宋" w:cs="仿宋"/>
          <w:b/>
          <w:bCs/>
          <w:color w:val="000000"/>
          <w:sz w:val="28"/>
          <w:highlight w:val="none"/>
        </w:rPr>
      </w:pPr>
      <w:r>
        <w:rPr>
          <w:rFonts w:hint="eastAsia" w:ascii="仿宋" w:hAnsi="仿宋" w:eastAsia="仿宋" w:cs="仿宋"/>
          <w:b/>
          <w:bCs/>
          <w:color w:val="000000"/>
          <w:sz w:val="32"/>
          <w:highlight w:val="none"/>
        </w:rPr>
        <w:t xml:space="preserve">授权委托书</w:t>
      </w:r>
      <w:r>
        <w:rPr>
          <w:rFonts w:hint="eastAsia" w:ascii="仿宋" w:hAnsi="仿宋" w:eastAsia="仿宋" w:cs="仿宋"/>
          <w:b/>
          <w:bCs/>
          <w:color w:val="000000"/>
          <w:sz w:val="28"/>
          <w:highlight w:val="none"/>
        </w:rPr>
      </w:r>
      <w:r/>
    </w:p>
    <w:p>
      <w:pPr>
        <w:pStyle w:val="745"/>
        <w:spacing w:line="520" w:lineRule="exact"/>
        <w:rPr>
          <w:rFonts w:hint="eastAsia" w:ascii="仿宋" w:hAnsi="仿宋" w:eastAsia="仿宋" w:cs="仿宋"/>
          <w:bCs/>
          <w:color w:val="000000"/>
          <w:sz w:val="30"/>
          <w:szCs w:val="28"/>
          <w:highlight w:val="none"/>
        </w:rPr>
      </w:pPr>
      <w:r>
        <w:rPr>
          <w:rFonts w:hint="eastAsia" w:ascii="仿宋" w:hAnsi="仿宋" w:eastAsia="仿宋" w:cs="仿宋"/>
          <w:bCs/>
          <w:color w:val="000000"/>
          <w:sz w:val="30"/>
          <w:szCs w:val="28"/>
          <w:highlight w:val="none"/>
        </w:rPr>
        <w:t xml:space="preserve">致招标人：</w:t>
      </w:r>
      <w:r>
        <w:rPr>
          <w:rFonts w:hint="eastAsia" w:ascii="仿宋" w:hAnsi="仿宋" w:eastAsia="仿宋" w:cs="仿宋"/>
          <w:bCs/>
          <w:color w:val="000000"/>
          <w:sz w:val="30"/>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本授权书宣告：</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委托方：地址：</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或负责人）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受托人：姓名性别：出生日期：年月日</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所在单位：职务：</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身份证：联系方式：</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兹委托受托人代表我公司参加贵单位组织的（项目编号：）采购项目的政府采购活动，受托人有权在该招标活动中，以我单位的名义签署投标函和投标文件，与招标人协商、澄清、解释，签订合同书并执行一切与此有关的事项。</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受托人在办理上述事宜过程中以其自己的名义所签署的所有文件我公司均予以承认。受托人无转委托权。</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委托期限：至上述事宜处理完毕止。</w:t>
      </w:r>
      <w:r>
        <w:rPr>
          <w:rFonts w:hint="eastAsia" w:ascii="仿宋" w:hAnsi="仿宋" w:eastAsia="仿宋" w:cs="仿宋"/>
          <w:color w:val="000000"/>
          <w:sz w:val="28"/>
          <w:szCs w:val="28"/>
          <w:highlight w:val="none"/>
        </w:rPr>
      </w:r>
      <w:r/>
    </w:p>
    <w:p>
      <w:pPr>
        <w:pStyle w:val="745"/>
        <w:ind w:firstLine="600"/>
        <w:spacing w:line="52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74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（电子签章）</w:t>
      </w:r>
      <w:r>
        <w:rPr>
          <w:rFonts w:hint="eastAsia" w:ascii="仿宋" w:hAnsi="仿宋" w:eastAsia="仿宋" w:cs="仿宋"/>
          <w:color w:val="000000"/>
          <w:sz w:val="28"/>
          <w:szCs w:val="28"/>
          <w:highlight w:val="none"/>
          <w:lang w:val="zh-CN"/>
        </w:rPr>
      </w:r>
      <w:r/>
    </w:p>
    <w:p>
      <w:pPr>
        <w:pStyle w:val="745"/>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日期：年月日</w:t>
      </w:r>
      <w:r>
        <w:rPr>
          <w:rFonts w:hint="eastAsia" w:ascii="仿宋" w:hAnsi="仿宋" w:eastAsia="仿宋" w:cs="仿宋"/>
          <w:color w:val="000000"/>
          <w:sz w:val="28"/>
          <w:szCs w:val="28"/>
          <w:highlight w:val="none"/>
          <w:lang w:val="zh-CN"/>
        </w:rPr>
      </w:r>
      <w:r/>
    </w:p>
    <w:p>
      <w:pPr>
        <w:pStyle w:val="745"/>
        <w:ind w:left="-359" w:firstLine="548"/>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bCs/>
          <w:color w:val="000000"/>
          <w:sz w:val="28"/>
          <w:highlight w:val="none"/>
        </w:rPr>
        <w:t xml:space="preserve">注：投标人委托</w:t>
      </w:r>
      <w:r>
        <w:rPr>
          <w:rFonts w:hint="eastAsia" w:ascii="仿宋" w:hAnsi="仿宋" w:eastAsia="仿宋" w:cs="仿宋"/>
          <w:bCs/>
          <w:color w:val="000000"/>
          <w:sz w:val="28"/>
          <w:szCs w:val="28"/>
          <w:highlight w:val="none"/>
        </w:rPr>
        <w:t xml:space="preserve">受托人参加投标的，必须附受托人身份证</w:t>
      </w:r>
      <w:r>
        <w:rPr>
          <w:rFonts w:hint="eastAsia" w:ascii="仿宋" w:hAnsi="仿宋" w:eastAsia="仿宋" w:cs="仿宋"/>
          <w:color w:val="000000"/>
          <w:sz w:val="28"/>
          <w:szCs w:val="28"/>
          <w:highlight w:val="none"/>
        </w:rPr>
        <w:t xml:space="preserve">扫描</w:t>
      </w:r>
      <w:r>
        <w:rPr>
          <w:rFonts w:hint="eastAsia" w:ascii="仿宋" w:hAnsi="仿宋" w:eastAsia="仿宋" w:cs="仿宋"/>
          <w:bCs/>
          <w:color w:val="000000"/>
          <w:sz w:val="28"/>
          <w:szCs w:val="28"/>
          <w:highlight w:val="none"/>
        </w:rPr>
        <w:t xml:space="preserve">件加盖投标人电子签章。</w:t>
      </w:r>
      <w:r>
        <w:rPr>
          <w:rFonts w:hint="eastAsia" w:ascii="仿宋" w:hAnsi="仿宋" w:eastAsia="仿宋" w:cs="仿宋"/>
          <w:color w:val="000000"/>
          <w:sz w:val="28"/>
          <w:szCs w:val="28"/>
          <w:highlight w:val="none"/>
        </w:rPr>
        <w:t xml:space="preserve">法定代表人直接参加投标的，仅需填写“法定代表人资格证明”。</w:t>
      </w:r>
      <w:r>
        <w:rPr>
          <w:rFonts w:hint="eastAsia" w:ascii="仿宋" w:hAnsi="仿宋" w:eastAsia="仿宋" w:cs="仿宋"/>
          <w:color w:val="000000"/>
          <w:sz w:val="28"/>
          <w:szCs w:val="28"/>
          <w:highlight w:val="none"/>
        </w:rPr>
      </w:r>
      <w:r/>
    </w:p>
    <w:p>
      <w:pPr>
        <w:pStyle w:val="74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4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4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示范格式三</w:t>
      </w:r>
      <w:r>
        <w:rPr>
          <w:rFonts w:hint="eastAsia" w:ascii="仿宋" w:hAnsi="仿宋" w:eastAsia="仿宋" w:cs="仿宋"/>
          <w:b/>
          <w:color w:val="000000"/>
          <w:sz w:val="32"/>
          <w:szCs w:val="32"/>
          <w:highlight w:val="none"/>
        </w:rPr>
      </w:r>
      <w:r/>
    </w:p>
    <w:p>
      <w:pPr>
        <w:pStyle w:val="74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45"/>
        <w:jc w:val="center"/>
        <w:spacing w:line="52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承诺书</w:t>
      </w:r>
      <w:r>
        <w:rPr>
          <w:rFonts w:hint="eastAsia" w:ascii="仿宋" w:hAnsi="仿宋" w:eastAsia="仿宋" w:cs="仿宋"/>
          <w:b/>
          <w:bCs/>
          <w:color w:val="000000"/>
          <w:sz w:val="32"/>
          <w:highlight w:val="none"/>
        </w:rPr>
      </w:r>
      <w:r/>
    </w:p>
    <w:p>
      <w:pPr>
        <w:pStyle w:val="865"/>
        <w:ind w:firstLine="0"/>
        <w:spacing w:line="7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致招标人：</w:t>
      </w:r>
      <w:r>
        <w:rPr>
          <w:rFonts w:hint="eastAsia" w:ascii="仿宋" w:hAnsi="仿宋" w:eastAsia="仿宋" w:cs="仿宋"/>
          <w:bCs/>
          <w:color w:val="000000"/>
          <w:sz w:val="28"/>
          <w:szCs w:val="28"/>
          <w:highlight w:val="none"/>
        </w:rPr>
      </w:r>
      <w:r/>
    </w:p>
    <w:p>
      <w:pPr>
        <w:pStyle w:val="745"/>
        <w:ind w:firstLine="84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我公司参加贵单位组织实施的（项目编号：）采购项目的政府采购活动。做出如下承诺：</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1、我单位具有独立承担民事责任的能力；</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2、我单位具有良好的商业信誉和健全的财务会计制度；</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3、我单位具有履行合同所必需的设备和专业技术能力；</w:t>
      </w:r>
      <w:r>
        <w:rPr>
          <w:rFonts w:hint="eastAsia" w:ascii="仿宋" w:hAnsi="仿宋" w:eastAsia="仿宋" w:cs="仿宋"/>
          <w:color w:val="000000"/>
          <w:sz w:val="28"/>
          <w:szCs w:val="28"/>
          <w:highlight w:val="none"/>
        </w:rPr>
      </w:r>
      <w:r/>
    </w:p>
    <w:p>
      <w:pPr>
        <w:pStyle w:val="74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4、我单位有依法缴纳税收和社会保障资金的良好记录；</w:t>
      </w:r>
      <w:r>
        <w:rPr>
          <w:rFonts w:hint="eastAsia" w:ascii="仿宋" w:hAnsi="仿宋" w:eastAsia="仿宋" w:cs="仿宋"/>
          <w:color w:val="000000"/>
          <w:sz w:val="28"/>
          <w:szCs w:val="28"/>
          <w:highlight w:val="none"/>
        </w:rPr>
      </w:r>
      <w:r/>
    </w:p>
    <w:p>
      <w:pPr>
        <w:pStyle w:val="745"/>
        <w:ind w:firstLine="560"/>
        <w:jc w:val="left"/>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color w:val="000000"/>
          <w:sz w:val="28"/>
          <w:szCs w:val="28"/>
          <w:highlight w:val="none"/>
        </w:rPr>
      </w:r>
      <w:r/>
    </w:p>
    <w:p>
      <w:pPr>
        <w:pStyle w:val="745"/>
        <w:ind w:firstLine="638"/>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6、我单位满足法律、行政法规规定的其他条件。</w:t>
      </w:r>
      <w:r>
        <w:rPr>
          <w:rFonts w:hint="eastAsia" w:ascii="仿宋" w:hAnsi="仿宋" w:eastAsia="仿宋" w:cs="仿宋"/>
          <w:color w:val="000000"/>
          <w:sz w:val="28"/>
          <w:szCs w:val="28"/>
          <w:highlight w:val="none"/>
        </w:rPr>
      </w:r>
      <w:r/>
    </w:p>
    <w:p>
      <w:pPr>
        <w:pStyle w:val="745"/>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745"/>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745"/>
        <w:jc w:val="right"/>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承诺人：</w:t>
      </w:r>
      <w:r>
        <w:rPr>
          <w:rFonts w:hint="eastAsia" w:ascii="仿宋" w:hAnsi="仿宋" w:eastAsia="仿宋" w:cs="仿宋"/>
          <w:color w:val="000000"/>
          <w:sz w:val="28"/>
          <w:szCs w:val="28"/>
          <w:highlight w:val="none"/>
          <w:u w:val="single"/>
          <w:lang w:val="zh-CN"/>
        </w:rPr>
        <w:t xml:space="preserve">（电子签章）</w:t>
      </w:r>
      <w:r>
        <w:rPr>
          <w:rFonts w:hint="eastAsia" w:ascii="仿宋" w:hAnsi="仿宋" w:eastAsia="仿宋" w:cs="仿宋"/>
          <w:color w:val="000000"/>
          <w:sz w:val="28"/>
          <w:szCs w:val="28"/>
          <w:highlight w:val="none"/>
          <w:lang w:val="zh-CN"/>
        </w:rPr>
      </w:r>
      <w:r/>
    </w:p>
    <w:p>
      <w:pPr>
        <w:pStyle w:val="745"/>
        <w:spacing w:line="52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日期：年月日</w:t>
      </w:r>
      <w:r>
        <w:rPr>
          <w:rFonts w:hint="eastAsia" w:ascii="仿宋" w:hAnsi="仿宋" w:eastAsia="仿宋" w:cs="仿宋"/>
          <w:color w:val="000000"/>
          <w:sz w:val="28"/>
          <w:szCs w:val="28"/>
          <w:highlight w:val="none"/>
          <w:lang w:val="zh-CN"/>
        </w:rPr>
      </w:r>
      <w:r/>
    </w:p>
    <w:p>
      <w:pPr>
        <w:pStyle w:val="745"/>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pStyle w:val="74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4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4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4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4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4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4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4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45"/>
        <w:rPr>
          <w:rFonts w:hint="eastAsia" w:ascii="仿宋" w:hAnsi="仿宋" w:eastAsia="仿宋" w:cs="仿宋"/>
          <w:color w:val="000000"/>
          <w:sz w:val="28"/>
          <w:szCs w:val="28"/>
          <w:highlight w:val="none"/>
        </w:rPr>
      </w:pPr>
      <w:r>
        <w:rPr>
          <w:rFonts w:hint="eastAsia" w:ascii="仿宋" w:hAnsi="仿宋" w:eastAsia="仿宋" w:cs="仿宋"/>
          <w:b/>
          <w:color w:val="000000"/>
          <w:sz w:val="32"/>
          <w:szCs w:val="32"/>
          <w:highlight w:val="none"/>
        </w:rPr>
        <w:t xml:space="preserve">示范格式四</w:t>
      </w:r>
      <w:r>
        <w:rPr>
          <w:rFonts w:hint="eastAsia" w:ascii="仿宋" w:hAnsi="仿宋" w:eastAsia="仿宋" w:cs="仿宋"/>
          <w:color w:val="000000"/>
          <w:sz w:val="28"/>
          <w:szCs w:val="28"/>
          <w:highlight w:val="none"/>
        </w:rPr>
      </w:r>
      <w:r/>
    </w:p>
    <w:p>
      <w:pPr>
        <w:pStyle w:val="745"/>
        <w:jc w:val="center"/>
        <w:spacing w:line="6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企业声明函（服务）</w:t>
      </w:r>
      <w:r>
        <w:rPr>
          <w:rFonts w:hint="eastAsia" w:ascii="仿宋" w:hAnsi="仿宋" w:eastAsia="仿宋" w:cs="仿宋"/>
          <w:b/>
          <w:bCs/>
          <w:color w:val="000000"/>
          <w:sz w:val="32"/>
          <w:szCs w:val="32"/>
          <w:highlight w:val="none"/>
        </w:rPr>
      </w:r>
      <w:r/>
    </w:p>
    <w:p>
      <w:pPr>
        <w:pStyle w:val="865"/>
        <w:ind w:firstLine="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致招标人：</w:t>
      </w:r>
      <w:r>
        <w:rPr>
          <w:rFonts w:hint="eastAsia" w:ascii="仿宋" w:hAnsi="仿宋" w:eastAsia="仿宋" w:cs="仿宋"/>
          <w:bCs/>
          <w:color w:val="000000"/>
          <w:sz w:val="28"/>
          <w:szCs w:val="28"/>
          <w:highlight w:val="none"/>
        </w:rPr>
      </w:r>
      <w:r/>
    </w:p>
    <w:p>
      <w:pPr>
        <w:pStyle w:val="865"/>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公司郑重声明，根据《政府采购促进中小企业发展管理办法》（财库﹝2020﹞46号）的规定，本公司参加（单位名称）的（项目名称）采购活动，服务全部由符合政策要求的中小企业承接。相关企业的具体情况如下：</w:t>
      </w:r>
      <w:r>
        <w:rPr>
          <w:rFonts w:hint="eastAsia" w:ascii="仿宋" w:hAnsi="仿宋" w:eastAsia="仿宋" w:cs="仿宋"/>
          <w:bCs/>
          <w:color w:val="000000"/>
          <w:sz w:val="28"/>
          <w:szCs w:val="28"/>
          <w:highlight w:val="none"/>
        </w:rPr>
      </w:r>
      <w:r/>
    </w:p>
    <w:p>
      <w:pPr>
        <w:pStyle w:val="865"/>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w:t>
      </w:r>
      <w:r>
        <w:rPr>
          <w:rFonts w:hint="eastAsia" w:ascii="仿宋" w:hAnsi="仿宋" w:eastAsia="仿宋" w:cs="仿宋"/>
          <w:bCs/>
          <w:color w:val="000000"/>
          <w:sz w:val="28"/>
          <w:szCs w:val="28"/>
          <w:highlight w:val="none"/>
          <w:u w:val="single"/>
        </w:rPr>
        <w:t xml:space="preserve">（标的名称）</w:t>
      </w:r>
      <w:r>
        <w:rPr>
          <w:rFonts w:hint="eastAsia" w:ascii="仿宋" w:hAnsi="仿宋" w:eastAsia="仿宋" w:cs="仿宋"/>
          <w:bCs/>
          <w:color w:val="000000"/>
          <w:sz w:val="28"/>
          <w:szCs w:val="28"/>
          <w:highlight w:val="none"/>
        </w:rPr>
        <w:t xml:space="preserve">，属于（采购文件中明确的所属行业）；承接企业为（企业名称），从业人员人，营业收入为万元，资产总额为万元，属于</w:t>
      </w:r>
      <w:r>
        <w:rPr>
          <w:rFonts w:hint="eastAsia" w:ascii="仿宋" w:hAnsi="仿宋" w:eastAsia="仿宋" w:cs="仿宋"/>
          <w:bCs/>
          <w:color w:val="000000"/>
          <w:sz w:val="28"/>
          <w:szCs w:val="28"/>
          <w:highlight w:val="none"/>
          <w:u w:val="single"/>
        </w:rPr>
        <w:t xml:space="preserve">（中型企业、小型企业、微型企业）</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865"/>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u w:val="single"/>
        </w:rPr>
        <w:t xml:space="preserve">（标的名称）</w:t>
      </w:r>
      <w:r>
        <w:rPr>
          <w:rFonts w:hint="eastAsia" w:ascii="仿宋" w:hAnsi="仿宋" w:eastAsia="仿宋" w:cs="仿宋"/>
          <w:bCs/>
          <w:color w:val="000000"/>
          <w:sz w:val="28"/>
          <w:szCs w:val="28"/>
          <w:highlight w:val="none"/>
        </w:rPr>
        <w:t xml:space="preserve">，属于（采购文件中明确的所属行业）；承接企业为（企业名称），从业人员人，营业收入为万元，资产总额为万元，属于</w:t>
      </w:r>
      <w:r>
        <w:rPr>
          <w:rFonts w:hint="eastAsia" w:ascii="仿宋" w:hAnsi="仿宋" w:eastAsia="仿宋" w:cs="仿宋"/>
          <w:bCs/>
          <w:color w:val="000000"/>
          <w:sz w:val="28"/>
          <w:szCs w:val="28"/>
          <w:highlight w:val="none"/>
          <w:u w:val="single"/>
        </w:rPr>
        <w:t xml:space="preserve">（中型企业、小型企业、微型企业）</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865"/>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865"/>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cs="仿宋"/>
          <w:bCs/>
          <w:color w:val="000000"/>
          <w:sz w:val="28"/>
          <w:szCs w:val="28"/>
          <w:highlight w:val="none"/>
        </w:rPr>
      </w:r>
      <w:r/>
    </w:p>
    <w:p>
      <w:pPr>
        <w:pStyle w:val="865"/>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本企业对上述声明内容的真实性负责。如有虚假，将依法承担相应责任。</w:t>
      </w:r>
      <w:r>
        <w:rPr>
          <w:rFonts w:hint="eastAsia" w:ascii="仿宋" w:hAnsi="仿宋" w:eastAsia="仿宋" w:cs="仿宋"/>
          <w:bCs/>
          <w:color w:val="000000"/>
          <w:sz w:val="28"/>
          <w:szCs w:val="28"/>
          <w:highlight w:val="none"/>
        </w:rPr>
      </w:r>
      <w:r/>
    </w:p>
    <w:p>
      <w:pPr>
        <w:pStyle w:val="74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（电子签章）</w:t>
      </w:r>
      <w:r>
        <w:rPr>
          <w:rFonts w:hint="eastAsia" w:ascii="仿宋" w:hAnsi="仿宋" w:eastAsia="仿宋" w:cs="仿宋"/>
          <w:color w:val="000000"/>
          <w:sz w:val="28"/>
          <w:szCs w:val="28"/>
          <w:highlight w:val="none"/>
          <w:lang w:val="zh-CN"/>
        </w:rPr>
      </w:r>
      <w:r/>
    </w:p>
    <w:p>
      <w:pPr>
        <w:pStyle w:val="74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lang w:val="en-US" w:eastAsia="zh-CN"/>
        </w:rPr>
        <w:t xml:space="preserve">或负责人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highlight w:val="none"/>
          <w:u w:val="single"/>
        </w:rPr>
        <w:t xml:space="preserve">（电子签章或电子签字）</w:t>
      </w:r>
      <w:r>
        <w:rPr>
          <w:rFonts w:hint="eastAsia" w:ascii="仿宋" w:hAnsi="仿宋" w:eastAsia="仿宋" w:cs="仿宋"/>
          <w:color w:val="000000"/>
          <w:sz w:val="28"/>
          <w:szCs w:val="28"/>
          <w:highlight w:val="none"/>
          <w:lang w:val="zh-CN"/>
        </w:rPr>
      </w:r>
      <w:r/>
    </w:p>
    <w:p>
      <w:pPr>
        <w:pStyle w:val="74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日期：年月日</w:t>
      </w:r>
      <w:r>
        <w:rPr>
          <w:rFonts w:hint="eastAsia" w:ascii="仿宋" w:hAnsi="仿宋" w:eastAsia="仿宋" w:cs="仿宋"/>
          <w:color w:val="000000"/>
          <w:sz w:val="28"/>
          <w:szCs w:val="28"/>
          <w:highlight w:val="none"/>
          <w:lang w:val="zh-CN"/>
        </w:rPr>
      </w:r>
      <w:r/>
    </w:p>
    <w:p>
      <w:pPr>
        <w:pStyle w:val="865"/>
        <w:ind w:firstLine="0"/>
        <w:spacing w:line="6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cs="仿宋"/>
          <w:bCs/>
          <w:color w:val="000000"/>
          <w:sz w:val="24"/>
          <w:szCs w:val="24"/>
          <w:highlight w:val="none"/>
        </w:rPr>
      </w:r>
      <w:r/>
    </w:p>
    <w:p>
      <w:pPr>
        <w:pStyle w:val="865"/>
        <w:ind w:firstLine="0"/>
        <w:jc w:val="left"/>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示范格式五</w:t>
      </w:r>
      <w:r>
        <w:rPr>
          <w:rFonts w:hint="eastAsia" w:ascii="仿宋" w:hAnsi="仿宋" w:eastAsia="仿宋" w:cs="仿宋"/>
          <w:b/>
          <w:color w:val="000000"/>
          <w:sz w:val="32"/>
          <w:szCs w:val="32"/>
          <w:highlight w:val="none"/>
        </w:rPr>
      </w:r>
      <w:r/>
    </w:p>
    <w:p>
      <w:pPr>
        <w:pStyle w:val="745"/>
        <w:jc w:val="center"/>
        <w:spacing w:line="640" w:lineRule="exact"/>
        <w:widowControl/>
        <w:rPr>
          <w:rFonts w:hint="eastAsia" w:ascii="仿宋" w:hAnsi="仿宋" w:eastAsia="仿宋" w:cs="仿宋"/>
          <w:color w:val="000000"/>
          <w:sz w:val="24"/>
          <w:highlight w:val="none"/>
        </w:rPr>
      </w:pPr>
      <w:r>
        <w:rPr>
          <w:rFonts w:hint="eastAsia" w:ascii="仿宋" w:hAnsi="仿宋" w:eastAsia="仿宋" w:cs="仿宋"/>
          <w:b/>
          <w:bCs/>
          <w:color w:val="000000"/>
          <w:sz w:val="32"/>
          <w:szCs w:val="32"/>
          <w:highlight w:val="none"/>
        </w:rPr>
        <w:t xml:space="preserve">残疾人福利性单位声明函</w:t>
      </w:r>
      <w:r>
        <w:rPr>
          <w:rFonts w:hint="eastAsia" w:ascii="仿宋" w:hAnsi="仿宋" w:eastAsia="仿宋" w:cs="仿宋"/>
          <w:color w:val="000000"/>
          <w:sz w:val="24"/>
          <w:highlight w:val="none"/>
        </w:rPr>
      </w:r>
      <w:r/>
    </w:p>
    <w:p>
      <w:pPr>
        <w:pStyle w:val="865"/>
        <w:ind w:firstLine="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致招标人：</w:t>
      </w:r>
      <w:r>
        <w:rPr>
          <w:rFonts w:hint="eastAsia" w:ascii="仿宋" w:hAnsi="仿宋" w:eastAsia="仿宋" w:cs="仿宋"/>
          <w:bCs/>
          <w:color w:val="000000"/>
          <w:sz w:val="28"/>
          <w:szCs w:val="28"/>
          <w:highlight w:val="none"/>
        </w:rPr>
      </w:r>
      <w:r/>
    </w:p>
    <w:p>
      <w:pPr>
        <w:pStyle w:val="865"/>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本单位郑重声明，根据《财政部民政部中国残疾人联合会关于促进残疾人就业政府采购政策的通知》（财库〔2017〕141号）的规定，本单位为符合条件的残疾人福利性单位。即，本单位同时满足以下条件：</w:t>
      </w:r>
      <w:r>
        <w:rPr>
          <w:rFonts w:hint="eastAsia" w:ascii="仿宋" w:hAnsi="仿宋" w:eastAsia="仿宋" w:cs="仿宋"/>
          <w:bCs/>
          <w:color w:val="000000"/>
          <w:sz w:val="28"/>
          <w:szCs w:val="28"/>
          <w:highlight w:val="none"/>
        </w:rPr>
      </w:r>
      <w:r/>
    </w:p>
    <w:p>
      <w:pPr>
        <w:pStyle w:val="865"/>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1、根据《财政部民政部中国残疾人联合会关于促进残疾人就业政府采购政策的通知》（财库〔2017〕141号）规定的划分标准，本公司为残疾人福利性企业。</w:t>
      </w:r>
      <w:r>
        <w:rPr>
          <w:rFonts w:hint="eastAsia" w:ascii="仿宋" w:hAnsi="仿宋" w:eastAsia="仿宋" w:cs="仿宋"/>
          <w:bCs/>
          <w:color w:val="000000"/>
          <w:sz w:val="28"/>
          <w:szCs w:val="28"/>
          <w:highlight w:val="none"/>
        </w:rPr>
      </w:r>
      <w:r/>
    </w:p>
    <w:p>
      <w:pPr>
        <w:pStyle w:val="865"/>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本单位参加（采购单位名称）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cs="仿宋"/>
          <w:bCs/>
          <w:color w:val="000000"/>
          <w:sz w:val="28"/>
          <w:szCs w:val="28"/>
          <w:highlight w:val="none"/>
        </w:rPr>
      </w:r>
      <w:r/>
    </w:p>
    <w:p>
      <w:pPr>
        <w:pStyle w:val="865"/>
        <w:ind w:firstLine="560"/>
        <w:spacing w:line="640" w:lineRule="exac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bCs/>
          <w:color w:val="000000"/>
          <w:sz w:val="28"/>
          <w:szCs w:val="28"/>
          <w:highlight w:val="none"/>
        </w:rPr>
        <w:t xml:space="preserve">本公司对上述声明的真实性负责。如有虚假，将依法承担相应责任。</w:t>
      </w:r>
      <w:r>
        <w:rPr>
          <w:rFonts w:hint="eastAsia" w:ascii="仿宋" w:hAnsi="仿宋" w:eastAsia="仿宋" w:cs="仿宋"/>
          <w:bCs/>
          <w:color w:val="000000"/>
          <w:sz w:val="28"/>
          <w:szCs w:val="28"/>
          <w:highlight w:val="none"/>
        </w:rPr>
      </w:r>
      <w:r/>
    </w:p>
    <w:p>
      <w:pPr>
        <w:pStyle w:val="865"/>
        <w:ind w:firstLine="560"/>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4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（电子签章）</w:t>
      </w:r>
      <w:r>
        <w:rPr>
          <w:rFonts w:hint="eastAsia" w:ascii="仿宋" w:hAnsi="仿宋" w:eastAsia="仿宋" w:cs="仿宋"/>
          <w:color w:val="000000"/>
          <w:sz w:val="28"/>
          <w:szCs w:val="28"/>
          <w:highlight w:val="none"/>
          <w:lang w:val="zh-CN"/>
        </w:rPr>
      </w:r>
      <w:r/>
    </w:p>
    <w:p>
      <w:pPr>
        <w:pStyle w:val="74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lang w:val="en-US" w:eastAsia="zh-CN"/>
        </w:rPr>
        <w:t xml:space="preserve">或负责人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highlight w:val="none"/>
          <w:u w:val="single"/>
        </w:rPr>
        <w:t xml:space="preserve">（电子签章或电子签字）</w:t>
      </w:r>
      <w:r>
        <w:rPr>
          <w:rFonts w:hint="eastAsia" w:ascii="仿宋" w:hAnsi="仿宋" w:eastAsia="仿宋" w:cs="仿宋"/>
          <w:color w:val="000000"/>
          <w:sz w:val="28"/>
          <w:szCs w:val="28"/>
          <w:highlight w:val="none"/>
          <w:lang w:val="zh-CN"/>
        </w:rPr>
      </w:r>
      <w:r/>
    </w:p>
    <w:p>
      <w:pPr>
        <w:pStyle w:val="745"/>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日期：年月日</w:t>
      </w:r>
      <w:r>
        <w:rPr>
          <w:rFonts w:hint="eastAsia" w:ascii="仿宋" w:hAnsi="仿宋" w:eastAsia="仿宋" w:cs="仿宋"/>
          <w:color w:val="000000"/>
          <w:sz w:val="28"/>
          <w:szCs w:val="28"/>
          <w:highlight w:val="none"/>
          <w:lang w:val="zh-CN"/>
        </w:rPr>
      </w:r>
      <w:r/>
    </w:p>
    <w:p>
      <w:pPr>
        <w:pStyle w:val="745"/>
        <w:ind w:firstLine="565"/>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注：非</w:t>
      </w:r>
      <w:r>
        <w:rPr>
          <w:rFonts w:hint="eastAsia" w:ascii="仿宋" w:hAnsi="仿宋" w:eastAsia="仿宋" w:cs="仿宋"/>
          <w:color w:val="000000"/>
          <w:sz w:val="28"/>
          <w:highlight w:val="none"/>
        </w:rPr>
        <w:t xml:space="preserve">残疾人福利性单位不</w:t>
      </w:r>
      <w:r>
        <w:rPr>
          <w:rFonts w:hint="eastAsia" w:ascii="仿宋" w:hAnsi="仿宋" w:eastAsia="仿宋" w:cs="仿宋"/>
          <w:color w:val="000000"/>
          <w:sz w:val="28"/>
          <w:szCs w:val="28"/>
          <w:highlight w:val="none"/>
        </w:rPr>
        <w:t xml:space="preserve">需提供此函。</w:t>
      </w:r>
      <w:r/>
    </w:p>
    <w:sectPr>
      <w:headerReference w:type="default" r:id="rId9"/>
      <w:footerReference w:type="default" r:id="rId10"/>
      <w:footerReference w:type="even" r:id="rId11"/>
      <w:footnotePr/>
      <w:endnotePr/>
      <w:type w:val="nextPage"/>
      <w:pgSz w:w="11906" w:h="16838" w:orient="portrait"/>
      <w:pgMar w:top="1729"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Symbol">
    <w:panose1 w:val="05050102010706020507"/>
  </w:font>
  <w:font w:name="Wingdings">
    <w:panose1 w:val="05000000000000000000"/>
  </w:font>
  <w:font w:name="华文彩云">
    <w:panose1 w:val="02010800040101010101"/>
  </w:font>
  <w:font w:name="仿宋">
    <w:panose1 w:val="02010609060101010101"/>
  </w:font>
  <w:font w:name="Tahoma">
    <w:panose1 w:val="020B0604030504040204"/>
  </w:font>
  <w:font w:name="Constantia">
    <w:panose1 w:val="02030602050306030303"/>
  </w:font>
  <w:font w:name="方正仿宋_GBK">
    <w:panose1 w:val="020B0503020202020204"/>
  </w:font>
  <w:font w:name="Cambria">
    <w:panose1 w:val="02040503050406030204"/>
  </w:font>
  <w:font w:name="楷体_GB2312">
    <w:panose1 w:val="02010609060101010101"/>
  </w:font>
  <w:font w:name="Courier New">
    <w:panose1 w:val="020703090202050204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8"/>
                            <w:tabs>
                              <w:tab w:val="clear" w:pos="7143" w:leader="none"/>
                              <w:tab w:val="clear" w:pos="14287" w:leader="none"/>
                            </w:tabs>
                          </w:pPr>
                          <w:r>
                            <w:fldChar w:fldCharType="begin"/>
                          </w:r>
                          <w:r>
                            <w:instrText xml:space="preserve"> PAGE  \* MERGEFORMAT </w:instrText>
                          </w:r>
                          <w:r>
                            <w:fldChar w:fldCharType="separate"/>
                          </w:r>
                          <w:r>
                            <w:t xml:space="preserve">67</w:t>
                          </w:r>
                          <w:r>
                            <w:fldChar w:fldCharType="end"/>
                          </w:r>
                          <w:r/>
                        </w:p>
                        <w:p>
                          <w:pPr>
                            <w:pStyle w:val="74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8"/>
                      <w:tabs>
                        <w:tab w:val="clear" w:pos="7143" w:leader="none"/>
                        <w:tab w:val="clear" w:pos="14287" w:leader="none"/>
                      </w:tabs>
                    </w:pPr>
                    <w:r>
                      <w:fldChar w:fldCharType="begin"/>
                    </w:r>
                    <w:r>
                      <w:instrText xml:space="preserve"> PAGE  \* MERGEFORMAT </w:instrText>
                    </w:r>
                    <w:r>
                      <w:fldChar w:fldCharType="separate"/>
                    </w:r>
                    <w:r>
                      <w:t xml:space="preserve">67</w:t>
                    </w:r>
                    <w:r>
                      <w:fldChar w:fldCharType="end"/>
                    </w:r>
                    <w:r/>
                  </w:p>
                  <w:p>
                    <w:pPr>
                      <w:pStyle w:val="74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rPr>
        <w:rStyle w:val="850"/>
      </w:rPr>
      <w:framePr w:wrap="around" w:vAnchor="text" w:hAnchor="margin" w:xAlign="center" w:y="1"/>
    </w:pPr>
    <w:r>
      <w:fldChar w:fldCharType="begin"/>
    </w:r>
    <w:r>
      <w:rPr>
        <w:rStyle w:val="850"/>
      </w:rPr>
      <w:instrText xml:space="preserve">PAGE  </w:instrText>
    </w:r>
    <w:r>
      <w:fldChar w:fldCharType="end"/>
    </w:r>
    <w:r>
      <w:rPr>
        <w:rStyle w:val="850"/>
      </w:rPr>
    </w:r>
    <w:r/>
  </w:p>
  <w:p>
    <w:pPr>
      <w:pStyle w:val="8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745"/>
      </w:pPr>
      <w:rPr>
        <w:rFonts w:hint="eastAsia"/>
      </w:rPr>
    </w:lvl>
    <w:lvl w:ilvl="1">
      <w:start w:val="1"/>
      <w:numFmt w:val="bullet"/>
      <w:isLgl w:val="false"/>
      <w:suff w:val="tab"/>
      <w:lvlText w:val="o"/>
      <w:lvlJc w:val="left"/>
      <w:pPr>
        <w:pStyle w:val="745"/>
        <w:ind w:left="1440" w:hanging="360"/>
      </w:pPr>
      <w:rPr>
        <w:rFonts w:ascii="Courier New" w:hAnsi="Courier New" w:eastAsia="Courier New" w:cs="Courier New"/>
      </w:rPr>
    </w:lvl>
    <w:lvl w:ilvl="2">
      <w:start w:val="1"/>
      <w:numFmt w:val="bullet"/>
      <w:isLgl w:val="false"/>
      <w:suff w:val="tab"/>
      <w:lvlText w:val="§"/>
      <w:lvlJc w:val="left"/>
      <w:pPr>
        <w:pStyle w:val="745"/>
        <w:ind w:left="2160" w:hanging="360"/>
      </w:pPr>
      <w:rPr>
        <w:rFonts w:ascii="Wingdings" w:hAnsi="Wingdings" w:eastAsia="Wingdings" w:cs="Wingdings"/>
      </w:rPr>
    </w:lvl>
    <w:lvl w:ilvl="3">
      <w:start w:val="1"/>
      <w:numFmt w:val="bullet"/>
      <w:isLgl w:val="false"/>
      <w:suff w:val="tab"/>
      <w:lvlText w:val="·"/>
      <w:lvlJc w:val="left"/>
      <w:pPr>
        <w:pStyle w:val="745"/>
        <w:ind w:left="2880" w:hanging="360"/>
      </w:pPr>
      <w:rPr>
        <w:rFonts w:ascii="Symbol" w:hAnsi="Symbol" w:eastAsia="Symbol" w:cs="Symbol"/>
      </w:rPr>
    </w:lvl>
    <w:lvl w:ilvl="4">
      <w:start w:val="1"/>
      <w:numFmt w:val="bullet"/>
      <w:isLgl w:val="false"/>
      <w:suff w:val="tab"/>
      <w:lvlText w:val="o"/>
      <w:lvlJc w:val="left"/>
      <w:pPr>
        <w:pStyle w:val="745"/>
        <w:ind w:left="3600" w:hanging="360"/>
      </w:pPr>
      <w:rPr>
        <w:rFonts w:ascii="Courier New" w:hAnsi="Courier New" w:eastAsia="Courier New" w:cs="Courier New"/>
      </w:rPr>
    </w:lvl>
    <w:lvl w:ilvl="5">
      <w:start w:val="1"/>
      <w:numFmt w:val="bullet"/>
      <w:isLgl w:val="false"/>
      <w:suff w:val="tab"/>
      <w:lvlText w:val="§"/>
      <w:lvlJc w:val="left"/>
      <w:pPr>
        <w:pStyle w:val="745"/>
        <w:ind w:left="4320" w:hanging="360"/>
      </w:pPr>
      <w:rPr>
        <w:rFonts w:ascii="Wingdings" w:hAnsi="Wingdings" w:eastAsia="Wingdings" w:cs="Wingdings"/>
      </w:rPr>
    </w:lvl>
    <w:lvl w:ilvl="6">
      <w:start w:val="1"/>
      <w:numFmt w:val="bullet"/>
      <w:isLgl w:val="false"/>
      <w:suff w:val="tab"/>
      <w:lvlText w:val="·"/>
      <w:lvlJc w:val="left"/>
      <w:pPr>
        <w:pStyle w:val="745"/>
        <w:ind w:left="5040" w:hanging="360"/>
      </w:pPr>
      <w:rPr>
        <w:rFonts w:ascii="Symbol" w:hAnsi="Symbol" w:eastAsia="Symbol" w:cs="Symbol"/>
      </w:rPr>
    </w:lvl>
    <w:lvl w:ilvl="7">
      <w:start w:val="1"/>
      <w:numFmt w:val="bullet"/>
      <w:isLgl w:val="false"/>
      <w:suff w:val="tab"/>
      <w:lvlText w:val="o"/>
      <w:lvlJc w:val="left"/>
      <w:pPr>
        <w:pStyle w:val="745"/>
        <w:ind w:left="5760" w:hanging="360"/>
      </w:pPr>
      <w:rPr>
        <w:rFonts w:ascii="Courier New" w:hAnsi="Courier New" w:eastAsia="Courier New" w:cs="Courier New"/>
      </w:rPr>
    </w:lvl>
    <w:lvl w:ilvl="8">
      <w:start w:val="1"/>
      <w:numFmt w:val="bullet"/>
      <w:isLgl w:val="false"/>
      <w:suff w:val="tab"/>
      <w:lvlText w:val="§"/>
      <w:lvlJc w:val="left"/>
      <w:pPr>
        <w:pStyle w:val="745"/>
        <w:ind w:left="6480" w:hanging="360"/>
      </w:pPr>
      <w:rPr>
        <w:rFonts w:ascii="Wingdings" w:hAnsi="Wingdings" w:eastAsia="Wingdings" w:cs="Wingdings"/>
      </w:rPr>
    </w:lvl>
  </w:abstractNum>
  <w:abstractNum w:abstractNumId="1">
    <w:multiLevelType w:val="hybridMultilevel"/>
    <w:lvl w:ilvl="0">
      <w:start w:val="2"/>
      <w:numFmt w:val="chineseCountingThousand"/>
      <w:pStyle w:val="893"/>
      <w:isLgl w:val="false"/>
      <w:suff w:val="nothing"/>
      <w:lvlText w:val="第%1部分"/>
      <w:lvlJc w:val="center"/>
      <w:pPr>
        <w:pStyle w:val="745"/>
        <w:ind w:left="432" w:firstLine="288"/>
      </w:pPr>
      <w:rPr>
        <w:rFonts w:hint="eastAsia"/>
        <w:sz w:val="28"/>
        <w:szCs w:val="28"/>
        <w:lang w:val="en-US"/>
      </w:rPr>
    </w:lvl>
    <w:lvl w:ilvl="1">
      <w:start w:val="1"/>
      <w:numFmt w:val="chineseCountingThousand"/>
      <w:isLgl w:val="false"/>
      <w:suff w:val="nothing"/>
      <w:lvlText w:val="%2、"/>
      <w:lvlJc w:val="left"/>
      <w:pPr>
        <w:pStyle w:val="745"/>
        <w:ind w:left="360" w:firstLine="0"/>
      </w:pPr>
      <w:rPr>
        <w:rFonts w:hint="eastAsia"/>
        <w:lang w:val="en-US"/>
      </w:rPr>
    </w:lvl>
    <w:lvl w:ilvl="2">
      <w:start w:val="1"/>
      <w:numFmt w:val="chineseCountingThousand"/>
      <w:isLgl w:val="false"/>
      <w:suff w:val="nothing"/>
      <w:lvlText w:val="(%3)"/>
      <w:lvlJc w:val="left"/>
      <w:pPr>
        <w:pStyle w:val="745"/>
        <w:ind w:left="0" w:firstLine="0"/>
      </w:pPr>
      <w:rPr>
        <w:rFonts w:hint="eastAsia"/>
      </w:rPr>
    </w:lvl>
    <w:lvl w:ilvl="3">
      <w:start w:val="1"/>
      <w:numFmt w:val="decimal"/>
      <w:isLgl w:val="false"/>
      <w:suff w:val="nothing"/>
      <w:lvlText w:val="%4、"/>
      <w:lvlJc w:val="left"/>
      <w:pPr>
        <w:pStyle w:val="745"/>
        <w:ind w:left="0" w:firstLine="0"/>
      </w:pPr>
      <w:rPr>
        <w:rFonts w:hint="eastAsia"/>
      </w:rPr>
    </w:lvl>
    <w:lvl w:ilvl="4">
      <w:start w:val="1"/>
      <w:numFmt w:val="upperLetter"/>
      <w:isLgl w:val="false"/>
      <w:suff w:val="nothing"/>
      <w:lvlText w:val="%5、"/>
      <w:lvlJc w:val="left"/>
      <w:pPr>
        <w:pStyle w:val="745"/>
        <w:ind w:left="0" w:firstLine="0"/>
      </w:pPr>
      <w:rPr>
        <w:rFonts w:hint="eastAsia"/>
      </w:rPr>
    </w:lvl>
    <w:lvl w:ilvl="5">
      <w:start w:val="1"/>
      <w:numFmt w:val="decimal"/>
      <w:isLgl w:val="false"/>
      <w:suff w:val="nothing"/>
      <w:lvlText w:val=""/>
      <w:lvlJc w:val="left"/>
      <w:pPr>
        <w:pStyle w:val="745"/>
        <w:ind w:left="0" w:firstLine="0"/>
      </w:pPr>
      <w:rPr>
        <w:rFonts w:hint="eastAsia"/>
      </w:rPr>
    </w:lvl>
    <w:lvl w:ilvl="6">
      <w:start w:val="1"/>
      <w:numFmt w:val="decimal"/>
      <w:isLgl w:val="false"/>
      <w:suff w:val="nothing"/>
      <w:lvlText w:val=""/>
      <w:lvlJc w:val="left"/>
      <w:pPr>
        <w:pStyle w:val="745"/>
        <w:ind w:left="0" w:firstLine="0"/>
      </w:pPr>
      <w:rPr>
        <w:rFonts w:hint="eastAsia"/>
      </w:rPr>
    </w:lvl>
    <w:lvl w:ilvl="7">
      <w:start w:val="1"/>
      <w:numFmt w:val="decimal"/>
      <w:isLgl w:val="false"/>
      <w:suff w:val="nothing"/>
      <w:lvlText w:val=""/>
      <w:lvlJc w:val="left"/>
      <w:pPr>
        <w:pStyle w:val="745"/>
        <w:ind w:left="0" w:firstLine="0"/>
      </w:pPr>
      <w:rPr>
        <w:rFonts w:hint="eastAsia"/>
      </w:rPr>
    </w:lvl>
    <w:lvl w:ilvl="8">
      <w:start w:val="1"/>
      <w:numFmt w:val="decimal"/>
      <w:isLgl w:val="false"/>
      <w:suff w:val="nothing"/>
      <w:lvlText w:val=""/>
      <w:lvlJc w:val="left"/>
      <w:pPr>
        <w:pStyle w:val="745"/>
        <w:ind w:left="0" w:firstLine="0"/>
      </w:pPr>
      <w:rPr>
        <w:rFonts w:hint="eastAsia"/>
      </w:rPr>
    </w:lvl>
  </w:abstractNum>
  <w:abstractNum w:abstractNumId="2">
    <w:multiLevelType w:val="hybridMultilevel"/>
    <w:lvl w:ilvl="0">
      <w:start w:val="1"/>
      <w:numFmt w:val="chineseCountingThousand"/>
      <w:pStyle w:val="921"/>
      <w:isLgl w:val="false"/>
      <w:suff w:val="tab"/>
      <w:lvlText w:val="%1、"/>
      <w:lvlJc w:val="left"/>
      <w:pPr>
        <w:pStyle w:val="745"/>
        <w:ind w:left="420" w:hanging="420"/>
        <w:tabs>
          <w:tab w:val="num" w:pos="420" w:leader="none"/>
        </w:tabs>
      </w:pPr>
      <w:rPr>
        <w:rFonts w:hint="eastAsia"/>
        <w:b/>
        <w:i w:val="0"/>
      </w:rPr>
    </w:lvl>
    <w:lvl w:ilvl="1">
      <w:start w:val="1"/>
      <w:numFmt w:val="lowerLetter"/>
      <w:isLgl w:val="false"/>
      <w:suff w:val="tab"/>
      <w:lvlText w:val="%2)"/>
      <w:lvlJc w:val="left"/>
      <w:pPr>
        <w:pStyle w:val="745"/>
        <w:ind w:left="840" w:hanging="420"/>
        <w:tabs>
          <w:tab w:val="num" w:pos="840" w:leader="none"/>
        </w:tabs>
      </w:pPr>
    </w:lvl>
    <w:lvl w:ilvl="2">
      <w:start w:val="1"/>
      <w:numFmt w:val="lowerRoman"/>
      <w:isLgl w:val="false"/>
      <w:suff w:val="tab"/>
      <w:lvlText w:val="%3."/>
      <w:lvlJc w:val="right"/>
      <w:pPr>
        <w:pStyle w:val="745"/>
        <w:ind w:left="1260" w:hanging="420"/>
        <w:tabs>
          <w:tab w:val="num" w:pos="1260" w:leader="none"/>
        </w:tabs>
      </w:pPr>
    </w:lvl>
    <w:lvl w:ilvl="3">
      <w:start w:val="1"/>
      <w:numFmt w:val="decimal"/>
      <w:isLgl w:val="false"/>
      <w:suff w:val="tab"/>
      <w:lvlText w:val="%4."/>
      <w:lvlJc w:val="left"/>
      <w:pPr>
        <w:pStyle w:val="745"/>
        <w:ind w:left="1680" w:hanging="420"/>
        <w:tabs>
          <w:tab w:val="num" w:pos="1680" w:leader="none"/>
        </w:tabs>
      </w:pPr>
    </w:lvl>
    <w:lvl w:ilvl="4">
      <w:start w:val="1"/>
      <w:numFmt w:val="lowerLetter"/>
      <w:isLgl w:val="false"/>
      <w:suff w:val="tab"/>
      <w:lvlText w:val="%5)"/>
      <w:lvlJc w:val="left"/>
      <w:pPr>
        <w:pStyle w:val="745"/>
        <w:ind w:left="2100" w:hanging="420"/>
        <w:tabs>
          <w:tab w:val="num" w:pos="2100" w:leader="none"/>
        </w:tabs>
      </w:pPr>
    </w:lvl>
    <w:lvl w:ilvl="5">
      <w:start w:val="1"/>
      <w:numFmt w:val="lowerRoman"/>
      <w:isLgl w:val="false"/>
      <w:suff w:val="tab"/>
      <w:lvlText w:val="%6."/>
      <w:lvlJc w:val="right"/>
      <w:pPr>
        <w:pStyle w:val="745"/>
        <w:ind w:left="2520" w:hanging="420"/>
        <w:tabs>
          <w:tab w:val="num" w:pos="2520" w:leader="none"/>
        </w:tabs>
      </w:pPr>
    </w:lvl>
    <w:lvl w:ilvl="6">
      <w:start w:val="1"/>
      <w:numFmt w:val="decimal"/>
      <w:isLgl w:val="false"/>
      <w:suff w:val="tab"/>
      <w:lvlText w:val="%7."/>
      <w:lvlJc w:val="left"/>
      <w:pPr>
        <w:pStyle w:val="745"/>
        <w:ind w:left="2940" w:hanging="420"/>
        <w:tabs>
          <w:tab w:val="num" w:pos="2940" w:leader="none"/>
        </w:tabs>
      </w:pPr>
    </w:lvl>
    <w:lvl w:ilvl="7">
      <w:start w:val="1"/>
      <w:numFmt w:val="lowerLetter"/>
      <w:isLgl w:val="false"/>
      <w:suff w:val="tab"/>
      <w:lvlText w:val="%8)"/>
      <w:lvlJc w:val="left"/>
      <w:pPr>
        <w:pStyle w:val="745"/>
        <w:ind w:left="3360" w:hanging="420"/>
        <w:tabs>
          <w:tab w:val="num" w:pos="3360" w:leader="none"/>
        </w:tabs>
      </w:pPr>
    </w:lvl>
    <w:lvl w:ilvl="8">
      <w:start w:val="1"/>
      <w:numFmt w:val="lowerRoman"/>
      <w:isLgl w:val="false"/>
      <w:suff w:val="tab"/>
      <w:lvlText w:val="%9."/>
      <w:lvlJc w:val="right"/>
      <w:pPr>
        <w:pStyle w:val="745"/>
        <w:ind w:left="3780" w:hanging="420"/>
        <w:tabs>
          <w:tab w:val="num" w:pos="3780" w:leader="none"/>
        </w:tabs>
      </w:pPr>
    </w:lvl>
  </w:abstractNum>
  <w:abstractNum w:abstractNumId="3">
    <w:multiLevelType w:val="hybridMultilevel"/>
    <w:lvl w:ilvl="0">
      <w:start w:val="1"/>
      <w:numFmt w:val="chineseCountingThousand"/>
      <w:pStyle w:val="904"/>
      <w:isLgl w:val="false"/>
      <w:suff w:val="nothing"/>
      <w:lvlText w:val="第%1章"/>
      <w:lvlJc w:val="left"/>
      <w:pPr>
        <w:pStyle w:val="745"/>
        <w:ind w:left="640" w:firstLine="0"/>
      </w:pPr>
      <w:rPr>
        <w:rFonts w:hint="eastAsia"/>
      </w:rPr>
    </w:lvl>
    <w:lvl w:ilvl="1">
      <w:start w:val="1"/>
      <w:numFmt w:val="decimal"/>
      <w:isLgl w:val="false"/>
      <w:suff w:val="nothing"/>
      <w:lvlText w:val=""/>
      <w:lvlJc w:val="left"/>
      <w:pPr>
        <w:pStyle w:val="745"/>
        <w:ind w:left="640" w:firstLine="0"/>
      </w:pPr>
      <w:rPr>
        <w:rFonts w:hint="eastAsia"/>
      </w:rPr>
    </w:lvl>
    <w:lvl w:ilvl="2">
      <w:start w:val="1"/>
      <w:numFmt w:val="decimal"/>
      <w:isLgl w:val="false"/>
      <w:suff w:val="nothing"/>
      <w:lvlText w:val=""/>
      <w:lvlJc w:val="left"/>
      <w:pPr>
        <w:pStyle w:val="745"/>
        <w:ind w:left="640" w:firstLine="0"/>
      </w:pPr>
      <w:rPr>
        <w:rFonts w:hint="eastAsia"/>
      </w:rPr>
    </w:lvl>
    <w:lvl w:ilvl="3">
      <w:start w:val="1"/>
      <w:numFmt w:val="decimal"/>
      <w:isLgl w:val="false"/>
      <w:suff w:val="nothing"/>
      <w:lvlText w:val=""/>
      <w:lvlJc w:val="left"/>
      <w:pPr>
        <w:pStyle w:val="745"/>
        <w:ind w:left="640" w:firstLine="0"/>
      </w:pPr>
      <w:rPr>
        <w:rFonts w:hint="eastAsia"/>
      </w:rPr>
    </w:lvl>
    <w:lvl w:ilvl="4">
      <w:start w:val="1"/>
      <w:numFmt w:val="decimal"/>
      <w:isLgl w:val="false"/>
      <w:suff w:val="nothing"/>
      <w:lvlText w:val=""/>
      <w:lvlJc w:val="left"/>
      <w:pPr>
        <w:pStyle w:val="745"/>
        <w:ind w:left="640" w:firstLine="0"/>
      </w:pPr>
      <w:rPr>
        <w:rFonts w:hint="eastAsia"/>
      </w:rPr>
    </w:lvl>
    <w:lvl w:ilvl="5">
      <w:start w:val="1"/>
      <w:numFmt w:val="decimal"/>
      <w:isLgl w:val="false"/>
      <w:suff w:val="nothing"/>
      <w:lvlText w:val=""/>
      <w:lvlJc w:val="left"/>
      <w:pPr>
        <w:pStyle w:val="745"/>
        <w:ind w:left="640" w:firstLine="0"/>
      </w:pPr>
      <w:rPr>
        <w:rFonts w:hint="eastAsia"/>
      </w:rPr>
    </w:lvl>
    <w:lvl w:ilvl="6">
      <w:start w:val="1"/>
      <w:numFmt w:val="decimal"/>
      <w:isLgl w:val="false"/>
      <w:suff w:val="nothing"/>
      <w:lvlText w:val=""/>
      <w:lvlJc w:val="left"/>
      <w:pPr>
        <w:pStyle w:val="745"/>
        <w:ind w:left="640" w:firstLine="0"/>
      </w:pPr>
      <w:rPr>
        <w:rFonts w:hint="eastAsia"/>
      </w:rPr>
    </w:lvl>
    <w:lvl w:ilvl="7">
      <w:start w:val="1"/>
      <w:numFmt w:val="decimal"/>
      <w:isLgl w:val="false"/>
      <w:suff w:val="nothing"/>
      <w:lvlText w:val=""/>
      <w:lvlJc w:val="left"/>
      <w:pPr>
        <w:pStyle w:val="745"/>
        <w:ind w:left="640" w:firstLine="0"/>
      </w:pPr>
      <w:rPr>
        <w:rFonts w:hint="eastAsia"/>
      </w:rPr>
    </w:lvl>
    <w:lvl w:ilvl="8">
      <w:start w:val="1"/>
      <w:numFmt w:val="decimal"/>
      <w:isLgl w:val="false"/>
      <w:suff w:val="nothing"/>
      <w:lvlText w:val=""/>
      <w:lvlJc w:val="left"/>
      <w:pPr>
        <w:pStyle w:val="745"/>
        <w:ind w:left="640" w:firstLine="0"/>
      </w:pPr>
      <w:rPr>
        <w:rFonts w:hint="eastAsia"/>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745"/>
    <w:next w:val="745"/>
    <w:link w:val="878"/>
    <w:uiPriority w:val="9"/>
    <w:qFormat/>
    <w:pPr>
      <w:keepLines/>
      <w:keepNext/>
      <w:spacing w:before="480" w:after="200"/>
      <w:outlineLvl w:val="0"/>
    </w:pPr>
    <w:rPr>
      <w:rFonts w:ascii="Arial" w:hAnsi="Arial" w:eastAsia="Arial" w:cs="Arial"/>
      <w:sz w:val="40"/>
      <w:szCs w:val="40"/>
    </w:rPr>
  </w:style>
  <w:style w:type="paragraph" w:styleId="710">
    <w:name w:val="Heading 2"/>
    <w:basedOn w:val="745"/>
    <w:next w:val="745"/>
    <w:link w:val="827"/>
    <w:uiPriority w:val="9"/>
    <w:unhideWhenUsed/>
    <w:qFormat/>
    <w:pPr>
      <w:keepLines/>
      <w:keepNext/>
      <w:spacing w:before="360" w:after="200"/>
      <w:outlineLvl w:val="1"/>
    </w:pPr>
    <w:rPr>
      <w:rFonts w:ascii="Arial" w:hAnsi="Arial" w:eastAsia="Arial" w:cs="Arial"/>
      <w:sz w:val="34"/>
    </w:rPr>
  </w:style>
  <w:style w:type="paragraph" w:styleId="711">
    <w:name w:val="Heading 3"/>
    <w:basedOn w:val="745"/>
    <w:next w:val="745"/>
    <w:link w:val="855"/>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45"/>
    <w:next w:val="745"/>
    <w:link w:val="852"/>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45"/>
    <w:next w:val="745"/>
    <w:link w:val="887"/>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45"/>
    <w:next w:val="745"/>
    <w:link w:val="858"/>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45"/>
    <w:next w:val="745"/>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45"/>
    <w:next w:val="745"/>
    <w:link w:val="876"/>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45"/>
    <w:next w:val="745"/>
    <w:link w:val="838"/>
    <w:uiPriority w:val="9"/>
    <w:unhideWhenUsed/>
    <w:qFormat/>
    <w:pPr>
      <w:keepLines/>
      <w:keepNext/>
      <w:spacing w:before="320" w:after="200"/>
      <w:outlineLvl w:val="8"/>
    </w:pPr>
    <w:rPr>
      <w:rFonts w:ascii="Arial" w:hAnsi="Arial" w:eastAsia="Arial" w:cs="Arial"/>
      <w:i/>
      <w:iCs/>
      <w:sz w:val="21"/>
      <w:szCs w:val="21"/>
    </w:rPr>
  </w:style>
  <w:style w:type="paragraph" w:styleId="718">
    <w:name w:val="List Paragraph"/>
    <w:basedOn w:val="745"/>
    <w:uiPriority w:val="34"/>
    <w:qFormat/>
    <w:pPr>
      <w:contextualSpacing/>
      <w:ind w:left="720"/>
    </w:pPr>
  </w:style>
  <w:style w:type="paragraph" w:styleId="719">
    <w:name w:val="No Spacing"/>
    <w:uiPriority w:val="1"/>
    <w:qFormat/>
    <w:pPr>
      <w:spacing w:before="0" w:after="0" w:line="240" w:lineRule="auto"/>
    </w:pPr>
  </w:style>
  <w:style w:type="paragraph" w:styleId="720">
    <w:name w:val="Title"/>
    <w:basedOn w:val="745"/>
    <w:next w:val="745"/>
    <w:link w:val="840"/>
    <w:uiPriority w:val="10"/>
    <w:qFormat/>
    <w:pPr>
      <w:contextualSpacing/>
      <w:spacing w:before="300" w:after="200"/>
    </w:pPr>
    <w:rPr>
      <w:sz w:val="48"/>
      <w:szCs w:val="48"/>
    </w:rPr>
  </w:style>
  <w:style w:type="paragraph" w:styleId="721">
    <w:name w:val="Subtitle"/>
    <w:basedOn w:val="745"/>
    <w:next w:val="745"/>
    <w:link w:val="806"/>
    <w:uiPriority w:val="11"/>
    <w:qFormat/>
    <w:pPr>
      <w:spacing w:before="200" w:after="200"/>
    </w:pPr>
    <w:rPr>
      <w:sz w:val="24"/>
      <w:szCs w:val="24"/>
    </w:rPr>
  </w:style>
  <w:style w:type="paragraph" w:styleId="722">
    <w:name w:val="Quote"/>
    <w:basedOn w:val="745"/>
    <w:next w:val="745"/>
    <w:link w:val="723"/>
    <w:uiPriority w:val="29"/>
    <w:qFormat/>
    <w:pPr>
      <w:ind w:left="720" w:right="720"/>
    </w:pPr>
    <w:rPr>
      <w:i/>
    </w:rPr>
  </w:style>
  <w:style w:type="character" w:styleId="723">
    <w:name w:val="Quote Char"/>
    <w:link w:val="722"/>
    <w:uiPriority w:val="29"/>
    <w:rPr>
      <w:i/>
    </w:rPr>
  </w:style>
  <w:style w:type="paragraph" w:styleId="724">
    <w:name w:val="Intense Quote"/>
    <w:basedOn w:val="745"/>
    <w:next w:val="745"/>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paragraph" w:styleId="726">
    <w:name w:val="Header"/>
    <w:basedOn w:val="745"/>
    <w:link w:val="834"/>
    <w:uiPriority w:val="99"/>
    <w:unhideWhenUsed/>
    <w:pPr>
      <w:spacing w:after="0" w:line="240" w:lineRule="auto"/>
      <w:tabs>
        <w:tab w:val="center" w:pos="7143" w:leader="none"/>
        <w:tab w:val="right" w:pos="14287" w:leader="none"/>
      </w:tabs>
    </w:pPr>
  </w:style>
  <w:style w:type="paragraph" w:styleId="727">
    <w:name w:val="Footer"/>
    <w:basedOn w:val="745"/>
    <w:link w:val="847"/>
    <w:uiPriority w:val="99"/>
    <w:unhideWhenUsed/>
    <w:pPr>
      <w:spacing w:after="0" w:line="240" w:lineRule="auto"/>
      <w:tabs>
        <w:tab w:val="center" w:pos="7143" w:leader="none"/>
        <w:tab w:val="right" w:pos="14287" w:leader="none"/>
      </w:tabs>
    </w:pPr>
  </w:style>
  <w:style w:type="paragraph" w:styleId="728">
    <w:name w:val="Caption"/>
    <w:basedOn w:val="745"/>
    <w:next w:val="745"/>
    <w:uiPriority w:val="35"/>
    <w:semiHidden/>
    <w:unhideWhenUsed/>
    <w:qFormat/>
    <w:pPr>
      <w:spacing w:line="276" w:lineRule="auto"/>
    </w:pPr>
    <w:rPr>
      <w:b/>
      <w:bCs/>
      <w:color w:val="4f81bd" w:themeColor="accent1"/>
      <w:sz w:val="18"/>
      <w:szCs w:val="18"/>
    </w:rPr>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Hyperlink"/>
    <w:uiPriority w:val="99"/>
    <w:unhideWhenUsed/>
    <w:rPr>
      <w:color w:val="0000ff" w:themeColor="hyperlink"/>
      <w:u w:val="single"/>
    </w:rPr>
  </w:style>
  <w:style w:type="paragraph" w:styleId="731">
    <w:name w:val="footnote text"/>
    <w:basedOn w:val="745"/>
    <w:link w:val="824"/>
    <w:uiPriority w:val="99"/>
    <w:semiHidden/>
    <w:unhideWhenUsed/>
    <w:pPr>
      <w:spacing w:after="40" w:line="240" w:lineRule="auto"/>
    </w:pPr>
    <w:rPr>
      <w:sz w:val="18"/>
    </w:rPr>
  </w:style>
  <w:style w:type="character" w:styleId="732">
    <w:name w:val="footnote reference"/>
    <w:uiPriority w:val="99"/>
    <w:unhideWhenUsed/>
    <w:rPr>
      <w:vertAlign w:val="superscript"/>
    </w:rPr>
  </w:style>
  <w:style w:type="paragraph" w:styleId="733">
    <w:name w:val="endnote text"/>
    <w:basedOn w:val="745"/>
    <w:link w:val="813"/>
    <w:uiPriority w:val="99"/>
    <w:semiHidden/>
    <w:unhideWhenUsed/>
    <w:pPr>
      <w:spacing w:after="0" w:line="240" w:lineRule="auto"/>
    </w:pPr>
    <w:rPr>
      <w:sz w:val="20"/>
    </w:rPr>
  </w:style>
  <w:style w:type="character" w:styleId="734">
    <w:name w:val="endnote reference"/>
    <w:uiPriority w:val="99"/>
    <w:semiHidden/>
    <w:unhideWhenUsed/>
    <w:rPr>
      <w:vertAlign w:val="superscript"/>
    </w:rPr>
  </w:style>
  <w:style w:type="paragraph" w:styleId="735">
    <w:name w:val="toc 1"/>
    <w:basedOn w:val="745"/>
    <w:next w:val="745"/>
    <w:uiPriority w:val="39"/>
    <w:unhideWhenUsed/>
    <w:pPr>
      <w:ind w:left="0" w:right="0" w:firstLine="0"/>
      <w:spacing w:after="57"/>
    </w:pPr>
  </w:style>
  <w:style w:type="paragraph" w:styleId="736">
    <w:name w:val="toc 2"/>
    <w:basedOn w:val="745"/>
    <w:next w:val="745"/>
    <w:uiPriority w:val="39"/>
    <w:unhideWhenUsed/>
    <w:pPr>
      <w:ind w:left="283" w:right="0" w:firstLine="0"/>
      <w:spacing w:after="57"/>
    </w:pPr>
  </w:style>
  <w:style w:type="paragraph" w:styleId="737">
    <w:name w:val="toc 3"/>
    <w:basedOn w:val="745"/>
    <w:next w:val="745"/>
    <w:uiPriority w:val="39"/>
    <w:unhideWhenUsed/>
    <w:pPr>
      <w:ind w:left="567" w:right="0" w:firstLine="0"/>
      <w:spacing w:after="57"/>
    </w:pPr>
  </w:style>
  <w:style w:type="paragraph" w:styleId="738">
    <w:name w:val="toc 4"/>
    <w:basedOn w:val="745"/>
    <w:next w:val="745"/>
    <w:uiPriority w:val="39"/>
    <w:unhideWhenUsed/>
    <w:pPr>
      <w:ind w:left="850" w:right="0" w:firstLine="0"/>
      <w:spacing w:after="57"/>
    </w:pPr>
  </w:style>
  <w:style w:type="paragraph" w:styleId="739">
    <w:name w:val="toc 5"/>
    <w:basedOn w:val="745"/>
    <w:next w:val="745"/>
    <w:uiPriority w:val="39"/>
    <w:unhideWhenUsed/>
    <w:pPr>
      <w:ind w:left="1134" w:right="0" w:firstLine="0"/>
      <w:spacing w:after="57"/>
    </w:pPr>
  </w:style>
  <w:style w:type="paragraph" w:styleId="740">
    <w:name w:val="toc 6"/>
    <w:basedOn w:val="745"/>
    <w:next w:val="745"/>
    <w:uiPriority w:val="39"/>
    <w:unhideWhenUsed/>
    <w:pPr>
      <w:ind w:left="1417" w:right="0" w:firstLine="0"/>
      <w:spacing w:after="57"/>
    </w:pPr>
  </w:style>
  <w:style w:type="paragraph" w:styleId="741">
    <w:name w:val="toc 7"/>
    <w:basedOn w:val="745"/>
    <w:next w:val="745"/>
    <w:uiPriority w:val="39"/>
    <w:unhideWhenUsed/>
    <w:pPr>
      <w:ind w:left="1701" w:right="0" w:firstLine="0"/>
      <w:spacing w:after="57"/>
    </w:pPr>
  </w:style>
  <w:style w:type="paragraph" w:styleId="742">
    <w:name w:val="toc 8"/>
    <w:basedOn w:val="745"/>
    <w:next w:val="745"/>
    <w:uiPriority w:val="39"/>
    <w:unhideWhenUsed/>
    <w:pPr>
      <w:ind w:left="1984" w:right="0" w:firstLine="0"/>
      <w:spacing w:after="57"/>
    </w:pPr>
  </w:style>
  <w:style w:type="paragraph" w:styleId="743">
    <w:name w:val="toc 9"/>
    <w:basedOn w:val="745"/>
    <w:next w:val="745"/>
    <w:uiPriority w:val="39"/>
    <w:unhideWhenUsed/>
    <w:pPr>
      <w:ind w:left="2268" w:right="0" w:firstLine="0"/>
      <w:spacing w:after="57"/>
    </w:pPr>
  </w:style>
  <w:style w:type="paragraph" w:styleId="744">
    <w:name w:val="table of figures"/>
    <w:basedOn w:val="745"/>
    <w:next w:val="745"/>
    <w:uiPriority w:val="99"/>
    <w:unhideWhenUsed/>
    <w:pPr>
      <w:spacing w:after="0" w:afterAutospacing="0"/>
    </w:pPr>
  </w:style>
  <w:style w:type="paragraph" w:styleId="745" w:default="1">
    <w:name w:val="Normal"/>
    <w:next w:val="745"/>
    <w:link w:val="745"/>
    <w:qFormat/>
    <w:pPr>
      <w:jc w:val="both"/>
      <w:widowControl w:val="off"/>
    </w:pPr>
    <w:rPr>
      <w:sz w:val="21"/>
      <w:szCs w:val="24"/>
      <w:lang w:val="en-US" w:eastAsia="zh-CN" w:bidi="ar-SA"/>
    </w:rPr>
  </w:style>
  <w:style w:type="paragraph" w:styleId="746">
    <w:name w:val="标题 1"/>
    <w:basedOn w:val="745"/>
    <w:next w:val="745"/>
    <w:link w:val="745"/>
    <w:uiPriority w:val="9"/>
    <w:qFormat/>
    <w:pPr>
      <w:keepLines/>
      <w:keepNext/>
      <w:spacing w:before="480" w:after="200"/>
      <w:outlineLvl w:val="0"/>
    </w:pPr>
    <w:rPr>
      <w:rFonts w:ascii="Arial" w:hAnsi="Arial" w:eastAsia="Arial" w:cs="Arial"/>
      <w:sz w:val="40"/>
      <w:szCs w:val="40"/>
    </w:rPr>
  </w:style>
  <w:style w:type="paragraph" w:styleId="747">
    <w:name w:val="标题 2"/>
    <w:basedOn w:val="745"/>
    <w:next w:val="745"/>
    <w:link w:val="745"/>
    <w:uiPriority w:val="9"/>
    <w:qFormat/>
    <w:pPr>
      <w:keepLines/>
      <w:keepNext/>
      <w:spacing w:before="360" w:after="200"/>
      <w:outlineLvl w:val="1"/>
    </w:pPr>
    <w:rPr>
      <w:rFonts w:ascii="Arial" w:hAnsi="Arial" w:eastAsia="Arial" w:cs="Arial"/>
      <w:sz w:val="34"/>
    </w:rPr>
  </w:style>
  <w:style w:type="paragraph" w:styleId="748">
    <w:name w:val="标题 3"/>
    <w:basedOn w:val="745"/>
    <w:next w:val="745"/>
    <w:link w:val="745"/>
    <w:uiPriority w:val="9"/>
    <w:qFormat/>
    <w:pPr>
      <w:keepLines/>
      <w:keepNext/>
      <w:spacing w:before="320" w:after="200"/>
      <w:outlineLvl w:val="2"/>
    </w:pPr>
    <w:rPr>
      <w:rFonts w:ascii="Arial" w:hAnsi="Arial" w:eastAsia="Arial" w:cs="Arial"/>
      <w:sz w:val="30"/>
      <w:szCs w:val="30"/>
    </w:rPr>
  </w:style>
  <w:style w:type="paragraph" w:styleId="749">
    <w:name w:val="标题 4"/>
    <w:basedOn w:val="745"/>
    <w:next w:val="745"/>
    <w:link w:val="745"/>
    <w:uiPriority w:val="9"/>
    <w:qFormat/>
    <w:pPr>
      <w:keepLines/>
      <w:keepNext/>
      <w:spacing w:before="320" w:after="200"/>
      <w:outlineLvl w:val="3"/>
    </w:pPr>
    <w:rPr>
      <w:rFonts w:ascii="Arial" w:hAnsi="Arial" w:eastAsia="Arial" w:cs="Arial"/>
      <w:b/>
      <w:bCs/>
      <w:sz w:val="26"/>
      <w:szCs w:val="26"/>
    </w:rPr>
  </w:style>
  <w:style w:type="paragraph" w:styleId="750">
    <w:name w:val="标题 5"/>
    <w:basedOn w:val="745"/>
    <w:next w:val="745"/>
    <w:link w:val="745"/>
    <w:uiPriority w:val="9"/>
    <w:qFormat/>
    <w:pPr>
      <w:keepLines/>
      <w:keepNext/>
      <w:spacing w:before="320" w:after="200"/>
      <w:outlineLvl w:val="4"/>
    </w:pPr>
    <w:rPr>
      <w:rFonts w:ascii="Arial" w:hAnsi="Arial" w:eastAsia="Arial" w:cs="Arial"/>
      <w:b/>
      <w:bCs/>
      <w:sz w:val="24"/>
      <w:szCs w:val="24"/>
    </w:rPr>
  </w:style>
  <w:style w:type="paragraph" w:styleId="751">
    <w:name w:val="标题 6"/>
    <w:basedOn w:val="745"/>
    <w:next w:val="745"/>
    <w:link w:val="745"/>
    <w:uiPriority w:val="9"/>
    <w:qFormat/>
    <w:pPr>
      <w:keepLines/>
      <w:keepNext/>
      <w:spacing w:before="320" w:after="200"/>
      <w:outlineLvl w:val="5"/>
    </w:pPr>
    <w:rPr>
      <w:rFonts w:ascii="Arial" w:hAnsi="Arial" w:eastAsia="Arial" w:cs="Arial"/>
      <w:b/>
      <w:bCs/>
      <w:sz w:val="22"/>
      <w:szCs w:val="22"/>
    </w:rPr>
  </w:style>
  <w:style w:type="paragraph" w:styleId="752">
    <w:name w:val="标题 7"/>
    <w:basedOn w:val="745"/>
    <w:next w:val="745"/>
    <w:link w:val="745"/>
    <w:uiPriority w:val="9"/>
    <w:qFormat/>
    <w:pPr>
      <w:keepLines/>
      <w:keepNext/>
      <w:spacing w:before="320" w:after="200"/>
      <w:outlineLvl w:val="6"/>
    </w:pPr>
    <w:rPr>
      <w:rFonts w:ascii="Arial" w:hAnsi="Arial" w:eastAsia="Arial" w:cs="Arial"/>
      <w:b/>
      <w:bCs/>
      <w:i/>
      <w:iCs/>
      <w:sz w:val="22"/>
      <w:szCs w:val="22"/>
    </w:rPr>
  </w:style>
  <w:style w:type="paragraph" w:styleId="753">
    <w:name w:val="标题 8"/>
    <w:basedOn w:val="745"/>
    <w:next w:val="745"/>
    <w:link w:val="745"/>
    <w:uiPriority w:val="9"/>
    <w:qFormat/>
    <w:pPr>
      <w:keepLines/>
      <w:keepNext/>
      <w:spacing w:before="320" w:after="200"/>
      <w:outlineLvl w:val="7"/>
    </w:pPr>
    <w:rPr>
      <w:rFonts w:ascii="Arial" w:hAnsi="Arial" w:eastAsia="Arial" w:cs="Arial"/>
      <w:i/>
      <w:iCs/>
      <w:sz w:val="22"/>
      <w:szCs w:val="22"/>
    </w:rPr>
  </w:style>
  <w:style w:type="paragraph" w:styleId="754">
    <w:name w:val="标题 9"/>
    <w:basedOn w:val="745"/>
    <w:next w:val="745"/>
    <w:link w:val="745"/>
    <w:uiPriority w:val="9"/>
    <w:qFormat/>
    <w:pPr>
      <w:keepLines/>
      <w:keepNext/>
      <w:spacing w:before="320" w:after="200"/>
      <w:outlineLvl w:val="8"/>
    </w:pPr>
    <w:rPr>
      <w:rFonts w:ascii="Arial" w:hAnsi="Arial" w:eastAsia="Arial" w:cs="Arial"/>
      <w:i/>
      <w:iCs/>
      <w:sz w:val="21"/>
      <w:szCs w:val="21"/>
    </w:rPr>
  </w:style>
  <w:style w:type="character" w:styleId="755">
    <w:name w:val="默认段落字体"/>
    <w:next w:val="755"/>
    <w:link w:val="745"/>
    <w:uiPriority w:val="1"/>
    <w:unhideWhenUsed/>
  </w:style>
  <w:style w:type="table" w:styleId="756">
    <w:name w:val="普通表格"/>
    <w:next w:val="756"/>
    <w:link w:val="745"/>
    <w:uiPriority w:val="99"/>
    <w:unhideWhenUsed/>
    <w:qFormat/>
    <w:tblPr/>
  </w:style>
  <w:style w:type="paragraph" w:styleId="757">
    <w:name w:val="目录 7"/>
    <w:basedOn w:val="745"/>
    <w:next w:val="745"/>
    <w:link w:val="745"/>
    <w:uiPriority w:val="39"/>
    <w:unhideWhenUsed/>
    <w:pPr>
      <w:ind w:left="1701" w:right="0" w:firstLine="0"/>
      <w:spacing w:after="57"/>
    </w:pPr>
  </w:style>
  <w:style w:type="paragraph" w:styleId="758">
    <w:name w:val="引文目录"/>
    <w:basedOn w:val="745"/>
    <w:next w:val="745"/>
    <w:link w:val="745"/>
    <w:uiPriority w:val="99"/>
    <w:unhideWhenUsed/>
    <w:qFormat/>
    <w:pPr>
      <w:ind w:left="420"/>
    </w:pPr>
  </w:style>
  <w:style w:type="paragraph" w:styleId="759">
    <w:name w:val="题注"/>
    <w:basedOn w:val="745"/>
    <w:next w:val="745"/>
    <w:link w:val="745"/>
    <w:uiPriority w:val="35"/>
    <w:qFormat/>
    <w:pPr>
      <w:spacing w:line="276" w:lineRule="auto"/>
    </w:pPr>
    <w:rPr>
      <w:b/>
      <w:bCs/>
      <w:color w:val="4f81bd"/>
      <w:sz w:val="18"/>
      <w:szCs w:val="18"/>
    </w:rPr>
  </w:style>
  <w:style w:type="paragraph" w:styleId="760">
    <w:name w:val="批注文字"/>
    <w:basedOn w:val="745"/>
    <w:next w:val="760"/>
    <w:link w:val="745"/>
    <w:uiPriority w:val="99"/>
    <w:unhideWhenUsed/>
    <w:pPr>
      <w:jc w:val="left"/>
    </w:pPr>
  </w:style>
  <w:style w:type="paragraph" w:styleId="761">
    <w:name w:val="正文文本"/>
    <w:basedOn w:val="745"/>
    <w:next w:val="761"/>
    <w:link w:val="745"/>
    <w:semiHidden/>
    <w:qFormat/>
    <w:rPr>
      <w:rFonts w:ascii="黑体" w:hAnsi="黑体" w:eastAsia="黑体" w:cs="黑体"/>
      <w:sz w:val="35"/>
      <w:szCs w:val="35"/>
      <w:lang w:val="en-US" w:eastAsia="en-US" w:bidi="ar-SA"/>
    </w:rPr>
  </w:style>
  <w:style w:type="paragraph" w:styleId="762">
    <w:name w:val="正文文本缩进"/>
    <w:basedOn w:val="745"/>
    <w:next w:val="763"/>
    <w:link w:val="745"/>
    <w:qFormat/>
    <w:pPr>
      <w:ind w:left="420"/>
      <w:spacing w:after="120"/>
    </w:pPr>
    <w:rPr>
      <w:rFonts w:ascii="Calibri" w:hAnsi="Calibri" w:eastAsia="宋体" w:cs="Times New Roman"/>
    </w:rPr>
  </w:style>
  <w:style w:type="paragraph" w:styleId="763">
    <w:name w:val="正文首行缩进 2"/>
    <w:basedOn w:val="762"/>
    <w:next w:val="745"/>
    <w:link w:val="745"/>
    <w:qFormat/>
    <w:pPr>
      <w:ind w:firstLine="420"/>
    </w:pPr>
    <w:rPr>
      <w:rFonts w:ascii="Calibri" w:hAnsi="Calibri" w:eastAsia="宋体" w:cs="Times New Roman"/>
    </w:rPr>
  </w:style>
  <w:style w:type="paragraph" w:styleId="764">
    <w:name w:val="目录 5"/>
    <w:basedOn w:val="745"/>
    <w:next w:val="745"/>
    <w:link w:val="745"/>
    <w:uiPriority w:val="39"/>
    <w:unhideWhenUsed/>
    <w:pPr>
      <w:ind w:left="1134" w:right="0" w:firstLine="0"/>
      <w:spacing w:after="57"/>
    </w:pPr>
  </w:style>
  <w:style w:type="paragraph" w:styleId="765">
    <w:name w:val="目录 3"/>
    <w:basedOn w:val="745"/>
    <w:next w:val="745"/>
    <w:link w:val="745"/>
    <w:uiPriority w:val="39"/>
    <w:unhideWhenUsed/>
    <w:pPr>
      <w:ind w:left="567" w:right="0" w:firstLine="0"/>
      <w:spacing w:after="57"/>
    </w:pPr>
  </w:style>
  <w:style w:type="paragraph" w:styleId="766">
    <w:name w:val="目录 8"/>
    <w:basedOn w:val="745"/>
    <w:next w:val="745"/>
    <w:link w:val="745"/>
    <w:uiPriority w:val="39"/>
    <w:unhideWhenUsed/>
    <w:pPr>
      <w:ind w:left="1984" w:right="0" w:firstLine="0"/>
      <w:spacing w:after="57"/>
    </w:pPr>
  </w:style>
  <w:style w:type="paragraph" w:styleId="767">
    <w:name w:val="尾注文本"/>
    <w:basedOn w:val="745"/>
    <w:next w:val="767"/>
    <w:link w:val="745"/>
    <w:uiPriority w:val="99"/>
    <w:unhideWhenUsed/>
    <w:pPr>
      <w:spacing w:after="0" w:line="240" w:lineRule="auto"/>
    </w:pPr>
    <w:rPr>
      <w:sz w:val="20"/>
    </w:rPr>
  </w:style>
  <w:style w:type="paragraph" w:styleId="768">
    <w:name w:val="页脚"/>
    <w:basedOn w:val="745"/>
    <w:next w:val="768"/>
    <w:link w:val="745"/>
    <w:uiPriority w:val="99"/>
    <w:unhideWhenUsed/>
    <w:pPr>
      <w:spacing w:after="0" w:line="240" w:lineRule="auto"/>
      <w:tabs>
        <w:tab w:val="center" w:pos="7143" w:leader="none"/>
        <w:tab w:val="right" w:pos="14287" w:leader="none"/>
      </w:tabs>
    </w:pPr>
  </w:style>
  <w:style w:type="paragraph" w:styleId="769">
    <w:name w:val="页眉"/>
    <w:basedOn w:val="745"/>
    <w:next w:val="769"/>
    <w:link w:val="745"/>
    <w:uiPriority w:val="99"/>
    <w:unhideWhenUsed/>
    <w:pPr>
      <w:spacing w:after="0" w:line="240" w:lineRule="auto"/>
      <w:tabs>
        <w:tab w:val="center" w:pos="7143" w:leader="none"/>
        <w:tab w:val="right" w:pos="14287" w:leader="none"/>
      </w:tabs>
    </w:pPr>
  </w:style>
  <w:style w:type="paragraph" w:styleId="770">
    <w:name w:val="目录 1"/>
    <w:basedOn w:val="745"/>
    <w:next w:val="745"/>
    <w:link w:val="745"/>
    <w:uiPriority w:val="39"/>
    <w:unhideWhenUsed/>
    <w:pPr>
      <w:ind w:left="0" w:right="0" w:firstLine="0"/>
      <w:spacing w:after="57"/>
    </w:pPr>
  </w:style>
  <w:style w:type="paragraph" w:styleId="771">
    <w:name w:val="目录 4"/>
    <w:basedOn w:val="745"/>
    <w:next w:val="745"/>
    <w:link w:val="745"/>
    <w:uiPriority w:val="39"/>
    <w:unhideWhenUsed/>
    <w:pPr>
      <w:ind w:left="850" w:right="0" w:firstLine="0"/>
      <w:spacing w:after="57"/>
    </w:pPr>
  </w:style>
  <w:style w:type="paragraph" w:styleId="772">
    <w:name w:val="副标题"/>
    <w:basedOn w:val="745"/>
    <w:next w:val="745"/>
    <w:link w:val="745"/>
    <w:uiPriority w:val="11"/>
    <w:qFormat/>
    <w:pPr>
      <w:spacing w:before="200" w:after="200"/>
    </w:pPr>
    <w:rPr>
      <w:sz w:val="24"/>
      <w:szCs w:val="24"/>
    </w:rPr>
  </w:style>
  <w:style w:type="paragraph" w:styleId="773">
    <w:name w:val="脚注文本"/>
    <w:basedOn w:val="745"/>
    <w:next w:val="773"/>
    <w:link w:val="745"/>
    <w:uiPriority w:val="99"/>
    <w:unhideWhenUsed/>
    <w:pPr>
      <w:spacing w:after="40" w:line="240" w:lineRule="auto"/>
    </w:pPr>
    <w:rPr>
      <w:sz w:val="18"/>
    </w:rPr>
  </w:style>
  <w:style w:type="paragraph" w:styleId="774">
    <w:name w:val="目录 6"/>
    <w:basedOn w:val="745"/>
    <w:next w:val="745"/>
    <w:link w:val="745"/>
    <w:uiPriority w:val="39"/>
    <w:unhideWhenUsed/>
    <w:pPr>
      <w:ind w:left="1417" w:right="0" w:firstLine="0"/>
      <w:spacing w:after="57"/>
    </w:pPr>
  </w:style>
  <w:style w:type="paragraph" w:styleId="775">
    <w:name w:val="图表目录"/>
    <w:basedOn w:val="745"/>
    <w:next w:val="745"/>
    <w:link w:val="745"/>
    <w:uiPriority w:val="99"/>
    <w:unhideWhenUsed/>
    <w:pPr>
      <w:spacing w:after="0" w:afterAutospacing="0"/>
    </w:pPr>
  </w:style>
  <w:style w:type="paragraph" w:styleId="776">
    <w:name w:val="目录 2"/>
    <w:basedOn w:val="745"/>
    <w:next w:val="745"/>
    <w:link w:val="745"/>
    <w:uiPriority w:val="39"/>
    <w:unhideWhenUsed/>
    <w:pPr>
      <w:ind w:left="283" w:right="0" w:firstLine="0"/>
      <w:spacing w:after="57"/>
    </w:pPr>
  </w:style>
  <w:style w:type="paragraph" w:styleId="777">
    <w:name w:val="目录 9"/>
    <w:basedOn w:val="745"/>
    <w:next w:val="745"/>
    <w:link w:val="745"/>
    <w:uiPriority w:val="39"/>
    <w:unhideWhenUsed/>
    <w:pPr>
      <w:ind w:left="2268" w:right="0" w:firstLine="0"/>
      <w:spacing w:after="57"/>
    </w:pPr>
  </w:style>
  <w:style w:type="paragraph" w:styleId="778">
    <w:name w:val="正文文本 2"/>
    <w:basedOn w:val="745"/>
    <w:next w:val="778"/>
    <w:link w:val="745"/>
    <w:uiPriority w:val="99"/>
    <w:unhideWhenUsed/>
    <w:qFormat/>
    <w:pPr>
      <w:spacing w:after="120" w:line="480" w:lineRule="auto"/>
    </w:pPr>
  </w:style>
  <w:style w:type="paragraph" w:styleId="779">
    <w:name w:val="普通(网站)"/>
    <w:basedOn w:val="745"/>
    <w:next w:val="779"/>
    <w:link w:val="745"/>
    <w:uiPriority w:val="99"/>
    <w:unhideWhenUsed/>
    <w:pPr>
      <w:ind w:left="0" w:right="0"/>
      <w:jc w:val="left"/>
      <w:spacing w:before="100" w:beforeAutospacing="1" w:after="100" w:afterAutospacing="1"/>
    </w:pPr>
    <w:rPr>
      <w:sz w:val="24"/>
      <w:lang w:val="en-US" w:eastAsia="zh-CN" w:bidi="ar"/>
    </w:rPr>
  </w:style>
  <w:style w:type="paragraph" w:styleId="780">
    <w:name w:val="标题"/>
    <w:basedOn w:val="745"/>
    <w:next w:val="745"/>
    <w:link w:val="745"/>
    <w:uiPriority w:val="10"/>
    <w:qFormat/>
    <w:pPr>
      <w:contextualSpacing/>
      <w:spacing w:before="300" w:after="200"/>
    </w:pPr>
    <w:rPr>
      <w:sz w:val="48"/>
      <w:szCs w:val="48"/>
    </w:rPr>
  </w:style>
  <w:style w:type="table" w:styleId="781">
    <w:name w:val="网格型"/>
    <w:next w:val="781"/>
    <w:link w:val="745"/>
    <w:uiPriority w:val="59"/>
    <w:rPr>
      <w:lang w:val="en-US" w:eastAsia="zh-CN" w:bidi="ar-SA"/>
    </w:rPr>
    <w:tblPr/>
  </w:style>
  <w:style w:type="character" w:styleId="782">
    <w:name w:val="要点"/>
    <w:next w:val="782"/>
    <w:link w:val="745"/>
    <w:uiPriority w:val="22"/>
    <w:qFormat/>
    <w:rPr>
      <w:b w:val="0"/>
      <w:bCs w:val="0"/>
      <w:i w:val="0"/>
      <w:iCs w:val="0"/>
    </w:rPr>
  </w:style>
  <w:style w:type="character" w:styleId="783">
    <w:name w:val="尾注引用"/>
    <w:next w:val="783"/>
    <w:link w:val="745"/>
    <w:uiPriority w:val="99"/>
    <w:unhideWhenUsed/>
    <w:rPr>
      <w:vertAlign w:val="superscript"/>
    </w:rPr>
  </w:style>
  <w:style w:type="character" w:styleId="784">
    <w:name w:val="已访问的超链接"/>
    <w:next w:val="784"/>
    <w:link w:val="745"/>
    <w:uiPriority w:val="99"/>
    <w:unhideWhenUsed/>
    <w:rPr>
      <w:color w:val="800080"/>
      <w:u w:val="none"/>
    </w:rPr>
  </w:style>
  <w:style w:type="character" w:styleId="785">
    <w:name w:val="强调"/>
    <w:next w:val="785"/>
    <w:link w:val="745"/>
    <w:uiPriority w:val="20"/>
    <w:qFormat/>
    <w:rPr>
      <w:b w:val="0"/>
      <w:bCs w:val="0"/>
      <w:i w:val="0"/>
      <w:iCs w:val="0"/>
    </w:rPr>
  </w:style>
  <w:style w:type="character" w:styleId="786">
    <w:name w:val="HTML 定义"/>
    <w:next w:val="786"/>
    <w:link w:val="745"/>
    <w:uiPriority w:val="99"/>
    <w:unhideWhenUsed/>
    <w:rPr>
      <w:b w:val="0"/>
      <w:bCs w:val="0"/>
      <w:i w:val="0"/>
      <w:iCs w:val="0"/>
    </w:rPr>
  </w:style>
  <w:style w:type="character" w:styleId="787">
    <w:name w:val="HTML 打字机"/>
    <w:next w:val="787"/>
    <w:link w:val="745"/>
    <w:uiPriority w:val="99"/>
    <w:unhideWhenUsed/>
    <w:rPr>
      <w:rFonts w:ascii="monospace" w:hAnsi="monospace" w:eastAsia="monospace" w:cs="monospace"/>
      <w:sz w:val="20"/>
    </w:rPr>
  </w:style>
  <w:style w:type="character" w:styleId="788">
    <w:name w:val="HTML 缩写"/>
    <w:basedOn w:val="755"/>
    <w:next w:val="788"/>
    <w:link w:val="745"/>
    <w:uiPriority w:val="99"/>
    <w:unhideWhenUsed/>
  </w:style>
  <w:style w:type="character" w:styleId="789">
    <w:name w:val="HTML 变量"/>
    <w:next w:val="789"/>
    <w:link w:val="745"/>
    <w:uiPriority w:val="99"/>
    <w:unhideWhenUsed/>
    <w:rPr>
      <w:b w:val="0"/>
      <w:bCs w:val="0"/>
      <w:i w:val="0"/>
      <w:iCs w:val="0"/>
    </w:rPr>
  </w:style>
  <w:style w:type="character" w:styleId="790">
    <w:name w:val="超链接"/>
    <w:next w:val="790"/>
    <w:link w:val="745"/>
    <w:uiPriority w:val="99"/>
    <w:unhideWhenUsed/>
    <w:rPr>
      <w:color w:val="0000ff"/>
      <w:u w:val="none"/>
    </w:rPr>
  </w:style>
  <w:style w:type="character" w:styleId="791">
    <w:name w:val="HTML 代码"/>
    <w:next w:val="791"/>
    <w:link w:val="745"/>
    <w:uiPriority w:val="99"/>
    <w:unhideWhenUsed/>
    <w:rPr>
      <w:rFonts w:ascii="monospace" w:hAnsi="monospace" w:eastAsia="monospace" w:cs="monospace"/>
      <w:b w:val="0"/>
      <w:bCs w:val="0"/>
      <w:i w:val="0"/>
      <w:iCs w:val="0"/>
      <w:sz w:val="20"/>
    </w:rPr>
  </w:style>
  <w:style w:type="character" w:styleId="792">
    <w:name w:val="HTML 引文"/>
    <w:next w:val="792"/>
    <w:link w:val="745"/>
    <w:uiPriority w:val="99"/>
    <w:unhideWhenUsed/>
    <w:rPr>
      <w:b w:val="0"/>
      <w:bCs w:val="0"/>
      <w:i w:val="0"/>
      <w:iCs w:val="0"/>
    </w:rPr>
  </w:style>
  <w:style w:type="character" w:styleId="793">
    <w:name w:val="脚注引用"/>
    <w:next w:val="793"/>
    <w:link w:val="745"/>
    <w:uiPriority w:val="99"/>
    <w:unhideWhenUsed/>
    <w:rPr>
      <w:vertAlign w:val="superscript"/>
    </w:rPr>
  </w:style>
  <w:style w:type="character" w:styleId="794">
    <w:name w:val="HTML 键盘"/>
    <w:next w:val="794"/>
    <w:link w:val="745"/>
    <w:uiPriority w:val="99"/>
    <w:unhideWhenUsed/>
    <w:rPr>
      <w:rFonts w:ascii="monospace" w:hAnsi="monospace" w:eastAsia="monospace" w:cs="monospace"/>
      <w:sz w:val="20"/>
    </w:rPr>
  </w:style>
  <w:style w:type="character" w:styleId="795">
    <w:name w:val="HTML 样本"/>
    <w:next w:val="795"/>
    <w:link w:val="745"/>
    <w:uiPriority w:val="99"/>
    <w:unhideWhenUsed/>
    <w:rPr>
      <w:rFonts w:ascii="monospace" w:hAnsi="monospace" w:eastAsia="monospace" w:cs="monospace"/>
    </w:rPr>
  </w:style>
  <w:style w:type="character" w:styleId="796">
    <w:name w:val="glyphicon"/>
    <w:next w:val="796"/>
    <w:link w:val="745"/>
    <w:qFormat/>
  </w:style>
  <w:style w:type="character" w:styleId="797">
    <w:name w:val="强调1"/>
    <w:next w:val="797"/>
    <w:link w:val="745"/>
    <w:qFormat/>
    <w:rPr>
      <w:b w:val="0"/>
      <w:i w:val="0"/>
    </w:rPr>
  </w:style>
  <w:style w:type="character" w:styleId="798">
    <w:name w:val="HTML 变量1"/>
    <w:next w:val="798"/>
    <w:link w:val="745"/>
    <w:qFormat/>
    <w:rPr>
      <w:b w:val="0"/>
      <w:i w:val="0"/>
    </w:rPr>
  </w:style>
  <w:style w:type="character" w:styleId="799">
    <w:name w:val="要点11"/>
    <w:next w:val="799"/>
    <w:link w:val="745"/>
    <w:uiPriority w:val="22"/>
    <w:qFormat/>
    <w:rPr>
      <w:b/>
    </w:rPr>
  </w:style>
  <w:style w:type="character" w:styleId="800">
    <w:name w:val="Heading 7 Char"/>
    <w:next w:val="800"/>
    <w:link w:val="801"/>
    <w:uiPriority w:val="9"/>
    <w:qFormat/>
    <w:rPr>
      <w:rFonts w:ascii="Arial" w:hAnsi="Arial" w:eastAsia="Arial" w:cs="Arial"/>
      <w:b/>
      <w:bCs/>
      <w:i/>
      <w:iCs/>
      <w:sz w:val="22"/>
      <w:szCs w:val="22"/>
    </w:rPr>
  </w:style>
  <w:style w:type="paragraph" w:styleId="801">
    <w:name w:val="标题 71"/>
    <w:basedOn w:val="745"/>
    <w:next w:val="745"/>
    <w:link w:val="800"/>
    <w:uiPriority w:val="9"/>
    <w:unhideWhenUsed/>
    <w:qFormat/>
    <w:pPr>
      <w:keepLines/>
      <w:keepNext/>
      <w:spacing w:before="320" w:after="200"/>
      <w:outlineLvl w:val="6"/>
    </w:pPr>
    <w:rPr>
      <w:rFonts w:ascii="Arial" w:hAnsi="Arial" w:eastAsia="Arial" w:cs="Arial"/>
      <w:b/>
      <w:bCs/>
      <w:i/>
      <w:iCs/>
      <w:sz w:val="22"/>
      <w:szCs w:val="22"/>
    </w:rPr>
  </w:style>
  <w:style w:type="character" w:styleId="802">
    <w:name w:val="要点1"/>
    <w:next w:val="802"/>
    <w:link w:val="745"/>
    <w:qFormat/>
    <w:rPr>
      <w:b w:val="0"/>
      <w:i w:val="0"/>
    </w:rPr>
  </w:style>
  <w:style w:type="character" w:styleId="803">
    <w:name w:val="exap"/>
    <w:next w:val="803"/>
    <w:link w:val="745"/>
    <w:rPr>
      <w:sz w:val="27"/>
      <w:szCs w:val="27"/>
    </w:rPr>
  </w:style>
  <w:style w:type="character" w:styleId="804">
    <w:name w:val="默认段落字体11"/>
    <w:next w:val="804"/>
    <w:link w:val="745"/>
    <w:uiPriority w:val="1"/>
    <w:unhideWhenUsed/>
  </w:style>
  <w:style w:type="character" w:styleId="805">
    <w:name w:val="Font Style30"/>
    <w:next w:val="805"/>
    <w:link w:val="745"/>
    <w:rPr>
      <w:rFonts w:ascii="宋体" w:eastAsia="宋体" w:cs="宋体"/>
      <w:sz w:val="14"/>
      <w:szCs w:val="14"/>
    </w:rPr>
  </w:style>
  <w:style w:type="character" w:styleId="806">
    <w:name w:val="Subtitle Char"/>
    <w:next w:val="806"/>
    <w:link w:val="807"/>
    <w:uiPriority w:val="11"/>
    <w:rPr>
      <w:sz w:val="24"/>
      <w:szCs w:val="24"/>
    </w:rPr>
  </w:style>
  <w:style w:type="paragraph" w:styleId="807">
    <w:name w:val="副标题1"/>
    <w:basedOn w:val="745"/>
    <w:next w:val="745"/>
    <w:link w:val="806"/>
    <w:uiPriority w:val="11"/>
    <w:qFormat/>
    <w:pPr>
      <w:spacing w:before="200" w:after="200"/>
    </w:pPr>
    <w:rPr>
      <w:sz w:val="24"/>
      <w:szCs w:val="24"/>
    </w:rPr>
  </w:style>
  <w:style w:type="character" w:styleId="808">
    <w:name w:val="尾注引用1"/>
    <w:next w:val="808"/>
    <w:link w:val="745"/>
    <w:uiPriority w:val="99"/>
    <w:unhideWhenUsed/>
    <w:qFormat/>
    <w:rPr>
      <w:vertAlign w:val="superscript"/>
    </w:rPr>
  </w:style>
  <w:style w:type="character" w:styleId="809">
    <w:name w:val="HTML 代码1"/>
    <w:next w:val="809"/>
    <w:link w:val="745"/>
    <w:qFormat/>
    <w:rPr>
      <w:rFonts w:ascii="monospace" w:hAnsi="monospace" w:eastAsia="monospace" w:cs="monospace"/>
      <w:b w:val="0"/>
      <w:i w:val="0"/>
      <w:sz w:val="20"/>
    </w:rPr>
  </w:style>
  <w:style w:type="character" w:styleId="810">
    <w:name w:val="HTML 键盘1"/>
    <w:next w:val="810"/>
    <w:link w:val="745"/>
    <w:qFormat/>
    <w:rPr>
      <w:rFonts w:ascii="monospace" w:hAnsi="monospace" w:eastAsia="monospace" w:cs="monospace"/>
      <w:sz w:val="20"/>
    </w:rPr>
  </w:style>
  <w:style w:type="character" w:styleId="811">
    <w:name w:val="a_p_3"/>
    <w:next w:val="811"/>
    <w:link w:val="745"/>
    <w:rPr>
      <w:sz w:val="27"/>
      <w:szCs w:val="27"/>
    </w:rPr>
  </w:style>
  <w:style w:type="character" w:styleId="812">
    <w:name w:val="已访问的超链接1"/>
    <w:next w:val="812"/>
    <w:link w:val="745"/>
    <w:qFormat/>
    <w:rPr>
      <w:color w:val="800080"/>
      <w:u w:val="none"/>
    </w:rPr>
  </w:style>
  <w:style w:type="character" w:styleId="813">
    <w:name w:val="Endnote Text Char"/>
    <w:next w:val="813"/>
    <w:link w:val="814"/>
    <w:uiPriority w:val="99"/>
    <w:qFormat/>
    <w:rPr>
      <w:sz w:val="20"/>
    </w:rPr>
  </w:style>
  <w:style w:type="paragraph" w:styleId="814">
    <w:name w:val="尾注文本1"/>
    <w:basedOn w:val="745"/>
    <w:next w:val="814"/>
    <w:link w:val="813"/>
    <w:uiPriority w:val="99"/>
    <w:unhideWhenUsed/>
    <w:qFormat/>
    <w:pPr>
      <w:spacing w:after="0" w:line="240" w:lineRule="auto"/>
    </w:pPr>
    <w:rPr>
      <w:sz w:val="20"/>
    </w:rPr>
  </w:style>
  <w:style w:type="character" w:styleId="815">
    <w:name w:val="明显引用 Char"/>
    <w:next w:val="815"/>
    <w:link w:val="816"/>
    <w:uiPriority w:val="30"/>
    <w:rPr>
      <w:i/>
    </w:rPr>
  </w:style>
  <w:style w:type="paragraph" w:styleId="816">
    <w:name w:val="明显引用"/>
    <w:basedOn w:val="745"/>
    <w:next w:val="745"/>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hover"/>
    <w:next w:val="817"/>
    <w:link w:val="745"/>
    <w:qFormat/>
    <w:rPr>
      <w:shd w:val="clear" w:color="auto" w:fill="eeeeee"/>
    </w:rPr>
  </w:style>
  <w:style w:type="character" w:styleId="818">
    <w:name w:val="HTML 打字机1"/>
    <w:next w:val="818"/>
    <w:link w:val="745"/>
    <w:qFormat/>
    <w:rPr>
      <w:rFonts w:ascii="monospace" w:hAnsi="monospace" w:eastAsia="monospace" w:cs="monospace"/>
      <w:sz w:val="20"/>
    </w:rPr>
  </w:style>
  <w:style w:type="character" w:styleId="819">
    <w:name w:val="Footer Char"/>
    <w:next w:val="819"/>
    <w:link w:val="745"/>
    <w:uiPriority w:val="99"/>
  </w:style>
  <w:style w:type="character" w:styleId="820">
    <w:name w:val="Font Style37"/>
    <w:next w:val="820"/>
    <w:link w:val="745"/>
    <w:qFormat/>
    <w:rPr>
      <w:rFonts w:ascii="Arial" w:hAnsi="Arial" w:cs="Arial"/>
      <w:sz w:val="16"/>
      <w:szCs w:val="16"/>
    </w:rPr>
  </w:style>
  <w:style w:type="character" w:styleId="821">
    <w:name w:val="HTML 缩写1"/>
    <w:next w:val="821"/>
    <w:link w:val="745"/>
    <w:qFormat/>
  </w:style>
  <w:style w:type="character" w:styleId="822">
    <w:name w:val="HTML 定义1"/>
    <w:next w:val="822"/>
    <w:link w:val="745"/>
    <w:qFormat/>
    <w:rPr>
      <w:b w:val="0"/>
      <w:i w:val="0"/>
    </w:rPr>
  </w:style>
  <w:style w:type="character" w:styleId="823">
    <w:name w:val="font01"/>
    <w:next w:val="823"/>
    <w:link w:val="745"/>
    <w:qFormat/>
    <w:rPr>
      <w:rFonts w:ascii="Times New Roman" w:hAnsi="Times New Roman" w:cs="Times New Roman"/>
      <w:color w:val="000000"/>
      <w:sz w:val="24"/>
      <w:szCs w:val="24"/>
      <w:u w:val="none"/>
    </w:rPr>
  </w:style>
  <w:style w:type="character" w:styleId="824">
    <w:name w:val="Footnote Text Char"/>
    <w:next w:val="824"/>
    <w:link w:val="825"/>
    <w:uiPriority w:val="99"/>
    <w:qFormat/>
    <w:rPr>
      <w:sz w:val="18"/>
    </w:rPr>
  </w:style>
  <w:style w:type="paragraph" w:styleId="825">
    <w:name w:val="脚注文本1"/>
    <w:basedOn w:val="745"/>
    <w:next w:val="825"/>
    <w:link w:val="824"/>
    <w:uiPriority w:val="99"/>
    <w:unhideWhenUsed/>
    <w:qFormat/>
    <w:pPr>
      <w:spacing w:after="40" w:line="240" w:lineRule="auto"/>
    </w:pPr>
    <w:rPr>
      <w:sz w:val="18"/>
    </w:rPr>
  </w:style>
  <w:style w:type="character" w:styleId="826">
    <w:name w:val="Plain Text Char"/>
    <w:next w:val="826"/>
    <w:link w:val="745"/>
    <w:qFormat/>
    <w:rPr>
      <w:rFonts w:ascii="宋体" w:hAnsi="Courier New" w:eastAsia="宋体"/>
      <w:sz w:val="21"/>
      <w:lang w:val="en-US" w:eastAsia="zh-CN" w:bidi="ar-SA"/>
    </w:rPr>
  </w:style>
  <w:style w:type="character" w:styleId="827">
    <w:name w:val="Heading 2 Char"/>
    <w:next w:val="827"/>
    <w:link w:val="828"/>
    <w:uiPriority w:val="9"/>
    <w:rPr>
      <w:rFonts w:ascii="Arial" w:hAnsi="Arial" w:eastAsia="Arial" w:cs="Arial"/>
      <w:sz w:val="34"/>
    </w:rPr>
  </w:style>
  <w:style w:type="paragraph" w:styleId="828">
    <w:name w:val="标题 211"/>
    <w:basedOn w:val="745"/>
    <w:next w:val="745"/>
    <w:link w:val="827"/>
    <w:uiPriority w:val="9"/>
    <w:unhideWhenUsed/>
    <w:qFormat/>
    <w:pPr>
      <w:keepLines/>
      <w:keepNext/>
      <w:spacing w:before="360" w:after="200"/>
      <w:outlineLvl w:val="1"/>
    </w:pPr>
    <w:rPr>
      <w:rFonts w:ascii="Arial" w:hAnsi="Arial" w:eastAsia="Arial" w:cs="Arial"/>
      <w:sz w:val="34"/>
    </w:rPr>
  </w:style>
  <w:style w:type="character" w:styleId="829">
    <w:name w:val="批注框文本 Char"/>
    <w:next w:val="829"/>
    <w:link w:val="830"/>
    <w:qFormat/>
    <w:rPr>
      <w:sz w:val="18"/>
      <w:szCs w:val="18"/>
    </w:rPr>
  </w:style>
  <w:style w:type="paragraph" w:styleId="830">
    <w:name w:val="批注框文本1"/>
    <w:basedOn w:val="745"/>
    <w:next w:val="830"/>
    <w:link w:val="829"/>
    <w:rPr>
      <w:sz w:val="18"/>
      <w:szCs w:val="18"/>
    </w:rPr>
  </w:style>
  <w:style w:type="character" w:styleId="831">
    <w:name w:val="a_p_21"/>
    <w:next w:val="831"/>
    <w:link w:val="745"/>
    <w:rPr>
      <w:sz w:val="27"/>
      <w:szCs w:val="27"/>
    </w:rPr>
  </w:style>
  <w:style w:type="character" w:styleId="832">
    <w:name w:val="批注文字 Char"/>
    <w:next w:val="832"/>
    <w:link w:val="833"/>
    <w:uiPriority w:val="99"/>
    <w:qFormat/>
    <w:rPr>
      <w:sz w:val="21"/>
      <w:szCs w:val="24"/>
    </w:rPr>
  </w:style>
  <w:style w:type="paragraph" w:styleId="833">
    <w:name w:val="批注文字1"/>
    <w:basedOn w:val="745"/>
    <w:next w:val="833"/>
    <w:link w:val="832"/>
    <w:uiPriority w:val="99"/>
    <w:unhideWhenUsed/>
    <w:pPr>
      <w:jc w:val="left"/>
    </w:pPr>
  </w:style>
  <w:style w:type="character" w:styleId="834">
    <w:name w:val="Header Char"/>
    <w:next w:val="834"/>
    <w:link w:val="835"/>
    <w:uiPriority w:val="99"/>
  </w:style>
  <w:style w:type="paragraph" w:styleId="835">
    <w:name w:val="页眉11"/>
    <w:basedOn w:val="745"/>
    <w:next w:val="835"/>
    <w:link w:val="834"/>
    <w:uiPriority w:val="99"/>
    <w:unhideWhenUsed/>
    <w:pPr>
      <w:spacing w:after="0" w:line="240" w:lineRule="auto"/>
      <w:tabs>
        <w:tab w:val="center" w:pos="7143" w:leader="none"/>
        <w:tab w:val="right" w:pos="14287" w:leader="none"/>
      </w:tabs>
    </w:pPr>
  </w:style>
  <w:style w:type="character" w:styleId="836">
    <w:name w:val="正文文本 2 Char"/>
    <w:next w:val="836"/>
    <w:link w:val="837"/>
    <w:qFormat/>
    <w:rPr>
      <w:rFonts w:ascii="楷体_GB2312" w:eastAsia="楷体_GB2312"/>
      <w:sz w:val="28"/>
      <w:szCs w:val="24"/>
    </w:rPr>
  </w:style>
  <w:style w:type="paragraph" w:styleId="837">
    <w:name w:val="正文文本 21"/>
    <w:basedOn w:val="745"/>
    <w:next w:val="837"/>
    <w:link w:val="836"/>
    <w:pPr>
      <w:spacing w:line="440" w:lineRule="exact"/>
    </w:pPr>
    <w:rPr>
      <w:rFonts w:ascii="楷体_GB2312" w:eastAsia="楷体_GB2312"/>
      <w:sz w:val="28"/>
    </w:rPr>
  </w:style>
  <w:style w:type="character" w:styleId="838">
    <w:name w:val="Heading 9 Char"/>
    <w:next w:val="838"/>
    <w:link w:val="839"/>
    <w:uiPriority w:val="9"/>
    <w:rPr>
      <w:rFonts w:ascii="Arial" w:hAnsi="Arial" w:eastAsia="Arial" w:cs="Arial"/>
      <w:i/>
      <w:iCs/>
      <w:sz w:val="21"/>
      <w:szCs w:val="21"/>
    </w:rPr>
  </w:style>
  <w:style w:type="paragraph" w:styleId="839">
    <w:name w:val="标题 91"/>
    <w:basedOn w:val="745"/>
    <w:next w:val="745"/>
    <w:link w:val="838"/>
    <w:uiPriority w:val="9"/>
    <w:unhideWhenUsed/>
    <w:qFormat/>
    <w:pPr>
      <w:keepLines/>
      <w:keepNext/>
      <w:spacing w:before="320" w:after="200"/>
      <w:outlineLvl w:val="8"/>
    </w:pPr>
    <w:rPr>
      <w:rFonts w:ascii="Arial" w:hAnsi="Arial" w:eastAsia="Arial" w:cs="Arial"/>
      <w:i/>
      <w:iCs/>
      <w:sz w:val="21"/>
      <w:szCs w:val="21"/>
    </w:rPr>
  </w:style>
  <w:style w:type="character" w:styleId="840">
    <w:name w:val="Title Char"/>
    <w:next w:val="840"/>
    <w:link w:val="841"/>
    <w:uiPriority w:val="10"/>
    <w:rPr>
      <w:sz w:val="48"/>
      <w:szCs w:val="48"/>
    </w:rPr>
  </w:style>
  <w:style w:type="paragraph" w:styleId="841">
    <w:name w:val="标题11"/>
    <w:basedOn w:val="745"/>
    <w:next w:val="745"/>
    <w:link w:val="840"/>
    <w:uiPriority w:val="10"/>
    <w:qFormat/>
    <w:pPr>
      <w:contextualSpacing/>
      <w:spacing w:before="300" w:after="200"/>
    </w:pPr>
    <w:rPr>
      <w:sz w:val="48"/>
      <w:szCs w:val="48"/>
    </w:rPr>
  </w:style>
  <w:style w:type="character" w:styleId="842">
    <w:name w:val="Font Style36"/>
    <w:next w:val="842"/>
    <w:link w:val="745"/>
    <w:qFormat/>
    <w:rPr>
      <w:rFonts w:ascii="宋体" w:eastAsia="宋体" w:cs="宋体"/>
      <w:sz w:val="16"/>
      <w:szCs w:val="16"/>
    </w:rPr>
  </w:style>
  <w:style w:type="character" w:styleId="843">
    <w:name w:val="引用 Char"/>
    <w:next w:val="843"/>
    <w:link w:val="844"/>
    <w:uiPriority w:val="29"/>
    <w:rPr>
      <w:i/>
    </w:rPr>
  </w:style>
  <w:style w:type="paragraph" w:styleId="844">
    <w:name w:val="引用"/>
    <w:basedOn w:val="745"/>
    <w:next w:val="745"/>
    <w:link w:val="843"/>
    <w:uiPriority w:val="29"/>
    <w:qFormat/>
    <w:pPr>
      <w:ind w:left="720" w:right="720"/>
    </w:pPr>
    <w:rPr>
      <w:i/>
    </w:rPr>
  </w:style>
  <w:style w:type="character" w:styleId="845">
    <w:name w:val="标题 4 Char"/>
    <w:next w:val="845"/>
    <w:link w:val="846"/>
    <w:uiPriority w:val="9"/>
    <w:qFormat/>
    <w:rPr>
      <w:rFonts w:ascii="Cambria" w:hAnsi="Cambria"/>
      <w:b/>
      <w:bCs/>
      <w:sz w:val="28"/>
      <w:szCs w:val="28"/>
    </w:rPr>
  </w:style>
  <w:style w:type="paragraph" w:styleId="846">
    <w:name w:val="标题 41"/>
    <w:basedOn w:val="745"/>
    <w:next w:val="745"/>
    <w:link w:val="845"/>
    <w:uiPriority w:val="9"/>
    <w:qFormat/>
    <w:pPr>
      <w:keepLines/>
      <w:keepNext/>
      <w:spacing w:before="280" w:after="290" w:line="376" w:lineRule="auto"/>
      <w:outlineLvl w:val="3"/>
    </w:pPr>
    <w:rPr>
      <w:rFonts w:ascii="Cambria" w:hAnsi="Cambria"/>
      <w:b/>
      <w:bCs/>
      <w:sz w:val="28"/>
      <w:szCs w:val="28"/>
    </w:rPr>
  </w:style>
  <w:style w:type="character" w:styleId="847">
    <w:name w:val="Caption Char"/>
    <w:next w:val="847"/>
    <w:link w:val="848"/>
    <w:uiPriority w:val="99"/>
  </w:style>
  <w:style w:type="paragraph" w:styleId="848">
    <w:name w:val="页脚11"/>
    <w:basedOn w:val="745"/>
    <w:next w:val="848"/>
    <w:link w:val="847"/>
    <w:uiPriority w:val="99"/>
    <w:unhideWhenUsed/>
    <w:pPr>
      <w:spacing w:after="0" w:line="240" w:lineRule="auto"/>
      <w:tabs>
        <w:tab w:val="center" w:pos="7143" w:leader="none"/>
        <w:tab w:val="right" w:pos="14287" w:leader="none"/>
      </w:tabs>
    </w:pPr>
  </w:style>
  <w:style w:type="character" w:styleId="849">
    <w:name w:val="a_p_2"/>
    <w:next w:val="849"/>
    <w:link w:val="745"/>
  </w:style>
  <w:style w:type="character" w:styleId="850">
    <w:name w:val="页码1"/>
    <w:next w:val="850"/>
    <w:link w:val="745"/>
  </w:style>
  <w:style w:type="character" w:styleId="851">
    <w:name w:val="超链接1"/>
    <w:next w:val="851"/>
    <w:link w:val="745"/>
    <w:rPr>
      <w:color w:val="0000ff"/>
      <w:u w:val="none"/>
    </w:rPr>
  </w:style>
  <w:style w:type="character" w:styleId="852">
    <w:name w:val="Heading 4 Char"/>
    <w:next w:val="852"/>
    <w:link w:val="853"/>
    <w:uiPriority w:val="9"/>
    <w:rPr>
      <w:rFonts w:ascii="Arial" w:hAnsi="Arial" w:eastAsia="Arial" w:cs="Arial"/>
      <w:b/>
      <w:bCs/>
      <w:sz w:val="26"/>
      <w:szCs w:val="26"/>
    </w:rPr>
  </w:style>
  <w:style w:type="paragraph" w:styleId="853">
    <w:name w:val="标题 411"/>
    <w:basedOn w:val="745"/>
    <w:next w:val="745"/>
    <w:link w:val="852"/>
    <w:uiPriority w:val="9"/>
    <w:unhideWhenUsed/>
    <w:qFormat/>
    <w:pPr>
      <w:keepLines/>
      <w:keepNext/>
      <w:spacing w:before="320" w:after="200"/>
      <w:outlineLvl w:val="3"/>
    </w:pPr>
    <w:rPr>
      <w:rFonts w:ascii="Arial" w:hAnsi="Arial" w:eastAsia="Arial" w:cs="Arial"/>
      <w:b/>
      <w:bCs/>
      <w:sz w:val="26"/>
      <w:szCs w:val="26"/>
    </w:rPr>
  </w:style>
  <w:style w:type="character" w:styleId="854">
    <w:name w:val="超链接11"/>
    <w:next w:val="854"/>
    <w:link w:val="745"/>
    <w:uiPriority w:val="99"/>
    <w:unhideWhenUsed/>
    <w:qFormat/>
    <w:rPr>
      <w:color w:val="0000ff"/>
      <w:u w:val="single"/>
    </w:rPr>
  </w:style>
  <w:style w:type="character" w:styleId="855">
    <w:name w:val="Heading 3 Char"/>
    <w:next w:val="855"/>
    <w:link w:val="856"/>
    <w:uiPriority w:val="9"/>
    <w:qFormat/>
    <w:rPr>
      <w:rFonts w:ascii="Arial" w:hAnsi="Arial" w:eastAsia="Arial" w:cs="Arial"/>
      <w:sz w:val="30"/>
      <w:szCs w:val="30"/>
    </w:rPr>
  </w:style>
  <w:style w:type="paragraph" w:styleId="856">
    <w:name w:val="标题 311"/>
    <w:basedOn w:val="745"/>
    <w:next w:val="745"/>
    <w:link w:val="855"/>
    <w:uiPriority w:val="9"/>
    <w:unhideWhenUsed/>
    <w:qFormat/>
    <w:pPr>
      <w:keepLines/>
      <w:keepNext/>
      <w:spacing w:before="320" w:after="200"/>
      <w:outlineLvl w:val="2"/>
    </w:pPr>
    <w:rPr>
      <w:rFonts w:ascii="Arial" w:hAnsi="Arial" w:eastAsia="Arial" w:cs="Arial"/>
      <w:sz w:val="30"/>
      <w:szCs w:val="30"/>
    </w:rPr>
  </w:style>
  <w:style w:type="character" w:styleId="857">
    <w:name w:val="ul_li_a_1"/>
    <w:next w:val="857"/>
    <w:link w:val="745"/>
    <w:rPr>
      <w:b/>
      <w:bCs/>
      <w:color w:val="ffffff"/>
    </w:rPr>
  </w:style>
  <w:style w:type="character" w:styleId="858">
    <w:name w:val="Heading 6 Char"/>
    <w:next w:val="858"/>
    <w:link w:val="859"/>
    <w:uiPriority w:val="9"/>
    <w:rPr>
      <w:rFonts w:ascii="Arial" w:hAnsi="Arial" w:eastAsia="Arial" w:cs="Arial"/>
      <w:b/>
      <w:bCs/>
      <w:sz w:val="22"/>
      <w:szCs w:val="22"/>
    </w:rPr>
  </w:style>
  <w:style w:type="paragraph" w:styleId="859">
    <w:name w:val="标题 61"/>
    <w:basedOn w:val="745"/>
    <w:next w:val="745"/>
    <w:link w:val="858"/>
    <w:uiPriority w:val="9"/>
    <w:unhideWhenUsed/>
    <w:qFormat/>
    <w:pPr>
      <w:keepLines/>
      <w:keepNext/>
      <w:spacing w:before="320" w:after="200"/>
      <w:outlineLvl w:val="5"/>
    </w:pPr>
    <w:rPr>
      <w:rFonts w:ascii="Arial" w:hAnsi="Arial" w:eastAsia="Arial" w:cs="Arial"/>
      <w:b/>
      <w:bCs/>
      <w:sz w:val="22"/>
      <w:szCs w:val="22"/>
    </w:rPr>
  </w:style>
  <w:style w:type="character" w:styleId="860">
    <w:name w:val="old"/>
    <w:next w:val="860"/>
    <w:link w:val="745"/>
    <w:qFormat/>
    <w:rPr>
      <w:color w:val="999999"/>
    </w:rPr>
  </w:style>
  <w:style w:type="character" w:styleId="861">
    <w:name w:val="Font Style28"/>
    <w:next w:val="861"/>
    <w:link w:val="745"/>
    <w:qFormat/>
    <w:rPr>
      <w:rFonts w:ascii="Constantia" w:hAnsi="Constantia" w:cs="Constantia"/>
      <w:sz w:val="28"/>
      <w:szCs w:val="28"/>
    </w:rPr>
  </w:style>
  <w:style w:type="character" w:styleId="862">
    <w:name w:val="页眉 Char"/>
    <w:next w:val="862"/>
    <w:link w:val="863"/>
    <w:qFormat/>
    <w:rPr>
      <w:sz w:val="18"/>
      <w:szCs w:val="18"/>
    </w:rPr>
  </w:style>
  <w:style w:type="paragraph" w:styleId="863">
    <w:name w:val="页眉1"/>
    <w:basedOn w:val="745"/>
    <w:next w:val="863"/>
    <w:link w:val="862"/>
    <w:qFormat/>
    <w:pPr>
      <w:jc w:val="center"/>
      <w:tabs>
        <w:tab w:val="center" w:pos="4153" w:leader="none"/>
        <w:tab w:val="right" w:pos="8306" w:leader="none"/>
      </w:tabs>
      <w:pBdr>
        <w:bottom w:val="single" w:color="000000" w:sz="6" w:space="1"/>
      </w:pBdr>
    </w:pPr>
    <w:rPr>
      <w:sz w:val="18"/>
      <w:szCs w:val="18"/>
    </w:rPr>
  </w:style>
  <w:style w:type="character" w:styleId="864">
    <w:name w:val="正文缩进 Char"/>
    <w:next w:val="864"/>
    <w:link w:val="865"/>
    <w:qFormat/>
    <w:rPr>
      <w:sz w:val="21"/>
    </w:rPr>
  </w:style>
  <w:style w:type="paragraph" w:styleId="865">
    <w:name w:val="正文缩进1"/>
    <w:basedOn w:val="745"/>
    <w:next w:val="865"/>
    <w:link w:val="864"/>
    <w:pPr>
      <w:ind w:firstLine="420"/>
    </w:pPr>
    <w:rPr>
      <w:szCs w:val="20"/>
    </w:rPr>
  </w:style>
  <w:style w:type="character" w:styleId="866">
    <w:name w:val="a_p_1"/>
    <w:next w:val="866"/>
    <w:link w:val="745"/>
    <w:rPr>
      <w:sz w:val="27"/>
      <w:szCs w:val="27"/>
    </w:rPr>
  </w:style>
  <w:style w:type="character" w:styleId="867">
    <w:name w:val="纯文本 Char"/>
    <w:next w:val="867"/>
    <w:link w:val="868"/>
    <w:qFormat/>
    <w:rPr>
      <w:rFonts w:ascii="宋体" w:hAnsi="Courier New" w:eastAsia="宋体"/>
      <w:sz w:val="21"/>
      <w:lang w:val="en-US" w:eastAsia="zh-CN" w:bidi="ar-SA"/>
    </w:rPr>
  </w:style>
  <w:style w:type="paragraph" w:styleId="868">
    <w:name w:val="纯文本111"/>
    <w:basedOn w:val="745"/>
    <w:next w:val="868"/>
    <w:link w:val="867"/>
    <w:rPr>
      <w:rFonts w:ascii="宋体" w:hAnsi="Courier New"/>
      <w:szCs w:val="20"/>
    </w:rPr>
  </w:style>
  <w:style w:type="character" w:styleId="869">
    <w:name w:val="hour_pm"/>
    <w:next w:val="869"/>
    <w:link w:val="745"/>
  </w:style>
  <w:style w:type="character" w:styleId="870">
    <w:name w:val="页脚 Char"/>
    <w:next w:val="870"/>
    <w:link w:val="871"/>
    <w:rPr>
      <w:sz w:val="18"/>
      <w:szCs w:val="18"/>
    </w:rPr>
  </w:style>
  <w:style w:type="paragraph" w:styleId="871">
    <w:name w:val="页脚1"/>
    <w:basedOn w:val="745"/>
    <w:next w:val="871"/>
    <w:link w:val="870"/>
    <w:qFormat/>
    <w:pPr>
      <w:jc w:val="left"/>
      <w:tabs>
        <w:tab w:val="center" w:pos="4153" w:leader="none"/>
        <w:tab w:val="right" w:pos="8306" w:leader="none"/>
      </w:tabs>
    </w:pPr>
    <w:rPr>
      <w:sz w:val="18"/>
      <w:szCs w:val="18"/>
    </w:rPr>
  </w:style>
  <w:style w:type="character" w:styleId="872">
    <w:name w:val="hour_am"/>
    <w:next w:val="872"/>
    <w:link w:val="745"/>
  </w:style>
  <w:style w:type="character" w:styleId="873">
    <w:name w:val="标题 2 Char,节 Char,Heading 2 Hidden Char,Heading 2 CCBS Char,H2 Char,sect 1.2 Char,H21 Char,sect 1.21 Char,H22 Char,sect 1.22 Char,H211 Char,sect 1.211 Char,H23 Char,sect 1.23 Char,H212 Char,sect 1.212 Char,2nd level Char,h2 Char,2 Char,Header 2 Char"/>
    <w:next w:val="873"/>
    <w:link w:val="745"/>
    <w:qFormat/>
    <w:rPr>
      <w:rFonts w:ascii="Arial" w:hAnsi="Arial" w:eastAsia="黑体"/>
      <w:b/>
      <w:sz w:val="32"/>
      <w:lang w:val="en-US" w:eastAsia="zh-CN"/>
    </w:rPr>
  </w:style>
  <w:style w:type="character" w:styleId="874">
    <w:name w:val="标题 5 Char"/>
    <w:next w:val="874"/>
    <w:link w:val="875"/>
    <w:uiPriority w:val="9"/>
    <w:rPr>
      <w:b/>
      <w:bCs/>
      <w:sz w:val="28"/>
      <w:szCs w:val="28"/>
    </w:rPr>
  </w:style>
  <w:style w:type="paragraph" w:styleId="875">
    <w:name w:val="标题 511"/>
    <w:basedOn w:val="745"/>
    <w:next w:val="745"/>
    <w:link w:val="874"/>
    <w:uiPriority w:val="9"/>
    <w:qFormat/>
    <w:pPr>
      <w:keepLines/>
      <w:keepNext/>
      <w:spacing w:before="280" w:after="290" w:line="376" w:lineRule="auto"/>
      <w:outlineLvl w:val="4"/>
    </w:pPr>
    <w:rPr>
      <w:b/>
      <w:bCs/>
      <w:sz w:val="28"/>
      <w:szCs w:val="28"/>
    </w:rPr>
  </w:style>
  <w:style w:type="character" w:styleId="876">
    <w:name w:val="Heading 8 Char"/>
    <w:next w:val="876"/>
    <w:link w:val="877"/>
    <w:uiPriority w:val="9"/>
    <w:rPr>
      <w:rFonts w:ascii="Arial" w:hAnsi="Arial" w:eastAsia="Arial" w:cs="Arial"/>
      <w:i/>
      <w:iCs/>
      <w:sz w:val="22"/>
      <w:szCs w:val="22"/>
    </w:rPr>
  </w:style>
  <w:style w:type="paragraph" w:styleId="877">
    <w:name w:val="标题 81"/>
    <w:basedOn w:val="745"/>
    <w:next w:val="745"/>
    <w:link w:val="876"/>
    <w:uiPriority w:val="9"/>
    <w:unhideWhenUsed/>
    <w:qFormat/>
    <w:pPr>
      <w:keepLines/>
      <w:keepNext/>
      <w:spacing w:before="320" w:after="200"/>
      <w:outlineLvl w:val="7"/>
    </w:pPr>
    <w:rPr>
      <w:rFonts w:ascii="Arial" w:hAnsi="Arial" w:eastAsia="Arial" w:cs="Arial"/>
      <w:i/>
      <w:iCs/>
      <w:sz w:val="22"/>
      <w:szCs w:val="22"/>
    </w:rPr>
  </w:style>
  <w:style w:type="character" w:styleId="878">
    <w:name w:val="Heading 1 Char"/>
    <w:next w:val="878"/>
    <w:link w:val="879"/>
    <w:uiPriority w:val="9"/>
    <w:rPr>
      <w:rFonts w:ascii="Arial" w:hAnsi="Arial" w:eastAsia="Arial" w:cs="Arial"/>
      <w:sz w:val="40"/>
      <w:szCs w:val="40"/>
    </w:rPr>
  </w:style>
  <w:style w:type="paragraph" w:styleId="879">
    <w:name w:val="标题 111"/>
    <w:basedOn w:val="745"/>
    <w:next w:val="745"/>
    <w:link w:val="878"/>
    <w:uiPriority w:val="9"/>
    <w:qFormat/>
    <w:pPr>
      <w:keepLines/>
      <w:keepNext/>
      <w:spacing w:before="480" w:after="200"/>
      <w:outlineLvl w:val="0"/>
    </w:pPr>
    <w:rPr>
      <w:rFonts w:ascii="Arial" w:hAnsi="Arial" w:eastAsia="Arial" w:cs="Arial"/>
      <w:sz w:val="40"/>
      <w:szCs w:val="40"/>
    </w:rPr>
  </w:style>
  <w:style w:type="character" w:styleId="880">
    <w:name w:val="批注引用1"/>
    <w:next w:val="880"/>
    <w:link w:val="745"/>
    <w:qFormat/>
    <w:rPr>
      <w:sz w:val="21"/>
      <w:szCs w:val="21"/>
    </w:rPr>
  </w:style>
  <w:style w:type="character" w:styleId="881">
    <w:name w:val="Font Style29"/>
    <w:next w:val="881"/>
    <w:link w:val="745"/>
    <w:qFormat/>
    <w:rPr>
      <w:rFonts w:ascii="Arial" w:hAnsi="Arial" w:cs="Arial"/>
      <w:sz w:val="14"/>
      <w:szCs w:val="14"/>
    </w:rPr>
  </w:style>
  <w:style w:type="character" w:styleId="882">
    <w:name w:val="font41"/>
    <w:next w:val="882"/>
    <w:link w:val="745"/>
    <w:qFormat/>
    <w:rPr>
      <w:rFonts w:hint="eastAsia" w:ascii="方正仿宋_GBK" w:hAnsi="方正仿宋_GBK" w:eastAsia="方正仿宋_GBK" w:cs="方正仿宋_GBK"/>
      <w:color w:val="000000"/>
      <w:sz w:val="24"/>
      <w:szCs w:val="24"/>
      <w:u w:val="none"/>
    </w:rPr>
  </w:style>
  <w:style w:type="character" w:styleId="883">
    <w:name w:val="脚注引用1"/>
    <w:next w:val="883"/>
    <w:link w:val="745"/>
    <w:uiPriority w:val="99"/>
    <w:unhideWhenUsed/>
    <w:qFormat/>
    <w:rPr>
      <w:vertAlign w:val="superscript"/>
    </w:rPr>
  </w:style>
  <w:style w:type="character" w:styleId="884">
    <w:name w:val="默认段落字体1"/>
    <w:next w:val="884"/>
    <w:link w:val="745"/>
    <w:semiHidden/>
  </w:style>
  <w:style w:type="character" w:styleId="885">
    <w:name w:val="HTML 引文1"/>
    <w:next w:val="885"/>
    <w:link w:val="745"/>
    <w:rPr>
      <w:b w:val="0"/>
      <w:i w:val="0"/>
    </w:rPr>
  </w:style>
  <w:style w:type="character" w:styleId="886">
    <w:name w:val="HTML 样本1"/>
    <w:next w:val="886"/>
    <w:link w:val="745"/>
    <w:qFormat/>
    <w:rPr>
      <w:rFonts w:ascii="monospace" w:hAnsi="monospace" w:eastAsia="monospace" w:cs="monospace"/>
    </w:rPr>
  </w:style>
  <w:style w:type="character" w:styleId="887">
    <w:name w:val="Heading 5 Char"/>
    <w:next w:val="887"/>
    <w:link w:val="888"/>
    <w:uiPriority w:val="9"/>
    <w:rPr>
      <w:rFonts w:ascii="Arial" w:hAnsi="Arial" w:eastAsia="Arial" w:cs="Arial"/>
      <w:b/>
      <w:bCs/>
      <w:sz w:val="24"/>
      <w:szCs w:val="24"/>
    </w:rPr>
  </w:style>
  <w:style w:type="paragraph" w:styleId="888">
    <w:name w:val="标题 512"/>
    <w:basedOn w:val="745"/>
    <w:next w:val="745"/>
    <w:link w:val="887"/>
    <w:uiPriority w:val="9"/>
    <w:unhideWhenUsed/>
    <w:qFormat/>
    <w:pPr>
      <w:keepLines/>
      <w:keepNext/>
      <w:spacing w:before="320" w:after="200"/>
      <w:outlineLvl w:val="4"/>
    </w:pPr>
    <w:rPr>
      <w:rFonts w:ascii="Arial" w:hAnsi="Arial" w:eastAsia="Arial" w:cs="Arial"/>
      <w:b/>
      <w:bCs/>
      <w:sz w:val="24"/>
      <w:szCs w:val="24"/>
    </w:rPr>
  </w:style>
  <w:style w:type="character" w:styleId="889">
    <w:name w:val="批注主题 Char"/>
    <w:next w:val="889"/>
    <w:link w:val="890"/>
    <w:rPr>
      <w:b/>
      <w:bCs/>
      <w:sz w:val="21"/>
      <w:szCs w:val="24"/>
    </w:rPr>
  </w:style>
  <w:style w:type="paragraph" w:styleId="890">
    <w:name w:val="批注主题1"/>
    <w:basedOn w:val="833"/>
    <w:next w:val="833"/>
    <w:link w:val="889"/>
    <w:qFormat/>
    <w:rPr>
      <w:b/>
      <w:bCs/>
    </w:rPr>
  </w:style>
  <w:style w:type="paragraph" w:styleId="891">
    <w:name w:val="纯文本11"/>
    <w:basedOn w:val="745"/>
    <w:next w:val="891"/>
    <w:link w:val="745"/>
    <w:qFormat/>
    <w:rPr>
      <w:rFonts w:ascii="宋体" w:hAnsi="Courier New"/>
      <w:szCs w:val="20"/>
    </w:rPr>
  </w:style>
  <w:style w:type="paragraph" w:styleId="892">
    <w:name w:val="Style10"/>
    <w:basedOn w:val="745"/>
    <w:next w:val="892"/>
    <w:link w:val="745"/>
    <w:qFormat/>
    <w:pPr>
      <w:jc w:val="left"/>
    </w:pPr>
    <w:rPr>
      <w:rFonts w:ascii="宋体"/>
      <w:sz w:val="24"/>
    </w:rPr>
  </w:style>
  <w:style w:type="paragraph" w:styleId="893">
    <w:name w:val="标题1"/>
    <w:basedOn w:val="894"/>
    <w:next w:val="745"/>
    <w:link w:val="745"/>
    <w:pPr>
      <w:numPr>
        <w:ilvl w:val="0"/>
        <w:numId w:val="1"/>
      </w:numPr>
      <w:jc w:val="left"/>
      <w:spacing w:line="578" w:lineRule="atLeast"/>
    </w:pPr>
  </w:style>
  <w:style w:type="paragraph" w:styleId="894">
    <w:name w:val="标题 11"/>
    <w:basedOn w:val="745"/>
    <w:next w:val="745"/>
    <w:link w:val="745"/>
    <w:uiPriority w:val="9"/>
    <w:qFormat/>
    <w:pPr>
      <w:keepLines/>
      <w:keepNext/>
      <w:spacing w:before="340" w:after="330" w:line="578" w:lineRule="auto"/>
      <w:outlineLvl w:val="0"/>
    </w:pPr>
    <w:rPr>
      <w:b/>
      <w:bCs/>
      <w:sz w:val="44"/>
      <w:szCs w:val="44"/>
    </w:rPr>
  </w:style>
  <w:style w:type="paragraph" w:styleId="895">
    <w:name w:val="Style11"/>
    <w:basedOn w:val="745"/>
    <w:next w:val="895"/>
    <w:link w:val="745"/>
    <w:qFormat/>
    <w:pPr>
      <w:jc w:val="left"/>
      <w:spacing w:line="446" w:lineRule="exact"/>
    </w:pPr>
    <w:rPr>
      <w:rFonts w:ascii="宋体"/>
      <w:sz w:val="24"/>
    </w:rPr>
  </w:style>
  <w:style w:type="paragraph" w:styleId="896">
    <w:name w:val="寄信人地址1"/>
    <w:basedOn w:val="745"/>
    <w:next w:val="896"/>
    <w:link w:val="745"/>
    <w:qFormat/>
    <w:rPr>
      <w:rFonts w:ascii="Arial" w:hAnsi="Arial"/>
    </w:rPr>
  </w:style>
  <w:style w:type="paragraph" w:styleId="897">
    <w:name w:val="目录 111"/>
    <w:basedOn w:val="745"/>
    <w:next w:val="745"/>
    <w:link w:val="745"/>
    <w:uiPriority w:val="39"/>
    <w:unhideWhenUsed/>
    <w:qFormat/>
    <w:pPr>
      <w:ind w:left="0" w:right="0" w:firstLine="0"/>
      <w:spacing w:after="57"/>
    </w:pPr>
  </w:style>
  <w:style w:type="paragraph" w:styleId="898">
    <w:name w:val="目录 91"/>
    <w:basedOn w:val="745"/>
    <w:next w:val="745"/>
    <w:link w:val="745"/>
    <w:uiPriority w:val="39"/>
    <w:unhideWhenUsed/>
    <w:qFormat/>
    <w:pPr>
      <w:ind w:left="2268" w:right="0" w:firstLine="0"/>
      <w:spacing w:after="57"/>
    </w:pPr>
  </w:style>
  <w:style w:type="paragraph" w:styleId="899">
    <w:name w:val="首行缩进"/>
    <w:basedOn w:val="745"/>
    <w:next w:val="899"/>
    <w:link w:val="745"/>
    <w:qFormat/>
    <w:pPr>
      <w:ind w:firstLine="420"/>
      <w:spacing w:line="360" w:lineRule="auto"/>
    </w:pPr>
    <w:rPr>
      <w:sz w:val="20"/>
    </w:rPr>
  </w:style>
  <w:style w:type="paragraph" w:styleId="900">
    <w:name w:val="图表目录1"/>
    <w:basedOn w:val="745"/>
    <w:next w:val="745"/>
    <w:link w:val="745"/>
    <w:uiPriority w:val="99"/>
    <w:unhideWhenUsed/>
    <w:pPr>
      <w:spacing w:after="0" w:afterAutospacing="0"/>
    </w:pPr>
  </w:style>
  <w:style w:type="paragraph" w:styleId="901">
    <w:name w:val="目录 11"/>
    <w:basedOn w:val="745"/>
    <w:next w:val="745"/>
    <w:link w:val="745"/>
    <w:semiHidden/>
  </w:style>
  <w:style w:type="paragraph" w:styleId="902">
    <w:name w:val="目录 31"/>
    <w:basedOn w:val="745"/>
    <w:next w:val="745"/>
    <w:link w:val="745"/>
    <w:semiHidden/>
    <w:qFormat/>
    <w:pPr>
      <w:ind w:left="840"/>
      <w:spacing w:line="300" w:lineRule="auto"/>
      <w:tabs>
        <w:tab w:val="right" w:pos="9344" w:leader="dot"/>
      </w:tabs>
    </w:pPr>
    <w:rPr>
      <w:rFonts w:ascii="Arial" w:hAnsi="Arial" w:cs="Arial"/>
      <w:szCs w:val="21"/>
    </w:rPr>
  </w:style>
  <w:style w:type="paragraph" w:styleId="903">
    <w:name w:val=" Char Char Char1 Char Char Char Char"/>
    <w:basedOn w:val="745"/>
    <w:next w:val="903"/>
    <w:link w:val="745"/>
    <w:qFormat/>
    <w:pPr>
      <w:jc w:val="left"/>
      <w:spacing w:after="160" w:line="240" w:lineRule="exact"/>
      <w:widowControl/>
    </w:pPr>
    <w:rPr>
      <w:rFonts w:ascii="宋体" w:hAnsi="宋体"/>
      <w:b/>
      <w:sz w:val="28"/>
      <w:szCs w:val="28"/>
    </w:rPr>
  </w:style>
  <w:style w:type="paragraph" w:styleId="904">
    <w:name w:val="我的样式"/>
    <w:basedOn w:val="894"/>
    <w:next w:val="745"/>
    <w:link w:val="745"/>
    <w:qFormat/>
    <w:pPr>
      <w:numPr>
        <w:ilvl w:val="0"/>
        <w:numId w:val="2"/>
      </w:numPr>
      <w:spacing w:line="360" w:lineRule="auto"/>
    </w:pPr>
    <w:rPr>
      <w:rFonts w:ascii="仿宋_GB2312" w:eastAsia="仿宋_GB2312"/>
      <w:sz w:val="32"/>
      <w:szCs w:val="30"/>
    </w:rPr>
  </w:style>
  <w:style w:type="paragraph" w:styleId="905">
    <w:name w:val="纯文本1"/>
    <w:basedOn w:val="745"/>
    <w:next w:val="905"/>
    <w:link w:val="745"/>
    <w:qFormat/>
    <w:rPr>
      <w:rFonts w:ascii="宋体" w:hAnsi="Courier New"/>
      <w:szCs w:val="20"/>
    </w:rPr>
  </w:style>
  <w:style w:type="paragraph" w:styleId="906">
    <w:name w:val="Style12"/>
    <w:basedOn w:val="745"/>
    <w:next w:val="906"/>
    <w:link w:val="745"/>
    <w:qFormat/>
    <w:pPr>
      <w:jc w:val="left"/>
    </w:pPr>
    <w:rPr>
      <w:rFonts w:ascii="宋体"/>
      <w:sz w:val="24"/>
    </w:rPr>
  </w:style>
  <w:style w:type="paragraph" w:styleId="907">
    <w:name w:val="Char Char1 Char Char Char Char Char Char"/>
    <w:basedOn w:val="745"/>
    <w:next w:val="907"/>
    <w:link w:val="745"/>
    <w:qFormat/>
    <w:pPr>
      <w:jc w:val="center"/>
      <w:widowControl/>
    </w:pPr>
    <w:rPr>
      <w:rFonts w:ascii="宋体" w:hAnsi="宋体"/>
      <w:b/>
      <w:sz w:val="24"/>
      <w:lang w:eastAsia="en-US"/>
    </w:rPr>
  </w:style>
  <w:style w:type="paragraph" w:styleId="908">
    <w:name w:val="目录 41"/>
    <w:basedOn w:val="745"/>
    <w:next w:val="745"/>
    <w:link w:val="745"/>
    <w:uiPriority w:val="39"/>
    <w:unhideWhenUsed/>
    <w:qFormat/>
    <w:pPr>
      <w:ind w:left="850" w:right="0" w:firstLine="0"/>
      <w:spacing w:after="57"/>
    </w:pPr>
  </w:style>
  <w:style w:type="paragraph" w:styleId="909">
    <w:name w:val="修订"/>
    <w:next w:val="909"/>
    <w:link w:val="745"/>
    <w:uiPriority w:val="99"/>
    <w:semiHidden/>
    <w:qFormat/>
    <w:rPr>
      <w:sz w:val="21"/>
      <w:szCs w:val="24"/>
      <w:lang w:val="en-US" w:eastAsia="zh-CN" w:bidi="ar-SA"/>
    </w:rPr>
  </w:style>
  <w:style w:type="paragraph" w:styleId="910">
    <w:name w:val="正文首行缩进 21"/>
    <w:basedOn w:val="911"/>
    <w:next w:val="745"/>
    <w:link w:val="745"/>
    <w:qFormat/>
    <w:pPr>
      <w:ind w:left="420" w:firstLine="420"/>
      <w:spacing w:after="120"/>
      <w:widowControl/>
    </w:pPr>
    <w:rPr>
      <w:rFonts w:ascii="仿宋_GB2312" w:eastAsia="仿宋_GB2312"/>
      <w:color w:val="ff6600"/>
      <w:sz w:val="21"/>
    </w:rPr>
  </w:style>
  <w:style w:type="paragraph" w:styleId="911">
    <w:name w:val="正文文本缩进1"/>
    <w:basedOn w:val="745"/>
    <w:next w:val="896"/>
    <w:link w:val="745"/>
    <w:pPr>
      <w:ind w:firstLine="630"/>
    </w:pPr>
    <w:rPr>
      <w:rFonts w:ascii="楷体_GB2312" w:eastAsia="楷体_GB2312"/>
      <w:sz w:val="32"/>
      <w:szCs w:val="20"/>
    </w:rPr>
  </w:style>
  <w:style w:type="paragraph" w:styleId="912">
    <w:name w:val="标题 31"/>
    <w:basedOn w:val="745"/>
    <w:next w:val="745"/>
    <w:link w:val="745"/>
    <w:uiPriority w:val="9"/>
    <w:qFormat/>
    <w:pPr>
      <w:keepLines/>
      <w:keepNext/>
      <w:spacing w:before="260" w:after="260" w:line="413" w:lineRule="auto"/>
      <w:outlineLvl w:val="2"/>
    </w:pPr>
    <w:rPr>
      <w:rFonts w:ascii="Arial" w:hAnsi="Arial"/>
      <w:b/>
      <w:sz w:val="32"/>
      <w:szCs w:val="20"/>
    </w:rPr>
  </w:style>
  <w:style w:type="paragraph" w:styleId="913">
    <w:name w:val="标题 51"/>
    <w:basedOn w:val="745"/>
    <w:next w:val="745"/>
    <w:link w:val="745"/>
    <w:uiPriority w:val="9"/>
    <w:qFormat/>
    <w:pPr>
      <w:keepLines/>
      <w:keepNext/>
      <w:spacing w:before="280" w:after="290" w:line="376" w:lineRule="auto"/>
      <w:outlineLvl w:val="4"/>
    </w:pPr>
    <w:rPr>
      <w:b/>
      <w:bCs/>
      <w:sz w:val="28"/>
      <w:szCs w:val="28"/>
    </w:rPr>
  </w:style>
  <w:style w:type="paragraph" w:styleId="914">
    <w:name w:val="Char Char Char Char"/>
    <w:basedOn w:val="915"/>
    <w:next w:val="914"/>
    <w:link w:val="745"/>
    <w:qFormat/>
    <w:pPr>
      <w:spacing w:line="360" w:lineRule="auto"/>
    </w:pPr>
    <w:rPr>
      <w:rFonts w:ascii="Tahoma" w:hAnsi="Tahoma"/>
      <w:sz w:val="24"/>
    </w:rPr>
  </w:style>
  <w:style w:type="paragraph" w:styleId="915">
    <w:name w:val="文档结构图1"/>
    <w:basedOn w:val="745"/>
    <w:next w:val="915"/>
    <w:link w:val="745"/>
    <w:semiHidden/>
    <w:qFormat/>
    <w:pPr>
      <w:shd w:val="clear" w:color="auto" w:fill="000080"/>
    </w:pPr>
  </w:style>
  <w:style w:type="paragraph" w:styleId="916">
    <w:name w:val="正文文本缩进 31"/>
    <w:basedOn w:val="745"/>
    <w:next w:val="916"/>
    <w:link w:val="745"/>
    <w:uiPriority w:val="99"/>
    <w:qFormat/>
    <w:pPr>
      <w:ind w:firstLine="420"/>
    </w:pPr>
    <w:rPr>
      <w:rFonts w:eastAsia="楷体_GB2312"/>
    </w:rPr>
  </w:style>
  <w:style w:type="paragraph" w:styleId="917">
    <w:name w:val="正文（缩进） Char1"/>
    <w:basedOn w:val="745"/>
    <w:next w:val="917"/>
    <w:link w:val="745"/>
    <w:qFormat/>
    <w:pPr>
      <w:ind w:firstLine="480"/>
      <w:spacing w:before="156" w:after="156" w:line="360" w:lineRule="auto"/>
    </w:pPr>
    <w:rPr>
      <w:sz w:val="24"/>
    </w:rPr>
  </w:style>
  <w:style w:type="paragraph" w:styleId="918">
    <w:name w:val="标题 21"/>
    <w:basedOn w:val="745"/>
    <w:next w:val="865"/>
    <w:link w:val="745"/>
    <w:uiPriority w:val="9"/>
    <w:qFormat/>
    <w:pPr>
      <w:keepLines/>
      <w:keepNext/>
      <w:spacing w:before="260" w:after="260" w:line="413" w:lineRule="auto"/>
      <w:outlineLvl w:val="1"/>
    </w:pPr>
    <w:rPr>
      <w:rFonts w:ascii="Arial" w:hAnsi="Arial" w:eastAsia="黑体"/>
      <w:b/>
      <w:sz w:val="32"/>
      <w:szCs w:val="20"/>
    </w:rPr>
  </w:style>
  <w:style w:type="paragraph" w:styleId="919">
    <w:name w:val="TOC Heading"/>
    <w:next w:val="919"/>
    <w:link w:val="745"/>
    <w:uiPriority w:val="39"/>
    <w:unhideWhenUsed/>
    <w:qFormat/>
    <w:rPr>
      <w:lang w:val="en-US" w:eastAsia="zh-CN" w:bidi="ar-SA"/>
    </w:rPr>
  </w:style>
  <w:style w:type="paragraph" w:styleId="920">
    <w:name w:val="表格正文"/>
    <w:next w:val="920"/>
    <w:link w:val="745"/>
    <w:qFormat/>
    <w:pPr>
      <w:spacing w:line="0" w:lineRule="atLeast"/>
    </w:pPr>
    <w:rPr>
      <w:sz w:val="24"/>
      <w:szCs w:val="24"/>
      <w:lang w:val="en-US" w:eastAsia="zh-CN" w:bidi="he-IL"/>
    </w:rPr>
  </w:style>
  <w:style w:type="paragraph" w:styleId="921">
    <w:name w:val="要点标题"/>
    <w:basedOn w:val="745"/>
    <w:next w:val="921"/>
    <w:link w:val="745"/>
    <w:qFormat/>
    <w:pPr>
      <w:numPr>
        <w:ilvl w:val="0"/>
        <w:numId w:val="3"/>
      </w:numPr>
      <w:jc w:val="left"/>
      <w:tabs>
        <w:tab w:val="left" w:pos="420" w:leader="none"/>
      </w:tabs>
    </w:pPr>
    <w:rPr>
      <w:rFonts w:ascii="宋体" w:hAnsi="宋体"/>
      <w:b/>
      <w:sz w:val="24"/>
    </w:rPr>
  </w:style>
  <w:style w:type="paragraph" w:styleId="922">
    <w:name w:val="Char"/>
    <w:basedOn w:val="745"/>
    <w:next w:val="922"/>
    <w:link w:val="745"/>
    <w:qFormat/>
    <w:pPr>
      <w:tabs>
        <w:tab w:val="left" w:pos="360" w:leader="none"/>
      </w:tabs>
    </w:pPr>
    <w:rPr>
      <w:sz w:val="24"/>
    </w:rPr>
  </w:style>
  <w:style w:type="paragraph" w:styleId="923">
    <w:name w:val="目录 311"/>
    <w:basedOn w:val="745"/>
    <w:next w:val="745"/>
    <w:link w:val="745"/>
    <w:uiPriority w:val="39"/>
    <w:unhideWhenUsed/>
    <w:qFormat/>
    <w:pPr>
      <w:ind w:left="567" w:right="0" w:firstLine="0"/>
      <w:spacing w:after="57"/>
    </w:pPr>
  </w:style>
  <w:style w:type="paragraph" w:styleId="924">
    <w:name w:val="文本块1"/>
    <w:basedOn w:val="745"/>
    <w:next w:val="924"/>
    <w:link w:val="745"/>
    <w:qFormat/>
    <w:pPr>
      <w:ind w:left="420" w:right="33"/>
      <w:jc w:val="left"/>
    </w:pPr>
    <w:rPr>
      <w:sz w:val="24"/>
      <w:szCs w:val="20"/>
    </w:rPr>
  </w:style>
  <w:style w:type="paragraph" w:styleId="925">
    <w:name w:val="样式1"/>
    <w:basedOn w:val="745"/>
    <w:next w:val="925"/>
    <w:link w:val="745"/>
    <w:qFormat/>
    <w:pPr>
      <w:numPr>
        <w:ilvl w:val="0"/>
        <w:numId w:val="1"/>
      </w:numPr>
      <w:tabs>
        <w:tab w:val="left" w:pos="1110" w:leader="none"/>
      </w:tabs>
    </w:pPr>
    <w:rPr>
      <w:rFonts w:ascii="宋体" w:hAnsi="宋体"/>
      <w:szCs w:val="21"/>
    </w:rPr>
  </w:style>
  <w:style w:type="paragraph" w:styleId="926">
    <w:name w:val="目录 61"/>
    <w:basedOn w:val="745"/>
    <w:next w:val="745"/>
    <w:link w:val="745"/>
    <w:uiPriority w:val="39"/>
    <w:unhideWhenUsed/>
    <w:qFormat/>
    <w:pPr>
      <w:ind w:left="1417" w:right="0" w:firstLine="0"/>
      <w:spacing w:after="57"/>
    </w:pPr>
  </w:style>
  <w:style w:type="paragraph" w:styleId="927">
    <w:name w:val="正文文本 31"/>
    <w:basedOn w:val="745"/>
    <w:next w:val="927"/>
    <w:link w:val="745"/>
    <w:qFormat/>
    <w:rPr>
      <w:rFonts w:ascii="楷体_GB2312" w:hAnsi="Arial" w:eastAsia="楷体_GB2312" w:cs="Arial"/>
      <w:b/>
      <w:bCs/>
      <w:color w:val="000000"/>
      <w:sz w:val="24"/>
    </w:rPr>
  </w:style>
  <w:style w:type="paragraph" w:styleId="928">
    <w:name w:val="目录 51"/>
    <w:basedOn w:val="745"/>
    <w:next w:val="745"/>
    <w:link w:val="745"/>
    <w:uiPriority w:val="39"/>
    <w:unhideWhenUsed/>
    <w:pPr>
      <w:ind w:left="1134" w:right="0" w:firstLine="0"/>
      <w:spacing w:after="57"/>
    </w:pPr>
  </w:style>
  <w:style w:type="paragraph" w:styleId="929">
    <w:name w:val="正文文本缩进 21"/>
    <w:basedOn w:val="745"/>
    <w:next w:val="929"/>
    <w:link w:val="745"/>
    <w:qFormat/>
    <w:pPr>
      <w:ind w:left="420"/>
      <w:spacing w:after="120" w:line="480" w:lineRule="auto"/>
    </w:pPr>
  </w:style>
  <w:style w:type="paragraph" w:styleId="930">
    <w:name w:val="Style9"/>
    <w:basedOn w:val="745"/>
    <w:next w:val="930"/>
    <w:link w:val="745"/>
    <w:qFormat/>
    <w:pPr>
      <w:jc w:val="left"/>
    </w:pPr>
    <w:rPr>
      <w:rFonts w:ascii="宋体"/>
      <w:sz w:val="24"/>
    </w:rPr>
  </w:style>
  <w:style w:type="paragraph" w:styleId="931">
    <w:name w:val="目录 71"/>
    <w:basedOn w:val="745"/>
    <w:next w:val="745"/>
    <w:link w:val="745"/>
    <w:uiPriority w:val="39"/>
    <w:unhideWhenUsed/>
    <w:qFormat/>
    <w:pPr>
      <w:ind w:left="1701" w:right="0" w:firstLine="0"/>
      <w:spacing w:after="57"/>
    </w:pPr>
  </w:style>
  <w:style w:type="paragraph" w:styleId="932">
    <w:name w:val="Default"/>
    <w:next w:val="932"/>
    <w:link w:val="745"/>
    <w:qFormat/>
    <w:pPr>
      <w:widowControl w:val="off"/>
    </w:pPr>
    <w:rPr>
      <w:rFonts w:ascii="仿宋" w:eastAsia="仿宋" w:cs="仿宋"/>
      <w:color w:val="000000"/>
      <w:sz w:val="24"/>
      <w:szCs w:val="24"/>
      <w:lang w:val="en-US" w:eastAsia="zh-CN" w:bidi="ar-SA"/>
    </w:rPr>
  </w:style>
  <w:style w:type="paragraph" w:styleId="933">
    <w:name w:val="默认段落字体 Para Char Char Char Char Char Char Char Char Char1 Char Char Char Char Char Char Char"/>
    <w:basedOn w:val="915"/>
    <w:next w:val="933"/>
    <w:link w:val="745"/>
    <w:qFormat/>
    <w:rPr>
      <w:rFonts w:ascii="Tahoma" w:hAnsi="Tahoma"/>
      <w:sz w:val="24"/>
    </w:rPr>
  </w:style>
  <w:style w:type="paragraph" w:styleId="934">
    <w:name w:val=" Char"/>
    <w:basedOn w:val="745"/>
    <w:next w:val="934"/>
    <w:link w:val="745"/>
    <w:qFormat/>
    <w:pPr>
      <w:ind w:left="420" w:hanging="420"/>
      <w:jc w:val="left"/>
      <w:tabs>
        <w:tab w:val="left" w:pos="420" w:leader="none"/>
      </w:tabs>
    </w:pPr>
    <w:rPr>
      <w:szCs w:val="20"/>
    </w:rPr>
  </w:style>
  <w:style w:type="paragraph" w:styleId="935">
    <w:name w:val="Table Paragraph"/>
    <w:basedOn w:val="745"/>
    <w:next w:val="935"/>
    <w:link w:val="745"/>
    <w:uiPriority w:val="1"/>
    <w:qFormat/>
    <w:rPr>
      <w:rFonts w:ascii="宋体" w:hAnsi="宋体" w:eastAsia="宋体" w:cs="宋体"/>
      <w:lang w:val="en-US" w:eastAsia="zh-CN" w:bidi="ar-SA"/>
    </w:rPr>
  </w:style>
  <w:style w:type="paragraph" w:styleId="936">
    <w:name w:val="目录 81"/>
    <w:basedOn w:val="745"/>
    <w:next w:val="745"/>
    <w:link w:val="745"/>
    <w:uiPriority w:val="39"/>
    <w:unhideWhenUsed/>
    <w:pPr>
      <w:ind w:left="1984" w:right="0" w:firstLine="0"/>
      <w:spacing w:after="57"/>
    </w:pPr>
  </w:style>
  <w:style w:type="paragraph" w:styleId="937">
    <w:name w:val="正文（无缩进）"/>
    <w:basedOn w:val="745"/>
    <w:next w:val="937"/>
    <w:link w:val="745"/>
    <w:qFormat/>
    <w:pPr>
      <w:spacing w:line="360" w:lineRule="auto"/>
    </w:pPr>
    <w:rPr>
      <w:rFonts w:ascii="Calibri" w:hAnsi="Calibri"/>
      <w:sz w:val="24"/>
      <w:szCs w:val="21"/>
    </w:rPr>
  </w:style>
  <w:style w:type="paragraph" w:styleId="938">
    <w:name w:val="目录 211"/>
    <w:basedOn w:val="745"/>
    <w:next w:val="745"/>
    <w:link w:val="745"/>
    <w:uiPriority w:val="39"/>
    <w:unhideWhenUsed/>
    <w:qFormat/>
    <w:pPr>
      <w:ind w:left="283" w:right="0" w:firstLine="0"/>
      <w:spacing w:after="57"/>
    </w:pPr>
  </w:style>
  <w:style w:type="paragraph" w:styleId="939">
    <w:name w:val="文档正文"/>
    <w:basedOn w:val="745"/>
    <w:next w:val="939"/>
    <w:link w:val="745"/>
    <w:qFormat/>
    <w:pPr>
      <w:ind w:firstLine="567"/>
      <w:spacing w:line="480" w:lineRule="atLeast"/>
    </w:pPr>
    <w:rPr>
      <w:rFonts w:ascii="仿宋_GB2312"/>
      <w:szCs w:val="20"/>
    </w:rPr>
  </w:style>
  <w:style w:type="paragraph" w:styleId="940">
    <w:name w:val="无间隔"/>
    <w:next w:val="940"/>
    <w:link w:val="745"/>
    <w:uiPriority w:val="1"/>
    <w:qFormat/>
    <w:rPr>
      <w:lang w:val="en-US" w:eastAsia="zh-CN" w:bidi="ar-SA"/>
    </w:rPr>
  </w:style>
  <w:style w:type="paragraph" w:styleId="941">
    <w:name w:val=" Char Char Char Char Char Char Char Char Char Char Char Char Char"/>
    <w:basedOn w:val="745"/>
    <w:next w:val="941"/>
    <w:link w:val="745"/>
    <w:qFormat/>
    <w:pPr>
      <w:jc w:val="left"/>
      <w:spacing w:after="160" w:line="240" w:lineRule="exact"/>
      <w:widowControl/>
    </w:pPr>
    <w:rPr>
      <w:rFonts w:ascii="Verdana" w:hAnsi="Verdana"/>
      <w:sz w:val="20"/>
      <w:szCs w:val="20"/>
      <w:lang w:eastAsia="en-US"/>
    </w:rPr>
  </w:style>
  <w:style w:type="paragraph" w:styleId="942">
    <w:name w:val="题注11"/>
    <w:basedOn w:val="745"/>
    <w:next w:val="745"/>
    <w:link w:val="745"/>
    <w:uiPriority w:val="35"/>
    <w:unhideWhenUsed/>
    <w:qFormat/>
    <w:pPr>
      <w:spacing w:line="276" w:lineRule="auto"/>
    </w:pPr>
    <w:rPr>
      <w:b/>
      <w:bCs/>
      <w:color w:val="4f81bd"/>
      <w:sz w:val="18"/>
      <w:szCs w:val="18"/>
    </w:rPr>
  </w:style>
  <w:style w:type="paragraph" w:styleId="943">
    <w:name w:val="题注1"/>
    <w:basedOn w:val="745"/>
    <w:next w:val="745"/>
    <w:link w:val="745"/>
    <w:uiPriority w:val="35"/>
    <w:qFormat/>
    <w:pPr>
      <w:jc w:val="center"/>
      <w:spacing w:before="156" w:after="156" w:line="360" w:lineRule="auto"/>
    </w:pPr>
    <w:rPr>
      <w:rFonts w:ascii="Arial" w:hAnsi="Arial" w:cs="Arial"/>
      <w:sz w:val="24"/>
      <w:szCs w:val="20"/>
    </w:rPr>
  </w:style>
  <w:style w:type="paragraph" w:styleId="944">
    <w:name w:val="列出段落"/>
    <w:basedOn w:val="745"/>
    <w:next w:val="944"/>
    <w:link w:val="745"/>
    <w:uiPriority w:val="34"/>
    <w:qFormat/>
    <w:pPr>
      <w:contextualSpacing/>
      <w:ind w:left="720"/>
    </w:pPr>
  </w:style>
  <w:style w:type="paragraph" w:styleId="945">
    <w:name w:val="_Style 56"/>
    <w:basedOn w:val="915"/>
    <w:next w:val="945"/>
    <w:link w:val="745"/>
    <w:pPr>
      <w:spacing w:line="436" w:lineRule="exact"/>
    </w:pPr>
    <w:rPr>
      <w:szCs w:val="20"/>
    </w:rPr>
  </w:style>
  <w:style w:type="paragraph" w:styleId="946">
    <w:name w:val="Char1"/>
    <w:basedOn w:val="745"/>
    <w:next w:val="946"/>
    <w:link w:val="745"/>
    <w:qFormat/>
    <w:pPr>
      <w:ind w:left="840" w:hanging="420"/>
      <w:tabs>
        <w:tab w:val="left" w:pos="840" w:leader="none"/>
      </w:tabs>
    </w:pPr>
    <w:rPr>
      <w:sz w:val="24"/>
    </w:rPr>
  </w:style>
  <w:style w:type="paragraph" w:styleId="947">
    <w:name w:val="纯文本112"/>
    <w:basedOn w:val="745"/>
    <w:next w:val="947"/>
    <w:link w:val="745"/>
    <w:qFormat/>
    <w:rPr>
      <w:rFonts w:ascii="宋体" w:hAnsi="Courier New"/>
    </w:rPr>
  </w:style>
  <w:style w:type="paragraph" w:styleId="948">
    <w:name w:val="普通正文"/>
    <w:basedOn w:val="745"/>
    <w:next w:val="948"/>
    <w:link w:val="745"/>
    <w:qFormat/>
    <w:pPr>
      <w:ind w:firstLine="480"/>
      <w:jc w:val="left"/>
      <w:spacing w:before="120" w:after="120" w:line="360" w:lineRule="auto"/>
    </w:pPr>
    <w:rPr>
      <w:rFonts w:ascii="Arial" w:hAnsi="Arial"/>
      <w:sz w:val="24"/>
    </w:rPr>
  </w:style>
  <w:style w:type="paragraph" w:styleId="949">
    <w:name w:val="正文文本1"/>
    <w:basedOn w:val="745"/>
    <w:next w:val="949"/>
    <w:link w:val="74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50">
    <w:name w:val="目录 21"/>
    <w:basedOn w:val="745"/>
    <w:next w:val="745"/>
    <w:link w:val="745"/>
    <w:semiHidden/>
    <w:qFormat/>
    <w:pPr>
      <w:ind w:left="420"/>
    </w:pPr>
    <w:rPr>
      <w:szCs w:val="20"/>
    </w:rPr>
  </w:style>
  <w:style w:type="table" w:styleId="951">
    <w:name w:val="Grid Table 3 - Accent 5"/>
    <w:next w:val="951"/>
    <w:link w:val="745"/>
    <w:uiPriority w:val="99"/>
    <w:rPr>
      <w:lang w:val="en-US" w:eastAsia="zh-CN" w:bidi="ar-SA"/>
    </w:rPr>
    <w:tblPr/>
  </w:style>
  <w:style w:type="table" w:styleId="952">
    <w:name w:val="Bordered &amp; Lined - Accent 5"/>
    <w:next w:val="952"/>
    <w:link w:val="745"/>
    <w:uiPriority w:val="99"/>
    <w:rPr>
      <w:color w:val="404040"/>
      <w:lang w:val="en-US" w:eastAsia="zh-CN" w:bidi="ar-SA"/>
    </w:rPr>
    <w:tblPr/>
  </w:style>
  <w:style w:type="table" w:styleId="953">
    <w:name w:val="Grid Table 6 Colorful - Accent 6"/>
    <w:next w:val="953"/>
    <w:link w:val="745"/>
    <w:uiPriority w:val="99"/>
    <w:qFormat/>
    <w:rPr>
      <w:lang w:val="en-US" w:eastAsia="zh-CN" w:bidi="ar-SA"/>
    </w:rPr>
    <w:tblPr/>
  </w:style>
  <w:style w:type="table" w:styleId="954">
    <w:name w:val="Grid Table 3"/>
    <w:next w:val="954"/>
    <w:link w:val="745"/>
    <w:uiPriority w:val="99"/>
    <w:rPr>
      <w:lang w:val="en-US" w:eastAsia="zh-CN" w:bidi="ar-SA"/>
    </w:rPr>
    <w:tblPr/>
  </w:style>
  <w:style w:type="table" w:styleId="955">
    <w:name w:val="List Table 2 - Accent 2"/>
    <w:next w:val="955"/>
    <w:link w:val="745"/>
    <w:uiPriority w:val="99"/>
    <w:rPr>
      <w:lang w:val="en-US" w:eastAsia="zh-CN" w:bidi="ar-SA"/>
    </w:rPr>
    <w:tblPr/>
  </w:style>
  <w:style w:type="table" w:styleId="956">
    <w:name w:val="Grid Table 6 Colorful - Accent 1"/>
    <w:next w:val="956"/>
    <w:link w:val="745"/>
    <w:uiPriority w:val="99"/>
    <w:rPr>
      <w:lang w:val="en-US" w:eastAsia="zh-CN" w:bidi="ar-SA"/>
    </w:rPr>
    <w:tblPr/>
  </w:style>
  <w:style w:type="table" w:styleId="957">
    <w:name w:val="Grid Table 3 - Accent 6"/>
    <w:next w:val="957"/>
    <w:link w:val="745"/>
    <w:uiPriority w:val="99"/>
    <w:rPr>
      <w:lang w:val="en-US" w:eastAsia="zh-CN" w:bidi="ar-SA"/>
    </w:rPr>
    <w:tblPr/>
  </w:style>
  <w:style w:type="table" w:styleId="958">
    <w:name w:val="List Table 6 Colorful - Accent 3"/>
    <w:next w:val="958"/>
    <w:link w:val="745"/>
    <w:uiPriority w:val="99"/>
    <w:qFormat/>
    <w:rPr>
      <w:lang w:val="en-US" w:eastAsia="zh-CN" w:bidi="ar-SA"/>
    </w:rPr>
    <w:tblPr/>
  </w:style>
  <w:style w:type="table" w:styleId="959">
    <w:name w:val="Table Normal"/>
    <w:next w:val="959"/>
    <w:link w:val="745"/>
    <w:unhideWhenUsed/>
    <w:qFormat/>
    <w:rPr>
      <w:lang w:val="en-US" w:eastAsia="zh-CN" w:bidi="ar-SA"/>
    </w:rPr>
    <w:tblPr/>
  </w:style>
  <w:style w:type="table" w:styleId="960">
    <w:name w:val="Grid Table 2 - Accent 6"/>
    <w:next w:val="960"/>
    <w:link w:val="745"/>
    <w:uiPriority w:val="99"/>
    <w:rPr>
      <w:lang w:val="en-US" w:eastAsia="zh-CN" w:bidi="ar-SA"/>
    </w:rPr>
    <w:tblPr/>
  </w:style>
  <w:style w:type="table" w:styleId="961">
    <w:name w:val="List Table 5 Dark - Accent 3"/>
    <w:next w:val="961"/>
    <w:link w:val="745"/>
    <w:uiPriority w:val="99"/>
    <w:qFormat/>
    <w:rPr>
      <w:lang w:val="en-US" w:eastAsia="zh-CN" w:bidi="ar-SA"/>
    </w:rPr>
    <w:tblPr/>
  </w:style>
  <w:style w:type="table" w:styleId="962">
    <w:name w:val="Grid Table 5 Dark - Accent 3"/>
    <w:next w:val="962"/>
    <w:link w:val="745"/>
    <w:uiPriority w:val="99"/>
    <w:qFormat/>
    <w:rPr>
      <w:lang w:val="en-US" w:eastAsia="zh-CN" w:bidi="ar-SA"/>
    </w:rPr>
    <w:tblPr/>
  </w:style>
  <w:style w:type="table" w:styleId="963">
    <w:name w:val="List Table 4"/>
    <w:next w:val="963"/>
    <w:link w:val="745"/>
    <w:uiPriority w:val="99"/>
    <w:rPr>
      <w:lang w:val="en-US" w:eastAsia="zh-CN" w:bidi="ar-SA"/>
    </w:rPr>
    <w:tblPr/>
  </w:style>
  <w:style w:type="table" w:styleId="964">
    <w:name w:val="List Table 5 Dark - Accent 5"/>
    <w:next w:val="964"/>
    <w:link w:val="745"/>
    <w:uiPriority w:val="99"/>
    <w:qFormat/>
    <w:rPr>
      <w:lang w:val="en-US" w:eastAsia="zh-CN" w:bidi="ar-SA"/>
    </w:rPr>
    <w:tblPr/>
  </w:style>
  <w:style w:type="table" w:styleId="965">
    <w:name w:val="Grid Table 2 - Accent 2"/>
    <w:next w:val="965"/>
    <w:link w:val="745"/>
    <w:uiPriority w:val="99"/>
    <w:rPr>
      <w:lang w:val="en-US" w:eastAsia="zh-CN" w:bidi="ar-SA"/>
    </w:rPr>
    <w:tblPr/>
  </w:style>
  <w:style w:type="table" w:styleId="966">
    <w:name w:val="List Table 7 Colorful"/>
    <w:next w:val="966"/>
    <w:link w:val="745"/>
    <w:uiPriority w:val="99"/>
    <w:qFormat/>
    <w:rPr>
      <w:lang w:val="en-US" w:eastAsia="zh-CN" w:bidi="ar-SA"/>
    </w:rPr>
    <w:tblPr/>
  </w:style>
  <w:style w:type="table" w:styleId="967">
    <w:name w:val="Lined - Accent 4"/>
    <w:next w:val="967"/>
    <w:link w:val="745"/>
    <w:uiPriority w:val="99"/>
    <w:qFormat/>
    <w:rPr>
      <w:color w:val="404040"/>
      <w:lang w:val="en-US" w:eastAsia="zh-CN" w:bidi="ar-SA"/>
    </w:rPr>
    <w:tblPr/>
  </w:style>
  <w:style w:type="table" w:styleId="968">
    <w:name w:val="List Table 3 - Accent 4"/>
    <w:next w:val="968"/>
    <w:link w:val="745"/>
    <w:uiPriority w:val="99"/>
    <w:rPr>
      <w:lang w:val="en-US" w:eastAsia="zh-CN" w:bidi="ar-SA"/>
    </w:rPr>
    <w:tblPr/>
  </w:style>
  <w:style w:type="table" w:styleId="969">
    <w:name w:val="List Table 7 Colorful - Accent 6"/>
    <w:next w:val="969"/>
    <w:link w:val="745"/>
    <w:uiPriority w:val="99"/>
    <w:qFormat/>
    <w:rPr>
      <w:lang w:val="en-US" w:eastAsia="zh-CN" w:bidi="ar-SA"/>
    </w:rPr>
    <w:tblPr/>
  </w:style>
  <w:style w:type="table" w:styleId="970">
    <w:name w:val="Grid Table 3 - Accent 3"/>
    <w:next w:val="970"/>
    <w:link w:val="745"/>
    <w:uiPriority w:val="99"/>
    <w:rPr>
      <w:lang w:val="en-US" w:eastAsia="zh-CN" w:bidi="ar-SA"/>
    </w:rPr>
    <w:tblPr/>
  </w:style>
  <w:style w:type="table" w:styleId="971">
    <w:name w:val="Grid Table 5 Dark"/>
    <w:next w:val="971"/>
    <w:link w:val="745"/>
    <w:uiPriority w:val="99"/>
    <w:rPr>
      <w:lang w:val="en-US" w:eastAsia="zh-CN" w:bidi="ar-SA"/>
    </w:rPr>
    <w:tblPr/>
  </w:style>
  <w:style w:type="table" w:styleId="972">
    <w:name w:val="List Table 4 - Accent 5"/>
    <w:next w:val="972"/>
    <w:link w:val="745"/>
    <w:uiPriority w:val="99"/>
    <w:qFormat/>
    <w:rPr>
      <w:lang w:val="en-US" w:eastAsia="zh-CN" w:bidi="ar-SA"/>
    </w:rPr>
    <w:tblPr/>
  </w:style>
  <w:style w:type="table" w:styleId="973">
    <w:name w:val="List Table 7 Colorful - Accent 3"/>
    <w:next w:val="973"/>
    <w:link w:val="745"/>
    <w:uiPriority w:val="99"/>
    <w:qFormat/>
    <w:rPr>
      <w:lang w:val="en-US" w:eastAsia="zh-CN" w:bidi="ar-SA"/>
    </w:rPr>
    <w:tblPr/>
  </w:style>
  <w:style w:type="table" w:styleId="974">
    <w:name w:val="Plain Table 5"/>
    <w:next w:val="974"/>
    <w:link w:val="745"/>
    <w:uiPriority w:val="99"/>
    <w:rPr>
      <w:lang w:val="en-US" w:eastAsia="zh-CN" w:bidi="ar-SA"/>
    </w:rPr>
    <w:tblPr/>
  </w:style>
  <w:style w:type="table" w:styleId="975">
    <w:name w:val="Lined - Accent 5"/>
    <w:next w:val="975"/>
    <w:link w:val="745"/>
    <w:uiPriority w:val="99"/>
    <w:qFormat/>
    <w:rPr>
      <w:color w:val="404040"/>
      <w:lang w:val="en-US" w:eastAsia="zh-CN" w:bidi="ar-SA"/>
    </w:rPr>
    <w:tblPr/>
  </w:style>
  <w:style w:type="table" w:styleId="976">
    <w:name w:val="List Table 7 Colorful - Accent 4"/>
    <w:next w:val="976"/>
    <w:link w:val="745"/>
    <w:uiPriority w:val="99"/>
    <w:qFormat/>
    <w:rPr>
      <w:lang w:val="en-US" w:eastAsia="zh-CN" w:bidi="ar-SA"/>
    </w:rPr>
    <w:tblPr/>
  </w:style>
  <w:style w:type="table" w:styleId="977">
    <w:name w:val="Bordered - Accent 1"/>
    <w:next w:val="977"/>
    <w:link w:val="745"/>
    <w:uiPriority w:val="99"/>
    <w:qFormat/>
    <w:rPr>
      <w:lang w:val="en-US" w:eastAsia="zh-CN" w:bidi="ar-SA"/>
    </w:rPr>
    <w:tblPr/>
  </w:style>
  <w:style w:type="table" w:styleId="978">
    <w:name w:val="Bordered &amp; Lined - Accent 2"/>
    <w:next w:val="978"/>
    <w:link w:val="745"/>
    <w:uiPriority w:val="99"/>
    <w:qFormat/>
    <w:rPr>
      <w:color w:val="404040"/>
      <w:lang w:val="en-US" w:eastAsia="zh-CN" w:bidi="ar-SA"/>
    </w:rPr>
    <w:tblPr/>
  </w:style>
  <w:style w:type="table" w:styleId="979">
    <w:name w:val="Plain Table 1"/>
    <w:next w:val="979"/>
    <w:link w:val="745"/>
    <w:uiPriority w:val="59"/>
    <w:rPr>
      <w:lang w:val="en-US" w:eastAsia="zh-CN" w:bidi="ar-SA"/>
    </w:rPr>
    <w:tblPr/>
  </w:style>
  <w:style w:type="table" w:styleId="980">
    <w:name w:val="Grid Table 7 Colorful - Accent 4"/>
    <w:next w:val="980"/>
    <w:link w:val="745"/>
    <w:uiPriority w:val="99"/>
    <w:qFormat/>
    <w:rPr>
      <w:lang w:val="en-US" w:eastAsia="zh-CN" w:bidi="ar-SA"/>
    </w:rPr>
    <w:tblPr/>
  </w:style>
  <w:style w:type="table" w:styleId="981">
    <w:name w:val="List Table 1 Light - Accent 1"/>
    <w:next w:val="981"/>
    <w:link w:val="745"/>
    <w:uiPriority w:val="99"/>
    <w:qFormat/>
    <w:rPr>
      <w:lang w:val="en-US" w:eastAsia="zh-CN" w:bidi="ar-SA"/>
    </w:rPr>
    <w:tblPr/>
  </w:style>
  <w:style w:type="table" w:styleId="982">
    <w:name w:val="Grid Table 6 Colorful - Accent 4"/>
    <w:next w:val="982"/>
    <w:link w:val="745"/>
    <w:uiPriority w:val="99"/>
    <w:rPr>
      <w:lang w:val="en-US" w:eastAsia="zh-CN" w:bidi="ar-SA"/>
    </w:rPr>
    <w:tblPr/>
  </w:style>
  <w:style w:type="table" w:styleId="983">
    <w:name w:val="Grid Table 7 Colorful"/>
    <w:next w:val="983"/>
    <w:link w:val="745"/>
    <w:uiPriority w:val="99"/>
    <w:qFormat/>
    <w:rPr>
      <w:lang w:val="en-US" w:eastAsia="zh-CN" w:bidi="ar-SA"/>
    </w:rPr>
    <w:tblPr/>
  </w:style>
  <w:style w:type="table" w:styleId="984">
    <w:name w:val="Grid Table 2 - Accent 1"/>
    <w:next w:val="984"/>
    <w:link w:val="745"/>
    <w:uiPriority w:val="99"/>
    <w:qFormat/>
    <w:rPr>
      <w:lang w:val="en-US" w:eastAsia="zh-CN" w:bidi="ar-SA"/>
    </w:rPr>
    <w:tblPr/>
  </w:style>
  <w:style w:type="table" w:styleId="985">
    <w:name w:val="List Table 6 Colorful - Accent 2"/>
    <w:next w:val="985"/>
    <w:link w:val="745"/>
    <w:uiPriority w:val="99"/>
    <w:qFormat/>
    <w:rPr>
      <w:lang w:val="en-US" w:eastAsia="zh-CN" w:bidi="ar-SA"/>
    </w:rPr>
    <w:tblPr/>
  </w:style>
  <w:style w:type="table" w:styleId="986">
    <w:name w:val="网格型11"/>
    <w:next w:val="986"/>
    <w:link w:val="745"/>
    <w:uiPriority w:val="59"/>
    <w:rPr>
      <w:lang w:val="en-US" w:eastAsia="zh-CN" w:bidi="ar-SA"/>
    </w:rPr>
    <w:tblPr/>
  </w:style>
  <w:style w:type="table" w:styleId="987">
    <w:name w:val="Grid Table 1 Light - Accent 2"/>
    <w:next w:val="987"/>
    <w:link w:val="745"/>
    <w:uiPriority w:val="99"/>
    <w:rPr>
      <w:lang w:val="en-US" w:eastAsia="zh-CN" w:bidi="ar-SA"/>
    </w:rPr>
    <w:tblPr/>
  </w:style>
  <w:style w:type="table" w:styleId="988">
    <w:name w:val="Grid Table 6 Colorful - Accent 3"/>
    <w:next w:val="988"/>
    <w:link w:val="745"/>
    <w:uiPriority w:val="99"/>
    <w:qFormat/>
    <w:rPr>
      <w:lang w:val="en-US" w:eastAsia="zh-CN" w:bidi="ar-SA"/>
    </w:rPr>
    <w:tblPr/>
  </w:style>
  <w:style w:type="table" w:styleId="989">
    <w:name w:val="Grid Table 1 Light - Accent 6"/>
    <w:next w:val="989"/>
    <w:link w:val="745"/>
    <w:uiPriority w:val="99"/>
    <w:rPr>
      <w:lang w:val="en-US" w:eastAsia="zh-CN" w:bidi="ar-SA"/>
    </w:rPr>
    <w:tblPr/>
  </w:style>
  <w:style w:type="table" w:styleId="990">
    <w:name w:val="Grid Table 1 Light"/>
    <w:next w:val="990"/>
    <w:link w:val="745"/>
    <w:uiPriority w:val="99"/>
    <w:rPr>
      <w:lang w:val="en-US" w:eastAsia="zh-CN" w:bidi="ar-SA"/>
    </w:rPr>
    <w:tblPr/>
  </w:style>
  <w:style w:type="table" w:styleId="991">
    <w:name w:val="Grid Table 7 Colorful - Accent 2"/>
    <w:next w:val="991"/>
    <w:link w:val="745"/>
    <w:uiPriority w:val="99"/>
    <w:qFormat/>
    <w:rPr>
      <w:lang w:val="en-US" w:eastAsia="zh-CN" w:bidi="ar-SA"/>
    </w:rPr>
    <w:tblPr/>
  </w:style>
  <w:style w:type="table" w:styleId="992">
    <w:name w:val="Grid Table 5 Dark- Accent 1"/>
    <w:next w:val="992"/>
    <w:link w:val="745"/>
    <w:uiPriority w:val="99"/>
    <w:rPr>
      <w:lang w:val="en-US" w:eastAsia="zh-CN" w:bidi="ar-SA"/>
    </w:rPr>
    <w:tblPr/>
  </w:style>
  <w:style w:type="table" w:styleId="993">
    <w:name w:val="Grid Table 6 Colorful"/>
    <w:next w:val="993"/>
    <w:link w:val="745"/>
    <w:uiPriority w:val="99"/>
    <w:rPr>
      <w:lang w:val="en-US" w:eastAsia="zh-CN" w:bidi="ar-SA"/>
    </w:rPr>
    <w:tblPr/>
  </w:style>
  <w:style w:type="table" w:styleId="994">
    <w:name w:val="List Table 1 Light - Accent 5"/>
    <w:next w:val="994"/>
    <w:link w:val="745"/>
    <w:uiPriority w:val="99"/>
    <w:qFormat/>
    <w:rPr>
      <w:lang w:val="en-US" w:eastAsia="zh-CN" w:bidi="ar-SA"/>
    </w:rPr>
    <w:tblPr/>
  </w:style>
  <w:style w:type="table" w:styleId="995">
    <w:name w:val="Grid Table 4 - Accent 1"/>
    <w:next w:val="995"/>
    <w:link w:val="745"/>
    <w:uiPriority w:val="59"/>
    <w:rPr>
      <w:lang w:val="en-US" w:eastAsia="zh-CN" w:bidi="ar-SA"/>
    </w:rPr>
    <w:tblPr/>
  </w:style>
  <w:style w:type="table" w:styleId="996">
    <w:name w:val="普通表格11"/>
    <w:next w:val="996"/>
    <w:link w:val="745"/>
    <w:uiPriority w:val="99"/>
    <w:unhideWhenUsed/>
    <w:qFormat/>
    <w:rPr>
      <w:lang w:val="en-US" w:eastAsia="zh-CN" w:bidi="ar-SA"/>
    </w:rPr>
    <w:tblPr/>
  </w:style>
  <w:style w:type="table" w:styleId="997">
    <w:name w:val="Grid Table 4 - Accent 2"/>
    <w:next w:val="997"/>
    <w:link w:val="745"/>
    <w:uiPriority w:val="59"/>
    <w:rPr>
      <w:lang w:val="en-US" w:eastAsia="zh-CN" w:bidi="ar-SA"/>
    </w:rPr>
    <w:tblPr/>
  </w:style>
  <w:style w:type="table" w:styleId="998">
    <w:name w:val="List Table 4 - Accent 2"/>
    <w:next w:val="998"/>
    <w:link w:val="745"/>
    <w:uiPriority w:val="99"/>
    <w:qFormat/>
    <w:rPr>
      <w:lang w:val="en-US" w:eastAsia="zh-CN" w:bidi="ar-SA"/>
    </w:rPr>
    <w:tblPr/>
  </w:style>
  <w:style w:type="table" w:styleId="999">
    <w:name w:val="Bordered &amp; Lined - Accent 1"/>
    <w:next w:val="999"/>
    <w:link w:val="745"/>
    <w:uiPriority w:val="99"/>
    <w:qFormat/>
    <w:rPr>
      <w:color w:val="404040"/>
      <w:lang w:val="en-US" w:eastAsia="zh-CN" w:bidi="ar-SA"/>
    </w:rPr>
    <w:tblPr/>
  </w:style>
  <w:style w:type="table" w:styleId="1000">
    <w:name w:val="List Table 5 Dark"/>
    <w:next w:val="1000"/>
    <w:link w:val="745"/>
    <w:uiPriority w:val="99"/>
    <w:qFormat/>
    <w:rPr>
      <w:lang w:val="en-US" w:eastAsia="zh-CN" w:bidi="ar-SA"/>
    </w:rPr>
    <w:tblPr/>
  </w:style>
  <w:style w:type="table" w:styleId="1001">
    <w:name w:val="List Table 2 - Accent 5"/>
    <w:next w:val="1001"/>
    <w:link w:val="745"/>
    <w:uiPriority w:val="99"/>
    <w:qFormat/>
    <w:rPr>
      <w:lang w:val="en-US" w:eastAsia="zh-CN" w:bidi="ar-SA"/>
    </w:rPr>
    <w:tblPr/>
  </w:style>
  <w:style w:type="table" w:styleId="1002">
    <w:name w:val="Grid Table 2 - Accent 5"/>
    <w:next w:val="1002"/>
    <w:link w:val="745"/>
    <w:uiPriority w:val="99"/>
    <w:qFormat/>
    <w:rPr>
      <w:lang w:val="en-US" w:eastAsia="zh-CN" w:bidi="ar-SA"/>
    </w:rPr>
    <w:tblPr/>
  </w:style>
  <w:style w:type="table" w:styleId="1003">
    <w:name w:val="Lined - Accent"/>
    <w:next w:val="1003"/>
    <w:link w:val="745"/>
    <w:uiPriority w:val="99"/>
    <w:qFormat/>
    <w:rPr>
      <w:color w:val="404040"/>
      <w:lang w:val="en-US" w:eastAsia="zh-CN" w:bidi="ar-SA"/>
    </w:rPr>
    <w:tblPr/>
  </w:style>
  <w:style w:type="table" w:styleId="1004">
    <w:name w:val="Grid Table 6 Colorful - Accent 2"/>
    <w:next w:val="1004"/>
    <w:link w:val="745"/>
    <w:uiPriority w:val="99"/>
    <w:rPr>
      <w:lang w:val="en-US" w:eastAsia="zh-CN" w:bidi="ar-SA"/>
    </w:rPr>
    <w:tblPr/>
  </w:style>
  <w:style w:type="table" w:styleId="1005">
    <w:name w:val="Grid Table 1 Light - Accent 4"/>
    <w:next w:val="1005"/>
    <w:link w:val="745"/>
    <w:uiPriority w:val="99"/>
    <w:rPr>
      <w:lang w:val="en-US" w:eastAsia="zh-CN" w:bidi="ar-SA"/>
    </w:rPr>
    <w:tblPr/>
  </w:style>
  <w:style w:type="table" w:styleId="1006">
    <w:name w:val="Grid Table 5 Dark - Accent 5"/>
    <w:next w:val="1006"/>
    <w:link w:val="745"/>
    <w:uiPriority w:val="99"/>
    <w:rPr>
      <w:lang w:val="en-US" w:eastAsia="zh-CN" w:bidi="ar-SA"/>
    </w:rPr>
    <w:tblPr/>
  </w:style>
  <w:style w:type="table" w:styleId="1007">
    <w:name w:val="List Table 3 - Accent 2"/>
    <w:next w:val="1007"/>
    <w:link w:val="745"/>
    <w:uiPriority w:val="99"/>
    <w:rPr>
      <w:lang w:val="en-US" w:eastAsia="zh-CN" w:bidi="ar-SA"/>
    </w:rPr>
    <w:tblPr/>
  </w:style>
  <w:style w:type="table" w:styleId="1008">
    <w:name w:val="List Table 2 - Accent 6"/>
    <w:next w:val="1008"/>
    <w:link w:val="745"/>
    <w:uiPriority w:val="99"/>
    <w:rPr>
      <w:lang w:val="en-US" w:eastAsia="zh-CN" w:bidi="ar-SA"/>
    </w:rPr>
    <w:tblPr/>
  </w:style>
  <w:style w:type="table" w:styleId="1009">
    <w:name w:val="List Table 1 Light"/>
    <w:next w:val="1009"/>
    <w:link w:val="745"/>
    <w:uiPriority w:val="99"/>
    <w:qFormat/>
    <w:rPr>
      <w:lang w:val="en-US" w:eastAsia="zh-CN" w:bidi="ar-SA"/>
    </w:rPr>
    <w:tblPr/>
  </w:style>
  <w:style w:type="table" w:styleId="1010">
    <w:name w:val="List Table 7 Colorful - Accent 2"/>
    <w:next w:val="1010"/>
    <w:link w:val="745"/>
    <w:uiPriority w:val="99"/>
    <w:qFormat/>
    <w:rPr>
      <w:lang w:val="en-US" w:eastAsia="zh-CN" w:bidi="ar-SA"/>
    </w:rPr>
    <w:tblPr/>
  </w:style>
  <w:style w:type="table" w:styleId="1011">
    <w:name w:val="Plain Table 2"/>
    <w:next w:val="1011"/>
    <w:link w:val="745"/>
    <w:uiPriority w:val="59"/>
    <w:qFormat/>
    <w:rPr>
      <w:lang w:val="en-US" w:eastAsia="zh-CN" w:bidi="ar-SA"/>
    </w:rPr>
    <w:tblPr/>
  </w:style>
  <w:style w:type="table" w:styleId="1012">
    <w:name w:val="Grid Table 2 - Accent 3"/>
    <w:next w:val="1012"/>
    <w:link w:val="745"/>
    <w:uiPriority w:val="99"/>
    <w:rPr>
      <w:lang w:val="en-US" w:eastAsia="zh-CN" w:bidi="ar-SA"/>
    </w:rPr>
    <w:tblPr/>
  </w:style>
  <w:style w:type="table" w:styleId="1013">
    <w:name w:val="Table Grid Light"/>
    <w:next w:val="1013"/>
    <w:link w:val="745"/>
    <w:uiPriority w:val="59"/>
    <w:rPr>
      <w:lang w:val="en-US" w:eastAsia="zh-CN" w:bidi="ar-SA"/>
    </w:rPr>
    <w:tblPr/>
  </w:style>
  <w:style w:type="table" w:styleId="1014">
    <w:name w:val="List Table 3 - Accent 5"/>
    <w:next w:val="1014"/>
    <w:link w:val="745"/>
    <w:uiPriority w:val="99"/>
    <w:qFormat/>
    <w:rPr>
      <w:lang w:val="en-US" w:eastAsia="zh-CN" w:bidi="ar-SA"/>
    </w:rPr>
    <w:tblPr/>
  </w:style>
  <w:style w:type="table" w:styleId="1015">
    <w:name w:val="Grid Table 2 - Accent 4"/>
    <w:next w:val="1015"/>
    <w:link w:val="745"/>
    <w:uiPriority w:val="99"/>
    <w:rPr>
      <w:lang w:val="en-US" w:eastAsia="zh-CN" w:bidi="ar-SA"/>
    </w:rPr>
    <w:tblPr/>
  </w:style>
  <w:style w:type="table" w:styleId="1016">
    <w:name w:val="Grid Table 4"/>
    <w:next w:val="1016"/>
    <w:link w:val="745"/>
    <w:uiPriority w:val="59"/>
    <w:rPr>
      <w:lang w:val="en-US" w:eastAsia="zh-CN" w:bidi="ar-SA"/>
    </w:rPr>
    <w:tblPr/>
  </w:style>
  <w:style w:type="table" w:styleId="1017">
    <w:name w:val="Grid Table 5 Dark - Accent 6"/>
    <w:next w:val="1017"/>
    <w:link w:val="745"/>
    <w:uiPriority w:val="99"/>
    <w:rPr>
      <w:lang w:val="en-US" w:eastAsia="zh-CN" w:bidi="ar-SA"/>
    </w:rPr>
    <w:tblPr/>
  </w:style>
  <w:style w:type="table" w:styleId="1018">
    <w:name w:val="List Table 3"/>
    <w:next w:val="1018"/>
    <w:link w:val="745"/>
    <w:uiPriority w:val="99"/>
    <w:rPr>
      <w:lang w:val="en-US" w:eastAsia="zh-CN" w:bidi="ar-SA"/>
    </w:rPr>
    <w:tblPr/>
  </w:style>
  <w:style w:type="table" w:styleId="1019">
    <w:name w:val="List Table 7 Colorful - Accent 5"/>
    <w:next w:val="1019"/>
    <w:link w:val="745"/>
    <w:uiPriority w:val="99"/>
    <w:qFormat/>
    <w:rPr>
      <w:lang w:val="en-US" w:eastAsia="zh-CN" w:bidi="ar-SA"/>
    </w:rPr>
    <w:tblPr/>
  </w:style>
  <w:style w:type="table" w:styleId="1020">
    <w:name w:val="Lined - Accent 3"/>
    <w:next w:val="1020"/>
    <w:link w:val="745"/>
    <w:uiPriority w:val="99"/>
    <w:qFormat/>
    <w:rPr>
      <w:color w:val="404040"/>
      <w:lang w:val="en-US" w:eastAsia="zh-CN" w:bidi="ar-SA"/>
    </w:rPr>
    <w:tblPr/>
  </w:style>
  <w:style w:type="table" w:styleId="1021">
    <w:name w:val="List Table 6 Colorful"/>
    <w:next w:val="1021"/>
    <w:link w:val="745"/>
    <w:uiPriority w:val="99"/>
    <w:qFormat/>
    <w:rPr>
      <w:lang w:val="en-US" w:eastAsia="zh-CN" w:bidi="ar-SA"/>
    </w:rPr>
    <w:tblPr/>
  </w:style>
  <w:style w:type="table" w:styleId="1022">
    <w:name w:val="List Table 5 Dark - Accent 6"/>
    <w:next w:val="1022"/>
    <w:link w:val="745"/>
    <w:uiPriority w:val="99"/>
    <w:qFormat/>
    <w:rPr>
      <w:lang w:val="en-US" w:eastAsia="zh-CN" w:bidi="ar-SA"/>
    </w:rPr>
    <w:tblPr/>
  </w:style>
  <w:style w:type="table" w:styleId="1023">
    <w:name w:val="Plain Table 4"/>
    <w:next w:val="1023"/>
    <w:link w:val="745"/>
    <w:uiPriority w:val="99"/>
    <w:rPr>
      <w:lang w:val="en-US" w:eastAsia="zh-CN" w:bidi="ar-SA"/>
    </w:rPr>
    <w:tblPr/>
  </w:style>
  <w:style w:type="table" w:styleId="1024">
    <w:name w:val="Grid Table 3 - Accent 1"/>
    <w:next w:val="1024"/>
    <w:link w:val="745"/>
    <w:uiPriority w:val="99"/>
    <w:rPr>
      <w:lang w:val="en-US" w:eastAsia="zh-CN" w:bidi="ar-SA"/>
    </w:rPr>
    <w:tblPr/>
  </w:style>
  <w:style w:type="table" w:styleId="1025">
    <w:name w:val="Bordered &amp; Lined - Accent"/>
    <w:next w:val="1025"/>
    <w:link w:val="745"/>
    <w:uiPriority w:val="99"/>
    <w:qFormat/>
    <w:rPr>
      <w:color w:val="404040"/>
      <w:lang w:val="en-US" w:eastAsia="zh-CN" w:bidi="ar-SA"/>
    </w:rPr>
    <w:tblPr/>
  </w:style>
  <w:style w:type="table" w:styleId="1026">
    <w:name w:val="List Table 5 Dark - Accent 1"/>
    <w:next w:val="1026"/>
    <w:link w:val="745"/>
    <w:uiPriority w:val="99"/>
    <w:qFormat/>
    <w:rPr>
      <w:lang w:val="en-US" w:eastAsia="zh-CN" w:bidi="ar-SA"/>
    </w:rPr>
    <w:tblPr/>
  </w:style>
  <w:style w:type="table" w:styleId="1027">
    <w:name w:val="List Table 2 - Accent 1"/>
    <w:next w:val="1027"/>
    <w:link w:val="745"/>
    <w:uiPriority w:val="99"/>
    <w:rPr>
      <w:lang w:val="en-US" w:eastAsia="zh-CN" w:bidi="ar-SA"/>
    </w:rPr>
    <w:tblPr/>
  </w:style>
  <w:style w:type="table" w:styleId="1028">
    <w:name w:val="Grid Table 4 - Accent 4"/>
    <w:next w:val="1028"/>
    <w:link w:val="745"/>
    <w:uiPriority w:val="59"/>
    <w:rPr>
      <w:lang w:val="en-US" w:eastAsia="zh-CN" w:bidi="ar-SA"/>
    </w:rPr>
    <w:tblPr/>
  </w:style>
  <w:style w:type="table" w:styleId="1029">
    <w:name w:val="Bordered - Accent 6"/>
    <w:next w:val="1029"/>
    <w:link w:val="745"/>
    <w:uiPriority w:val="99"/>
    <w:qFormat/>
    <w:rPr>
      <w:lang w:val="en-US" w:eastAsia="zh-CN" w:bidi="ar-SA"/>
    </w:rPr>
    <w:tblPr/>
  </w:style>
  <w:style w:type="table" w:styleId="1030">
    <w:name w:val="Lined - Accent 6"/>
    <w:next w:val="1030"/>
    <w:link w:val="745"/>
    <w:uiPriority w:val="99"/>
    <w:qFormat/>
    <w:rPr>
      <w:color w:val="404040"/>
      <w:lang w:val="en-US" w:eastAsia="zh-CN" w:bidi="ar-SA"/>
    </w:rPr>
    <w:tblPr/>
  </w:style>
  <w:style w:type="table" w:styleId="1031">
    <w:name w:val="List Table 3 - Accent 3"/>
    <w:next w:val="1031"/>
    <w:link w:val="745"/>
    <w:uiPriority w:val="99"/>
    <w:rPr>
      <w:lang w:val="en-US" w:eastAsia="zh-CN" w:bidi="ar-SA"/>
    </w:rPr>
    <w:tblPr/>
  </w:style>
  <w:style w:type="table" w:styleId="1032">
    <w:name w:val="List Table 3 - Accent 1"/>
    <w:next w:val="1032"/>
    <w:link w:val="745"/>
    <w:uiPriority w:val="99"/>
    <w:rPr>
      <w:lang w:val="en-US" w:eastAsia="zh-CN" w:bidi="ar-SA"/>
    </w:rPr>
    <w:tblPr/>
  </w:style>
  <w:style w:type="table" w:styleId="1033">
    <w:name w:val="Bordered - Accent 2"/>
    <w:next w:val="1033"/>
    <w:link w:val="745"/>
    <w:uiPriority w:val="99"/>
    <w:qFormat/>
    <w:rPr>
      <w:lang w:val="en-US" w:eastAsia="zh-CN" w:bidi="ar-SA"/>
    </w:rPr>
    <w:tblPr/>
  </w:style>
  <w:style w:type="table" w:styleId="1034">
    <w:name w:val="Grid Table 6 Colorful - Accent 5"/>
    <w:next w:val="1034"/>
    <w:link w:val="745"/>
    <w:uiPriority w:val="99"/>
    <w:rPr>
      <w:lang w:val="en-US" w:eastAsia="zh-CN" w:bidi="ar-SA"/>
    </w:rPr>
    <w:tblPr/>
  </w:style>
  <w:style w:type="table" w:styleId="1035">
    <w:name w:val="List Table 1 Light - Accent 4"/>
    <w:next w:val="1035"/>
    <w:link w:val="745"/>
    <w:uiPriority w:val="99"/>
    <w:qFormat/>
    <w:rPr>
      <w:lang w:val="en-US" w:eastAsia="zh-CN" w:bidi="ar-SA"/>
    </w:rPr>
    <w:tblPr/>
  </w:style>
  <w:style w:type="table" w:styleId="1036">
    <w:name w:val="List Table 5 Dark - Accent 4"/>
    <w:next w:val="1036"/>
    <w:link w:val="745"/>
    <w:uiPriority w:val="99"/>
    <w:qFormat/>
    <w:rPr>
      <w:lang w:val="en-US" w:eastAsia="zh-CN" w:bidi="ar-SA"/>
    </w:rPr>
    <w:tblPr/>
  </w:style>
  <w:style w:type="table" w:styleId="1037">
    <w:name w:val="Grid Table 7 Colorful - Accent 3"/>
    <w:next w:val="1037"/>
    <w:link w:val="745"/>
    <w:uiPriority w:val="99"/>
    <w:qFormat/>
    <w:rPr>
      <w:lang w:val="en-US" w:eastAsia="zh-CN" w:bidi="ar-SA"/>
    </w:rPr>
    <w:tblPr/>
  </w:style>
  <w:style w:type="table" w:styleId="1038">
    <w:name w:val="Bordered - Accent 3"/>
    <w:next w:val="1038"/>
    <w:link w:val="745"/>
    <w:uiPriority w:val="99"/>
    <w:qFormat/>
    <w:rPr>
      <w:lang w:val="en-US" w:eastAsia="zh-CN" w:bidi="ar-SA"/>
    </w:rPr>
    <w:tblPr/>
  </w:style>
  <w:style w:type="table" w:styleId="1039">
    <w:name w:val="List Table 2"/>
    <w:next w:val="1039"/>
    <w:link w:val="745"/>
    <w:uiPriority w:val="99"/>
    <w:rPr>
      <w:lang w:val="en-US" w:eastAsia="zh-CN" w:bidi="ar-SA"/>
    </w:rPr>
    <w:tblPr/>
  </w:style>
  <w:style w:type="table" w:styleId="1040">
    <w:name w:val="Grid Table 5 Dark - Accent 2"/>
    <w:next w:val="1040"/>
    <w:link w:val="745"/>
    <w:uiPriority w:val="99"/>
    <w:rPr>
      <w:lang w:val="en-US" w:eastAsia="zh-CN" w:bidi="ar-SA"/>
    </w:rPr>
    <w:tblPr/>
  </w:style>
  <w:style w:type="table" w:styleId="1041">
    <w:name w:val="Grid Table 5 Dark- Accent 4"/>
    <w:next w:val="1041"/>
    <w:link w:val="745"/>
    <w:uiPriority w:val="99"/>
    <w:rPr>
      <w:lang w:val="en-US" w:eastAsia="zh-CN" w:bidi="ar-SA"/>
    </w:rPr>
    <w:tblPr/>
  </w:style>
  <w:style w:type="table" w:styleId="1042">
    <w:name w:val="Grid Table 7 Colorful - Accent 5"/>
    <w:next w:val="1042"/>
    <w:link w:val="745"/>
    <w:uiPriority w:val="99"/>
    <w:qFormat/>
    <w:rPr>
      <w:lang w:val="en-US" w:eastAsia="zh-CN" w:bidi="ar-SA"/>
    </w:rPr>
    <w:tblPr/>
  </w:style>
  <w:style w:type="table" w:styleId="1043">
    <w:name w:val="Grid Table 4 - Accent 3"/>
    <w:next w:val="1043"/>
    <w:link w:val="745"/>
    <w:uiPriority w:val="59"/>
    <w:rPr>
      <w:lang w:val="en-US" w:eastAsia="zh-CN" w:bidi="ar-SA"/>
    </w:rPr>
    <w:tblPr/>
  </w:style>
  <w:style w:type="table" w:styleId="1044">
    <w:name w:val="List Table 6 Colorful - Accent 6"/>
    <w:next w:val="1044"/>
    <w:link w:val="745"/>
    <w:uiPriority w:val="99"/>
    <w:qFormat/>
    <w:rPr>
      <w:lang w:val="en-US" w:eastAsia="zh-CN" w:bidi="ar-SA"/>
    </w:rPr>
    <w:tblPr/>
  </w:style>
  <w:style w:type="table" w:styleId="1045">
    <w:name w:val="Grid Table 1 Light - Accent 1"/>
    <w:next w:val="1045"/>
    <w:link w:val="745"/>
    <w:uiPriority w:val="99"/>
    <w:qFormat/>
    <w:rPr>
      <w:lang w:val="en-US" w:eastAsia="zh-CN" w:bidi="ar-SA"/>
    </w:rPr>
    <w:tblPr/>
  </w:style>
  <w:style w:type="table" w:styleId="1046">
    <w:name w:val="List Table 4 - Accent 6"/>
    <w:next w:val="1046"/>
    <w:link w:val="745"/>
    <w:uiPriority w:val="99"/>
    <w:qFormat/>
    <w:rPr>
      <w:lang w:val="en-US" w:eastAsia="zh-CN" w:bidi="ar-SA"/>
    </w:rPr>
    <w:tblPr/>
  </w:style>
  <w:style w:type="table" w:styleId="1047">
    <w:name w:val="Bordered &amp; Lined - Accent 3"/>
    <w:next w:val="1047"/>
    <w:link w:val="745"/>
    <w:uiPriority w:val="99"/>
    <w:qFormat/>
    <w:rPr>
      <w:color w:val="404040"/>
      <w:lang w:val="en-US" w:eastAsia="zh-CN" w:bidi="ar-SA"/>
    </w:rPr>
    <w:tblPr/>
  </w:style>
  <w:style w:type="table" w:styleId="1048">
    <w:name w:val="List Table 1 Light - Accent 2"/>
    <w:next w:val="1048"/>
    <w:link w:val="745"/>
    <w:uiPriority w:val="99"/>
    <w:qFormat/>
    <w:rPr>
      <w:lang w:val="en-US" w:eastAsia="zh-CN" w:bidi="ar-SA"/>
    </w:rPr>
    <w:tblPr/>
  </w:style>
  <w:style w:type="table" w:styleId="1049">
    <w:name w:val="List Table 3 - Accent 6"/>
    <w:next w:val="1049"/>
    <w:link w:val="745"/>
    <w:uiPriority w:val="99"/>
    <w:rPr>
      <w:lang w:val="en-US" w:eastAsia="zh-CN" w:bidi="ar-SA"/>
    </w:rPr>
    <w:tblPr/>
  </w:style>
  <w:style w:type="table" w:styleId="1050">
    <w:name w:val="List Table 1 Light - Accent 3"/>
    <w:next w:val="1050"/>
    <w:link w:val="745"/>
    <w:uiPriority w:val="99"/>
    <w:qFormat/>
    <w:rPr>
      <w:lang w:val="en-US" w:eastAsia="zh-CN" w:bidi="ar-SA"/>
    </w:rPr>
    <w:tblPr/>
  </w:style>
  <w:style w:type="table" w:styleId="1051">
    <w:name w:val="Bordered - Accent 4"/>
    <w:next w:val="1051"/>
    <w:link w:val="745"/>
    <w:uiPriority w:val="99"/>
    <w:qFormat/>
    <w:rPr>
      <w:lang w:val="en-US" w:eastAsia="zh-CN" w:bidi="ar-SA"/>
    </w:rPr>
    <w:tblPr/>
  </w:style>
  <w:style w:type="table" w:styleId="1052">
    <w:name w:val="普通表格1"/>
    <w:next w:val="1052"/>
    <w:link w:val="745"/>
    <w:semiHidden/>
    <w:qFormat/>
    <w:rPr>
      <w:rFonts w:ascii="Calibri" w:hAnsi="Calibri" w:cs="Calibri"/>
      <w:sz w:val="21"/>
      <w:szCs w:val="22"/>
      <w:lang w:val="en-US" w:eastAsia="zh-CN" w:bidi="ar-SA"/>
    </w:rPr>
    <w:tblPr/>
  </w:style>
  <w:style w:type="table" w:styleId="1053">
    <w:name w:val="List Table 5 Dark - Accent 2"/>
    <w:next w:val="1053"/>
    <w:link w:val="745"/>
    <w:uiPriority w:val="99"/>
    <w:qFormat/>
    <w:rPr>
      <w:lang w:val="en-US" w:eastAsia="zh-CN" w:bidi="ar-SA"/>
    </w:rPr>
    <w:tblPr/>
  </w:style>
  <w:style w:type="table" w:styleId="1054">
    <w:name w:val="List Table 4 - Accent 4"/>
    <w:next w:val="1054"/>
    <w:link w:val="745"/>
    <w:uiPriority w:val="99"/>
    <w:qFormat/>
    <w:rPr>
      <w:lang w:val="en-US" w:eastAsia="zh-CN" w:bidi="ar-SA"/>
    </w:rPr>
    <w:tblPr/>
  </w:style>
  <w:style w:type="table" w:styleId="1055">
    <w:name w:val="List Table 7 Colorful - Accent 1"/>
    <w:next w:val="1055"/>
    <w:link w:val="745"/>
    <w:uiPriority w:val="99"/>
    <w:qFormat/>
    <w:rPr>
      <w:lang w:val="en-US" w:eastAsia="zh-CN" w:bidi="ar-SA"/>
    </w:rPr>
    <w:tblPr/>
  </w:style>
  <w:style w:type="table" w:styleId="1056">
    <w:name w:val="Grid Table 3 - Accent 4"/>
    <w:next w:val="1056"/>
    <w:link w:val="745"/>
    <w:uiPriority w:val="99"/>
    <w:rPr>
      <w:lang w:val="en-US" w:eastAsia="zh-CN" w:bidi="ar-SA"/>
    </w:rPr>
    <w:tblPr/>
  </w:style>
  <w:style w:type="table" w:styleId="1057">
    <w:name w:val="List Table 1 Light - Accent 6"/>
    <w:next w:val="1057"/>
    <w:link w:val="745"/>
    <w:uiPriority w:val="99"/>
    <w:qFormat/>
    <w:rPr>
      <w:lang w:val="en-US" w:eastAsia="zh-CN" w:bidi="ar-SA"/>
    </w:rPr>
    <w:tblPr/>
  </w:style>
  <w:style w:type="table" w:styleId="1058">
    <w:name w:val="网格型1"/>
    <w:basedOn w:val="1052"/>
    <w:next w:val="1058"/>
    <w:link w:val="745"/>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1059">
    <w:name w:val="List Table 6 Colorful - Accent 1"/>
    <w:next w:val="1059"/>
    <w:link w:val="745"/>
    <w:uiPriority w:val="99"/>
    <w:qFormat/>
    <w:rPr>
      <w:lang w:val="en-US" w:eastAsia="zh-CN" w:bidi="ar-SA"/>
    </w:rPr>
    <w:tblPr/>
  </w:style>
  <w:style w:type="table" w:styleId="1060">
    <w:name w:val="Lined - Accent 1"/>
    <w:next w:val="1060"/>
    <w:link w:val="745"/>
    <w:uiPriority w:val="99"/>
    <w:qFormat/>
    <w:rPr>
      <w:color w:val="404040"/>
      <w:lang w:val="en-US" w:eastAsia="zh-CN" w:bidi="ar-SA"/>
    </w:rPr>
    <w:tblPr/>
  </w:style>
  <w:style w:type="table" w:styleId="1061">
    <w:name w:val="List Table 2 - Accent 4"/>
    <w:next w:val="1061"/>
    <w:link w:val="745"/>
    <w:uiPriority w:val="99"/>
    <w:rPr>
      <w:lang w:val="en-US" w:eastAsia="zh-CN" w:bidi="ar-SA"/>
    </w:rPr>
    <w:tblPr/>
  </w:style>
  <w:style w:type="table" w:styleId="1062">
    <w:name w:val="List Table 6 Colorful - Accent 4"/>
    <w:next w:val="1062"/>
    <w:link w:val="745"/>
    <w:uiPriority w:val="99"/>
    <w:qFormat/>
    <w:rPr>
      <w:lang w:val="en-US" w:eastAsia="zh-CN" w:bidi="ar-SA"/>
    </w:rPr>
    <w:tblPr/>
  </w:style>
  <w:style w:type="table" w:styleId="1063">
    <w:name w:val="Lined - Accent 2"/>
    <w:next w:val="1063"/>
    <w:link w:val="745"/>
    <w:uiPriority w:val="99"/>
    <w:qFormat/>
    <w:rPr>
      <w:color w:val="404040"/>
      <w:lang w:val="en-US" w:eastAsia="zh-CN" w:bidi="ar-SA"/>
    </w:rPr>
    <w:tblPr/>
  </w:style>
  <w:style w:type="table" w:styleId="1064">
    <w:name w:val="Grid Table 3 - Accent 2"/>
    <w:next w:val="1064"/>
    <w:link w:val="745"/>
    <w:uiPriority w:val="99"/>
    <w:rPr>
      <w:lang w:val="en-US" w:eastAsia="zh-CN" w:bidi="ar-SA"/>
    </w:rPr>
    <w:tblPr/>
  </w:style>
  <w:style w:type="table" w:styleId="1065">
    <w:name w:val="Grid Table 4 - Accent 5"/>
    <w:next w:val="1065"/>
    <w:link w:val="745"/>
    <w:uiPriority w:val="59"/>
    <w:rPr>
      <w:lang w:val="en-US" w:eastAsia="zh-CN" w:bidi="ar-SA"/>
    </w:rPr>
    <w:tblPr/>
  </w:style>
  <w:style w:type="table" w:styleId="1066">
    <w:name w:val="Grid Table 1 Light - Accent 3"/>
    <w:next w:val="1066"/>
    <w:link w:val="745"/>
    <w:uiPriority w:val="99"/>
    <w:rPr>
      <w:lang w:val="en-US" w:eastAsia="zh-CN" w:bidi="ar-SA"/>
    </w:rPr>
    <w:tblPr/>
  </w:style>
  <w:style w:type="table" w:styleId="1067">
    <w:name w:val="Bordered &amp; Lined - Accent 4"/>
    <w:next w:val="1067"/>
    <w:link w:val="745"/>
    <w:uiPriority w:val="99"/>
    <w:qFormat/>
    <w:rPr>
      <w:color w:val="404040"/>
      <w:lang w:val="en-US" w:eastAsia="zh-CN" w:bidi="ar-SA"/>
    </w:rPr>
    <w:tblPr/>
  </w:style>
  <w:style w:type="table" w:styleId="1068">
    <w:name w:val="Bordered &amp; Lined - Accent 6"/>
    <w:next w:val="1068"/>
    <w:link w:val="745"/>
    <w:uiPriority w:val="99"/>
    <w:qFormat/>
    <w:rPr>
      <w:color w:val="404040"/>
      <w:lang w:val="en-US" w:eastAsia="zh-CN" w:bidi="ar-SA"/>
    </w:rPr>
    <w:tblPr/>
  </w:style>
  <w:style w:type="table" w:styleId="1069">
    <w:name w:val="Bordered"/>
    <w:next w:val="1069"/>
    <w:link w:val="745"/>
    <w:uiPriority w:val="99"/>
    <w:qFormat/>
    <w:rPr>
      <w:lang w:val="en-US" w:eastAsia="zh-CN" w:bidi="ar-SA"/>
    </w:rPr>
    <w:tblPr/>
  </w:style>
  <w:style w:type="table" w:styleId="1070">
    <w:name w:val="Grid Table 7 Colorful - Accent 6"/>
    <w:next w:val="1070"/>
    <w:link w:val="745"/>
    <w:uiPriority w:val="99"/>
    <w:qFormat/>
    <w:rPr>
      <w:lang w:val="en-US" w:eastAsia="zh-CN" w:bidi="ar-SA"/>
    </w:rPr>
    <w:tblPr/>
  </w:style>
  <w:style w:type="table" w:styleId="1071">
    <w:name w:val="List Table 2 - Accent 3"/>
    <w:next w:val="1071"/>
    <w:link w:val="745"/>
    <w:uiPriority w:val="99"/>
    <w:rPr>
      <w:lang w:val="en-US" w:eastAsia="zh-CN" w:bidi="ar-SA"/>
    </w:rPr>
    <w:tblPr/>
  </w:style>
  <w:style w:type="table" w:styleId="1072">
    <w:name w:val="Grid Table 1 Light - Accent 5"/>
    <w:next w:val="1072"/>
    <w:link w:val="745"/>
    <w:uiPriority w:val="99"/>
    <w:rPr>
      <w:lang w:val="en-US" w:eastAsia="zh-CN" w:bidi="ar-SA"/>
    </w:rPr>
    <w:tblPr/>
  </w:style>
  <w:style w:type="table" w:styleId="1073">
    <w:name w:val="Plain Table 3"/>
    <w:next w:val="1073"/>
    <w:link w:val="745"/>
    <w:uiPriority w:val="99"/>
    <w:rPr>
      <w:lang w:val="en-US" w:eastAsia="zh-CN" w:bidi="ar-SA"/>
    </w:rPr>
    <w:tblPr/>
  </w:style>
  <w:style w:type="table" w:styleId="1074">
    <w:name w:val="Bordered - Accent 5"/>
    <w:next w:val="1074"/>
    <w:link w:val="745"/>
    <w:uiPriority w:val="99"/>
    <w:qFormat/>
    <w:rPr>
      <w:lang w:val="en-US" w:eastAsia="zh-CN" w:bidi="ar-SA"/>
    </w:rPr>
    <w:tblPr/>
  </w:style>
  <w:style w:type="table" w:styleId="1075">
    <w:name w:val="List Table 4 - Accent 3"/>
    <w:next w:val="1075"/>
    <w:link w:val="745"/>
    <w:uiPriority w:val="99"/>
    <w:qFormat/>
    <w:rPr>
      <w:lang w:val="en-US" w:eastAsia="zh-CN" w:bidi="ar-SA"/>
    </w:rPr>
    <w:tblPr/>
  </w:style>
  <w:style w:type="table" w:styleId="1076">
    <w:name w:val="List Table 6 Colorful - Accent 5"/>
    <w:next w:val="1076"/>
    <w:link w:val="745"/>
    <w:uiPriority w:val="99"/>
    <w:qFormat/>
    <w:rPr>
      <w:lang w:val="en-US" w:eastAsia="zh-CN" w:bidi="ar-SA"/>
    </w:rPr>
    <w:tblPr/>
  </w:style>
  <w:style w:type="table" w:styleId="1077">
    <w:name w:val="Grid Table 7 Colorful - Accent 1"/>
    <w:next w:val="1077"/>
    <w:link w:val="745"/>
    <w:uiPriority w:val="99"/>
    <w:qFormat/>
    <w:rPr>
      <w:lang w:val="en-US" w:eastAsia="zh-CN" w:bidi="ar-SA"/>
    </w:rPr>
    <w:tblPr/>
  </w:style>
  <w:style w:type="table" w:styleId="1078">
    <w:name w:val="Grid Table 4 - Accent 6"/>
    <w:next w:val="1078"/>
    <w:link w:val="745"/>
    <w:uiPriority w:val="59"/>
    <w:rPr>
      <w:lang w:val="en-US" w:eastAsia="zh-CN" w:bidi="ar-SA"/>
    </w:rPr>
    <w:tblPr/>
  </w:style>
  <w:style w:type="table" w:styleId="1079">
    <w:name w:val="List Table 4 - Accent 1"/>
    <w:next w:val="1079"/>
    <w:link w:val="745"/>
    <w:uiPriority w:val="99"/>
    <w:qFormat/>
    <w:rPr>
      <w:lang w:val="en-US" w:eastAsia="zh-CN" w:bidi="ar-SA"/>
    </w:rPr>
    <w:tblPr/>
  </w:style>
  <w:style w:type="table" w:styleId="1080">
    <w:name w:val="Grid Table 2"/>
    <w:next w:val="1080"/>
    <w:link w:val="745"/>
    <w:uiPriority w:val="99"/>
    <w:rPr>
      <w:lang w:val="en-US" w:eastAsia="zh-CN" w:bidi="ar-SA"/>
    </w:rPr>
    <w:tblPr/>
  </w:style>
  <w:style w:type="character" w:styleId="1081" w:default="1">
    <w:name w:val="Default Paragraph Font"/>
    <w:uiPriority w:val="1"/>
    <w:semiHidden/>
    <w:unhideWhenUsed/>
  </w:style>
  <w:style w:type="numbering" w:styleId="1082" w:default="1">
    <w:name w:val="No List"/>
    <w:uiPriority w:val="99"/>
    <w:semiHidden/>
    <w:unhideWhenUsed/>
  </w:style>
  <w:style w:type="table" w:styleId="10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dc:title>
  <dc:creator>d</dc:creator>
  <cp:lastModifiedBy>夏少进</cp:lastModifiedBy>
  <cp:revision>6</cp:revision>
  <dcterms:created xsi:type="dcterms:W3CDTF">2025-12-01T09:51:00Z</dcterms:created>
  <dcterms:modified xsi:type="dcterms:W3CDTF">2026-03-26T07:39:39Z</dcterms:modified>
</cp:coreProperties>
</file>