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AB64B">
      <w:pPr>
        <w:spacing w:line="360" w:lineRule="auto"/>
        <w:jc w:val="center"/>
        <w:rPr>
          <w:rFonts w:hint="eastAsia" w:asciiTheme="minorEastAsia" w:hAnsiTheme="minorEastAsia" w:eastAsiaTheme="minorEastAsia"/>
          <w:b/>
          <w:sz w:val="36"/>
          <w:szCs w:val="36"/>
          <w:lang w:val="en-US" w:eastAsia="zh-CN"/>
        </w:rPr>
      </w:pPr>
      <w:r>
        <w:rPr>
          <w:rFonts w:hint="eastAsia" w:asciiTheme="minorEastAsia" w:hAnsiTheme="minorEastAsia" w:eastAsiaTheme="minorEastAsia"/>
          <w:b/>
          <w:sz w:val="36"/>
          <w:szCs w:val="36"/>
          <w:lang w:val="en-US" w:eastAsia="zh-CN"/>
        </w:rPr>
        <w:t>353省道海陵区华港镇段绿化工程项目</w:t>
      </w:r>
    </w:p>
    <w:p w14:paraId="3ACA7A43">
      <w:pPr>
        <w:spacing w:line="360" w:lineRule="auto"/>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编制说明</w:t>
      </w:r>
    </w:p>
    <w:p w14:paraId="6637C129">
      <w:pPr>
        <w:numPr>
          <w:ilvl w:val="0"/>
          <w:numId w:val="1"/>
        </w:numPr>
        <w:spacing w:line="360" w:lineRule="auto"/>
        <w:ind w:left="0" w:leftChars="0" w:firstLine="420" w:firstLineChars="0"/>
        <w:rPr>
          <w:rFonts w:hint="eastAsia" w:asciiTheme="minorEastAsia" w:hAnsiTheme="minorEastAsia" w:eastAsiaTheme="minorEastAsia"/>
          <w:b/>
          <w:sz w:val="24"/>
        </w:rPr>
      </w:pPr>
      <w:r>
        <w:rPr>
          <w:rFonts w:hint="eastAsia" w:asciiTheme="minorEastAsia" w:hAnsiTheme="minorEastAsia" w:eastAsiaTheme="minorEastAsia"/>
          <w:b/>
          <w:sz w:val="24"/>
        </w:rPr>
        <w:t>工程概况</w:t>
      </w:r>
    </w:p>
    <w:p w14:paraId="536CBE4E">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本项目位于</w:t>
      </w:r>
      <w:r>
        <w:rPr>
          <w:rFonts w:hint="default" w:asciiTheme="minorEastAsia" w:hAnsiTheme="minorEastAsia" w:eastAsiaTheme="minorEastAsia"/>
          <w:sz w:val="24"/>
          <w:lang w:val="en-US" w:eastAsia="zh-CN"/>
        </w:rPr>
        <w:t>353</w:t>
      </w:r>
      <w:r>
        <w:rPr>
          <w:rFonts w:hint="eastAsia" w:asciiTheme="minorEastAsia" w:hAnsiTheme="minorEastAsia" w:eastAsiaTheme="minorEastAsia"/>
          <w:sz w:val="24"/>
          <w:lang w:val="en-US" w:eastAsia="zh-CN"/>
        </w:rPr>
        <w:t>省道海陵区华港镇段，沿线边坡对土质边坡清表后采用植草法（种植草皮）。</w:t>
      </w:r>
    </w:p>
    <w:p w14:paraId="38846479">
      <w:pPr>
        <w:pStyle w:val="3"/>
        <w:keepNext w:val="0"/>
        <w:keepLines w:val="0"/>
        <w:widowControl/>
        <w:suppressLineNumbers w:val="0"/>
        <w:spacing w:before="0" w:beforeAutospacing="0" w:after="0" w:afterAutospacing="0"/>
        <w:ind w:left="0" w:right="0" w:firstLine="480" w:firstLineChars="200"/>
        <w:rPr>
          <w:rFonts w:hint="default" w:cs="Times New Roman" w:asciiTheme="minorEastAsia" w:hAnsiTheme="minorEastAsia" w:eastAsiaTheme="minorEastAsia"/>
          <w:kern w:val="2"/>
          <w:sz w:val="24"/>
          <w:szCs w:val="24"/>
          <w:lang w:val="en-US" w:eastAsia="zh-CN" w:bidi="ar-SA"/>
        </w:rPr>
      </w:pPr>
    </w:p>
    <w:p w14:paraId="024F6AA1">
      <w:pPr>
        <w:numPr>
          <w:ilvl w:val="0"/>
          <w:numId w:val="1"/>
        </w:numPr>
        <w:spacing w:line="360" w:lineRule="auto"/>
        <w:ind w:left="0" w:leftChars="0" w:firstLine="420" w:firstLineChars="0"/>
        <w:rPr>
          <w:rFonts w:asciiTheme="minorEastAsia" w:hAnsiTheme="minorEastAsia" w:eastAsiaTheme="minorEastAsia"/>
          <w:b/>
          <w:sz w:val="24"/>
        </w:rPr>
      </w:pPr>
      <w:r>
        <w:rPr>
          <w:rFonts w:hint="eastAsia" w:asciiTheme="minorEastAsia" w:hAnsiTheme="minorEastAsia" w:eastAsiaTheme="minorEastAsia"/>
          <w:b/>
          <w:sz w:val="24"/>
        </w:rPr>
        <w:t>主要施工方案</w:t>
      </w:r>
    </w:p>
    <w:p w14:paraId="714F499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施工使用所有材料，例如</w:t>
      </w:r>
      <w:r>
        <w:rPr>
          <w:rFonts w:hint="eastAsia" w:asciiTheme="minorEastAsia" w:hAnsiTheme="minorEastAsia" w:eastAsiaTheme="minorEastAsia"/>
          <w:sz w:val="24"/>
          <w:lang w:val="en-US" w:eastAsia="zh-CN"/>
        </w:rPr>
        <w:t>草皮</w:t>
      </w:r>
      <w:r>
        <w:rPr>
          <w:rFonts w:hint="eastAsia" w:asciiTheme="minorEastAsia" w:hAnsiTheme="minorEastAsia" w:eastAsiaTheme="minorEastAsia"/>
          <w:sz w:val="24"/>
        </w:rPr>
        <w:t xml:space="preserve">均按《泰州工程造价管理》和市场价基价基础采购； </w:t>
      </w:r>
    </w:p>
    <w:p w14:paraId="773A345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运输距离：清单单价中已综合考虑运输距离。不因运距增加而增加造价。</w:t>
      </w:r>
    </w:p>
    <w:p w14:paraId="3D4D5F77">
      <w:pPr>
        <w:numPr>
          <w:ilvl w:val="0"/>
          <w:numId w:val="1"/>
        </w:numPr>
        <w:spacing w:line="360" w:lineRule="auto"/>
        <w:ind w:left="0" w:leftChars="0" w:firstLine="420" w:firstLineChars="0"/>
        <w:rPr>
          <w:rFonts w:asciiTheme="minorEastAsia" w:hAnsiTheme="minorEastAsia" w:eastAsiaTheme="minorEastAsia"/>
          <w:b/>
          <w:sz w:val="24"/>
        </w:rPr>
      </w:pPr>
      <w:r>
        <w:rPr>
          <w:rFonts w:hint="eastAsia" w:asciiTheme="minorEastAsia" w:hAnsiTheme="minorEastAsia" w:eastAsiaTheme="minorEastAsia"/>
          <w:b/>
          <w:sz w:val="24"/>
        </w:rPr>
        <w:t>编制依据</w:t>
      </w:r>
    </w:p>
    <w:p w14:paraId="7F2BD99B">
      <w:pPr>
        <w:spacing w:line="360" w:lineRule="auto"/>
        <w:ind w:firstLine="600" w:firstLineChars="250"/>
        <w:rPr>
          <w:rFonts w:hint="eastAsia" w:asciiTheme="minorEastAsia" w:hAnsiTheme="minorEastAsia" w:eastAsiaTheme="minorEastAsia"/>
          <w:sz w:val="24"/>
          <w:lang w:eastAsia="zh-CN"/>
        </w:rPr>
      </w:pPr>
      <w:r>
        <w:rPr>
          <w:rFonts w:hint="eastAsia" w:asciiTheme="minorEastAsia" w:hAnsiTheme="minorEastAsia" w:eastAsiaTheme="minorEastAsia"/>
          <w:sz w:val="24"/>
        </w:rPr>
        <w:t>1、设计院提供的电子版图纸</w:t>
      </w:r>
      <w:r>
        <w:rPr>
          <w:rFonts w:hint="eastAsia" w:asciiTheme="minorEastAsia" w:hAnsiTheme="minorEastAsia" w:eastAsiaTheme="minorEastAsia"/>
          <w:sz w:val="24"/>
          <w:lang w:eastAsia="zh-CN"/>
        </w:rPr>
        <w:t>；</w:t>
      </w:r>
    </w:p>
    <w:p w14:paraId="01B8E6E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2、国家、交通部及有关部委的标准和规范；</w:t>
      </w:r>
    </w:p>
    <w:p w14:paraId="5E23678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3、《公路工程基本建设项目概算预算编制办法》（JTG3830-2018 ）；</w:t>
      </w:r>
    </w:p>
    <w:p w14:paraId="3FAB983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4、交通部《公路工程预算定额》JTG-T3832-2018；</w:t>
      </w:r>
    </w:p>
    <w:p w14:paraId="3D4FAC4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5、交通部《公路工程机械台班费用定额》 JTG-T3833-2018 ；</w:t>
      </w:r>
    </w:p>
    <w:p w14:paraId="5DF2B47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6、公路工程标准施工招标文件（2018 年版-工程量清单计量规则）；</w:t>
      </w:r>
    </w:p>
    <w:p w14:paraId="604E824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7、公路工程标准施工招标文件（2018 年版-技术规范）；</w:t>
      </w:r>
    </w:p>
    <w:p w14:paraId="217C7DA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8、交通运输部办公厅关于《公路工程营业税改增值税计价依据调整方案》的通知；</w:t>
      </w:r>
    </w:p>
    <w:p w14:paraId="02911BC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9、本地区类似工程常规施工方案，重点施工组织措施及技术方案；</w:t>
      </w:r>
    </w:p>
    <w:p w14:paraId="7B56743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10、苏交建〔2019〕22号文，省交通运输厅关于执行交通运输部第86号公告有关补充规定的通知。</w:t>
      </w:r>
    </w:p>
    <w:p w14:paraId="6C4D4A5E">
      <w:pPr>
        <w:numPr>
          <w:ilvl w:val="0"/>
          <w:numId w:val="1"/>
        </w:numPr>
        <w:spacing w:line="360" w:lineRule="auto"/>
        <w:ind w:left="0" w:leftChars="0" w:firstLine="420" w:firstLineChars="0"/>
        <w:rPr>
          <w:rFonts w:asciiTheme="minorEastAsia" w:hAnsiTheme="minorEastAsia" w:eastAsiaTheme="minorEastAsia"/>
          <w:b/>
          <w:sz w:val="24"/>
        </w:rPr>
      </w:pPr>
      <w:r>
        <w:rPr>
          <w:rFonts w:hint="eastAsia" w:asciiTheme="minorEastAsia" w:hAnsiTheme="minorEastAsia" w:eastAsiaTheme="minorEastAsia"/>
          <w:b/>
          <w:sz w:val="24"/>
        </w:rPr>
        <w:t>工程量清单计价规则</w:t>
      </w:r>
    </w:p>
    <w:p w14:paraId="33D39B61">
      <w:pPr>
        <w:pStyle w:val="6"/>
        <w:adjustRightInd/>
        <w:spacing w:line="360" w:lineRule="auto"/>
        <w:ind w:firstLine="480"/>
        <w:rPr>
          <w:rFonts w:cs="Times New Roman" w:asciiTheme="minorEastAsia" w:hAnsiTheme="minorEastAsia" w:eastAsiaTheme="minorEastAsia"/>
          <w:kern w:val="2"/>
        </w:rPr>
      </w:pPr>
      <w:r>
        <w:rPr>
          <w:rFonts w:hint="eastAsia" w:cs="Times New Roman" w:asciiTheme="minorEastAsia" w:hAnsiTheme="minorEastAsia" w:eastAsiaTheme="minorEastAsia"/>
          <w:kern w:val="2"/>
        </w:rPr>
        <w:t>依据《公路工程标准施工招标文件》（2018年版）招标范本，针对本项目有关条款补充如下。如本说明与范本不一致的，按本说明执行，本说明未作专门表述的，按照范本有关条款执行。</w:t>
      </w:r>
    </w:p>
    <w:p w14:paraId="17C4BA0F">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第100章 总则</w:t>
      </w:r>
    </w:p>
    <w:p w14:paraId="33F8762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1、101-1保险费：</w:t>
      </w:r>
    </w:p>
    <w:p w14:paraId="3A99FCC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highlight w:val="none"/>
          <w:lang w:val="en-US" w:eastAsia="zh-CN"/>
        </w:rPr>
        <w:t>保险费：</w:t>
      </w:r>
      <w:r>
        <w:rPr>
          <w:rFonts w:hint="eastAsia" w:asciiTheme="minorEastAsia" w:hAnsiTheme="minorEastAsia" w:eastAsiaTheme="minorEastAsia"/>
          <w:sz w:val="24"/>
          <w:highlight w:val="none"/>
        </w:rPr>
        <w:t>该费用按第2</w:t>
      </w:r>
      <w:r>
        <w:rPr>
          <w:rFonts w:hint="eastAsia" w:asciiTheme="minorEastAsia" w:hAnsiTheme="minorEastAsia" w:eastAsiaTheme="minorEastAsia"/>
          <w:sz w:val="24"/>
        </w:rPr>
        <w:t>00章至第</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00章总和的千分之</w:t>
      </w:r>
      <w:r>
        <w:rPr>
          <w:rFonts w:hint="eastAsia" w:asciiTheme="minorEastAsia" w:hAnsiTheme="minorEastAsia" w:eastAsiaTheme="minorEastAsia"/>
          <w:sz w:val="24"/>
          <w:lang w:val="en-US" w:eastAsia="zh-CN"/>
        </w:rPr>
        <w:t>三</w:t>
      </w:r>
      <w:r>
        <w:rPr>
          <w:rFonts w:hint="eastAsia" w:asciiTheme="minorEastAsia" w:hAnsiTheme="minorEastAsia" w:eastAsiaTheme="minorEastAsia"/>
          <w:sz w:val="24"/>
        </w:rPr>
        <w:t>计取，</w:t>
      </w:r>
      <w:r>
        <w:rPr>
          <w:rFonts w:hint="eastAsia" w:asciiTheme="minorEastAsia" w:hAnsiTheme="minorEastAsia" w:eastAsiaTheme="minorEastAsia"/>
          <w:sz w:val="24"/>
          <w:lang w:val="en-US" w:eastAsia="zh-CN"/>
        </w:rPr>
        <w:t>包括不限于建筑工程一切险、第三者责任险，</w:t>
      </w:r>
      <w:r>
        <w:rPr>
          <w:rFonts w:hint="default" w:asciiTheme="minorEastAsia" w:hAnsiTheme="minorEastAsia" w:eastAsiaTheme="minorEastAsia"/>
          <w:sz w:val="24"/>
          <w:lang w:val="en-US" w:eastAsia="zh-CN"/>
        </w:rPr>
        <w:t>中标单位凭保单计算</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超出部分由中标单位自行承担；</w:t>
      </w:r>
    </w:p>
    <w:p w14:paraId="405B9930">
      <w:pPr>
        <w:spacing w:line="360" w:lineRule="auto"/>
        <w:ind w:firstLine="480" w:firstLineChars="200"/>
        <w:rPr>
          <w:rFonts w:asciiTheme="minorEastAsia" w:hAnsiTheme="minorEastAsia" w:eastAsiaTheme="minorEastAsia"/>
          <w:b/>
          <w:bCs/>
          <w:sz w:val="24"/>
          <w:highlight w:val="none"/>
        </w:rPr>
      </w:pPr>
      <w:r>
        <w:rPr>
          <w:rFonts w:hint="eastAsia" w:asciiTheme="minorEastAsia" w:hAnsiTheme="minorEastAsia" w:eastAsiaTheme="minorEastAsia"/>
          <w:sz w:val="24"/>
        </w:rPr>
        <w:t>2、102-1竣工文件：</w:t>
      </w:r>
      <w:r>
        <w:rPr>
          <w:rFonts w:hint="eastAsia" w:asciiTheme="minorEastAsia" w:hAnsiTheme="minorEastAsia" w:eastAsiaTheme="minorEastAsia"/>
          <w:color w:val="000000" w:themeColor="text1"/>
          <w:sz w:val="24"/>
          <w14:textFill>
            <w14:solidFill>
              <w14:schemeClr w14:val="tx1"/>
            </w14:solidFill>
          </w14:textFill>
        </w:rPr>
        <w:t>本清单为包干费，</w:t>
      </w:r>
      <w:r>
        <w:rPr>
          <w:rFonts w:hint="eastAsia" w:asciiTheme="minorEastAsia" w:hAnsiTheme="minorEastAsia" w:eastAsiaTheme="minorEastAsia"/>
          <w:sz w:val="24"/>
        </w:rPr>
        <w:t>承包人按相应规定编制竣工资料，完工后，在交工验收证书签发前，按合同向承包人提交监理认为合格、完整的竣工文件（含交工</w:t>
      </w:r>
      <w:r>
        <w:rPr>
          <w:rFonts w:hint="eastAsia" w:asciiTheme="minorEastAsia" w:hAnsiTheme="minorEastAsia" w:eastAsiaTheme="minorEastAsia"/>
          <w:sz w:val="24"/>
          <w:highlight w:val="none"/>
        </w:rPr>
        <w:t>验收相关材料）；</w:t>
      </w:r>
    </w:p>
    <w:p w14:paraId="576481A2">
      <w:pPr>
        <w:spacing w:line="360" w:lineRule="auto"/>
        <w:ind w:firstLine="480" w:firstLineChars="200"/>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102-2</w:t>
      </w:r>
      <w:r>
        <w:rPr>
          <w:rFonts w:hint="eastAsia" w:asciiTheme="minorEastAsia" w:hAnsiTheme="minorEastAsia" w:eastAsiaTheme="minorEastAsia"/>
          <w:sz w:val="24"/>
          <w:highlight w:val="none"/>
        </w:rPr>
        <w:t>施工环保费：</w:t>
      </w:r>
      <w:r>
        <w:rPr>
          <w:rFonts w:asciiTheme="minorEastAsia" w:hAnsiTheme="minorEastAsia" w:eastAsiaTheme="minorEastAsia"/>
          <w:sz w:val="24"/>
          <w:highlight w:val="none"/>
        </w:rPr>
        <w:t>该费用按第200章至第700章总和的千分之</w:t>
      </w:r>
      <w:r>
        <w:rPr>
          <w:rFonts w:hint="eastAsia" w:asciiTheme="minorEastAsia" w:hAnsiTheme="minorEastAsia" w:eastAsiaTheme="minorEastAsia"/>
          <w:sz w:val="24"/>
          <w:highlight w:val="none"/>
          <w:lang w:val="en-US" w:eastAsia="zh-CN"/>
        </w:rPr>
        <w:t>五</w:t>
      </w:r>
      <w:r>
        <w:rPr>
          <w:rFonts w:asciiTheme="minorEastAsia" w:hAnsiTheme="minorEastAsia" w:eastAsiaTheme="minorEastAsia"/>
          <w:sz w:val="24"/>
          <w:highlight w:val="none"/>
        </w:rPr>
        <w:t>计取，</w:t>
      </w:r>
      <w:r>
        <w:rPr>
          <w:rFonts w:hint="eastAsia" w:asciiTheme="minorEastAsia" w:hAnsiTheme="minorEastAsia" w:eastAsiaTheme="minorEastAsia"/>
          <w:sz w:val="24"/>
          <w:highlight w:val="none"/>
          <w:lang w:val="en-US" w:eastAsia="zh-CN"/>
        </w:rPr>
        <w:t>总价包干，项目施工应满足市政、市容等相关主管部门的有关规定。施工工地定时洒水，控制扬尘污染等安全文明施工措施。保证施工环保所产生的费用投标人在投标报价中充分考虑，合同实施时，一旦发生因环保因素导致投诉或被有关部门通报的，该费用将得不到支付，造成其它损失或处罚的，由承包人承担。且承包人须在交验收工后一周内彻底清洁完毕并撤离现场。</w:t>
      </w:r>
    </w:p>
    <w:p w14:paraId="591CA7E1">
      <w:pPr>
        <w:numPr>
          <w:ilvl w:val="0"/>
          <w:numId w:val="2"/>
        </w:num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sz w:val="24"/>
          <w:highlight w:val="none"/>
        </w:rPr>
        <w:t>安全生产费：</w:t>
      </w:r>
      <w:r>
        <w:rPr>
          <w:rFonts w:hint="eastAsia" w:asciiTheme="minorEastAsia" w:hAnsiTheme="minorEastAsia" w:eastAsiaTheme="minorEastAsia"/>
          <w:sz w:val="24"/>
          <w:highlight w:val="none"/>
          <w:lang w:val="en-US" w:eastAsia="zh-CN"/>
        </w:rPr>
        <w:t>该费用总价包干，另外</w:t>
      </w:r>
      <w:r>
        <w:rPr>
          <w:rFonts w:hint="eastAsia" w:asciiTheme="minorEastAsia" w:hAnsiTheme="minorEastAsia" w:eastAsiaTheme="minorEastAsia"/>
          <w:color w:val="000000" w:themeColor="text1"/>
          <w:sz w:val="24"/>
          <w:highlight w:val="none"/>
          <w14:textFill>
            <w14:solidFill>
              <w14:schemeClr w14:val="tx1"/>
            </w14:solidFill>
          </w14:textFill>
        </w:rPr>
        <w:t>承包人应按应急管理部、交通运输部等七部委《关于印发&lt;安全生产责任保险实施办法&gt;的通知》（应急[2025]27号）规定投保安全生产责任险，并足额缴纳安全生产责任险保费，保费可按实从安全生产费中列支。</w:t>
      </w:r>
    </w:p>
    <w:p w14:paraId="11F85AEF">
      <w:pPr>
        <w:pStyle w:val="7"/>
        <w:spacing w:line="360" w:lineRule="auto"/>
        <w:ind w:firstLine="480"/>
        <w:jc w:val="left"/>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、承包人驻地建设：</w:t>
      </w:r>
      <w:r>
        <w:rPr>
          <w:rFonts w:hint="eastAsia" w:asciiTheme="minorEastAsia" w:hAnsiTheme="minorEastAsia" w:eastAsiaTheme="minorEastAsia"/>
          <w:color w:val="000000" w:themeColor="text1"/>
          <w:sz w:val="24"/>
          <w:lang w:val="en-US" w:eastAsia="zh-CN"/>
          <w14:textFill>
            <w14:solidFill>
              <w14:schemeClr w14:val="tx1"/>
            </w14:solidFill>
          </w14:textFill>
        </w:rPr>
        <w:t>投标人自行综合考虑，结算不另外增加此费用。</w:t>
      </w:r>
    </w:p>
    <w:p w14:paraId="5ADD332B">
      <w:pPr>
        <w:pStyle w:val="7"/>
        <w:spacing w:line="360" w:lineRule="auto"/>
        <w:ind w:firstLine="482"/>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第200章 路基</w:t>
      </w:r>
    </w:p>
    <w:p w14:paraId="33634BC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1、202场地清理</w:t>
      </w:r>
    </w:p>
    <w:p w14:paraId="5A657740">
      <w:pPr>
        <w:spacing w:line="360" w:lineRule="auto"/>
        <w:ind w:firstLine="600" w:firstLineChars="2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清理现场：包括清理现场（厚度</w:t>
      </w:r>
      <w:r>
        <w:rPr>
          <w:rFonts w:hint="eastAsia" w:asciiTheme="minorEastAsia" w:hAnsiTheme="minorEastAsia" w:eastAsiaTheme="minorEastAsia"/>
          <w:color w:val="000000" w:themeColor="text1"/>
          <w:sz w:val="24"/>
          <w:lang w:val="en-US" w:eastAsia="zh-CN"/>
          <w14:textFill>
            <w14:solidFill>
              <w14:schemeClr w14:val="tx1"/>
            </w14:solidFill>
          </w14:textFill>
        </w:rPr>
        <w:t>30</w:t>
      </w:r>
      <w:r>
        <w:rPr>
          <w:rFonts w:hint="eastAsia" w:asciiTheme="minorEastAsia" w:hAnsiTheme="minorEastAsia" w:eastAsiaTheme="minorEastAsia"/>
          <w:color w:val="000000" w:themeColor="text1"/>
          <w:sz w:val="24"/>
          <w14:textFill>
            <w14:solidFill>
              <w14:schemeClr w14:val="tx1"/>
            </w14:solidFill>
          </w14:textFill>
        </w:rPr>
        <w:t>cm）、清除</w:t>
      </w:r>
      <w:r>
        <w:rPr>
          <w:rFonts w:hint="eastAsia" w:asciiTheme="minorEastAsia" w:hAnsiTheme="minorEastAsia" w:eastAsiaTheme="minorEastAsia"/>
          <w:color w:val="000000" w:themeColor="text1"/>
          <w:sz w:val="24"/>
          <w:lang w:val="en-US" w:eastAsia="zh-CN"/>
          <w14:textFill>
            <w14:solidFill>
              <w14:schemeClr w14:val="tx1"/>
            </w14:solidFill>
          </w14:textFill>
        </w:rPr>
        <w:t>杂草、</w:t>
      </w:r>
      <w:r>
        <w:rPr>
          <w:rFonts w:hint="eastAsia" w:asciiTheme="minorEastAsia" w:hAnsiTheme="minorEastAsia" w:eastAsiaTheme="minorEastAsia"/>
          <w:color w:val="000000" w:themeColor="text1"/>
          <w:sz w:val="24"/>
          <w14:textFill>
            <w14:solidFill>
              <w14:schemeClr w14:val="tx1"/>
            </w14:solidFill>
          </w14:textFill>
        </w:rPr>
        <w:t>灌木、装车外运等有关的一切作业费用，外弃运距由承包人自行考虑；</w:t>
      </w:r>
    </w:p>
    <w:p w14:paraId="57E3C05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2、20</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铺植草皮</w:t>
      </w:r>
    </w:p>
    <w:p w14:paraId="30051521">
      <w:pPr>
        <w:pStyle w:val="7"/>
        <w:spacing w:line="360" w:lineRule="auto"/>
        <w:jc w:val="left"/>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sz w:val="24"/>
        </w:rPr>
        <w:t>铺植草皮：</w:t>
      </w:r>
      <w:r>
        <w:rPr>
          <w:rFonts w:hint="eastAsia" w:asciiTheme="minorEastAsia" w:hAnsiTheme="minorEastAsia" w:eastAsiaTheme="minorEastAsia"/>
          <w:sz w:val="24"/>
          <w:lang w:val="en-US" w:eastAsia="zh-CN"/>
        </w:rPr>
        <w:t>草皮品种：用百慕大、黑麦草混种草皮，</w:t>
      </w:r>
      <w:r>
        <w:rPr>
          <w:rFonts w:hint="eastAsia" w:asciiTheme="minorEastAsia" w:hAnsiTheme="minorEastAsia" w:eastAsiaTheme="minorEastAsia"/>
          <w:color w:val="000000" w:themeColor="text1"/>
          <w:sz w:val="24"/>
          <w14:textFill>
            <w14:solidFill>
              <w14:schemeClr w14:val="tx1"/>
            </w14:solidFill>
          </w14:textFill>
        </w:rPr>
        <w:t>包括搬运草皮、铺草、镶草、浇水、清除垃圾</w:t>
      </w:r>
      <w:r>
        <w:rPr>
          <w:rFonts w:hint="eastAsia" w:asciiTheme="minorEastAsia" w:hAnsiTheme="minorEastAsia" w:eastAsiaTheme="minorEastAsia"/>
          <w:color w:val="000000" w:themeColor="text1"/>
          <w:sz w:val="24"/>
          <w:lang w:eastAsia="zh-CN"/>
          <w14:textFill>
            <w14:solidFill>
              <w14:schemeClr w14:val="tx1"/>
            </w14:solidFill>
          </w14:textFill>
        </w:rPr>
        <w:t>、挑除杂草、轧草修边、草屑清除、病虫害防治、施肥、灌溉、环境清理、</w:t>
      </w:r>
      <w:r>
        <w:rPr>
          <w:rFonts w:hint="eastAsia" w:asciiTheme="minorEastAsia" w:hAnsiTheme="minorEastAsia" w:eastAsiaTheme="minorEastAsia"/>
          <w:color w:val="000000" w:themeColor="text1"/>
          <w:sz w:val="24"/>
          <w:lang w:val="en-US" w:eastAsia="zh-CN"/>
          <w14:textFill>
            <w14:solidFill>
              <w14:schemeClr w14:val="tx1"/>
            </w14:solidFill>
          </w14:textFill>
        </w:rPr>
        <w:t>两年养护等有关的一切作业费用</w:t>
      </w:r>
    </w:p>
    <w:p w14:paraId="5D9BA66D">
      <w:pPr>
        <w:numPr>
          <w:ilvl w:val="0"/>
          <w:numId w:val="1"/>
        </w:numPr>
        <w:spacing w:line="360" w:lineRule="auto"/>
        <w:ind w:left="0" w:leftChars="0" w:firstLine="420" w:firstLineChars="0"/>
        <w:rPr>
          <w:rFonts w:asciiTheme="minorEastAsia" w:hAnsiTheme="minorEastAsia" w:eastAsiaTheme="minorEastAsia"/>
          <w:b/>
          <w:sz w:val="24"/>
        </w:rPr>
      </w:pPr>
      <w:r>
        <w:rPr>
          <w:rFonts w:hint="eastAsia" w:asciiTheme="minorEastAsia" w:hAnsiTheme="minorEastAsia" w:eastAsiaTheme="minorEastAsia"/>
          <w:b/>
          <w:color w:val="000000" w:themeColor="text1"/>
          <w:sz w:val="24"/>
          <w14:textFill>
            <w14:solidFill>
              <w14:schemeClr w14:val="tx1"/>
            </w14:solidFill>
          </w14:textFill>
        </w:rPr>
        <w:t>其他直接费与现场经费</w:t>
      </w:r>
      <w:r>
        <w:rPr>
          <w:rFonts w:hint="eastAsia" w:asciiTheme="minorEastAsia" w:hAnsiTheme="minorEastAsia" w:eastAsiaTheme="minorEastAsia"/>
          <w:b/>
          <w:sz w:val="24"/>
        </w:rPr>
        <w:t>取费标准</w:t>
      </w:r>
    </w:p>
    <w:p w14:paraId="3250F4F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1、其余取费标准见“公路基本建设工程概算、预算编制办法”；</w:t>
      </w:r>
    </w:p>
    <w:p w14:paraId="5E2235D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bCs/>
          <w:sz w:val="24"/>
        </w:rPr>
        <w:t>工程量清单中没有填入单价或价格的子目，其费用视为已分摊在工程量清单中其他相关子目的单价或价格之中；</w:t>
      </w:r>
    </w:p>
    <w:p w14:paraId="6E34048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bCs/>
          <w:sz w:val="24"/>
        </w:rPr>
        <w:t>未列子目不予计量的工作，其费用已分摊在本合同工程的有关子目的单价或总额价之中；</w:t>
      </w:r>
    </w:p>
    <w:p w14:paraId="6A05EF0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4、税金按9%计；</w:t>
      </w:r>
    </w:p>
    <w:p w14:paraId="08588AFA">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、安全生产管理费按1.5%计；</w:t>
      </w:r>
    </w:p>
    <w:p w14:paraId="6FF2754E">
      <w:pPr>
        <w:numPr>
          <w:ilvl w:val="0"/>
          <w:numId w:val="1"/>
        </w:numPr>
        <w:spacing w:line="360" w:lineRule="auto"/>
        <w:ind w:left="0" w:leftChars="0" w:firstLine="420" w:firstLineChars="0"/>
        <w:rPr>
          <w:rFonts w:asciiTheme="minorEastAsia" w:hAnsiTheme="minorEastAsia" w:eastAsiaTheme="minorEastAsia"/>
          <w:b/>
          <w:sz w:val="24"/>
        </w:rPr>
      </w:pPr>
      <w:r>
        <w:rPr>
          <w:rFonts w:hint="eastAsia" w:asciiTheme="minorEastAsia" w:hAnsiTheme="minorEastAsia" w:eastAsiaTheme="minorEastAsia"/>
          <w:b/>
          <w:sz w:val="24"/>
        </w:rPr>
        <w:t>人工和材料单价</w:t>
      </w:r>
    </w:p>
    <w:p w14:paraId="25C032A0">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暂列金额按10%考虑；</w:t>
      </w:r>
    </w:p>
    <w:p w14:paraId="22086D5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人工工资按每工日128.17元计，机械人工按每工日128.17元计；</w:t>
      </w:r>
    </w:p>
    <w:p w14:paraId="45D3684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、采用202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11</w:t>
      </w:r>
      <w:r>
        <w:rPr>
          <w:rFonts w:hint="eastAsia" w:asciiTheme="minorEastAsia" w:hAnsiTheme="minorEastAsia" w:eastAsiaTheme="minorEastAsia"/>
          <w:sz w:val="24"/>
        </w:rPr>
        <w:t>月江苏省泰州市工程材料指导价格结合江苏省交通材料市场价和市场材料询价。</w:t>
      </w:r>
    </w:p>
    <w:p w14:paraId="4409801F">
      <w:pPr>
        <w:spacing w:line="360" w:lineRule="auto"/>
        <w:ind w:firstLine="560" w:firstLineChars="200"/>
        <w:jc w:val="right"/>
        <w:rPr>
          <w:rFonts w:asciiTheme="minorEastAsia" w:hAnsiTheme="minorEastAsia" w:eastAsiaTheme="minorEastAsia"/>
          <w:sz w:val="28"/>
          <w:szCs w:val="28"/>
        </w:rPr>
      </w:pPr>
    </w:p>
    <w:p w14:paraId="4FF92D7D">
      <w:pPr>
        <w:spacing w:line="360" w:lineRule="auto"/>
        <w:ind w:firstLine="5600" w:firstLineChars="20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11</w:t>
      </w:r>
      <w:r>
        <w:rPr>
          <w:rFonts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18</w:t>
      </w:r>
      <w:r>
        <w:rPr>
          <w:rFonts w:asciiTheme="minorEastAsia" w:hAnsiTheme="minorEastAsia" w:eastAsiaTheme="minorEastAsia"/>
          <w:sz w:val="28"/>
          <w:szCs w:val="28"/>
        </w:rPr>
        <w:t>日</w:t>
      </w:r>
    </w:p>
    <w:p w14:paraId="716EFAAD">
      <w:bookmarkStart w:id="0" w:name="_GoBack"/>
      <w:bookmarkEnd w:id="0"/>
    </w:p>
    <w:sectPr>
      <w:footerReference r:id="rId3" w:type="default"/>
      <w:pgSz w:w="11906" w:h="16838"/>
      <w:pgMar w:top="1440" w:right="14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9707">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p w14:paraId="6949408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81F98"/>
    <w:multiLevelType w:val="singleLevel"/>
    <w:tmpl w:val="DF081F98"/>
    <w:lvl w:ilvl="0" w:tentative="0">
      <w:start w:val="4"/>
      <w:numFmt w:val="decimal"/>
      <w:suff w:val="nothing"/>
      <w:lvlText w:val="%1、"/>
      <w:lvlJc w:val="left"/>
    </w:lvl>
  </w:abstractNum>
  <w:abstractNum w:abstractNumId="1">
    <w:nsid w:val="251EA5B0"/>
    <w:multiLevelType w:val="singleLevel"/>
    <w:tmpl w:val="251EA5B0"/>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16A44"/>
    <w:rsid w:val="77316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正文1"/>
    <w:basedOn w:val="7"/>
    <w:autoRedefine/>
    <w:qFormat/>
    <w:uiPriority w:val="0"/>
    <w:pPr>
      <w:kinsoku w:val="0"/>
      <w:overflowPunct w:val="0"/>
      <w:autoSpaceDE w:val="0"/>
      <w:autoSpaceDN w:val="0"/>
      <w:adjustRightInd w:val="0"/>
      <w:spacing w:line="520" w:lineRule="exact"/>
      <w:ind w:firstLine="200"/>
    </w:pPr>
    <w:rPr>
      <w:rFonts w:ascii="仿宋_GB2312" w:hAnsi="黑体" w:eastAsia="仿宋_GB2312" w:cs="宋体"/>
      <w:kern w:val="0"/>
      <w:sz w:val="24"/>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2026-03-30T03:43:00Z</dcterms:created>
  <dc:creator>歪点羊子</dc:creator>
  <cp:lastModifiedBy>歪点羊子</cp:lastModifiedBy>
  <dcterms:modified xsi:type="dcterms:W3CDTF">2026-03-30T03:43:44Z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B01C314B63084CAEAD82AC0423787DCF_11</vt:lpwstr>
  </property>
  <property fmtid="{D5CDD505-2E9C-101B-9397-08002B2CF9AE}" pid="4" name="KSOTemplateDocerSaveRecord">
    <vt:lpwstr>eyJoZGlkIjoiNzI1MzljODBiNDliMzEyMzFlZWNlN2EzYjU0N2YzMWEiLCJ1c2VySWQiOiI0OTA3MzQ5MDEifQ==</vt:lpwstr>
  </property>
</Properties>
</file>