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JSZC-320192-MLLH-C2026-0003</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大厂街道路口景观服务</w:t>
      </w:r>
      <w:r/>
    </w:p>
    <w:p>
      <w:pPr>
        <w:ind w:firstLine="640"/>
        <w:jc w:val="left"/>
        <w:spacing w:line="360" w:lineRule="auto"/>
        <w:rPr>
          <w:rFonts w:hint="eastAsia" w:ascii="黑体" w:hAnsi="黑体" w:eastAsia="黑体"/>
          <w:sz w:val="32"/>
        </w:rPr>
      </w:pPr>
      <w:r>
        <w:rPr>
          <w:rFonts w:ascii="黑体" w:hAnsi="黑体" w:eastAsia="黑体"/>
          <w:sz w:val="32"/>
        </w:rPr>
        <w:t xml:space="preserve">项目类别：服务类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南京市六合区人民政府大厂街道办事处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茉莉六合（南京）农业发展有限公司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lang w:val="zh-CN"/>
        </w:rPr>
      </w:pPr>
      <w:r>
        <w:rPr>
          <w:rFonts w:ascii="Verdana" w:hAnsi="Verdana"/>
          <w:sz w:val="20"/>
          <w:lang w:val="zh-CN"/>
        </w:rPr>
      </w:r>
      <w:r/>
    </w:p>
    <w:p>
      <w:pPr>
        <w:jc w:val="center"/>
        <w:rPr>
          <w:rStyle w:val="87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三</w:t>
      </w:r>
      <w:r>
        <w:rPr>
          <w:rFonts w:eastAsia="黑体"/>
          <w:sz w:val="36"/>
          <w:szCs w:val="44"/>
          <w:lang w:val="zh-CN"/>
        </w:rPr>
        <w:t xml:space="preserve">月</w:t>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Style w:val="873"/>
          <w:rFonts w:ascii="黑体" w:hAnsi="黑体" w:eastAsia="黑体"/>
          <w:b/>
          <w:sz w:val="36"/>
          <w:szCs w:val="36"/>
        </w:rPr>
        <w:t xml:space="preserve">第一章</w:t>
      </w:r>
      <w:r>
        <w:rPr>
          <w:rStyle w:val="873"/>
          <w:rFonts w:hint="eastAsia" w:ascii="黑体" w:hAnsi="黑体" w:eastAsia="黑体"/>
          <w:b/>
          <w:sz w:val="36"/>
          <w:szCs w:val="36"/>
        </w:rPr>
        <w:t xml:space="preserve"> </w:t>
      </w:r>
      <w:r>
        <w:rPr>
          <w:rStyle w:val="873"/>
          <w:rFonts w:ascii="黑体" w:hAnsi="黑体" w:eastAsia="黑体"/>
          <w:b/>
          <w:sz w:val="36"/>
          <w:szCs w:val="36"/>
        </w:rPr>
        <w:t xml:space="preserve">竞争性磋商</w:t>
      </w:r>
      <w:r>
        <w:rPr>
          <w:rStyle w:val="873"/>
          <w:rFonts w:hint="eastAsia" w:ascii="黑体" w:hAnsi="黑体" w:eastAsia="黑体"/>
          <w:b/>
          <w:sz w:val="36"/>
          <w:szCs w:val="36"/>
        </w:rPr>
        <w:t xml:space="preserve">邀请</w:t>
      </w:r>
      <w:r/>
    </w:p>
    <w:p>
      <w:pPr>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3"/>
          <w:rFonts w:ascii="宋体" w:hAnsi="宋体"/>
          <w:color w:val="000000"/>
          <w:sz w:val="24"/>
        </w:rPr>
        <w:t xml:space="preserve">项目概况</w:t>
      </w:r>
      <w:r/>
    </w:p>
    <w:p>
      <w:pPr>
        <w:ind w:firstLine="480"/>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大厂街道路口景观服务</w:t>
      </w:r>
      <w:r>
        <w:rPr>
          <w:rStyle w:val="873"/>
          <w:rFonts w:ascii="宋体" w:hAnsi="宋体"/>
          <w:color w:val="000000"/>
          <w:sz w:val="24"/>
        </w:rPr>
        <w:t xml:space="preserve">的潜在供应商应在</w:t>
      </w:r>
      <w:r>
        <w:rPr>
          <w:rFonts w:hint="eastAsia"/>
          <w:iCs/>
          <w:sz w:val="24"/>
          <w:u w:val="single"/>
        </w:rPr>
        <w:t xml:space="preserve">江苏政府采购网“苏采云”系统</w:t>
      </w:r>
      <w:r>
        <w:rPr>
          <w:rStyle w:val="873"/>
          <w:rFonts w:ascii="宋体" w:hAnsi="宋体"/>
          <w:color w:val="000000"/>
          <w:sz w:val="24"/>
        </w:rPr>
        <w:t xml:space="preserve">获取采购文件，并于</w:t>
      </w:r>
      <w:r>
        <w:rPr>
          <w:rStyle w:val="873"/>
          <w:rFonts w:ascii="宋体" w:hAnsi="宋体"/>
          <w:color w:val="000000"/>
          <w:sz w:val="24"/>
          <w:u w:val="single"/>
        </w:rPr>
        <w:t xml:space="preserve">202</w:t>
      </w:r>
      <w:r>
        <w:rPr>
          <w:rStyle w:val="873"/>
          <w:rFonts w:hint="eastAsia" w:ascii="宋体" w:hAnsi="宋体"/>
          <w:color w:val="000000"/>
          <w:sz w:val="24"/>
          <w:u w:val="single"/>
        </w:rPr>
        <w:t xml:space="preserve">6</w:t>
      </w:r>
      <w:r>
        <w:rPr>
          <w:rStyle w:val="873"/>
          <w:rFonts w:ascii="宋体" w:hAnsi="宋体"/>
          <w:bCs/>
          <w:color w:val="000000"/>
          <w:sz w:val="24"/>
          <w:u w:val="single"/>
        </w:rPr>
        <w:t xml:space="preserve">年</w:t>
      </w:r>
      <w:r>
        <w:rPr>
          <w:rStyle w:val="873"/>
          <w:rFonts w:hint="eastAsia" w:ascii="宋体" w:hAnsi="宋体"/>
          <w:bCs/>
          <w:color w:val="000000"/>
          <w:sz w:val="24"/>
          <w:u w:val="single"/>
        </w:rPr>
        <w:t xml:space="preserve">3</w:t>
      </w:r>
      <w:r>
        <w:rPr>
          <w:rStyle w:val="873"/>
          <w:rFonts w:ascii="宋体" w:hAnsi="宋体"/>
          <w:bCs/>
          <w:color w:val="000000"/>
          <w:sz w:val="24"/>
          <w:u w:val="single"/>
        </w:rPr>
        <w:t xml:space="preserve">月</w:t>
      </w:r>
      <w:r>
        <w:rPr>
          <w:rStyle w:val="873"/>
          <w:rFonts w:hint="eastAsia" w:ascii="宋体" w:hAnsi="宋体"/>
          <w:bCs/>
          <w:color w:val="000000"/>
          <w:sz w:val="24"/>
          <w:u w:val="single"/>
        </w:rPr>
        <w:t xml:space="preserve">31</w:t>
      </w:r>
      <w:r>
        <w:rPr>
          <w:rStyle w:val="873"/>
          <w:rFonts w:ascii="宋体" w:hAnsi="宋体"/>
          <w:bCs/>
          <w:color w:val="000000"/>
          <w:sz w:val="24"/>
          <w:u w:val="single"/>
        </w:rPr>
        <w:t xml:space="preserve">日</w:t>
      </w:r>
      <w:r>
        <w:rPr>
          <w:rStyle w:val="873"/>
          <w:rFonts w:hint="eastAsia" w:ascii="宋体" w:hAnsi="宋体"/>
          <w:bCs/>
          <w:color w:val="000000"/>
          <w:sz w:val="24"/>
          <w:u w:val="single"/>
        </w:rPr>
        <w:t xml:space="preserve">09</w:t>
      </w:r>
      <w:r>
        <w:rPr>
          <w:rStyle w:val="873"/>
          <w:rFonts w:hint="eastAsia" w:ascii="宋体" w:hAnsi="宋体"/>
          <w:bCs/>
          <w:color w:val="000000"/>
          <w:sz w:val="24"/>
          <w:u w:val="single"/>
        </w:rPr>
        <w:t xml:space="preserve">时</w:t>
      </w:r>
      <w:r>
        <w:rPr>
          <w:rStyle w:val="873"/>
          <w:rFonts w:hint="eastAsia" w:ascii="宋体" w:hAnsi="宋体"/>
          <w:bCs/>
          <w:color w:val="000000"/>
          <w:sz w:val="24"/>
          <w:u w:val="single"/>
        </w:rPr>
        <w:t xml:space="preserve">3</w:t>
      </w:r>
      <w:r>
        <w:rPr>
          <w:rStyle w:val="873"/>
          <w:rFonts w:hint="eastAsia" w:ascii="宋体" w:hAnsi="宋体"/>
          <w:bCs/>
          <w:color w:val="000000"/>
          <w:sz w:val="24"/>
          <w:u w:val="single"/>
        </w:rPr>
        <w:t xml:space="preserve">0分</w:t>
      </w:r>
      <w:r>
        <w:rPr>
          <w:rStyle w:val="873"/>
          <w:rFonts w:ascii="宋体" w:hAnsi="宋体"/>
          <w:bCs/>
          <w:color w:val="000000"/>
          <w:sz w:val="24"/>
        </w:rPr>
        <w:t xml:space="preserve">（北京时间）前提交响应文件</w:t>
      </w:r>
      <w:r>
        <w:rPr>
          <w:rStyle w:val="873"/>
          <w:rFonts w:ascii="宋体" w:hAnsi="宋体"/>
          <w:color w:val="000000"/>
          <w:sz w:val="24"/>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一、项目基本情况</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项目编号：</w:t>
      </w:r>
      <w:r>
        <w:rPr>
          <w:rFonts w:ascii="宋体" w:hAnsi="宋体"/>
          <w:color w:val="000000"/>
          <w:sz w:val="24"/>
        </w:rPr>
        <w:t xml:space="preserve">JSZC-3201</w:t>
      </w:r>
      <w:r>
        <w:rPr>
          <w:rFonts w:hint="eastAsia" w:ascii="宋体" w:hAnsi="宋体"/>
          <w:color w:val="000000"/>
          <w:sz w:val="24"/>
        </w:rPr>
        <w:t xml:space="preserve">92</w:t>
      </w:r>
      <w:r>
        <w:rPr>
          <w:rFonts w:ascii="宋体" w:hAnsi="宋体"/>
          <w:color w:val="000000"/>
          <w:sz w:val="24"/>
        </w:rPr>
        <w:t xml:space="preserve">-MLLH-</w:t>
      </w:r>
      <w:r>
        <w:rPr>
          <w:rFonts w:hint="eastAsia" w:ascii="宋体" w:hAnsi="宋体"/>
          <w:color w:val="000000"/>
          <w:sz w:val="24"/>
        </w:rPr>
        <w:t xml:space="preserve">C</w:t>
      </w:r>
      <w:r>
        <w:rPr>
          <w:rFonts w:ascii="宋体" w:hAnsi="宋体"/>
          <w:color w:val="000000"/>
          <w:sz w:val="24"/>
        </w:rPr>
        <w:t xml:space="preserve">2026-000</w:t>
      </w:r>
      <w:r>
        <w:rPr>
          <w:rFonts w:hint="eastAsia" w:ascii="宋体" w:hAnsi="宋体"/>
          <w:color w:val="000000"/>
          <w:sz w:val="24"/>
        </w:rPr>
        <w:t xml:space="preserve">3</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项目名称：</w:t>
      </w:r>
      <w:r>
        <w:rPr>
          <w:rFonts w:hint="eastAsia" w:ascii="宋体" w:hAnsi="宋体"/>
          <w:bCs/>
          <w:color w:val="000000"/>
          <w:sz w:val="24"/>
        </w:rPr>
        <w:t xml:space="preserve">大厂街道路口景观服务</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采购方式：竞争性磋商</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预算金额：</w:t>
      </w:r>
      <w:r>
        <w:rPr>
          <w:rStyle w:val="873"/>
          <w:rFonts w:hint="eastAsia" w:ascii="宋体" w:hAnsi="宋体"/>
          <w:color w:val="000000"/>
          <w:sz w:val="24"/>
        </w:rPr>
        <w:t xml:space="preserve">13</w:t>
      </w:r>
      <w:r>
        <w:rPr>
          <w:rStyle w:val="873"/>
          <w:rFonts w:hint="eastAsia" w:ascii="宋体" w:hAnsi="宋体"/>
          <w:color w:val="000000"/>
          <w:sz w:val="24"/>
        </w:rPr>
        <w:t xml:space="preserve">0万</w:t>
      </w:r>
      <w:r>
        <w:rPr>
          <w:rStyle w:val="873"/>
          <w:rFonts w:ascii="宋体" w:hAnsi="宋体"/>
          <w:color w:val="000000"/>
          <w:sz w:val="24"/>
        </w:rPr>
        <w:t xml:space="preserve">元（人民币）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最高限价：</w:t>
      </w:r>
      <w:r>
        <w:rPr>
          <w:rStyle w:val="873"/>
          <w:rFonts w:hint="eastAsia" w:ascii="宋体" w:hAnsi="宋体"/>
          <w:color w:val="000000"/>
          <w:sz w:val="24"/>
        </w:rPr>
        <w:t xml:space="preserve">13</w:t>
      </w:r>
      <w:r>
        <w:rPr>
          <w:rStyle w:val="873"/>
          <w:rFonts w:hint="eastAsia" w:ascii="宋体" w:hAnsi="宋体"/>
          <w:color w:val="000000"/>
          <w:sz w:val="24"/>
        </w:rPr>
        <w:t xml:space="preserve">0万元（人民币）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采购需求：</w:t>
      </w:r>
      <w:r>
        <w:rPr>
          <w:rFonts w:hint="eastAsia" w:ascii="宋体" w:hAnsi="宋体"/>
          <w:bCs/>
          <w:color w:val="000000"/>
          <w:sz w:val="24"/>
        </w:rPr>
        <w:t xml:space="preserve">大厂街道路口景观服务</w:t>
      </w:r>
      <w:r>
        <w:rPr>
          <w:rFonts w:ascii="宋体" w:hAnsi="宋体"/>
          <w:sz w:val="24"/>
        </w:rPr>
        <w:t xml:space="preserve">，具体详见采购文件。</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合同履行期限：</w:t>
      </w:r>
      <w:r>
        <w:rPr>
          <w:rFonts w:hint="eastAsia" w:ascii="宋体" w:hAnsi="宋体"/>
          <w:color w:val="000000"/>
          <w:sz w:val="24"/>
        </w:rPr>
        <w:t xml:space="preserve">40日历天</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本项目</w:t>
      </w:r>
      <w:r>
        <w:rPr>
          <w:rStyle w:val="873"/>
          <w:rFonts w:hint="eastAsia" w:ascii="宋体" w:hAnsi="宋体"/>
          <w:color w:val="000000"/>
          <w:sz w:val="24"/>
        </w:rPr>
        <w:t xml:space="preserve">不</w:t>
      </w:r>
      <w:r>
        <w:rPr>
          <w:rStyle w:val="873"/>
          <w:rFonts w:ascii="宋体" w:hAnsi="宋体"/>
          <w:color w:val="000000"/>
          <w:sz w:val="24"/>
        </w:rPr>
        <w:t xml:space="preserve">接受联合体。</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（提供证明材料或提供南京市政府采购供应商信用记录表暨信用承诺书）。</w:t>
      </w:r>
      <w:r/>
    </w:p>
    <w:p>
      <w:pPr>
        <w:ind w:firstLine="480"/>
        <w:spacing w:line="480" w:lineRule="exact"/>
        <w:rPr>
          <w:rStyle w:val="873"/>
          <w:rFonts w:hint="eastAsia" w:ascii="宋体" w:hAnsi="宋体"/>
          <w:color w:val="000000"/>
          <w:sz w:val="24"/>
        </w:rPr>
      </w:pPr>
      <w:r>
        <w:rPr>
          <w:rStyle w:val="873"/>
          <w:rFonts w:hint="eastAsia" w:ascii="宋体" w:hAnsi="宋体"/>
          <w:color w:val="000000"/>
          <w:sz w:val="24"/>
        </w:rPr>
        <w:t xml:space="preserve">2.2</w:t>
      </w:r>
      <w:r>
        <w:rPr>
          <w:rStyle w:val="87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0"/>
        <w:spacing w:line="480" w:lineRule="exact"/>
        <w:rPr>
          <w:rFonts w:hint="eastAsia" w:ascii="宋体" w:hAnsi="宋体"/>
          <w:sz w:val="24"/>
        </w:rPr>
      </w:pPr>
      <w:r>
        <w:rPr>
          <w:rStyle w:val="873"/>
          <w:rFonts w:hint="eastAsia" w:ascii="宋体" w:hAnsi="宋体"/>
          <w:sz w:val="24"/>
        </w:rPr>
        <w:t xml:space="preserve">2.3</w:t>
      </w:r>
      <w:r>
        <w:rPr>
          <w:rStyle w:val="873"/>
          <w:rFonts w:ascii="宋体" w:hAnsi="宋体"/>
          <w:sz w:val="24"/>
        </w:rPr>
        <w:t xml:space="preserve">.本项目的特定资格要求</w:t>
      </w:r>
      <w:r>
        <w:rPr>
          <w:rStyle w:val="873"/>
          <w:rFonts w:hint="eastAsia" w:ascii="宋体" w:hAnsi="宋体"/>
          <w:sz w:val="24"/>
        </w:rPr>
        <w:t xml:space="preserve">：</w:t>
      </w:r>
      <w:r>
        <w:rPr>
          <w:rFonts w:hint="eastAsia"/>
          <w:b/>
          <w:bCs/>
          <w:color w:val="000000"/>
          <w:sz w:val="24"/>
        </w:rPr>
        <w:t xml:space="preserve">无</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三、获取采购文件</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地点：</w:t>
      </w:r>
      <w:r>
        <w:rPr>
          <w:rFonts w:hint="eastAsia"/>
          <w:sz w:val="24"/>
        </w:rPr>
        <w:t xml:space="preserve">江苏政府采购网“苏采云”系统</w:t>
      </w:r>
      <w:r/>
    </w:p>
    <w:p>
      <w:pPr>
        <w:ind w:firstLine="540"/>
        <w:spacing w:line="480" w:lineRule="exact"/>
        <w:rPr>
          <w:rFonts w:hint="eastAsia" w:ascii="宋体" w:hAnsi="宋体"/>
          <w:color w:val="000000"/>
          <w:sz w:val="24"/>
        </w:rPr>
      </w:pPr>
      <w:r>
        <w:rPr>
          <w:rStyle w:val="873"/>
          <w:rFonts w:ascii="宋体" w:hAnsi="宋体"/>
          <w:color w:val="000000"/>
          <w:sz w:val="24"/>
        </w:rPr>
        <w:t xml:space="preserve">方式：</w:t>
      </w:r>
      <w:r>
        <w:rPr>
          <w:rFonts w:hint="eastAsia"/>
          <w:sz w:val="24"/>
        </w:rPr>
        <w:t xml:space="preserve">江苏政府采购网“苏采云”系统获取</w:t>
      </w:r>
      <w:r/>
    </w:p>
    <w:p>
      <w:pPr>
        <w:ind w:firstLine="540"/>
        <w:spacing w:line="480" w:lineRule="exact"/>
        <w:rPr>
          <w:rStyle w:val="87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73"/>
          <w:rFonts w:hint="eastAsia" w:ascii="宋体" w:hAnsi="宋体"/>
          <w:b/>
          <w:color w:val="000000"/>
          <w:sz w:val="24"/>
        </w:rPr>
      </w:pPr>
      <w:r>
        <w:rPr>
          <w:rStyle w:val="873"/>
          <w:rFonts w:ascii="宋体" w:hAnsi="宋体"/>
          <w:b/>
          <w:color w:val="000000"/>
          <w:sz w:val="24"/>
        </w:rPr>
        <w:t xml:space="preserve">四、响应文件提交</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截止时间：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w:t>
      </w:r>
      <w:r>
        <w:rPr>
          <w:rStyle w:val="873"/>
          <w:rFonts w:hint="eastAsia" w:ascii="宋体" w:hAnsi="宋体"/>
          <w:bCs/>
          <w:color w:val="000000"/>
          <w:sz w:val="24"/>
        </w:rPr>
        <w:t xml:space="preserve">3</w:t>
      </w:r>
      <w:r>
        <w:rPr>
          <w:rStyle w:val="873"/>
          <w:rFonts w:ascii="宋体" w:hAnsi="宋体"/>
          <w:bCs/>
          <w:color w:val="000000"/>
          <w:sz w:val="24"/>
        </w:rPr>
        <w:t xml:space="preserve">月</w:t>
      </w:r>
      <w:r>
        <w:rPr>
          <w:rStyle w:val="873"/>
          <w:rFonts w:hint="eastAsia" w:ascii="宋体" w:hAnsi="宋体"/>
          <w:bCs/>
          <w:color w:val="000000"/>
          <w:sz w:val="24"/>
        </w:rPr>
        <w:t xml:space="preserve">31</w:t>
      </w:r>
      <w:r>
        <w:rPr>
          <w:rStyle w:val="873"/>
          <w:rFonts w:ascii="宋体" w:hAnsi="宋体"/>
          <w:bCs/>
          <w:color w:val="000000"/>
          <w:sz w:val="24"/>
        </w:rPr>
        <w:t xml:space="preserve">日</w:t>
      </w:r>
      <w:r>
        <w:rPr>
          <w:rStyle w:val="873"/>
          <w:rFonts w:hint="eastAsia" w:ascii="宋体" w:hAnsi="宋体"/>
          <w:bCs/>
          <w:color w:val="000000"/>
          <w:sz w:val="24"/>
        </w:rPr>
        <w:t xml:space="preserve">09</w:t>
      </w:r>
      <w:r>
        <w:rPr>
          <w:rStyle w:val="873"/>
          <w:rFonts w:hint="eastAsia" w:ascii="宋体" w:hAnsi="宋体"/>
          <w:bCs/>
          <w:color w:val="000000"/>
          <w:sz w:val="24"/>
        </w:rPr>
        <w:t xml:space="preserve">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sz w:val="24"/>
        </w:rPr>
        <w:t xml:space="preserve">江苏政府采购网“苏采云”系统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五、开启</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w:t>
      </w:r>
      <w:r>
        <w:rPr>
          <w:rStyle w:val="873"/>
          <w:rFonts w:hint="eastAsia" w:ascii="宋体" w:hAnsi="宋体"/>
          <w:bCs/>
          <w:color w:val="000000"/>
          <w:sz w:val="24"/>
        </w:rPr>
        <w:t xml:space="preserve">3</w:t>
      </w:r>
      <w:r>
        <w:rPr>
          <w:rStyle w:val="873"/>
          <w:rFonts w:ascii="宋体" w:hAnsi="宋体"/>
          <w:bCs/>
          <w:color w:val="000000"/>
          <w:sz w:val="24"/>
        </w:rPr>
        <w:t xml:space="preserve">月</w:t>
      </w:r>
      <w:r>
        <w:rPr>
          <w:rStyle w:val="873"/>
          <w:rFonts w:hint="eastAsia" w:ascii="宋体" w:hAnsi="宋体"/>
          <w:bCs/>
          <w:color w:val="000000"/>
          <w:sz w:val="24"/>
        </w:rPr>
        <w:t xml:space="preserve">31</w:t>
      </w:r>
      <w:r>
        <w:rPr>
          <w:rStyle w:val="873"/>
          <w:rFonts w:ascii="宋体" w:hAnsi="宋体"/>
          <w:bCs/>
          <w:color w:val="000000"/>
          <w:sz w:val="24"/>
        </w:rPr>
        <w:t xml:space="preserve">日</w:t>
      </w:r>
      <w:r>
        <w:rPr>
          <w:rStyle w:val="873"/>
          <w:rFonts w:hint="eastAsia" w:ascii="宋体" w:hAnsi="宋体"/>
          <w:bCs/>
          <w:color w:val="000000"/>
          <w:sz w:val="24"/>
        </w:rPr>
        <w:t xml:space="preserve">09</w:t>
      </w:r>
      <w:r>
        <w:rPr>
          <w:rStyle w:val="873"/>
          <w:rFonts w:hint="eastAsia" w:ascii="宋体" w:hAnsi="宋体"/>
          <w:bCs/>
          <w:color w:val="000000"/>
          <w:sz w:val="24"/>
        </w:rPr>
        <w:t xml:space="preserve">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ascii="宋体" w:hAnsi="宋体"/>
          <w:sz w:val="24"/>
        </w:rPr>
        <w:t xml:space="preserve">江苏政府采购网“苏采云”系统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六、公告期限</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自本公告发布之日起</w:t>
      </w:r>
      <w:r>
        <w:rPr>
          <w:rStyle w:val="873"/>
          <w:rFonts w:hint="eastAsia" w:ascii="宋体" w:hAnsi="宋体"/>
          <w:color w:val="000000"/>
          <w:sz w:val="24"/>
        </w:rPr>
        <w:t xml:space="preserve">3</w:t>
      </w:r>
      <w:r>
        <w:rPr>
          <w:rStyle w:val="873"/>
          <w:rFonts w:ascii="宋体" w:hAnsi="宋体"/>
          <w:color w:val="000000"/>
          <w:sz w:val="24"/>
        </w:rPr>
        <w:t xml:space="preserve">个工作日。</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7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w:t>
      </w:r>
      <w:r>
        <w:rPr>
          <w:rFonts w:hint="eastAsia" w:ascii="宋体" w:hAnsi="宋体"/>
          <w:color w:val="000000"/>
          <w:sz w:val="24"/>
        </w:rPr>
        <w:t xml:space="preserve">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spacing w:line="480" w:lineRule="exact"/>
        <w:rPr>
          <w:rStyle w:val="873"/>
          <w:rFonts w:hint="eastAsia" w:ascii="宋体" w:hAnsi="宋体"/>
          <w:color w:val="000000"/>
          <w:sz w:val="24"/>
        </w:rPr>
      </w:pPr>
      <w:r>
        <w:rPr>
          <w:rFonts w:hint="eastAsia" w:ascii="宋体" w:hAnsi="宋体"/>
          <w:color w:val="000000"/>
          <w:sz w:val="24"/>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73"/>
          <w:rFonts w:hint="eastAsia" w:ascii="宋体" w:hAnsi="宋体"/>
          <w:sz w:val="24"/>
        </w:rPr>
        <w:t xml:space="preserve">4</w:t>
      </w:r>
      <w:r>
        <w:rPr>
          <w:rStyle w:val="873"/>
          <w:rFonts w:ascii="宋体" w:hAnsi="宋体"/>
          <w:sz w:val="24"/>
        </w:rPr>
        <w:t xml:space="preserve">、</w:t>
      </w:r>
      <w:r>
        <w:rPr>
          <w:rFonts w:hint="eastAsia" w:ascii="宋体" w:hAnsi="宋体"/>
          <w:sz w:val="24"/>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hyperlink r:id="rId10" w:tooltip="https://njgc.jfh.com/" w:history="1">
        <w:r>
          <w:rPr>
            <w:rStyle w:val="87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70"/>
          <w:rFonts w:hint="eastAsia" w:ascii="宋体" w:hAnsi="宋体"/>
          <w:sz w:val="24"/>
          <w:lang w:eastAsia="zh-CN"/>
        </w:rPr>
        <w:t xml:space="preserve">http://180.101.238.212:8280/hodeframe2018_cxda/index.action;jsessionid=769BA9C8E1729422E7173B991C8EC1E5</w:t>
      </w:r>
      <w:r>
        <w:rPr>
          <w:rStyle w:val="87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供应商涉及以下情形的，不适用信用承诺：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（2）被相关监管部门作出行政处罚且尚在处罚有效期内；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八、凡对本次采购提出询问，请按以下方式联系</w:t>
      </w:r>
      <w:r/>
    </w:p>
    <w:p>
      <w:pPr>
        <w:ind w:firstLine="480"/>
        <w:spacing w:line="480" w:lineRule="exact"/>
        <w:rPr>
          <w:rStyle w:val="873"/>
          <w:rFonts w:hint="eastAsia" w:ascii="宋体" w:hAnsi="宋体"/>
          <w:b/>
          <w:color w:val="000000"/>
          <w:sz w:val="24"/>
        </w:rPr>
      </w:pPr>
      <w:r>
        <w:rPr>
          <w:rStyle w:val="873"/>
          <w:rFonts w:ascii="宋体" w:hAnsi="宋体"/>
          <w:color w:val="000000"/>
          <w:sz w:val="24"/>
        </w:rPr>
        <w:t xml:space="preserve">1、采购人信息</w:t>
      </w:r>
      <w:r/>
    </w:p>
    <w:p>
      <w:pPr>
        <w:ind w:firstLine="720"/>
        <w:jc w:val="left"/>
        <w:spacing w:line="480" w:lineRule="exact"/>
        <w:rPr>
          <w:rStyle w:val="873"/>
          <w:rFonts w:hint="eastAsia" w:ascii="宋体" w:hAnsi="宋体"/>
          <w:color w:val="000000"/>
          <w:sz w:val="24"/>
        </w:rPr>
      </w:pPr>
      <w:r>
        <w:rPr>
          <w:rStyle w:val="873"/>
          <w:rFonts w:ascii="宋体" w:hAnsi="宋体"/>
          <w:color w:val="000000"/>
          <w:sz w:val="24"/>
        </w:rPr>
        <w:t xml:space="preserve">单位名称：</w:t>
      </w:r>
      <w:r>
        <w:rPr>
          <w:rFonts w:hint="eastAsia" w:ascii="宋体" w:hAnsi="宋体"/>
          <w:bCs/>
          <w:color w:val="000000"/>
          <w:sz w:val="24"/>
        </w:rPr>
        <w:t xml:space="preserve">南京市六合区人民政府大厂街道办事处</w:t>
      </w:r>
      <w:r/>
    </w:p>
    <w:p>
      <w:pPr>
        <w:ind w:firstLine="720"/>
        <w:spacing w:line="48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胡文峰</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025-58380502</w:t>
      </w:r>
      <w:r/>
    </w:p>
    <w:p>
      <w:pPr>
        <w:ind w:firstLine="480"/>
        <w:spacing w:line="480" w:lineRule="exact"/>
        <w:rPr>
          <w:rStyle w:val="873"/>
          <w:rFonts w:hint="eastAsia" w:ascii="宋体" w:hAnsi="宋体"/>
          <w:sz w:val="24"/>
        </w:rPr>
      </w:pPr>
      <w:r>
        <w:rPr>
          <w:rStyle w:val="873"/>
          <w:rFonts w:ascii="宋体" w:hAnsi="宋体"/>
          <w:sz w:val="24"/>
        </w:rPr>
        <w:t xml:space="preserve">2</w:t>
      </w:r>
      <w:r>
        <w:rPr>
          <w:rStyle w:val="873"/>
          <w:rFonts w:hint="eastAsia" w:ascii="宋体" w:hAnsi="宋体"/>
          <w:sz w:val="24"/>
        </w:rPr>
        <w:t xml:space="preserve">、</w:t>
      </w:r>
      <w:r>
        <w:rPr>
          <w:rStyle w:val="873"/>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名称：茉莉六合（南京）农业发展有限公司</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sz w:val="24"/>
          <w:lang w:bidi="zh-CN"/>
        </w:rPr>
        <w:t xml:space="preserve">南京市六合科创中心B座三楼（六合区龙池街道王桥路59号）</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联系方式：13921418951</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8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13921418951</w:t>
      </w:r>
      <w:r/>
    </w:p>
    <w:p>
      <w:pPr>
        <w:jc w:val="center"/>
        <w:rPr>
          <w:rStyle w:val="873"/>
          <w:rFonts w:hint="eastAsia" w:ascii="黑体" w:hAnsi="黑体" w:eastAsia="黑体"/>
          <w:b/>
          <w:bCs/>
          <w:sz w:val="36"/>
          <w:szCs w:val="36"/>
        </w:rPr>
      </w:pPr>
      <w:r>
        <w:rPr>
          <w:rFonts w:hint="eastAsia" w:ascii="黑体" w:hAnsi="黑体" w:eastAsia="黑体"/>
          <w:b/>
          <w:bCs/>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bCs/>
          <w:sz w:val="36"/>
          <w:szCs w:val="36"/>
        </w:rPr>
      </w:pPr>
      <w:r>
        <w:rPr>
          <w:rStyle w:val="873"/>
          <w:rFonts w:hint="eastAsia" w:ascii="黑体" w:hAnsi="黑体" w:eastAsia="黑体"/>
          <w:b/>
          <w:sz w:val="36"/>
          <w:szCs w:val="36"/>
        </w:rPr>
        <w:t xml:space="preserve">第二章</w:t>
      </w:r>
      <w:r>
        <w:rPr>
          <w:rStyle w:val="873"/>
          <w:rFonts w:ascii="黑体" w:hAnsi="黑体" w:eastAsia="黑体"/>
          <w:b/>
          <w:sz w:val="36"/>
          <w:szCs w:val="36"/>
        </w:rPr>
        <w:t xml:space="preserve"> </w:t>
      </w:r>
      <w:r>
        <w:rPr>
          <w:rStyle w:val="87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中小微企业价格扣除：本项目专门面向中小企业采购，评审时，采购人对中小微企业的报价不给予价格扣除；本项目不允许中型企业向一家或者多家小微企业分包，采购人对中型企业的报价不给予价格扣除。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w:t>
      </w:r>
      <w:r>
        <w:rPr>
          <w:rFonts w:hint="eastAsia" w:ascii="宋体" w:hAnsi="宋体"/>
          <w:b/>
          <w:sz w:val="24"/>
        </w:rPr>
        <w:t xml:space="preserve">本项目代理</w:t>
      </w:r>
      <w:r>
        <w:rPr>
          <w:rFonts w:hint="eastAsia" w:ascii="宋体" w:hAnsi="宋体"/>
          <w:b/>
          <w:sz w:val="24"/>
        </w:rPr>
        <w:t xml:space="preserve">服务</w:t>
      </w:r>
      <w:r>
        <w:rPr>
          <w:rFonts w:hint="eastAsia" w:ascii="宋体" w:hAnsi="宋体"/>
          <w:b/>
          <w:sz w:val="24"/>
        </w:rPr>
        <w:t xml:space="preserve">费由成交供应商支付。</w:t>
      </w:r>
      <w:r>
        <w:rPr>
          <w:rFonts w:hint="eastAsia" w:ascii="宋体" w:hAnsi="宋体"/>
          <w:b/>
          <w:sz w:val="24"/>
        </w:rPr>
        <w:t xml:space="preserve">采购代理服务费按照《江苏省政府采购代理服务收费指导意见》苏政采协[2024]20号标准的80%计算。</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w:t>
      </w:r>
      <w:r>
        <w:rPr>
          <w:rFonts w:hint="eastAsia" w:ascii="宋体" w:hAnsi="宋体"/>
          <w:sz w:val="24"/>
          <w:lang w:val="zh-CN"/>
        </w:rPr>
        <w:t xml:space="preserve">章或法定代表人或其授权磋商代表签字。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（4）第一章竞争性磋商邀请中2.3款</w:t>
      </w:r>
      <w:r>
        <w:rPr>
          <w:rFonts w:ascii="宋体" w:hAnsi="宋体" w:cs="宋体"/>
          <w:sz w:val="24"/>
        </w:rPr>
        <w:t xml:space="preserve">本项目的特定资格要求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b/>
          <w:sz w:val="24"/>
          <w:szCs w:val="21"/>
          <w:lang w:val="zh-CN"/>
        </w:rPr>
        <w:t xml:space="preserve">★</w:t>
      </w:r>
      <w:r>
        <w:rPr>
          <w:rFonts w:hint="eastAsia" w:ascii="宋体" w:hAnsi="宋体" w:cs="宋体"/>
          <w:sz w:val="24"/>
        </w:rPr>
        <w:t xml:space="preserve">分项报价表</w:t>
      </w:r>
      <w:r>
        <w:rPr>
          <w:rFonts w:hint="eastAsia" w:ascii="宋体" w:hAnsi="宋体" w:cs="宋体"/>
          <w:sz w:val="24"/>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（8）</w:t>
      </w:r>
      <w:r>
        <w:rPr>
          <w:rFonts w:hint="eastAsia" w:ascii="宋体" w:hAnsi="宋体"/>
          <w:b/>
          <w:sz w:val="24"/>
          <w:szCs w:val="21"/>
          <w:lang w:val="zh-CN"/>
        </w:rPr>
        <w:t xml:space="preserve">★</w:t>
      </w:r>
      <w:r>
        <w:rPr>
          <w:rFonts w:hint="eastAsia" w:ascii="宋体" w:hAnsi="宋体" w:cs="宋体"/>
          <w:sz w:val="24"/>
          <w:lang w:val="zh-CN"/>
        </w:rPr>
        <w:t xml:space="preserve">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（9）</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供应商提供的服务是合格的，并符合磋商文件要求的证明文件，以及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w:t>
      </w:r>
      <w:r>
        <w:rPr>
          <w:rFonts w:hint="eastAsia" w:ascii="宋体" w:hAnsi="宋体"/>
          <w:b/>
          <w:sz w:val="24"/>
          <w:szCs w:val="21"/>
          <w:lang w:val="zh-CN"/>
        </w:rPr>
        <w:t xml:space="preserve">★</w:t>
      </w:r>
      <w:r>
        <w:rPr>
          <w:rFonts w:hint="eastAsia" w:ascii="宋体" w:hAnsi="宋体"/>
          <w:sz w:val="24"/>
          <w:lang w:val="zh-CN"/>
        </w:rPr>
        <w:t xml:space="preserve">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（2）报价应包含完成本服务项目发生的所有含税费用、支付给员工的工资和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b/>
          <w:sz w:val="24"/>
          <w:lang w:val="zh-CN"/>
        </w:rPr>
      </w:pPr>
      <w:r>
        <w:rPr>
          <w:rFonts w:hint="eastAsia" w:ascii="宋体" w:hAnsi="宋体"/>
          <w:sz w:val="24"/>
          <w:lang w:val="zh-CN"/>
        </w:rPr>
        <w:t xml:space="preserve">（3）</w:t>
      </w:r>
      <w:r>
        <w:rPr>
          <w:rFonts w:hint="eastAsia" w:ascii="宋体" w:hAnsi="宋体"/>
          <w:b/>
          <w:sz w:val="24"/>
          <w:lang w:val="zh-CN"/>
        </w:rPr>
        <w:t xml:space="preserve">经磋商后，如果成交价高于或低于供应商在响应文件首次报价的，分项报价同比例调整。</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供应商应当按照《操作手册》规定，在磋商公告规定的提交响应文件截止时间前制作并上传电子响应文件。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供应商应当按照《操作手册》规定，在苏采云系统规定的时间内对响应文件进行解密。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采购代理机构和磋商小组不向未成交的供应商解释未成交原因，也不公布评审过程中的相关细节。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项目评审期间，磋商小组有权要求供应商对响应文件中含义不明确、同类问题表述不一致或者有明显文字和计算错误的内容等作出必要的澄清、说明或者补正。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接到磋商小组澄清、说明和补正要求的供应商如未按规定做出澄清、说明和补正，其风险由供应商自行承担。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16.1.1资格审查。依据法律法规和磋商文件的规定，磋商小组对响应文件中的资格证明文件进行审查，以确定供应商是否具备参加磋商的资格。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16.1.2符合性审查。依据磋商文件的规定，由磋商小组从有效性、完整性和对磋商文件的响应程度等方面对响应文件进行审查，以确定是否对磋商文件的实质性要求作出响应。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的，即最后报价&lt;全部通过符合性审查供应商最后报价平均值×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的，即最后报价&lt;通过符合性审查的次低报价供应商最后报价×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w:t>
      </w:r>
      <w:bookmarkStart w:id="10" w:name="OLE_LINK2"/>
      <w:r>
        <w:rPr>
          <w:rFonts w:hint="eastAsia" w:ascii="宋体" w:hAnsi="宋体"/>
          <w:bCs/>
          <w:sz w:val="24"/>
          <w:szCs w:val="21"/>
        </w:rPr>
        <w:t xml:space="preserve">供应商已随响应文件一并提交相关书面说明及必要的证明材料的，在评审现场可不再重复提交</w:t>
      </w:r>
      <w:bookmarkEnd w:id="10"/>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未通过资格审查或符合性审查的供应商，磋商小组将通过苏采云系统告知具体原因，评审结束后将不再接受有关询问。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w:t>
      </w:r>
      <w:r>
        <w:rPr>
          <w:rFonts w:hint="eastAsia" w:ascii="宋体" w:hAnsi="宋体"/>
          <w:sz w:val="24"/>
          <w:szCs w:val="21"/>
        </w:rPr>
        <w:t xml:space="preserve">照少数服从多数的原则作出结论。磋商小组认定响应文件的响应性只根据响应文件本身的内容，而不寻求外部的证据。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（1）供应商在苏采云系统规定的时间内未成功解密电子响应文件。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（3）同一供应商提交两个（含两个）以上不同的响应文件或者最后报价。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（4）供应商不具备磋商文件中规定资格要求。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（6）不符合磋商文件中规定的实质性要求和条件（本磋商文件中打“★”内容，为实质性要求和条件）。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（10）采购产品被财政部、国家发改委、生态环境部等列入“节能产品品目清单”强制采购范围，而供应商提供的产品不在强制采购范围内。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供应商在项目评审全过程中应保持通讯畅通，及时登录苏采云系统查阅、答复相关信息，并安排专人与代理机构及磋商小组联系。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w:t>
      </w:r>
      <w:r>
        <w:rPr>
          <w:rFonts w:hint="eastAsia" w:ascii="宋体" w:hAnsi="宋体"/>
          <w:sz w:val="24"/>
          <w:szCs w:val="21"/>
        </w:rPr>
        <w:t xml:space="preserve">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（3）在苏采云系统规定时间内成功解密电子响应文件的供应商不足3家。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w:t>
      </w:r>
      <w:r>
        <w:rPr>
          <w:rFonts w:hint="eastAsia" w:ascii="宋体" w:hAnsi="宋体"/>
          <w:sz w:val="24"/>
          <w:szCs w:val="21"/>
        </w:rPr>
        <w:t xml:space="preserve">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成交结果确定后，代理机构将向成交供应商发出《成交通知书》。成交供应商可在成交结果公告届满之日起三十日内，登录苏采云系统下载。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w:t>
      </w:r>
      <w:r>
        <w:rPr>
          <w:rFonts w:hint="eastAsia" w:ascii="宋体" w:hAnsi="宋体"/>
          <w:sz w:val="24"/>
        </w:rPr>
        <w:t xml:space="preserve">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供应商对采购活动事项有疑问的，可以向采购代理机构提出询问，采购代理机构将依法作出答复，但答复的内容不涉及商业秘密。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以联合体形式参加政府采购活动的，其质疑应当由组成联合体的所有供应商共同提出，联合体各方均须按要求加盖公章。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供应商提出质疑应当按照《政府采购质疑和投诉办法》的规定提交质疑函和必要的证明材料。质疑函应当包括下列内容：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质疑函应当使用中文。相关当事人提供外文书证或者外国语视听资料的，应当附有中文译本，由翻译机构盖章或者翻译人员签名。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质疑函应当现场提交至采购代理机构联系人处，提交时应出示有效身份证明。未按上述要求提交质疑函的，质疑不予受理。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供应商对采购代理机构的答复不满意或者采购代理机构未在规定的时间内作出答复的，可以在答复期满后十五个工作日内向同级政府采购监督管理部门投诉。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供应商投诉应当有明确的请求和必要的证明材料。供应商投诉的事项不得超出已质疑事项的范围。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w:t>
      </w:r>
      <w:r>
        <w:rPr>
          <w:rFonts w:hint="eastAsia" w:ascii="宋体" w:hAnsi="宋体"/>
          <w:bCs/>
          <w:sz w:val="24"/>
        </w:rPr>
        <w:t xml:space="preserve">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440" w:lineRule="exact"/>
        <w:rPr>
          <w:rFonts w:hint="eastAsia" w:ascii="宋体" w:hAnsi="宋体"/>
          <w:b/>
          <w:sz w:val="24"/>
        </w:rPr>
      </w:pPr>
      <w:r>
        <w:rPr>
          <w:rFonts w:hint="eastAsia" w:ascii="宋体" w:hAnsi="宋体"/>
          <w:b/>
          <w:sz w:val="24"/>
        </w:rPr>
        <w:t xml:space="preserve">一、项目概况：</w:t>
      </w:r>
      <w:r/>
    </w:p>
    <w:p>
      <w:pPr>
        <w:ind w:firstLine="480"/>
        <w:spacing w:line="440" w:lineRule="exact"/>
        <w:rPr>
          <w:rFonts w:hint="eastAsia" w:ascii="宋体" w:hAnsi="宋体"/>
          <w:sz w:val="24"/>
        </w:rPr>
      </w:pPr>
      <w:r>
        <w:rPr>
          <w:rFonts w:hint="eastAsia" w:ascii="宋体" w:hAnsi="宋体"/>
          <w:sz w:val="24"/>
        </w:rPr>
        <w:t xml:space="preserve">1、项目内容：</w:t>
      </w:r>
      <w:r>
        <w:rPr>
          <w:rFonts w:hint="eastAsia" w:ascii="宋体" w:hAnsi="宋体"/>
          <w:sz w:val="24"/>
        </w:rPr>
        <w:t xml:space="preserve">江北大道作为江北新区核心交通廊道，是展示区域形象的重要窗口，其沿线杨新路、晓山路、园西路、葛关路、平顶山路等五个主要路口，既是交通流量密集节点，也是市民日常出行的关键枢纽。为响应区域综合环境整治工程要求，落实大厂街道城市增颜提质工作部署，通过对路口草坪进行景观小品、绿化、亮化系统提升，打造兼具生态效益、文化辨识度与交通辅助功能的精品路口景观，助力区域环境品质升级，增强市民出行幸福感。</w:t>
      </w:r>
      <w:r/>
    </w:p>
    <w:p>
      <w:pPr>
        <w:ind w:firstLine="480"/>
        <w:spacing w:line="440" w:lineRule="exact"/>
        <w:rPr>
          <w:rFonts w:hint="eastAsia" w:ascii="宋体" w:hAnsi="宋体"/>
          <w:sz w:val="24"/>
        </w:rPr>
      </w:pPr>
      <w:r>
        <w:rPr>
          <w:rFonts w:hint="eastAsia" w:ascii="宋体" w:hAnsi="宋体"/>
          <w:sz w:val="24"/>
        </w:rPr>
        <w:t xml:space="preserve">2、项目范围：</w:t>
      </w:r>
      <w:r>
        <w:rPr>
          <w:rFonts w:hint="eastAsia" w:ascii="宋体" w:hAnsi="宋体"/>
          <w:sz w:val="24"/>
        </w:rPr>
        <w:t xml:space="preserve">本次景观提升范围为江北大道沿线杨新路、晓山路、园西路、葛关路、平顶山路等五个主要路口的草坪区域，涵盖草坪内景观小品布设、植物群落优化、夜间亮化系统搭建及配套设施完善，同步兼顾路口交通视线引导与景观协调性。</w:t>
      </w:r>
      <w:r/>
    </w:p>
    <w:p>
      <w:pPr>
        <w:ind w:firstLine="480"/>
        <w:spacing w:line="440" w:lineRule="exact"/>
        <w:rPr>
          <w:rFonts w:hint="eastAsia" w:ascii="宋体" w:hAnsi="宋体"/>
          <w:sz w:val="24"/>
        </w:rPr>
      </w:pPr>
      <w:r>
        <w:rPr>
          <w:rFonts w:hint="eastAsia" w:ascii="宋体" w:hAnsi="宋体"/>
          <w:sz w:val="24"/>
        </w:rPr>
        <w:t xml:space="preserve">3、采购项目预算：130万元；</w:t>
      </w:r>
      <w:r/>
    </w:p>
    <w:p>
      <w:pPr>
        <w:ind w:firstLine="480"/>
        <w:spacing w:line="440" w:lineRule="exact"/>
        <w:rPr>
          <w:rFonts w:hint="eastAsia" w:ascii="宋体" w:hAnsi="宋体"/>
          <w:sz w:val="24"/>
        </w:rPr>
      </w:pPr>
      <w:r>
        <w:rPr>
          <w:rFonts w:hint="eastAsia" w:ascii="宋体" w:hAnsi="宋体"/>
          <w:sz w:val="24"/>
        </w:rPr>
        <w:t xml:space="preserve">4、项目地点：大厂街道；</w:t>
      </w:r>
      <w:r/>
    </w:p>
    <w:p>
      <w:pPr>
        <w:ind w:firstLine="480"/>
        <w:spacing w:line="440" w:lineRule="exact"/>
        <w:rPr>
          <w:rFonts w:hint="eastAsia" w:ascii="宋体" w:hAnsi="宋体"/>
          <w:sz w:val="24"/>
        </w:rPr>
      </w:pPr>
      <w:r>
        <w:rPr>
          <w:rFonts w:hint="eastAsia" w:ascii="宋体" w:hAnsi="宋体"/>
          <w:sz w:val="24"/>
        </w:rPr>
        <w:t xml:space="preserve">5、服务期限：</w:t>
      </w:r>
      <w:r>
        <w:rPr>
          <w:rFonts w:hint="eastAsia" w:ascii="宋体" w:hAnsi="宋体"/>
          <w:sz w:val="24"/>
        </w:rPr>
        <w:t xml:space="preserve">40日历天</w:t>
      </w:r>
      <w:r/>
    </w:p>
    <w:p>
      <w:pPr>
        <w:ind w:firstLine="482"/>
        <w:spacing w:line="440" w:lineRule="exact"/>
        <w:rPr>
          <w:rFonts w:hint="eastAsia" w:ascii="宋体" w:hAnsi="宋体"/>
          <w:sz w:val="24"/>
        </w:rPr>
      </w:pPr>
      <w:r>
        <w:rPr>
          <w:rFonts w:hint="eastAsia" w:ascii="宋体" w:hAnsi="宋体"/>
          <w:b/>
          <w:bCs/>
          <w:sz w:val="24"/>
        </w:rPr>
        <w:t xml:space="preserve">★</w:t>
      </w:r>
      <w:r>
        <w:rPr>
          <w:rFonts w:hint="eastAsia" w:ascii="宋体" w:hAnsi="宋体"/>
          <w:b/>
          <w:bCs/>
          <w:sz w:val="24"/>
        </w:rPr>
        <w:t xml:space="preserve">二、服务清单</w:t>
      </w:r>
      <w:r>
        <w:rPr>
          <w:rFonts w:hint="eastAsia" w:ascii="宋体" w:hAnsi="宋体"/>
          <w:sz w:val="24"/>
        </w:rPr>
        <w:t xml:space="preserve">：</w:t>
      </w:r>
      <w:r/>
    </w:p>
    <w:tbl>
      <w:tblPr>
        <w:tblW w:w="0" w:type="auto"/>
        <w:jc w:val="center"/>
        <w:tblLayout w:type="fixed"/>
        <w:tblCellMar>
          <w:left w:w="0" w:type="dxa"/>
          <w:right w:w="0" w:type="dxa"/>
        </w:tblCellMar>
        <w:tblLook w:val="04A0" w:firstRow="1" w:lastRow="0" w:firstColumn="1" w:lastColumn="0" w:noHBand="0" w:noVBand="1"/>
      </w:tblPr>
      <w:tblGrid>
        <w:gridCol w:w="591"/>
        <w:gridCol w:w="1276"/>
        <w:gridCol w:w="1418"/>
        <w:gridCol w:w="4512"/>
        <w:gridCol w:w="709"/>
        <w:gridCol w:w="840"/>
      </w:tblGrid>
      <w:tr>
        <w:trPr>
          <w:jc w:val="center"/>
          <w:trHeight w:val="4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区域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规格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单位</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bookmarkStart w:id="11" w:name="_Hlk225340661"/>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杨新路(南）</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雕塑小品景观服务——工业新城·活力大厂</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1、雕塑材质及尺寸：4m*6m，1.2mm厚度的304不锈钢材质，仿古做旧处理，内置钢结构骨架、安装LED光源及灯具、雕塑表面汽车烤漆，整体增设绿植点缀；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2、花境苗木：金边黄杨、火焰南天竹、鼠尾草、银叶菊、红色角堇、黄色角堇、紫色角堇、果汁阳台、月季、花叶络石、四季海棠，共计苗木3800棵）；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3、安装照明设备包括8套投光灯光AC220V 12W 5000K，户外防雨电箱（含220V电表1台、空开40A1个空开16A3个)，铺设一条15米主电缆RVV3*4Øpe32管及30米RVV2*2.5Øpe20管；</w:t>
            </w:r>
            <w:r/>
          </w:p>
          <w:p>
            <w:pPr>
              <w:jc w:val="left"/>
              <w:rPr>
                <w:rFonts w:hint="eastAsia" w:ascii="宋体" w:hAnsi="宋体"/>
                <w:color w:val="000000"/>
                <w:sz w:val="22"/>
                <w:szCs w:val="22"/>
              </w:rPr>
            </w:pPr>
            <w:r>
              <w:rPr>
                <w:rFonts w:hint="eastAsia" w:ascii="宋体" w:hAnsi="宋体"/>
                <w:color w:val="000000"/>
                <w:sz w:val="22"/>
                <w:szCs w:val="22"/>
              </w:rPr>
              <w:t xml:space="preserve">4、管养期两年（时花一年换4季，共8季）；</w:t>
            </w:r>
            <w:r/>
          </w:p>
          <w:p>
            <w:pPr>
              <w:jc w:val="left"/>
              <w:rPr>
                <w:rFonts w:hint="eastAsia" w:ascii="宋体" w:hAnsi="宋体"/>
                <w:color w:val="000000"/>
                <w:sz w:val="22"/>
                <w:szCs w:val="22"/>
              </w:rPr>
            </w:pPr>
            <w:r>
              <w:rPr>
                <w:rFonts w:hint="eastAsia" w:ascii="宋体" w:hAnsi="宋体"/>
                <w:color w:val="000000"/>
                <w:sz w:val="22"/>
                <w:szCs w:val="22"/>
              </w:rPr>
              <w:t xml:space="preserve">5、安装隔离栏杆（栏杆高：400mm，30米）。加上投光灯光结合融为一体；通过现代感的材质和线条，传递出面向未来的科技感与活力，寓意大厂从传统工业区向创新型新城转型的定位。</w:t>
            </w:r>
            <w:r/>
          </w:p>
          <w:p>
            <w:pPr>
              <w:jc w:val="left"/>
              <w:rPr>
                <w:rFonts w:hint="eastAsia" w:ascii="宋体" w:hAnsi="宋体" w:cs="宋体"/>
                <w:color w:val="000000"/>
              </w:rPr>
            </w:pPr>
            <w:r>
              <w:rPr>
                <w:rFonts w:hint="eastAsia" w:ascii="宋体" w:hAnsi="宋体"/>
                <w:color w:val="000000"/>
                <w:sz w:val="22"/>
                <w:szCs w:val="22"/>
              </w:rPr>
              <w:t xml:space="preserve">底部的自然花境与置石设计，将硬质的工业标识与周边的绿化空间柔和衔接，弱化了建筑与自然的边界，呼应“和谐共生”的生态理念。</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杨新路(北）</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雕塑小品景观服务——街角焕新</w:t>
            </w:r>
            <w:r>
              <w:rPr>
                <w:rFonts w:hint="eastAsia" w:ascii="微软雅黑" w:hAnsi="微软雅黑" w:eastAsia="微软雅黑" w:cs="微软雅黑"/>
                <w:color w:val="000000"/>
                <w:sz w:val="22"/>
                <w:szCs w:val="22"/>
              </w:rPr>
              <w:t xml:space="preserve">・</w:t>
            </w:r>
            <w:r>
              <w:rPr>
                <w:rFonts w:hint="eastAsia" w:ascii="宋体" w:hAnsi="宋体" w:cs="等线"/>
                <w:color w:val="000000"/>
                <w:sz w:val="22"/>
                <w:szCs w:val="22"/>
              </w:rPr>
              <w:t xml:space="preserve">生态织</w:t>
            </w:r>
            <w:r>
              <w:rPr>
                <w:rFonts w:hint="eastAsia" w:ascii="宋体" w:hAnsi="宋体"/>
                <w:color w:val="000000"/>
                <w:sz w:val="22"/>
                <w:szCs w:val="22"/>
              </w:rPr>
              <w:t xml:space="preserve">补</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1、辅助安装少量LED光源和灯具，用30mm300*600芝麻白火烧面石材、 30mm厚芝麻白立牙石等材质铺装90米休闲道路、安装休闲座椅、小品装置，整体增设绿植点缀总面积约120平方米； </w:t>
            </w:r>
            <w:r/>
          </w:p>
          <w:p>
            <w:pPr>
              <w:jc w:val="left"/>
              <w:rPr>
                <w:rFonts w:hint="eastAsia" w:ascii="宋体" w:hAnsi="宋体"/>
                <w:color w:val="000000"/>
                <w:sz w:val="22"/>
                <w:szCs w:val="22"/>
              </w:rPr>
            </w:pPr>
            <w:r>
              <w:rPr>
                <w:rFonts w:hint="eastAsia" w:ascii="宋体" w:hAnsi="宋体"/>
                <w:color w:val="000000"/>
                <w:sz w:val="22"/>
                <w:szCs w:val="22"/>
              </w:rPr>
              <w:t xml:space="preserve">2、花境苗木：亮晶女贞球、剑麻、四季海棠、南天竹、亮晶女贞塔、果汁阳台、迷迭香、花叶络石、鼠尾草、银叶菊、百子莲、欧石竹、红色角堇、黄色角堇紫色角堇、金丝苔草，共计苗木5400棵；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3、安装照明设备包括，草坪灯10套AC220V 10W H=400 ，30米LED灯带:DC24V 10W ，1台户外防雨电箱含220V电表、空开40A1个空开16A3个；8套投光灯光AC220V 12W 5000K，铺设一条30米主电缆RVV3*4Øpe32管及130米RVV2*2.5Øpe20管。安装1.8m高方管钢架铁皮围挡40米。把街角闲置绿地草坪，打造成开放式休憩场所，采用暖色调LED灯带勾勒步道轮廓，设置休闲区，作为市民小型活动场所。</w:t>
            </w:r>
            <w:r/>
          </w:p>
          <w:p>
            <w:pPr>
              <w:jc w:val="left"/>
              <w:rPr>
                <w:rFonts w:hint="eastAsia" w:ascii="宋体" w:hAnsi="宋体" w:cs="宋体"/>
                <w:color w:val="000000"/>
              </w:rPr>
            </w:pPr>
            <w:r>
              <w:rPr>
                <w:rFonts w:hint="eastAsia" w:ascii="宋体" w:hAnsi="宋体"/>
                <w:color w:val="000000"/>
                <w:sz w:val="22"/>
                <w:szCs w:val="22"/>
              </w:rPr>
              <w:t xml:space="preserve">4、管养期两年（时花一年换4季，共8季）</w:t>
            </w:r>
            <w:r>
              <w:rPr>
                <w:rFonts w:hint="eastAsia" w:ascii="宋体" w:hAnsi="宋体"/>
                <w:color w:val="000000"/>
                <w:sz w:val="22"/>
                <w:szCs w:val="22"/>
              </w:rPr>
              <w:t xml:space="preserve">。</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葛关路北</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雕塑小品景观服务——生态共融·绿韵大厂1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1、雕塑尺寸及材质：2套1m*1.6m*异形造型，1.2mm厚度的304不锈钢材质，仿古做旧处理，内置钢结构骨架，安装照明设备，在雕塑安装后整体增设绿植点缀；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2、花境苗木：果汁阳台、夏娟、红色角堇、黄色角堇、紫色角堇，共计苗木4300棵；</w:t>
            </w:r>
            <w:r/>
          </w:p>
          <w:p>
            <w:pPr>
              <w:jc w:val="left"/>
              <w:rPr>
                <w:rFonts w:hint="eastAsia" w:ascii="宋体" w:hAnsi="宋体"/>
                <w:color w:val="000000"/>
                <w:sz w:val="22"/>
                <w:szCs w:val="22"/>
              </w:rPr>
            </w:pPr>
            <w:r>
              <w:rPr>
                <w:rFonts w:hint="eastAsia" w:ascii="宋体" w:hAnsi="宋体"/>
                <w:color w:val="000000"/>
                <w:sz w:val="22"/>
                <w:szCs w:val="22"/>
              </w:rPr>
              <w:t xml:space="preserve">3、结合周边做步道造景，面积约为150平方米。（主要通过 30mm300*600芝麻白火烧面石材和30mm厚芝麻白立牙石等铺装）。</w:t>
            </w:r>
            <w:r/>
          </w:p>
          <w:p>
            <w:pPr>
              <w:jc w:val="left"/>
              <w:rPr>
                <w:rFonts w:hint="eastAsia" w:ascii="宋体" w:hAnsi="宋体"/>
                <w:color w:val="000000"/>
                <w:sz w:val="22"/>
                <w:szCs w:val="22"/>
              </w:rPr>
            </w:pPr>
            <w:r>
              <w:rPr>
                <w:rFonts w:hint="eastAsia" w:ascii="宋体" w:hAnsi="宋体"/>
                <w:color w:val="000000"/>
                <w:sz w:val="22"/>
                <w:szCs w:val="22"/>
              </w:rPr>
              <w:t xml:space="preserve">4、安装照明设备包括：投光灯光12套AC220V 12W 5000K，照树灯21套AC220V 26W 5000K ，户外防雨电箱1台含220V电表，空开3个40A1个空开16A，投光灯光8套AC220V 12W 5000K；2台开关电源AC220V/DC24V 150W IP67  ，一条30米主电缆RVV3*4Øpe32及80米RVV2*2.5Øpe20管。安装1.8m高方管钢架铁皮围挡40米。</w:t>
            </w:r>
            <w:r/>
          </w:p>
          <w:p>
            <w:pPr>
              <w:jc w:val="left"/>
              <w:rPr>
                <w:rFonts w:hint="eastAsia" w:ascii="宋体" w:hAnsi="宋体"/>
                <w:color w:val="000000"/>
                <w:sz w:val="22"/>
                <w:szCs w:val="22"/>
              </w:rPr>
            </w:pPr>
            <w:r>
              <w:rPr>
                <w:rFonts w:hint="eastAsia" w:ascii="宋体" w:hAnsi="宋体"/>
                <w:color w:val="000000"/>
                <w:sz w:val="22"/>
                <w:szCs w:val="22"/>
              </w:rPr>
              <w:t xml:space="preserve">5、管养期两年（时花一年换4季，共8季）；</w:t>
            </w:r>
            <w:r/>
          </w:p>
          <w:p>
            <w:pPr>
              <w:jc w:val="left"/>
              <w:rPr>
                <w:rFonts w:hint="eastAsia" w:ascii="宋体" w:hAnsi="宋体" w:cs="宋体"/>
                <w:color w:val="000000"/>
              </w:rPr>
            </w:pPr>
            <w:r>
              <w:rPr>
                <w:rFonts w:hint="eastAsia" w:ascii="宋体" w:hAnsi="宋体"/>
                <w:color w:val="000000"/>
                <w:sz w:val="22"/>
                <w:szCs w:val="22"/>
              </w:rPr>
              <w:t xml:space="preserve">6、通过小品串联起整个绿地，既为周边居民提供了休闲散步、停留的空间，让忙碌的都市人群可以“见缝插针”地享受自然，用有限的空间实现生态、功能与美学的统一，把原本闲置的街角变成了服务市民的“城市会客厅”。</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葛关路南</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雕塑小品景观服务——生态共融·绿韵大</w:t>
            </w:r>
            <w:r>
              <w:rPr>
                <w:rFonts w:hint="eastAsia" w:ascii="宋体" w:hAnsi="宋体"/>
                <w:color w:val="000000"/>
                <w:sz w:val="22"/>
                <w:szCs w:val="22"/>
              </w:rPr>
              <w:t xml:space="preserve">厂2</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1、雕塑尺寸及材质：5m*2m，1.2mm厚度304不锈钢材质，仿古做旧处理，内置钢结构骨架，铺设管线和灯具、整体增设绿植点缀；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亮晶女贞球、剑麻、四季海棠、南天竹、一叶兰、亮晶女贞、棒棒糖、小叶女贞球、亮晶女贞塔、迷迭香、果汁阳台、西哥羽毛、红色角堇、黄色角堇、紫色角堇、孔雀草、翠芦莉、鼠尾草、蛇鞭菊、鸢尾金丝苔草、花叶络石，共计苗木4600棵；</w:t>
            </w:r>
            <w:r/>
          </w:p>
          <w:p>
            <w:pPr>
              <w:jc w:val="left"/>
              <w:rPr>
                <w:rFonts w:hint="eastAsia" w:ascii="宋体" w:hAnsi="宋体"/>
                <w:color w:val="000000"/>
                <w:sz w:val="22"/>
                <w:szCs w:val="22"/>
              </w:rPr>
            </w:pPr>
            <w:r>
              <w:rPr>
                <w:rFonts w:hint="eastAsia" w:ascii="宋体" w:hAnsi="宋体"/>
                <w:color w:val="000000"/>
                <w:sz w:val="22"/>
                <w:szCs w:val="22"/>
              </w:rPr>
              <w:t xml:space="preserve">3、结合周边步道造景，园路面积约为180平方米用100mm碎石、20mm芝麻白光板侧板、30mm芝麻白圆形倒角压顶板、30mm芝麻灰踏步板等铺装，做直径240mm圆形花池。</w:t>
            </w:r>
            <w:r/>
          </w:p>
          <w:p>
            <w:pPr>
              <w:jc w:val="left"/>
              <w:rPr>
                <w:rFonts w:hint="eastAsia" w:ascii="宋体" w:hAnsi="宋体"/>
                <w:color w:val="000000"/>
                <w:sz w:val="22"/>
                <w:szCs w:val="22"/>
              </w:rPr>
            </w:pPr>
            <w:r>
              <w:rPr>
                <w:rFonts w:hint="eastAsia" w:ascii="宋体" w:hAnsi="宋体"/>
                <w:color w:val="000000"/>
                <w:sz w:val="22"/>
                <w:szCs w:val="22"/>
              </w:rPr>
              <w:t xml:space="preserve">5、按照照明设备，10套草坪灯AC220V 10W H=400 ；15套星星灯AC220V 10W H=300 ，30米LED灯带:DC24V 10W ，1台户外防雨电箱含220V电表、3个空开40A1个空开16A；8套投光灯光AC220V 12W 5000K，2台开关电源AC220V/DC24V 150W IP67，铺设一条30米主电缆RVV3*4Øpe32管及128米RVV2*2.5Øpe20管，安装1.8m高方管钢架铁皮围挡55米。</w:t>
            </w:r>
            <w:r/>
          </w:p>
          <w:p>
            <w:pPr>
              <w:jc w:val="left"/>
              <w:rPr>
                <w:rFonts w:hint="eastAsia" w:ascii="宋体" w:hAnsi="宋体"/>
                <w:color w:val="000000"/>
                <w:sz w:val="22"/>
                <w:szCs w:val="22"/>
              </w:rPr>
            </w:pPr>
            <w:r>
              <w:rPr>
                <w:rFonts w:hint="eastAsia" w:ascii="宋体" w:hAnsi="宋体"/>
                <w:color w:val="000000"/>
                <w:sz w:val="22"/>
                <w:szCs w:val="22"/>
              </w:rPr>
              <w:t xml:space="preserve">4、苗木管养期两年（时花一年换4季，共8季）；</w:t>
            </w:r>
            <w:r/>
          </w:p>
          <w:p>
            <w:pPr>
              <w:jc w:val="left"/>
              <w:rPr>
                <w:rFonts w:hint="eastAsia" w:ascii="宋体" w:hAnsi="宋体" w:cs="宋体"/>
                <w:color w:val="000000"/>
              </w:rPr>
            </w:pPr>
            <w:r>
              <w:rPr>
                <w:rFonts w:hint="eastAsia" w:ascii="宋体" w:hAnsi="宋体"/>
                <w:color w:val="000000"/>
                <w:sz w:val="22"/>
                <w:szCs w:val="22"/>
              </w:rPr>
              <w:t xml:space="preserve">5、通过设计以视觉焦点，增设了花网红打卡等互动装置，结合层次丰富的花境，把原本的消极空间变成了一个可停留、可互动、可拍照的活力场域。</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平顶山路</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雕塑小品景观服务——幸福大厂，焕新前行</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1、雕塑尺寸材质：4*6m，1.2mm厚度304不锈钢材质，雕塑表面汽车烤漆、穿孔打眼，内置钢结构骨架、安装LED光源和灯具，铺设管线、整体增设绿植点缀场地总面积约为48平方米；</w:t>
            </w:r>
            <w:r/>
          </w:p>
          <w:p>
            <w:pPr>
              <w:jc w:val="left"/>
              <w:rPr>
                <w:rFonts w:hint="eastAsia" w:ascii="宋体" w:hAnsi="宋体"/>
                <w:color w:val="000000"/>
                <w:sz w:val="22"/>
                <w:szCs w:val="22"/>
              </w:rPr>
            </w:pPr>
            <w:r>
              <w:rPr>
                <w:rFonts w:hint="eastAsia" w:ascii="宋体" w:hAnsi="宋体"/>
                <w:color w:val="000000"/>
                <w:sz w:val="22"/>
                <w:szCs w:val="22"/>
              </w:rPr>
              <w:t xml:space="preserve">2、花境苗木：果汁阳台、姬小菊、银莲花，苗木共计1100棵；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3、安装照明设备，8套投光灯光AC220V 12W 5000K，60米LED灯带DC24V 10W，2台开关电源AC220V/DC24V 150W IP67，铺设一条15米主电缆RVV3*4Øpe32管及40米RVV2*2.5Øpe20管，安装1.8m高方管钢架铁皮围,20米。</w:t>
            </w:r>
            <w:r/>
          </w:p>
          <w:p>
            <w:pPr>
              <w:jc w:val="left"/>
              <w:rPr>
                <w:rFonts w:hint="eastAsia" w:ascii="宋体" w:hAnsi="宋体"/>
                <w:color w:val="000000"/>
                <w:sz w:val="22"/>
                <w:szCs w:val="22"/>
              </w:rPr>
            </w:pPr>
            <w:r>
              <w:rPr>
                <w:rFonts w:hint="eastAsia" w:ascii="宋体" w:hAnsi="宋体"/>
                <w:color w:val="000000"/>
                <w:sz w:val="22"/>
                <w:szCs w:val="22"/>
              </w:rPr>
              <w:t xml:space="preserve">4、苗木管养期两年（时花一年换4季，共8季）；</w:t>
            </w:r>
            <w:r/>
          </w:p>
          <w:p>
            <w:pPr>
              <w:jc w:val="left"/>
              <w:rPr>
                <w:rFonts w:hint="eastAsia" w:ascii="宋体" w:hAnsi="宋体" w:cs="宋体"/>
                <w:color w:val="000000"/>
              </w:rPr>
            </w:pPr>
            <w:r>
              <w:rPr>
                <w:rFonts w:hint="eastAsia" w:ascii="宋体" w:hAnsi="宋体"/>
                <w:color w:val="000000"/>
                <w:sz w:val="22"/>
                <w:szCs w:val="22"/>
              </w:rPr>
              <w:t xml:space="preserve">5、投光灯光结合融为一体；依托周边平顶山公园承载的市民记忆，以白色圆形月洞门为核心视觉载体，内嵌平顶山的古亭、小桥流水剪影，将大厂的城市格局提炼为极具国风韵味的视觉符号。呼应平顶山公园古建风格与休闲属性，传递“山水城林共生、宜居宜业宜游”的城市愿景。</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r/>
          </w:p>
        </w:tc>
      </w:tr>
      <w:tr>
        <w:trPr>
          <w:jc w:val="center"/>
          <w:trHeight w:val="44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91" w:type="dxa"/>
            <w:vAlign w:val="center"/>
            <w:textDirection w:val="lrTb"/>
            <w:noWrap w:val="false"/>
          </w:tcPr>
          <w:p>
            <w:pPr>
              <w:jc w:val="center"/>
              <w:rPr>
                <w:rFonts w:hint="eastAsia" w:ascii="宋体" w:hAnsi="宋体" w:cs="宋体"/>
                <w:color w:val="000000"/>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276"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晓山路</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418"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雕塑小品景观服务——国风新韵</w:t>
            </w:r>
            <w:r>
              <w:rPr>
                <w:rFonts w:hint="eastAsia" w:ascii="微软雅黑" w:hAnsi="微软雅黑" w:eastAsia="微软雅黑" w:cs="微软雅黑"/>
                <w:color w:val="000000"/>
                <w:sz w:val="22"/>
                <w:szCs w:val="22"/>
              </w:rPr>
              <w:t xml:space="preserve">・</w:t>
            </w:r>
            <w:r>
              <w:rPr>
                <w:rFonts w:hint="eastAsia" w:ascii="宋体" w:hAnsi="宋体" w:cs="等线"/>
                <w:color w:val="000000"/>
                <w:sz w:val="22"/>
                <w:szCs w:val="22"/>
              </w:rPr>
              <w:t xml:space="preserve">形象大</w:t>
            </w:r>
            <w:r>
              <w:rPr>
                <w:rFonts w:hint="eastAsia" w:ascii="宋体" w:hAnsi="宋体"/>
                <w:color w:val="000000"/>
                <w:sz w:val="22"/>
                <w:szCs w:val="22"/>
              </w:rPr>
              <w:t xml:space="preserve">厂</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512"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rPr>
              <w:t xml:space="preserve">雕塑尺寸及材质：2套3*3米，1.2mm厚度304不锈钢材质，正面嵌亚克力印制立体剪影造型，雕塑表面汽车烤漆。安装LED光源和灯具，铺设管线，配合墙绘装饰整体融合。</w:t>
            </w:r>
            <w:r/>
          </w:p>
          <w:p>
            <w:pPr>
              <w:jc w:val="left"/>
              <w:rPr>
                <w:rFonts w:hint="eastAsia" w:ascii="宋体" w:hAnsi="宋体"/>
                <w:color w:val="000000"/>
                <w:sz w:val="22"/>
                <w:szCs w:val="22"/>
              </w:rPr>
            </w:pPr>
            <w:r>
              <w:rPr>
                <w:rFonts w:hint="eastAsia" w:ascii="宋体" w:hAnsi="宋体"/>
                <w:color w:val="000000"/>
                <w:sz w:val="22"/>
                <w:szCs w:val="22"/>
              </w:rPr>
              <w:t xml:space="preserve">2、安装照明设备包括LED灯带140米DC24V 10W，8套LED洗墙灯 DC24V 18W，2台开关电源AC220V/DC24V 150W IP67，铺设一条20米主电缆RVV3*4Øpe32管及80米RVV2*2.5Øpe20管，安装1.8m高方管钢架铁皮围挡17米。</w:t>
            </w:r>
            <w:r/>
          </w:p>
          <w:p>
            <w:pPr>
              <w:jc w:val="left"/>
              <w:rPr>
                <w:rFonts w:hint="eastAsia" w:ascii="宋体" w:hAnsi="宋体"/>
                <w:color w:val="000000"/>
                <w:sz w:val="22"/>
                <w:szCs w:val="22"/>
              </w:rPr>
            </w:pPr>
            <w:r>
              <w:rPr>
                <w:rFonts w:hint="eastAsia" w:ascii="宋体" w:hAnsi="宋体"/>
                <w:color w:val="000000"/>
                <w:sz w:val="22"/>
                <w:szCs w:val="22"/>
              </w:rPr>
              <w:t xml:space="preserve">3</w:t>
            </w:r>
            <w:r>
              <w:rPr>
                <w:rFonts w:hint="eastAsia" w:ascii="宋体" w:hAnsi="宋体"/>
                <w:color w:val="000000"/>
                <w:sz w:val="22"/>
                <w:szCs w:val="22"/>
              </w:rPr>
              <w:t xml:space="preserve">、苗木管养期两年（时花一年换4季，共8季）；</w:t>
            </w:r>
            <w:r/>
          </w:p>
          <w:p>
            <w:pPr>
              <w:jc w:val="left"/>
              <w:rPr>
                <w:rFonts w:hint="eastAsia" w:ascii="宋体" w:hAnsi="宋体" w:cs="宋体"/>
                <w:bCs/>
                <w:color w:val="000000"/>
              </w:rPr>
            </w:pPr>
            <w:r>
              <w:rPr>
                <w:rFonts w:hint="eastAsia" w:ascii="宋体" w:hAnsi="宋体"/>
                <w:color w:val="000000"/>
                <w:sz w:val="22"/>
                <w:szCs w:val="22"/>
              </w:rPr>
              <w:t xml:space="preserve">4</w:t>
            </w:r>
            <w:r>
              <w:rPr>
                <w:rFonts w:hint="eastAsia" w:ascii="宋体" w:hAnsi="宋体"/>
                <w:color w:val="000000"/>
                <w:sz w:val="22"/>
                <w:szCs w:val="22"/>
              </w:rPr>
              <w:t xml:space="preserve">、制作尺寸为</w:t>
            </w:r>
            <w:r>
              <w:rPr>
                <w:rFonts w:ascii="宋体" w:hAnsi="宋体"/>
                <w:color w:val="000000"/>
                <w:sz w:val="22"/>
                <w:szCs w:val="22"/>
              </w:rPr>
              <w:t xml:space="preserve">10*15</w:t>
            </w:r>
            <w:r>
              <w:rPr>
                <w:rFonts w:hint="eastAsia" w:ascii="宋体" w:hAnsi="宋体"/>
                <w:color w:val="000000"/>
                <w:sz w:val="22"/>
                <w:szCs w:val="22"/>
              </w:rPr>
              <w:t xml:space="preserve">米的墙绘。以“国风新韵</w:t>
            </w:r>
            <w:r>
              <w:rPr>
                <w:rFonts w:hint="eastAsia" w:ascii="微软雅黑" w:hAnsi="微软雅黑" w:eastAsia="微软雅黑" w:cs="微软雅黑"/>
                <w:color w:val="000000"/>
                <w:sz w:val="22"/>
                <w:szCs w:val="22"/>
              </w:rPr>
              <w:t xml:space="preserve">・</w:t>
            </w:r>
            <w:r>
              <w:rPr>
                <w:rFonts w:hint="eastAsia" w:ascii="宋体" w:hAnsi="宋体" w:cs="宋体"/>
                <w:color w:val="000000"/>
                <w:sz w:val="22"/>
                <w:szCs w:val="22"/>
              </w:rPr>
              <w:t xml:space="preserve">形象大厂”为核心设计理念，打造为展示大厂城市气质与文化自信的视觉门户。整体方案以国风墙绘为基底，以立体发光字为视觉焦点，辅以大厂特色地标剪影，形成“传统美学与现代工业文明交融”的城市形象界面。</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jc w:val="center"/>
              <w:rPr>
                <w:rFonts w:hint="eastAsia" w:ascii="宋体" w:hAnsi="宋体" w:cs="宋体"/>
                <w:bCs/>
                <w:color w:val="000000"/>
              </w:rPr>
            </w:pPr>
            <w:r>
              <w:rPr>
                <w:rFonts w:hint="eastAsia" w:ascii="宋体" w:hAnsi="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40" w:type="dxa"/>
            <w:vAlign w:val="center"/>
            <w:textDirection w:val="lrTb"/>
            <w:noWrap w:val="false"/>
          </w:tcPr>
          <w:p>
            <w:pPr>
              <w:jc w:val="center"/>
              <w:rPr>
                <w:rFonts w:hint="eastAsia" w:ascii="宋体" w:hAnsi="宋体" w:cs="宋体"/>
                <w:color w:val="000000"/>
              </w:rPr>
            </w:pPr>
            <w:r>
              <w:rPr>
                <w:rFonts w:hint="eastAsia" w:ascii="宋体" w:hAnsi="宋体"/>
                <w:color w:val="000000"/>
                <w:sz w:val="22"/>
                <w:szCs w:val="22"/>
              </w:rPr>
              <w:t xml:space="preserve">组</w:t>
            </w:r>
            <w:bookmarkEnd w:id="11"/>
            <w:r/>
          </w:p>
        </w:tc>
      </w:tr>
    </w:tbl>
    <w:p>
      <w:pPr>
        <w:ind w:firstLine="482"/>
        <w:jc w:val="left"/>
        <w:spacing w:line="480" w:lineRule="exact"/>
        <w:rPr>
          <w:rFonts w:hint="eastAsia" w:ascii="宋体" w:hAnsi="宋体"/>
          <w:b/>
          <w:sz w:val="24"/>
        </w:rPr>
      </w:pPr>
      <w:r>
        <w:rPr>
          <w:rFonts w:hint="eastAsia" w:ascii="宋体" w:hAnsi="宋体"/>
          <w:b/>
          <w:sz w:val="24"/>
        </w:rPr>
        <w:t xml:space="preserve">三、</w:t>
      </w:r>
      <w:r>
        <w:rPr>
          <w:rFonts w:hint="eastAsia" w:ascii="宋体" w:hAnsi="宋体"/>
          <w:b/>
          <w:sz w:val="24"/>
        </w:rPr>
        <w:t xml:space="preserve">其他说明：</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供应商</w:t>
      </w:r>
      <w:r>
        <w:rPr>
          <w:rFonts w:hint="eastAsia" w:ascii="宋体" w:hAnsi="宋体" w:cs="宋体"/>
          <w:color w:val="000000"/>
          <w:sz w:val="24"/>
        </w:rPr>
        <w:t xml:space="preserve">的投标报价，应是完成本项目合同条款上的全部费用，包括项目的成本、利润、间接费、税金、措施费、风险费、大树保险等所有费用，以及</w:t>
      </w:r>
      <w:r>
        <w:rPr>
          <w:rFonts w:hint="eastAsia" w:ascii="宋体" w:hAnsi="宋体" w:cs="宋体"/>
          <w:color w:val="000000"/>
          <w:sz w:val="24"/>
        </w:rPr>
        <w:t xml:space="preserve">供应商</w:t>
      </w:r>
      <w:r>
        <w:rPr>
          <w:rFonts w:hint="eastAsia" w:ascii="宋体" w:hAnsi="宋体" w:cs="宋体"/>
          <w:color w:val="000000"/>
          <w:sz w:val="24"/>
        </w:rPr>
        <w:t xml:space="preserve">认为需要的其他费用等。</w:t>
      </w:r>
      <w:r/>
    </w:p>
    <w:p>
      <w:pPr>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供应商</w:t>
      </w:r>
      <w:r>
        <w:rPr>
          <w:rFonts w:hint="eastAsia" w:ascii="宋体" w:hAnsi="宋体" w:cs="宋体"/>
          <w:color w:val="000000"/>
          <w:sz w:val="24"/>
        </w:rPr>
        <w:t xml:space="preserve">的任何错漏、优惠、竞争性报价不得作为减轻责任、减少服务、增加收费、降低质量的理由。</w:t>
      </w:r>
      <w:r/>
    </w:p>
    <w:p>
      <w:pPr>
        <w:ind w:firstLine="480"/>
        <w:jc w:val="left"/>
        <w:spacing w:line="480" w:lineRule="exact"/>
        <w:rPr>
          <w:rFonts w:hint="eastAsia" w:ascii="宋体" w:hAnsi="宋体"/>
          <w:b/>
          <w:sz w:val="24"/>
        </w:rPr>
      </w:pPr>
      <w:r>
        <w:rPr>
          <w:rFonts w:hint="eastAsia" w:ascii="宋体" w:hAnsi="宋体" w:cs="宋体"/>
          <w:color w:val="000000"/>
          <w:sz w:val="24"/>
        </w:rPr>
        <w:t xml:space="preserve">3、</w:t>
      </w:r>
      <w:r>
        <w:rPr>
          <w:rFonts w:hint="eastAsia" w:ascii="宋体" w:hAnsi="宋体" w:cs="宋体"/>
          <w:color w:val="000000"/>
          <w:sz w:val="24"/>
        </w:rPr>
        <w:t xml:space="preserve">苗木管养维护时间为2年，其他景观设施维修养护时间为2年。</w:t>
      </w:r>
      <w:r/>
    </w:p>
    <w:p>
      <w:pPr>
        <w:ind w:firstLine="482"/>
        <w:jc w:val="left"/>
        <w:spacing w:line="480" w:lineRule="exact"/>
        <w:rPr>
          <w:rFonts w:hint="eastAsia" w:ascii="宋体" w:hAnsi="宋体"/>
          <w:sz w:val="24"/>
        </w:rPr>
      </w:pPr>
      <w:r>
        <w:rPr>
          <w:rFonts w:hint="eastAsia" w:ascii="宋体" w:hAnsi="宋体"/>
          <w:b/>
          <w:sz w:val="24"/>
        </w:rPr>
        <w:t xml:space="preserve">四、</w:t>
      </w:r>
      <w:r>
        <w:rPr>
          <w:rFonts w:hint="eastAsia" w:ascii="宋体" w:hAnsi="宋体"/>
          <w:b/>
          <w:sz w:val="24"/>
        </w:rPr>
        <w:t xml:space="preserve">付款方式</w:t>
      </w:r>
      <w:r>
        <w:rPr>
          <w:rFonts w:hint="eastAsia" w:ascii="宋体" w:hAnsi="宋体"/>
          <w:sz w:val="24"/>
        </w:rPr>
        <w:t xml:space="preserve">：</w:t>
      </w:r>
      <w:r/>
    </w:p>
    <w:p>
      <w:pPr>
        <w:ind w:firstLine="480"/>
        <w:jc w:val="left"/>
        <w:spacing w:line="480" w:lineRule="exact"/>
        <w:rPr>
          <w:rFonts w:hint="eastAsia" w:ascii="宋体" w:hAnsi="宋体" w:cs="宋体"/>
          <w:bCs/>
          <w:sz w:val="24"/>
          <w:szCs w:val="36"/>
        </w:rPr>
      </w:pPr>
      <w:r/>
      <w:bookmarkStart w:id="12" w:name="_Hlk205284321"/>
      <w:r>
        <w:rPr>
          <w:rFonts w:hint="eastAsia" w:ascii="宋体" w:hAnsi="宋体" w:cs="宋体"/>
          <w:bCs/>
          <w:sz w:val="24"/>
          <w:szCs w:val="36"/>
        </w:rPr>
        <w:t xml:space="preserve">1、本合同项下所有款项均以人民币支付，并在付款前开具符合甲方要求的发票，否则甲方有权拒绝付款不构成违约。</w:t>
      </w:r>
      <w:r/>
    </w:p>
    <w:p>
      <w:pPr>
        <w:ind w:firstLine="480"/>
        <w:jc w:val="left"/>
        <w:spacing w:line="480" w:lineRule="exact"/>
        <w:rPr>
          <w:rFonts w:hint="eastAsia" w:ascii="宋体" w:hAnsi="宋体" w:cs="宋体"/>
          <w:bCs/>
          <w:sz w:val="24"/>
          <w:szCs w:val="36"/>
        </w:rPr>
      </w:pPr>
      <w:r>
        <w:rPr>
          <w:rFonts w:hint="eastAsia" w:ascii="宋体" w:hAnsi="宋体" w:cs="宋体"/>
          <w:bCs/>
          <w:sz w:val="24"/>
          <w:szCs w:val="36"/>
        </w:rPr>
        <w:t xml:space="preserve">2、付款条件：</w:t>
      </w:r>
      <w:bookmarkStart w:id="13" w:name="OLE_LINK1"/>
      <w:r>
        <w:rPr>
          <w:rFonts w:hint="eastAsia" w:ascii="宋体" w:hAnsi="宋体" w:cs="宋体"/>
          <w:bCs/>
          <w:sz w:val="24"/>
          <w:szCs w:val="36"/>
        </w:rPr>
        <w:t xml:space="preserve">项目</w:t>
      </w:r>
      <w:r>
        <w:rPr>
          <w:rFonts w:hint="eastAsia" w:ascii="宋体" w:hAnsi="宋体" w:cs="宋体"/>
          <w:bCs/>
          <w:sz w:val="24"/>
          <w:szCs w:val="36"/>
        </w:rPr>
        <w:t xml:space="preserve">验收合格后付</w:t>
      </w:r>
      <w:r>
        <w:rPr>
          <w:rFonts w:hint="eastAsia" w:ascii="宋体" w:hAnsi="宋体" w:cs="宋体"/>
          <w:bCs/>
          <w:sz w:val="24"/>
          <w:szCs w:val="36"/>
        </w:rPr>
        <w:t xml:space="preserve">合同价款的</w:t>
      </w:r>
      <w:r>
        <w:rPr>
          <w:rFonts w:hint="eastAsia" w:ascii="宋体" w:hAnsi="宋体" w:cs="宋体"/>
          <w:bCs/>
          <w:sz w:val="24"/>
          <w:szCs w:val="36"/>
        </w:rPr>
        <w:t xml:space="preserve">80%，</w:t>
      </w:r>
      <w:r>
        <w:rPr>
          <w:rFonts w:hint="eastAsia" w:ascii="宋体" w:hAnsi="宋体" w:cs="宋体"/>
          <w:bCs/>
          <w:sz w:val="24"/>
          <w:szCs w:val="36"/>
        </w:rPr>
        <w:t xml:space="preserve">剩余</w:t>
      </w:r>
      <w:r>
        <w:rPr>
          <w:rFonts w:hint="eastAsia" w:ascii="宋体" w:hAnsi="宋体" w:cs="宋体"/>
          <w:bCs/>
          <w:sz w:val="24"/>
          <w:szCs w:val="36"/>
        </w:rPr>
        <w:t xml:space="preserve">20%</w:t>
      </w:r>
      <w:r>
        <w:rPr>
          <w:rFonts w:hint="eastAsia" w:ascii="宋体" w:hAnsi="宋体" w:cs="宋体"/>
          <w:bCs/>
          <w:sz w:val="24"/>
          <w:szCs w:val="36"/>
        </w:rPr>
        <w:t xml:space="preserve">合同价款</w:t>
      </w:r>
      <w:r>
        <w:rPr>
          <w:rFonts w:hint="eastAsia" w:ascii="宋体" w:hAnsi="宋体" w:cs="宋体"/>
          <w:bCs/>
          <w:sz w:val="24"/>
          <w:szCs w:val="36"/>
        </w:rPr>
        <w:t xml:space="preserve">待维修管养时间结束</w:t>
      </w:r>
      <w:r>
        <w:rPr>
          <w:rFonts w:hint="eastAsia" w:ascii="宋体" w:hAnsi="宋体" w:cs="宋体"/>
          <w:bCs/>
          <w:sz w:val="24"/>
          <w:szCs w:val="36"/>
        </w:rPr>
        <w:t xml:space="preserve">后</w:t>
      </w:r>
      <w:r>
        <w:rPr>
          <w:rFonts w:hint="eastAsia" w:ascii="宋体" w:hAnsi="宋体" w:cs="宋体"/>
          <w:bCs/>
          <w:sz w:val="24"/>
          <w:szCs w:val="36"/>
        </w:rPr>
        <w:t xml:space="preserve">支付</w:t>
      </w:r>
      <w:r>
        <w:rPr>
          <w:rFonts w:hint="eastAsia" w:ascii="宋体" w:hAnsi="宋体" w:cs="宋体"/>
          <w:bCs/>
          <w:sz w:val="24"/>
          <w:szCs w:val="36"/>
        </w:rPr>
        <w:t xml:space="preserve">。</w:t>
      </w:r>
      <w:bookmarkEnd w:id="12"/>
      <w:r/>
      <w:bookmarkEnd w:id="13"/>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rPr>
          <w:rFonts w:ascii="黑体" w:eastAsia="黑体"/>
          <w:b/>
          <w:bCs/>
          <w:sz w:val="36"/>
          <w:szCs w:val="36"/>
          <w:lang w:val="zh-CN"/>
        </w:rPr>
      </w:r>
    </w:p>
    <w:p>
      <w:pPr>
        <w:jc w:val="center"/>
        <w:rPr>
          <w:rFonts w:ascii="黑体" w:eastAsia="黑体"/>
          <w:b/>
          <w:bCs/>
          <w:sz w:val="36"/>
          <w:szCs w:val="36"/>
          <w:lang w:val="zh-CN"/>
        </w:rPr>
      </w:pPr>
      <w:r>
        <w:rPr>
          <w:rFonts w:ascii="黑体" w:eastAsia="黑体"/>
          <w:b/>
          <w:bCs/>
          <w:sz w:val="36"/>
          <w:szCs w:val="36"/>
          <w:lang w:val="zh-CN"/>
        </w:rPr>
      </w:r>
      <w:r>
        <w:rPr>
          <w:rFonts w:ascii="黑体" w:eastAsia="黑体"/>
          <w:b/>
          <w:bCs/>
          <w:sz w:val="36"/>
          <w:szCs w:val="36"/>
          <w:lang w:val="zh-CN"/>
        </w:rPr>
      </w:r>
    </w:p>
    <w:p>
      <w:pPr>
        <w:jc w:val="center"/>
        <w:rPr>
          <w:rFonts w:ascii="黑体" w:eastAsia="黑体"/>
          <w:b/>
          <w:bCs/>
          <w:sz w:val="36"/>
          <w:szCs w:val="36"/>
          <w:lang w:val="zh-CN"/>
        </w:rPr>
      </w:pPr>
      <w:r>
        <w:rPr>
          <w:rFonts w:ascii="黑体" w:eastAsia="黑体"/>
          <w:b/>
          <w:bCs/>
          <w:sz w:val="36"/>
          <w:szCs w:val="36"/>
          <w:lang w:val="zh-CN"/>
        </w:rPr>
      </w:r>
      <w:r>
        <w:rPr>
          <w:rFonts w:ascii="黑体" w:eastAsia="黑体"/>
          <w:b/>
          <w:bCs/>
          <w:sz w:val="36"/>
          <w:szCs w:val="36"/>
          <w:lang w:val="zh-CN"/>
        </w:rP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项目实施方案得分由高到低顺序排列，得分仍相同的，由磋商小组确定。</w:t>
      </w:r>
      <w:bookmarkEnd w:id="4"/>
      <w:r/>
      <w:bookmarkEnd w:id="5"/>
      <w:r/>
      <w:bookmarkEnd w:id="6"/>
      <w:r/>
      <w:bookmarkEnd w:id="7"/>
      <w:r/>
      <w:bookmarkEnd w:id="8"/>
      <w:r/>
      <w:bookmarkEnd w:id="9"/>
      <w:r/>
      <w:r/>
    </w:p>
    <w:tbl>
      <w:tblPr>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42"/>
        <w:gridCol w:w="1045"/>
        <w:gridCol w:w="6917"/>
        <w:gridCol w:w="693"/>
      </w:tblGrid>
      <w:tr>
        <w:trPr>
          <w:jc w:val="center"/>
          <w:trHeight w:val="284"/>
          <w:tblHeader/>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序号</w:t>
            </w:r>
            <w:r/>
          </w:p>
        </w:tc>
        <w:tc>
          <w:tcPr>
            <w:tcMar>
              <w:left w:w="108" w:type="dxa"/>
              <w:top w:w="0" w:type="dxa"/>
              <w:right w:w="108" w:type="dxa"/>
              <w:bottom w:w="0" w:type="dxa"/>
            </w:tcMar>
            <w:tcW w:w="1045"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评分</w:t>
            </w:r>
            <w:r/>
          </w:p>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因素</w:t>
            </w:r>
            <w:r/>
          </w:p>
        </w:tc>
        <w:tc>
          <w:tcPr>
            <w:tcMar>
              <w:left w:w="108" w:type="dxa"/>
              <w:top w:w="0" w:type="dxa"/>
              <w:right w:w="108" w:type="dxa"/>
              <w:bottom w:w="0" w:type="dxa"/>
            </w:tcMar>
            <w:tcW w:w="6917"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评审标准</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分值</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p>
        </w:tc>
        <w:tc>
          <w:tcPr>
            <w:tcMar>
              <w:left w:w="108" w:type="dxa"/>
              <w:top w:w="0" w:type="dxa"/>
              <w:right w:w="108" w:type="dxa"/>
              <w:bottom w:w="0" w:type="dxa"/>
            </w:tcMar>
            <w:tcW w:w="1045"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价格</w:t>
            </w:r>
            <w:r/>
          </w:p>
        </w:tc>
        <w:tc>
          <w:tcPr>
            <w:tcMar>
              <w:left w:w="108" w:type="dxa"/>
              <w:top w:w="0" w:type="dxa"/>
              <w:right w:w="108" w:type="dxa"/>
              <w:bottom w:w="0" w:type="dxa"/>
            </w:tcMar>
            <w:tcW w:w="6917" w:type="dxa"/>
            <w:vAlign w:val="center"/>
            <w:textDirection w:val="lrTb"/>
            <w:noWrap w:val="false"/>
          </w:tcPr>
          <w:p>
            <w:pPr>
              <w:widowControl/>
              <w:rPr>
                <w:rFonts w:hint="eastAsia" w:ascii="宋体" w:hAnsi="宋体" w:cs="宋体"/>
                <w:color w:val="0d0d0d" w:themeColor="text1" w:themeTint="F2"/>
                <w:szCs w:val="21"/>
              </w:rPr>
            </w:pPr>
            <w:r>
              <w:rPr>
                <w:rFonts w:hint="eastAsia"/>
              </w:rPr>
              <w:t xml:space="preserve">采用低价优先法计算，即满足磋商文件要求且最后报价最低的供应商的价格为磋商基准价，其价格分为满分。其他供应商的价格分统一按照下列公式计算：磋商报价得分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ascii="宋体" w:hAnsi="宋体"/>
              </w:rPr>
              <w:t xml:space="preserve">1</w:t>
            </w:r>
            <w:r>
              <w:rPr>
                <w:rFonts w:hint="eastAsia" w:ascii="宋体" w:hAnsi="宋体"/>
              </w:rPr>
              <w:t xml:space="preserve">0</w:t>
            </w:r>
            <w:r>
              <w:rPr>
                <w:rFonts w:hint="eastAsia"/>
              </w:rPr>
              <w:t xml:space="preserve">（小数点保留两位）</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rPr>
                <w:rFonts w:ascii="宋体" w:hAnsi="宋体" w:cs="宋体"/>
                <w:color w:val="0d0d0d" w:themeColor="text1" w:themeTint="F2"/>
                <w:szCs w:val="21"/>
              </w:rPr>
              <w:t xml:space="preserve">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2.1</w:t>
            </w:r>
            <w:r/>
          </w:p>
        </w:tc>
        <w:tc>
          <w:tcPr>
            <w:tcMar>
              <w:left w:w="108" w:type="dxa"/>
              <w:top w:w="0" w:type="dxa"/>
              <w:right w:w="108" w:type="dxa"/>
              <w:bottom w:w="0" w:type="dxa"/>
            </w:tcMar>
            <w:tcW w:w="1045" w:type="dxa"/>
            <w:vAlign w:val="center"/>
            <w:vMerge w:val="restart"/>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项目实施方案</w:t>
            </w:r>
            <w:r/>
          </w:p>
        </w:tc>
        <w:tc>
          <w:tcPr>
            <w:tcMar>
              <w:left w:w="108" w:type="dxa"/>
              <w:top w:w="0" w:type="dxa"/>
              <w:right w:w="108" w:type="dxa"/>
              <w:bottom w:w="0" w:type="dxa"/>
            </w:tcMar>
            <w:tcW w:w="691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供应商提供的</w:t>
            </w:r>
            <w:r>
              <w:rPr>
                <w:rFonts w:hint="eastAsia" w:ascii="宋体" w:hAnsi="宋体" w:cs="宋体"/>
                <w:szCs w:val="21"/>
              </w:rPr>
              <w:t xml:space="preserve">项目总体设想、时间进度安排进行评审：</w:t>
            </w:r>
            <w:r/>
          </w:p>
          <w:p>
            <w:pPr>
              <w:rPr>
                <w:rFonts w:hint="eastAsia" w:ascii="宋体" w:hAnsi="宋体" w:cs="宋体"/>
                <w:szCs w:val="21"/>
              </w:rPr>
            </w:pPr>
            <w:r>
              <w:rPr>
                <w:rFonts w:hint="eastAsia" w:ascii="宋体" w:hAnsi="宋体" w:cs="宋体"/>
                <w:szCs w:val="21"/>
              </w:rPr>
              <w:t xml:space="preserve">（1）内容详尽合理、针对性和可操作性强的得1</w:t>
            </w:r>
            <w:r>
              <w:rPr>
                <w:rFonts w:hint="eastAsia" w:ascii="宋体" w:hAnsi="宋体" w:cs="宋体"/>
                <w:szCs w:val="21"/>
              </w:rPr>
              <w:t xml:space="preserve">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（2）内容基本合理、针对性和可操作性较强的得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（3）内容一般、针对性和可操作性一般的得</w:t>
            </w:r>
            <w:r>
              <w:rPr>
                <w:rFonts w:hint="eastAsia"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（4）内容较差，无征对性和可操作性的得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color w:val="0d0d0d" w:themeColor="text1" w:themeTint="F2"/>
                <w:szCs w:val="21"/>
              </w:rPr>
            </w:pPr>
            <w:r>
              <w:rPr>
                <w:rFonts w:hint="eastAsia"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t xml:space="preserve">。</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w:t>
            </w:r>
            <w:r>
              <w:rPr>
                <w:rFonts w:hint="eastAsia" w:ascii="宋体" w:hAnsi="宋体" w:cs="宋体"/>
                <w:color w:val="0d0d0d" w:themeColor="text1" w:themeTint="F2"/>
                <w:szCs w:val="21"/>
              </w:rPr>
              <w:t xml:space="preserve">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2.2</w:t>
            </w:r>
            <w:r/>
          </w:p>
        </w:tc>
        <w:tc>
          <w:tcPr>
            <w:tcMar>
              <w:left w:w="108" w:type="dxa"/>
              <w:top w:w="0" w:type="dxa"/>
              <w:right w:w="108" w:type="dxa"/>
              <w:bottom w:w="0" w:type="dxa"/>
            </w:tcMar>
            <w:tcW w:w="1045"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91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供应商针对本项目的重点难点</w:t>
            </w:r>
            <w:r>
              <w:rPr>
                <w:rFonts w:hint="eastAsia" w:ascii="宋体" w:hAnsi="宋体" w:cs="宋体"/>
                <w:szCs w:val="21"/>
              </w:rPr>
              <w:t xml:space="preserve">进行评审：</w:t>
            </w:r>
            <w:r/>
          </w:p>
          <w:p>
            <w:pPr>
              <w:rPr>
                <w:rFonts w:hint="eastAsia" w:ascii="宋体" w:hAnsi="宋体" w:cs="宋体"/>
                <w:szCs w:val="21"/>
              </w:rPr>
            </w:pPr>
            <w:r>
              <w:rPr>
                <w:rFonts w:hint="eastAsia" w:ascii="宋体" w:hAnsi="宋体" w:cs="宋体"/>
                <w:szCs w:val="21"/>
              </w:rPr>
              <w:t xml:space="preserve">（1）内容详尽合理、针对性和可操作性强的得10分；</w:t>
            </w:r>
            <w:r/>
          </w:p>
          <w:p>
            <w:pPr>
              <w:rPr>
                <w:rFonts w:hint="eastAsia" w:ascii="宋体" w:hAnsi="宋体" w:cs="宋体"/>
                <w:szCs w:val="21"/>
              </w:rPr>
            </w:pPr>
            <w:r>
              <w:rPr>
                <w:rFonts w:hint="eastAsia" w:ascii="宋体" w:hAnsi="宋体" w:cs="宋体"/>
                <w:szCs w:val="21"/>
              </w:rPr>
              <w:t xml:space="preserve">（2）内容基本合理、针对性和可操作性较强的得7分；</w:t>
            </w:r>
            <w:r/>
          </w:p>
          <w:p>
            <w:pPr>
              <w:rPr>
                <w:rFonts w:hint="eastAsia" w:ascii="宋体" w:hAnsi="宋体" w:cs="宋体"/>
                <w:szCs w:val="21"/>
              </w:rPr>
            </w:pPr>
            <w:r>
              <w:rPr>
                <w:rFonts w:hint="eastAsia" w:ascii="宋体" w:hAnsi="宋体" w:cs="宋体"/>
                <w:szCs w:val="21"/>
              </w:rPr>
              <w:t xml:space="preserve">（3）内容一般、针对性和可操作性一般的得4分；</w:t>
            </w:r>
            <w:r/>
          </w:p>
          <w:p>
            <w:pPr>
              <w:rPr>
                <w:rFonts w:hint="eastAsia" w:ascii="宋体" w:hAnsi="宋体" w:cs="宋体"/>
                <w:szCs w:val="21"/>
              </w:rPr>
            </w:pPr>
            <w:r>
              <w:rPr>
                <w:rFonts w:hint="eastAsia" w:ascii="宋体" w:hAnsi="宋体" w:cs="宋体"/>
                <w:szCs w:val="21"/>
              </w:rPr>
              <w:t xml:space="preserve">（4）内容较差，无征对性和可操作性的得1分；</w:t>
            </w:r>
            <w:r/>
          </w:p>
          <w:p>
            <w:pPr>
              <w:rPr>
                <w:rFonts w:hint="eastAsia" w:ascii="宋体" w:hAnsi="宋体" w:cs="宋体"/>
                <w:color w:val="0d0d0d" w:themeColor="text1" w:themeTint="F2"/>
                <w:szCs w:val="21"/>
              </w:rPr>
            </w:pPr>
            <w:r>
              <w:rPr>
                <w:rFonts w:hint="eastAsia"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t xml:space="preserve">。</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86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2.3</w:t>
            </w:r>
            <w:r/>
          </w:p>
        </w:tc>
        <w:tc>
          <w:tcPr>
            <w:tcMar>
              <w:left w:w="108" w:type="dxa"/>
              <w:top w:w="0" w:type="dxa"/>
              <w:right w:w="108" w:type="dxa"/>
              <w:bottom w:w="0" w:type="dxa"/>
            </w:tcMar>
            <w:tcW w:w="1045"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91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根据项目安全措施、质量措施、技术控制措施、档案管理措施等进行评审：</w:t>
            </w:r>
            <w:r/>
          </w:p>
          <w:p>
            <w:pPr>
              <w:rPr>
                <w:rFonts w:hint="eastAsia" w:ascii="宋体" w:hAnsi="宋体" w:cs="宋体"/>
                <w:szCs w:val="21"/>
              </w:rPr>
            </w:pPr>
            <w:r>
              <w:rPr>
                <w:rFonts w:hint="eastAsia" w:ascii="宋体" w:hAnsi="宋体" w:cs="宋体"/>
                <w:szCs w:val="21"/>
              </w:rPr>
              <w:t xml:space="preserve">（1）内容详尽合理、针对性和可操作性强的得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（2）内容基本合理、针对性和可操作性较强的得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（3）内容一般、针对性和可操作性一般的得4分；</w:t>
            </w:r>
            <w:r/>
          </w:p>
          <w:p>
            <w:pPr>
              <w:rPr>
                <w:rFonts w:hint="eastAsia" w:ascii="宋体" w:hAnsi="宋体" w:cs="宋体"/>
                <w:szCs w:val="21"/>
              </w:rPr>
            </w:pPr>
            <w:r>
              <w:rPr>
                <w:rFonts w:hint="eastAsia" w:ascii="宋体" w:hAnsi="宋体" w:cs="宋体"/>
                <w:szCs w:val="21"/>
              </w:rPr>
              <w:t xml:space="preserve">（4）内容较差，无征对性和可操作性的得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color w:val="0d0d0d" w:themeColor="text1" w:themeTint="F2"/>
                <w:szCs w:val="21"/>
              </w:rPr>
            </w:pPr>
            <w:r>
              <w:rPr>
                <w:rFonts w:hint="eastAsia"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t xml:space="preserve">。</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2.4</w:t>
            </w:r>
            <w:r/>
          </w:p>
        </w:tc>
        <w:tc>
          <w:tcPr>
            <w:tcMar>
              <w:left w:w="108" w:type="dxa"/>
              <w:top w:w="0" w:type="dxa"/>
              <w:right w:w="108" w:type="dxa"/>
              <w:bottom w:w="0" w:type="dxa"/>
            </w:tcMar>
            <w:tcW w:w="1045"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91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根据供应商提供的服务承诺方案（如服务体系、服务内容、故障解决方案、响应时间、专业技术人员保障等）</w:t>
            </w:r>
            <w:r>
              <w:rPr>
                <w:rFonts w:hint="eastAsia" w:ascii="宋体" w:hAnsi="宋体" w:cs="宋体"/>
                <w:szCs w:val="21"/>
              </w:rPr>
              <w:t xml:space="preserve">评审</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（1）内容详尽合理、针对性和可操作性强的得</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（2）内容基本合理、针对性和可操作性较强的得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（3）内容一般、针对性和可操作性一般的得</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（4）内容较差，无征对性和可操作性的得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color w:val="0d0d0d" w:themeColor="text1" w:themeTint="F2"/>
                <w:szCs w:val="21"/>
              </w:rPr>
            </w:pPr>
            <w:r>
              <w:rPr>
                <w:rFonts w:hint="eastAsia"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t xml:space="preserve">。</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163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2.5</w:t>
            </w:r>
            <w:r/>
          </w:p>
        </w:tc>
        <w:tc>
          <w:tcPr>
            <w:tcMar>
              <w:left w:w="108" w:type="dxa"/>
              <w:top w:w="0" w:type="dxa"/>
              <w:right w:w="108" w:type="dxa"/>
              <w:bottom w:w="0" w:type="dxa"/>
            </w:tcMar>
            <w:tcW w:w="1045" w:type="dxa"/>
            <w:vAlign w:val="center"/>
            <w:vMerge w:val="continue"/>
            <w:textDirection w:val="lrTb"/>
            <w:noWrap w:val="false"/>
          </w:tcPr>
          <w:p>
            <w:pPr>
              <w:jc w:val="center"/>
              <w:widowControl/>
              <w:rPr>
                <w:rFonts w:hint="eastAsia" w:ascii="宋体" w:hAnsi="宋体" w:cs="宋体"/>
                <w:color w:val="ff0000"/>
                <w:szCs w:val="21"/>
              </w:rPr>
            </w:pPr>
            <w:r>
              <w:rPr>
                <w:rFonts w:hint="eastAsia" w:ascii="宋体" w:hAnsi="宋体" w:cs="宋体"/>
                <w:color w:val="ff0000"/>
                <w:szCs w:val="21"/>
              </w:rPr>
            </w:r>
            <w:r/>
          </w:p>
        </w:tc>
        <w:tc>
          <w:tcPr>
            <w:tcMar>
              <w:left w:w="108" w:type="dxa"/>
              <w:top w:w="0" w:type="dxa"/>
              <w:right w:w="108" w:type="dxa"/>
              <w:bottom w:w="0" w:type="dxa"/>
            </w:tcMar>
            <w:tcW w:w="6917"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根据供应商所提供的售后服务方案进行</w:t>
            </w:r>
            <w:r>
              <w:rPr>
                <w:rFonts w:hint="eastAsia" w:ascii="宋体" w:hAnsi="宋体" w:cs="宋体"/>
                <w:szCs w:val="21"/>
              </w:rPr>
              <w:t xml:space="preserve">评审</w:t>
            </w:r>
            <w:r>
              <w:rPr>
                <w:rFonts w:hint="eastAsia" w:ascii="宋体" w:hAnsi="宋体" w:cs="宋体"/>
                <w:szCs w:val="21"/>
              </w:rPr>
              <w:t xml:space="preserve">，包括但不限于售后服务内容、故障解决方案、响应速度、响应次数、响应时间、专业技术人员保障、售后技术方案以及备品备件等方面：</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售后服务方案具有全面性、科学性、合理性和可操作性</w:t>
            </w:r>
            <w:r>
              <w:rPr>
                <w:rFonts w:hint="eastAsia" w:ascii="宋体" w:hAnsi="宋体" w:cs="宋体"/>
                <w:szCs w:val="21"/>
              </w:rPr>
              <w:t xml:space="preserve">强的</w:t>
            </w:r>
            <w:r>
              <w:rPr>
                <w:rFonts w:hint="eastAsia" w:ascii="宋体" w:hAnsi="宋体" w:cs="宋体"/>
                <w:szCs w:val="21"/>
              </w:rPr>
              <w:t xml:space="preserve">得1</w:t>
            </w:r>
            <w:r>
              <w:rPr>
                <w:rFonts w:hint="eastAsia" w:ascii="宋体" w:hAnsi="宋体" w:cs="宋体"/>
                <w:szCs w:val="21"/>
              </w:rPr>
              <w:t xml:space="preserve">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售后服务方案合理性和可操作性</w:t>
            </w:r>
            <w:r>
              <w:rPr>
                <w:rFonts w:hint="eastAsia" w:ascii="宋体" w:hAnsi="宋体" w:cs="宋体"/>
                <w:szCs w:val="21"/>
              </w:rPr>
              <w:t xml:space="preserve">较强的</w:t>
            </w:r>
            <w:r>
              <w:rPr>
                <w:rFonts w:hint="eastAsia" w:ascii="宋体" w:hAnsi="宋体" w:cs="宋体"/>
                <w:szCs w:val="21"/>
              </w:rPr>
              <w:t xml:space="preserve">得</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售后服务方案片面，合理性和可操作性</w:t>
            </w:r>
            <w:r>
              <w:rPr>
                <w:rFonts w:hint="eastAsia" w:ascii="宋体" w:hAnsi="宋体" w:cs="宋体"/>
                <w:szCs w:val="21"/>
              </w:rPr>
              <w:t xml:space="preserve">一般的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（4）售后服务方案</w:t>
            </w:r>
            <w:r>
              <w:rPr>
                <w:rFonts w:hint="eastAsia" w:ascii="宋体" w:hAnsi="宋体" w:cs="宋体"/>
                <w:szCs w:val="21"/>
              </w:rPr>
              <w:t xml:space="preserve">无征对性和可操作性的得</w:t>
            </w:r>
            <w:r>
              <w:rPr>
                <w:rFonts w:hint="eastAsia" w:ascii="宋体" w:hAnsi="宋体" w:cs="宋体"/>
                <w:szCs w:val="21"/>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未提供不得分。</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10</w:t>
            </w:r>
            <w:r/>
          </w:p>
        </w:tc>
      </w:tr>
      <w:tr>
        <w:trPr>
          <w:jc w:val="center"/>
          <w:trHeight w:val="284"/>
        </w:trPr>
        <w:tc>
          <w:tcPr>
            <w:tcMar>
              <w:left w:w="108" w:type="dxa"/>
              <w:top w:w="0" w:type="dxa"/>
              <w:right w:w="108" w:type="dxa"/>
              <w:bottom w:w="0" w:type="dxa"/>
            </w:tcMa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3</w:t>
            </w:r>
            <w:r/>
          </w:p>
        </w:tc>
        <w:tc>
          <w:tcPr>
            <w:tcMar>
              <w:left w:w="108" w:type="dxa"/>
              <w:top w:w="0" w:type="dxa"/>
              <w:right w:w="108" w:type="dxa"/>
              <w:bottom w:w="0" w:type="dxa"/>
            </w:tcMar>
            <w:tcW w:w="1045" w:type="dxa"/>
            <w:vAlign w:val="center"/>
            <w:textDirection w:val="lrTb"/>
            <w:noWrap w:val="false"/>
          </w:tcPr>
          <w:p>
            <w:pPr>
              <w:jc w:val="center"/>
              <w:widowControl/>
              <w:rPr>
                <w:rFonts w:hint="eastAsia" w:ascii="宋体" w:hAnsi="宋体" w:cs="宋体"/>
                <w:color w:val="ff0000"/>
                <w:szCs w:val="21"/>
              </w:rPr>
            </w:pPr>
            <w:r>
              <w:rPr>
                <w:rFonts w:hint="eastAsia" w:ascii="宋体" w:hAnsi="宋体" w:cs="宋体"/>
                <w:szCs w:val="21"/>
              </w:rPr>
              <w:t xml:space="preserve">团队人员</w:t>
            </w:r>
            <w:r/>
          </w:p>
        </w:tc>
        <w:tc>
          <w:tcPr>
            <w:tcMar>
              <w:left w:w="108" w:type="dxa"/>
              <w:top w:w="0" w:type="dxa"/>
              <w:right w:w="108" w:type="dxa"/>
              <w:bottom w:w="0" w:type="dxa"/>
            </w:tcMar>
            <w:tcW w:w="6917" w:type="dxa"/>
            <w:vAlign w:val="center"/>
            <w:textDirection w:val="lrTb"/>
            <w:noWrap w:val="false"/>
          </w:tcPr>
          <w:p>
            <w:pPr>
              <w:jc w:val="left"/>
              <w:rPr>
                <w:rFonts w:hint="eastAsia" w:ascii="宋体" w:hAnsi="宋体" w:cs="宋体"/>
              </w:rPr>
            </w:pPr>
            <w:r>
              <w:rPr>
                <w:rFonts w:hint="eastAsia" w:ascii="宋体" w:hAnsi="宋体" w:cs="仿宋"/>
                <w:szCs w:val="21"/>
              </w:rPr>
              <w:t xml:space="preserve">团队人员不少于5人的，得1</w:t>
            </w:r>
            <w:r>
              <w:rPr>
                <w:rFonts w:hint="eastAsia" w:ascii="宋体" w:hAnsi="宋体" w:cs="仿宋"/>
                <w:szCs w:val="21"/>
              </w:rPr>
              <w:t xml:space="preserve">5</w:t>
            </w:r>
            <w:r>
              <w:rPr>
                <w:rFonts w:hint="eastAsia" w:ascii="宋体" w:hAnsi="宋体" w:cs="仿宋"/>
                <w:szCs w:val="21"/>
              </w:rPr>
              <w:t xml:space="preserve">分；其中具有艺术设计或视觉传达设计或其他类似相关专业背景的，每人加</w:t>
            </w:r>
            <w:r>
              <w:rPr>
                <w:rFonts w:hint="eastAsia" w:ascii="宋体" w:hAnsi="宋体" w:cs="仿宋"/>
                <w:szCs w:val="21"/>
              </w:rPr>
              <w:t xml:space="preserve">5</w:t>
            </w:r>
            <w:r>
              <w:rPr>
                <w:rFonts w:hint="eastAsia" w:ascii="宋体" w:hAnsi="宋体" w:cs="仿宋"/>
                <w:szCs w:val="21"/>
              </w:rPr>
              <w:t xml:space="preserve">分，最多加</w:t>
            </w:r>
            <w:r>
              <w:rPr>
                <w:rFonts w:hint="eastAsia" w:ascii="宋体" w:hAnsi="宋体" w:cs="仿宋"/>
                <w:szCs w:val="21"/>
              </w:rPr>
              <w:t xml:space="preserve">10</w:t>
            </w:r>
            <w:r>
              <w:rPr>
                <w:rFonts w:hint="eastAsia" w:ascii="宋体" w:hAnsi="宋体" w:cs="仿宋"/>
                <w:szCs w:val="21"/>
              </w:rPr>
              <w:t xml:space="preserve">分。（提供人员身份证、毕业证、劳动合同复印件加盖供应商公章）</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2</w:t>
            </w:r>
            <w:r>
              <w:rPr>
                <w:rFonts w:hint="eastAsia" w:ascii="宋体" w:hAnsi="宋体" w:cs="宋体"/>
                <w:color w:val="0d0d0d" w:themeColor="text1" w:themeTint="F2"/>
                <w:szCs w:val="21"/>
              </w:rPr>
              <w:t xml:space="preserve">5</w:t>
            </w:r>
            <w:r/>
          </w:p>
        </w:tc>
      </w:tr>
      <w:tr>
        <w:trPr>
          <w:cantSplit/>
          <w:jc w:val="center"/>
          <w:trHeight w:val="744"/>
        </w:trPr>
        <w:tc>
          <w:tcPr>
            <w:tcMar>
              <w:left w:w="108" w:type="dxa"/>
              <w:top w:w="0" w:type="dxa"/>
              <w:right w:w="108" w:type="dxa"/>
              <w:bottom w:w="0" w:type="dxa"/>
            </w:tcMar>
            <w:tcW w:w="642"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4</w:t>
            </w:r>
            <w:r/>
          </w:p>
        </w:tc>
        <w:tc>
          <w:tcPr>
            <w:tcMar>
              <w:left w:w="108" w:type="dxa"/>
              <w:top w:w="0" w:type="dxa"/>
              <w:right w:w="108" w:type="dxa"/>
              <w:bottom w:w="0" w:type="dxa"/>
            </w:tcMar>
            <w:tcW w:w="1045"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承诺书</w:t>
            </w:r>
            <w:r/>
          </w:p>
        </w:tc>
        <w:tc>
          <w:tcPr>
            <w:tcMar>
              <w:left w:w="108" w:type="dxa"/>
              <w:top w:w="0" w:type="dxa"/>
              <w:right w:w="108" w:type="dxa"/>
              <w:bottom w:w="0" w:type="dxa"/>
            </w:tcMar>
            <w:tcW w:w="6917" w:type="dxa"/>
            <w:vAlign w:val="center"/>
            <w:textDirection w:val="lrTb"/>
            <w:noWrap w:val="false"/>
          </w:tcPr>
          <w:p>
            <w:r>
              <w:rPr>
                <w:rFonts w:hint="eastAsia"/>
              </w:rPr>
              <w:t xml:space="preserve">1</w:t>
            </w:r>
            <w:r>
              <w:rPr>
                <w:rFonts w:hint="eastAsia"/>
              </w:rPr>
              <w:t xml:space="preserve">、承诺作业时间满足采购文件要求。</w:t>
            </w:r>
            <w:r/>
          </w:p>
          <w:p>
            <w:r>
              <w:rPr>
                <w:rFonts w:hint="eastAsia"/>
              </w:rPr>
              <w:t xml:space="preserve">2</w:t>
            </w:r>
            <w:r>
              <w:rPr>
                <w:rFonts w:hint="eastAsia"/>
              </w:rPr>
              <w:t xml:space="preserve">、承诺如由于供应商工作人员工作时的过失或故意行为，造成采购人或第三人经济损失的，供应商负责赔偿责任。</w:t>
            </w:r>
            <w:r/>
          </w:p>
          <w:p>
            <w:pPr>
              <w:rPr>
                <w:color w:val="ff0000"/>
                <w:szCs w:val="21"/>
              </w:rPr>
            </w:pPr>
            <w:r>
              <w:rPr>
                <w:rFonts w:hint="eastAsia"/>
              </w:rPr>
              <w:t xml:space="preserve">（承诺书格式自拟，承诺书内容完整得</w:t>
            </w:r>
            <w:r>
              <w:rPr>
                <w:rFonts w:hint="eastAsia"/>
              </w:rPr>
              <w:t xml:space="preserve">6</w:t>
            </w:r>
            <w:r>
              <w:rPr>
                <w:rFonts w:hint="eastAsia"/>
              </w:rPr>
              <w:t xml:space="preserve">分，不完整或未提供承诺书不得分。）</w:t>
            </w:r>
            <w:r/>
          </w:p>
        </w:tc>
        <w:tc>
          <w:tcPr>
            <w:tcMar>
              <w:left w:w="108" w:type="dxa"/>
              <w:top w:w="0" w:type="dxa"/>
              <w:right w:w="108" w:type="dxa"/>
              <w:bottom w:w="0" w:type="dxa"/>
            </w:tcMar>
            <w:tcW w:w="693" w:type="dxa"/>
            <w:vAlign w:val="center"/>
            <w:textDirection w:val="lrTb"/>
            <w:noWrap w:val="false"/>
          </w:tcPr>
          <w:p>
            <w:pPr>
              <w:jc w:val="center"/>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6</w:t>
            </w:r>
            <w:r/>
          </w:p>
        </w:tc>
      </w:tr>
      <w:tr>
        <w:trPr>
          <w:cantSplit/>
          <w:jc w:val="center"/>
          <w:trHeight w:val="284"/>
        </w:trPr>
        <w:tc>
          <w:tcPr>
            <w:tcW w:w="642"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5</w:t>
            </w:r>
            <w:r/>
          </w:p>
        </w:tc>
        <w:tc>
          <w:tcPr>
            <w:tcW w:w="1045" w:type="dxa"/>
            <w:vAlign w:val="center"/>
            <w:textDirection w:val="lrTb"/>
            <w:noWrap w:val="false"/>
          </w:tcPr>
          <w:p>
            <w:pPr>
              <w:jc w:val="center"/>
              <w:spacing w:line="276" w:lineRule="auto"/>
              <w:rPr>
                <w:rFonts w:hint="eastAsia" w:ascii="宋体" w:hAnsi="宋体" w:cs="宋体"/>
                <w:color w:val="ff0000"/>
                <w:szCs w:val="21"/>
              </w:rPr>
            </w:pPr>
            <w:r>
              <w:rPr>
                <w:rFonts w:hint="eastAsia" w:ascii="宋体" w:hAnsi="宋体" w:cs="宋体"/>
                <w:szCs w:val="21"/>
              </w:rPr>
              <w:t xml:space="preserve">业绩</w:t>
            </w:r>
            <w:r/>
          </w:p>
        </w:tc>
        <w:tc>
          <w:tcPr>
            <w:tcMar>
              <w:left w:w="108" w:type="dxa"/>
              <w:top w:w="0" w:type="dxa"/>
              <w:right w:w="108" w:type="dxa"/>
              <w:bottom w:w="0" w:type="dxa"/>
            </w:tcMar>
            <w:tcW w:w="6917" w:type="dxa"/>
            <w:vAlign w:val="center"/>
            <w:textDirection w:val="lrTb"/>
            <w:noWrap w:val="false"/>
          </w:tcPr>
          <w:p>
            <w:pPr>
              <w:jc w:val="left"/>
              <w:rPr>
                <w:rFonts w:hint="eastAsia" w:ascii="宋体" w:hAnsi="宋体" w:cs="宋体"/>
              </w:rPr>
            </w:pPr>
            <w:r>
              <w:rPr>
                <w:rFonts w:hint="eastAsia" w:ascii="宋体" w:hAnsi="宋体" w:cs="宋体"/>
                <w:szCs w:val="21"/>
              </w:rPr>
              <w:t xml:space="preserve">供应商自202</w:t>
            </w:r>
            <w:r>
              <w:rPr>
                <w:rFonts w:ascii="宋体" w:hAnsi="宋体" w:cs="宋体"/>
                <w:szCs w:val="21"/>
              </w:rPr>
              <w:t xml:space="preserve">2</w:t>
            </w:r>
            <w:r>
              <w:rPr>
                <w:rFonts w:hint="eastAsia" w:ascii="宋体" w:hAnsi="宋体" w:cs="宋体"/>
                <w:szCs w:val="21"/>
              </w:rPr>
              <w:t xml:space="preserve">年1月1日以来,</w:t>
            </w:r>
            <w:r>
              <w:rPr>
                <w:rFonts w:hint="eastAsia" w:ascii="宋体" w:hAnsi="宋体" w:cs="宋体"/>
                <w:szCs w:val="21"/>
              </w:rPr>
              <w:t xml:space="preserve">承担过类似</w:t>
            </w:r>
            <w:r>
              <w:rPr>
                <w:rFonts w:hint="eastAsia" w:ascii="宋体" w:hAnsi="宋体" w:cs="宋体"/>
                <w:szCs w:val="21"/>
              </w:rPr>
              <w:t xml:space="preserve">业绩</w:t>
            </w:r>
            <w:r>
              <w:rPr>
                <w:rFonts w:hint="eastAsia" w:ascii="宋体" w:hAnsi="宋体" w:cs="宋体"/>
                <w:szCs w:val="21"/>
              </w:rPr>
              <w:t xml:space="preserve">的</w:t>
            </w:r>
            <w:r>
              <w:rPr>
                <w:rFonts w:hint="eastAsia" w:ascii="宋体" w:hAnsi="宋体" w:cs="宋体"/>
                <w:szCs w:val="21"/>
              </w:rPr>
              <w:t xml:space="preserve">，提供一个得3分，最多得</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color w:val="0d0d0d" w:themeColor="text1" w:themeTint="F2"/>
                <w:szCs w:val="21"/>
              </w:rPr>
            </w:pPr>
            <w:r>
              <w:rPr>
                <w:rFonts w:hint="eastAsia" w:ascii="宋体" w:hAnsi="宋体" w:cs="宋体"/>
                <w:szCs w:val="21"/>
              </w:rPr>
              <w:t xml:space="preserve">（提供合同电子件，时间以合同签订</w:t>
            </w:r>
            <w:r>
              <w:rPr>
                <w:rFonts w:hint="eastAsia" w:ascii="宋体" w:hAnsi="宋体" w:cs="宋体"/>
                <w:szCs w:val="21"/>
              </w:rPr>
              <w:t xml:space="preserve">时间为准</w:t>
            </w:r>
            <w:r>
              <w:rPr>
                <w:rFonts w:hint="eastAsia" w:ascii="宋体" w:hAnsi="宋体" w:cs="宋体"/>
                <w:szCs w:val="21"/>
              </w:rPr>
              <w:t xml:space="preserve">）</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color w:val="0d0d0d" w:themeColor="text1" w:themeTint="F2"/>
                <w:szCs w:val="21"/>
              </w:rPr>
            </w:pPr>
            <w:r>
              <w:rPr>
                <w:rFonts w:hint="eastAsia" w:ascii="宋体" w:hAnsi="宋体" w:cs="宋体"/>
                <w:color w:val="0d0d0d" w:themeColor="text1" w:themeTint="F2"/>
                <w:szCs w:val="21"/>
              </w:rPr>
              <w:t xml:space="preserve">9</w:t>
            </w:r>
            <w:r/>
          </w:p>
        </w:tc>
      </w:tr>
      <w:tr>
        <w:trPr>
          <w:cantSplit/>
          <w:jc w:val="center"/>
          <w:trHeight w:val="490"/>
        </w:trPr>
        <w:tc>
          <w:tcPr>
            <w:gridSpan w:val="3"/>
            <w:tcW w:w="8604" w:type="dxa"/>
            <w:vAlign w:val="center"/>
            <w:textDirection w:val="lrTb"/>
            <w:noWrap w:val="false"/>
          </w:tcPr>
          <w:p>
            <w:pPr>
              <w:jc w:val="center"/>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合计</w:t>
            </w:r>
            <w:r/>
          </w:p>
        </w:tc>
        <w:tc>
          <w:tcPr>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color w:val="0d0d0d" w:themeColor="text1" w:themeTint="F2"/>
                <w:szCs w:val="21"/>
              </w:rPr>
            </w:pPr>
            <w:r>
              <w:rPr>
                <w:rFonts w:hint="eastAsia" w:ascii="宋体" w:hAnsi="宋体" w:cs="宋体"/>
                <w:b/>
                <w:color w:val="0d0d0d" w:themeColor="text1" w:themeTint="F2"/>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服务单位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hint="eastAsia" w:ascii="宋体" w:hAnsi="宋体"/>
          <w:sz w:val="36"/>
        </w:rPr>
      </w:pPr>
      <w:r>
        <w:rPr>
          <w:rFonts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t xml:space="preserve">南</w:t>
      </w:r>
      <w:r>
        <w:rPr>
          <w:rFonts w:ascii="宋体" w:hAnsi="宋体"/>
          <w:b/>
          <w:sz w:val="36"/>
        </w:rPr>
        <w:t xml:space="preserve"> </w:t>
      </w:r>
      <w:r>
        <w:rPr>
          <w:rFonts w:hint="eastAsia" w:ascii="宋体" w:hAnsi="宋体"/>
          <w:b/>
          <w:sz w:val="36"/>
        </w:rPr>
        <w:t xml:space="preserve">京</w:t>
      </w:r>
      <w:r>
        <w:rPr>
          <w:rFonts w:ascii="宋体" w:hAnsi="宋体"/>
          <w:b/>
          <w:sz w:val="36"/>
        </w:rPr>
        <w:t xml:space="preserve"> </w:t>
      </w:r>
      <w:r>
        <w:rPr>
          <w:rFonts w:hint="eastAsia" w:ascii="宋体" w:hAnsi="宋体"/>
          <w:b/>
          <w:sz w:val="36"/>
        </w:rPr>
        <w:t xml:space="preserve">市</w:t>
      </w:r>
      <w:r>
        <w:rPr>
          <w:rFonts w:ascii="宋体" w:hAnsi="宋体"/>
          <w:b/>
          <w:sz w:val="36"/>
        </w:rPr>
        <w:t xml:space="preserve"> </w:t>
      </w:r>
      <w:r>
        <w:rPr>
          <w:rFonts w:hint="eastAsia" w:ascii="宋体" w:hAnsi="宋体"/>
          <w:b/>
          <w:sz w:val="36"/>
        </w:rPr>
        <w:t xml:space="preserve">财</w:t>
      </w:r>
      <w:r>
        <w:rPr>
          <w:rFonts w:ascii="宋体" w:hAnsi="宋体"/>
          <w:b/>
          <w:sz w:val="36"/>
        </w:rPr>
        <w:t xml:space="preserve"> </w:t>
      </w:r>
      <w:r>
        <w:rPr>
          <w:rFonts w:hint="eastAsia" w:ascii="宋体" w:hAnsi="宋体"/>
          <w:b/>
          <w:sz w:val="36"/>
        </w:rPr>
        <w:t xml:space="preserve">政</w:t>
      </w:r>
      <w:r>
        <w:rPr>
          <w:rFonts w:ascii="宋体" w:hAnsi="宋体"/>
          <w:b/>
          <w:sz w:val="36"/>
        </w:rPr>
        <w:t xml:space="preserve"> </w:t>
      </w:r>
      <w:r>
        <w:rPr>
          <w:rFonts w:hint="eastAsia" w:ascii="宋体" w:hAnsi="宋体"/>
          <w:b/>
          <w:sz w:val="36"/>
        </w:rPr>
        <w:t xml:space="preserve">局</w:t>
      </w:r>
      <w:r>
        <w:rPr>
          <w:rFonts w:ascii="宋体" w:hAnsi="宋体"/>
          <w:b/>
          <w:sz w:val="36"/>
        </w:rPr>
        <w:t xml:space="preserve">  </w:t>
      </w:r>
      <w:r>
        <w:rPr>
          <w:rFonts w:hint="eastAsia" w:ascii="宋体" w:hAnsi="宋体"/>
          <w:b/>
          <w:sz w:val="36"/>
        </w:rPr>
        <w:t xml:space="preserve">监制</w:t>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合同编号：</w:t>
      </w:r>
      <w:r>
        <w:rPr>
          <w:rFonts w:hint="eastAsia" w:ascii="仿宋" w:hAnsi="仿宋" w:eastAsia="仿宋" w:cs="宋体"/>
          <w:b/>
          <w:color w:val="000000"/>
          <w:sz w:val="24"/>
          <w:szCs w:val="21"/>
          <w:lang w:bidi="ar"/>
        </w:rPr>
        <w:t xml:space="preserve">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政府采购计划号：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住所地</w:t>
            </w:r>
            <w:r/>
          </w:p>
        </w:tc>
      </w:tr>
    </w:tbl>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根据《中华人民共和国政府采购法》、《中华人民共和国民法典》等法律法规的规定，甲乙双方按照竞争性磋商结果签订本合同。</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第一条 合同标的</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乙方根据甲方需求提供下列服务：</w:t>
      </w:r>
      <w:r>
        <w:rPr>
          <w:rFonts w:hint="eastAsia" w:ascii="仿宋" w:hAnsi="仿宋" w:eastAsia="仿宋" w:cs="宋体"/>
          <w:color w:val="000000"/>
          <w:sz w:val="24"/>
          <w:szCs w:val="21"/>
          <w:u w:val="single"/>
          <w:lang w:bidi="ar"/>
        </w:rPr>
        <w:t xml:space="preserve">                    </w:t>
      </w:r>
      <w:r>
        <w:rPr>
          <w:rFonts w:hint="eastAsia" w:ascii="仿宋" w:hAnsi="仿宋" w:eastAsia="仿宋" w:cs="宋体"/>
          <w:color w:val="000000"/>
          <w:sz w:val="24"/>
          <w:szCs w:val="21"/>
          <w:lang w:bidi="ar"/>
        </w:rPr>
        <w:t xml:space="preserve">，详见乙方响应文件。</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第二条 合同总价款</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本合同项下服务总价款为___________（大写）人民币，分项价款在“分项报价表”中有明确规定。</w:t>
      </w:r>
      <w:r/>
    </w:p>
    <w:p>
      <w:pPr>
        <w:ind w:firstLine="480"/>
        <w:jc w:val="left"/>
        <w:spacing w:line="360" w:lineRule="auto"/>
        <w:widowControl/>
        <w:rPr>
          <w:rFonts w:hint="eastAsia" w:ascii="仿宋" w:hAnsi="仿宋" w:eastAsia="仿宋" w:cs="宋体"/>
          <w:b/>
          <w:color w:val="000000"/>
          <w:sz w:val="24"/>
          <w:szCs w:val="21"/>
          <w:lang w:bidi="ar"/>
        </w:rPr>
      </w:pPr>
      <w:r>
        <w:rPr>
          <w:rFonts w:hint="eastAsia" w:ascii="仿宋" w:hAnsi="仿宋" w:eastAsia="仿宋" w:cs="宋体"/>
          <w:color w:val="000000"/>
          <w:sz w:val="24"/>
          <w:szCs w:val="21"/>
          <w:lang w:bidi="ar"/>
        </w:rPr>
        <w:t xml:space="preserve">本合同总价款是完成本项目所发生的所有含税费用、支付给员工的工资和国家强制缴纳的各种社会保障资金</w:t>
      </w:r>
      <w:r>
        <w:rPr>
          <w:rFonts w:hint="eastAsia" w:ascii="仿宋" w:hAnsi="仿宋" w:eastAsia="仿宋" w:cs="宋体"/>
          <w:bCs/>
          <w:color w:val="000000"/>
          <w:sz w:val="24"/>
          <w:szCs w:val="21"/>
          <w:lang w:bidi="ar"/>
        </w:rPr>
        <w:t xml:space="preserve">，以</w:t>
      </w:r>
      <w:r>
        <w:rPr>
          <w:rFonts w:hint="eastAsia" w:ascii="仿宋" w:hAnsi="仿宋" w:eastAsia="仿宋" w:cs="宋体"/>
          <w:color w:val="000000"/>
          <w:sz w:val="24"/>
          <w:szCs w:val="21"/>
          <w:lang w:bidi="ar"/>
        </w:rPr>
        <w:t xml:space="preserve">及供应商认为需要的其他费用等。</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本合同执行期间合同总价款不变。</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第三条 组成本合同的有关文件</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下列关于</w:t>
      </w:r>
      <w:r>
        <w:rPr>
          <w:rFonts w:hint="eastAsia" w:ascii="仿宋" w:hAnsi="仿宋" w:eastAsia="仿宋" w:cs="宋体"/>
          <w:b/>
          <w:color w:val="000000"/>
          <w:sz w:val="24"/>
          <w:szCs w:val="21"/>
          <w:u w:val="single"/>
          <w:lang w:bidi="ar"/>
        </w:rPr>
        <w:t xml:space="preserve">          </w:t>
      </w:r>
      <w:r>
        <w:rPr>
          <w:rFonts w:hint="eastAsia" w:ascii="仿宋" w:hAnsi="仿宋" w:eastAsia="仿宋" w:cs="宋体"/>
          <w:color w:val="000000"/>
          <w:sz w:val="24"/>
          <w:szCs w:val="21"/>
          <w:u w:val="single"/>
          <w:lang w:bidi="ar"/>
        </w:rPr>
        <w:t xml:space="preserve">号</w:t>
      </w:r>
      <w:r>
        <w:rPr>
          <w:rFonts w:hint="eastAsia" w:ascii="仿宋" w:hAnsi="仿宋" w:eastAsia="仿宋" w:cs="宋体"/>
          <w:color w:val="000000"/>
          <w:sz w:val="24"/>
          <w:szCs w:val="21"/>
          <w:lang w:bidi="ar"/>
        </w:rPr>
        <w:t xml:space="preserve">的竞争性磋商文件、供应商响应文件，或与本次采购活动方式相适应的文件，以及有关附件是本合同不可分割的组成部分，与本合同具有同等法律效力，这些文件包括但不限于：</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（1）乙方提供的响应文件和报价表；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（2）技术规格响应表；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（3）磋商承诺/服务承诺；</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（4）成交通知书；</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（5）甲乙双方商定的其他文件等。</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第四条 权利保证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第五条 质量保证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第六条 交付和验收</w:t>
      </w:r>
      <w:r/>
    </w:p>
    <w:p>
      <w:pPr>
        <w:ind w:firstLine="480"/>
        <w:jc w:val="left"/>
        <w:spacing w:line="360" w:lineRule="auto"/>
        <w:widowControl/>
        <w:rPr>
          <w:rFonts w:hint="eastAsia" w:ascii="仿宋" w:hAnsi="仿宋" w:eastAsia="仿宋" w:cs="宋体"/>
          <w:color w:val="000000"/>
          <w:sz w:val="24"/>
          <w:szCs w:val="21"/>
          <w:u w:val="single"/>
          <w:lang w:bidi="ar"/>
        </w:rPr>
      </w:pPr>
      <w:r>
        <w:rPr>
          <w:rFonts w:hint="eastAsia" w:ascii="仿宋" w:hAnsi="仿宋" w:eastAsia="仿宋" w:cs="宋体"/>
          <w:color w:val="000000"/>
          <w:sz w:val="24"/>
          <w:szCs w:val="21"/>
          <w:lang w:bidi="ar"/>
        </w:rPr>
        <w:t xml:space="preserve">1、乙方服务周期为，年-月-日-年-月-日。</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2、验收标准：按行业通行标准和乙方投标文件的承诺（详见合同附件载明的标准，并不低于国家相关标准）。</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w:t>
      </w:r>
      <w:r>
        <w:rPr>
          <w:rFonts w:hint="eastAsia" w:ascii="仿宋" w:hAnsi="仿宋" w:eastAsia="仿宋" w:cs="宋体"/>
          <w:color w:val="000000"/>
          <w:sz w:val="24"/>
          <w:szCs w:val="21"/>
          <w:lang w:bidi="ar"/>
        </w:rPr>
        <w:t xml:space="preserve">苗木管养维护时间为2年，其他景观设施维修养护时间为2年。</w:t>
      </w:r>
      <w:r/>
    </w:p>
    <w:p>
      <w:pPr>
        <w:ind w:firstLine="482"/>
        <w:jc w:val="left"/>
        <w:spacing w:line="360" w:lineRule="auto"/>
        <w:widowControl/>
        <w:rPr>
          <w:rFonts w:hint="eastAsia" w:ascii="仿宋" w:hAnsi="仿宋" w:eastAsia="仿宋" w:cs="宋体"/>
          <w:b/>
          <w:bCs/>
          <w:i/>
          <w:iCs/>
          <w:color w:val="000000"/>
          <w:sz w:val="24"/>
          <w:szCs w:val="21"/>
          <w:lang w:bidi="ar"/>
        </w:rPr>
      </w:pPr>
      <w:r>
        <w:rPr>
          <w:rFonts w:hint="eastAsia" w:ascii="仿宋" w:hAnsi="仿宋" w:eastAsia="仿宋" w:cs="宋体"/>
          <w:b/>
          <w:bCs/>
          <w:color w:val="000000"/>
          <w:sz w:val="24"/>
          <w:szCs w:val="21"/>
          <w:lang w:bidi="ar"/>
        </w:rPr>
        <w:t xml:space="preserve">第七条 合同款支付</w:t>
      </w:r>
      <w:r/>
    </w:p>
    <w:p>
      <w:pPr>
        <w:ind w:firstLine="480"/>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1、本合同项下所有款项均以人民币支付，并在付款前开具符合甲方要求的发票，否则甲方有权拒绝付款不构成违约。</w:t>
      </w:r>
      <w:r/>
    </w:p>
    <w:p>
      <w:pPr>
        <w:ind w:firstLine="480"/>
        <w:jc w:val="left"/>
        <w:spacing w:line="360" w:lineRule="auto"/>
        <w:widowControl/>
        <w:rPr>
          <w:rFonts w:hint="eastAsia" w:hAnsi="宋体"/>
          <w:szCs w:val="21"/>
        </w:rPr>
      </w:pPr>
      <w:r>
        <w:rPr>
          <w:rFonts w:hint="eastAsia" w:ascii="仿宋" w:hAnsi="仿宋" w:eastAsia="仿宋" w:cs="宋体"/>
          <w:bCs/>
          <w:color w:val="000000"/>
          <w:sz w:val="24"/>
          <w:szCs w:val="21"/>
          <w:lang w:bidi="ar"/>
        </w:rPr>
        <w:t xml:space="preserve">2、付款条件：</w:t>
      </w:r>
      <w:r>
        <w:rPr>
          <w:rFonts w:hint="eastAsia" w:ascii="仿宋" w:hAnsi="仿宋" w:eastAsia="仿宋" w:cs="宋体"/>
          <w:bCs/>
          <w:color w:val="000000"/>
          <w:sz w:val="24"/>
          <w:szCs w:val="21"/>
          <w:lang w:bidi="ar"/>
        </w:rPr>
        <w:t xml:space="preserve">项目验收合格后付合同价款的80%，剩余20%合同价款待维修管养时间结束支付</w:t>
      </w:r>
      <w:r>
        <w:rPr>
          <w:rFonts w:hint="eastAsia" w:ascii="仿宋" w:hAnsi="仿宋" w:eastAsia="仿宋" w:cs="宋体"/>
          <w:bCs/>
          <w:color w:val="000000"/>
          <w:sz w:val="24"/>
          <w:szCs w:val="21"/>
          <w:lang w:bidi="ar"/>
        </w:rPr>
        <w:t xml:space="preserve">。</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第八条 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1、甲方无正当理由拒收服务、拒付服务款的，甲方向乙方偿付合同总价的5%违约金。</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2、甲方未按合同规定的期限向乙方支付货款的，每逾期1天甲方向乙方偿付欠款总额的5‰滞纳金，但累计滞纳金总额不超过欠款总额的5%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3、如乙方不能交付服务的，甲方有权扣留全部履约保证金；同时乙方应向甲方支付合同总价5%的违约金。</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7、乙方未按本合同的规定和“服务承诺”提供伴随服务/售后服务的，应按合同总价款的5 %向甲方承担违约责任。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第九条 合同的变更和终止</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第十条 合同的转让</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乙方不得擅自部分或全部转让其应履行的合同义务。</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第十一条 争议的解决</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（1）向甲方所在地有管辖权的人民法院提起诉讼；</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（2）向南京仲裁委员会按其仲裁规则申请仲裁。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如没有约定，默认采取第2种方式解决争议。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3、在仲裁期间，本合同应继续履行。</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第十二条 诚实信用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乙方应诚实信用，严格按照竞争性磋商文件要求和响应承诺履行合同，不向甲方进行商业贿赂或者提供不正当利益。</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第十三条 合同生效及其他</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1、本合同自签订之日起生效。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2、本合同一式肆份，甲方执贰份，乙方执贰份，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3、本合同应按照中华人民共和国的现行法律进行解释。</w:t>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r>
      <w:r/>
    </w:p>
    <w:p>
      <w:pPr>
        <w:jc w:val="left"/>
        <w:spacing w:line="360" w:lineRule="auto"/>
        <w:widowControl/>
        <w:rPr>
          <w:rFonts w:hint="eastAsia" w:ascii="仿宋" w:hAnsi="仿宋" w:eastAsia="仿宋" w:cs="宋体"/>
          <w:color w:val="000000"/>
          <w:sz w:val="24"/>
          <w:lang w:bidi="ar"/>
        </w:rPr>
      </w:pPr>
      <w:r>
        <w:rPr>
          <w:rFonts w:hint="eastAsia" w:ascii="仿宋" w:hAnsi="仿宋" w:eastAsia="仿宋" w:cs="宋体"/>
          <w:color w:val="000000"/>
          <w:sz w:val="24"/>
          <w:lang w:bidi="ar"/>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r>
    </w:tbl>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4"/>
          <w:szCs w:val="21"/>
          <w:u w:val="single"/>
          <w:lang w:val="zh-CN"/>
        </w:rPr>
      </w:pPr>
      <w:r>
        <w:rPr>
          <w:rFonts w:hint="eastAsia" w:ascii="宋体"/>
          <w:sz w:val="24"/>
          <w:szCs w:val="21"/>
          <w:lang w:val="zh-CN"/>
        </w:rPr>
        <w:t xml:space="preserve">致：</w:t>
      </w:r>
      <w:r>
        <w:rPr>
          <w:rFonts w:hint="eastAsia" w:ascii="宋体"/>
          <w:sz w:val="24"/>
          <w:szCs w:val="21"/>
          <w:u w:val="single"/>
          <w:lang w:val="zh-CN"/>
        </w:rPr>
        <w:t xml:space="preserve">       </w:t>
      </w:r>
      <w:r>
        <w:rPr>
          <w:rFonts w:hint="eastAsia" w:ascii="宋体"/>
          <w:sz w:val="24"/>
          <w:szCs w:val="21"/>
          <w:u w:val="single"/>
        </w:rPr>
        <w:t xml:space="preserve">        </w:t>
      </w:r>
      <w:r>
        <w:rPr>
          <w:rFonts w:hint="eastAsia" w:ascii="宋体"/>
          <w:sz w:val="24"/>
          <w:szCs w:val="21"/>
          <w:u w:val="single"/>
          <w:lang w:val="zh-CN"/>
        </w:rPr>
        <w:t xml:space="preserve">             </w:t>
      </w:r>
      <w:r/>
    </w:p>
    <w:p>
      <w:pPr>
        <w:ind w:firstLine="420"/>
        <w:spacing w:line="360" w:lineRule="auto"/>
        <w:rPr>
          <w:rFonts w:ascii="宋体"/>
          <w:sz w:val="24"/>
          <w:szCs w:val="21"/>
          <w:lang w:val="zh-CN"/>
        </w:rPr>
      </w:pPr>
      <w:r>
        <w:rPr>
          <w:rFonts w:hint="eastAsia" w:ascii="宋体"/>
          <w:sz w:val="24"/>
          <w:szCs w:val="21"/>
          <w:lang w:val="zh-CN"/>
        </w:rPr>
        <w:t xml:space="preserve">根据贵方</w:t>
      </w:r>
      <w:r>
        <w:rPr>
          <w:rFonts w:hint="eastAsia" w:ascii="宋体"/>
          <w:sz w:val="24"/>
          <w:szCs w:val="21"/>
          <w:u w:val="single"/>
          <w:lang w:val="zh-CN"/>
        </w:rPr>
        <w:t xml:space="preserve">                            </w:t>
      </w:r>
      <w:r>
        <w:rPr>
          <w:rFonts w:hint="eastAsia" w:ascii="宋体"/>
          <w:sz w:val="24"/>
          <w:szCs w:val="21"/>
          <w:lang w:val="zh-CN"/>
        </w:rPr>
        <w:t xml:space="preserve">（项目名称） </w:t>
      </w:r>
      <w:r>
        <w:rPr>
          <w:rFonts w:hint="eastAsia" w:ascii="宋体"/>
          <w:b/>
          <w:sz w:val="24"/>
          <w:szCs w:val="21"/>
          <w:u w:val="single"/>
          <w:lang w:val="zh-CN"/>
        </w:rPr>
        <w:t xml:space="preserve">       </w:t>
      </w:r>
      <w:r>
        <w:rPr>
          <w:rFonts w:hint="eastAsia" w:ascii="宋体"/>
          <w:sz w:val="24"/>
          <w:szCs w:val="21"/>
          <w:lang w:val="zh-CN"/>
        </w:rPr>
        <w:t xml:space="preserve">（项目编号）竞争性磋商邀请，正式授权</w:t>
      </w:r>
      <w:r>
        <w:rPr>
          <w:rFonts w:ascii="宋体"/>
          <w:sz w:val="24"/>
          <w:szCs w:val="21"/>
          <w:u w:val="single"/>
          <w:lang w:val="zh-CN"/>
        </w:rPr>
        <w:t xml:space="preserve">                   </w:t>
      </w:r>
      <w:r>
        <w:rPr>
          <w:rFonts w:ascii="宋体"/>
          <w:sz w:val="24"/>
          <w:szCs w:val="21"/>
          <w:lang w:val="zh-CN"/>
        </w:rPr>
        <w:t xml:space="preserve">(</w:t>
      </w:r>
      <w:r>
        <w:rPr>
          <w:rFonts w:hint="eastAsia" w:ascii="宋体"/>
          <w:sz w:val="24"/>
          <w:szCs w:val="21"/>
          <w:lang w:val="zh-CN"/>
        </w:rPr>
        <w:t xml:space="preserve">姓名和职务</w:t>
      </w:r>
      <w:r>
        <w:rPr>
          <w:rFonts w:ascii="宋体"/>
          <w:sz w:val="24"/>
          <w:szCs w:val="21"/>
          <w:lang w:val="zh-CN"/>
        </w:rPr>
        <w:t xml:space="preserve">)</w:t>
      </w:r>
      <w:r>
        <w:rPr>
          <w:rFonts w:hint="eastAsia" w:ascii="宋体"/>
          <w:sz w:val="24"/>
          <w:szCs w:val="21"/>
          <w:lang w:val="zh-CN"/>
        </w:rPr>
        <w:t xml:space="preserve">代表</w:t>
      </w:r>
      <w:r>
        <w:rPr>
          <w:rFonts w:ascii="宋体"/>
          <w:sz w:val="24"/>
          <w:szCs w:val="21"/>
          <w:u w:val="single"/>
          <w:lang w:val="zh-CN"/>
        </w:rPr>
        <w:t xml:space="preserve">                   </w:t>
      </w:r>
      <w:r>
        <w:rPr>
          <w:rFonts w:hint="eastAsia" w:ascii="宋体"/>
          <w:sz w:val="24"/>
          <w:szCs w:val="21"/>
          <w:lang w:val="zh-CN"/>
        </w:rPr>
        <w:t xml:space="preserve">（供应商名称），提交响应文件并参加磋商。</w:t>
      </w:r>
      <w:r/>
    </w:p>
    <w:p>
      <w:pPr>
        <w:ind w:firstLine="480"/>
        <w:spacing w:line="360" w:lineRule="auto"/>
        <w:rPr>
          <w:rFonts w:hint="eastAsia" w:ascii="宋体" w:hAnsi="宋体"/>
          <w:sz w:val="24"/>
        </w:rPr>
      </w:pPr>
      <w:r>
        <w:rPr>
          <w:rFonts w:hint="eastAsia" w:ascii="宋体" w:hAnsi="宋体"/>
          <w:sz w:val="24"/>
        </w:rPr>
        <w:t xml:space="preserve">据此函，代表人兹宣布同意如下：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sz w:val="24"/>
          <w:szCs w:val="21"/>
          <w:lang w:val="zh-CN"/>
        </w:rPr>
        <w:t xml:space="preserve">我们的资格条件完全符合政府采购法和本次采购要求，</w:t>
      </w:r>
      <w:r>
        <w:rPr>
          <w:rFonts w:hint="eastAsia"/>
          <w:sz w:val="24"/>
        </w:rPr>
        <w:t xml:space="preserve">我们</w:t>
      </w:r>
      <w:r>
        <w:rPr>
          <w:rFonts w:hint="eastAsia" w:ascii="宋体"/>
          <w:sz w:val="24"/>
          <w:szCs w:val="21"/>
          <w:lang w:val="zh-CN"/>
        </w:rPr>
        <w:t xml:space="preserve">同意并向贵方提供了与本次采购活动有关的所有证据和资料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sz w:val="24"/>
          <w:szCs w:val="21"/>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sz w:val="24"/>
        </w:rPr>
      </w:pPr>
      <w:r>
        <w:rPr>
          <w:rFonts w:hint="eastAsia" w:ascii="宋体" w:hAnsi="宋体"/>
          <w:sz w:val="24"/>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4"/>
          <w:szCs w:val="21"/>
        </w:rPr>
      </w:pPr>
      <w:r>
        <w:rPr>
          <w:rFonts w:hint="eastAsia" w:ascii="宋体" w:hAnsi="宋体"/>
          <w:sz w:val="24"/>
        </w:rPr>
        <w:t xml:space="preserve">5、我方决不</w:t>
      </w:r>
      <w:r>
        <w:rPr>
          <w:rFonts w:hint="eastAsia" w:ascii="宋体" w:hAnsi="宋体"/>
          <w:sz w:val="24"/>
          <w:szCs w:val="21"/>
        </w:rPr>
        <w:t xml:space="preserve">提供虚假材料谋取成交、</w:t>
      </w:r>
      <w:r>
        <w:rPr>
          <w:rFonts w:hint="eastAsia" w:ascii="宋体" w:hAnsi="宋体"/>
          <w:sz w:val="24"/>
        </w:rPr>
        <w:t xml:space="preserve">决不</w:t>
      </w:r>
      <w:r>
        <w:rPr>
          <w:rFonts w:hint="eastAsia" w:ascii="宋体" w:hAnsi="宋体"/>
          <w:sz w:val="24"/>
          <w:szCs w:val="21"/>
        </w:rPr>
        <w:t xml:space="preserve">采取不正当手段诋毁、排挤其他供应商、</w:t>
      </w:r>
      <w:r>
        <w:rPr>
          <w:rFonts w:hint="eastAsia" w:ascii="宋体" w:hAnsi="宋体"/>
          <w:sz w:val="24"/>
        </w:rPr>
        <w:t xml:space="preserve">决不</w:t>
      </w:r>
      <w:r>
        <w:rPr>
          <w:rFonts w:hint="eastAsia" w:ascii="宋体" w:hAnsi="宋体"/>
          <w:sz w:val="24"/>
          <w:szCs w:val="21"/>
        </w:rPr>
        <w:t xml:space="preserve">与采购人、其它供应商或者</w:t>
      </w:r>
      <w:r>
        <w:rPr>
          <w:rFonts w:hint="eastAsia" w:ascii="宋体" w:hAnsi="宋体"/>
          <w:sz w:val="24"/>
          <w:szCs w:val="21"/>
        </w:rPr>
        <w:t xml:space="preserve">代理机构</w:t>
      </w:r>
      <w:r>
        <w:rPr>
          <w:rFonts w:hint="eastAsia" w:ascii="宋体" w:hAnsi="宋体"/>
          <w:sz w:val="24"/>
          <w:szCs w:val="21"/>
        </w:rPr>
        <w:t xml:space="preserve">恶意串通、</w:t>
      </w:r>
      <w:r>
        <w:rPr>
          <w:rFonts w:hint="eastAsia" w:ascii="宋体" w:hAnsi="宋体"/>
          <w:sz w:val="24"/>
        </w:rPr>
        <w:t xml:space="preserve">决不</w:t>
      </w:r>
      <w:r>
        <w:rPr>
          <w:rFonts w:hint="eastAsia" w:ascii="宋体" w:hAnsi="宋体"/>
          <w:sz w:val="24"/>
          <w:szCs w:val="21"/>
        </w:rPr>
        <w:t xml:space="preserve">向</w:t>
      </w:r>
      <w:r>
        <w:rPr>
          <w:rFonts w:hint="eastAsia" w:ascii="宋体" w:hAnsi="宋体"/>
          <w:sz w:val="24"/>
        </w:rPr>
        <w:t xml:space="preserve">采购人、</w:t>
      </w:r>
      <w:r>
        <w:rPr>
          <w:rFonts w:hint="eastAsia" w:ascii="宋体" w:hAnsi="宋体"/>
          <w:sz w:val="24"/>
        </w:rPr>
        <w:t xml:space="preserve">代理机构</w:t>
      </w:r>
      <w:r>
        <w:rPr>
          <w:rFonts w:hint="eastAsia" w:ascii="宋体" w:hAnsi="宋体"/>
          <w:sz w:val="24"/>
        </w:rPr>
        <w:t xml:space="preserve">工作人员和磋商小组进行商业贿赂</w:t>
      </w:r>
      <w:r>
        <w:rPr>
          <w:rFonts w:hint="eastAsia" w:ascii="宋体" w:hAnsi="宋体"/>
          <w:sz w:val="24"/>
          <w:szCs w:val="21"/>
        </w:rPr>
        <w:t xml:space="preserve">、决不拒绝有关部门监督检查或提供虚假情况，如有违反，</w:t>
      </w:r>
      <w:r>
        <w:rPr>
          <w:rFonts w:hint="eastAsia" w:ascii="宋体" w:hAnsi="宋体"/>
          <w:sz w:val="24"/>
        </w:rPr>
        <w:t xml:space="preserve">无条件接受贵方及相关管理部门的处罚。</w:t>
      </w:r>
      <w:r/>
    </w:p>
    <w:p>
      <w:pPr>
        <w:ind w:firstLine="480"/>
        <w:spacing w:line="360" w:lineRule="auto"/>
        <w:rPr>
          <w:rFonts w:hint="eastAsia" w:ascii="宋体" w:hAnsi="宋体"/>
          <w:sz w:val="24"/>
        </w:rPr>
      </w:pPr>
      <w:r>
        <w:rPr>
          <w:rFonts w:hint="eastAsia" w:ascii="宋体" w:hAnsi="宋体"/>
          <w:sz w:val="24"/>
        </w:rPr>
        <w:t xml:space="preserve">6、我方正式通讯方式为：</w:t>
      </w:r>
      <w:r/>
    </w:p>
    <w:p>
      <w:pPr>
        <w:ind w:firstLine="48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传   真：</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7、我方正式开户银行和帐号为：</w:t>
      </w:r>
      <w:r/>
    </w:p>
    <w:p>
      <w:pPr>
        <w:ind w:firstLine="480"/>
        <w:spacing w:line="360" w:lineRule="auto"/>
        <w:rPr>
          <w:rFonts w:hint="eastAsia"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帐    号：</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供应商名称</w:t>
      </w:r>
      <w:r>
        <w:rPr>
          <w:rFonts w:hint="eastAsia" w:ascii="宋体" w:hAnsi="宋体"/>
          <w:sz w:val="24"/>
          <w:lang w:bidi="zh-CN"/>
        </w:rPr>
        <w:t xml:space="preserve">（加盖电子公章）</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8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8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8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8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8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894"/>
        <w:tblW w:w="0" w:type="auto"/>
        <w:tblLook w:val="04A0" w:firstRow="1" w:lastRow="0" w:firstColumn="1" w:lastColumn="0" w:noHBand="0" w:noVBand="1"/>
      </w:tblPr>
      <w:tblGrid>
        <w:gridCol w:w="3171"/>
        <w:gridCol w:w="3171"/>
        <w:gridCol w:w="3172"/>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大厂街道路口景观服务</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8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ascii="宋体" w:cs="宋体"/>
          <w:b/>
          <w:sz w:val="22"/>
          <w:szCs w:val="21"/>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widowControl/>
        <w:rPr>
          <w:rFonts w:hint="eastAsia" w:ascii="黑体" w:hAnsi="黑体" w:eastAsia="黑体" w:cs="宋体"/>
          <w:bCs/>
          <w:sz w:val="36"/>
          <w:szCs w:val="36"/>
        </w:rPr>
      </w:pPr>
      <w:r>
        <w:rPr>
          <w:rFonts w:hint="eastAsia" w:ascii="黑体" w:hAnsi="黑体" w:eastAsia="黑体" w:cs="宋体"/>
          <w:bCs/>
          <w:sz w:val="36"/>
          <w:szCs w:val="36"/>
        </w:rPr>
        <w:t xml:space="preserve">分项报价表</w:t>
      </w:r>
      <w:r/>
    </w:p>
    <w:tbl>
      <w:tblPr>
        <w:tblStyle w:val="894"/>
        <w:tblW w:w="10207" w:type="dxa"/>
        <w:tblInd w:w="-318" w:type="dxa"/>
        <w:tblLook w:val="04A0" w:firstRow="1" w:lastRow="0" w:firstColumn="1" w:lastColumn="0" w:noHBand="0" w:noVBand="1"/>
      </w:tblPr>
      <w:tblGrid>
        <w:gridCol w:w="568"/>
        <w:gridCol w:w="992"/>
        <w:gridCol w:w="1134"/>
        <w:gridCol w:w="3686"/>
        <w:gridCol w:w="850"/>
        <w:gridCol w:w="993"/>
        <w:gridCol w:w="992"/>
        <w:gridCol w:w="992"/>
      </w:tblGrid>
      <w:tr>
        <w:trPr/>
        <w:tc>
          <w:tcPr>
            <w:tcW w:w="568" w:type="dxa"/>
            <w:vAlign w:val="center"/>
            <w:textDirection w:val="lrTb"/>
            <w:noWrap w:val="false"/>
          </w:tcPr>
          <w:p>
            <w:pPr>
              <w:jc w:val="center"/>
            </w:pPr>
            <w:r>
              <w:rPr>
                <w:rFonts w:hint="eastAsia"/>
              </w:rPr>
              <w:t xml:space="preserve">序号</w:t>
            </w:r>
            <w:r/>
          </w:p>
        </w:tc>
        <w:tc>
          <w:tcPr>
            <w:tcW w:w="992" w:type="dxa"/>
            <w:vAlign w:val="center"/>
            <w:textDirection w:val="lrTb"/>
            <w:noWrap w:val="false"/>
          </w:tcPr>
          <w:p>
            <w:pPr>
              <w:jc w:val="center"/>
            </w:pPr>
            <w:r>
              <w:rPr>
                <w:rFonts w:hint="eastAsia"/>
              </w:rPr>
              <w:t xml:space="preserve">区域</w:t>
            </w:r>
            <w:r/>
          </w:p>
        </w:tc>
        <w:tc>
          <w:tcPr>
            <w:tcW w:w="1134" w:type="dxa"/>
            <w:vAlign w:val="center"/>
            <w:textDirection w:val="lrTb"/>
            <w:noWrap w:val="false"/>
          </w:tcPr>
          <w:p>
            <w:pPr>
              <w:jc w:val="center"/>
            </w:pPr>
            <w:r>
              <w:rPr>
                <w:rFonts w:hint="eastAsia"/>
              </w:rPr>
              <w:t xml:space="preserve">名称</w:t>
            </w:r>
            <w:r/>
          </w:p>
        </w:tc>
        <w:tc>
          <w:tcPr>
            <w:tcW w:w="3686" w:type="dxa"/>
            <w:vAlign w:val="center"/>
            <w:textDirection w:val="lrTb"/>
            <w:noWrap w:val="false"/>
          </w:tcPr>
          <w:p>
            <w:pPr>
              <w:jc w:val="center"/>
            </w:pPr>
            <w:r>
              <w:rPr>
                <w:rFonts w:hint="eastAsia"/>
              </w:rPr>
              <w:t xml:space="preserve">规格</w:t>
            </w:r>
            <w:r/>
          </w:p>
        </w:tc>
        <w:tc>
          <w:tcPr>
            <w:tcW w:w="850" w:type="dxa"/>
            <w:vAlign w:val="center"/>
            <w:textDirection w:val="lrTb"/>
            <w:noWrap w:val="false"/>
          </w:tcPr>
          <w:p>
            <w:pPr>
              <w:jc w:val="center"/>
            </w:pPr>
            <w:r>
              <w:rPr>
                <w:rFonts w:hint="eastAsia"/>
              </w:rPr>
              <w:t xml:space="preserve">数量</w:t>
            </w:r>
            <w:r/>
          </w:p>
        </w:tc>
        <w:tc>
          <w:tcPr>
            <w:tcW w:w="993" w:type="dxa"/>
            <w:vAlign w:val="center"/>
            <w:textDirection w:val="lrTb"/>
            <w:noWrap w:val="false"/>
          </w:tcPr>
          <w:p>
            <w:pPr>
              <w:jc w:val="center"/>
            </w:pPr>
            <w:r>
              <w:rPr>
                <w:rFonts w:hint="eastAsia"/>
              </w:rPr>
              <w:t xml:space="preserve">单位</w:t>
            </w:r>
            <w:r/>
          </w:p>
        </w:tc>
        <w:tc>
          <w:tcPr>
            <w:tcW w:w="992" w:type="dxa"/>
            <w:vAlign w:val="center"/>
            <w:textDirection w:val="lrTb"/>
            <w:noWrap w:val="false"/>
          </w:tcPr>
          <w:p>
            <w:pPr>
              <w:jc w:val="center"/>
            </w:pPr>
            <w:r>
              <w:rPr>
                <w:rFonts w:hint="eastAsia"/>
              </w:rPr>
              <w:t xml:space="preserve">单价</w:t>
            </w:r>
            <w:r>
              <w:rPr>
                <w:rFonts w:hint="eastAsia"/>
              </w:rPr>
              <w:t xml:space="preserve">（元）</w:t>
            </w:r>
            <w:r/>
          </w:p>
        </w:tc>
        <w:tc>
          <w:tcPr>
            <w:tcW w:w="992" w:type="dxa"/>
            <w:vAlign w:val="center"/>
            <w:textDirection w:val="lrTb"/>
            <w:noWrap w:val="false"/>
          </w:tcPr>
          <w:p>
            <w:pPr>
              <w:jc w:val="center"/>
            </w:pPr>
            <w:r>
              <w:rPr>
                <w:rFonts w:hint="eastAsia"/>
              </w:rPr>
              <w:t xml:space="preserve">合价</w:t>
            </w:r>
            <w:r>
              <w:rPr>
                <w:rFonts w:hint="eastAsia"/>
              </w:rPr>
              <w:t xml:space="preserve">（元）</w:t>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1</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杨新路(南）</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雕塑小品景观服务——工业新城·活力大厂</w:t>
            </w:r>
            <w:r/>
          </w:p>
        </w:tc>
        <w:tc>
          <w:tcPr>
            <w:tcW w:w="3686" w:type="dxa"/>
            <w:vAlign w:val="center"/>
            <w:textDirection w:val="lrTb"/>
            <w:noWrap w:val="false"/>
          </w:tcPr>
          <w:p>
            <w:pPr>
              <w:jc w:val="left"/>
              <w:rPr>
                <w:rFonts w:ascii="宋体" w:hAnsi="宋体"/>
                <w:color w:val="000000"/>
                <w:sz w:val="22"/>
                <w:szCs w:val="22"/>
              </w:rPr>
            </w:pPr>
            <w:r>
              <w:rPr>
                <w:rFonts w:hint="eastAsia" w:ascii="宋体" w:hAnsi="宋体"/>
                <w:color w:val="000000"/>
                <w:sz w:val="22"/>
                <w:szCs w:val="22"/>
              </w:rPr>
              <w:t xml:space="preserve">1、雕塑材质及尺寸：4m*6m，1.2mm厚度的304不锈钢材质，仿古做旧处理，内置钢结构骨架、安装LED光源及灯具、雕塑表面汽车烤漆，整体增设绿植点缀；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2、花境苗木：金边黄杨、火焰南天竹、鼠尾草、银叶菊、红色角堇、黄色角堇、紫色角堇、果汁阳台、月季、花叶络石、四季海棠，共计苗木3800棵）；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3、安装照明设备包括8套投光灯光AC220V 12W 5000K，户外防雨电箱（含220V电表1台、空开40A1个空开16A3个)，铺设一条15米主电缆RVV3*4Øpe32管及30米RVV2*2.5Øpe20管；</w:t>
            </w:r>
            <w:r/>
          </w:p>
          <w:p>
            <w:pPr>
              <w:jc w:val="left"/>
              <w:rPr>
                <w:rFonts w:hint="eastAsia" w:ascii="宋体" w:hAnsi="宋体"/>
                <w:color w:val="000000"/>
                <w:sz w:val="22"/>
                <w:szCs w:val="22"/>
              </w:rPr>
            </w:pPr>
            <w:r>
              <w:rPr>
                <w:rFonts w:hint="eastAsia" w:ascii="宋体" w:hAnsi="宋体"/>
                <w:color w:val="000000"/>
                <w:sz w:val="22"/>
                <w:szCs w:val="22"/>
              </w:rPr>
              <w:t xml:space="preserve">4、管养期两年（时花一年换4季，共8季）；</w:t>
            </w:r>
            <w:r/>
          </w:p>
          <w:p>
            <w:pPr>
              <w:jc w:val="left"/>
              <w:rPr>
                <w:rFonts w:hint="eastAsia" w:ascii="宋体" w:hAnsi="宋体"/>
                <w:color w:val="000000"/>
                <w:sz w:val="22"/>
                <w:szCs w:val="22"/>
              </w:rPr>
            </w:pPr>
            <w:r>
              <w:rPr>
                <w:rFonts w:hint="eastAsia" w:ascii="宋体" w:hAnsi="宋体"/>
                <w:color w:val="000000"/>
                <w:sz w:val="22"/>
                <w:szCs w:val="22"/>
              </w:rPr>
              <w:t xml:space="preserve">5、安装隔离栏杆（栏杆高：400mm，30米）。加上投光灯光结合融为一体；通过现代感的材质和线条，传递出面向未来的科技感与活力，寓意大厂从传统工业区向创新型新城转型的定位。</w:t>
            </w:r>
            <w:r/>
          </w:p>
          <w:p>
            <w:pPr>
              <w:rPr>
                <w:rFonts w:ascii="宋体" w:hAnsi="宋体"/>
              </w:rPr>
            </w:pPr>
            <w:r>
              <w:rPr>
                <w:rFonts w:hint="eastAsia" w:ascii="宋体" w:hAnsi="宋体"/>
                <w:color w:val="000000"/>
                <w:sz w:val="22"/>
                <w:szCs w:val="22"/>
              </w:rPr>
              <w:t xml:space="preserve">底部的自然花境与置石设计，将硬质的工业标识与周边的绿化空间柔和衔接，弱化了建筑与自然的边界，呼应“和谐共生”的生态理念。</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2</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杨新路(北）</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雕塑小品景观服务——街角焕新</w:t>
            </w:r>
            <w:r>
              <w:rPr>
                <w:rFonts w:hint="eastAsia" w:ascii="微软雅黑" w:hAnsi="微软雅黑" w:eastAsia="微软雅黑" w:cs="微软雅黑"/>
              </w:rPr>
              <w:t xml:space="preserve">・</w:t>
            </w:r>
            <w:r>
              <w:rPr>
                <w:rFonts w:hint="eastAsia" w:ascii="宋体" w:hAnsi="宋体"/>
              </w:rPr>
              <w:t xml:space="preserve">生态织补</w:t>
            </w:r>
            <w:r/>
          </w:p>
        </w:tc>
        <w:tc>
          <w:tcPr>
            <w:tcW w:w="3686"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1、辅助安装少量LED光源和灯具，用30mm300*600芝麻白火烧面石材、 30mm厚芝麻白立牙石等材质铺装90米休闲道路、安装休闲座椅、小品装置，整体增设绿植点缀总面积约120平方米； </w:t>
            </w:r>
            <w:r/>
          </w:p>
          <w:p>
            <w:pPr>
              <w:jc w:val="left"/>
              <w:rPr>
                <w:rFonts w:hint="eastAsia" w:ascii="宋体" w:hAnsi="宋体"/>
                <w:color w:val="000000"/>
                <w:sz w:val="22"/>
                <w:szCs w:val="22"/>
              </w:rPr>
            </w:pPr>
            <w:r>
              <w:rPr>
                <w:rFonts w:hint="eastAsia" w:ascii="宋体" w:hAnsi="宋体"/>
                <w:color w:val="000000"/>
                <w:sz w:val="22"/>
                <w:szCs w:val="22"/>
              </w:rPr>
              <w:t xml:space="preserve">2、花境苗木：亮晶女贞球、剑麻、四季海棠、南天竹、亮晶女贞塔、果汁阳台、迷迭香、花叶络石、鼠尾草、银叶菊、百子莲、欧石竹、红色角堇、黄色角堇紫色角堇、金丝苔草，共计苗木5400棵；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3、安装照明设备包括，草坪灯10套AC220V 10W H=400 ，30米LED灯带:DC24V 10W ，1台户外防雨电箱含220V电表、空开40A1个空开</w:t>
            </w:r>
            <w:r>
              <w:rPr>
                <w:rFonts w:hint="eastAsia" w:ascii="宋体" w:hAnsi="宋体"/>
                <w:color w:val="000000"/>
                <w:sz w:val="22"/>
                <w:szCs w:val="22"/>
              </w:rPr>
              <w:t xml:space="preserve">16A3个；8套投光灯光AC220V 12W 5000K，铺设一条30米主电缆RVV3*4Øpe32管及130米RVV2*2.5Øpe20管。安装1.8m高方管钢架铁皮围挡40米。把街角闲置绿地草坪，打造成开放式休憩场所，采用暖色调LED灯带勾勒步道轮廓，设置休闲区，作为市民小型活动场所。</w:t>
            </w:r>
            <w:r/>
          </w:p>
          <w:p>
            <w:pPr>
              <w:rPr>
                <w:rFonts w:hint="eastAsia" w:ascii="宋体" w:hAnsi="宋体"/>
              </w:rPr>
            </w:pPr>
            <w:r>
              <w:rPr>
                <w:rFonts w:hint="eastAsia" w:ascii="宋体" w:hAnsi="宋体"/>
                <w:color w:val="000000"/>
                <w:sz w:val="22"/>
                <w:szCs w:val="22"/>
              </w:rPr>
              <w:t xml:space="preserve">4、管养期两年（时花一年换4季，共8季）。</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3</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葛关路北</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雕塑小品景观服务——生态共融·绿韵大厂1</w:t>
            </w:r>
            <w:r/>
          </w:p>
        </w:tc>
        <w:tc>
          <w:tcPr>
            <w:tcW w:w="3686"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1、雕塑尺寸及材质：2套1m*1.6m*异形造型，1.2mm厚度的304不锈钢材质，仿古做旧处理，内置钢结构骨架，安装照明设备，在雕塑安装后整体增设绿植点缀；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2、花境苗木：果汁阳台、夏娟、红色角堇、黄色角堇、紫色角堇，共计苗木4300棵；</w:t>
            </w:r>
            <w:r/>
          </w:p>
          <w:p>
            <w:pPr>
              <w:jc w:val="left"/>
              <w:rPr>
                <w:rFonts w:hint="eastAsia" w:ascii="宋体" w:hAnsi="宋体"/>
                <w:color w:val="000000"/>
                <w:sz w:val="22"/>
                <w:szCs w:val="22"/>
              </w:rPr>
            </w:pPr>
            <w:r>
              <w:rPr>
                <w:rFonts w:hint="eastAsia" w:ascii="宋体" w:hAnsi="宋体"/>
                <w:color w:val="000000"/>
                <w:sz w:val="22"/>
                <w:szCs w:val="22"/>
              </w:rPr>
              <w:t xml:space="preserve">3、结合周边做步道造景，面积约为150平方米。（主要通过 30mm300*600芝麻白火烧面石材和30mm厚芝麻白立牙石等铺装）。</w:t>
            </w:r>
            <w:r/>
          </w:p>
          <w:p>
            <w:pPr>
              <w:jc w:val="left"/>
              <w:rPr>
                <w:rFonts w:hint="eastAsia" w:ascii="宋体" w:hAnsi="宋体"/>
                <w:color w:val="000000"/>
                <w:sz w:val="22"/>
                <w:szCs w:val="22"/>
              </w:rPr>
            </w:pPr>
            <w:r>
              <w:rPr>
                <w:rFonts w:hint="eastAsia" w:ascii="宋体" w:hAnsi="宋体"/>
                <w:color w:val="000000"/>
                <w:sz w:val="22"/>
                <w:szCs w:val="22"/>
              </w:rPr>
              <w:t xml:space="preserve">4、安装照明设备包括：投光灯光12套AC220V 12W 5000K，照树灯21套AC220V 26W 5000K ，户外防雨电箱1台含220V电表，空开3个40A1个空开16A，投光灯光8套AC220V 12W 5000K；2台开关电源AC220V/DC24V 150W IP67  ，一条30米主电缆RVV3*4Øpe32及80米RVV2*2.5Øpe20管。安装1.8m高方管钢架铁皮围挡40米。</w:t>
            </w:r>
            <w:r/>
          </w:p>
          <w:p>
            <w:pPr>
              <w:jc w:val="left"/>
              <w:rPr>
                <w:rFonts w:hint="eastAsia" w:ascii="宋体" w:hAnsi="宋体"/>
                <w:color w:val="000000"/>
                <w:sz w:val="22"/>
                <w:szCs w:val="22"/>
              </w:rPr>
            </w:pPr>
            <w:r>
              <w:rPr>
                <w:rFonts w:hint="eastAsia" w:ascii="宋体" w:hAnsi="宋体"/>
                <w:color w:val="000000"/>
                <w:sz w:val="22"/>
                <w:szCs w:val="22"/>
              </w:rPr>
              <w:t xml:space="preserve">5、管养期两年（时花一年换4季，共8季）；</w:t>
            </w:r>
            <w:r/>
          </w:p>
          <w:p>
            <w:pPr>
              <w:rPr>
                <w:rFonts w:hint="eastAsia" w:ascii="宋体" w:hAnsi="宋体"/>
              </w:rPr>
            </w:pPr>
            <w:r>
              <w:rPr>
                <w:rFonts w:hint="eastAsia" w:ascii="宋体" w:hAnsi="宋体"/>
                <w:color w:val="000000"/>
                <w:sz w:val="22"/>
                <w:szCs w:val="22"/>
              </w:rPr>
              <w:t xml:space="preserve">6、通过小品串联起整个绿地，既为周边居民提供了休闲散步、停留的空间，让忙碌的都市人群可以“见缝插针”地享受自然，用有限的空间实现生态、功能与美学的统一，把原本闲置的街角变成了服务市民的“城市会客厅”。</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4</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葛关路南</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雕塑小品景观服务——生态共融·绿韵大厂2</w:t>
            </w:r>
            <w:r/>
          </w:p>
        </w:tc>
        <w:tc>
          <w:tcPr>
            <w:tcW w:w="3686"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1、雕塑尺寸及材质：5m*2m，1.2mm厚度304不锈钢材质，仿古做旧处理，内置钢结构骨架，铺设管线和灯具、整体增设绿植点缀；</w:t>
            </w:r>
            <w:r/>
          </w:p>
          <w:p>
            <w:pPr>
              <w:jc w:val="left"/>
              <w:rPr>
                <w:rFonts w:hint="eastAsia" w:ascii="宋体" w:hAnsi="宋体"/>
                <w:color w:val="000000"/>
                <w:sz w:val="22"/>
                <w:szCs w:val="22"/>
              </w:rPr>
            </w:pPr>
            <w:r>
              <w:rPr>
                <w:rFonts w:hint="eastAsia" w:ascii="宋体" w:hAnsi="宋体"/>
                <w:color w:val="000000"/>
                <w:sz w:val="22"/>
                <w:szCs w:val="22"/>
              </w:rPr>
              <w:t xml:space="preserve">2、花境苗木：亮晶女贞球、剑麻、四季海棠、南天竹、一叶兰、亮晶女贞、棒棒糖、小叶女贞球、亮晶</w:t>
            </w:r>
            <w:r>
              <w:rPr>
                <w:rFonts w:hint="eastAsia" w:ascii="宋体" w:hAnsi="宋体"/>
                <w:color w:val="000000"/>
                <w:sz w:val="22"/>
                <w:szCs w:val="22"/>
              </w:rPr>
              <w:t xml:space="preserve">女贞塔、迷迭香、果汁阳台、西哥羽毛、红色角堇、黄色角堇、紫色角堇、孔雀草、翠芦莉、鼠尾草、蛇鞭菊、鸢尾金丝苔草、花叶络石，共计苗木4600棵；</w:t>
            </w:r>
            <w:r/>
          </w:p>
          <w:p>
            <w:pPr>
              <w:jc w:val="left"/>
              <w:rPr>
                <w:rFonts w:hint="eastAsia" w:ascii="宋体" w:hAnsi="宋体"/>
                <w:color w:val="000000"/>
                <w:sz w:val="22"/>
                <w:szCs w:val="22"/>
              </w:rPr>
            </w:pPr>
            <w:r>
              <w:rPr>
                <w:rFonts w:hint="eastAsia" w:ascii="宋体" w:hAnsi="宋体"/>
                <w:color w:val="000000"/>
                <w:sz w:val="22"/>
                <w:szCs w:val="22"/>
              </w:rPr>
              <w:t xml:space="preserve">3、结合周边步道造景，园路面积约为180平方米用100mm碎石、20mm芝麻白光板侧板、30mm芝麻白圆形倒角压顶板、30mm芝麻灰踏步板等铺装，做直径240mm圆形花池。</w:t>
            </w:r>
            <w:r/>
          </w:p>
          <w:p>
            <w:pPr>
              <w:jc w:val="left"/>
              <w:rPr>
                <w:rFonts w:hint="eastAsia" w:ascii="宋体" w:hAnsi="宋体"/>
                <w:color w:val="000000"/>
                <w:sz w:val="22"/>
                <w:szCs w:val="22"/>
              </w:rPr>
            </w:pPr>
            <w:r>
              <w:rPr>
                <w:rFonts w:hint="eastAsia" w:ascii="宋体" w:hAnsi="宋体"/>
                <w:color w:val="000000"/>
                <w:sz w:val="22"/>
                <w:szCs w:val="22"/>
              </w:rPr>
              <w:t xml:space="preserve">5、按照照明设备，10套草坪灯AC220V 10W H=400 ；15套星星灯AC220V 10W H=300 ，30米LED灯带:DC24V 10W ，1台户外防雨电箱含220V电表、3个空开40A1个空开16A；8套投光灯光AC220V 12W 5000K，2台开关电源AC220V/DC24V 150W IP67，铺设一条30米主电缆RVV3*4Øpe32管及128米RVV2*2.5Øpe20管，安装1.8m高方管钢架铁皮围挡55米。</w:t>
            </w:r>
            <w:r/>
          </w:p>
          <w:p>
            <w:pPr>
              <w:jc w:val="left"/>
              <w:rPr>
                <w:rFonts w:hint="eastAsia" w:ascii="宋体" w:hAnsi="宋体"/>
                <w:color w:val="000000"/>
                <w:sz w:val="22"/>
                <w:szCs w:val="22"/>
              </w:rPr>
            </w:pPr>
            <w:r>
              <w:rPr>
                <w:rFonts w:hint="eastAsia" w:ascii="宋体" w:hAnsi="宋体"/>
                <w:color w:val="000000"/>
                <w:sz w:val="22"/>
                <w:szCs w:val="22"/>
              </w:rPr>
              <w:t xml:space="preserve">4、苗木管养期两年（时花一年换4季，共8季）；</w:t>
            </w:r>
            <w:r/>
          </w:p>
          <w:p>
            <w:pPr>
              <w:rPr>
                <w:rFonts w:hint="eastAsia" w:ascii="宋体" w:hAnsi="宋体"/>
              </w:rPr>
            </w:pPr>
            <w:r>
              <w:rPr>
                <w:rFonts w:hint="eastAsia" w:ascii="宋体" w:hAnsi="宋体"/>
                <w:color w:val="000000"/>
                <w:sz w:val="22"/>
                <w:szCs w:val="22"/>
              </w:rPr>
              <w:t xml:space="preserve">5、通过设计以视觉焦点，增设了花网红打卡等互动装置，结合层次丰富的花境，把原本的消极空间变成了一个可停留、可互动、可拍照的活力场域。</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5</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平顶山路</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雕塑小品景观服务——幸福大厂，焕新前行</w:t>
            </w:r>
            <w:r/>
          </w:p>
        </w:tc>
        <w:tc>
          <w:tcPr>
            <w:tcW w:w="3686"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1、雕塑尺寸材质：4*6m，1.2mm厚度304不锈钢材质，雕塑表面汽车烤漆、穿孔打眼，内置钢结构骨架、安装LED光源和灯具，铺设管线、整体增设绿植点缀场地总面积约为48平方米；</w:t>
            </w:r>
            <w:r/>
          </w:p>
          <w:p>
            <w:pPr>
              <w:jc w:val="left"/>
              <w:rPr>
                <w:rFonts w:hint="eastAsia" w:ascii="宋体" w:hAnsi="宋体"/>
                <w:color w:val="000000"/>
                <w:sz w:val="22"/>
                <w:szCs w:val="22"/>
              </w:rPr>
            </w:pPr>
            <w:r>
              <w:rPr>
                <w:rFonts w:hint="eastAsia" w:ascii="宋体" w:hAnsi="宋体"/>
                <w:color w:val="000000"/>
                <w:sz w:val="22"/>
                <w:szCs w:val="22"/>
              </w:rPr>
              <w:t xml:space="preserve">2、花境苗木：果汁阳台、姬小菊、银莲花，苗木共计1100棵；</w:t>
            </w:r>
            <w:r/>
          </w:p>
          <w:p>
            <w:pPr>
              <w:jc w:val="left"/>
              <w:rPr>
                <w:rFonts w:hint="eastAsia" w:ascii="宋体" w:hAnsi="宋体"/>
                <w:color w:val="000000"/>
                <w:sz w:val="22"/>
                <w:szCs w:val="22"/>
              </w:rPr>
            </w:pPr>
            <w:r>
              <w:rPr>
                <w:rFonts w:hint="eastAsia" w:ascii="宋体" w:hAnsi="宋体"/>
                <w:color w:val="000000"/>
                <w:sz w:val="22"/>
                <w:szCs w:val="22"/>
              </w:rPr>
              <w:t xml:space="preserve">3、安装照明设备，8套投光灯光AC220V 12W 5000K，60米LED灯带DC24V 10W，2台开关电源AC220V/DC24V 150W IP67，铺设一条15米主电缆RVV3*4Øpe32管及40米RVV2*2.5Øpe20管，安装1.8m高方管钢架铁皮围,20米。</w:t>
            </w:r>
            <w:r/>
          </w:p>
          <w:p>
            <w:pPr>
              <w:jc w:val="left"/>
              <w:rPr>
                <w:rFonts w:hint="eastAsia" w:ascii="宋体" w:hAnsi="宋体"/>
                <w:color w:val="000000"/>
                <w:sz w:val="22"/>
                <w:szCs w:val="22"/>
              </w:rPr>
            </w:pPr>
            <w:r>
              <w:rPr>
                <w:rFonts w:hint="eastAsia" w:ascii="宋体" w:hAnsi="宋体"/>
                <w:color w:val="000000"/>
                <w:sz w:val="22"/>
                <w:szCs w:val="22"/>
              </w:rPr>
              <w:t xml:space="preserve">4、苗木管养期两年（时花一年换4季，共8季）；</w:t>
            </w:r>
            <w:r/>
          </w:p>
          <w:p>
            <w:pPr>
              <w:rPr>
                <w:rFonts w:hint="eastAsia" w:ascii="宋体" w:hAnsi="宋体"/>
              </w:rPr>
            </w:pPr>
            <w:r>
              <w:rPr>
                <w:rFonts w:hint="eastAsia" w:ascii="宋体" w:hAnsi="宋体"/>
                <w:color w:val="000000"/>
                <w:sz w:val="22"/>
                <w:szCs w:val="22"/>
              </w:rPr>
              <w:t xml:space="preserve">5、投光灯光结合融为一体；依托周边平顶山公园承载的市民记忆，以白色圆形月洞门为核心视觉载体，内嵌平顶山的古亭、小桥流水剪</w:t>
            </w:r>
            <w:r>
              <w:rPr>
                <w:rFonts w:hint="eastAsia" w:ascii="宋体" w:hAnsi="宋体"/>
                <w:color w:val="000000"/>
                <w:sz w:val="22"/>
                <w:szCs w:val="22"/>
              </w:rPr>
              <w:t xml:space="preserve">影，将大厂的城市格局提炼为极具国风韵味的视觉符号。呼应平顶山公园古建风格与休闲属性，传递“山水城林共生、宜居宜业宜游”的城市愿景。</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c>
          <w:tcPr>
            <w:tcW w:w="568"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color w:val="000000"/>
                <w:szCs w:val="21"/>
              </w:rPr>
              <w:t xml:space="preserve">6</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晓山路</w:t>
            </w:r>
            <w:r/>
          </w:p>
        </w:tc>
        <w:tc>
          <w:tcPr>
            <w:tcW w:w="1134" w:type="dxa"/>
            <w:vAlign w:val="center"/>
            <w:textDirection w:val="lrTb"/>
            <w:noWrap w:val="false"/>
          </w:tcPr>
          <w:p>
            <w:pPr>
              <w:rPr>
                <w:rFonts w:hint="eastAsia" w:ascii="宋体" w:hAnsi="宋体"/>
              </w:rPr>
            </w:pPr>
            <w:r>
              <w:rPr>
                <w:rFonts w:hint="eastAsia" w:ascii="宋体" w:hAnsi="宋体"/>
              </w:rPr>
              <w:t xml:space="preserve">雕塑小品景观服务——国风新韵</w:t>
            </w:r>
            <w:r>
              <w:rPr>
                <w:rFonts w:hint="eastAsia" w:ascii="微软雅黑" w:hAnsi="微软雅黑" w:eastAsia="微软雅黑" w:cs="微软雅黑"/>
              </w:rPr>
              <w:t xml:space="preserve">・</w:t>
            </w:r>
            <w:r>
              <w:rPr>
                <w:rFonts w:hint="eastAsia" w:ascii="宋体" w:hAnsi="宋体"/>
              </w:rPr>
              <w:t xml:space="preserve">形象大厂</w:t>
            </w:r>
            <w:r/>
          </w:p>
        </w:tc>
        <w:tc>
          <w:tcPr>
            <w:tcW w:w="3686" w:type="dxa"/>
            <w:vAlign w:val="center"/>
            <w:textDirection w:val="lrTb"/>
            <w:noWrap w:val="false"/>
          </w:tcPr>
          <w:p>
            <w:pPr>
              <w:jc w:val="left"/>
              <w:rPr>
                <w:rFonts w:hint="eastAsia" w:ascii="宋体" w:hAnsi="宋体"/>
                <w:color w:val="000000"/>
                <w:sz w:val="22"/>
                <w:szCs w:val="22"/>
              </w:rPr>
            </w:pPr>
            <w:r>
              <w:rPr>
                <w:rFonts w:hint="eastAsia" w:ascii="宋体" w:hAnsi="宋体"/>
                <w:color w:val="000000"/>
                <w:sz w:val="22"/>
                <w:szCs w:val="22"/>
              </w:rPr>
              <w:t xml:space="preserve">1、雕塑尺寸及材质：2套3*3米，1.2mm厚度304不锈钢材质，正面嵌亚克力印制立体剪影造型，雕塑表面汽车烤漆。安装LED光源和灯具，铺设管线，配合墙绘装饰整体融合。</w:t>
            </w:r>
            <w:r/>
          </w:p>
          <w:p>
            <w:pPr>
              <w:jc w:val="left"/>
              <w:rPr>
                <w:rFonts w:hint="eastAsia" w:ascii="宋体" w:hAnsi="宋体"/>
                <w:color w:val="000000"/>
                <w:sz w:val="22"/>
                <w:szCs w:val="22"/>
              </w:rPr>
            </w:pPr>
            <w:r>
              <w:rPr>
                <w:rFonts w:hint="eastAsia" w:ascii="宋体" w:hAnsi="宋体"/>
                <w:color w:val="000000"/>
                <w:sz w:val="22"/>
                <w:szCs w:val="22"/>
              </w:rPr>
              <w:t xml:space="preserve">2、安装照明设备包括LED灯带140米DC24V 10W，8套LED洗墙灯 DC24V 18W，2台开关电源AC220V/DC24V 150W IP67，铺设一条20米主电缆RVV3*4Øpe32管及80米RVV2*2.5Øpe20管，安装1.8m高方管钢架铁皮围挡17米。</w:t>
            </w:r>
            <w:r/>
          </w:p>
          <w:p>
            <w:pPr>
              <w:jc w:val="left"/>
              <w:rPr>
                <w:rFonts w:hint="eastAsia" w:ascii="宋体" w:hAnsi="宋体"/>
                <w:color w:val="000000"/>
                <w:sz w:val="22"/>
                <w:szCs w:val="22"/>
              </w:rPr>
            </w:pPr>
            <w:r>
              <w:rPr>
                <w:rFonts w:hint="eastAsia" w:ascii="宋体" w:hAnsi="宋体"/>
                <w:color w:val="000000"/>
                <w:sz w:val="22"/>
                <w:szCs w:val="22"/>
              </w:rPr>
              <w:t xml:space="preserve">3、苗木管养期两年（时花一年换4季，共8季）；</w:t>
            </w:r>
            <w:r/>
          </w:p>
          <w:p>
            <w:pPr>
              <w:rPr>
                <w:rFonts w:hint="eastAsia" w:ascii="宋体" w:hAnsi="宋体"/>
              </w:rPr>
            </w:pPr>
            <w:r>
              <w:rPr>
                <w:rFonts w:hint="eastAsia" w:ascii="宋体" w:hAnsi="宋体"/>
                <w:color w:val="000000"/>
                <w:sz w:val="22"/>
                <w:szCs w:val="22"/>
              </w:rPr>
              <w:t xml:space="preserve">4、制作尺寸为10*15米的墙绘。以“国风新韵</w:t>
            </w:r>
            <w:r>
              <w:rPr>
                <w:rFonts w:hint="eastAsia" w:ascii="微软雅黑" w:hAnsi="微软雅黑" w:eastAsia="微软雅黑" w:cs="微软雅黑"/>
                <w:color w:val="000000"/>
                <w:sz w:val="22"/>
                <w:szCs w:val="22"/>
              </w:rPr>
              <w:t xml:space="preserve">・</w:t>
            </w:r>
            <w:r>
              <w:rPr>
                <w:rFonts w:hint="eastAsia" w:ascii="宋体" w:hAnsi="宋体" w:cs="宋体"/>
                <w:color w:val="000000"/>
                <w:sz w:val="22"/>
                <w:szCs w:val="22"/>
              </w:rPr>
              <w:t xml:space="preserve">形象大厂”为核心设计理念，打造为展示大厂城市气质与文化自信的视觉门户。整体方案以国风墙绘为基底，以立体发光字为视觉焦点，辅以大厂特色地标剪影，形成“传统美学与现代工业文明交融”的城市形象界面。</w:t>
            </w:r>
            <w:r/>
          </w:p>
        </w:tc>
        <w:tc>
          <w:tcPr>
            <w:tcW w:w="850"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1</w:t>
            </w:r>
            <w:r/>
          </w:p>
        </w:tc>
        <w:tc>
          <w:tcPr>
            <w:tcW w:w="993"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olor w:val="000000"/>
                <w:sz w:val="22"/>
                <w:szCs w:val="22"/>
              </w:rPr>
              <w:t xml:space="preserve">组</w:t>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c>
          <w:tcPr>
            <w:tcW w:w="992" w:type="dxa"/>
            <w:vAlign w:val="center"/>
            <w:textDirection w:val="lrTb"/>
            <w:noWrap w:val="false"/>
          </w:tcPr>
          <w:p>
            <w:pPr>
              <w:jc w:val="center"/>
              <w:spacing w:line="360" w:lineRule="auto"/>
              <w:rPr>
                <w:rFonts w:hint="eastAsia" w:ascii="宋体" w:hAnsi="宋体" w:cs="宋体"/>
                <w:b/>
                <w:sz w:val="18"/>
                <w:szCs w:val="16"/>
                <w:lang w:val="zh-CN"/>
              </w:rPr>
            </w:pPr>
            <w:r>
              <w:rPr>
                <w:rFonts w:hint="eastAsia" w:ascii="宋体" w:hAnsi="宋体" w:cs="宋体"/>
                <w:b/>
                <w:sz w:val="18"/>
                <w:szCs w:val="16"/>
                <w:lang w:val="zh-CN"/>
              </w:rPr>
            </w:r>
            <w:r/>
          </w:p>
        </w:tc>
      </w:tr>
      <w:tr>
        <w:trPr>
          <w:trHeight w:val="632"/>
        </w:trPr>
        <w:tc>
          <w:tcPr>
            <w:tcW w:w="568" w:type="dxa"/>
            <w:vAlign w:val="center"/>
            <w:textDirection w:val="lrTb"/>
            <w:noWrap w:val="false"/>
          </w:tcPr>
          <w:p>
            <w:pPr>
              <w:rPr>
                <w:rFonts w:hint="eastAsia" w:ascii="宋体" w:hAnsi="宋体"/>
                <w:sz w:val="24"/>
                <w:szCs w:val="32"/>
              </w:rPr>
            </w:pPr>
            <w:r>
              <w:rPr>
                <w:rFonts w:hint="eastAsia" w:ascii="宋体" w:hAnsi="宋体"/>
                <w:sz w:val="24"/>
                <w:szCs w:val="32"/>
              </w:rPr>
            </w:r>
            <w:r/>
          </w:p>
        </w:tc>
        <w:tc>
          <w:tcPr>
            <w:gridSpan w:val="7"/>
            <w:tcW w:w="9639" w:type="dxa"/>
            <w:vAlign w:val="center"/>
            <w:textDirection w:val="lrTb"/>
            <w:noWrap w:val="false"/>
          </w:tcPr>
          <w:p>
            <w:pPr>
              <w:rPr>
                <w:rFonts w:hint="eastAsia" w:ascii="宋体" w:hAnsi="宋体"/>
                <w:sz w:val="24"/>
                <w:szCs w:val="32"/>
              </w:rPr>
            </w:pPr>
            <w:r>
              <w:rPr>
                <w:rFonts w:hint="eastAsia" w:ascii="宋体" w:hAnsi="宋体"/>
                <w:sz w:val="24"/>
                <w:szCs w:val="32"/>
              </w:rPr>
              <w:t xml:space="preserve">总报价（元）：</w:t>
            </w:r>
            <w:r/>
          </w:p>
        </w:tc>
      </w:tr>
    </w:tbl>
    <w:p>
      <w:pPr>
        <w:spacing w:line="360" w:lineRule="auto"/>
        <w:rPr>
          <w:rFonts w:hint="eastAsia" w:ascii="宋体" w:hAnsi="宋体" w:cs="宋体"/>
          <w:b/>
          <w:sz w:val="18"/>
          <w:szCs w:val="16"/>
          <w:lang w:val="zh-CN"/>
        </w:rPr>
      </w:pPr>
      <w:r>
        <w:rPr>
          <w:rFonts w:hint="eastAsia" w:ascii="宋体" w:hAnsi="宋体" w:cs="宋体"/>
          <w:b/>
          <w:sz w:val="18"/>
          <w:szCs w:val="16"/>
          <w:lang w:val="zh-CN"/>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pStyle w:val="892"/>
        <w:ind w:firstLine="480"/>
        <w:jc w:val="both"/>
        <w:spacing w:before="0" w:beforeAutospacing="0" w:after="0" w:afterAutospacing="0" w:line="360" w:lineRule="auto"/>
        <w:rPr>
          <w:rFonts w:hint="eastAsia"/>
          <w:color w:val="000000"/>
        </w:rPr>
      </w:pPr>
      <w:r>
        <w:rPr>
          <w:rFonts w:hint="eastAsia"/>
          <w:color w:val="000000"/>
        </w:rPr>
      </w:r>
      <w:r/>
    </w:p>
    <w:p>
      <w:pPr>
        <w:pStyle w:val="892"/>
        <w:ind w:firstLine="480"/>
        <w:jc w:val="both"/>
        <w:spacing w:before="0" w:beforeAutospacing="0" w:after="0" w:afterAutospacing="0" w:line="360" w:lineRule="auto"/>
        <w:rPr>
          <w:rFonts w:hint="eastAsia"/>
          <w:color w:val="000000"/>
        </w:rPr>
      </w:pPr>
      <w:r>
        <w:rPr>
          <w:color w:val="000000"/>
        </w:rPr>
        <w:t xml:space="preserve">备注： </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3.《分项报价表》中的分项名称须与“第三章-服务清单”中的名称一一对应，如有缺项、漏项，视为无效响应。</w:t>
      </w:r>
      <w:r/>
    </w:p>
    <w:p>
      <w:pPr>
        <w:ind w:firstLine="480"/>
        <w:jc w:val="left"/>
        <w:spacing w:line="360" w:lineRule="auto"/>
        <w:widowControl/>
        <w:rPr>
          <w:rFonts w:ascii="宋体" w:cs="宋体"/>
          <w:b/>
          <w:sz w:val="22"/>
          <w:szCs w:val="21"/>
          <w:lang w:val="zh-CN"/>
        </w:rPr>
      </w:pPr>
      <w:r>
        <w:rPr>
          <w:rFonts w:hint="eastAsia" w:ascii="宋体" w:hAnsi="宋体" w:cs="宋体"/>
          <w:color w:val="000000"/>
          <w:sz w:val="24"/>
        </w:rPr>
        <w:t xml:space="preserve">4.行数不够，可自行添加。</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80"/>
        <w:ind w:left="0"/>
        <w:jc w:val="center"/>
        <w:rPr>
          <w:rFonts w:hint="eastAsia" w:ascii="宋体" w:hAnsi="宋体"/>
          <w:b/>
          <w:sz w:val="32"/>
          <w:szCs w:val="32"/>
        </w:rPr>
      </w:pPr>
      <w:r/>
      <w:bookmarkStart w:id="14" w:name="_Toc489655335"/>
      <w:r>
        <w:rPr>
          <w:rFonts w:hint="eastAsia"/>
          <w:b/>
          <w:sz w:val="28"/>
          <w:szCs w:val="28"/>
        </w:rPr>
        <w:t xml:space="preserve">资格证明文件</w:t>
      </w:r>
      <w:bookmarkEnd w:id="14"/>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供应商涉及以下情形的，不适用信用承诺：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（2）被相关监管部门作出行政处罚且尚在处罚有效期内；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供应商对信用承诺内容的真实性、合法性、有效性负责。如作出虚假信用承诺，视同为“提供虚假材料谋取中标、成交”的违法行为。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15" w:name="_Toc32559_WPSOffice_Level2"/>
      <w:r>
        <w:rPr>
          <w:rFonts w:hint="eastAsia" w:cs="宋体"/>
          <w:b/>
          <w:sz w:val="24"/>
          <w:lang w:val="zh-CN"/>
        </w:rPr>
        <w:t xml:space="preserve">商务条款偏离表</w:t>
      </w:r>
      <w:bookmarkEnd w:id="15"/>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磋商文件要求的商务条款</w:t>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磋商响应</w:t>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0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磋商文件技术要求</w:t>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磋商</w:t>
            </w:r>
            <w:r>
              <w:rPr>
                <w:rFonts w:hint="eastAsia" w:ascii="宋体" w:hAnsi="宋体" w:cs="宋体"/>
                <w:sz w:val="24"/>
                <w:lang w:val="zh-CN"/>
              </w:rPr>
              <w:t xml:space="preserve">响应</w:t>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4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（网上获取）</w:t>
      </w:r>
      <w:r/>
    </w:p>
    <w:p>
      <w:pPr>
        <w:spacing w:line="240" w:lineRule="atLeast"/>
        <w:rPr>
          <w:b/>
        </w:rPr>
      </w:pPr>
      <w:r>
        <w:rPr>
          <w:b/>
        </w:rPr>
      </w:r>
      <w:r/>
    </w:p>
    <w:p>
      <w:pPr>
        <w:pStyle w:val="88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8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中小企业声明函（服务）</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b/>
          <w:sz w:val="22"/>
          <w:u w:val="single"/>
        </w:rPr>
        <w:t xml:space="preserve">其他未列明行业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rPr>
          <w:rFonts w:hint="eastAsia"/>
          <w:sz w:val="22"/>
        </w:rPr>
        <w:t xml:space="preserve">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8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从业人员、营业收入、资产总额填报上一年度数据，无上一年度数据的新成立企业可不填报。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 供应商</w:t>
      </w:r>
      <w:r>
        <w:rPr>
          <w:rFonts w:hint="eastAsia" w:ascii="宋体" w:hAnsi="宋体"/>
          <w:sz w:val="24"/>
        </w:rPr>
        <w:t xml:space="preserve">如不提供此声明函，不得参加专门面向中小企业采购项目。此声明函将随成交结果同时公告，接受社会监督。</w:t>
      </w:r>
      <w:r/>
    </w:p>
    <w:p>
      <w:pPr>
        <w:pStyle w:val="880"/>
      </w:pPr>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rFonts w:hint="eastAsia"/>
          <w:sz w:val="22"/>
        </w:rPr>
        <w:t xml:space="preserve">2</w:t>
      </w:r>
      <w:r>
        <w:rPr>
          <w:rFonts w:hint="eastAsia"/>
          <w:sz w:val="22"/>
        </w:rPr>
        <w:t xml:space="preserve">、</w:t>
      </w:r>
      <w:r>
        <w:rPr>
          <w:sz w:val="22"/>
        </w:rPr>
        <w:t xml:space="preserve">残疾人福利性单位声明函（若有）</w:t>
      </w:r>
      <w:r/>
    </w:p>
    <w:p>
      <w:pPr>
        <w:pStyle w:val="880"/>
        <w:ind w:left="0"/>
        <w:jc w:val="center"/>
        <w:rPr>
          <w:b/>
          <w:sz w:val="28"/>
          <w:szCs w:val="28"/>
        </w:rPr>
      </w:pPr>
      <w:r>
        <w:rPr>
          <w:b/>
          <w:sz w:val="28"/>
          <w:szCs w:val="28"/>
        </w:rPr>
        <w:t xml:space="preserve">残疾人福利性单位声明函（若有）</w:t>
      </w:r>
      <w:r/>
    </w:p>
    <w:p>
      <w:pPr>
        <w:pStyle w:val="880"/>
        <w:ind w:left="0" w:firstLine="440"/>
        <w:spacing w:after="0" w:line="360" w:lineRule="auto"/>
        <w:rPr>
          <w:sz w:val="22"/>
        </w:rPr>
      </w:pPr>
      <w:r>
        <w:rPr>
          <w:rFonts w:hint="eastAsia"/>
          <w:sz w:val="22"/>
        </w:rPr>
        <w:t xml:space="preserve">本单位郑重声明，根据《财政部</w:t>
      </w:r>
      <w:r>
        <w:rPr>
          <w:sz w:val="22"/>
        </w:rPr>
        <w:t xml:space="preserve">民政部中国残疾人联合会关于促进残疾人就业政府</w:t>
      </w:r>
      <w:r>
        <w:rPr>
          <w:rFonts w:hint="eastAsia"/>
          <w:sz w:val="22"/>
        </w:rPr>
        <w:t xml:space="preserve">采购政策的通知》（财库〔</w:t>
      </w:r>
      <w:r>
        <w:rPr>
          <w:sz w:val="22"/>
        </w:rPr>
        <w:t xml:space="preserve">2017</w:t>
      </w:r>
      <w:r>
        <w:rPr>
          <w:sz w:val="22"/>
        </w:rPr>
        <w:t xml:space="preserve">〕</w:t>
      </w:r>
      <w:r>
        <w:rPr>
          <w:sz w:val="22"/>
        </w:rPr>
        <w:t xml:space="preserve">141</w:t>
      </w:r>
      <w:r>
        <w:rPr>
          <w:sz w:val="22"/>
        </w:rPr>
        <w:t xml:space="preserve">号）的规定，本单位为符合条件的残疾人福利性单</w:t>
      </w:r>
      <w:r>
        <w:rPr>
          <w:rFonts w:hint="eastAsia"/>
          <w:sz w:val="22"/>
        </w:rPr>
        <w:t xml:space="preserve">位，且本单位参加</w:t>
      </w:r>
      <w:r>
        <w:rPr>
          <w:sz w:val="22"/>
        </w:rPr>
        <w:t xml:space="preserve">______</w:t>
      </w:r>
      <w:r>
        <w:rPr>
          <w:sz w:val="22"/>
        </w:rPr>
        <w:t xml:space="preserve">单位的</w:t>
      </w:r>
      <w:r>
        <w:rPr>
          <w:sz w:val="22"/>
        </w:rPr>
        <w:t xml:space="preserve">______</w:t>
      </w:r>
      <w:r>
        <w:rPr>
          <w:sz w:val="22"/>
        </w:rPr>
        <w:t xml:space="preserve">项目采购活动提供本单位制造的货物（由本单位承</w:t>
      </w:r>
      <w:r>
        <w:rPr>
          <w:rFonts w:hint="eastAsia"/>
          <w:sz w:val="22"/>
        </w:rPr>
        <w:t xml:space="preserve">担工程</w:t>
      </w:r>
      <w:r>
        <w:rPr>
          <w:sz w:val="22"/>
        </w:rPr>
        <w:t xml:space="preserve">/</w:t>
      </w:r>
      <w:r>
        <w:rPr>
          <w:sz w:val="22"/>
        </w:rPr>
        <w:t xml:space="preserve">提供服务），或者提供其他残疾人福利性单位制造的货物（不包括使用非残疾人福</w:t>
      </w:r>
      <w:r>
        <w:rPr>
          <w:rFonts w:hint="eastAsia"/>
          <w:sz w:val="22"/>
        </w:rPr>
        <w:t xml:space="preserve">利性单位注册商标的货物）。</w:t>
      </w:r>
      <w:r/>
    </w:p>
    <w:p>
      <w:pPr>
        <w:pStyle w:val="880"/>
        <w:spacing w:after="0" w:line="360" w:lineRule="auto"/>
        <w:rPr>
          <w:sz w:val="22"/>
        </w:rPr>
      </w:pPr>
      <w:r>
        <w:rPr>
          <w:rFonts w:hint="eastAsia"/>
          <w:sz w:val="22"/>
        </w:rPr>
        <w:t xml:space="preserve">本单位对上述声明的真实性负责。如有虚假，将依法承担相应责任。</w:t>
      </w:r>
      <w:r/>
    </w:p>
    <w:p>
      <w:pPr>
        <w:pStyle w:val="880"/>
        <w:ind w:firstLine="4620"/>
        <w:rPr>
          <w:sz w:val="22"/>
        </w:rPr>
      </w:pPr>
      <w:r>
        <w:rPr>
          <w:sz w:val="22"/>
        </w:rPr>
      </w:r>
      <w:r/>
    </w:p>
    <w:p>
      <w:pPr>
        <w:pStyle w:val="880"/>
        <w:ind w:firstLine="4620"/>
        <w:rPr>
          <w:sz w:val="22"/>
        </w:rPr>
      </w:pPr>
      <w:r>
        <w:rPr>
          <w:sz w:val="22"/>
        </w:rPr>
      </w:r>
      <w:r/>
    </w:p>
    <w:p>
      <w:pPr>
        <w:pStyle w:val="880"/>
        <w:ind w:firstLine="4620"/>
        <w:rPr>
          <w:sz w:val="22"/>
        </w:rPr>
      </w:pPr>
      <w:r>
        <w:rPr>
          <w:rFonts w:hint="eastAsia"/>
          <w:sz w:val="22"/>
        </w:rPr>
        <w:t xml:space="preserve">单位名称（</w:t>
      </w:r>
      <w:r>
        <w:rPr>
          <w:rFonts w:hint="eastAsia"/>
          <w:sz w:val="22"/>
          <w:szCs w:val="21"/>
        </w:rPr>
        <w:t xml:space="preserve">加盖电子公章</w:t>
      </w:r>
      <w:r>
        <w:rPr>
          <w:rFonts w:hint="eastAsia"/>
          <w:sz w:val="22"/>
        </w:rPr>
        <w:t xml:space="preserve">）：</w:t>
      </w:r>
      <w:r/>
    </w:p>
    <w:p>
      <w:pPr>
        <w:pStyle w:val="880"/>
        <w:ind w:firstLine="5280"/>
        <w:rPr>
          <w:sz w:val="22"/>
        </w:rPr>
      </w:pPr>
      <w:r>
        <w:rPr>
          <w:rFonts w:hint="eastAsia"/>
          <w:sz w:val="22"/>
        </w:rPr>
        <w:t xml:space="preserve">日</w:t>
      </w:r>
      <w:r>
        <w:rPr>
          <w:sz w:val="22"/>
        </w:rPr>
        <w:t xml:space="preserve">期：</w:t>
      </w:r>
      <w:r/>
    </w:p>
    <w:p>
      <w:pPr>
        <w:pStyle w:val="880"/>
        <w:ind w:left="0"/>
        <w:rPr>
          <w:sz w:val="22"/>
        </w:rPr>
      </w:pPr>
      <w:r>
        <w:rPr>
          <w:sz w:val="22"/>
        </w:rPr>
        <w:t xml:space="preserve">3</w:t>
      </w:r>
      <w:r>
        <w:rPr>
          <w:sz w:val="22"/>
        </w:rPr>
        <w:t xml:space="preserve">、属于监狱企业的证明文件（若有）</w:t>
      </w:r>
      <w:r/>
    </w:p>
    <w:p>
      <w:pPr>
        <w:pStyle w:val="880"/>
        <w:rPr>
          <w:sz w:val="22"/>
        </w:rPr>
      </w:pPr>
      <w:r>
        <w:rPr>
          <w:rFonts w:hint="eastAsia"/>
          <w:sz w:val="22"/>
        </w:rPr>
        <w:t xml:space="preserve">（提供由省级以上监狱管理局、戒毒管理局</w:t>
      </w:r>
      <w:r>
        <w:rPr>
          <w:sz w:val="22"/>
        </w:rPr>
        <w:t xml:space="preserve">(</w:t>
      </w:r>
      <w:r>
        <w:rPr>
          <w:sz w:val="22"/>
        </w:rPr>
        <w:t xml:space="preserve">含新疆生产建设兵团</w:t>
      </w:r>
      <w:r>
        <w:rPr>
          <w:sz w:val="22"/>
        </w:rPr>
        <w:t xml:space="preserve">)</w:t>
      </w:r>
      <w:r>
        <w:rPr>
          <w:sz w:val="22"/>
        </w:rPr>
        <w:t xml:space="preserve">出具的属于监狱企</w:t>
      </w:r>
      <w:r>
        <w:rPr>
          <w:rFonts w:hint="eastAsia"/>
          <w:sz w:val="22"/>
        </w:rPr>
        <w:t xml:space="preserve">业的证明文件）</w:t>
      </w:r>
      <w:r/>
    </w:p>
    <w:p>
      <w:pPr>
        <w:pStyle w:val="880"/>
        <w:rPr>
          <w:sz w:val="22"/>
        </w:rPr>
      </w:pPr>
      <w:r>
        <w:rPr>
          <w:sz w:val="22"/>
        </w:rPr>
      </w:r>
      <w:r/>
    </w:p>
    <w:p>
      <w:pPr>
        <w:pStyle w:val="880"/>
        <w:rPr>
          <w:sz w:val="22"/>
        </w:rPr>
      </w:pPr>
      <w:r>
        <w:rPr>
          <w:sz w:val="22"/>
        </w:r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rPr>
      </w:pPr>
      <w:r>
        <w:rPr>
          <w:sz w:val="22"/>
        </w:rPr>
      </w:r>
      <w:r/>
    </w:p>
    <w:p>
      <w:pPr>
        <w:pStyle w:val="880"/>
        <w:ind w:left="0"/>
        <w:rPr>
          <w:sz w:val="22"/>
          <w:szCs w:val="22"/>
        </w:rPr>
      </w:pPr>
      <w:r>
        <w:rPr>
          <w:rFonts w:hint="eastAsia"/>
          <w:sz w:val="22"/>
        </w:rPr>
        <w:t xml:space="preserve">附件二、声明格式</w:t>
      </w:r>
      <w:r/>
    </w:p>
    <w:p>
      <w:pPr>
        <w:pStyle w:val="880"/>
        <w:ind w:left="0"/>
        <w:rPr>
          <w:rFonts w:hint="eastAsia" w:ascii="宋体" w:hAnsi="宋体"/>
        </w:rPr>
      </w:pPr>
      <w:r>
        <w:rPr>
          <w:rFonts w:hint="eastAsia" w:ascii="宋体" w:hAnsi="宋体"/>
          <w:sz w:val="22"/>
        </w:rPr>
        <w:t xml:space="preserve">1、无重大违法记录声明</w:t>
      </w:r>
      <w:r/>
    </w:p>
    <w:p>
      <w:pPr>
        <w:pStyle w:val="88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80"/>
        <w:ind w:left="0"/>
        <w:spacing w:after="0" w:line="360" w:lineRule="auto"/>
        <w:rPr>
          <w:rFonts w:hint="eastAsia" w:ascii="宋体" w:hAnsi="宋体"/>
          <w:sz w:val="22"/>
        </w:rPr>
      </w:pPr>
      <w:r>
        <w:rPr>
          <w:rFonts w:hint="eastAsia" w:ascii="宋体" w:hAnsi="宋体"/>
          <w:sz w:val="22"/>
        </w:rPr>
        <w:t xml:space="preserve">南京市六合区人民政府大厂街道办事处：</w:t>
      </w:r>
      <w:r/>
    </w:p>
    <w:p>
      <w:pPr>
        <w:pStyle w:val="88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8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8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（说明：政府采购法第二十二条第一款第五项所称重大违法记录，是指供应商因违法经营受到刑事处罚或者责令停产停业、吊销许可证或者执照、较大数额罚款等行政处罚。）</w:t>
      </w:r>
      <w:r/>
    </w:p>
    <w:p>
      <w:pPr>
        <w:pStyle w:val="880"/>
        <w:rPr>
          <w:rFonts w:hint="eastAsia" w:ascii="宋体" w:hAnsi="宋体"/>
          <w:sz w:val="22"/>
        </w:rPr>
      </w:pPr>
      <w:r>
        <w:rPr>
          <w:rFonts w:hint="eastAsia" w:ascii="宋体" w:hAnsi="宋体"/>
          <w:sz w:val="22"/>
        </w:rPr>
      </w:r>
      <w:r/>
    </w:p>
    <w:p>
      <w:pPr>
        <w:pStyle w:val="880"/>
        <w:ind w:left="0"/>
        <w:rPr>
          <w:rFonts w:hint="eastAsia" w:ascii="宋体" w:hAnsi="宋体"/>
          <w:sz w:val="22"/>
        </w:rPr>
      </w:pPr>
      <w:r>
        <w:rPr>
          <w:rFonts w:hint="eastAsia" w:ascii="宋体" w:hAnsi="宋体"/>
          <w:sz w:val="22"/>
        </w:rPr>
      </w:r>
      <w:r/>
    </w:p>
    <w:p>
      <w:pPr>
        <w:pStyle w:val="88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8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80"/>
        <w:rPr>
          <w:rFonts w:hint="eastAsia" w:ascii="宋体" w:hAnsi="宋体"/>
        </w:rPr>
      </w:pPr>
      <w:r>
        <w:rPr>
          <w:rFonts w:hint="eastAsia" w:ascii="宋体" w:hAnsi="宋体"/>
        </w:rPr>
      </w:r>
      <w:r/>
    </w:p>
    <w:p>
      <w:pPr>
        <w:pStyle w:val="88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7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7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南京市六合区人民政府大厂街道办事处：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方正大黑简体">
    <w:panose1 w:val="020B0503020202020204"/>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7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qFormat/>
    <w:pPr>
      <w:jc w:val="both"/>
      <w:widowControl w:val="off"/>
    </w:pPr>
    <w:rPr>
      <w:rFonts w:ascii="Times New Roman" w:hAnsi="Times New Roman" w:eastAsia="宋体" w:cs="Times New Roman"/>
      <w:szCs w:val="24"/>
    </w:rPr>
  </w:style>
  <w:style w:type="paragraph" w:styleId="659">
    <w:name w:val="Heading 1"/>
    <w:basedOn w:val="658"/>
    <w:next w:val="658"/>
    <w:link w:val="704"/>
    <w:uiPriority w:val="9"/>
    <w:qFormat/>
    <w:pPr>
      <w:keepLines/>
      <w:keepNext/>
      <w:spacing w:before="480" w:after="200"/>
      <w:outlineLvl w:val="0"/>
    </w:pPr>
    <w:rPr>
      <w:rFonts w:ascii="Arial" w:hAnsi="Arial" w:eastAsia="Arial" w:cs="Arial"/>
      <w:sz w:val="40"/>
      <w:szCs w:val="40"/>
    </w:rPr>
  </w:style>
  <w:style w:type="paragraph" w:styleId="660">
    <w:name w:val="Heading 2"/>
    <w:basedOn w:val="658"/>
    <w:link w:val="890"/>
    <w:uiPriority w:val="9"/>
    <w:qFormat/>
    <w:pPr>
      <w:jc w:val="left"/>
      <w:spacing w:before="100" w:beforeAutospacing="1" w:after="100" w:afterAutospacing="1"/>
      <w:widowControl/>
      <w:outlineLvl w:val="1"/>
    </w:pPr>
    <w:rPr>
      <w:rFonts w:ascii="宋体" w:hAnsi="宋体" w:cs="宋体"/>
      <w:b/>
      <w:bCs/>
      <w:sz w:val="36"/>
      <w:szCs w:val="36"/>
    </w:rPr>
  </w:style>
  <w:style w:type="paragraph" w:styleId="661">
    <w:name w:val="Heading 3"/>
    <w:basedOn w:val="658"/>
    <w:next w:val="658"/>
    <w:link w:val="706"/>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7"/>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8"/>
    <w:uiPriority w:val="9"/>
    <w:unhideWhenUsed/>
    <w:qFormat/>
    <w:pPr>
      <w:keepLines/>
      <w:keepNext/>
      <w:spacing w:before="320" w:after="200"/>
      <w:outlineLvl w:val="4"/>
    </w:pPr>
    <w:rPr>
      <w:rFonts w:ascii="Arial" w:hAnsi="Arial" w:eastAsia="Arial" w:cs="Arial"/>
      <w:b/>
      <w:bCs/>
      <w:sz w:val="24"/>
    </w:rPr>
  </w:style>
  <w:style w:type="paragraph" w:styleId="664">
    <w:name w:val="Heading 6"/>
    <w:basedOn w:val="658"/>
    <w:next w:val="658"/>
    <w:link w:val="70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2"/>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character" w:styleId="671" w:customStyle="1">
    <w:name w:val="Heading 1 Char"/>
    <w:basedOn w:val="668"/>
    <w:uiPriority w:val="9"/>
    <w:rPr>
      <w:rFonts w:ascii="Arial" w:hAnsi="Arial" w:eastAsia="Arial" w:cs="Arial"/>
      <w:sz w:val="40"/>
      <w:szCs w:val="40"/>
    </w:rPr>
  </w:style>
  <w:style w:type="character" w:styleId="672" w:customStyle="1">
    <w:name w:val="Heading 3 Char"/>
    <w:basedOn w:val="668"/>
    <w:uiPriority w:val="9"/>
    <w:rPr>
      <w:rFonts w:ascii="Arial" w:hAnsi="Arial" w:eastAsia="Arial" w:cs="Arial"/>
      <w:sz w:val="30"/>
      <w:szCs w:val="30"/>
    </w:rPr>
  </w:style>
  <w:style w:type="character" w:styleId="673" w:customStyle="1">
    <w:name w:val="Heading 4 Char"/>
    <w:basedOn w:val="668"/>
    <w:uiPriority w:val="9"/>
    <w:rPr>
      <w:rFonts w:ascii="Arial" w:hAnsi="Arial" w:eastAsia="Arial" w:cs="Arial"/>
      <w:b/>
      <w:bCs/>
      <w:sz w:val="26"/>
      <w:szCs w:val="26"/>
    </w:rPr>
  </w:style>
  <w:style w:type="character" w:styleId="674" w:customStyle="1">
    <w:name w:val="Heading 5 Char"/>
    <w:basedOn w:val="668"/>
    <w:uiPriority w:val="9"/>
    <w:rPr>
      <w:rFonts w:ascii="Arial" w:hAnsi="Arial" w:eastAsia="Arial" w:cs="Arial"/>
      <w:b/>
      <w:bCs/>
      <w:sz w:val="24"/>
      <w:szCs w:val="24"/>
    </w:rPr>
  </w:style>
  <w:style w:type="character" w:styleId="675" w:customStyle="1">
    <w:name w:val="Heading 6 Char"/>
    <w:basedOn w:val="668"/>
    <w:uiPriority w:val="9"/>
    <w:rPr>
      <w:rFonts w:ascii="Arial" w:hAnsi="Arial" w:eastAsia="Arial" w:cs="Arial"/>
      <w:b/>
      <w:bCs/>
      <w:sz w:val="22"/>
      <w:szCs w:val="22"/>
    </w:rPr>
  </w:style>
  <w:style w:type="character" w:styleId="676" w:customStyle="1">
    <w:name w:val="Heading 7 Char"/>
    <w:basedOn w:val="668"/>
    <w:uiPriority w:val="9"/>
    <w:rPr>
      <w:rFonts w:ascii="Arial" w:hAnsi="Arial" w:eastAsia="Arial" w:cs="Arial"/>
      <w:b/>
      <w:bCs/>
      <w:i/>
      <w:iCs/>
      <w:sz w:val="22"/>
      <w:szCs w:val="22"/>
    </w:rPr>
  </w:style>
  <w:style w:type="character" w:styleId="677" w:customStyle="1">
    <w:name w:val="Heading 8 Char"/>
    <w:basedOn w:val="668"/>
    <w:uiPriority w:val="9"/>
    <w:rPr>
      <w:rFonts w:ascii="Arial" w:hAnsi="Arial" w:eastAsia="Arial" w:cs="Arial"/>
      <w:i/>
      <w:iCs/>
      <w:sz w:val="22"/>
      <w:szCs w:val="22"/>
    </w:rPr>
  </w:style>
  <w:style w:type="character" w:styleId="678" w:customStyle="1">
    <w:name w:val="Heading 9 Char"/>
    <w:basedOn w:val="668"/>
    <w:uiPriority w:val="9"/>
    <w:rPr>
      <w:rFonts w:ascii="Arial" w:hAnsi="Arial" w:eastAsia="Arial" w:cs="Arial"/>
      <w:i/>
      <w:iCs/>
      <w:sz w:val="21"/>
      <w:szCs w:val="21"/>
    </w:rPr>
  </w:style>
  <w:style w:type="character" w:styleId="679" w:customStyle="1">
    <w:name w:val="Title Char"/>
    <w:basedOn w:val="668"/>
    <w:uiPriority w:val="10"/>
    <w:rPr>
      <w:sz w:val="48"/>
      <w:szCs w:val="48"/>
    </w:rPr>
  </w:style>
  <w:style w:type="character" w:styleId="680" w:customStyle="1">
    <w:name w:val="Subtitle Char"/>
    <w:basedOn w:val="668"/>
    <w:uiPriority w:val="11"/>
    <w:rPr>
      <w:sz w:val="24"/>
      <w:szCs w:val="24"/>
    </w:rPr>
  </w:style>
  <w:style w:type="character" w:styleId="681" w:customStyle="1">
    <w:name w:val="Quote Char"/>
    <w:uiPriority w:val="29"/>
    <w:rPr>
      <w:i/>
    </w:rPr>
  </w:style>
  <w:style w:type="character" w:styleId="682" w:customStyle="1">
    <w:name w:val="Intense Quote Char"/>
    <w:uiPriority w:val="30"/>
    <w:rPr>
      <w:i/>
    </w:rPr>
  </w:style>
  <w:style w:type="table" w:styleId="683">
    <w:name w:val="Plain Table 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name w:val="Grid Table 1 Light"/>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0">
    <w:name w:val="Grid Table 3"/>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3">
    <w:name w:val="Grid Table 6 Colorful"/>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4">
    <w:name w:val="Grid Table 7 Colorful"/>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695">
    <w:name w:val="List Table 1 Light"/>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7">
    <w:name w:val="List Table 3"/>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name w:val="List Table 4"/>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9">
    <w:name w:val="List Table 5 Dark"/>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0">
    <w:name w:val="List Table 6 Colorful"/>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1">
    <w:name w:val="List Table 7 Colorful"/>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02" w:customStyle="1">
    <w:name w:val="Footnote Text Char"/>
    <w:uiPriority w:val="99"/>
    <w:rPr>
      <w:sz w:val="18"/>
    </w:rPr>
  </w:style>
  <w:style w:type="character" w:styleId="703" w:customStyle="1">
    <w:name w:val="Endnote Text Char"/>
    <w:uiPriority w:val="99"/>
    <w:rPr>
      <w:sz w:val="20"/>
    </w:rPr>
  </w:style>
  <w:style w:type="character" w:styleId="704" w:customStyle="1">
    <w:name w:val="标题 1 字符"/>
    <w:basedOn w:val="668"/>
    <w:link w:val="659"/>
    <w:uiPriority w:val="9"/>
    <w:rPr>
      <w:rFonts w:ascii="Arial" w:hAnsi="Arial" w:eastAsia="Arial" w:cs="Arial"/>
      <w:sz w:val="40"/>
      <w:szCs w:val="40"/>
    </w:rPr>
  </w:style>
  <w:style w:type="character" w:styleId="705" w:customStyle="1">
    <w:name w:val="Heading 2 Char"/>
    <w:basedOn w:val="668"/>
    <w:uiPriority w:val="9"/>
    <w:rPr>
      <w:rFonts w:ascii="Arial" w:hAnsi="Arial" w:eastAsia="Arial" w:cs="Arial"/>
      <w:sz w:val="34"/>
    </w:rPr>
  </w:style>
  <w:style w:type="character" w:styleId="706" w:customStyle="1">
    <w:name w:val="标题 3 字符"/>
    <w:basedOn w:val="668"/>
    <w:link w:val="661"/>
    <w:uiPriority w:val="9"/>
    <w:rPr>
      <w:rFonts w:ascii="Arial" w:hAnsi="Arial" w:eastAsia="Arial" w:cs="Arial"/>
      <w:sz w:val="30"/>
      <w:szCs w:val="30"/>
    </w:rPr>
  </w:style>
  <w:style w:type="character" w:styleId="707" w:customStyle="1">
    <w:name w:val="标题 4 字符"/>
    <w:basedOn w:val="668"/>
    <w:link w:val="662"/>
    <w:uiPriority w:val="9"/>
    <w:rPr>
      <w:rFonts w:ascii="Arial" w:hAnsi="Arial" w:eastAsia="Arial" w:cs="Arial"/>
      <w:b/>
      <w:bCs/>
      <w:sz w:val="26"/>
      <w:szCs w:val="26"/>
    </w:rPr>
  </w:style>
  <w:style w:type="character" w:styleId="708" w:customStyle="1">
    <w:name w:val="标题 5 字符"/>
    <w:basedOn w:val="668"/>
    <w:link w:val="663"/>
    <w:uiPriority w:val="9"/>
    <w:rPr>
      <w:rFonts w:ascii="Arial" w:hAnsi="Arial" w:eastAsia="Arial" w:cs="Arial"/>
      <w:b/>
      <w:bCs/>
      <w:sz w:val="24"/>
      <w:szCs w:val="24"/>
    </w:rPr>
  </w:style>
  <w:style w:type="character" w:styleId="709" w:customStyle="1">
    <w:name w:val="标题 6 字符"/>
    <w:basedOn w:val="668"/>
    <w:link w:val="664"/>
    <w:uiPriority w:val="9"/>
    <w:rPr>
      <w:rFonts w:ascii="Arial" w:hAnsi="Arial" w:eastAsia="Arial" w:cs="Arial"/>
      <w:b/>
      <w:bCs/>
      <w:sz w:val="22"/>
      <w:szCs w:val="22"/>
    </w:rPr>
  </w:style>
  <w:style w:type="character" w:styleId="710" w:customStyle="1">
    <w:name w:val="标题 7 字符"/>
    <w:basedOn w:val="668"/>
    <w:link w:val="665"/>
    <w:uiPriority w:val="9"/>
    <w:rPr>
      <w:rFonts w:ascii="Arial" w:hAnsi="Arial" w:eastAsia="Arial" w:cs="Arial"/>
      <w:b/>
      <w:bCs/>
      <w:i/>
      <w:iCs/>
      <w:sz w:val="22"/>
      <w:szCs w:val="22"/>
    </w:rPr>
  </w:style>
  <w:style w:type="character" w:styleId="711" w:customStyle="1">
    <w:name w:val="标题 8 字符"/>
    <w:basedOn w:val="668"/>
    <w:link w:val="666"/>
    <w:uiPriority w:val="9"/>
    <w:rPr>
      <w:rFonts w:ascii="Arial" w:hAnsi="Arial" w:eastAsia="Arial" w:cs="Arial"/>
      <w:i/>
      <w:iCs/>
      <w:sz w:val="22"/>
      <w:szCs w:val="22"/>
    </w:rPr>
  </w:style>
  <w:style w:type="character" w:styleId="712" w:customStyle="1">
    <w:name w:val="标题 9 字符"/>
    <w:basedOn w:val="668"/>
    <w:link w:val="667"/>
    <w:uiPriority w:val="9"/>
    <w:rPr>
      <w:rFonts w:ascii="Arial" w:hAnsi="Arial" w:eastAsia="Arial" w:cs="Arial"/>
      <w:i/>
      <w:iCs/>
      <w:sz w:val="21"/>
      <w:szCs w:val="21"/>
    </w:rPr>
  </w:style>
  <w:style w:type="paragraph" w:styleId="713">
    <w:name w:val="List Paragraph"/>
    <w:basedOn w:val="658"/>
    <w:uiPriority w:val="34"/>
    <w:qFormat/>
    <w:pPr>
      <w:contextualSpacing/>
      <w:ind w:left="720"/>
    </w:pPr>
  </w:style>
  <w:style w:type="paragraph" w:styleId="714">
    <w:name w:val="No Spacing"/>
    <w:uiPriority w:val="1"/>
    <w:qFormat/>
  </w:style>
  <w:style w:type="paragraph" w:styleId="715">
    <w:name w:val="Title"/>
    <w:basedOn w:val="658"/>
    <w:next w:val="658"/>
    <w:link w:val="716"/>
    <w:uiPriority w:val="10"/>
    <w:qFormat/>
    <w:pPr>
      <w:contextualSpacing/>
      <w:spacing w:before="300" w:after="200"/>
    </w:pPr>
    <w:rPr>
      <w:sz w:val="48"/>
      <w:szCs w:val="48"/>
    </w:rPr>
  </w:style>
  <w:style w:type="character" w:styleId="716" w:customStyle="1">
    <w:name w:val="标题 字符"/>
    <w:basedOn w:val="668"/>
    <w:link w:val="715"/>
    <w:uiPriority w:val="10"/>
    <w:rPr>
      <w:sz w:val="48"/>
      <w:szCs w:val="48"/>
    </w:rPr>
  </w:style>
  <w:style w:type="paragraph" w:styleId="717">
    <w:name w:val="Subtitle"/>
    <w:basedOn w:val="658"/>
    <w:next w:val="658"/>
    <w:link w:val="718"/>
    <w:uiPriority w:val="11"/>
    <w:qFormat/>
    <w:pPr>
      <w:spacing w:before="200" w:after="200"/>
    </w:pPr>
    <w:rPr>
      <w:sz w:val="24"/>
    </w:rPr>
  </w:style>
  <w:style w:type="character" w:styleId="718" w:customStyle="1">
    <w:name w:val="副标题 字符"/>
    <w:basedOn w:val="668"/>
    <w:link w:val="717"/>
    <w:uiPriority w:val="11"/>
    <w:rPr>
      <w:sz w:val="24"/>
      <w:szCs w:val="24"/>
    </w:rPr>
  </w:style>
  <w:style w:type="paragraph" w:styleId="719">
    <w:name w:val="Quote"/>
    <w:basedOn w:val="658"/>
    <w:next w:val="658"/>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58"/>
    <w:next w:val="658"/>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668"/>
    <w:uiPriority w:val="99"/>
  </w:style>
  <w:style w:type="character" w:styleId="724" w:customStyle="1">
    <w:name w:val="Footer Char"/>
    <w:basedOn w:val="668"/>
    <w:uiPriority w:val="99"/>
  </w:style>
  <w:style w:type="paragraph" w:styleId="725">
    <w:name w:val="Caption"/>
    <w:basedOn w:val="658"/>
    <w:next w:val="658"/>
    <w:uiPriority w:val="35"/>
    <w:semiHidden/>
    <w:unhideWhenUsed/>
    <w:qFormat/>
    <w:pPr>
      <w:spacing w:line="276" w:lineRule="auto"/>
    </w:pPr>
    <w:rPr>
      <w:b/>
      <w:bCs/>
      <w:color w:val="4f81bd" w:themeColor="accent1"/>
      <w:sz w:val="18"/>
      <w:szCs w:val="18"/>
    </w:rPr>
  </w:style>
  <w:style w:type="character" w:styleId="726" w:customStyle="1">
    <w:name w:val="Caption Char"/>
    <w:uiPriority w:val="99"/>
  </w:style>
  <w:style w:type="table" w:styleId="727" w:customStyle="1">
    <w:name w:val="Table Grid Light"/>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customStyle="1">
    <w:name w:val="无格式表格 1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网格表 3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6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66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66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66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6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6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网格表 5 深色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网格表 6 彩色1"/>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66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66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66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66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网格表 7 彩色1"/>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6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6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6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6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6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6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清单表 1 浅色1"/>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6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6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6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6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6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6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清单表 21"/>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66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6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66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6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6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6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清单表 3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6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6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6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6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清单表 4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6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6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6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6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6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6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清单表 5 深色1"/>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66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66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66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66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66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66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清单表 6 彩色1"/>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66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66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66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66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66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66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customStyle="1">
    <w:name w:val="清单表 7 彩色1"/>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6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6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6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6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6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6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6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66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66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66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66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6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6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6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2">
    <w:name w:val="footnote text"/>
    <w:basedOn w:val="658"/>
    <w:link w:val="853"/>
    <w:uiPriority w:val="99"/>
    <w:semiHidden/>
    <w:unhideWhenUsed/>
    <w:pPr>
      <w:spacing w:after="40"/>
    </w:pPr>
    <w:rPr>
      <w:sz w:val="18"/>
    </w:rPr>
  </w:style>
  <w:style w:type="character" w:styleId="853" w:customStyle="1">
    <w:name w:val="脚注文本 字符"/>
    <w:link w:val="852"/>
    <w:uiPriority w:val="99"/>
    <w:rPr>
      <w:sz w:val="18"/>
    </w:rPr>
  </w:style>
  <w:style w:type="character" w:styleId="854">
    <w:name w:val="footnote reference"/>
    <w:basedOn w:val="668"/>
    <w:uiPriority w:val="99"/>
    <w:unhideWhenUsed/>
    <w:rPr>
      <w:vertAlign w:val="superscript"/>
    </w:rPr>
  </w:style>
  <w:style w:type="paragraph" w:styleId="855">
    <w:name w:val="endnote text"/>
    <w:basedOn w:val="658"/>
    <w:link w:val="856"/>
    <w:uiPriority w:val="99"/>
    <w:semiHidden/>
    <w:unhideWhenUsed/>
    <w:rPr>
      <w:sz w:val="20"/>
    </w:rPr>
  </w:style>
  <w:style w:type="character" w:styleId="856" w:customStyle="1">
    <w:name w:val="尾注文本 字符"/>
    <w:link w:val="855"/>
    <w:uiPriority w:val="99"/>
    <w:rPr>
      <w:sz w:val="20"/>
    </w:rPr>
  </w:style>
  <w:style w:type="character" w:styleId="857">
    <w:name w:val="endnote reference"/>
    <w:basedOn w:val="668"/>
    <w:uiPriority w:val="99"/>
    <w:semiHidden/>
    <w:unhideWhenUsed/>
    <w:rPr>
      <w:vertAlign w:val="superscript"/>
    </w:rPr>
  </w:style>
  <w:style w:type="paragraph" w:styleId="858">
    <w:name w:val="toc 1"/>
    <w:basedOn w:val="658"/>
    <w:next w:val="658"/>
    <w:uiPriority w:val="39"/>
    <w:unhideWhenUsed/>
    <w:pPr>
      <w:spacing w:after="57"/>
    </w:pPr>
  </w:style>
  <w:style w:type="paragraph" w:styleId="859">
    <w:name w:val="toc 2"/>
    <w:basedOn w:val="658"/>
    <w:next w:val="658"/>
    <w:uiPriority w:val="39"/>
    <w:unhideWhenUsed/>
    <w:pPr>
      <w:ind w:left="283"/>
      <w:spacing w:after="57"/>
    </w:pPr>
  </w:style>
  <w:style w:type="paragraph" w:styleId="860">
    <w:name w:val="toc 3"/>
    <w:basedOn w:val="658"/>
    <w:next w:val="658"/>
    <w:uiPriority w:val="39"/>
    <w:unhideWhenUsed/>
    <w:pPr>
      <w:ind w:left="567"/>
      <w:spacing w:after="57"/>
    </w:pPr>
  </w:style>
  <w:style w:type="paragraph" w:styleId="861">
    <w:name w:val="toc 4"/>
    <w:basedOn w:val="658"/>
    <w:next w:val="658"/>
    <w:uiPriority w:val="39"/>
    <w:unhideWhenUsed/>
    <w:pPr>
      <w:ind w:left="850"/>
      <w:spacing w:after="57"/>
    </w:pPr>
  </w:style>
  <w:style w:type="paragraph" w:styleId="862">
    <w:name w:val="toc 5"/>
    <w:basedOn w:val="658"/>
    <w:next w:val="658"/>
    <w:uiPriority w:val="39"/>
    <w:unhideWhenUsed/>
    <w:pPr>
      <w:ind w:left="1134"/>
      <w:spacing w:after="57"/>
    </w:pPr>
  </w:style>
  <w:style w:type="paragraph" w:styleId="863">
    <w:name w:val="toc 6"/>
    <w:basedOn w:val="658"/>
    <w:next w:val="658"/>
    <w:uiPriority w:val="39"/>
    <w:unhideWhenUsed/>
    <w:pPr>
      <w:ind w:left="1417"/>
      <w:spacing w:after="57"/>
    </w:pPr>
  </w:style>
  <w:style w:type="paragraph" w:styleId="864">
    <w:name w:val="toc 7"/>
    <w:basedOn w:val="658"/>
    <w:next w:val="658"/>
    <w:uiPriority w:val="39"/>
    <w:unhideWhenUsed/>
    <w:pPr>
      <w:ind w:left="1701"/>
      <w:spacing w:after="57"/>
    </w:pPr>
  </w:style>
  <w:style w:type="paragraph" w:styleId="865">
    <w:name w:val="toc 8"/>
    <w:basedOn w:val="658"/>
    <w:next w:val="658"/>
    <w:uiPriority w:val="39"/>
    <w:unhideWhenUsed/>
    <w:pPr>
      <w:ind w:left="1984"/>
      <w:spacing w:after="57"/>
    </w:pPr>
  </w:style>
  <w:style w:type="paragraph" w:styleId="866">
    <w:name w:val="toc 9"/>
    <w:basedOn w:val="658"/>
    <w:next w:val="658"/>
    <w:uiPriority w:val="39"/>
    <w:unhideWhenUsed/>
    <w:pPr>
      <w:ind w:left="2268"/>
      <w:spacing w:after="57"/>
    </w:pPr>
  </w:style>
  <w:style w:type="paragraph" w:styleId="867">
    <w:name w:val="TOC Heading"/>
    <w:uiPriority w:val="39"/>
    <w:unhideWhenUsed/>
  </w:style>
  <w:style w:type="paragraph" w:styleId="868">
    <w:name w:val="table of figures"/>
    <w:basedOn w:val="658"/>
    <w:next w:val="658"/>
    <w:uiPriority w:val="99"/>
    <w:unhideWhenUsed/>
  </w:style>
  <w:style w:type="paragraph" w:styleId="869">
    <w:name w:val="Normal Indent"/>
    <w:basedOn w:val="658"/>
    <w:link w:val="871"/>
    <w:qFormat/>
    <w:pPr>
      <w:ind w:firstLine="420"/>
    </w:pPr>
    <w:rPr>
      <w:szCs w:val="20"/>
    </w:rPr>
  </w:style>
  <w:style w:type="character" w:styleId="870">
    <w:name w:val="Hyperlink"/>
    <w:uiPriority w:val="99"/>
    <w:qFormat/>
    <w:rPr>
      <w:rFonts w:ascii="Verdana" w:hAnsi="Verdana"/>
      <w:color w:val="0000ff"/>
      <w:sz w:val="20"/>
      <w:szCs w:val="20"/>
      <w:u w:val="single"/>
      <w:lang w:eastAsia="en-US"/>
    </w:rPr>
  </w:style>
  <w:style w:type="character" w:styleId="871" w:customStyle="1">
    <w:name w:val="正文缩进 字符"/>
    <w:link w:val="869"/>
    <w:qFormat/>
    <w:rPr>
      <w:rFonts w:ascii="Times New Roman" w:hAnsi="Times New Roman" w:eastAsia="宋体" w:cs="Times New Roman"/>
      <w:szCs w:val="20"/>
    </w:rPr>
  </w:style>
  <w:style w:type="paragraph" w:styleId="872" w:customStyle="1">
    <w:name w:val="Default"/>
    <w:qFormat/>
    <w:pPr>
      <w:widowControl w:val="off"/>
    </w:pPr>
    <w:rPr>
      <w:rFonts w:ascii="宋体" w:hAnsi="Times New Roman" w:eastAsia="宋体" w:cs="宋体"/>
      <w:color w:val="000000"/>
      <w:sz w:val="24"/>
      <w:szCs w:val="24"/>
    </w:rPr>
  </w:style>
  <w:style w:type="character" w:styleId="873" w:customStyle="1">
    <w:name w:val="NormalCharacter"/>
    <w:qFormat/>
  </w:style>
  <w:style w:type="paragraph" w:styleId="874">
    <w:name w:val="Header"/>
    <w:basedOn w:val="658"/>
    <w:link w:val="875"/>
    <w:uiPriority w:val="99"/>
    <w:unhideWhenUsed/>
    <w:pPr>
      <w:jc w:val="center"/>
      <w:tabs>
        <w:tab w:val="center" w:pos="4153" w:leader="none"/>
        <w:tab w:val="right" w:pos="8306" w:leader="none"/>
      </w:tabs>
      <w:pBdr>
        <w:bottom w:val="single" w:color="auto" w:sz="6" w:space="1"/>
      </w:pBdr>
    </w:pPr>
    <w:rPr>
      <w:sz w:val="18"/>
      <w:szCs w:val="18"/>
    </w:rPr>
  </w:style>
  <w:style w:type="character" w:styleId="875" w:customStyle="1">
    <w:name w:val="页眉 字符"/>
    <w:basedOn w:val="668"/>
    <w:link w:val="874"/>
    <w:uiPriority w:val="99"/>
    <w:rPr>
      <w:rFonts w:ascii="Times New Roman" w:hAnsi="Times New Roman" w:eastAsia="宋体" w:cs="Times New Roman"/>
      <w:sz w:val="18"/>
      <w:szCs w:val="18"/>
    </w:rPr>
  </w:style>
  <w:style w:type="paragraph" w:styleId="876">
    <w:name w:val="Footer"/>
    <w:basedOn w:val="658"/>
    <w:link w:val="877"/>
    <w:uiPriority w:val="99"/>
    <w:unhideWhenUsed/>
    <w:pPr>
      <w:jc w:val="left"/>
      <w:tabs>
        <w:tab w:val="center" w:pos="4153" w:leader="none"/>
        <w:tab w:val="right" w:pos="8306" w:leader="none"/>
      </w:tabs>
    </w:pPr>
    <w:rPr>
      <w:sz w:val="18"/>
      <w:szCs w:val="18"/>
    </w:rPr>
  </w:style>
  <w:style w:type="character" w:styleId="877" w:customStyle="1">
    <w:name w:val="页脚 字符"/>
    <w:basedOn w:val="668"/>
    <w:link w:val="876"/>
    <w:uiPriority w:val="99"/>
    <w:rPr>
      <w:rFonts w:ascii="Times New Roman" w:hAnsi="Times New Roman" w:eastAsia="宋体" w:cs="Times New Roman"/>
      <w:sz w:val="18"/>
      <w:szCs w:val="18"/>
    </w:rPr>
  </w:style>
  <w:style w:type="paragraph" w:styleId="878">
    <w:name w:val="Body Text"/>
    <w:basedOn w:val="658"/>
    <w:link w:val="879"/>
    <w:qFormat/>
    <w:pPr>
      <w:jc w:val="center"/>
    </w:pPr>
    <w:rPr>
      <w:rFonts w:ascii="方正大黑简体" w:eastAsia="方正大黑简体"/>
      <w:position w:val="6"/>
      <w:sz w:val="30"/>
      <w:szCs w:val="20"/>
      <w:lang w:val="zh-CN"/>
    </w:rPr>
  </w:style>
  <w:style w:type="character" w:styleId="879" w:customStyle="1">
    <w:name w:val="正文文本 字符"/>
    <w:basedOn w:val="668"/>
    <w:link w:val="878"/>
    <w:qFormat/>
    <w:rPr>
      <w:rFonts w:ascii="方正大黑简体" w:hAnsi="Times New Roman" w:eastAsia="方正大黑简体" w:cs="Times New Roman"/>
      <w:position w:val="6"/>
      <w:sz w:val="30"/>
      <w:szCs w:val="20"/>
      <w:lang w:val="zh-CN"/>
    </w:rPr>
  </w:style>
  <w:style w:type="paragraph" w:styleId="880">
    <w:name w:val="Body Text Indent"/>
    <w:basedOn w:val="658"/>
    <w:link w:val="881"/>
    <w:uiPriority w:val="99"/>
    <w:qFormat/>
    <w:pPr>
      <w:ind w:left="420"/>
      <w:spacing w:after="120"/>
    </w:pPr>
    <w:rPr>
      <w:lang w:val="zh-CN"/>
    </w:rPr>
  </w:style>
  <w:style w:type="character" w:styleId="881" w:customStyle="1">
    <w:name w:val="正文文本缩进 字符"/>
    <w:basedOn w:val="668"/>
    <w:link w:val="880"/>
    <w:uiPriority w:val="99"/>
    <w:qFormat/>
    <w:rPr>
      <w:rFonts w:ascii="Times New Roman" w:hAnsi="Times New Roman" w:eastAsia="宋体" w:cs="Times New Roman"/>
      <w:szCs w:val="24"/>
      <w:lang w:val="zh-CN"/>
    </w:rPr>
  </w:style>
  <w:style w:type="paragraph" w:styleId="882" w:customStyle="1">
    <w:name w:val="正文1"/>
    <w:basedOn w:val="658"/>
    <w:next w:val="658"/>
    <w:qFormat/>
    <w:pPr>
      <w:ind w:firstLine="510"/>
      <w:spacing w:before="156" w:line="360" w:lineRule="auto"/>
    </w:pPr>
    <w:rPr>
      <w:sz w:val="24"/>
      <w:szCs w:val="20"/>
    </w:rPr>
  </w:style>
  <w:style w:type="paragraph" w:styleId="883" w:customStyle="1">
    <w:name w:val="列表段落1"/>
    <w:basedOn w:val="658"/>
    <w:uiPriority w:val="34"/>
    <w:qFormat/>
    <w:pPr>
      <w:ind w:firstLine="420"/>
    </w:pPr>
    <w:rPr>
      <w:rFonts w:ascii="Calibri" w:hAnsi="Calibri"/>
      <w:szCs w:val="22"/>
    </w:rPr>
  </w:style>
  <w:style w:type="paragraph" w:styleId="884">
    <w:name w:val="Body Text Indent 2"/>
    <w:basedOn w:val="658"/>
    <w:link w:val="885"/>
    <w:uiPriority w:val="99"/>
    <w:semiHidden/>
    <w:unhideWhenUsed/>
    <w:pPr>
      <w:ind w:left="420"/>
      <w:spacing w:after="120" w:line="480" w:lineRule="auto"/>
    </w:pPr>
  </w:style>
  <w:style w:type="character" w:styleId="885" w:customStyle="1">
    <w:name w:val="正文文本缩进 2 字符"/>
    <w:basedOn w:val="668"/>
    <w:link w:val="884"/>
    <w:uiPriority w:val="99"/>
    <w:semiHidden/>
    <w:rPr>
      <w:rFonts w:ascii="Times New Roman" w:hAnsi="Times New Roman" w:eastAsia="宋体" w:cs="Times New Roman"/>
      <w:szCs w:val="24"/>
    </w:rPr>
  </w:style>
  <w:style w:type="character" w:styleId="886" w:customStyle="1">
    <w:name w:val="15"/>
    <w:basedOn w:val="668"/>
    <w:qFormat/>
    <w:rPr>
      <w:rFonts w:hint="eastAsia" w:ascii="宋体" w:hAnsi="宋体" w:eastAsia="宋体" w:cs="宋体"/>
      <w:color w:val="000000"/>
      <w:sz w:val="21"/>
      <w:szCs w:val="21"/>
    </w:rPr>
  </w:style>
  <w:style w:type="paragraph" w:styleId="887" w:customStyle="1">
    <w:name w:val="Char"/>
    <w:basedOn w:val="658"/>
    <w:pPr>
      <w:ind w:firstLine="200"/>
      <w:tabs>
        <w:tab w:val="left" w:pos="360" w:leader="none"/>
      </w:tabs>
    </w:pPr>
    <w:rPr>
      <w:sz w:val="28"/>
      <w:szCs w:val="30"/>
    </w:rPr>
  </w:style>
  <w:style w:type="paragraph" w:styleId="888" w:customStyle="1">
    <w:name w:val="普通正文"/>
    <w:basedOn w:val="658"/>
    <w:pPr>
      <w:ind w:firstLine="480"/>
      <w:jc w:val="left"/>
      <w:spacing w:before="120" w:after="120" w:line="360" w:lineRule="auto"/>
    </w:pPr>
    <w:rPr>
      <w:rFonts w:ascii="Arial" w:hAnsi="Arial"/>
      <w:sz w:val="24"/>
    </w:rPr>
  </w:style>
  <w:style w:type="paragraph" w:styleId="889" w:customStyle="1">
    <w:name w:val="Table Text"/>
    <w:basedOn w:val="658"/>
    <w:qFormat/>
    <w:rPr>
      <w:rFonts w:ascii="微软雅黑" w:hAnsi="微软雅黑" w:eastAsia="微软雅黑"/>
      <w:sz w:val="20"/>
      <w:szCs w:val="20"/>
    </w:rPr>
  </w:style>
  <w:style w:type="character" w:styleId="890" w:customStyle="1">
    <w:name w:val="标题 2 字符"/>
    <w:basedOn w:val="668"/>
    <w:link w:val="660"/>
    <w:uiPriority w:val="9"/>
    <w:rPr>
      <w:rFonts w:ascii="宋体" w:hAnsi="宋体" w:eastAsia="宋体" w:cs="宋体"/>
      <w:b/>
      <w:bCs/>
      <w:sz w:val="36"/>
      <w:szCs w:val="36"/>
    </w:rPr>
  </w:style>
  <w:style w:type="character" w:styleId="891">
    <w:name w:val="Strong"/>
    <w:basedOn w:val="668"/>
    <w:uiPriority w:val="22"/>
    <w:qFormat/>
    <w:rPr>
      <w:b/>
      <w:bCs/>
    </w:rPr>
  </w:style>
  <w:style w:type="paragraph" w:styleId="892">
    <w:name w:val="Normal (Web)"/>
    <w:basedOn w:val="658"/>
    <w:uiPriority w:val="99"/>
    <w:unhideWhenUsed/>
    <w:pPr>
      <w:jc w:val="left"/>
      <w:spacing w:before="100" w:beforeAutospacing="1" w:after="100" w:afterAutospacing="1"/>
      <w:widowControl/>
    </w:pPr>
    <w:rPr>
      <w:rFonts w:ascii="宋体" w:hAnsi="宋体" w:cs="宋体"/>
      <w:sz w:val="24"/>
    </w:rPr>
  </w:style>
  <w:style w:type="character" w:styleId="893" w:customStyle="1">
    <w:name w:val="custom-tag-placeholder-class"/>
    <w:basedOn w:val="668"/>
  </w:style>
  <w:style w:type="table" w:styleId="894">
    <w:name w:val="Table Grid"/>
    <w:basedOn w:val="66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Table Paragraph"/>
    <w:basedOn w:val="658"/>
    <w:uiPriority w:val="1"/>
    <w:qFormat/>
    <w:pPr>
      <w:jc w:val="left"/>
    </w:pPr>
    <w:rPr>
      <w:rFonts w:ascii="宋体" w:hAnsi="宋体" w:cs="宋体"/>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75</cp:revision>
  <dcterms:created xsi:type="dcterms:W3CDTF">2025-05-13T02:21:00Z</dcterms:created>
  <dcterms:modified xsi:type="dcterms:W3CDTF">2026-03-25T08:12:05Z</dcterms:modified>
</cp:coreProperties>
</file>