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5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5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57"/>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w:t>
      </w:r>
      <w:r>
        <w:rPr>
          <w:rFonts w:ascii="黑体" w:hAnsi="黑体" w:eastAsia="黑体" w:cs="黑体"/>
          <w:b/>
          <w:color w:val="000000"/>
          <w:sz w:val="36"/>
          <w:highlight w:val="none"/>
        </w:rPr>
        <w:t xml:space="preserve">淮安市博物馆电梯设备采购项目  </w:t>
      </w:r>
      <w:r>
        <w:rPr>
          <w:rFonts w:hint="eastAsia" w:ascii="黑体" w:hAnsi="黑体" w:eastAsia="黑体"/>
          <w:b/>
          <w:sz w:val="36"/>
          <w:szCs w:val="36"/>
        </w:rPr>
        <w:t xml:space="preserve"> </w:t>
      </w:r>
      <w:r>
        <w:rPr>
          <w:rFonts w:hint="eastAsia" w:ascii="黑体" w:hAnsi="黑体" w:eastAsia="黑体"/>
          <w:b/>
          <w:sz w:val="36"/>
          <w:szCs w:val="36"/>
        </w:rPr>
      </w:r>
      <w:r/>
    </w:p>
    <w:p>
      <w:pPr>
        <w:pStyle w:val="657"/>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5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5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57"/>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项目编号:JSZC-320800-JZCG-G2026-0006 </w:t>
      </w:r>
      <w:r>
        <w:rPr>
          <w:rFonts w:hint="eastAsia" w:ascii="黑体" w:hAnsi="黑体" w:eastAsia="黑体"/>
          <w:b/>
          <w:sz w:val="36"/>
        </w:rPr>
      </w:r>
      <w:r/>
    </w:p>
    <w:p>
      <w:pPr>
        <w:pStyle w:val="657"/>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57"/>
        <w:keepLines w:val="0"/>
        <w:keepNext w:val="0"/>
        <w:pageBreakBefore w:val="0"/>
        <w:rPr>
          <w:rFonts w:ascii="黑体" w:hAnsi="黑体" w:eastAsia="黑体"/>
          <w:b/>
          <w:sz w:val="32"/>
        </w:rPr>
        <w:outlineLvl w:val="9"/>
      </w:pPr>
      <w:r>
        <w:rPr>
          <w:rFonts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57"/>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57"/>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二</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三</w:t>
      </w:r>
      <w:r>
        <w:rPr>
          <w:rFonts w:hint="eastAsia" w:ascii="黑体" w:hAnsi="黑体" w:eastAsia="黑体"/>
          <w:b/>
          <w:sz w:val="36"/>
          <w:szCs w:val="36"/>
        </w:rPr>
        <w:t xml:space="preserve">日</w:t>
      </w:r>
      <w:r>
        <w:rPr>
          <w:rFonts w:hint="eastAsia" w:ascii="宋体" w:hAnsi="宋体"/>
          <w:sz w:val="24"/>
        </w:rPr>
      </w:r>
      <w:r/>
    </w:p>
    <w:p>
      <w:pPr>
        <w:pStyle w:val="657"/>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ascii="仿宋" w:hAnsi="仿宋" w:eastAsia="仿宋" w:cs="仿宋"/>
          <w:color w:val="000000"/>
          <w:sz w:val="28"/>
          <w:highlight w:val="none"/>
        </w:rPr>
        <w:t xml:space="preserve">淮安市博物馆</w:t>
      </w:r>
      <w:r>
        <w:rPr>
          <w:rFonts w:hint="eastAsia" w:ascii="仿宋" w:hAnsi="仿宋" w:eastAsia="仿宋"/>
          <w:sz w:val="28"/>
        </w:rPr>
        <w:t xml:space="preserve">的委托，淮安市政府采购中心就</w:t>
      </w:r>
      <w:r>
        <w:rPr>
          <w:rFonts w:hint="eastAsia" w:ascii="仿宋" w:hAnsi="仿宋" w:eastAsia="仿宋"/>
          <w:sz w:val="28"/>
          <w:lang w:val="en-US" w:eastAsia="zh-CN"/>
        </w:rPr>
        <w:t xml:space="preserve">淮</w:t>
      </w:r>
      <w:r>
        <w:rPr>
          <w:rFonts w:ascii="仿宋" w:hAnsi="仿宋" w:eastAsia="仿宋" w:cs="仿宋"/>
          <w:color w:val="000000"/>
          <w:sz w:val="28"/>
          <w:highlight w:val="none"/>
        </w:rPr>
        <w:t xml:space="preserve">安市博物馆电梯设备采购项目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879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48790"/>
                        </a:xfrm>
                        <a:prstGeom prst="rect">
                          <a:avLst/>
                        </a:prstGeom>
                        <a:solidFill>
                          <a:srgbClr val="FFFFFF"/>
                        </a:solidFill>
                        <a:ln>
                          <a:solidFill>
                            <a:srgbClr val="000000"/>
                          </a:solidFill>
                        </a:ln>
                      </wps:spPr>
                      <wps:txbx>
                        <w:txbxContent>
                          <w:p>
                            <w:pPr>
                              <w:pStyle w:val="65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淮</w:t>
                            </w:r>
                            <w:r>
                              <w:rPr>
                                <w:rFonts w:hint="eastAsia" w:ascii="仿宋" w:hAnsi="仿宋" w:eastAsia="仿宋"/>
                                <w:sz w:val="28"/>
                                <w:szCs w:val="28"/>
                                <w:u w:val="single"/>
                              </w:rPr>
                              <w:t xml:space="preserve">安市博物馆电梯设备采购项目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年3月2日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 </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57"/>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37.7pt;mso-wrap-distance-left:9.0pt;mso-wrap-distance-top:0.0pt;mso-wrap-distance-right:9.0pt;mso-wrap-distance-bottom:0.0pt;visibility:visible;" fillcolor="#FFFFFF" strokecolor="#000000">
                <v:textbox inset="0,0,0,0">
                  <w:txbxContent>
                    <w:p>
                      <w:pPr>
                        <w:pStyle w:val="65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淮</w:t>
                      </w:r>
                      <w:r>
                        <w:rPr>
                          <w:rFonts w:hint="eastAsia" w:ascii="仿宋" w:hAnsi="仿宋" w:eastAsia="仿宋"/>
                          <w:sz w:val="28"/>
                          <w:szCs w:val="28"/>
                          <w:u w:val="single"/>
                        </w:rPr>
                        <w:t xml:space="preserve">安市博物馆电梯设备采购项目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年3月2日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 </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57"/>
                      </w:pPr>
                      <w:r/>
                      <w:r/>
                    </w:p>
                  </w:txbxContent>
                </v:textbox>
              </v:shape>
            </w:pict>
          </mc:Fallback>
        </mc:AlternateContent>
      </w:r>
      <w:r>
        <w:rPr>
          <w:rFonts w:hint="eastAsia" w:ascii="仿宋" w:hAnsi="仿宋" w:eastAsia="仿宋"/>
          <w:sz w:val="28"/>
          <w:szCs w:val="28"/>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5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5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（一）项目编号:JSZC-320800-JZCG-G2026-0006</w:t>
      </w:r>
      <w:r>
        <w:rPr>
          <w:rFonts w:hint="eastAsia"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val="en-US" w:eastAsia="zh-CN"/>
        </w:rPr>
        <w:t xml:space="preserve">淮</w:t>
      </w:r>
      <w:r>
        <w:rPr>
          <w:rFonts w:ascii="仿宋" w:hAnsi="仿宋" w:eastAsia="仿宋" w:cs="仿宋"/>
          <w:color w:val="000000"/>
          <w:sz w:val="28"/>
          <w:highlight w:val="none"/>
        </w:rPr>
        <w:t xml:space="preserve">安市博物馆电梯设备采购项目</w:t>
      </w:r>
      <w:r>
        <w:rPr>
          <w:rFonts w:hint="eastAsia" w:ascii="仿宋" w:hAnsi="仿宋" w:eastAsia="仿宋"/>
          <w:bCs/>
          <w:sz w:val="28"/>
        </w:rPr>
        <w:t xml:space="preserve"> </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75.69</w:t>
      </w:r>
      <w:r>
        <w:rPr>
          <w:rFonts w:hint="eastAsia" w:ascii="仿宋" w:hAnsi="仿宋" w:eastAsia="仿宋"/>
          <w:sz w:val="28"/>
          <w:szCs w:val="28"/>
        </w:rPr>
        <w:t xml:space="preserve">万元</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75.69</w:t>
      </w:r>
      <w:r>
        <w:rPr>
          <w:rFonts w:hint="eastAsia" w:ascii="仿宋" w:hAnsi="仿宋" w:eastAsia="仿宋"/>
          <w:sz w:val="28"/>
          <w:szCs w:val="28"/>
        </w:rPr>
        <w:t xml:space="preserve">万元</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ascii="仿宋" w:hAnsi="仿宋" w:eastAsia="仿宋" w:cs="仿宋"/>
          <w:color w:val="000000"/>
          <w:sz w:val="28"/>
          <w:highlight w:val="none"/>
        </w:rPr>
        <w:t xml:space="preserve">电梯设备采购，详见招标文件第五章。</w:t>
      </w:r>
      <w:r>
        <w:rPr>
          <w:rFonts w:ascii="仿宋" w:hAnsi="仿宋" w:eastAsia="仿宋"/>
          <w:sz w:val="28"/>
          <w:szCs w:val="28"/>
        </w:rPr>
      </w:r>
      <w:r/>
    </w:p>
    <w:p>
      <w:pPr>
        <w:pStyle w:val="657"/>
        <w:ind w:left="0" w:right="0" w:firstLine="565"/>
        <w:jc w:val="both"/>
        <w:spacing w:before="0" w:after="0" w:line="519" w:lineRule="atLeast"/>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（六）合同履行期限:</w:t>
      </w:r>
      <w:r>
        <w:rPr>
          <w:rFonts w:ascii="仿宋" w:hAnsi="仿宋" w:eastAsia="仿宋" w:cs="仿宋"/>
          <w:color w:val="000000"/>
          <w:sz w:val="28"/>
          <w:highlight w:val="none"/>
        </w:rPr>
        <w:t xml:space="preserve">合同签订后，接到采购人排产通知后60天内完成交货及安装调试，通过电梯主管部门验收并取得电梯使用合格证书。</w:t>
      </w:r>
      <w:r>
        <w:rPr>
          <w:rFonts w:hint="eastAsia" w:ascii="仿宋" w:hAnsi="仿宋" w:eastAsia="仿宋"/>
          <w:sz w:val="28"/>
          <w:szCs w:val="28"/>
        </w:rPr>
        <w:t xml:space="preserve">    </w:t>
      </w:r>
      <w:r>
        <w:rPr>
          <w:rFonts w:hint="eastAsia" w:ascii="仿宋" w:hAnsi="仿宋" w:eastAsia="仿宋"/>
          <w:sz w:val="28"/>
          <w:szCs w:val="28"/>
        </w:rPr>
      </w:r>
      <w:r/>
    </w:p>
    <w:p>
      <w:pPr>
        <w:pStyle w:val="65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5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5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7"/>
        <w:ind w:left="0" w:right="0" w:firstLine="560"/>
        <w:jc w:val="both"/>
        <w:spacing w:before="0" w:after="0" w:line="519" w:lineRule="atLeast"/>
        <w:rPr>
          <w:rFonts w:ascii="仿宋" w:hAnsi="仿宋" w:eastAsia="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（三）本项目的特定资格要求:</w:t>
      </w:r>
      <w:r>
        <w:rPr>
          <w:rFonts w:ascii="仿宋" w:hAnsi="仿宋" w:eastAsia="仿宋" w:cs="仿宋"/>
          <w:color w:val="000000"/>
          <w:sz w:val="28"/>
          <w:highlight w:val="none"/>
        </w:rPr>
        <w:t xml:space="preserve">投标人或所投电梯制造商须具有有效期内的《中华人民共和国特种设备生产许可证》（包含乘客电梯许可项目）。</w:t>
      </w:r>
      <w:r>
        <w:rPr>
          <w:rFonts w:ascii="仿宋" w:hAnsi="仿宋" w:eastAsia="仿宋"/>
          <w:color w:val="000000"/>
          <w:sz w:val="28"/>
          <w:szCs w:val="28"/>
          <w:lang w:val="zh-CN"/>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57"/>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月2</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09:30。</w:t>
      </w:r>
      <w:r>
        <w:rPr>
          <w:rFonts w:ascii="仿宋" w:hAnsi="仿宋" w:eastAsia="仿宋"/>
          <w:sz w:val="28"/>
          <w:szCs w:val="28"/>
          <w:lang w:val="en-US" w:eastAsia="zh-CN"/>
        </w:rPr>
      </w:r>
      <w:r/>
    </w:p>
    <w:p>
      <w:pPr>
        <w:pStyle w:val="65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ascii="仿宋" w:hAnsi="仿宋" w:eastAsia="仿宋" w:cs="仿宋"/>
          <w:color w:val="000000"/>
          <w:sz w:val="28"/>
          <w:highlight w:val="none"/>
        </w:rPr>
        <w:t xml:space="preserve">淮安市博物馆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ascii="仿宋" w:hAnsi="仿宋" w:eastAsia="仿宋" w:cs="仿宋"/>
          <w:color w:val="000000"/>
          <w:sz w:val="28"/>
          <w:highlight w:val="none"/>
        </w:rPr>
        <w:t xml:space="preserve">淮安市健康西路146-1号</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ascii="仿宋" w:hAnsi="仿宋" w:eastAsia="仿宋" w:cs="仿宋"/>
          <w:color w:val="000000"/>
          <w:sz w:val="28"/>
          <w:highlight w:val="none"/>
        </w:rPr>
        <w:t xml:space="preserve">谢伟  13651543768</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ascii="仿宋" w:hAnsi="仿宋" w:eastAsia="仿宋" w:cs="仿宋"/>
          <w:color w:val="000000"/>
          <w:sz w:val="28"/>
          <w:highlight w:val="none"/>
        </w:rPr>
        <w:t xml:space="preserve">席雨渲    0517-80996050</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7"/>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5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5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5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5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5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5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57"/>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57"/>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57"/>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57"/>
        <w:keepLines w:val="0"/>
        <w:keepNext w:val="0"/>
        <w:pageBreakBefore w:val="0"/>
        <w:spacing w:line="520" w:lineRule="exact"/>
        <w:rPr>
          <w:rFonts w:ascii="仿宋" w:hAnsi="仿宋" w:eastAsia="仿宋"/>
          <w:sz w:val="28"/>
          <w:szCs w:val="28"/>
        </w:rPr>
        <w:outlineLvl w:val="9"/>
      </w:pPr>
      <w:r/>
      <w:bookmarkStart w:id="0" w:name="_Toc513029214"/>
      <w:r/>
      <w:bookmarkStart w:id="1" w:name="_Toc462564073"/>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57"/>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57"/>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17.1 本项目评标标准中的方案部分采用明标方式进行评审。</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17.2 方案部分采用明标方式进行评审的编制要求。</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17.3 供应商应按第17.2的要求编制方案，经三分之二评委认定，供应商未按第17.2的要求编制方案的，按未提供方案处理。</w:t>
      </w:r>
      <w:r>
        <w:rPr>
          <w:color w:val="000000"/>
          <w:highlight w:val="none"/>
        </w:rPr>
      </w:r>
      <w:r/>
    </w:p>
    <w:p>
      <w:pPr>
        <w:pStyle w:val="65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57"/>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57"/>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57"/>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5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bookmarkStart w:id="12" w:name="_Toc16938548"/>
      <w:r/>
      <w:bookmarkStart w:id="13" w:name="_Toc513029232"/>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20823306"/>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w:t>
      </w:r>
      <w:r>
        <w:rPr>
          <w:rFonts w:hint="eastAsia" w:ascii="仿宋" w:hAnsi="仿宋" w:eastAsia="仿宋"/>
          <w:sz w:val="28"/>
          <w:szCs w:val="28"/>
          <w:highlight w:val="none"/>
        </w:rPr>
        <w:t xml:space="preserve">明其中的核心产品（</w:t>
      </w:r>
      <w:r>
        <w:rPr>
          <w:rFonts w:ascii="仿宋" w:hAnsi="仿宋" w:eastAsia="仿宋" w:cs="仿宋"/>
          <w:color w:val="000000"/>
          <w:sz w:val="28"/>
          <w:highlight w:val="none"/>
        </w:rPr>
        <w:t xml:space="preserve">机房无齿轮乘客电梯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（1）投标报价低于采购项目预算50%的，即投标报价＜采购项目预算×50%；</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（2）投标报价低于采购项目最高限价45%的，即投标报价＜采购项目最高限价×45%；</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（3）评标委员会认定的供应商报价过低、有可能影响产品质量或者不能诚信履约的其他情形。</w:t>
      </w:r>
      <w:r>
        <w:rPr>
          <w:rFonts w:hint="eastAsia" w:ascii="仿宋" w:hAnsi="仿宋" w:eastAsia="仿宋"/>
          <w:sz w:val="28"/>
          <w:szCs w:val="28"/>
          <w:lang w:val="en-US" w:eastAsia="zh-CN"/>
        </w:rPr>
      </w:r>
      <w:r/>
    </w:p>
    <w:p>
      <w:pPr>
        <w:pStyle w:val="65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ascii="仿宋" w:hAnsi="仿宋" w:eastAsia="仿宋"/>
          <w:sz w:val="28"/>
          <w:szCs w:val="28"/>
          <w:lang w:val="en-US" w:eastAsia="zh-CN"/>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513029235"/>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26.1.14 未完全满足招标文件第五章“</w:t>
      </w:r>
      <w:r>
        <w:rPr>
          <w:rFonts w:ascii="仿宋" w:hAnsi="仿宋" w:eastAsia="仿宋" w:cs="仿宋"/>
          <w:b/>
          <w:color w:val="000000"/>
          <w:sz w:val="28"/>
          <w:highlight w:val="none"/>
        </w:rPr>
        <w:t xml:space="preserve">一、采购项目清单及参数要求</w:t>
      </w:r>
      <w:r>
        <w:rPr>
          <w:rFonts w:ascii="仿宋" w:hAnsi="仿宋" w:eastAsia="仿宋" w:cs="仿宋"/>
          <w:color w:val="000000"/>
          <w:sz w:val="28"/>
          <w:highlight w:val="none"/>
        </w:rPr>
        <w:t xml:space="preserve">”中“★”参数的。</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26.1.15 未按照招标文件第五章“</w:t>
      </w:r>
      <w:r>
        <w:rPr>
          <w:rFonts w:ascii="仿宋" w:hAnsi="仿宋" w:eastAsia="仿宋" w:cs="仿宋"/>
          <w:b/>
          <w:color w:val="000000"/>
          <w:sz w:val="28"/>
          <w:highlight w:val="none"/>
        </w:rPr>
        <w:t xml:space="preserve">一、采购项目清单及参数要求</w:t>
      </w:r>
      <w:r>
        <w:rPr>
          <w:rFonts w:ascii="仿宋" w:hAnsi="仿宋" w:eastAsia="仿宋" w:cs="仿宋"/>
          <w:color w:val="000000"/>
          <w:sz w:val="28"/>
          <w:highlight w:val="none"/>
        </w:rPr>
        <w:t xml:space="preserve">”中“★”要求提供相关证明材料的。</w:t>
      </w:r>
      <w:r>
        <w:rPr>
          <w:color w:val="000000"/>
          <w:highlight w:val="none"/>
        </w:rPr>
      </w:r>
      <w:r/>
    </w:p>
    <w:p>
      <w:pPr>
        <w:pStyle w:val="657"/>
        <w:ind w:left="0" w:right="0" w:firstLine="560"/>
        <w:jc w:val="both"/>
        <w:spacing w:before="0" w:after="0" w:line="519" w:lineRule="atLeast"/>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26.1.16 未按照招标文件第五章中“★”要求提供承诺函的。</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57"/>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57"/>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57"/>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57"/>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5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57"/>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5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57"/>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57"/>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5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78"/>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5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5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57"/>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5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5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57"/>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57"/>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5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7"/>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57"/>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694"/>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694"/>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694"/>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5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5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57"/>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69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69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分</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（1）投标人所投产品技术参数完全满足招标文件第五章“一、采购项目清单及参数要求”中标注“★”技术参数要求，未完全满足作无效投标处理。</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（2）主要参数（3分），加“▲”项参数为主要参数，共6项，共6分，每有一项负偏离扣0.5分,扣完为止；</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（3）一般性参数（6分），除加 “★”“▲”项外的技术参数为一般技术参数25条，共6分，每出现一条负偏离扣0.24分，扣完为止。</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主机、控制柜、调速装置、控制装置、限速器、安全钳、缓冲器、层门门锁、轿门门锁、安全电路、上行超速保护装置、可编程电子安全系统、轿厢意外移动保护装置均为原厂原品牌(原厂原品牌为部件制造厂家与电梯整机制造厂家一致)，全部满足的得13分，其中一项不满足的扣1分。（需提供所投产品型号整梯的型式试验报告原件扫描件并加盖投标人公章，不提供不得分。）</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分</w:t>
      </w:r>
      <w:r>
        <w:rPr>
          <w:rFonts w:hint="eastAsia" w:ascii="仿宋" w:hAnsi="仿宋" w:eastAsia="仿宋"/>
          <w:sz w:val="28"/>
          <w:szCs w:val="28"/>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   </w:t>
      </w:r>
      <w:r>
        <w:rPr>
          <w:rFonts w:ascii="仿宋" w:hAnsi="仿宋" w:eastAsia="仿宋" w:cs="仿宋"/>
          <w:color w:val="000000"/>
          <w:sz w:val="28"/>
          <w:highlight w:val="none"/>
        </w:rPr>
        <w:t xml:space="preserve">（1）电梯施工方案：（8分）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投标人针对本项目提供完整、合理、科学的施工方案，方案内容至少包括：①施工组织计划②旧电梯拆除方案③新电梯安装方案④施工安全、施工质量⑤施工环境管理⑥施工进度计划。</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方案优于项目需求的得8分，完全符合项目需求的得5分，基本符合项目需求的得2分，略次于项目需求但是能达到使用要求的得1分。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（2）应急方案：（8分）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投标人针对本项目提供完整、合理的应急预案，预案内容至少包含以下模块：①沟通平台建设②应急预案流程③安全保障措施④应急响应措施⑤对争议结果的解决方案。</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方案优于项目需求的得8分，完全符合项目需求的得5分，基本符合项目需求的得2分，略次于项目需求但是能达到使用要求的得1分。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（3）售后服务方案：（8分）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color w:val="000000"/>
          <w:highlight w:val="none"/>
        </w:rPr>
      </w:r>
      <w:r/>
    </w:p>
    <w:p>
      <w:pPr>
        <w:pStyle w:val="657"/>
        <w:ind w:firstLine="560"/>
        <w:keepLines w:val="0"/>
        <w:keepNext w:val="0"/>
        <w:pageBreakBefore w:val="0"/>
        <w:spacing w:line="520" w:lineRule="exact"/>
        <w:rPr>
          <w:rFonts w:ascii="仿宋" w:hAnsi="仿宋" w:eastAsia="仿宋" w:cs="仿宋"/>
          <w:color w:val="000000"/>
          <w:sz w:val="28"/>
          <w:highlight w:val="none"/>
        </w:rPr>
        <w:outlineLvl w:val="9"/>
      </w:pPr>
      <w:r>
        <w:rPr>
          <w:rFonts w:ascii="仿宋" w:hAnsi="仿宋" w:eastAsia="仿宋" w:cs="仿宋"/>
          <w:color w:val="000000"/>
          <w:sz w:val="28"/>
          <w:highlight w:val="none"/>
        </w:rPr>
        <w:t xml:space="preserve">方案优于项目需求的得8分，完全符合项目需求的得5分，基本符合项目需求的得2分，略次于项目需求但是能达到使用要求的得1分。</w:t>
      </w:r>
      <w:r>
        <w:rPr>
          <w:rFonts w:ascii="仿宋" w:hAnsi="仿宋" w:eastAsia="仿宋" w:cs="仿宋"/>
          <w:color w:val="000000"/>
          <w:sz w:val="28"/>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4、商务部分:15分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投标人具有有效期内的ISO9001质量管理体系认证、ISO14001环境管理体系认证、ISO45001职业健康安全管理体系认证、能源管理体系认证证书的，每个证书得2分，本项最高得8分，没有不得分。（提供证书扫描件加盖投标单位电子签章，未提供不得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投标人自2022年1月起至今，承担过与所投电梯品牌一致的类似业绩的，每提供一份业绩得1分，本项最高得2分，没有不得分。（提供业绩合同扫描件加盖投标单位电子签章，以合同签订日期为准，未提供不得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投标人或所投电梯制造商拥有中国合格评定国家认可委员会CNAS实验室认可证书的得5分，没有不得分。（提供证书扫描件加盖投标人电子签章，未提供不得分。证书标注的制造商名称与本次所投电梯制造商营业执照上名称必须一致）</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5、售后服务:9分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投标人承诺所投产品的质保期在符合招标文件规定的免费质保期限（5年）的基础上，每增加1年整机及所有零部件免费质保及上门维修服务的得2分，本项最高得4分，未提供承诺的不得分。（提供承诺书加盖投标单位电子签章，未提供不得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至投标截止时间，投标人自注册成立以来从未因售后服务、电梯维护保养等受到过国内市场监督管理部门（原质量监督局）行政处罚的得5分。（投标人自行查询处罚记录，提供网站截图和承诺书加盖投标单位电子签章，未提供不得分）</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5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57"/>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57"/>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78"/>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678"/>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78"/>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78"/>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57"/>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57"/>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57"/>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5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5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5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57"/>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57"/>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5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5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5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5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5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5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5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5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5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5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5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5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2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2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2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2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57"/>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5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678"/>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57"/>
        <w:ind w:left="0" w:right="0" w:firstLine="0"/>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一、采购清单</w:t>
      </w:r>
      <w:r>
        <w:rPr>
          <w:color w:val="000000"/>
          <w:highlight w:val="none"/>
        </w:rPr>
      </w:r>
      <w:r/>
    </w:p>
    <w:tbl>
      <w:tblPr>
        <w:tblStyle w:val="6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4967"/>
        <w:gridCol w:w="2959"/>
      </w:tblGrid>
      <w:tr>
        <w:trPr>
          <w:trHeight w:val="556"/>
        </w:trPr>
        <w:tc>
          <w:tcPr>
            <w:tcMar>
              <w:left w:w="108" w:type="dxa"/>
              <w:top w:w="0" w:type="dxa"/>
              <w:right w:w="108" w:type="dxa"/>
              <w:bottom w:w="0" w:type="dxa"/>
            </w:tcMar>
            <w:tcW w:w="1012" w:type="dxa"/>
            <w:vAlign w:val="center"/>
            <w:textDirection w:val="lrTb"/>
            <w:noWrap w:val="false"/>
          </w:tcPr>
          <w:p>
            <w:pPr>
              <w:pStyle w:val="657"/>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序号</w:t>
            </w:r>
            <w:r>
              <w:rPr>
                <w:color w:val="000000"/>
                <w:highlight w:val="none"/>
              </w:rPr>
            </w:r>
            <w:r/>
          </w:p>
        </w:tc>
        <w:tc>
          <w:tcPr>
            <w:tcMar>
              <w:left w:w="108" w:type="dxa"/>
              <w:top w:w="0" w:type="dxa"/>
              <w:right w:w="108" w:type="dxa"/>
              <w:bottom w:w="0" w:type="dxa"/>
            </w:tcMar>
            <w:tcW w:w="5224" w:type="dxa"/>
            <w:vAlign w:val="center"/>
            <w:textDirection w:val="lrTb"/>
            <w:noWrap w:val="false"/>
          </w:tcPr>
          <w:p>
            <w:pPr>
              <w:pStyle w:val="657"/>
              <w:ind w:left="0" w:right="0" w:firstLine="425"/>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产品名称</w:t>
            </w:r>
            <w:r>
              <w:rPr>
                <w:color w:val="000000"/>
                <w:highlight w:val="none"/>
              </w:rPr>
            </w:r>
            <w:r/>
          </w:p>
        </w:tc>
        <w:tc>
          <w:tcPr>
            <w:tcMar>
              <w:left w:w="108" w:type="dxa"/>
              <w:top w:w="0" w:type="dxa"/>
              <w:right w:w="108" w:type="dxa"/>
              <w:bottom w:w="0" w:type="dxa"/>
            </w:tcMar>
            <w:tcW w:w="3118" w:type="dxa"/>
            <w:vAlign w:val="center"/>
            <w:textDirection w:val="lrTb"/>
            <w:noWrap w:val="false"/>
          </w:tcPr>
          <w:p>
            <w:pPr>
              <w:pStyle w:val="657"/>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数量</w:t>
            </w:r>
            <w:r>
              <w:rPr>
                <w:color w:val="000000"/>
                <w:highlight w:val="none"/>
              </w:rPr>
            </w:r>
            <w:r/>
          </w:p>
        </w:tc>
      </w:tr>
      <w:tr>
        <w:trPr>
          <w:trHeight w:val="576"/>
        </w:trPr>
        <w:tc>
          <w:tcPr>
            <w:tcMar>
              <w:left w:w="108" w:type="dxa"/>
              <w:top w:w="0" w:type="dxa"/>
              <w:right w:w="108" w:type="dxa"/>
              <w:bottom w:w="0" w:type="dxa"/>
            </w:tcMar>
            <w:tcW w:w="1012"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color w:val="000000"/>
                <w:highlight w:val="none"/>
              </w:rPr>
            </w:r>
            <w:r/>
          </w:p>
        </w:tc>
        <w:tc>
          <w:tcPr>
            <w:tcMar>
              <w:left w:w="108" w:type="dxa"/>
              <w:top w:w="0" w:type="dxa"/>
              <w:right w:w="108" w:type="dxa"/>
              <w:bottom w:w="0" w:type="dxa"/>
            </w:tcMar>
            <w:tcW w:w="5224"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无机房无齿轮乘客电梯</w:t>
            </w:r>
            <w:r>
              <w:rPr>
                <w:color w:val="000000"/>
                <w:highlight w:val="none"/>
              </w:rPr>
            </w:r>
            <w:r/>
          </w:p>
        </w:tc>
        <w:tc>
          <w:tcPr>
            <w:tcMar>
              <w:left w:w="108" w:type="dxa"/>
              <w:top w:w="0" w:type="dxa"/>
              <w:right w:w="108" w:type="dxa"/>
              <w:bottom w:w="0" w:type="dxa"/>
            </w:tcMar>
            <w:tcW w:w="3118"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2套</w:t>
            </w:r>
            <w:r>
              <w:rPr>
                <w:color w:val="000000"/>
                <w:highlight w:val="none"/>
              </w:rPr>
            </w:r>
            <w:r/>
          </w:p>
        </w:tc>
      </w:tr>
      <w:tr>
        <w:trPr>
          <w:trHeight w:val="576"/>
        </w:trPr>
        <w:tc>
          <w:tcPr>
            <w:tcMar>
              <w:left w:w="108" w:type="dxa"/>
              <w:top w:w="0" w:type="dxa"/>
              <w:right w:w="108" w:type="dxa"/>
              <w:bottom w:w="0" w:type="dxa"/>
            </w:tcMar>
            <w:tcW w:w="1012"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w:t>
            </w:r>
            <w:r>
              <w:rPr>
                <w:color w:val="000000"/>
                <w:highlight w:val="none"/>
              </w:rPr>
            </w:r>
            <w:r/>
          </w:p>
        </w:tc>
        <w:tc>
          <w:tcPr>
            <w:tcMar>
              <w:left w:w="108" w:type="dxa"/>
              <w:top w:w="0" w:type="dxa"/>
              <w:right w:w="108" w:type="dxa"/>
              <w:bottom w:w="0" w:type="dxa"/>
            </w:tcMar>
            <w:tcW w:w="5224"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无机房无齿轮乘客电梯 (IC卡)</w:t>
            </w:r>
            <w:r>
              <w:rPr>
                <w:color w:val="000000"/>
                <w:highlight w:val="none"/>
              </w:rPr>
            </w:r>
            <w:r/>
          </w:p>
        </w:tc>
        <w:tc>
          <w:tcPr>
            <w:tcMar>
              <w:left w:w="108" w:type="dxa"/>
              <w:top w:w="0" w:type="dxa"/>
              <w:right w:w="108" w:type="dxa"/>
              <w:bottom w:w="0" w:type="dxa"/>
            </w:tcMar>
            <w:tcW w:w="3118" w:type="dxa"/>
            <w:vAlign w:val="center"/>
            <w:textDirection w:val="lrTb"/>
            <w:noWrap w:val="false"/>
          </w:tcPr>
          <w:p>
            <w:pPr>
              <w:pStyle w:val="657"/>
              <w:ind w:left="0" w:right="0" w:firstLine="0"/>
              <w:jc w:val="center"/>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1套</w:t>
            </w:r>
            <w:r>
              <w:rPr>
                <w:color w:val="000000"/>
                <w:highlight w:val="none"/>
              </w:rPr>
            </w:r>
            <w:r/>
          </w:p>
        </w:tc>
      </w:tr>
    </w:tbl>
    <w:p>
      <w:pPr>
        <w:pStyle w:val="657"/>
        <w:ind w:left="0" w:right="0" w:firstLine="0"/>
        <w:jc w:val="both"/>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1、无机房无齿轮乘客电梯，三台电梯均需满足以下技术参数：</w:t>
      </w:r>
      <w:r>
        <w:rPr>
          <w:color w:val="000000"/>
          <w:highlight w:val="none"/>
        </w:rPr>
      </w:r>
      <w:r/>
    </w:p>
    <w:tbl>
      <w:tblPr>
        <w:tblStyle w:val="6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1736"/>
        <w:gridCol w:w="6059"/>
      </w:tblGrid>
      <w:tr>
        <w:trPr>
          <w:trHeight w:val="340"/>
        </w:trPr>
        <w:tc>
          <w:tcPr>
            <w:tcMar>
              <w:left w:w="108" w:type="dxa"/>
              <w:top w:w="0" w:type="dxa"/>
              <w:right w:w="108" w:type="dxa"/>
              <w:bottom w:w="0" w:type="dxa"/>
            </w:tcMar>
            <w:tcW w:w="1163"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序号</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功能名称</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功能说明</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额定载重</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≧1000kg</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40" w:right="-34"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速度(m/s)</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tabs>
                <w:tab w:val="left" w:pos="252"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≧1.0m/s</w:t>
            </w:r>
            <w:r>
              <w:rPr>
                <w:color w:val="000000"/>
                <w:highlight w:val="none"/>
              </w:rPr>
            </w:r>
            <w:r/>
          </w:p>
        </w:tc>
      </w:tr>
      <w:tr>
        <w:trPr>
          <w:trHeight w:val="135"/>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停 站 数</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1、4/4/4 两台</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2、5/5/5一台    </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基    站</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1层</w:t>
            </w:r>
            <w:r>
              <w:rPr>
                <w:color w:val="000000"/>
                <w:highlight w:val="none"/>
              </w:rPr>
            </w:r>
            <w:r/>
          </w:p>
        </w:tc>
      </w:tr>
      <w:tr>
        <w:trPr>
          <w:trHeight w:val="9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    源</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1、动力电源(±10%):三相五线制，交流380V、50Hz；</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2、照明电源:单相交流220V、50Hz。</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控制系统</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微机全数字化</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拖动系统</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1、提升高度（以投标人自行勘察现场数据为准）</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2、单双通：单通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3、曳引机：交流永磁同步无齿轮曳引机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4、控制方式：并联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5、操作系统：全电脑全集选方式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6、控制系统：模块化电脑软件控制系统，串行传输通讯网络系统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7、拖动系统：交流变频变压无级调速无齿拖动系统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8、门机：变压变频调速电脑控制交流驱动（无连杆）</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9、曳引机位置：井道顶部</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开门方式</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自动中分门（轿厢内外门采用发纹不锈钢）</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9</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门 类 型</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★VVVF永磁门机</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门 保 护</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★门光幕电器防护必须为原厂原品牌且防护等级≧IP65、光幕束数量≧190束</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认证的第三方检测机构出具的检测报告扫描件加盖投标单位电子签章，不提供作无效响应处理）</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11</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平层精度</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★不大于：±5mm </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12</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轿厢及装潢</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（包括但</w:t>
            </w:r>
            <w:r>
              <w:rPr>
                <w:color w:val="000000"/>
                <w:highlight w:val="none"/>
              </w:rPr>
            </w:r>
            <w:r/>
          </w:p>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不限于）</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★1、轿厢两侧壁：304 发纹不锈钢 厚度≧1.5mm</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★2、轿厢后壁：304 发纹不锈钢 厚度≧1.5mm轿厢后壁与开门等宽不锈钢全身镜；</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★3、轿厢顶：发纹不锈钢+LED</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★4、轿厢地板：天然大理石或蜂窝铝大理石地面。密度≧2.6g/cm³，厚度≧2cm。</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★5、轿厢净高≧2600mm</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★6、轿门材质：304 发纹不锈钢 厚度≧1.5mm</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★7、通风设施：低噪音风机通风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★8、通讯设施：隐藏式对讲装置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★9、检修设施：轿顶检修</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★10、梯内空调：配置轿内≧一匹无水单冷空调1台</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13</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操 作 箱</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★1、一整体式操纵箱 </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★2、面板材料：304 发纹不锈钢 厚度≧1.5mm</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★3、显示类型：≧13英寸多媒体媒体液晶显示</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★4、按钮类型：采用不锈钢盲文按钮，带辉光高亮显示</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★5、轿厢三侧发纹不锈钢扶手、残疾人操作盘、轿内语音报站。</w:t>
            </w:r>
            <w:r>
              <w:rPr>
                <w:color w:val="000000"/>
                <w:highlight w:val="none"/>
              </w:rPr>
            </w:r>
            <w:r/>
          </w:p>
        </w:tc>
      </w:tr>
      <w:tr>
        <w:trPr>
          <w:trHeight w:val="205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14</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厅门</w:t>
            </w:r>
            <w:r>
              <w:rPr>
                <w:color w:val="000000"/>
                <w:highlight w:val="none"/>
              </w:rPr>
            </w:r>
            <w:r/>
          </w:p>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信号</w:t>
            </w:r>
            <w:r>
              <w:rPr>
                <w:color w:val="000000"/>
                <w:highlight w:val="none"/>
              </w:rPr>
            </w:r>
            <w:r/>
          </w:p>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装置</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★1、召唤盒形式：微触式按钮</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★2、面板材料：发纹不锈钢面板</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★3、楼层位置显示：LED显示， 楼层位置及运行方向指示</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15</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厅门、门套</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 304 发纹不锈钢 厚度≧1.5mm</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16</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厅外召唤</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304#发纹不锈钢控制面板，各层均采用竖立式召唤箱，带指层数字型液晶显示，显示当前的轿厢位置和运行方向；具有上升与下降方向指示微触式按钮各一副。1层配置以钥匙操作电梯运行开关。</w:t>
            </w:r>
            <w:r>
              <w:rPr>
                <w:color w:val="000000"/>
                <w:highlight w:val="none"/>
              </w:rPr>
            </w:r>
            <w:r/>
          </w:p>
        </w:tc>
      </w:tr>
      <w:tr>
        <w:trPr>
          <w:trHeight w:val="442"/>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应急功能</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轿厢紧急照明，火灾应急返回。</w:t>
            </w:r>
            <w:r>
              <w:rPr>
                <w:color w:val="000000"/>
                <w:highlight w:val="none"/>
              </w:rPr>
            </w:r>
            <w:r/>
          </w:p>
        </w:tc>
      </w:tr>
      <w:tr>
        <w:trPr>
          <w:trHeight w:val="421"/>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18</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通讯功能</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五方通话（机房到监控室的线缆）</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19</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控制柜</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控制柜主板原厂原品牌，并与所投电梯为同一品牌</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20</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电缆</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防缠绕型电梯专用的扁平电缆（随行电缆内含网线）</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21</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导靴</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▲滚轮导靴</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22</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反绳轮</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▲金属材质</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23</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对重</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▲金属材质</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24</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噪声</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▲1、投标人所投电梯品牌梯型无机房乘客电梯的正常运行开关门噪声最大值&lt;51DB（A）；</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▲2、投标人所投品牌梯型无机房乘客电梯正常运行轿内运行噪声最大值&lt;50DB（A）。</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color w:val="000000"/>
                <w:highlight w:val="none"/>
              </w:rPr>
            </w:r>
            <w:r/>
          </w:p>
        </w:tc>
      </w:tr>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25</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安全部件</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▲1、曳引机制动器正常动作寿命≥1500万次。</w:t>
            </w:r>
            <w:r>
              <w:rPr>
                <w:rFonts w:ascii="仿宋" w:hAnsi="仿宋" w:eastAsia="仿宋" w:cs="仿宋"/>
                <w:b/>
                <w:color w:val="000000"/>
                <w:sz w:val="28"/>
                <w:highlight w:val="none"/>
              </w:rPr>
              <w:t xml:space="preserve">（提供具有 CMA认证或CNAS 认证的第三方检测机构出具的检测报告扫描件加盖投标单位电子签章，不提供作负偏离处理）</w:t>
            </w:r>
            <w:r>
              <w:rPr>
                <w:color w:val="000000"/>
                <w:highlight w:val="none"/>
              </w:rPr>
            </w:r>
            <w:r/>
          </w:p>
        </w:tc>
      </w:tr>
    </w:tbl>
    <w:p>
      <w:pPr>
        <w:pStyle w:val="657"/>
        <w:ind w:left="0" w:right="0" w:firstLine="0"/>
        <w:jc w:val="both"/>
        <w:spacing w:before="240" w:after="24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2、无机房无齿轮乘客电梯 (IC卡)，还需对以下技术参数进行响应</w:t>
      </w:r>
      <w:r>
        <w:rPr>
          <w:color w:val="000000"/>
          <w:highlight w:val="none"/>
        </w:rPr>
      </w:r>
      <w:r/>
    </w:p>
    <w:tbl>
      <w:tblPr>
        <w:tblStyle w:val="6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711"/>
        <w:gridCol w:w="6071"/>
      </w:tblGrid>
      <w:tr>
        <w:trPr>
          <w:trHeight w:val="340"/>
        </w:trPr>
        <w:tc>
          <w:tcPr>
            <w:tcMar>
              <w:left w:w="108" w:type="dxa"/>
              <w:top w:w="0" w:type="dxa"/>
              <w:right w:w="108" w:type="dxa"/>
              <w:bottom w:w="0" w:type="dxa"/>
            </w:tcMar>
            <w:tcW w:w="1163"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26</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57"/>
              <w:ind w:left="0" w:right="0" w:firstLine="0"/>
              <w:jc w:val="center"/>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IC卡</w:t>
            </w:r>
            <w:r>
              <w:rPr>
                <w:color w:val="000000"/>
                <w:highlight w:val="none"/>
              </w:rPr>
            </w:r>
            <w:r/>
          </w:p>
        </w:tc>
        <w:tc>
          <w:tcPr>
            <w:tcMar>
              <w:left w:w="108" w:type="dxa"/>
              <w:top w:w="0" w:type="dxa"/>
              <w:right w:w="108" w:type="dxa"/>
              <w:bottom w:w="0" w:type="dxa"/>
            </w:tcMar>
            <w:tcW w:w="6407" w:type="dxa"/>
            <w:vAlign w:val="center"/>
            <w:textDirection w:val="lrTb"/>
            <w:noWrap w:val="false"/>
          </w:tcPr>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厅外IC卡管控</w:t>
            </w:r>
            <w:r>
              <w:rPr>
                <w:color w:val="000000"/>
                <w:highlight w:val="none"/>
              </w:rPr>
            </w:r>
            <w:r/>
          </w:p>
        </w:tc>
      </w:tr>
    </w:tbl>
    <w:p>
      <w:pPr>
        <w:pStyle w:val="657"/>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3、功能表（投标人需承诺提供的电梯应包括但不限于下列功能内容。提供承诺函并加盖电子签章，未提供的按无效投标处理）</w:t>
      </w:r>
      <w:r>
        <w:rPr>
          <w:color w:val="000000"/>
          <w:highlight w:val="none"/>
        </w:rPr>
      </w:r>
      <w:r/>
    </w:p>
    <w:tbl>
      <w:tblPr>
        <w:tblStyle w:val="6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684"/>
        <w:gridCol w:w="6006"/>
      </w:tblGrid>
      <w:tr>
        <w:trPr>
          <w:trHeight w:val="529"/>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序号</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功能名称</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功能说明</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全集选</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电梯对大楼内上、下召唤信号、轿内选层指令及各种信号进行综合分析判断后，将自动优选与电梯运行方向一致的信号进行依次应答。</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并联/单控控制运行功能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并联控制状态下，在无召唤指令时，一台电梯将停在基站关门待机，另一台电梯将停在并联中间层楼或其他层站关门待机；在有厅外召唤指令登记时，电梯系统将分配给最合适的电梯立刻应答。</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满载直驶</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当轿厢内载荷达到满载预设值时，即进入满载直驶状态，电梯将不再应答厅外召唤而直接响应轿内指令直达指定楼层。</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超载保护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当轿厢的载重量超出额定允许的载重时，超载蜂鸣器会鸣响以提示超载。此时显示超载，轿厢不关门，电梯不能起动。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终端楼层保护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当电梯运行到终端楼层时，运行速度没有减至预设值时，系统将强迫减速，保护电梯的安全运行。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重新初始化运行</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当电源因中断而恢复后，电梯位置信号未能保留或不能确定轿厢位置时，电梯将驶向端站重新定位。定位后位置显示器显示电梯所在的层楼位置，并恢复正常运行。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数字式大厅/轿内显示</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在轿内的操纵面板及每层楼的大厅召唤盒上随时显示电梯所在层站，以方便乘客了解电梯当前运行位置。</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轿顶检修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电梯轿顶设有检修箱，使检修维护更为安全快捷。</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9</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轿厢内应急照明</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当照明电源断电时，立即提供满足最低要求的轿厢照明</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内部通话装置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用于在特殊情况下通过设置在轿厢操纵面板上的，轿顶上的，轿底的对讲装置保持与顶层或监控中心的语音联系，且顶层与监控中心也能语音联系。</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轿内警铃</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供在特殊情况下乘客通过按动轿厢内报警按钮，及时通知外界。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轿内反向指令消除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当电梯沿途响应完最后一个轿内指令或层站召唤后，系统自动检查并消除余下的轿内指令</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取消错误呼叫功能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如果按错轿厢内选层按钮，在0.3~1.0秒内再连续两次按此按钮，登录可以被取消。</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光幕门保护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自动泊梯</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群控组内电梯在大楼内所有电梯均处于空闲状态时，会自动停泊于大楼的不同层楼以提高电梯组对召唤的响应速度。</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16</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轿厢关门保护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当轿厢门不能完全关闭时，门反向开启</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17</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开、关门按钮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电梯轿厢操纵面板上设有控制开关门的微动按钮，以方便乘客根据需要灵活掌握开关门的时间。</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18</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本层厅外开门</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在正常关门过程中，厅外与电梯同向的召唤按钮被按下时，电梯将重新开门。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19</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关门力矩保护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当关门时受到反向阻力，超过预设的力矩值时，电梯将重新开门。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20</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关门等待取消</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自动状态下，在门保持全开状态并且处于开门延时阶段时，按关门按钮可立即执行提前关门。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停梯开关</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即驻停开关，当设置在指定楼层的钥匙开关动作后，电梯将在应答完所有指令后返回指定层楼，同时将启用节能模式，切断轿内照明并点亮厅外停梯开关指示灯。</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启动时力矩补偿</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为使电梯起动时获得更好的舒适感，系统对轿厢内载荷进行计算，并通过起动时的力矩补偿给予优化。</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轿内风扇照明控制</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在没有接到任何操作指令的情况下，电梯在关门后的预定时间内，将进入节能模式，关闭轿内的照明和风扇</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厅外及轿内方向指示</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为方便乘客了解电梯的运行方向，在轿内操纵面板和厅外召唤面板上有箭头状指示灯提示运行方向。</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紧急消防操作</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大楼发生火警时，系统在接收到火警信号后，将取消所有指令和召唤信号，驱动电梯直接返回消防层，开门疏散乘客，等待消防员操作。</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26</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五方对讲</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监控中心、机房、轿厢、轿顶、地坑五方语音对讲通讯</w:t>
            </w:r>
            <w:r>
              <w:rPr>
                <w:color w:val="000000"/>
                <w:highlight w:val="none"/>
              </w:rPr>
            </w:r>
            <w:r/>
          </w:p>
        </w:tc>
      </w:tr>
      <w:tr>
        <w:trPr>
          <w:trHeight w:val="505"/>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27</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轿门锁</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28</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防捣乱功能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轿箱内载重量在100公斤以下，却有4个以上的轿厢按钮被呼叫时，则会取消所有轿厢呼叫。</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29</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门的异常检测装置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轿门在预定时间内应开而不开或不完全开启时，轿厢自动关门，再应答其他呼叫。轿门在预定时间内应关而未能关闭时，将会重复关门动作以清除门坎上的障碍物。</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30</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停用运转</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通过指定楼层呼梯按钮上钥匙开关进行停梯操作。</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视频电缆(轿厢至控制柜)</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随行电缆内应有一条视频电缆用于接入视频输入、输出设备。</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预留消防联动接口</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电梯控制柜预留消防联动接线口或接线柱</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层高自测定</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电梯能进行井道自学习，可精确的测量楼层高度。标配自动平层功能</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电动机空转保护</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当钢丝绳/钢带打滑时，电梯能有效检测并停止运行。</w:t>
            </w:r>
            <w:r>
              <w:rPr>
                <w:color w:val="000000"/>
                <w:highlight w:val="none"/>
              </w:rPr>
            </w:r>
            <w:r/>
          </w:p>
        </w:tc>
      </w:tr>
      <w:tr>
        <w:trPr>
          <w:trHeight w:val="720"/>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位置异常自动校正</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当轿厢位置或显示楼层出现偏差，电梯会通过到达一次端层后自动校正偏差。标配防轿厢意外移动功能。</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36</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电源相位故障检测</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电源欠相或错相时禁止电梯运行。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37</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检修及紧急电动运行</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在轿顶及机房设置检修和紧急电动运行操作开关，检修运行状态时只能通过手动点击检修操作开关进行电梯慢速上下行运行。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38</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运行故障历史纪录</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电梯能将处理器检测出的故障存储到存储器中，便于维保人员调用。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39</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故障自动检测</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电梯通过软件能自动检测出故障点，使维保人员更快捷的排除故障。</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40</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安全停靠</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电梯因故停在门区外,如经自检能启动,就近平层开门</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消防功能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智能化设备报警，自动降至首层，放出乘客后不在响应任何外呼</w:t>
            </w:r>
            <w:r>
              <w:rPr>
                <w:color w:val="000000"/>
                <w:highlight w:val="none"/>
              </w:rPr>
            </w:r>
            <w:r/>
          </w:p>
        </w:tc>
      </w:tr>
      <w:tr>
        <w:trPr>
          <w:trHeight w:val="534"/>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消防功能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消防状态下，消防功能可使用电梯到达基层</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消防警铃</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智能化设备报警，自动降至首层并发出火灾警报提示</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电机过热保护装置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电机温度过高, 电梯就近平层开门，等待电机降温后恢复工作。</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超速保护装置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电梯超速,使电梯降低到安全速度并最终停止的装置</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46</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极限保护装置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防止电梯冲顶或蹲底</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47</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逆变散热器高温检测</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当逆变装置温度超过设定值时，电梯轿厢将就近停层，让乘客出来。冷却后电梯正常运行</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48</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门位置开关</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轿门的门机需配置独立限位开关</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49</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安全钳安全触点</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安全钳内的安全开关反馈安全钳工作状况</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50</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限速器安全触点</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限速器装有安全触点，如果速度超过允许值时会使电梯停止</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51</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抱闸动作的双安全检测</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正反方向抱闸制动曳引机</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52</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驻停（泊梯）功能</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首层设锁梯开关</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53</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轿门门机</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变压变频调速电脑控制交流驱动（无连杆）</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54</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轿厢空调</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单冷</w:t>
            </w:r>
            <w:r>
              <w:rPr>
                <w:color w:val="000000"/>
                <w:highlight w:val="none"/>
              </w:rPr>
            </w:r>
            <w:r/>
          </w:p>
        </w:tc>
      </w:tr>
      <w:tr>
        <w:trPr/>
        <w:tc>
          <w:tcPr>
            <w:tcMar>
              <w:left w:w="108" w:type="dxa"/>
              <w:top w:w="0" w:type="dxa"/>
              <w:right w:w="108" w:type="dxa"/>
              <w:bottom w:w="0" w:type="dxa"/>
            </w:tcMar>
            <w:tcW w:w="1267"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55</w:t>
            </w:r>
            <w:r>
              <w:rPr>
                <w:color w:val="000000"/>
                <w:highlight w:val="none"/>
              </w:rPr>
            </w:r>
            <w:r/>
          </w:p>
        </w:tc>
        <w:tc>
          <w:tcPr>
            <w:tcMar>
              <w:left w:w="108" w:type="dxa"/>
              <w:top w:w="0" w:type="dxa"/>
              <w:right w:w="108" w:type="dxa"/>
              <w:bottom w:w="0" w:type="dxa"/>
            </w:tcMar>
            <w:tcW w:w="1747" w:type="dxa"/>
            <w:vAlign w:val="center"/>
            <w:textDirection w:val="lrTb"/>
            <w:noWrap w:val="false"/>
          </w:tcPr>
          <w:p>
            <w:pPr>
              <w:pStyle w:val="657"/>
              <w:ind w:left="0" w:right="0" w:firstLine="0"/>
              <w:jc w:val="both"/>
              <w:spacing w:before="210" w:after="210" w:line="240" w:lineRule="auto"/>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安全装置</w:t>
            </w:r>
            <w:r>
              <w:rPr>
                <w:color w:val="000000"/>
                <w:highlight w:val="none"/>
              </w:rPr>
            </w:r>
            <w:r/>
          </w:p>
        </w:tc>
        <w:tc>
          <w:tcPr>
            <w:tcMar>
              <w:left w:w="108" w:type="dxa"/>
              <w:top w:w="0" w:type="dxa"/>
              <w:right w:w="108" w:type="dxa"/>
              <w:bottom w:w="0" w:type="dxa"/>
            </w:tcMar>
            <w:tcW w:w="6341" w:type="dxa"/>
            <w:vAlign w:val="center"/>
            <w:textDirection w:val="lrTb"/>
            <w:noWrap w:val="false"/>
          </w:tcPr>
          <w:p>
            <w:pPr>
              <w:pStyle w:val="657"/>
              <w:ind w:left="0" w:right="0" w:firstLine="0"/>
              <w:jc w:val="center"/>
              <w:spacing w:before="210" w:after="160" w:line="400" w:lineRule="atLeast"/>
              <w:tabs>
                <w:tab w:val="left" w:pos="2020" w:leader="none"/>
                <w:tab w:val="left" w:pos="4535"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断电自动平层功能</w:t>
            </w:r>
            <w:r>
              <w:rPr>
                <w:color w:val="000000"/>
                <w:highlight w:val="none"/>
              </w:rPr>
            </w:r>
            <w:r/>
          </w:p>
        </w:tc>
      </w:tr>
    </w:tbl>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三、本次投标报价为工程总价包干价格，包含但不限于以下内容</w:t>
      </w:r>
      <w:r>
        <w:rPr>
          <w:color w:val="000000"/>
          <w:highlight w:val="none"/>
        </w:rPr>
      </w:r>
      <w:r/>
    </w:p>
    <w:p>
      <w:pPr>
        <w:pStyle w:val="657"/>
        <w:ind w:left="0" w:right="0" w:firstLine="567"/>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本项目为交钥匙工程，包括井道内原有旧电梯拆除工程、层门保持原样、拆装工程中的修补、井道整改、旧梯拆除及运输存放、工程设计、基坑渗水处理、土建施工、电梯设备安装调试、设备的设计、制造、专利、设备和材料的价格、装潢（含效果图）、随设备提供的备用品配件及专用工具的价格、包装费、运杂费（运抵甲方工地现场）、保险费（运输、安装、人身等），砸墙及土建整改费、各层门大门套费等。</w:t>
      </w:r>
      <w:r>
        <w:rPr>
          <w:color w:val="000000"/>
          <w:highlight w:val="none"/>
        </w:rPr>
      </w:r>
      <w:r/>
    </w:p>
    <w:p>
      <w:pPr>
        <w:pStyle w:val="657"/>
        <w:ind w:left="0" w:right="0" w:firstLine="567"/>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注：旧电梯拆除后归甲方所有，拆除后设备放至甲方指定地点。</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5、投标人在报价中还应包含但不限于以下内容的费用，如不含视为已包含，结算时不予变更：</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（1）电梯机房内动力配电箱至电梯电源箱之间的连接电源跨线等相关材料采购及安装等；</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（2）电梯机房内的降温、除湿设备采购及安装，应符合国家标准要求；</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（3）电梯机房内高台爬梯、护栏的采购及安装，应符合国家验收标准要求；</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（4）电梯机房内应设置干粉灭火器采购及安装，应符合国家验收标准要求；</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（5）电梯的外包装箱由中标单位清除出场，做到安装完工后清场；</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（6）在采购人未提供正式用电前，电梯中标单位负责通过临时用电进行电梯验收，其所涉及的费用；电梯中标单位不得以采购人未提供正式用电而拒绝进行验收，其造成的一切后果由电梯中标单位承担；</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（7）电梯验收合格、取得特种设备使用标志后，交付采购人前，电梯中标单位负责电梯轿厢内护板的采购及安装所涉及的费用；</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（8）电梯单位在电梯验收合格、取得特种设备使用标志前，自行负责相关设备、材料的保管。</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6、中标人应及时提供预埋件，负责预埋施工并承担相应的费用，该费用包含在投标报价中，采购人不再另行支付。</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7、中标人负责该项目的水、电、消防改造调整，基坑污水管网迁移、网络通讯线路迁移、各层门的砸墙及防护、垃圾清运、现场环境保护等。</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8、该项目为更新电梯，现场施工条件复杂，请潜在投标人务必查看现场。因现场条件不符而产生的其他整改费用，由投标人自行承担。联系人：谢伟 13651543786</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四、其他要求</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1、土建尺寸:本项目电梯井道的数据，投标人需自行勘测(具体井道尺寸以现场尺寸为准)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color w:val="000000"/>
          <w:highlight w:val="none"/>
        </w:rPr>
      </w:r>
      <w:r/>
    </w:p>
    <w:p>
      <w:pPr>
        <w:pStyle w:val="657"/>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color w:val="000000"/>
          <w:highlight w:val="none"/>
        </w:rPr>
      </w:r>
      <w:r/>
    </w:p>
    <w:p>
      <w:pPr>
        <w:pStyle w:val="657"/>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3、备品备件及专用工具:符合施工及保修要求及国家标准、技术规范。</w:t>
      </w:r>
      <w:r>
        <w:rPr>
          <w:color w:val="000000"/>
          <w:highlight w:val="none"/>
        </w:rPr>
      </w:r>
      <w:r/>
    </w:p>
    <w:p>
      <w:pPr>
        <w:pStyle w:val="657"/>
        <w:ind w:left="0" w:right="0" w:firstLine="571"/>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4、相关规范:采用的国家标准、技术规范(如有更新以新文件为准)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5、验收方法：</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（1）验收时间：中标人在电梯货物整体安装调试完毕后，经3000次无故障运行试验后书面通知使用单位报验。</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（2）按国家有关电梯标准，并请当地特种设备检测中心电梯质检部门验收和试验。</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（3）验收标准：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电梯制造和安装安全规范GB7588-2003；</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电梯安装验收规范GB10060-93；</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国家质监总局的电梯监督检验规程；</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电梯技术条件GB10058-1997；</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电梯试验方法GB10059-1997；</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电梯维修规范；</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电梯安装工程质量检验评估标准（试行版）；</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电气装置安装工程电梯电气装置施工及验收规范（GB50182-93）；</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高层民用建筑设计防火规范（GB50045）；</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江苏省消防部门的条件及相关的中国国家防火规则；</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电力供应部门的供电规章条例；</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以上规章、标准不论有无年代号，除有特别说明的以外，均以最新有效版本为准。</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6、提供易损配件价格清单。</w:t>
      </w:r>
      <w:r>
        <w:rPr>
          <w:color w:val="000000"/>
          <w:highlight w:val="none"/>
        </w:rPr>
      </w:r>
      <w:r/>
    </w:p>
    <w:p>
      <w:pPr>
        <w:pStyle w:val="657"/>
        <w:ind w:left="0" w:right="0" w:firstLine="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★五、质保期限</w:t>
      </w:r>
      <w:r>
        <w:rPr>
          <w:color w:val="000000"/>
          <w:highlight w:val="none"/>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投标人须能提供所投产品免费保修期自当地主管部门验收完毕领取运行合格证之日起算，电梯整体质保期限为5年，保修包括正常修理和日常维护，包含每年的年检检测费用，质保可以延长的年限在投标文件中要明确</w:t>
      </w:r>
      <w:r>
        <w:rPr>
          <w:rFonts w:ascii="仿宋" w:hAnsi="仿宋" w:eastAsia="仿宋" w:cs="仿宋"/>
          <w:b/>
          <w:color w:val="000000"/>
          <w:sz w:val="28"/>
          <w:highlight w:val="none"/>
        </w:rPr>
        <w:t xml:space="preserve">（投标人提供承诺书并加盖电子签章，未提供的按无效投标处理）。</w:t>
      </w:r>
      <w:r>
        <w:rPr>
          <w:color w:val="000000"/>
          <w:highlight w:val="none"/>
        </w:rPr>
      </w:r>
      <w:r/>
    </w:p>
    <w:p>
      <w:pPr>
        <w:pStyle w:val="657"/>
        <w:ind w:left="0" w:right="0" w:firstLine="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六、售后服务及其他伴随服务要求</w:t>
      </w:r>
      <w:r>
        <w:rPr>
          <w:color w:val="000000"/>
          <w:highlight w:val="none"/>
        </w:rPr>
      </w:r>
      <w:r/>
    </w:p>
    <w:p>
      <w:pPr>
        <w:pStyle w:val="657"/>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（1）中标人应负责履行本项目所需设备、物料的供应、运输及场内运输、装卸、安装、调试、质检部门的检验检测、维修保养等一应工作，所需费用已包括在投标总价之内。</w:t>
      </w:r>
      <w:r>
        <w:rPr>
          <w:color w:val="000000"/>
          <w:highlight w:val="none"/>
        </w:rPr>
      </w:r>
      <w:r/>
    </w:p>
    <w:p>
      <w:pPr>
        <w:pStyle w:val="657"/>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（2）中标人负责对采购人的设备维修管理人员免费培训，并在合同签订前提供详细的授课安排，授课师资配备、时间、地点及学员数量的说明。</w:t>
      </w:r>
      <w:r>
        <w:rPr>
          <w:color w:val="000000"/>
          <w:highlight w:val="none"/>
        </w:rPr>
      </w:r>
      <w:r/>
    </w:p>
    <w:p>
      <w:pPr>
        <w:pStyle w:val="657"/>
        <w:ind w:left="0" w:right="0" w:firstLine="560"/>
        <w:jc w:val="both"/>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（3）中标人在合同签订前提供维修专用工具的详细清单。</w:t>
      </w:r>
      <w:r>
        <w:rPr>
          <w:color w:val="000000"/>
          <w:highlight w:val="none"/>
        </w:rPr>
      </w:r>
      <w:r/>
    </w:p>
    <w:p>
      <w:pPr>
        <w:pStyle w:val="657"/>
        <w:ind w:left="0" w:right="0" w:firstLine="562"/>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w:t>
      </w:r>
      <w:r>
        <w:rPr>
          <w:rFonts w:ascii="仿宋" w:hAnsi="仿宋" w:eastAsia="仿宋" w:cs="仿宋"/>
          <w:color w:val="000000"/>
          <w:sz w:val="28"/>
          <w:highlight w:val="none"/>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color w:val="000000"/>
          <w:highlight w:val="none"/>
        </w:rPr>
      </w:r>
      <w:r/>
    </w:p>
    <w:p>
      <w:pPr>
        <w:pStyle w:val="657"/>
        <w:ind w:left="0" w:right="0" w:firstLine="562"/>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说明：本项目报价为全费用报价，包括：“税费、人工费、材料费、专家评审费等一切与本次项目有关的费用”，投标人自己考虑其他费用的发生数额，成交后不作任何调整。</w:t>
      </w:r>
      <w:r>
        <w:rPr>
          <w:color w:val="000000"/>
          <w:highlight w:val="none"/>
        </w:rPr>
      </w:r>
      <w:r/>
    </w:p>
    <w:p>
      <w:pPr>
        <w:pStyle w:val="657"/>
        <w:ind w:left="0" w:right="0" w:firstLine="562"/>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注：投标人需针对以上第（4）条提供承诺书并加盖电子签章，未提供的按无效投标处理）。</w:t>
      </w:r>
      <w:r>
        <w:rPr>
          <w:color w:val="000000"/>
          <w:highlight w:val="none"/>
        </w:rPr>
      </w:r>
      <w:r/>
    </w:p>
    <w:p>
      <w:pPr>
        <w:pStyle w:val="657"/>
        <w:ind w:left="0" w:right="0" w:firstLine="560"/>
        <w:jc w:val="left"/>
        <w:spacing w:before="0" w:after="0" w:line="519" w:lineRule="atLeast"/>
        <w:tabs>
          <w:tab w:val="left" w:pos="900" w:leader="none"/>
        </w:tabs>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（5）其他要求：本项目由淮安万顺工程项目咨询管理有限公司协助采购人作了前期咨询工作。各投标人在报价时必须将咨询费用包含在投标报价中，不需单独列项计取，咨询费叁仟贰佰元。</w:t>
      </w:r>
      <w:r>
        <w:rPr>
          <w:color w:val="000000"/>
          <w:highlight w:val="none"/>
        </w:rPr>
      </w:r>
      <w:r/>
    </w:p>
    <w:p>
      <w:pPr>
        <w:pStyle w:val="657"/>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000000"/>
          <w:sz w:val="28"/>
          <w:highlight w:val="none"/>
        </w:rPr>
        <w:t xml:space="preserve">★七、商务部分</w:t>
      </w:r>
      <w:r>
        <w:rPr>
          <w:color w:val="000000"/>
          <w:highlight w:val="none"/>
        </w:rPr>
      </w:r>
      <w:r/>
    </w:p>
    <w:p>
      <w:pPr>
        <w:pStyle w:val="657"/>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（一）供货时间:合同签订后，接到采购人排产通知后60天内完成交货及安装调试，通过电梯主管部门验收并取得电梯使用合格证书。</w:t>
      </w:r>
      <w:r>
        <w:rPr>
          <w:color w:val="000000"/>
          <w:highlight w:val="none"/>
        </w:rPr>
      </w:r>
      <w:r/>
    </w:p>
    <w:p>
      <w:pPr>
        <w:pStyle w:val="657"/>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（二）供货地点:由采购人指定。</w:t>
      </w:r>
      <w:r>
        <w:rPr>
          <w:color w:val="000000"/>
          <w:highlight w:val="none"/>
        </w:rPr>
      </w:r>
      <w:r/>
    </w:p>
    <w:p>
      <w:pPr>
        <w:pStyle w:val="657"/>
        <w:ind w:left="0" w:right="0" w:firstLine="0"/>
        <w:jc w:val="left"/>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000000"/>
          <w:sz w:val="28"/>
          <w:highlight w:val="none"/>
        </w:rPr>
        <w:t xml:space="preserve">（三）付款方式:合同签订15日生效后付50%作为预付款，电梯安装、调试、验收、检测合格，取得合格检验报告和电梯使用登记标志后30日内付清余款。</w:t>
      </w:r>
      <w:r>
        <w:rPr>
          <w:color w:val="000000"/>
          <w:highlight w:val="none"/>
        </w:rPr>
      </w:r>
      <w:r/>
    </w:p>
    <w:p>
      <w:pPr>
        <w:pStyle w:val="657"/>
        <w:ind w:left="0" w:right="0" w:firstLine="0"/>
        <w:jc w:val="left"/>
        <w:spacing w:before="0" w:after="0" w:line="400" w:lineRule="atLeast"/>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br w:type="page" w:clear="all"/>
      </w:r>
      <w:r>
        <w:rPr>
          <w:color w:val="000000"/>
          <w:highlight w:val="none"/>
        </w:rPr>
      </w:r>
      <w:r/>
    </w:p>
    <w:p>
      <w:pPr>
        <w:pStyle w:val="657"/>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678"/>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67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78"/>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78"/>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5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5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5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5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5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57"/>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78"/>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78"/>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29"/>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57"/>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7"/>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2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2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w:t>
      </w:r>
      <w:r>
        <w:rPr>
          <w:rFonts w:hint="eastAsia" w:ascii="仿宋" w:hAnsi="仿宋" w:eastAsia="仿宋"/>
          <w:sz w:val="28"/>
          <w:szCs w:val="28"/>
          <w:highlight w:val="none"/>
        </w:rPr>
        <w:t xml:space="preserve">第二章第15条的规</w:t>
      </w:r>
      <w:r>
        <w:rPr>
          <w:rFonts w:hint="eastAsia" w:ascii="仿宋" w:hAnsi="仿宋" w:eastAsia="仿宋"/>
          <w:sz w:val="28"/>
          <w:szCs w:val="28"/>
        </w:rPr>
        <w:t xml:space="preserve">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2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2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2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29"/>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29"/>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29"/>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57"/>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78"/>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5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5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5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5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5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5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57"/>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57"/>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57"/>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57"/>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678"/>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678"/>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78"/>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678"/>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78"/>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678"/>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678"/>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678"/>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678"/>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678"/>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678"/>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678"/>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678"/>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57"/>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5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5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57"/>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57"/>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678"/>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78"/>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7"/>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7"/>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5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57"/>
        <w:ind w:left="0" w:right="0" w:firstLine="56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bookmarkStart w:id="37" w:name="_Toc157775454"/>
      <w:r>
        <w:rPr>
          <w:rFonts w:ascii="仿宋" w:hAnsi="仿宋" w:eastAsia="仿宋" w:cs="仿宋"/>
          <w:color w:val="000000"/>
          <w:sz w:val="28"/>
          <w:highlight w:val="none"/>
        </w:rPr>
        <w:t xml:space="preserve">投标人或所投电梯制造商具有的有效期内的《中华人民共和国特种设备生产许可证》（包含乘客电梯许可项目）。</w:t>
      </w:r>
      <w:r>
        <w:rPr>
          <w:color w:val="000000"/>
          <w:highlight w:val="none"/>
        </w:rPr>
      </w:r>
      <w:r/>
    </w:p>
    <w:p>
      <w:pPr>
        <w:pStyle w:val="657"/>
        <w:ind w:right="0"/>
        <w:jc w:val="both"/>
        <w:spacing w:before="0" w:after="0" w:line="519"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57"/>
        <w:ind w:firstLine="643"/>
        <w:jc w:val="center"/>
        <w:keepLines w:val="0"/>
        <w:keepNext w:val="0"/>
        <w:pageBreakBefore w:val="0"/>
        <w:spacing w:line="520" w:lineRule="exact"/>
        <w:rPr>
          <w:rFonts w:hint="eastAsia" w:ascii="仿宋" w:hAnsi="仿宋" w:eastAsia="仿宋" w:cs="Arial"/>
          <w:b/>
          <w:bCs/>
          <w:sz w:val="32"/>
        </w:rPr>
        <w:outlineLvl w:val="9"/>
      </w:pPr>
      <w:r>
        <w:rPr>
          <w:rFonts w:hint="eastAsia" w:ascii="仿宋" w:hAnsi="仿宋" w:eastAsia="仿宋" w:cs="Arial"/>
          <w:b/>
          <w:bCs/>
          <w:sz w:val="32"/>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57"/>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57"/>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57"/>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57"/>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57"/>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57"/>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57"/>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57"/>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29"/>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57"/>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57"/>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7"/>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57"/>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57"/>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7"/>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7"/>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57"/>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5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57"/>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65"/>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7"/>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7"/>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7"/>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5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57"/>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57"/>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57"/>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65"/>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6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5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65"/>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7"/>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65"/>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6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6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6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65"/>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5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7"/>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65"/>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65"/>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65"/>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6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rStyle w:val="697"/>
      </w:rPr>
      <w:framePr w:wrap="around" w:vAnchor="text" w:hAnchor="margin" w:xAlign="center" w:y="1"/>
    </w:pPr>
    <w:r>
      <w:fldChar w:fldCharType="begin"/>
    </w:r>
    <w:r>
      <w:rPr>
        <w:rStyle w:val="697"/>
      </w:rPr>
      <w:instrText xml:space="preserve">PAGE  </w:instrText>
    </w:r>
    <w:r>
      <w:fldChar w:fldCharType="separate"/>
    </w:r>
    <w:r>
      <w:rPr>
        <w:rStyle w:val="697"/>
      </w:rPr>
      <w:t xml:space="preserve">1</w:t>
    </w:r>
    <w:r>
      <w:fldChar w:fldCharType="end"/>
    </w:r>
    <w:r>
      <w:rPr>
        <w:rStyle w:val="697"/>
      </w:rPr>
    </w:r>
    <w:r/>
  </w:p>
  <w:p>
    <w:pPr>
      <w:pStyle w:val="68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rPr>
        <w:rStyle w:val="697"/>
      </w:rPr>
      <w:framePr w:wrap="around" w:vAnchor="text" w:hAnchor="margin" w:xAlign="center" w:y="1"/>
    </w:pPr>
    <w:r>
      <w:fldChar w:fldCharType="begin"/>
    </w:r>
    <w:r>
      <w:rPr>
        <w:rStyle w:val="697"/>
      </w:rPr>
      <w:instrText xml:space="preserve">PAGE  </w:instrText>
    </w:r>
    <w:r>
      <w:fldChar w:fldCharType="end"/>
    </w:r>
    <w:r>
      <w:rPr>
        <w:rStyle w:val="697"/>
      </w:rPr>
    </w:r>
    <w:r/>
  </w:p>
  <w:p>
    <w:pPr>
      <w:pStyle w:val="6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40"/>
      <w:isLgl w:val="false"/>
      <w:suff w:val="nothing"/>
      <w:lvlText w:val="第%1章"/>
      <w:lvlJc w:val="left"/>
      <w:pPr>
        <w:pStyle w:val="657"/>
        <w:ind w:left="640" w:firstLine="0"/>
      </w:pPr>
      <w:rPr>
        <w:rFonts w:hint="eastAsia"/>
      </w:rPr>
    </w:lvl>
    <w:lvl w:ilvl="1">
      <w:start w:val="1"/>
      <w:numFmt w:val="decimal"/>
      <w:isLgl w:val="false"/>
      <w:suff w:val="nothing"/>
      <w:lvlText w:val=""/>
      <w:lvlJc w:val="left"/>
      <w:pPr>
        <w:pStyle w:val="657"/>
        <w:ind w:left="640" w:firstLine="0"/>
      </w:pPr>
      <w:rPr>
        <w:rFonts w:hint="eastAsia"/>
      </w:rPr>
    </w:lvl>
    <w:lvl w:ilvl="2">
      <w:start w:val="1"/>
      <w:numFmt w:val="decimal"/>
      <w:isLgl w:val="false"/>
      <w:suff w:val="nothing"/>
      <w:lvlText w:val=""/>
      <w:lvlJc w:val="left"/>
      <w:pPr>
        <w:pStyle w:val="657"/>
        <w:ind w:left="640" w:firstLine="0"/>
      </w:pPr>
      <w:rPr>
        <w:rFonts w:hint="eastAsia"/>
      </w:rPr>
    </w:lvl>
    <w:lvl w:ilvl="3">
      <w:start w:val="1"/>
      <w:numFmt w:val="decimal"/>
      <w:isLgl w:val="false"/>
      <w:suff w:val="nothing"/>
      <w:lvlText w:val=""/>
      <w:lvlJc w:val="left"/>
      <w:pPr>
        <w:pStyle w:val="657"/>
        <w:ind w:left="640" w:firstLine="0"/>
      </w:pPr>
      <w:rPr>
        <w:rFonts w:hint="eastAsia"/>
      </w:rPr>
    </w:lvl>
    <w:lvl w:ilvl="4">
      <w:start w:val="1"/>
      <w:numFmt w:val="decimal"/>
      <w:isLgl w:val="false"/>
      <w:suff w:val="nothing"/>
      <w:lvlText w:val=""/>
      <w:lvlJc w:val="left"/>
      <w:pPr>
        <w:pStyle w:val="657"/>
        <w:ind w:left="640" w:firstLine="0"/>
      </w:pPr>
      <w:rPr>
        <w:rFonts w:hint="eastAsia"/>
      </w:rPr>
    </w:lvl>
    <w:lvl w:ilvl="5">
      <w:start w:val="1"/>
      <w:numFmt w:val="decimal"/>
      <w:isLgl w:val="false"/>
      <w:suff w:val="nothing"/>
      <w:lvlText w:val=""/>
      <w:lvlJc w:val="left"/>
      <w:pPr>
        <w:pStyle w:val="657"/>
        <w:ind w:left="640" w:firstLine="0"/>
      </w:pPr>
      <w:rPr>
        <w:rFonts w:hint="eastAsia"/>
      </w:rPr>
    </w:lvl>
    <w:lvl w:ilvl="6">
      <w:start w:val="1"/>
      <w:numFmt w:val="decimal"/>
      <w:isLgl w:val="false"/>
      <w:suff w:val="nothing"/>
      <w:lvlText w:val=""/>
      <w:lvlJc w:val="left"/>
      <w:pPr>
        <w:pStyle w:val="657"/>
        <w:ind w:left="640" w:firstLine="0"/>
      </w:pPr>
      <w:rPr>
        <w:rFonts w:hint="eastAsia"/>
      </w:rPr>
    </w:lvl>
    <w:lvl w:ilvl="7">
      <w:start w:val="1"/>
      <w:numFmt w:val="decimal"/>
      <w:isLgl w:val="false"/>
      <w:suff w:val="nothing"/>
      <w:lvlText w:val=""/>
      <w:lvlJc w:val="left"/>
      <w:pPr>
        <w:pStyle w:val="657"/>
        <w:ind w:left="640" w:firstLine="0"/>
      </w:pPr>
      <w:rPr>
        <w:rFonts w:hint="eastAsia"/>
      </w:rPr>
    </w:lvl>
    <w:lvl w:ilvl="8">
      <w:start w:val="1"/>
      <w:numFmt w:val="decimal"/>
      <w:isLgl w:val="false"/>
      <w:suff w:val="nothing"/>
      <w:lvlText w:val=""/>
      <w:lvlJc w:val="left"/>
      <w:pPr>
        <w:pStyle w:val="657"/>
        <w:ind w:left="640" w:firstLine="0"/>
      </w:pPr>
      <w:rPr>
        <w:rFonts w:hint="eastAsia"/>
      </w:rPr>
    </w:lvl>
  </w:abstractNum>
  <w:abstractNum w:abstractNumId="3">
    <w:multiLevelType w:val="hybridMultilevel"/>
    <w:lvl w:ilvl="0">
      <w:start w:val="2"/>
      <w:numFmt w:val="decimal"/>
      <w:isLgl w:val="false"/>
      <w:suff w:val="nothing"/>
      <w:lvlText w:val="%1、"/>
      <w:lvlJc w:val="left"/>
      <w:pPr>
        <w:pStyle w:val="657"/>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30"/>
      <w:isLgl w:val="false"/>
      <w:suff w:val="tab"/>
      <w:lvlText w:val="%1、"/>
      <w:lvlJc w:val="left"/>
      <w:pPr>
        <w:pStyle w:val="657"/>
        <w:ind w:left="420" w:hanging="420"/>
        <w:tabs>
          <w:tab w:val="num" w:pos="420" w:leader="none"/>
        </w:tabs>
      </w:pPr>
      <w:rPr>
        <w:rFonts w:hint="eastAsia"/>
        <w:b/>
        <w:i w:val="0"/>
      </w:rPr>
    </w:lvl>
    <w:lvl w:ilvl="1">
      <w:start w:val="1"/>
      <w:numFmt w:val="lowerLetter"/>
      <w:isLgl w:val="false"/>
      <w:suff w:val="tab"/>
      <w:lvlText w:val="%2)"/>
      <w:lvlJc w:val="left"/>
      <w:pPr>
        <w:pStyle w:val="657"/>
        <w:ind w:left="840" w:hanging="420"/>
        <w:tabs>
          <w:tab w:val="num" w:pos="840" w:leader="none"/>
        </w:tabs>
      </w:pPr>
    </w:lvl>
    <w:lvl w:ilvl="2">
      <w:start w:val="1"/>
      <w:numFmt w:val="lowerRoman"/>
      <w:isLgl w:val="false"/>
      <w:suff w:val="tab"/>
      <w:lvlText w:val="%3."/>
      <w:lvlJc w:val="right"/>
      <w:pPr>
        <w:pStyle w:val="657"/>
        <w:ind w:left="1260" w:hanging="420"/>
        <w:tabs>
          <w:tab w:val="num" w:pos="1260" w:leader="none"/>
        </w:tabs>
      </w:pPr>
    </w:lvl>
    <w:lvl w:ilvl="3">
      <w:start w:val="1"/>
      <w:numFmt w:val="decimal"/>
      <w:isLgl w:val="false"/>
      <w:suff w:val="tab"/>
      <w:lvlText w:val="%4."/>
      <w:lvlJc w:val="left"/>
      <w:pPr>
        <w:pStyle w:val="657"/>
        <w:ind w:left="1680" w:hanging="420"/>
        <w:tabs>
          <w:tab w:val="num" w:pos="1680" w:leader="none"/>
        </w:tabs>
      </w:pPr>
    </w:lvl>
    <w:lvl w:ilvl="4">
      <w:start w:val="1"/>
      <w:numFmt w:val="lowerLetter"/>
      <w:isLgl w:val="false"/>
      <w:suff w:val="tab"/>
      <w:lvlText w:val="%5)"/>
      <w:lvlJc w:val="left"/>
      <w:pPr>
        <w:pStyle w:val="657"/>
        <w:ind w:left="2100" w:hanging="420"/>
        <w:tabs>
          <w:tab w:val="num" w:pos="2100" w:leader="none"/>
        </w:tabs>
      </w:pPr>
    </w:lvl>
    <w:lvl w:ilvl="5">
      <w:start w:val="1"/>
      <w:numFmt w:val="lowerRoman"/>
      <w:isLgl w:val="false"/>
      <w:suff w:val="tab"/>
      <w:lvlText w:val="%6."/>
      <w:lvlJc w:val="right"/>
      <w:pPr>
        <w:pStyle w:val="657"/>
        <w:ind w:left="2520" w:hanging="420"/>
        <w:tabs>
          <w:tab w:val="num" w:pos="2520" w:leader="none"/>
        </w:tabs>
      </w:pPr>
    </w:lvl>
    <w:lvl w:ilvl="6">
      <w:start w:val="1"/>
      <w:numFmt w:val="decimal"/>
      <w:isLgl w:val="false"/>
      <w:suff w:val="tab"/>
      <w:lvlText w:val="%7."/>
      <w:lvlJc w:val="left"/>
      <w:pPr>
        <w:pStyle w:val="657"/>
        <w:ind w:left="2940" w:hanging="420"/>
        <w:tabs>
          <w:tab w:val="num" w:pos="2940" w:leader="none"/>
        </w:tabs>
      </w:pPr>
    </w:lvl>
    <w:lvl w:ilvl="7">
      <w:start w:val="1"/>
      <w:numFmt w:val="lowerLetter"/>
      <w:isLgl w:val="false"/>
      <w:suff w:val="tab"/>
      <w:lvlText w:val="%8)"/>
      <w:lvlJc w:val="left"/>
      <w:pPr>
        <w:pStyle w:val="657"/>
        <w:ind w:left="3360" w:hanging="420"/>
        <w:tabs>
          <w:tab w:val="num" w:pos="3360" w:leader="none"/>
        </w:tabs>
      </w:pPr>
    </w:lvl>
    <w:lvl w:ilvl="8">
      <w:start w:val="1"/>
      <w:numFmt w:val="lowerRoman"/>
      <w:isLgl w:val="false"/>
      <w:suff w:val="tab"/>
      <w:lvlText w:val="%9."/>
      <w:lvlJc w:val="right"/>
      <w:pPr>
        <w:pStyle w:val="657"/>
        <w:ind w:left="3780" w:hanging="420"/>
        <w:tabs>
          <w:tab w:val="num" w:pos="3780" w:leader="none"/>
        </w:tabs>
      </w:pPr>
    </w:lvl>
  </w:abstractNum>
  <w:abstractNum w:abstractNumId="5">
    <w:multiLevelType w:val="hybridMultilevel"/>
    <w:lvl w:ilvl="0">
      <w:start w:val="2"/>
      <w:numFmt w:val="chineseCountingThousand"/>
      <w:pStyle w:val="736"/>
      <w:isLgl w:val="false"/>
      <w:suff w:val="nothing"/>
      <w:lvlText w:val="第%1部分"/>
      <w:lvlJc w:val="center"/>
      <w:pPr>
        <w:pStyle w:val="657"/>
        <w:ind w:left="432" w:firstLine="288"/>
      </w:pPr>
      <w:rPr>
        <w:rFonts w:hint="eastAsia"/>
        <w:sz w:val="28"/>
        <w:szCs w:val="28"/>
        <w:lang w:val="en-US"/>
      </w:rPr>
    </w:lvl>
    <w:lvl w:ilvl="1">
      <w:start w:val="1"/>
      <w:numFmt w:val="chineseCountingThousand"/>
      <w:isLgl w:val="false"/>
      <w:suff w:val="nothing"/>
      <w:lvlText w:val="%2、"/>
      <w:lvlJc w:val="left"/>
      <w:pPr>
        <w:pStyle w:val="657"/>
        <w:ind w:left="360" w:firstLine="0"/>
      </w:pPr>
      <w:rPr>
        <w:rFonts w:hint="eastAsia"/>
        <w:lang w:val="en-US"/>
      </w:rPr>
    </w:lvl>
    <w:lvl w:ilvl="2">
      <w:start w:val="1"/>
      <w:numFmt w:val="chineseCountingThousand"/>
      <w:isLgl w:val="false"/>
      <w:suff w:val="nothing"/>
      <w:lvlText w:val="(%3)"/>
      <w:lvlJc w:val="left"/>
      <w:pPr>
        <w:pStyle w:val="657"/>
        <w:ind w:left="0" w:firstLine="0"/>
      </w:pPr>
      <w:rPr>
        <w:rFonts w:hint="eastAsia"/>
      </w:rPr>
    </w:lvl>
    <w:lvl w:ilvl="3">
      <w:start w:val="1"/>
      <w:numFmt w:val="decimal"/>
      <w:isLgl w:val="false"/>
      <w:suff w:val="nothing"/>
      <w:lvlText w:val="%4、"/>
      <w:lvlJc w:val="left"/>
      <w:pPr>
        <w:pStyle w:val="657"/>
        <w:ind w:left="0" w:firstLine="0"/>
      </w:pPr>
      <w:rPr>
        <w:rFonts w:hint="eastAsia"/>
      </w:rPr>
    </w:lvl>
    <w:lvl w:ilvl="4">
      <w:start w:val="1"/>
      <w:numFmt w:val="upperLetter"/>
      <w:isLgl w:val="false"/>
      <w:suff w:val="nothing"/>
      <w:lvlText w:val="%5、"/>
      <w:lvlJc w:val="left"/>
      <w:pPr>
        <w:pStyle w:val="657"/>
        <w:ind w:left="0" w:firstLine="0"/>
      </w:pPr>
      <w:rPr>
        <w:rFonts w:hint="eastAsia"/>
      </w:rPr>
    </w:lvl>
    <w:lvl w:ilvl="5">
      <w:start w:val="1"/>
      <w:numFmt w:val="decimal"/>
      <w:isLgl w:val="false"/>
      <w:suff w:val="nothing"/>
      <w:lvlText w:val=""/>
      <w:lvlJc w:val="left"/>
      <w:pPr>
        <w:pStyle w:val="657"/>
        <w:ind w:left="0" w:firstLine="0"/>
      </w:pPr>
      <w:rPr>
        <w:rFonts w:hint="eastAsia"/>
      </w:rPr>
    </w:lvl>
    <w:lvl w:ilvl="6">
      <w:start w:val="1"/>
      <w:numFmt w:val="decimal"/>
      <w:isLgl w:val="false"/>
      <w:suff w:val="nothing"/>
      <w:lvlText w:val=""/>
      <w:lvlJc w:val="left"/>
      <w:pPr>
        <w:pStyle w:val="657"/>
        <w:ind w:left="0" w:firstLine="0"/>
      </w:pPr>
      <w:rPr>
        <w:rFonts w:hint="eastAsia"/>
      </w:rPr>
    </w:lvl>
    <w:lvl w:ilvl="7">
      <w:start w:val="1"/>
      <w:numFmt w:val="decimal"/>
      <w:isLgl w:val="false"/>
      <w:suff w:val="nothing"/>
      <w:lvlText w:val=""/>
      <w:lvlJc w:val="left"/>
      <w:pPr>
        <w:pStyle w:val="657"/>
        <w:ind w:left="0" w:firstLine="0"/>
      </w:pPr>
      <w:rPr>
        <w:rFonts w:hint="eastAsia"/>
      </w:rPr>
    </w:lvl>
    <w:lvl w:ilvl="8">
      <w:start w:val="1"/>
      <w:numFmt w:val="decimal"/>
      <w:isLgl w:val="false"/>
      <w:suff w:val="nothing"/>
      <w:lvlText w:val=""/>
      <w:lvlJc w:val="left"/>
      <w:pPr>
        <w:pStyle w:val="657"/>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57"/>
    <w:link w:val="657"/>
    <w:qFormat/>
    <w:pPr>
      <w:jc w:val="both"/>
      <w:widowControl w:val="off"/>
    </w:pPr>
    <w:rPr>
      <w:sz w:val="21"/>
      <w:szCs w:val="24"/>
      <w:lang w:val="en-US" w:eastAsia="zh-CN" w:bidi="ar-SA"/>
    </w:rPr>
  </w:style>
  <w:style w:type="paragraph" w:styleId="658">
    <w:name w:val="标题 1"/>
    <w:basedOn w:val="657"/>
    <w:next w:val="657"/>
    <w:link w:val="657"/>
    <w:uiPriority w:val="9"/>
    <w:qFormat/>
    <w:pPr>
      <w:keepLines/>
      <w:keepNext/>
      <w:spacing w:before="340" w:after="330" w:line="578" w:lineRule="auto"/>
      <w:outlineLvl w:val="0"/>
    </w:pPr>
    <w:rPr>
      <w:b/>
      <w:bCs/>
      <w:sz w:val="44"/>
      <w:szCs w:val="44"/>
    </w:rPr>
  </w:style>
  <w:style w:type="paragraph" w:styleId="659">
    <w:name w:val="标题 2"/>
    <w:basedOn w:val="657"/>
    <w:next w:val="665"/>
    <w:link w:val="657"/>
    <w:uiPriority w:val="9"/>
    <w:qFormat/>
    <w:pPr>
      <w:keepLines/>
      <w:keepNext/>
      <w:spacing w:before="260" w:after="260" w:line="413" w:lineRule="auto"/>
      <w:outlineLvl w:val="1"/>
    </w:pPr>
    <w:rPr>
      <w:rFonts w:ascii="Arial" w:hAnsi="Arial" w:eastAsia="黑体"/>
      <w:b/>
      <w:sz w:val="32"/>
      <w:szCs w:val="20"/>
    </w:rPr>
  </w:style>
  <w:style w:type="paragraph" w:styleId="660">
    <w:name w:val="标题 3"/>
    <w:basedOn w:val="657"/>
    <w:next w:val="657"/>
    <w:link w:val="657"/>
    <w:uiPriority w:val="9"/>
    <w:qFormat/>
    <w:pPr>
      <w:keepLines/>
      <w:keepNext/>
      <w:spacing w:before="260" w:after="260" w:line="413" w:lineRule="auto"/>
      <w:outlineLvl w:val="2"/>
    </w:pPr>
    <w:rPr>
      <w:rFonts w:ascii="Arial" w:hAnsi="Arial"/>
      <w:b/>
      <w:sz w:val="32"/>
      <w:szCs w:val="20"/>
    </w:rPr>
  </w:style>
  <w:style w:type="paragraph" w:styleId="661">
    <w:name w:val="标题 4"/>
    <w:basedOn w:val="657"/>
    <w:next w:val="657"/>
    <w:link w:val="667"/>
    <w:uiPriority w:val="9"/>
    <w:qFormat/>
    <w:pPr>
      <w:keepLines/>
      <w:keepNext/>
      <w:spacing w:before="280" w:after="290" w:line="376" w:lineRule="auto"/>
      <w:outlineLvl w:val="3"/>
    </w:pPr>
    <w:rPr>
      <w:rFonts w:ascii="Cambria" w:hAnsi="Cambria"/>
      <w:b/>
      <w:bCs/>
      <w:sz w:val="28"/>
      <w:szCs w:val="28"/>
    </w:rPr>
  </w:style>
  <w:style w:type="paragraph" w:styleId="662">
    <w:name w:val="标题 5"/>
    <w:basedOn w:val="657"/>
    <w:next w:val="657"/>
    <w:link w:val="668"/>
    <w:uiPriority w:val="9"/>
    <w:qFormat/>
    <w:pPr>
      <w:keepLines/>
      <w:keepNext/>
      <w:spacing w:before="280" w:after="290" w:line="376" w:lineRule="auto"/>
      <w:outlineLvl w:val="4"/>
    </w:pPr>
    <w:rPr>
      <w:b/>
      <w:bCs/>
      <w:sz w:val="28"/>
      <w:szCs w:val="28"/>
    </w:rPr>
  </w:style>
  <w:style w:type="character" w:styleId="663">
    <w:name w:val="默认段落字体"/>
    <w:next w:val="663"/>
    <w:link w:val="657"/>
    <w:semiHidden/>
  </w:style>
  <w:style w:type="table" w:styleId="664">
    <w:name w:val="普通表格"/>
    <w:next w:val="664"/>
    <w:link w:val="657"/>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65">
    <w:name w:val="正文缩进"/>
    <w:basedOn w:val="657"/>
    <w:next w:val="665"/>
    <w:link w:val="666"/>
    <w:pPr>
      <w:ind w:firstLine="420"/>
    </w:pPr>
    <w:rPr>
      <w:szCs w:val="20"/>
    </w:rPr>
  </w:style>
  <w:style w:type="character" w:styleId="666">
    <w:name w:val="正文缩进 Char"/>
    <w:next w:val="666"/>
    <w:link w:val="665"/>
    <w:rPr>
      <w:sz w:val="21"/>
    </w:rPr>
  </w:style>
  <w:style w:type="character" w:styleId="667">
    <w:name w:val="标题 4 Char"/>
    <w:next w:val="667"/>
    <w:link w:val="661"/>
    <w:uiPriority w:val="9"/>
    <w:rPr>
      <w:rFonts w:ascii="Cambria" w:hAnsi="Cambria"/>
      <w:b/>
      <w:bCs/>
      <w:sz w:val="28"/>
      <w:szCs w:val="28"/>
    </w:rPr>
  </w:style>
  <w:style w:type="character" w:styleId="668">
    <w:name w:val="标题 5 Char"/>
    <w:next w:val="668"/>
    <w:link w:val="662"/>
    <w:uiPriority w:val="9"/>
    <w:rPr>
      <w:b/>
      <w:bCs/>
      <w:sz w:val="28"/>
      <w:szCs w:val="28"/>
    </w:rPr>
  </w:style>
  <w:style w:type="paragraph" w:styleId="669">
    <w:name w:val="题注"/>
    <w:basedOn w:val="657"/>
    <w:next w:val="657"/>
    <w:link w:val="657"/>
    <w:uiPriority w:val="35"/>
    <w:qFormat/>
    <w:pPr>
      <w:jc w:val="center"/>
      <w:spacing w:before="156" w:after="156" w:line="360" w:lineRule="auto"/>
    </w:pPr>
    <w:rPr>
      <w:rFonts w:ascii="Arial" w:hAnsi="Arial" w:cs="Arial"/>
      <w:sz w:val="24"/>
      <w:szCs w:val="20"/>
    </w:rPr>
  </w:style>
  <w:style w:type="paragraph" w:styleId="670">
    <w:name w:val="文档结构图"/>
    <w:basedOn w:val="657"/>
    <w:next w:val="670"/>
    <w:link w:val="657"/>
    <w:semiHidden/>
    <w:pPr>
      <w:shd w:val="clear" w:color="auto" w:fill="000080"/>
    </w:pPr>
  </w:style>
  <w:style w:type="paragraph" w:styleId="671">
    <w:name w:val="批注文字"/>
    <w:basedOn w:val="657"/>
    <w:next w:val="671"/>
    <w:link w:val="672"/>
    <w:uiPriority w:val="99"/>
    <w:unhideWhenUsed/>
    <w:pPr>
      <w:jc w:val="left"/>
    </w:pPr>
  </w:style>
  <w:style w:type="character" w:styleId="672">
    <w:name w:val="批注文字 Char"/>
    <w:next w:val="672"/>
    <w:link w:val="671"/>
    <w:uiPriority w:val="99"/>
    <w:rPr>
      <w:sz w:val="21"/>
      <w:szCs w:val="24"/>
    </w:rPr>
  </w:style>
  <w:style w:type="paragraph" w:styleId="673">
    <w:name w:val="正文文本 3"/>
    <w:basedOn w:val="657"/>
    <w:next w:val="673"/>
    <w:link w:val="657"/>
    <w:rPr>
      <w:rFonts w:ascii="楷体_GB2312" w:hAnsi="Arial" w:eastAsia="楷体_GB2312" w:cs="Arial"/>
      <w:b/>
      <w:bCs/>
      <w:color w:val="000000"/>
      <w:sz w:val="24"/>
    </w:rPr>
  </w:style>
  <w:style w:type="paragraph" w:styleId="674">
    <w:name w:val="正文文本"/>
    <w:basedOn w:val="657"/>
    <w:next w:val="674"/>
    <w:link w:val="65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5">
    <w:name w:val="正文文本缩进"/>
    <w:basedOn w:val="657"/>
    <w:next w:val="675"/>
    <w:link w:val="657"/>
    <w:pPr>
      <w:ind w:firstLine="630"/>
    </w:pPr>
    <w:rPr>
      <w:rFonts w:ascii="楷体_GB2312" w:eastAsia="楷体_GB2312"/>
      <w:sz w:val="32"/>
      <w:szCs w:val="20"/>
    </w:rPr>
  </w:style>
  <w:style w:type="paragraph" w:styleId="676">
    <w:name w:val="文本块"/>
    <w:basedOn w:val="657"/>
    <w:next w:val="676"/>
    <w:link w:val="657"/>
    <w:pPr>
      <w:ind w:left="420" w:right="33"/>
      <w:jc w:val="left"/>
    </w:pPr>
    <w:rPr>
      <w:sz w:val="24"/>
      <w:szCs w:val="20"/>
    </w:rPr>
  </w:style>
  <w:style w:type="paragraph" w:styleId="677">
    <w:name w:val="目录 3"/>
    <w:basedOn w:val="657"/>
    <w:next w:val="657"/>
    <w:link w:val="657"/>
    <w:semiHidden/>
    <w:pPr>
      <w:ind w:left="840"/>
      <w:spacing w:line="300" w:lineRule="auto"/>
      <w:tabs>
        <w:tab w:val="right" w:pos="9344" w:leader="dot"/>
      </w:tabs>
    </w:pPr>
    <w:rPr>
      <w:rFonts w:ascii="Arial" w:hAnsi="Arial" w:cs="Arial"/>
      <w:szCs w:val="21"/>
    </w:rPr>
  </w:style>
  <w:style w:type="paragraph" w:styleId="678">
    <w:name w:val="纯文本"/>
    <w:basedOn w:val="657"/>
    <w:next w:val="678"/>
    <w:link w:val="679"/>
    <w:rPr>
      <w:rFonts w:ascii="宋体" w:hAnsi="Courier New"/>
      <w:szCs w:val="20"/>
    </w:rPr>
  </w:style>
  <w:style w:type="character" w:styleId="679">
    <w:name w:val="纯文本 Char"/>
    <w:next w:val="679"/>
    <w:link w:val="678"/>
    <w:rPr>
      <w:rFonts w:ascii="宋体" w:hAnsi="Courier New" w:eastAsia="宋体"/>
      <w:sz w:val="21"/>
      <w:lang w:val="en-US" w:eastAsia="zh-CN" w:bidi="ar-SA"/>
    </w:rPr>
  </w:style>
  <w:style w:type="paragraph" w:styleId="680">
    <w:name w:val="正文文本缩进 2"/>
    <w:basedOn w:val="657"/>
    <w:next w:val="680"/>
    <w:link w:val="657"/>
    <w:pPr>
      <w:ind w:left="420"/>
      <w:spacing w:after="120" w:line="480" w:lineRule="auto"/>
    </w:pPr>
  </w:style>
  <w:style w:type="paragraph" w:styleId="681">
    <w:name w:val="批注框文本"/>
    <w:basedOn w:val="657"/>
    <w:next w:val="681"/>
    <w:link w:val="682"/>
    <w:rPr>
      <w:sz w:val="18"/>
      <w:szCs w:val="18"/>
    </w:rPr>
  </w:style>
  <w:style w:type="character" w:styleId="682">
    <w:name w:val="批注框文本 Char"/>
    <w:next w:val="682"/>
    <w:link w:val="681"/>
    <w:rPr>
      <w:sz w:val="18"/>
      <w:szCs w:val="18"/>
    </w:rPr>
  </w:style>
  <w:style w:type="paragraph" w:styleId="683">
    <w:name w:val="页脚"/>
    <w:basedOn w:val="657"/>
    <w:next w:val="683"/>
    <w:link w:val="684"/>
    <w:pPr>
      <w:jc w:val="left"/>
      <w:tabs>
        <w:tab w:val="center" w:pos="4153" w:leader="none"/>
        <w:tab w:val="right" w:pos="8306" w:leader="none"/>
      </w:tabs>
    </w:pPr>
    <w:rPr>
      <w:sz w:val="18"/>
      <w:szCs w:val="18"/>
    </w:rPr>
  </w:style>
  <w:style w:type="character" w:styleId="684">
    <w:name w:val="页脚 Char"/>
    <w:next w:val="684"/>
    <w:link w:val="683"/>
    <w:rPr>
      <w:sz w:val="18"/>
      <w:szCs w:val="18"/>
    </w:rPr>
  </w:style>
  <w:style w:type="paragraph" w:styleId="685">
    <w:name w:val="页眉"/>
    <w:basedOn w:val="657"/>
    <w:next w:val="685"/>
    <w:link w:val="686"/>
    <w:pPr>
      <w:jc w:val="center"/>
      <w:tabs>
        <w:tab w:val="center" w:pos="4153" w:leader="none"/>
        <w:tab w:val="right" w:pos="8306" w:leader="none"/>
      </w:tabs>
      <w:pBdr>
        <w:bottom w:val="single" w:color="000000" w:sz="6" w:space="1"/>
      </w:pBdr>
    </w:pPr>
    <w:rPr>
      <w:sz w:val="18"/>
      <w:szCs w:val="18"/>
    </w:rPr>
  </w:style>
  <w:style w:type="character" w:styleId="686">
    <w:name w:val="页眉 Char"/>
    <w:next w:val="686"/>
    <w:link w:val="685"/>
    <w:rPr>
      <w:sz w:val="18"/>
      <w:szCs w:val="18"/>
    </w:rPr>
  </w:style>
  <w:style w:type="paragraph" w:styleId="687">
    <w:name w:val="目录 1"/>
    <w:basedOn w:val="657"/>
    <w:next w:val="657"/>
    <w:link w:val="657"/>
    <w:semiHidden/>
  </w:style>
  <w:style w:type="paragraph" w:styleId="688">
    <w:name w:val="正文文本缩进 3"/>
    <w:basedOn w:val="657"/>
    <w:next w:val="688"/>
    <w:link w:val="657"/>
    <w:uiPriority w:val="99"/>
    <w:pPr>
      <w:ind w:firstLine="420"/>
    </w:pPr>
    <w:rPr>
      <w:rFonts w:eastAsia="楷体_GB2312"/>
    </w:rPr>
  </w:style>
  <w:style w:type="paragraph" w:styleId="689">
    <w:name w:val="目录 2"/>
    <w:basedOn w:val="657"/>
    <w:next w:val="657"/>
    <w:link w:val="657"/>
    <w:semiHidden/>
    <w:pPr>
      <w:ind w:left="420"/>
    </w:pPr>
    <w:rPr>
      <w:szCs w:val="20"/>
    </w:rPr>
  </w:style>
  <w:style w:type="paragraph" w:styleId="690">
    <w:name w:val="正文文本 2"/>
    <w:basedOn w:val="657"/>
    <w:next w:val="690"/>
    <w:link w:val="691"/>
    <w:pPr>
      <w:spacing w:line="440" w:lineRule="exact"/>
    </w:pPr>
    <w:rPr>
      <w:rFonts w:ascii="楷体_GB2312" w:eastAsia="楷体_GB2312"/>
      <w:sz w:val="28"/>
    </w:rPr>
  </w:style>
  <w:style w:type="character" w:styleId="691">
    <w:name w:val="正文文本 2 Char"/>
    <w:next w:val="691"/>
    <w:link w:val="690"/>
    <w:rPr>
      <w:rFonts w:ascii="楷体_GB2312" w:eastAsia="楷体_GB2312"/>
      <w:sz w:val="28"/>
      <w:szCs w:val="24"/>
    </w:rPr>
  </w:style>
  <w:style w:type="paragraph" w:styleId="692">
    <w:name w:val="批注主题"/>
    <w:basedOn w:val="671"/>
    <w:next w:val="671"/>
    <w:link w:val="693"/>
    <w:rPr>
      <w:b/>
      <w:bCs/>
    </w:rPr>
  </w:style>
  <w:style w:type="character" w:styleId="693">
    <w:name w:val="批注主题 Char"/>
    <w:next w:val="693"/>
    <w:link w:val="692"/>
    <w:rPr>
      <w:b/>
      <w:bCs/>
      <w:sz w:val="21"/>
      <w:szCs w:val="24"/>
    </w:rPr>
  </w:style>
  <w:style w:type="paragraph" w:styleId="694">
    <w:name w:val="正文首行缩进 2"/>
    <w:basedOn w:val="675"/>
    <w:next w:val="694"/>
    <w:link w:val="657"/>
    <w:pPr>
      <w:ind w:left="420" w:firstLine="420"/>
      <w:spacing w:after="120"/>
      <w:widowControl/>
    </w:pPr>
    <w:rPr>
      <w:rFonts w:ascii="仿宋_GB2312" w:eastAsia="仿宋_GB2312"/>
      <w:color w:val="ff6600"/>
      <w:sz w:val="21"/>
    </w:rPr>
  </w:style>
  <w:style w:type="table" w:styleId="695">
    <w:name w:val="网格型"/>
    <w:basedOn w:val="664"/>
    <w:next w:val="695"/>
    <w:link w:val="65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6">
    <w:name w:val="要点"/>
    <w:next w:val="696"/>
    <w:link w:val="657"/>
    <w:qFormat/>
    <w:rPr>
      <w:b w:val="0"/>
      <w:i w:val="0"/>
    </w:rPr>
  </w:style>
  <w:style w:type="character" w:styleId="697">
    <w:name w:val="页码"/>
    <w:next w:val="697"/>
    <w:link w:val="657"/>
  </w:style>
  <w:style w:type="character" w:styleId="698">
    <w:name w:val="已访问的超链接"/>
    <w:next w:val="698"/>
    <w:link w:val="657"/>
    <w:rPr>
      <w:color w:val="800080"/>
      <w:u w:val="none"/>
    </w:rPr>
  </w:style>
  <w:style w:type="character" w:styleId="699">
    <w:name w:val="强调"/>
    <w:next w:val="699"/>
    <w:link w:val="657"/>
    <w:qFormat/>
    <w:rPr>
      <w:b w:val="0"/>
      <w:i w:val="0"/>
    </w:rPr>
  </w:style>
  <w:style w:type="character" w:styleId="700">
    <w:name w:val="HTML 定义"/>
    <w:next w:val="700"/>
    <w:link w:val="657"/>
    <w:rPr>
      <w:b w:val="0"/>
      <w:i w:val="0"/>
    </w:rPr>
  </w:style>
  <w:style w:type="character" w:styleId="701">
    <w:name w:val="HTML 打字机"/>
    <w:next w:val="701"/>
    <w:link w:val="657"/>
    <w:rPr>
      <w:rFonts w:ascii="monospace" w:hAnsi="monospace" w:eastAsia="monospace" w:cs="monospace"/>
      <w:sz w:val="20"/>
    </w:rPr>
  </w:style>
  <w:style w:type="character" w:styleId="702">
    <w:name w:val="HTML 缩写"/>
    <w:next w:val="702"/>
    <w:link w:val="657"/>
  </w:style>
  <w:style w:type="character" w:styleId="703">
    <w:name w:val="HTML 变量"/>
    <w:next w:val="703"/>
    <w:link w:val="657"/>
    <w:rPr>
      <w:b w:val="0"/>
      <w:i w:val="0"/>
    </w:rPr>
  </w:style>
  <w:style w:type="character" w:styleId="704">
    <w:name w:val="超链接"/>
    <w:next w:val="704"/>
    <w:link w:val="657"/>
    <w:rPr>
      <w:color w:val="0000ff"/>
      <w:u w:val="none"/>
    </w:rPr>
  </w:style>
  <w:style w:type="character" w:styleId="705">
    <w:name w:val="HTML 代码"/>
    <w:next w:val="705"/>
    <w:link w:val="657"/>
    <w:rPr>
      <w:rFonts w:ascii="monospace" w:hAnsi="monospace" w:eastAsia="monospace" w:cs="monospace"/>
      <w:b w:val="0"/>
      <w:i w:val="0"/>
      <w:sz w:val="20"/>
    </w:rPr>
  </w:style>
  <w:style w:type="character" w:styleId="706">
    <w:name w:val="批注引用"/>
    <w:next w:val="706"/>
    <w:link w:val="657"/>
    <w:rPr>
      <w:sz w:val="21"/>
      <w:szCs w:val="21"/>
    </w:rPr>
  </w:style>
  <w:style w:type="character" w:styleId="707">
    <w:name w:val="HTML 引文"/>
    <w:next w:val="707"/>
    <w:link w:val="657"/>
    <w:rPr>
      <w:b w:val="0"/>
      <w:i w:val="0"/>
    </w:rPr>
  </w:style>
  <w:style w:type="character" w:styleId="708">
    <w:name w:val="HTML 键盘"/>
    <w:next w:val="708"/>
    <w:link w:val="657"/>
    <w:rPr>
      <w:rFonts w:ascii="monospace" w:hAnsi="monospace" w:eastAsia="monospace" w:cs="monospace"/>
      <w:sz w:val="20"/>
    </w:rPr>
  </w:style>
  <w:style w:type="character" w:styleId="709">
    <w:name w:val="HTML 样本"/>
    <w:next w:val="709"/>
    <w:link w:val="657"/>
    <w:rPr>
      <w:rFonts w:ascii="monospace" w:hAnsi="monospace" w:eastAsia="monospace" w:cs="monospace"/>
    </w:rPr>
  </w:style>
  <w:style w:type="character" w:styleId="710">
    <w:name w:val="Font Style30"/>
    <w:next w:val="710"/>
    <w:link w:val="657"/>
    <w:rPr>
      <w:rFonts w:ascii="宋体" w:eastAsia="宋体" w:cs="宋体"/>
      <w:sz w:val="14"/>
      <w:szCs w:val="14"/>
    </w:rPr>
  </w:style>
  <w:style w:type="character" w:styleId="711">
    <w:name w:val="glyphicon"/>
    <w:next w:val="711"/>
    <w:link w:val="657"/>
  </w:style>
  <w:style w:type="character" w:styleId="712">
    <w:name w:val="Font Style36"/>
    <w:next w:val="712"/>
    <w:link w:val="657"/>
    <w:rPr>
      <w:rFonts w:ascii="宋体" w:eastAsia="宋体" w:cs="宋体"/>
      <w:sz w:val="16"/>
      <w:szCs w:val="16"/>
    </w:rPr>
  </w:style>
  <w:style w:type="character" w:styleId="713">
    <w:name w:val="hour_am"/>
    <w:next w:val="713"/>
    <w:link w:val="657"/>
  </w:style>
  <w:style w:type="character" w:styleId="714">
    <w:name w:val="old"/>
    <w:next w:val="714"/>
    <w:link w:val="657"/>
    <w:rPr>
      <w:color w:val="999999"/>
    </w:rPr>
  </w:style>
  <w:style w:type="character" w:styleId="715">
    <w:name w:val="标题 2 Char,节 Char,Heading 2 Hidden Char,Heading 2 CCBS Char,H2 Char,sect 1.2 Char,H21 Char,sect 1.21 Char,H22 Char,sect 1.22 Char,H211 Char,sect 1.211 Char,H23 Char,sect 1.23 Char,H212 Char,sect 1.212 Char,2nd level Char,h2 Char,2 Char,Header 2 Char"/>
    <w:next w:val="715"/>
    <w:link w:val="657"/>
    <w:rPr>
      <w:rFonts w:ascii="Arial" w:hAnsi="Arial" w:eastAsia="黑体"/>
      <w:b/>
      <w:sz w:val="32"/>
      <w:lang w:val="en-US" w:eastAsia="zh-CN"/>
    </w:rPr>
  </w:style>
  <w:style w:type="character" w:styleId="716">
    <w:name w:val="hover"/>
    <w:next w:val="716"/>
    <w:link w:val="657"/>
    <w:rPr>
      <w:shd w:val="clear" w:color="auto" w:fill="eeeeee"/>
    </w:rPr>
  </w:style>
  <w:style w:type="character" w:styleId="717">
    <w:name w:val="hour_pm"/>
    <w:next w:val="717"/>
    <w:link w:val="657"/>
  </w:style>
  <w:style w:type="character" w:styleId="718">
    <w:name w:val="Font Style28"/>
    <w:next w:val="718"/>
    <w:link w:val="657"/>
    <w:rPr>
      <w:rFonts w:ascii="Constantia" w:hAnsi="Constantia" w:cs="Constantia"/>
      <w:sz w:val="28"/>
      <w:szCs w:val="28"/>
    </w:rPr>
  </w:style>
  <w:style w:type="character" w:styleId="719">
    <w:name w:val="Font Style29"/>
    <w:next w:val="719"/>
    <w:link w:val="657"/>
    <w:rPr>
      <w:rFonts w:ascii="Arial" w:hAnsi="Arial" w:cs="Arial"/>
      <w:sz w:val="14"/>
      <w:szCs w:val="14"/>
    </w:rPr>
  </w:style>
  <w:style w:type="character" w:styleId="720">
    <w:name w:val="Font Style37"/>
    <w:next w:val="720"/>
    <w:link w:val="657"/>
    <w:rPr>
      <w:rFonts w:ascii="Arial" w:hAnsi="Arial" w:cs="Arial"/>
      <w:sz w:val="16"/>
      <w:szCs w:val="16"/>
    </w:rPr>
  </w:style>
  <w:style w:type="character" w:styleId="721">
    <w:name w:val="Plain Text Char"/>
    <w:next w:val="721"/>
    <w:link w:val="657"/>
    <w:rPr>
      <w:rFonts w:ascii="宋体" w:hAnsi="Courier New" w:eastAsia="宋体"/>
      <w:sz w:val="21"/>
      <w:lang w:val="en-US" w:eastAsia="zh-CN" w:bidi="ar-SA"/>
    </w:rPr>
  </w:style>
  <w:style w:type="paragraph" w:styleId="722">
    <w:name w:val="Default"/>
    <w:next w:val="722"/>
    <w:link w:val="657"/>
    <w:pPr>
      <w:widowControl w:val="off"/>
    </w:pPr>
    <w:rPr>
      <w:rFonts w:ascii="仿宋" w:eastAsia="仿宋" w:cs="仿宋"/>
      <w:color w:val="000000"/>
      <w:sz w:val="24"/>
      <w:szCs w:val="24"/>
      <w:lang w:val="en-US" w:eastAsia="zh-CN" w:bidi="ar-SA"/>
    </w:rPr>
  </w:style>
  <w:style w:type="paragraph" w:styleId="723">
    <w:name w:val="默认段落字体 Para Char Char Char Char Char Char Char Char Char1 Char Char Char Char Char Char Char"/>
    <w:basedOn w:val="670"/>
    <w:next w:val="723"/>
    <w:link w:val="657"/>
    <w:rPr>
      <w:rFonts w:ascii="Tahoma" w:hAnsi="Tahoma"/>
      <w:sz w:val="24"/>
    </w:rPr>
  </w:style>
  <w:style w:type="paragraph" w:styleId="724">
    <w:name w:val="Style9"/>
    <w:basedOn w:val="657"/>
    <w:next w:val="724"/>
    <w:link w:val="657"/>
    <w:pPr>
      <w:jc w:val="left"/>
    </w:pPr>
    <w:rPr>
      <w:rFonts w:ascii="宋体"/>
      <w:sz w:val="24"/>
    </w:rPr>
  </w:style>
  <w:style w:type="paragraph" w:styleId="725">
    <w:name w:val="Char"/>
    <w:basedOn w:val="657"/>
    <w:next w:val="725"/>
    <w:link w:val="657"/>
    <w:pPr>
      <w:tabs>
        <w:tab w:val="left" w:pos="360" w:leader="none"/>
      </w:tabs>
    </w:pPr>
    <w:rPr>
      <w:sz w:val="24"/>
    </w:rPr>
  </w:style>
  <w:style w:type="paragraph" w:styleId="726">
    <w:name w:val=" Char Char Char1 Char Char Char Char"/>
    <w:basedOn w:val="657"/>
    <w:next w:val="726"/>
    <w:link w:val="657"/>
    <w:pPr>
      <w:jc w:val="left"/>
      <w:spacing w:after="160" w:line="240" w:lineRule="exact"/>
      <w:widowControl/>
    </w:pPr>
    <w:rPr>
      <w:rFonts w:ascii="宋体" w:hAnsi="宋体"/>
      <w:b/>
      <w:sz w:val="28"/>
      <w:szCs w:val="28"/>
    </w:rPr>
  </w:style>
  <w:style w:type="paragraph" w:styleId="727">
    <w:name w:val="Style10"/>
    <w:basedOn w:val="657"/>
    <w:next w:val="727"/>
    <w:link w:val="657"/>
    <w:pPr>
      <w:jc w:val="left"/>
    </w:pPr>
    <w:rPr>
      <w:rFonts w:ascii="宋体"/>
      <w:sz w:val="24"/>
    </w:rPr>
  </w:style>
  <w:style w:type="paragraph" w:styleId="728">
    <w:name w:val="首行缩进"/>
    <w:basedOn w:val="657"/>
    <w:next w:val="728"/>
    <w:link w:val="657"/>
    <w:qFormat/>
    <w:pPr>
      <w:ind w:firstLine="420"/>
      <w:spacing w:line="360" w:lineRule="auto"/>
    </w:pPr>
    <w:rPr>
      <w:sz w:val="20"/>
    </w:rPr>
  </w:style>
  <w:style w:type="paragraph" w:styleId="729">
    <w:name w:val="普通正文"/>
    <w:basedOn w:val="657"/>
    <w:next w:val="729"/>
    <w:link w:val="657"/>
    <w:pPr>
      <w:ind w:firstLine="480"/>
      <w:jc w:val="left"/>
      <w:spacing w:before="120" w:after="120" w:line="360" w:lineRule="auto"/>
    </w:pPr>
    <w:rPr>
      <w:rFonts w:ascii="Arial" w:hAnsi="Arial"/>
      <w:sz w:val="24"/>
    </w:rPr>
  </w:style>
  <w:style w:type="paragraph" w:styleId="730">
    <w:name w:val="要点标题"/>
    <w:basedOn w:val="657"/>
    <w:next w:val="730"/>
    <w:link w:val="657"/>
    <w:pPr>
      <w:numPr>
        <w:ilvl w:val="0"/>
        <w:numId w:val="1"/>
      </w:numPr>
      <w:jc w:val="left"/>
      <w:tabs>
        <w:tab w:val="left" w:pos="420" w:leader="none"/>
      </w:tabs>
    </w:pPr>
    <w:rPr>
      <w:rFonts w:ascii="宋体" w:hAnsi="宋体"/>
      <w:b/>
      <w:sz w:val="24"/>
    </w:rPr>
  </w:style>
  <w:style w:type="paragraph" w:styleId="731">
    <w:name w:val="文档正文"/>
    <w:basedOn w:val="657"/>
    <w:next w:val="731"/>
    <w:link w:val="657"/>
    <w:pPr>
      <w:ind w:firstLine="567"/>
      <w:spacing w:line="480" w:lineRule="atLeast"/>
    </w:pPr>
    <w:rPr>
      <w:rFonts w:ascii="仿宋_GB2312"/>
      <w:szCs w:val="20"/>
    </w:rPr>
  </w:style>
  <w:style w:type="paragraph" w:styleId="732">
    <w:name w:val="Char Char Char Char"/>
    <w:basedOn w:val="670"/>
    <w:next w:val="732"/>
    <w:link w:val="657"/>
    <w:pPr>
      <w:spacing w:line="360" w:lineRule="auto"/>
    </w:pPr>
    <w:rPr>
      <w:rFonts w:ascii="Tahoma" w:hAnsi="Tahoma"/>
      <w:sz w:val="24"/>
    </w:rPr>
  </w:style>
  <w:style w:type="paragraph" w:styleId="733">
    <w:name w:val=" Char"/>
    <w:basedOn w:val="657"/>
    <w:next w:val="733"/>
    <w:link w:val="657"/>
    <w:pPr>
      <w:ind w:left="420" w:hanging="420"/>
      <w:jc w:val="left"/>
      <w:tabs>
        <w:tab w:val="left" w:pos="420" w:leader="none"/>
      </w:tabs>
    </w:pPr>
    <w:rPr>
      <w:szCs w:val="20"/>
    </w:rPr>
  </w:style>
  <w:style w:type="paragraph" w:styleId="734">
    <w:name w:val="正文（无缩进）"/>
    <w:basedOn w:val="657"/>
    <w:next w:val="734"/>
    <w:link w:val="657"/>
    <w:qFormat/>
    <w:pPr>
      <w:spacing w:line="360" w:lineRule="auto"/>
    </w:pPr>
    <w:rPr>
      <w:rFonts w:ascii="Calibri" w:hAnsi="Calibri"/>
      <w:sz w:val="24"/>
      <w:szCs w:val="21"/>
    </w:rPr>
  </w:style>
  <w:style w:type="paragraph" w:styleId="735">
    <w:name w:val="Style11"/>
    <w:basedOn w:val="657"/>
    <w:next w:val="735"/>
    <w:link w:val="657"/>
    <w:pPr>
      <w:jc w:val="left"/>
      <w:spacing w:line="446" w:lineRule="exact"/>
    </w:pPr>
    <w:rPr>
      <w:rFonts w:ascii="宋体"/>
      <w:sz w:val="24"/>
    </w:rPr>
  </w:style>
  <w:style w:type="paragraph" w:styleId="736">
    <w:name w:val="样式1"/>
    <w:basedOn w:val="657"/>
    <w:next w:val="736"/>
    <w:link w:val="657"/>
    <w:pPr>
      <w:numPr>
        <w:ilvl w:val="0"/>
        <w:numId w:val="2"/>
      </w:numPr>
      <w:tabs>
        <w:tab w:val="left" w:pos="1110" w:leader="none"/>
      </w:tabs>
    </w:pPr>
    <w:rPr>
      <w:rFonts w:ascii="宋体" w:hAnsi="宋体"/>
      <w:szCs w:val="21"/>
    </w:rPr>
  </w:style>
  <w:style w:type="paragraph" w:styleId="737">
    <w:name w:val="_Style 56"/>
    <w:basedOn w:val="670"/>
    <w:next w:val="737"/>
    <w:link w:val="657"/>
    <w:pPr>
      <w:spacing w:line="436" w:lineRule="exact"/>
    </w:pPr>
    <w:rPr>
      <w:szCs w:val="20"/>
    </w:rPr>
  </w:style>
  <w:style w:type="paragraph" w:styleId="738">
    <w:name w:val="Char Char1 Char Char Char Char Char Char"/>
    <w:basedOn w:val="657"/>
    <w:next w:val="738"/>
    <w:link w:val="657"/>
    <w:pPr>
      <w:jc w:val="center"/>
      <w:widowControl/>
    </w:pPr>
    <w:rPr>
      <w:rFonts w:ascii="宋体" w:hAnsi="宋体"/>
      <w:b/>
      <w:sz w:val="24"/>
      <w:lang w:eastAsia="en-US"/>
    </w:rPr>
  </w:style>
  <w:style w:type="paragraph" w:styleId="739">
    <w:name w:val="Char1"/>
    <w:basedOn w:val="657"/>
    <w:next w:val="739"/>
    <w:link w:val="657"/>
    <w:pPr>
      <w:ind w:left="840" w:hanging="420"/>
      <w:tabs>
        <w:tab w:val="left" w:pos="840" w:leader="none"/>
      </w:tabs>
    </w:pPr>
    <w:rPr>
      <w:sz w:val="24"/>
    </w:rPr>
  </w:style>
  <w:style w:type="paragraph" w:styleId="740">
    <w:name w:val="我的样式"/>
    <w:basedOn w:val="658"/>
    <w:next w:val="657"/>
    <w:link w:val="657"/>
    <w:pPr>
      <w:numPr>
        <w:ilvl w:val="0"/>
        <w:numId w:val="3"/>
      </w:numPr>
      <w:spacing w:line="360" w:lineRule="auto"/>
    </w:pPr>
    <w:rPr>
      <w:rFonts w:ascii="仿宋_GB2312" w:eastAsia="仿宋_GB2312"/>
      <w:sz w:val="32"/>
      <w:szCs w:val="30"/>
    </w:rPr>
  </w:style>
  <w:style w:type="paragraph" w:styleId="741">
    <w:name w:val="表格正文"/>
    <w:next w:val="741"/>
    <w:link w:val="657"/>
    <w:pPr>
      <w:spacing w:line="0" w:lineRule="atLeast"/>
    </w:pPr>
    <w:rPr>
      <w:sz w:val="24"/>
      <w:szCs w:val="24"/>
      <w:lang w:val="en-US" w:eastAsia="zh-CN" w:bidi="he-IL"/>
    </w:rPr>
  </w:style>
  <w:style w:type="paragraph" w:styleId="742">
    <w:name w:val=" Char Char Char Char Char Char Char Char Char Char Char Char Char"/>
    <w:basedOn w:val="657"/>
    <w:next w:val="742"/>
    <w:link w:val="657"/>
    <w:pPr>
      <w:jc w:val="left"/>
      <w:spacing w:after="160" w:line="240" w:lineRule="exact"/>
      <w:widowControl/>
    </w:pPr>
    <w:rPr>
      <w:rFonts w:ascii="Verdana" w:hAnsi="Verdana"/>
      <w:sz w:val="20"/>
      <w:szCs w:val="20"/>
      <w:lang w:eastAsia="en-US"/>
    </w:rPr>
  </w:style>
  <w:style w:type="paragraph" w:styleId="743">
    <w:name w:val="标题1"/>
    <w:basedOn w:val="658"/>
    <w:next w:val="657"/>
    <w:link w:val="657"/>
    <w:pPr>
      <w:numPr>
        <w:ilvl w:val="0"/>
        <w:numId w:val="2"/>
      </w:numPr>
      <w:jc w:val="left"/>
      <w:spacing w:line="578" w:lineRule="atLeast"/>
    </w:pPr>
  </w:style>
  <w:style w:type="paragraph" w:styleId="744">
    <w:name w:val="正文（缩进） Char1"/>
    <w:basedOn w:val="657"/>
    <w:next w:val="744"/>
    <w:link w:val="657"/>
    <w:pPr>
      <w:ind w:firstLine="480"/>
      <w:spacing w:before="156" w:after="156" w:line="360" w:lineRule="auto"/>
    </w:pPr>
    <w:rPr>
      <w:sz w:val="24"/>
    </w:rPr>
  </w:style>
  <w:style w:type="paragraph" w:styleId="745">
    <w:name w:val="修订"/>
    <w:next w:val="745"/>
    <w:link w:val="657"/>
    <w:uiPriority w:val="99"/>
    <w:semiHidden/>
    <w:rPr>
      <w:sz w:val="21"/>
      <w:szCs w:val="24"/>
      <w:lang w:val="en-US" w:eastAsia="zh-CN" w:bidi="ar-SA"/>
    </w:rPr>
  </w:style>
  <w:style w:type="paragraph" w:styleId="746">
    <w:name w:val="Style12"/>
    <w:basedOn w:val="657"/>
    <w:next w:val="746"/>
    <w:link w:val="657"/>
    <w:pPr>
      <w:jc w:val="left"/>
    </w:pPr>
    <w:rPr>
      <w:rFonts w:ascii="宋体"/>
      <w:sz w:val="24"/>
    </w:rPr>
  </w:style>
  <w:style w:type="character" w:styleId="10526" w:default="1">
    <w:name w:val="Default Paragraph Font"/>
    <w:uiPriority w:val="1"/>
    <w:semiHidden/>
    <w:unhideWhenUsed/>
  </w:style>
  <w:style w:type="numbering" w:styleId="10527" w:default="1">
    <w:name w:val="No List"/>
    <w:uiPriority w:val="99"/>
    <w:semiHidden/>
    <w:unhideWhenUsed/>
  </w:style>
  <w:style w:type="table" w:styleId="105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3</cp:revision>
  <dcterms:created xsi:type="dcterms:W3CDTF">2024-01-08T08:47:00Z</dcterms:created>
  <dcterms:modified xsi:type="dcterms:W3CDTF">2026-02-04T08:38:13Z</dcterms:modified>
</cp:coreProperties>
</file>