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0"/>
        <w:jc w:val="left"/>
        <w:rPr>
          <w:rFonts w:hint="eastAsia" w:eastAsia="黑体"/>
          <w:b/>
          <w:bCs/>
          <w:sz w:val="84"/>
        </w:rPr>
      </w:pPr>
      <w:r/>
      <w:bookmarkStart w:id="0" w:name="_Toc120614221"/>
      <w:r/>
      <w:bookmarkStart w:id="1" w:name="_Toc479757207"/>
      <w:r/>
      <w:bookmarkStart w:id="2" w:name="_Toc513029242"/>
      <w:r/>
      <w:bookmarkStart w:id="3" w:name="_Toc16938558"/>
      <w:r/>
      <w:bookmarkStart w:id="4" w:name="_Toc20823314"/>
      <w:r>
        <w:rPr>
          <w:rFonts w:hint="eastAsia" w:eastAsia="黑体"/>
          <w:b/>
          <w:bCs/>
          <w:sz w:val="84"/>
        </w:rPr>
      </w:r>
      <w:r/>
    </w:p>
    <w:p>
      <w:pPr>
        <w:pStyle w:val="758"/>
        <w:ind w:firstLine="0"/>
        <w:jc w:val="center"/>
        <w:rPr>
          <w:rFonts w:hint="eastAsia" w:eastAsia="黑体"/>
          <w:b/>
          <w:bCs/>
          <w:sz w:val="84"/>
        </w:rPr>
      </w:pPr>
      <w:r>
        <w:rPr>
          <w:rFonts w:hint="eastAsia" w:eastAsia="黑体"/>
          <w:b/>
          <w:bCs/>
          <w:sz w:val="84"/>
        </w:rPr>
      </w:r>
      <w:r/>
    </w:p>
    <w:p>
      <w:pPr>
        <w:pStyle w:val="75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58"/>
        <w:ind w:left="3840" w:hanging="1606"/>
        <w:rPr>
          <w:rFonts w:hint="eastAsia"/>
          <w:b/>
          <w:bCs/>
          <w:sz w:val="32"/>
        </w:rPr>
      </w:pPr>
      <w:r>
        <w:rPr>
          <w:rFonts w:hint="eastAsia"/>
          <w:b/>
          <w:bCs/>
          <w:sz w:val="32"/>
        </w:rPr>
      </w:r>
      <w:r/>
    </w:p>
    <w:p>
      <w:pPr>
        <w:pStyle w:val="758"/>
        <w:rPr>
          <w:rFonts w:hint="eastAsia"/>
          <w:b/>
          <w:bCs/>
          <w:sz w:val="32"/>
        </w:rPr>
      </w:pPr>
      <w:r>
        <w:rPr>
          <w:rFonts w:hint="eastAsia"/>
          <w:b/>
          <w:bCs/>
          <w:sz w:val="32"/>
        </w:rPr>
        <w:t xml:space="preserve">项目名称：江苏省苏州丝绸中等专业学校异地新建家具采购</w:t>
      </w:r>
      <w:r>
        <w:rPr>
          <w:rFonts w:hint="eastAsia"/>
          <w:b/>
          <w:bCs/>
          <w:sz w:val="32"/>
        </w:rPr>
      </w:r>
      <w:r/>
    </w:p>
    <w:p>
      <w:pPr>
        <w:pStyle w:val="758"/>
        <w:rPr>
          <w:rFonts w:hint="eastAsia"/>
          <w:b/>
          <w:bCs/>
          <w:sz w:val="32"/>
        </w:rPr>
      </w:pPr>
      <w:r>
        <w:rPr>
          <w:rFonts w:hint="eastAsia"/>
          <w:b/>
          <w:bCs/>
          <w:sz w:val="32"/>
        </w:rPr>
        <w:t xml:space="preserve">项目编号：JSZC-320509-JZCG-G2025-0079      </w:t>
      </w:r>
      <w:r>
        <w:rPr>
          <w:rFonts w:hint="eastAsia"/>
          <w:b/>
          <w:bCs/>
          <w:sz w:val="32"/>
        </w:rPr>
      </w:r>
      <w:r/>
    </w:p>
    <w:p>
      <w:pPr>
        <w:pStyle w:val="758"/>
        <w:rPr>
          <w:rFonts w:hint="eastAsia"/>
          <w:b/>
          <w:bCs/>
          <w:sz w:val="32"/>
        </w:rPr>
      </w:pPr>
      <w:r>
        <w:rPr>
          <w:rFonts w:hint="eastAsia"/>
          <w:b/>
          <w:bCs/>
          <w:sz w:val="32"/>
        </w:rPr>
        <w:t xml:space="preserve">采购类别：货物类</w:t>
      </w:r>
      <w:r>
        <w:rPr>
          <w:rFonts w:hint="eastAsia"/>
          <w:b/>
          <w:bCs/>
          <w:sz w:val="32"/>
        </w:rPr>
      </w:r>
      <w:r/>
    </w:p>
    <w:p>
      <w:pPr>
        <w:pStyle w:val="758"/>
        <w:ind w:firstLine="0"/>
        <w:spacing w:before="0" w:after="0"/>
        <w:rPr>
          <w:rFonts w:hint="eastAsia" w:ascii="宋体" w:hAnsi="宋体"/>
        </w:rPr>
      </w:pPr>
      <w:r>
        <w:rPr>
          <w:rFonts w:hint="eastAsia" w:ascii="宋体" w:hAnsi="宋体"/>
        </w:rPr>
      </w:r>
      <w:r/>
    </w:p>
    <w:p>
      <w:pPr>
        <w:pStyle w:val="758"/>
        <w:ind w:firstLine="0"/>
        <w:spacing w:before="0" w:after="0"/>
        <w:rPr>
          <w:rFonts w:hint="eastAsia" w:ascii="宋体" w:hAnsi="宋体"/>
        </w:rPr>
      </w:pPr>
      <w:r>
        <w:rPr>
          <w:rFonts w:hint="eastAsia" w:ascii="宋体" w:hAnsi="宋体"/>
        </w:rPr>
      </w:r>
      <w:r/>
    </w:p>
    <w:p>
      <w:pPr>
        <w:pStyle w:val="758"/>
        <w:ind w:firstLine="0"/>
        <w:spacing w:before="0" w:after="0"/>
        <w:rPr>
          <w:rFonts w:hint="eastAsia" w:ascii="宋体" w:hAnsi="宋体"/>
        </w:rPr>
      </w:pPr>
      <w:r>
        <w:rPr>
          <w:rFonts w:hint="eastAsia" w:ascii="宋体" w:hAnsi="宋体"/>
        </w:rPr>
      </w:r>
      <w:r/>
    </w:p>
    <w:p>
      <w:pPr>
        <w:pStyle w:val="758"/>
        <w:ind w:firstLine="0"/>
        <w:spacing w:before="0" w:after="0"/>
        <w:rPr>
          <w:rFonts w:hint="eastAsia" w:ascii="宋体" w:hAnsi="宋体"/>
        </w:rPr>
      </w:pPr>
      <w:r>
        <w:rPr>
          <w:rFonts w:hint="eastAsia" w:ascii="宋体" w:hAnsi="宋体"/>
        </w:rPr>
      </w:r>
      <w:r/>
    </w:p>
    <w:p>
      <w:pPr>
        <w:pStyle w:val="758"/>
        <w:ind w:firstLine="0"/>
        <w:spacing w:before="0" w:after="0"/>
        <w:rPr>
          <w:rFonts w:hint="eastAsia" w:ascii="宋体" w:hAnsi="宋体"/>
        </w:rPr>
      </w:pPr>
      <w:r>
        <w:rPr>
          <w:rFonts w:hint="eastAsia" w:ascii="宋体" w:hAnsi="宋体"/>
        </w:rPr>
      </w:r>
      <w:r/>
    </w:p>
    <w:p>
      <w:pPr>
        <w:pStyle w:val="758"/>
        <w:ind w:firstLine="0"/>
        <w:spacing w:before="0" w:after="0"/>
        <w:rPr>
          <w:rFonts w:hint="eastAsia" w:ascii="宋体" w:hAnsi="宋体"/>
        </w:rPr>
      </w:pPr>
      <w:r>
        <w:rPr>
          <w:rFonts w:hint="eastAsia" w:ascii="宋体" w:hAnsi="宋体"/>
        </w:rPr>
      </w:r>
      <w:r/>
    </w:p>
    <w:p>
      <w:pPr>
        <w:pStyle w:val="758"/>
        <w:ind w:firstLine="0"/>
        <w:spacing w:before="0" w:after="0"/>
        <w:rPr>
          <w:rFonts w:hint="eastAsia" w:ascii="宋体" w:hAnsi="宋体"/>
        </w:rPr>
      </w:pPr>
      <w:r>
        <w:rPr>
          <w:rFonts w:hint="eastAsia" w:ascii="宋体" w:hAnsi="宋体"/>
        </w:rPr>
      </w:r>
      <w:r/>
    </w:p>
    <w:p>
      <w:pPr>
        <w:pStyle w:val="758"/>
        <w:ind w:firstLine="0"/>
        <w:spacing w:before="0" w:after="0"/>
        <w:rPr>
          <w:rFonts w:hint="eastAsia" w:ascii="宋体" w:hAnsi="宋体"/>
        </w:rPr>
      </w:pPr>
      <w:r>
        <w:rPr>
          <w:rFonts w:hint="eastAsia" w:ascii="宋体" w:hAnsi="宋体"/>
        </w:rPr>
      </w:r>
      <w:r/>
    </w:p>
    <w:p>
      <w:pPr>
        <w:pStyle w:val="758"/>
        <w:ind w:firstLine="0"/>
        <w:jc w:val="center"/>
        <w:rPr>
          <w:rFonts w:hint="eastAsia"/>
          <w:b/>
          <w:bCs/>
          <w:sz w:val="32"/>
        </w:rPr>
      </w:pPr>
      <w:r>
        <w:rPr>
          <w:rFonts w:hint="eastAsia"/>
          <w:b/>
          <w:bCs/>
          <w:sz w:val="32"/>
        </w:rPr>
        <w:t xml:space="preserve">苏州市公共资源交易中心吴江分中心</w:t>
      </w:r>
      <w:r>
        <w:rPr>
          <w:rFonts w:hint="eastAsia"/>
          <w:b/>
          <w:bCs/>
          <w:sz w:val="32"/>
        </w:rPr>
      </w:r>
      <w:r/>
    </w:p>
    <w:p>
      <w:pPr>
        <w:pStyle w:val="758"/>
        <w:ind w:firstLine="0"/>
        <w:jc w:val="center"/>
        <w:rPr>
          <w:rFonts w:hint="eastAsia"/>
          <w:u w:val="single"/>
        </w:rPr>
      </w:pPr>
      <w:r>
        <w:rPr>
          <w:b/>
          <w:bCs/>
          <w:sz w:val="32"/>
        </w:rPr>
        <w:t xml:space="preserve">202</w:t>
      </w:r>
      <w:r>
        <w:rPr>
          <w:rFonts w:hint="eastAsia"/>
          <w:b/>
          <w:bCs/>
          <w:sz w:val="32"/>
        </w:rPr>
        <w:t xml:space="preserve">6年</w:t>
      </w:r>
      <w:r>
        <w:rPr>
          <w:rFonts w:hint="eastAsia"/>
          <w:b/>
          <w:bCs/>
          <w:sz w:val="32"/>
          <w:lang w:val="en-US" w:eastAsia="zh-CN"/>
        </w:rPr>
        <w:t xml:space="preserve">3</w:t>
      </w:r>
      <w:r>
        <w:rPr>
          <w:rFonts w:hint="eastAsia"/>
          <w:b/>
          <w:bCs/>
          <w:sz w:val="32"/>
        </w:rPr>
        <w:t xml:space="preserve">月</w:t>
      </w:r>
      <w:r>
        <w:rPr>
          <w:rFonts w:hint="eastAsia"/>
        </w:rPr>
        <w:t xml:space="preserve">                        </w:t>
      </w:r>
      <w:r>
        <w:rPr>
          <w:rFonts w:hint="eastAsia"/>
          <w:u w:val="single"/>
        </w:rPr>
      </w:r>
      <w:r/>
    </w:p>
    <w:p>
      <w:pPr>
        <w:pStyle w:val="758"/>
        <w:ind w:firstLine="0"/>
        <w:jc w:val="center"/>
        <w:rPr>
          <w:rFonts w:hint="eastAsia"/>
        </w:rPr>
      </w:pPr>
      <w:r>
        <w:rPr>
          <w:rFonts w:hint="eastAsia"/>
        </w:rPr>
      </w:r>
      <w:r/>
    </w:p>
    <w:p>
      <w:pPr>
        <w:pStyle w:val="660"/>
        <w:jc w:val="center"/>
        <w:spacing w:line="480" w:lineRule="auto"/>
        <w:rPr>
          <w:rFonts w:hint="eastAsia" w:ascii="黑体" w:hAnsi="Arial" w:eastAsia="黑体"/>
          <w:b/>
          <w:sz w:val="44"/>
        </w:rPr>
        <w:outlineLvl w:val="0"/>
      </w:pPr>
      <w:r>
        <w:rPr>
          <w:rFonts w:hint="eastAsia"/>
        </w:rPr>
        <w:t xml:space="preserve"> </w:t>
      </w:r>
      <w:bookmarkStart w:id="5" w:name="_Toc162532988"/>
      <w:r>
        <w:rPr>
          <w:rFonts w:hint="eastAsia" w:ascii="黑体" w:hAnsi="Arial" w:eastAsia="黑体"/>
          <w:b/>
          <w:sz w:val="44"/>
        </w:rPr>
        <w:t xml:space="preserve">总  目  录</w:t>
      </w:r>
      <w:bookmarkEnd w:id="5"/>
      <w:r>
        <w:rPr>
          <w:rFonts w:hint="eastAsia" w:ascii="黑体" w:hAnsi="Arial" w:eastAsia="黑体"/>
          <w:b/>
          <w:sz w:val="44"/>
        </w:rPr>
      </w:r>
      <w:r/>
    </w:p>
    <w:p>
      <w:pPr>
        <w:pStyle w:val="66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60"/>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2"/>
          <w:szCs w:val="21"/>
        </w:rPr>
      </w:r>
      <w:r/>
    </w:p>
    <w:p>
      <w:pPr>
        <w:pStyle w:val="6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r>
      <w:r/>
    </w:p>
    <w:p>
      <w:pPr>
        <w:pStyle w:val="6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6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6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66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755"/>
        <w:tabs>
          <w:tab w:val="left" w:pos="5250" w:leader="none"/>
        </w:tabs>
        <w:rPr>
          <w:lang w:val="zh-CN"/>
        </w:rPr>
      </w:pPr>
      <w:r>
        <w:rPr>
          <w:lang w:val="zh-CN"/>
        </w:rPr>
      </w:r>
      <w:r/>
    </w:p>
    <w:p>
      <w:pPr>
        <w:pStyle w:val="660"/>
        <w:rPr>
          <w:lang w:val="zh-CN"/>
        </w:rPr>
      </w:pPr>
      <w:r>
        <w:rPr>
          <w:lang w:val="zh-CN"/>
        </w:rPr>
      </w:r>
      <w:r/>
    </w:p>
    <w:p>
      <w:pPr>
        <w:pStyle w:val="755"/>
        <w:tabs>
          <w:tab w:val="left" w:pos="5250" w:leader="none"/>
        </w:tabs>
        <w:rPr>
          <w:lang w:val="zh-CN"/>
        </w:rPr>
      </w:pPr>
      <w:r>
        <w:rPr>
          <w:lang w:val="zh-CN"/>
        </w:rPr>
      </w:r>
      <w:r/>
    </w:p>
    <w:p>
      <w:pPr>
        <w:pStyle w:val="660"/>
        <w:rPr>
          <w:lang w:val="zh-CN"/>
        </w:rPr>
      </w:pPr>
      <w:r>
        <w:rPr>
          <w:lang w:val="zh-CN"/>
        </w:rPr>
      </w:r>
      <w:r/>
    </w:p>
    <w:p>
      <w:pPr>
        <w:pStyle w:val="755"/>
        <w:tabs>
          <w:tab w:val="left" w:pos="5250" w:leader="none"/>
        </w:tabs>
        <w:rPr>
          <w:lang w:val="zh-CN"/>
        </w:rPr>
      </w:pPr>
      <w:r>
        <w:rPr>
          <w:lang w:val="zh-CN"/>
        </w:rPr>
      </w:r>
      <w:r/>
    </w:p>
    <w:p>
      <w:pPr>
        <w:pStyle w:val="660"/>
        <w:rPr>
          <w:lang w:val="zh-CN"/>
        </w:rPr>
      </w:pPr>
      <w:r>
        <w:rPr>
          <w:lang w:val="zh-CN"/>
        </w:rPr>
      </w:r>
      <w:r/>
    </w:p>
    <w:p>
      <w:pPr>
        <w:pStyle w:val="755"/>
        <w:tabs>
          <w:tab w:val="left" w:pos="5250" w:leader="none"/>
        </w:tabs>
        <w:rPr>
          <w:lang w:val="zh-CN"/>
        </w:rPr>
      </w:pPr>
      <w:r>
        <w:rPr>
          <w:lang w:val="zh-CN"/>
        </w:rPr>
      </w:r>
      <w:r/>
    </w:p>
    <w:p>
      <w:pPr>
        <w:pStyle w:val="660"/>
        <w:rPr>
          <w:lang w:val="zh-CN"/>
        </w:rPr>
      </w:pPr>
      <w:r>
        <w:rPr>
          <w:lang w:val="zh-CN"/>
        </w:rPr>
      </w:r>
      <w:r/>
    </w:p>
    <w:p>
      <w:pPr>
        <w:pStyle w:val="755"/>
        <w:tabs>
          <w:tab w:val="left" w:pos="5250" w:leader="none"/>
        </w:tabs>
        <w:rPr>
          <w:lang w:val="zh-CN"/>
        </w:rPr>
      </w:pPr>
      <w:r>
        <w:rPr>
          <w:lang w:val="zh-CN"/>
        </w:rPr>
      </w:r>
      <w:r/>
    </w:p>
    <w:p>
      <w:pPr>
        <w:pStyle w:val="660"/>
        <w:rPr>
          <w:lang w:val="zh-CN"/>
        </w:rPr>
      </w:pPr>
      <w:r>
        <w:rPr>
          <w:lang w:val="zh-CN"/>
        </w:rPr>
      </w:r>
      <w:r/>
    </w:p>
    <w:p>
      <w:pPr>
        <w:pStyle w:val="755"/>
        <w:tabs>
          <w:tab w:val="left" w:pos="5250" w:leader="none"/>
        </w:tabs>
        <w:rPr>
          <w:lang w:val="zh-CN"/>
        </w:rPr>
      </w:pPr>
      <w:r>
        <w:rPr>
          <w:lang w:val="zh-CN"/>
        </w:rPr>
      </w:r>
      <w:r/>
    </w:p>
    <w:p>
      <w:pPr>
        <w:pStyle w:val="660"/>
        <w:rPr>
          <w:lang w:val="zh-CN"/>
        </w:rPr>
      </w:pPr>
      <w:r>
        <w:rPr>
          <w:lang w:val="zh-CN"/>
        </w:rPr>
      </w:r>
      <w:r/>
    </w:p>
    <w:p>
      <w:pPr>
        <w:pStyle w:val="660"/>
        <w:rPr>
          <w:lang w:val="zh-CN"/>
        </w:rPr>
      </w:pPr>
      <w:r>
        <w:rPr>
          <w:lang w:val="zh-CN"/>
        </w:rPr>
      </w:r>
      <w:r/>
    </w:p>
    <w:p>
      <w:pPr>
        <w:pStyle w:val="660"/>
        <w:rPr>
          <w:lang w:val="zh-CN"/>
        </w:rPr>
      </w:pPr>
      <w:r>
        <w:rPr>
          <w:lang w:val="zh-CN"/>
        </w:rPr>
      </w:r>
      <w:r/>
    </w:p>
    <w:p>
      <w:pPr>
        <w:pStyle w:val="660"/>
        <w:rPr>
          <w:rFonts w:hint="eastAsia"/>
          <w:lang w:val="zh-CN"/>
        </w:rPr>
      </w:pPr>
      <w:r>
        <w:rPr>
          <w:rFonts w:hint="eastAsia"/>
          <w:lang w:val="zh-CN"/>
        </w:rPr>
      </w:r>
      <w:r/>
    </w:p>
    <w:p>
      <w:pPr>
        <w:pStyle w:val="660"/>
        <w:jc w:val="center"/>
        <w:keepNext/>
        <w:spacing w:line="580" w:lineRule="exact"/>
        <w:rPr>
          <w:rFonts w:hint="eastAsia" w:ascii="黑体" w:eastAsia="黑体"/>
          <w:bCs/>
          <w:color w:val="000000"/>
          <w:sz w:val="44"/>
          <w:szCs w:val="44"/>
        </w:rPr>
        <w:outlineLvl w:val="0"/>
      </w:pPr>
      <w:r>
        <w:rPr>
          <w:rFonts w:hint="eastAsia" w:ascii="黑体" w:eastAsia="黑体"/>
          <w:color w:val="000000"/>
          <w:sz w:val="44"/>
          <w:szCs w:val="44"/>
        </w:rPr>
        <w:t xml:space="preserve">第一章  投标邀请</w:t>
      </w:r>
      <w:r>
        <w:rPr>
          <w:rFonts w:hint="eastAsia" w:ascii="黑体" w:eastAsia="黑体"/>
          <w:bCs/>
          <w:color w:val="000000"/>
          <w:sz w:val="44"/>
          <w:szCs w:val="44"/>
        </w:rPr>
      </w:r>
      <w:r/>
    </w:p>
    <w:p>
      <w:pPr>
        <w:pStyle w:val="660"/>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hint="eastAsia" w:ascii="宋体" w:hAnsi="宋体"/>
          <w:color w:val="000000"/>
          <w:sz w:val="24"/>
          <w:szCs w:val="24"/>
        </w:rPr>
      </w:r>
      <w:r/>
    </w:p>
    <w:p>
      <w:pPr>
        <w:pStyle w:val="660"/>
        <w:ind w:firstLine="480"/>
        <w:spacing w:after="12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江苏省苏州丝绸中等专业学校异地新建家具JSZC-320509-JZCG-G2025-0079采购招标项目的潜在投标人应在“苏采云”系统（网址：http://jszfcg.jsczt.cn/） 获取招标文件，并</w:t>
      </w:r>
      <w:r>
        <w:rPr>
          <w:rFonts w:hint="eastAsia" w:ascii="宋体" w:hAnsi="宋体"/>
          <w:color w:val="000000"/>
          <w:sz w:val="24"/>
          <w:szCs w:val="24"/>
          <w:highlight w:val="none"/>
        </w:rPr>
        <w:t xml:space="preserve">于2026-</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:30 （北京时间）前递交投标文件。</w:t>
      </w:r>
      <w:r>
        <w:rPr>
          <w:rFonts w:ascii="宋体" w:hAnsi="宋体"/>
          <w:color w:val="000000"/>
          <w:sz w:val="24"/>
          <w:szCs w:val="24"/>
        </w:rPr>
      </w:r>
      <w:r/>
    </w:p>
    <w:p>
      <w:pPr>
        <w:pStyle w:val="660"/>
        <w:keepLines/>
        <w:keepNext/>
        <w:spacing w:line="580" w:lineRule="exact"/>
        <w:rPr>
          <w:b/>
          <w:bCs/>
          <w:color w:val="000000"/>
          <w:sz w:val="32"/>
          <w:szCs w:val="32"/>
        </w:rPr>
        <w:outlineLvl w:val="2"/>
      </w:pPr>
      <w:r>
        <w:rPr>
          <w:rFonts w:hint="eastAsia"/>
          <w:b/>
          <w:bCs/>
          <w:color w:val="000000"/>
          <w:sz w:val="32"/>
          <w:szCs w:val="32"/>
        </w:rPr>
        <w:t xml:space="preserve">一、项目基本情况</w:t>
      </w:r>
      <w:r>
        <w:rPr>
          <w:b/>
          <w:bCs/>
          <w:color w:val="000000"/>
          <w:sz w:val="32"/>
          <w:szCs w:val="32"/>
        </w:rPr>
      </w:r>
      <w:r/>
    </w:p>
    <w:p>
      <w:pPr>
        <w:pStyle w:val="660"/>
        <w:ind w:firstLine="480"/>
        <w:spacing w:line="580" w:lineRule="exact"/>
        <w:rPr>
          <w:rFonts w:ascii="宋体" w:hAnsi="宋体"/>
          <w:color w:val="000000"/>
          <w:sz w:val="24"/>
          <w:szCs w:val="24"/>
        </w:rPr>
      </w:pPr>
      <w:r>
        <w:rPr>
          <w:rFonts w:hint="eastAsia" w:ascii="宋体" w:hAnsi="宋体"/>
          <w:color w:val="000000"/>
          <w:sz w:val="24"/>
          <w:szCs w:val="24"/>
        </w:rPr>
        <w:t xml:space="preserve">项目编号：JSZC-320509-JZCG-G2025-0079</w:t>
      </w:r>
      <w:r>
        <w:rPr>
          <w:rFonts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项目名称：江苏省苏州丝绸中等专业学校异地新建家具</w:t>
      </w:r>
      <w:r>
        <w:rPr>
          <w:rFonts w:hint="eastAsia" w:ascii="宋体" w:hAnsi="宋体"/>
          <w:color w:val="000000"/>
          <w:sz w:val="24"/>
          <w:szCs w:val="24"/>
        </w:rPr>
      </w:r>
      <w:r/>
    </w:p>
    <w:p>
      <w:pPr>
        <w:pStyle w:val="660"/>
        <w:ind w:firstLine="480"/>
        <w:spacing w:line="580" w:lineRule="exact"/>
        <w:rPr>
          <w:rFonts w:ascii="宋体" w:hAnsi="宋体"/>
          <w:color w:val="000000"/>
          <w:sz w:val="24"/>
          <w:szCs w:val="24"/>
        </w:rPr>
      </w:pPr>
      <w:r>
        <w:rPr>
          <w:rFonts w:hint="eastAsia" w:ascii="宋体" w:hAnsi="宋体"/>
          <w:color w:val="000000"/>
          <w:sz w:val="24"/>
          <w:szCs w:val="24"/>
        </w:rPr>
        <w:t xml:space="preserve">预算金额：705.5158万元</w:t>
      </w:r>
      <w:r>
        <w:rPr>
          <w:rFonts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最高限价（如有）：609.1958万元</w:t>
      </w:r>
      <w:r>
        <w:rPr>
          <w:rFonts w:hint="eastAsia"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采购需求：</w:t>
      </w:r>
      <w:r>
        <w:rPr>
          <w:rFonts w:hint="eastAsia" w:ascii="宋体" w:hAnsi="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4"/>
        <w:gridCol w:w="2858"/>
        <w:gridCol w:w="1694"/>
        <w:gridCol w:w="2340"/>
      </w:tblGrid>
      <w:tr>
        <w:trPr/>
        <w:tc>
          <w:tcPr>
            <w:tcW w:w="1624" w:type="dxa"/>
            <w:vAlign w:val="center"/>
            <w:textDirection w:val="lrTb"/>
            <w:noWrap w:val="false"/>
          </w:tcPr>
          <w:p>
            <w:pPr>
              <w:pStyle w:val="691"/>
              <w:jc w:val="center"/>
              <w:rPr>
                <w:rFonts w:hint="eastAsia" w:ascii="宋体" w:hAnsi="宋体" w:eastAsia="宋体"/>
                <w:color w:val="000000"/>
                <w:sz w:val="24"/>
                <w:szCs w:val="24"/>
              </w:rPr>
            </w:pPr>
            <w:r>
              <w:rPr>
                <w:rFonts w:hint="eastAsia" w:ascii="宋体" w:hAnsi="宋体" w:eastAsia="宋体" w:cs="宋体"/>
                <w:sz w:val="24"/>
                <w:szCs w:val="24"/>
              </w:rPr>
              <w:t xml:space="preserve">序号</w:t>
            </w:r>
            <w:r>
              <w:rPr>
                <w:rFonts w:hint="eastAsia" w:ascii="宋体" w:hAnsi="宋体" w:eastAsia="宋体"/>
                <w:color w:val="000000"/>
                <w:sz w:val="24"/>
                <w:szCs w:val="24"/>
              </w:rPr>
            </w:r>
            <w:r/>
          </w:p>
        </w:tc>
        <w:tc>
          <w:tcPr>
            <w:tcW w:w="2858" w:type="dxa"/>
            <w:vAlign w:val="center"/>
            <w:textDirection w:val="lrTb"/>
            <w:noWrap w:val="false"/>
          </w:tcPr>
          <w:p>
            <w:pPr>
              <w:pStyle w:val="691"/>
              <w:jc w:val="center"/>
              <w:rPr>
                <w:rFonts w:hint="eastAsia" w:ascii="宋体" w:hAnsi="宋体" w:eastAsia="宋体"/>
                <w:color w:val="000000"/>
                <w:sz w:val="24"/>
                <w:szCs w:val="24"/>
              </w:rPr>
            </w:pPr>
            <w:r>
              <w:rPr>
                <w:rFonts w:hint="eastAsia" w:ascii="宋体" w:hAnsi="宋体" w:eastAsia="宋体" w:cs="宋体"/>
                <w:sz w:val="24"/>
                <w:szCs w:val="24"/>
              </w:rPr>
              <w:t xml:space="preserve">品名</w:t>
            </w:r>
            <w:r>
              <w:rPr>
                <w:rFonts w:hint="eastAsia" w:ascii="宋体" w:hAnsi="宋体" w:eastAsia="宋体"/>
                <w:color w:val="000000"/>
                <w:sz w:val="24"/>
                <w:szCs w:val="24"/>
              </w:rPr>
            </w:r>
            <w:r/>
          </w:p>
        </w:tc>
        <w:tc>
          <w:tcPr>
            <w:tcW w:w="1694" w:type="dxa"/>
            <w:vAlign w:val="center"/>
            <w:textDirection w:val="lrTb"/>
            <w:noWrap w:val="false"/>
          </w:tcPr>
          <w:p>
            <w:pPr>
              <w:pStyle w:val="691"/>
              <w:jc w:val="center"/>
              <w:rPr>
                <w:rFonts w:hint="eastAsia" w:ascii="宋体" w:hAnsi="宋体" w:eastAsia="宋体"/>
                <w:color w:val="000000"/>
                <w:sz w:val="24"/>
                <w:szCs w:val="24"/>
              </w:rPr>
            </w:pPr>
            <w:r>
              <w:rPr>
                <w:rFonts w:hint="eastAsia" w:ascii="宋体" w:hAnsi="宋体" w:eastAsia="宋体" w:cs="宋体"/>
                <w:sz w:val="24"/>
                <w:szCs w:val="24"/>
              </w:rPr>
              <w:t xml:space="preserve">数量</w:t>
            </w:r>
            <w:r>
              <w:rPr>
                <w:rFonts w:hint="eastAsia" w:ascii="宋体" w:hAnsi="宋体" w:eastAsia="宋体"/>
                <w:color w:val="000000"/>
                <w:sz w:val="24"/>
                <w:szCs w:val="24"/>
              </w:rPr>
            </w:r>
            <w:r/>
          </w:p>
        </w:tc>
        <w:tc>
          <w:tcPr>
            <w:tcW w:w="2340" w:type="dxa"/>
            <w:vAlign w:val="center"/>
            <w:textDirection w:val="lrTb"/>
            <w:noWrap w:val="false"/>
          </w:tcPr>
          <w:p>
            <w:pPr>
              <w:pStyle w:val="691"/>
              <w:jc w:val="center"/>
              <w:rPr>
                <w:rFonts w:hint="eastAsia" w:ascii="宋体" w:hAnsi="宋体" w:eastAsia="宋体"/>
                <w:color w:val="000000"/>
                <w:sz w:val="24"/>
                <w:szCs w:val="24"/>
              </w:rPr>
            </w:pPr>
            <w:r>
              <w:rPr>
                <w:rFonts w:hint="eastAsia" w:ascii="宋体" w:hAnsi="宋体" w:eastAsia="宋体" w:cs="宋体"/>
                <w:sz w:val="24"/>
                <w:szCs w:val="24"/>
              </w:rPr>
              <w:t xml:space="preserve">单位</w:t>
            </w:r>
            <w:r>
              <w:rPr>
                <w:rFonts w:hint="eastAsia" w:ascii="宋体" w:hAnsi="宋体" w:eastAsia="宋体"/>
                <w:color w:val="000000"/>
                <w:sz w:val="24"/>
                <w:szCs w:val="24"/>
              </w:rPr>
            </w:r>
            <w:r/>
          </w:p>
        </w:tc>
      </w:tr>
      <w:tr>
        <w:trPr/>
        <w:tc>
          <w:tcPr>
            <w:tcW w:w="1624" w:type="dxa"/>
            <w:vAlign w:val="center"/>
            <w:textDirection w:val="lrTb"/>
            <w:noWrap w:val="false"/>
          </w:tcPr>
          <w:p>
            <w:pPr>
              <w:pStyle w:val="660"/>
              <w:jc w:val="center"/>
              <w:widowControl/>
              <w:rPr>
                <w:rFonts w:hint="eastAsia" w:ascii="宋体" w:hAnsi="宋体"/>
                <w:color w:val="000000"/>
                <w:sz w:val="24"/>
                <w:szCs w:val="24"/>
              </w:rPr>
            </w:pPr>
            <w:r>
              <w:rPr>
                <w:rFonts w:hint="eastAsia" w:ascii="宋体" w:hAnsi="宋体" w:cs="宋体"/>
                <w:color w:val="000000"/>
                <w:sz w:val="24"/>
                <w:szCs w:val="24"/>
                <w:lang w:bidi="ar"/>
              </w:rPr>
              <w:t xml:space="preserve">1</w:t>
            </w:r>
            <w:r>
              <w:rPr>
                <w:rFonts w:hint="eastAsia" w:ascii="宋体" w:hAnsi="宋体"/>
                <w:color w:val="000000"/>
                <w:sz w:val="24"/>
                <w:szCs w:val="24"/>
              </w:rPr>
            </w:r>
            <w:r/>
          </w:p>
        </w:tc>
        <w:tc>
          <w:tcPr>
            <w:tcW w:w="2858" w:type="dxa"/>
            <w:vAlign w:val="center"/>
            <w:textDirection w:val="lrTb"/>
            <w:noWrap w:val="false"/>
          </w:tcPr>
          <w:p>
            <w:pPr>
              <w:pStyle w:val="660"/>
              <w:jc w:val="center"/>
              <w:widowControl/>
              <w:rPr>
                <w:rFonts w:ascii="宋体" w:hAnsi="宋体"/>
                <w:color w:val="000000"/>
                <w:sz w:val="24"/>
                <w:szCs w:val="24"/>
              </w:rPr>
            </w:pPr>
            <w:r>
              <w:rPr>
                <w:rFonts w:hint="eastAsia" w:ascii="宋体" w:hAnsi="宋体" w:cs="宋体"/>
                <w:color w:val="000000"/>
                <w:sz w:val="24"/>
                <w:szCs w:val="24"/>
                <w:lang w:bidi="ar"/>
              </w:rPr>
              <w:t xml:space="preserve">教室讲台</w:t>
            </w:r>
            <w:r>
              <w:rPr>
                <w:rFonts w:ascii="宋体" w:hAnsi="宋体"/>
                <w:color w:val="000000"/>
                <w:sz w:val="24"/>
                <w:szCs w:val="24"/>
              </w:rPr>
            </w:r>
            <w:r/>
          </w:p>
        </w:tc>
        <w:tc>
          <w:tcPr>
            <w:tcW w:w="1694" w:type="dxa"/>
            <w:vAlign w:val="center"/>
            <w:textDirection w:val="lrTb"/>
            <w:noWrap w:val="false"/>
          </w:tcPr>
          <w:p>
            <w:pPr>
              <w:pStyle w:val="691"/>
              <w:jc w:val="center"/>
              <w:rPr>
                <w:rFonts w:ascii="宋体" w:hAnsi="宋体" w:eastAsia="宋体"/>
                <w:color w:val="000000"/>
                <w:sz w:val="24"/>
                <w:szCs w:val="24"/>
              </w:rPr>
            </w:pPr>
            <w:r>
              <w:rPr>
                <w:rFonts w:hint="eastAsia" w:ascii="宋体" w:hAnsi="宋体" w:eastAsia="宋体"/>
                <w:color w:val="000000"/>
                <w:sz w:val="24"/>
                <w:szCs w:val="24"/>
              </w:rPr>
              <w:t xml:space="preserve">80</w:t>
            </w:r>
            <w:r>
              <w:rPr>
                <w:rFonts w:ascii="宋体" w:hAnsi="宋体" w:eastAsia="宋体"/>
                <w:color w:val="000000"/>
                <w:sz w:val="24"/>
                <w:szCs w:val="24"/>
              </w:rPr>
            </w:r>
            <w:r/>
          </w:p>
        </w:tc>
        <w:tc>
          <w:tcPr>
            <w:tcW w:w="2340" w:type="dxa"/>
            <w:vAlign w:val="center"/>
            <w:textDirection w:val="lrTb"/>
            <w:noWrap w:val="false"/>
          </w:tcPr>
          <w:p>
            <w:pPr>
              <w:pStyle w:val="691"/>
              <w:jc w:val="center"/>
              <w:rPr>
                <w:rFonts w:hint="eastAsia" w:ascii="宋体" w:hAnsi="宋体" w:eastAsia="宋体"/>
                <w:color w:val="000000"/>
                <w:sz w:val="24"/>
                <w:szCs w:val="24"/>
              </w:rPr>
            </w:pPr>
            <w:r>
              <w:rPr>
                <w:rFonts w:hint="eastAsia" w:ascii="宋体" w:hAnsi="宋体" w:eastAsia="宋体"/>
                <w:color w:val="000000"/>
                <w:sz w:val="24"/>
                <w:szCs w:val="24"/>
              </w:rPr>
              <w:t xml:space="preserve">只</w:t>
            </w:r>
            <w:r>
              <w:rPr>
                <w:rFonts w:hint="eastAsia" w:ascii="宋体" w:hAnsi="宋体" w:eastAsia="宋体"/>
                <w:color w:val="000000"/>
                <w:sz w:val="24"/>
                <w:szCs w:val="24"/>
              </w:rPr>
            </w:r>
            <w:r/>
          </w:p>
        </w:tc>
      </w:tr>
      <w:tr>
        <w:trPr/>
        <w:tc>
          <w:tcPr>
            <w:tcW w:w="1624" w:type="dxa"/>
            <w:vAlign w:val="center"/>
            <w:textDirection w:val="lrTb"/>
            <w:noWrap w:val="false"/>
          </w:tcPr>
          <w:p>
            <w:pPr>
              <w:pStyle w:val="660"/>
              <w:jc w:val="center"/>
              <w:widowControl/>
              <w:rPr>
                <w:rFonts w:hint="eastAsia" w:ascii="宋体" w:hAnsi="宋体"/>
                <w:color w:val="000000"/>
                <w:sz w:val="24"/>
                <w:szCs w:val="24"/>
              </w:rPr>
            </w:pPr>
            <w:r>
              <w:rPr>
                <w:rFonts w:hint="eastAsia" w:ascii="宋体" w:hAnsi="宋体" w:cs="宋体"/>
                <w:color w:val="000000"/>
                <w:sz w:val="24"/>
                <w:szCs w:val="24"/>
                <w:lang w:bidi="ar"/>
              </w:rPr>
              <w:t xml:space="preserve">2</w:t>
            </w:r>
            <w:r>
              <w:rPr>
                <w:rFonts w:hint="eastAsia" w:ascii="宋体" w:hAnsi="宋体"/>
                <w:color w:val="000000"/>
                <w:sz w:val="24"/>
                <w:szCs w:val="24"/>
              </w:rPr>
            </w:r>
            <w:r/>
          </w:p>
        </w:tc>
        <w:tc>
          <w:tcPr>
            <w:tcW w:w="2858" w:type="dxa"/>
            <w:vAlign w:val="center"/>
            <w:textDirection w:val="lrTb"/>
            <w:noWrap w:val="false"/>
          </w:tcPr>
          <w:p>
            <w:pPr>
              <w:pStyle w:val="660"/>
              <w:jc w:val="center"/>
              <w:widowControl/>
              <w:rPr>
                <w:rFonts w:ascii="宋体" w:hAnsi="宋体"/>
                <w:color w:val="000000"/>
                <w:sz w:val="24"/>
                <w:szCs w:val="24"/>
              </w:rPr>
            </w:pPr>
            <w:r>
              <w:rPr>
                <w:rFonts w:hint="eastAsia" w:ascii="宋体" w:hAnsi="宋体" w:cs="宋体"/>
                <w:color w:val="000000"/>
                <w:sz w:val="24"/>
                <w:szCs w:val="24"/>
                <w:lang w:bidi="ar"/>
              </w:rPr>
              <w:t xml:space="preserve">书包柜</w:t>
            </w:r>
            <w:r>
              <w:rPr>
                <w:rFonts w:ascii="宋体" w:hAnsi="宋体"/>
                <w:color w:val="000000"/>
                <w:sz w:val="24"/>
                <w:szCs w:val="24"/>
              </w:rPr>
            </w:r>
            <w:r/>
          </w:p>
        </w:tc>
        <w:tc>
          <w:tcPr>
            <w:tcW w:w="1694" w:type="dxa"/>
            <w:vAlign w:val="center"/>
            <w:textDirection w:val="lrTb"/>
            <w:noWrap w:val="false"/>
          </w:tcPr>
          <w:p>
            <w:pPr>
              <w:pStyle w:val="691"/>
              <w:jc w:val="center"/>
              <w:rPr>
                <w:rFonts w:ascii="宋体" w:hAnsi="宋体" w:eastAsia="宋体"/>
                <w:color w:val="000000"/>
                <w:sz w:val="24"/>
                <w:szCs w:val="24"/>
              </w:rPr>
            </w:pPr>
            <w:r>
              <w:rPr>
                <w:rFonts w:hint="eastAsia" w:ascii="宋体" w:hAnsi="宋体" w:eastAsia="宋体"/>
                <w:color w:val="000000"/>
                <w:sz w:val="24"/>
                <w:szCs w:val="24"/>
              </w:rPr>
              <w:t xml:space="preserve">80</w:t>
            </w:r>
            <w:r>
              <w:rPr>
                <w:rFonts w:ascii="宋体" w:hAnsi="宋体" w:eastAsia="宋体"/>
                <w:color w:val="000000"/>
                <w:sz w:val="24"/>
                <w:szCs w:val="24"/>
              </w:rPr>
            </w:r>
            <w:r/>
          </w:p>
        </w:tc>
        <w:tc>
          <w:tcPr>
            <w:tcW w:w="2340" w:type="dxa"/>
            <w:vAlign w:val="center"/>
            <w:textDirection w:val="lrTb"/>
            <w:noWrap w:val="false"/>
          </w:tcPr>
          <w:p>
            <w:pPr>
              <w:pStyle w:val="691"/>
              <w:jc w:val="center"/>
              <w:rPr>
                <w:rFonts w:hint="eastAsia" w:ascii="宋体" w:hAnsi="宋体" w:eastAsia="宋体"/>
                <w:color w:val="000000"/>
                <w:sz w:val="24"/>
                <w:szCs w:val="24"/>
              </w:rPr>
            </w:pPr>
            <w:r>
              <w:rPr>
                <w:rFonts w:hint="eastAsia" w:ascii="宋体" w:hAnsi="宋体" w:eastAsia="宋体"/>
                <w:color w:val="000000"/>
                <w:sz w:val="24"/>
                <w:szCs w:val="24"/>
              </w:rPr>
              <w:t xml:space="preserve">组</w:t>
            </w:r>
            <w:r>
              <w:rPr>
                <w:rFonts w:hint="eastAsia" w:ascii="宋体" w:hAnsi="宋体" w:eastAsia="宋体"/>
                <w:color w:val="000000"/>
                <w:sz w:val="24"/>
                <w:szCs w:val="24"/>
              </w:rPr>
            </w:r>
            <w:r/>
          </w:p>
        </w:tc>
      </w:tr>
      <w:tr>
        <w:trPr/>
        <w:tc>
          <w:tcPr>
            <w:tcW w:w="1624" w:type="dxa"/>
            <w:vAlign w:val="center"/>
            <w:textDirection w:val="lrTb"/>
            <w:noWrap w:val="false"/>
          </w:tcPr>
          <w:p>
            <w:pPr>
              <w:pStyle w:val="660"/>
              <w:jc w:val="center"/>
              <w:widowControl/>
              <w:rPr>
                <w:rFonts w:hint="eastAsia" w:ascii="宋体" w:hAnsi="宋体"/>
                <w:color w:val="000000"/>
                <w:sz w:val="24"/>
                <w:szCs w:val="24"/>
              </w:rPr>
            </w:pPr>
            <w:r>
              <w:rPr>
                <w:rFonts w:hint="eastAsia" w:ascii="宋体" w:hAnsi="宋体" w:cs="宋体"/>
                <w:color w:val="000000"/>
                <w:sz w:val="24"/>
                <w:szCs w:val="24"/>
                <w:lang w:bidi="ar"/>
              </w:rPr>
              <w:t xml:space="preserve">3</w:t>
            </w:r>
            <w:r>
              <w:rPr>
                <w:rFonts w:hint="eastAsia" w:ascii="宋体" w:hAnsi="宋体"/>
                <w:color w:val="000000"/>
                <w:sz w:val="24"/>
                <w:szCs w:val="24"/>
              </w:rPr>
            </w:r>
            <w:r/>
          </w:p>
        </w:tc>
        <w:tc>
          <w:tcPr>
            <w:tcW w:w="2858" w:type="dxa"/>
            <w:vAlign w:val="center"/>
            <w:textDirection w:val="lrTb"/>
            <w:noWrap w:val="false"/>
          </w:tcPr>
          <w:p>
            <w:pPr>
              <w:pStyle w:val="660"/>
              <w:jc w:val="center"/>
              <w:widowControl/>
              <w:rPr>
                <w:rFonts w:hint="eastAsia" w:ascii="宋体" w:hAnsi="宋体"/>
                <w:color w:val="000000"/>
                <w:sz w:val="24"/>
                <w:szCs w:val="24"/>
              </w:rPr>
            </w:pPr>
            <w:r>
              <w:rPr>
                <w:rFonts w:hint="eastAsia" w:ascii="宋体" w:hAnsi="宋体" w:cs="宋体"/>
                <w:color w:val="000000"/>
                <w:sz w:val="24"/>
                <w:szCs w:val="24"/>
                <w:lang w:bidi="ar"/>
              </w:rPr>
              <w:t xml:space="preserve">讲台</w:t>
            </w:r>
            <w:r>
              <w:rPr>
                <w:rFonts w:hint="eastAsia" w:ascii="宋体" w:hAnsi="宋体"/>
                <w:color w:val="000000"/>
                <w:sz w:val="24"/>
                <w:szCs w:val="24"/>
              </w:rPr>
            </w:r>
            <w:r/>
          </w:p>
        </w:tc>
        <w:tc>
          <w:tcPr>
            <w:tcW w:w="1694" w:type="dxa"/>
            <w:vAlign w:val="center"/>
            <w:textDirection w:val="lrTb"/>
            <w:noWrap w:val="false"/>
          </w:tcPr>
          <w:p>
            <w:pPr>
              <w:pStyle w:val="660"/>
              <w:jc w:val="center"/>
              <w:widowControl/>
              <w:rPr>
                <w:rFonts w:hint="eastAsia" w:ascii="宋体" w:hAnsi="宋体"/>
                <w:color w:val="000000"/>
                <w:sz w:val="24"/>
                <w:szCs w:val="24"/>
              </w:rPr>
            </w:pPr>
            <w:r>
              <w:rPr>
                <w:rFonts w:hint="eastAsia" w:ascii="宋体" w:hAnsi="宋体" w:eastAsia="微软雅黑" w:cs="宋体"/>
                <w:color w:val="000000"/>
                <w:sz w:val="24"/>
                <w:szCs w:val="24"/>
                <w:lang w:bidi="ar"/>
              </w:rPr>
              <w:t xml:space="preserve">4</w:t>
            </w:r>
            <w:r>
              <w:rPr>
                <w:rFonts w:hint="eastAsia" w:ascii="宋体" w:hAnsi="宋体"/>
                <w:color w:val="000000"/>
                <w:sz w:val="24"/>
                <w:szCs w:val="24"/>
              </w:rPr>
            </w:r>
            <w:r/>
          </w:p>
        </w:tc>
        <w:tc>
          <w:tcPr>
            <w:tcW w:w="2340" w:type="dxa"/>
            <w:vAlign w:val="center"/>
            <w:textDirection w:val="lrTb"/>
            <w:noWrap w:val="false"/>
          </w:tcPr>
          <w:p>
            <w:pPr>
              <w:pStyle w:val="660"/>
              <w:jc w:val="center"/>
              <w:widowControl/>
              <w:rPr>
                <w:rFonts w:hint="eastAsia" w:ascii="宋体" w:hAnsi="宋体"/>
                <w:color w:val="000000"/>
                <w:sz w:val="24"/>
                <w:szCs w:val="24"/>
              </w:rPr>
            </w:pPr>
            <w:r>
              <w:rPr>
                <w:rFonts w:hint="eastAsia" w:ascii="宋体" w:hAnsi="宋体" w:cs="宋体"/>
                <w:color w:val="000000"/>
                <w:sz w:val="24"/>
                <w:szCs w:val="24"/>
                <w:lang w:bidi="ar"/>
              </w:rPr>
              <w:t xml:space="preserve">只</w:t>
            </w:r>
            <w:r>
              <w:rPr>
                <w:rFonts w:hint="eastAsia" w:ascii="宋体" w:hAnsi="宋体"/>
                <w:color w:val="000000"/>
                <w:sz w:val="24"/>
                <w:szCs w:val="24"/>
              </w:rPr>
            </w:r>
            <w:r/>
          </w:p>
        </w:tc>
      </w:tr>
      <w:tr>
        <w:trPr/>
        <w:tc>
          <w:tcPr>
            <w:tcW w:w="1624" w:type="dxa"/>
            <w:vAlign w:val="center"/>
            <w:textDirection w:val="lrTb"/>
            <w:noWrap w:val="false"/>
          </w:tcPr>
          <w:p>
            <w:pPr>
              <w:pStyle w:val="660"/>
              <w:jc w:val="center"/>
              <w:widowControl/>
              <w:rPr>
                <w:rFonts w:hint="eastAsia" w:ascii="宋体" w:hAnsi="宋体" w:cs="宋体"/>
                <w:color w:val="000000"/>
                <w:sz w:val="24"/>
                <w:szCs w:val="24"/>
                <w:lang w:bidi="ar"/>
              </w:rPr>
            </w:pPr>
            <w:r>
              <w:rPr>
                <w:rFonts w:hint="eastAsia" w:ascii="微软雅黑" w:hAnsi="微软雅黑" w:eastAsia="微软雅黑" w:cs="微软雅黑"/>
                <w:szCs w:val="21"/>
              </w:rPr>
              <w:t xml:space="preserve">……</w:t>
            </w:r>
            <w:r>
              <w:rPr>
                <w:rFonts w:hint="eastAsia" w:ascii="宋体" w:hAnsi="宋体" w:cs="宋体"/>
                <w:color w:val="000000"/>
                <w:sz w:val="24"/>
                <w:szCs w:val="24"/>
                <w:lang w:bidi="ar"/>
              </w:rPr>
            </w:r>
            <w:r/>
          </w:p>
        </w:tc>
        <w:tc>
          <w:tcPr>
            <w:tcW w:w="2858" w:type="dxa"/>
            <w:vAlign w:val="center"/>
            <w:textDirection w:val="lrTb"/>
            <w:noWrap w:val="false"/>
          </w:tcPr>
          <w:p>
            <w:pPr>
              <w:pStyle w:val="660"/>
              <w:jc w:val="center"/>
              <w:widowControl/>
              <w:rPr>
                <w:rFonts w:hint="eastAsia" w:ascii="宋体" w:hAnsi="宋体" w:cs="宋体"/>
                <w:color w:val="000000"/>
                <w:sz w:val="24"/>
                <w:szCs w:val="24"/>
                <w:lang w:bidi="ar"/>
              </w:rPr>
            </w:pPr>
            <w:r>
              <w:rPr>
                <w:rFonts w:hint="eastAsia" w:ascii="微软雅黑" w:hAnsi="微软雅黑" w:eastAsia="微软雅黑" w:cs="微软雅黑"/>
                <w:szCs w:val="21"/>
              </w:rPr>
              <w:t xml:space="preserve">……</w:t>
            </w:r>
            <w:r>
              <w:rPr>
                <w:rFonts w:hint="eastAsia" w:ascii="宋体" w:hAnsi="宋体" w:cs="宋体"/>
                <w:color w:val="000000"/>
                <w:sz w:val="24"/>
                <w:szCs w:val="24"/>
                <w:lang w:bidi="ar"/>
              </w:rPr>
            </w:r>
            <w:r/>
          </w:p>
        </w:tc>
        <w:tc>
          <w:tcPr>
            <w:tcW w:w="1694" w:type="dxa"/>
            <w:vAlign w:val="center"/>
            <w:textDirection w:val="lrTb"/>
            <w:noWrap w:val="false"/>
          </w:tcPr>
          <w:p>
            <w:pPr>
              <w:pStyle w:val="660"/>
              <w:jc w:val="center"/>
              <w:widowControl/>
              <w:rPr>
                <w:rFonts w:hint="eastAsia" w:ascii="宋体" w:hAnsi="宋体" w:eastAsia="微软雅黑" w:cs="宋体"/>
                <w:color w:val="000000"/>
                <w:sz w:val="24"/>
                <w:szCs w:val="24"/>
                <w:lang w:bidi="ar"/>
              </w:rPr>
            </w:pPr>
            <w:r>
              <w:rPr>
                <w:rFonts w:hint="eastAsia" w:ascii="微软雅黑" w:hAnsi="微软雅黑" w:eastAsia="微软雅黑" w:cs="微软雅黑"/>
                <w:szCs w:val="21"/>
              </w:rPr>
              <w:t xml:space="preserve">……</w:t>
            </w:r>
            <w:r>
              <w:rPr>
                <w:rFonts w:hint="eastAsia" w:ascii="宋体" w:hAnsi="宋体" w:eastAsia="微软雅黑" w:cs="宋体"/>
                <w:color w:val="000000"/>
                <w:sz w:val="24"/>
                <w:szCs w:val="24"/>
                <w:lang w:bidi="ar"/>
              </w:rPr>
            </w:r>
            <w:r/>
          </w:p>
        </w:tc>
        <w:tc>
          <w:tcPr>
            <w:tcW w:w="2340" w:type="dxa"/>
            <w:vAlign w:val="center"/>
            <w:textDirection w:val="lrTb"/>
            <w:noWrap w:val="false"/>
          </w:tcPr>
          <w:p>
            <w:pPr>
              <w:pStyle w:val="660"/>
              <w:jc w:val="center"/>
              <w:widowControl/>
              <w:rPr>
                <w:rFonts w:hint="eastAsia" w:ascii="宋体" w:hAnsi="宋体" w:cs="宋体"/>
                <w:color w:val="000000"/>
                <w:sz w:val="24"/>
                <w:szCs w:val="24"/>
                <w:lang w:bidi="ar"/>
              </w:rPr>
            </w:pPr>
            <w:r>
              <w:rPr>
                <w:rFonts w:hint="eastAsia" w:ascii="微软雅黑" w:hAnsi="微软雅黑" w:eastAsia="微软雅黑" w:cs="微软雅黑"/>
                <w:szCs w:val="21"/>
              </w:rPr>
              <w:t xml:space="preserve">……</w:t>
            </w:r>
            <w:r>
              <w:rPr>
                <w:rFonts w:hint="eastAsia" w:ascii="宋体" w:hAnsi="宋体" w:cs="宋体"/>
                <w:color w:val="000000"/>
                <w:sz w:val="24"/>
                <w:szCs w:val="24"/>
                <w:lang w:bidi="ar"/>
              </w:rPr>
            </w:r>
            <w:r/>
          </w:p>
        </w:tc>
      </w:tr>
    </w:tbl>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合同履行期限：合同签订后60日内交货并完成全部货物安装调试工作。</w:t>
      </w:r>
      <w:r>
        <w:rPr>
          <w:rFonts w:hint="eastAsia"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本项目（是/否）接受联合体投标：不接受联合体</w:t>
      </w:r>
      <w:r>
        <w:rPr>
          <w:rFonts w:hint="eastAsia" w:ascii="宋体" w:hAnsi="宋体"/>
          <w:color w:val="000000"/>
          <w:sz w:val="24"/>
          <w:szCs w:val="24"/>
        </w:rPr>
      </w:r>
      <w:r/>
    </w:p>
    <w:p>
      <w:pPr>
        <w:pStyle w:val="660"/>
        <w:keepLines/>
        <w:keepNext/>
        <w:spacing w:before="145" w:after="145" w:line="580" w:lineRule="exact"/>
        <w:rPr>
          <w:b/>
          <w:bCs/>
          <w:color w:val="000000"/>
          <w:sz w:val="32"/>
          <w:szCs w:val="32"/>
        </w:rPr>
        <w:outlineLvl w:val="2"/>
      </w:pPr>
      <w:r>
        <w:rPr>
          <w:rFonts w:hint="eastAsia"/>
          <w:b/>
          <w:bCs/>
          <w:color w:val="000000"/>
          <w:sz w:val="32"/>
          <w:szCs w:val="32"/>
        </w:rPr>
        <w:t xml:space="preserve">二、申请人的资格要求：</w:t>
      </w:r>
      <w:r>
        <w:rPr>
          <w:b/>
          <w:bCs/>
          <w:color w:val="000000"/>
          <w:sz w:val="32"/>
          <w:szCs w:val="32"/>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满足《中华人民共和国政府采购法》第二十二条规定：</w:t>
      </w:r>
      <w:r>
        <w:rPr>
          <w:rFonts w:hint="eastAsia"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1.具有独立承担民事责任的能力。提供法人或者其他组织的营业执照等证明文件，自然人的身份证明。</w:t>
      </w:r>
      <w:r>
        <w:rPr>
          <w:rFonts w:hint="eastAsia"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2.具有良好的商业信誉和健全的财务会计制度。提供2024年度或2025年度经审计的财务报告或投标截止前六个月内银行金融机构出具的资信证明。</w:t>
      </w:r>
      <w:r>
        <w:rPr>
          <w:rFonts w:hint="eastAsia"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3.有依法缴纳税收和社会保障资金的良好记录。提供参加本次政府采购活动前依法缴纳税收和社会保障资金的相关材料。</w:t>
      </w:r>
      <w:r>
        <w:rPr>
          <w:rFonts w:hint="eastAsia" w:ascii="宋体" w:hAnsi="宋体"/>
          <w:color w:val="000000"/>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4.提供具有履行合同所必需的设备和专业技术能力的书面声明。</w:t>
      </w:r>
      <w:r>
        <w:rPr>
          <w:rFonts w:hint="eastAsia" w:ascii="宋体" w:hAnsi="宋体"/>
          <w:color w:val="000000"/>
          <w:sz w:val="24"/>
          <w:szCs w:val="24"/>
        </w:rPr>
      </w:r>
      <w:r/>
    </w:p>
    <w:p>
      <w:pPr>
        <w:pStyle w:val="660"/>
        <w:ind w:left="479"/>
        <w:spacing w:line="580" w:lineRule="exact"/>
        <w:rPr>
          <w:rFonts w:hint="eastAsia" w:ascii="宋体" w:hAnsi="宋体"/>
          <w:color w:val="000000"/>
          <w:sz w:val="24"/>
          <w:szCs w:val="24"/>
        </w:rPr>
      </w:pPr>
      <w:r>
        <w:rPr>
          <w:rFonts w:hint="eastAsia" w:ascii="宋体" w:hAnsi="宋体"/>
          <w:color w:val="000000"/>
          <w:sz w:val="24"/>
          <w:szCs w:val="24"/>
        </w:rPr>
        <w:t xml:space="preserve">5.提供参加政府采购活动前三年内在经营活动中没有重大违法记录的书面声明。</w:t>
      </w:r>
      <w:r>
        <w:rPr>
          <w:rFonts w:hint="eastAsia" w:ascii="宋体" w:hAnsi="宋体"/>
          <w:color w:val="000000"/>
          <w:sz w:val="24"/>
          <w:szCs w:val="24"/>
        </w:rPr>
      </w:r>
      <w:r/>
    </w:p>
    <w:p>
      <w:pPr>
        <w:pStyle w:val="660"/>
        <w:ind w:left="479"/>
        <w:spacing w:line="580" w:lineRule="exact"/>
        <w:rPr>
          <w:rFonts w:hint="eastAsia" w:ascii="宋体" w:hAnsi="宋体"/>
          <w:color w:val="000000"/>
          <w:sz w:val="24"/>
          <w:szCs w:val="24"/>
        </w:rPr>
      </w:pPr>
      <w:r>
        <w:rPr>
          <w:rFonts w:hint="eastAsia" w:ascii="宋体" w:hAnsi="宋体"/>
          <w:color w:val="000000"/>
          <w:sz w:val="24"/>
          <w:szCs w:val="24"/>
        </w:rPr>
        <w:t xml:space="preserve">（二）落实政府采购政策需满足的资格要求：</w:t>
      </w:r>
      <w:r>
        <w:rPr>
          <w:rFonts w:hint="eastAsia" w:ascii="宋体" w:hAnsi="宋体"/>
          <w:color w:val="000000"/>
          <w:sz w:val="24"/>
          <w:szCs w:val="24"/>
        </w:rPr>
      </w:r>
      <w:r/>
    </w:p>
    <w:p>
      <w:pPr>
        <w:pStyle w:val="660"/>
        <w:ind w:firstLine="480"/>
        <w:spacing w:line="580" w:lineRule="exact"/>
        <w:rPr>
          <w:rFonts w:hint="eastAsia" w:ascii="宋体" w:hAnsi="宋体"/>
          <w:sz w:val="24"/>
          <w:szCs w:val="24"/>
        </w:rPr>
      </w:pPr>
      <w:r>
        <w:rPr>
          <w:rFonts w:hint="eastAsia" w:ascii="宋体" w:hAnsi="宋体"/>
          <w:sz w:val="24"/>
          <w:szCs w:val="24"/>
        </w:rPr>
        <w:t xml:space="preserve">根据《政府采购促进中小企业发展管理办法》的相关规定，本项目专门面向中小企业采购，残疾人福利性单位、监狱企业视同小型、微型企业。</w:t>
      </w:r>
      <w:r>
        <w:rPr>
          <w:rFonts w:hint="eastAsia" w:ascii="宋体" w:hAnsi="宋体"/>
          <w:sz w:val="24"/>
          <w:szCs w:val="24"/>
        </w:rPr>
      </w:r>
      <w:r/>
    </w:p>
    <w:p>
      <w:pPr>
        <w:pStyle w:val="660"/>
        <w:ind w:firstLine="480"/>
        <w:spacing w:line="580" w:lineRule="exact"/>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rPr>
      </w:r>
      <w:r/>
    </w:p>
    <w:p>
      <w:pPr>
        <w:pStyle w:val="660"/>
        <w:ind w:firstLine="480"/>
        <w:spacing w:line="580" w:lineRule="exact"/>
        <w:rPr>
          <w:rFonts w:hint="eastAsia"/>
        </w:rPr>
      </w:pPr>
      <w:r>
        <w:rPr>
          <w:rFonts w:hint="eastAsia" w:ascii="宋体" w:hAnsi="宋体"/>
          <w:color w:val="000000"/>
          <w:sz w:val="24"/>
          <w:szCs w:val="24"/>
        </w:rPr>
        <w:t xml:space="preserve">未被“信用中国”网站（www.creditchina.gov.cn）列入失信被执行人、重大税收违法案件当事人名单、政府采购严重失信行为记录名单。</w:t>
      </w:r>
      <w:r>
        <w:rPr>
          <w:rFonts w:hint="eastAsia"/>
        </w:rPr>
      </w:r>
      <w:r/>
    </w:p>
    <w:p>
      <w:pPr>
        <w:pStyle w:val="660"/>
        <w:keepLines/>
        <w:keepNext/>
        <w:spacing w:before="145" w:after="145" w:line="580" w:lineRule="exact"/>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60"/>
        <w:ind w:firstLine="480"/>
        <w:spacing w:line="580" w:lineRule="exact"/>
        <w:rPr>
          <w:rFonts w:hint="eastAsia" w:ascii="宋体" w:hAnsi="宋体" w:cs="宋体"/>
          <w:color w:val="000000"/>
          <w:sz w:val="24"/>
          <w:szCs w:val="24"/>
        </w:rPr>
      </w:pPr>
      <w:r>
        <w:rPr>
          <w:rFonts w:hint="eastAsia" w:ascii="宋体" w:hAnsi="宋体" w:cs="宋体"/>
          <w:color w:val="000000"/>
          <w:sz w:val="24"/>
          <w:szCs w:val="24"/>
        </w:rPr>
        <w:t xml:space="preserve">时间：自招标文件公告发布之日起5个工作日</w:t>
      </w:r>
      <w:r>
        <w:rPr>
          <w:rFonts w:hint="eastAsia" w:ascii="宋体" w:hAnsi="宋体" w:cs="宋体"/>
          <w:color w:val="000000"/>
          <w:sz w:val="24"/>
          <w:szCs w:val="24"/>
        </w:rPr>
      </w:r>
      <w:r/>
    </w:p>
    <w:p>
      <w:pPr>
        <w:pStyle w:val="660"/>
        <w:ind w:firstLine="480"/>
        <w:spacing w:line="580" w:lineRule="exact"/>
        <w:rPr>
          <w:rFonts w:hint="eastAsia" w:ascii="宋体" w:hAnsi="宋体" w:cs="宋体"/>
          <w:color w:val="000000"/>
          <w:sz w:val="24"/>
          <w:szCs w:val="24"/>
        </w:rPr>
      </w:pPr>
      <w:r>
        <w:rPr>
          <w:rFonts w:hint="eastAsia" w:ascii="宋体" w:hAnsi="宋体" w:cs="宋体"/>
          <w:color w:val="000000"/>
          <w:sz w:val="24"/>
          <w:szCs w:val="24"/>
        </w:rPr>
        <w:t xml:space="preserve">地点：“苏采云”系统（网址：http://jszfcg.jsczt.cn/） </w:t>
      </w:r>
      <w:r>
        <w:rPr>
          <w:rFonts w:hint="eastAsia" w:ascii="宋体" w:hAnsi="宋体" w:cs="宋体"/>
          <w:color w:val="000000"/>
          <w:sz w:val="24"/>
          <w:szCs w:val="24"/>
        </w:rPr>
      </w:r>
      <w:r/>
    </w:p>
    <w:p>
      <w:pPr>
        <w:pStyle w:val="660"/>
        <w:ind w:firstLine="480"/>
        <w:spacing w:line="580" w:lineRule="exact"/>
        <w:rPr>
          <w:rFonts w:hint="eastAsia" w:ascii="宋体" w:hAnsi="宋体" w:cs="宋体"/>
          <w:color w:val="000000"/>
          <w:sz w:val="24"/>
          <w:szCs w:val="24"/>
        </w:rPr>
      </w:pPr>
      <w:r>
        <w:rPr>
          <w:rFonts w:hint="eastAsia" w:ascii="宋体" w:hAnsi="宋体" w:cs="宋体"/>
          <w:color w:val="000000"/>
          <w:sz w:val="24"/>
          <w:szCs w:val="24"/>
        </w:rPr>
        <w:t xml:space="preserve">方式：自行下载</w:t>
      </w:r>
      <w:r>
        <w:rPr>
          <w:rFonts w:hint="eastAsia" w:ascii="宋体" w:hAnsi="宋体" w:cs="宋体"/>
          <w:color w:val="000000"/>
          <w:sz w:val="24"/>
          <w:szCs w:val="24"/>
        </w:rPr>
      </w:r>
      <w:r/>
    </w:p>
    <w:p>
      <w:pPr>
        <w:pStyle w:val="660"/>
        <w:ind w:firstLine="480"/>
        <w:spacing w:line="580" w:lineRule="exact"/>
        <w:rPr>
          <w:rFonts w:hint="eastAsia" w:ascii="宋体" w:hAnsi="宋体" w:cs="宋体"/>
          <w:color w:val="000000"/>
          <w:sz w:val="24"/>
          <w:szCs w:val="24"/>
        </w:rPr>
      </w:pPr>
      <w:r>
        <w:rPr>
          <w:rFonts w:hint="eastAsia" w:ascii="宋体" w:hAnsi="宋体" w:cs="宋体"/>
          <w:color w:val="000000"/>
          <w:sz w:val="24"/>
          <w:szCs w:val="24"/>
        </w:rPr>
        <w:t xml:space="preserve">售价：0.00元 </w:t>
      </w:r>
      <w:r>
        <w:rPr>
          <w:rFonts w:hint="eastAsia" w:ascii="宋体" w:hAnsi="宋体" w:cs="宋体"/>
          <w:color w:val="000000"/>
          <w:sz w:val="24"/>
          <w:szCs w:val="24"/>
        </w:rPr>
      </w:r>
      <w:r/>
    </w:p>
    <w:p>
      <w:pPr>
        <w:pStyle w:val="660"/>
        <w:ind w:firstLine="480"/>
        <w:spacing w:line="580" w:lineRule="exact"/>
        <w:rPr>
          <w:rFonts w:hint="eastAsia" w:ascii="宋体" w:hAnsi="宋体" w:cs="宋体"/>
          <w:color w:val="000000"/>
          <w:sz w:val="24"/>
          <w:szCs w:val="24"/>
        </w:rPr>
      </w:pPr>
      <w:r>
        <w:rPr>
          <w:rFonts w:hint="eastAsia" w:ascii="宋体" w:hAnsi="宋体" w:cs="宋体"/>
          <w:color w:val="000000"/>
          <w:sz w:val="24"/>
          <w:szCs w:val="24"/>
        </w:rPr>
      </w:r>
      <w:r/>
    </w:p>
    <w:p>
      <w:pPr>
        <w:pStyle w:val="660"/>
        <w:keepLines/>
        <w:keepNext/>
        <w:spacing w:before="145" w:after="145" w:line="580" w:lineRule="exact"/>
        <w:rPr>
          <w:b/>
          <w:bCs/>
          <w:color w:val="000000"/>
          <w:sz w:val="32"/>
          <w:szCs w:val="32"/>
        </w:rPr>
        <w:outlineLvl w:val="2"/>
      </w:pPr>
      <w:r>
        <w:rPr>
          <w:rFonts w:hint="eastAsia"/>
          <w:b/>
          <w:bCs/>
          <w:color w:val="000000"/>
          <w:sz w:val="32"/>
          <w:szCs w:val="32"/>
        </w:rPr>
        <w:t xml:space="preserve">四、提交投标文件截止时间、开标时间和地点</w:t>
      </w:r>
      <w:r>
        <w:rPr>
          <w:b/>
          <w:bCs/>
          <w:color w:val="000000"/>
          <w:sz w:val="32"/>
          <w:szCs w:val="32"/>
        </w:rPr>
      </w:r>
      <w:r/>
    </w:p>
    <w:p>
      <w:pPr>
        <w:pStyle w:val="660"/>
        <w:ind w:firstLine="480"/>
        <w:spacing w:after="120" w:line="580" w:lineRule="exact"/>
        <w:rPr>
          <w:rFonts w:ascii="宋体" w:hAnsi="宋体"/>
          <w:bCs/>
          <w:color w:val="000000"/>
          <w:sz w:val="24"/>
          <w:szCs w:val="24"/>
          <w:u w:val="single"/>
        </w:rPr>
      </w:pPr>
      <w:r>
        <w:rPr>
          <w:rFonts w:hint="eastAsia" w:ascii="宋体" w:hAnsi="宋体"/>
          <w:bCs/>
          <w:color w:val="000000"/>
          <w:sz w:val="24"/>
          <w:szCs w:val="24"/>
        </w:rPr>
        <w:t xml:space="preserve">2026-</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  </w:t>
      </w:r>
      <w:r>
        <w:rPr>
          <w:rFonts w:hint="eastAsia" w:ascii="宋体" w:hAnsi="宋体"/>
          <w:bCs/>
          <w:color w:val="000000"/>
          <w:sz w:val="24"/>
          <w:szCs w:val="24"/>
          <w:lang w:val="en-US" w:eastAsia="zh-CN"/>
        </w:rPr>
        <w:t xml:space="preserve">9</w:t>
      </w:r>
      <w:r>
        <w:rPr>
          <w:rFonts w:hint="eastAsia" w:ascii="宋体" w:hAnsi="宋体"/>
          <w:bCs/>
          <w:color w:val="000000"/>
          <w:sz w:val="24"/>
          <w:szCs w:val="24"/>
        </w:rPr>
        <w:t xml:space="preserve">:30（北京时间）</w:t>
      </w:r>
      <w:r>
        <w:rPr>
          <w:rFonts w:ascii="宋体" w:hAnsi="宋体"/>
          <w:bCs/>
          <w:color w:val="000000"/>
          <w:sz w:val="24"/>
          <w:szCs w:val="24"/>
          <w:u w:val="single"/>
        </w:rPr>
      </w:r>
      <w:r/>
    </w:p>
    <w:p>
      <w:pPr>
        <w:pStyle w:val="660"/>
        <w:ind w:firstLine="480"/>
        <w:spacing w:line="580" w:lineRule="exact"/>
        <w:rPr>
          <w:rFonts w:hint="eastAsia" w:ascii="宋体" w:hAnsi="宋体"/>
          <w:bCs/>
          <w:color w:val="000000"/>
          <w:sz w:val="24"/>
          <w:szCs w:val="24"/>
          <w:u w:val="single"/>
        </w:rPr>
      </w:pPr>
      <w:r>
        <w:rPr>
          <w:rFonts w:hint="eastAsia" w:ascii="宋体" w:hAnsi="宋体"/>
          <w:color w:val="000000"/>
          <w:sz w:val="24"/>
          <w:szCs w:val="24"/>
        </w:rPr>
        <w:t xml:space="preserve">地</w:t>
      </w:r>
      <w:r>
        <w:rPr>
          <w:rFonts w:hint="eastAsia" w:ascii="宋体" w:hAnsi="宋体"/>
          <w:bCs/>
          <w:color w:val="000000"/>
          <w:sz w:val="24"/>
          <w:szCs w:val="24"/>
        </w:rPr>
        <w:t xml:space="preserve">点：“苏采云”系统（网址：http://jszfcg.jsczt.cn/） </w:t>
      </w:r>
      <w:r>
        <w:rPr>
          <w:rFonts w:hint="eastAsia" w:ascii="宋体" w:hAnsi="宋体"/>
          <w:bCs/>
          <w:color w:val="000000"/>
          <w:sz w:val="24"/>
          <w:szCs w:val="24"/>
          <w:u w:val="single"/>
        </w:rPr>
      </w:r>
      <w:r/>
    </w:p>
    <w:p>
      <w:pPr>
        <w:pStyle w:val="660"/>
        <w:keepLines/>
        <w:keepNext/>
        <w:spacing w:before="145" w:after="145" w:line="580" w:lineRule="exact"/>
        <w:rPr>
          <w:b/>
          <w:bCs/>
          <w:color w:val="000000"/>
          <w:sz w:val="32"/>
          <w:szCs w:val="32"/>
        </w:rPr>
        <w:outlineLvl w:val="2"/>
      </w:pPr>
      <w:r>
        <w:rPr>
          <w:rFonts w:hint="eastAsia"/>
          <w:b/>
          <w:bCs/>
          <w:color w:val="000000"/>
          <w:sz w:val="32"/>
          <w:szCs w:val="32"/>
        </w:rPr>
        <w:t xml:space="preserve">五、公告期限</w:t>
      </w:r>
      <w:r>
        <w:rPr>
          <w:b/>
          <w:bCs/>
          <w:color w:val="000000"/>
          <w:sz w:val="32"/>
          <w:szCs w:val="32"/>
        </w:rPr>
      </w:r>
      <w:r/>
    </w:p>
    <w:p>
      <w:pPr>
        <w:pStyle w:val="660"/>
        <w:keepLines/>
        <w:keepNext/>
        <w:spacing w:before="145" w:after="145" w:line="58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自本公告发布之日起5个工作日。</w:t>
      </w:r>
      <w:r>
        <w:rPr>
          <w:rFonts w:hint="eastAsia" w:ascii="宋体" w:hAnsi="宋体" w:cs="宋体"/>
          <w:color w:val="000000"/>
          <w:sz w:val="24"/>
          <w:szCs w:val="24"/>
        </w:rPr>
      </w:r>
      <w:r/>
    </w:p>
    <w:p>
      <w:pPr>
        <w:pStyle w:val="660"/>
        <w:keepLines/>
        <w:keepNext/>
        <w:spacing w:before="145" w:after="145" w:line="580" w:lineRule="exact"/>
        <w:rPr>
          <w:rFonts w:hint="eastAsia"/>
          <w:b/>
          <w:bCs/>
          <w:color w:val="000000"/>
          <w:sz w:val="32"/>
          <w:szCs w:val="32"/>
        </w:rPr>
        <w:outlineLvl w:val="2"/>
      </w:pPr>
      <w:r>
        <w:rPr>
          <w:rFonts w:hint="eastAsia"/>
          <w:b/>
          <w:bCs/>
          <w:color w:val="000000"/>
          <w:sz w:val="32"/>
          <w:szCs w:val="32"/>
        </w:rPr>
        <w:t xml:space="preserve">六、其他补充事宜</w:t>
      </w:r>
      <w:r>
        <w:rPr>
          <w:rFonts w:hint="eastAsia"/>
          <w:b/>
          <w:bCs/>
          <w:color w:val="000000"/>
          <w:sz w:val="32"/>
          <w:szCs w:val="32"/>
        </w:rPr>
      </w:r>
      <w:r/>
    </w:p>
    <w:p>
      <w:pPr>
        <w:pStyle w:val="660"/>
        <w:keepLines/>
        <w:keepNext/>
        <w:spacing w:before="145" w:after="145" w:line="580" w:lineRule="exact"/>
        <w:rPr>
          <w:rFonts w:hint="eastAsia" w:ascii="宋体" w:hAnsi="宋体"/>
          <w:color w:val="000000"/>
          <w:sz w:val="24"/>
          <w:szCs w:val="24"/>
        </w:rPr>
        <w:outlineLvl w:val="2"/>
      </w:pPr>
      <w:r>
        <w:rPr>
          <w:rFonts w:hint="eastAsia" w:ascii="宋体" w:hAnsi="宋体"/>
          <w:color w:val="000000"/>
          <w:sz w:val="24"/>
          <w:szCs w:val="24"/>
        </w:rPr>
        <w:t xml:space="preserve">1.CA证</w:t>
      </w:r>
      <w:r>
        <w:rPr>
          <w:rFonts w:hint="eastAsia" w:ascii="宋体" w:hAnsi="宋体"/>
          <w:color w:val="000000"/>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color w:val="000000"/>
          <w:sz w:val="24"/>
          <w:szCs w:val="24"/>
        </w:rPr>
      </w:r>
      <w:r/>
    </w:p>
    <w:p>
      <w:pPr>
        <w:pStyle w:val="660"/>
        <w:keepLines/>
        <w:keepNext/>
        <w:spacing w:before="145" w:after="145" w:line="580" w:lineRule="exact"/>
        <w:rPr>
          <w:rFonts w:hint="eastAsia" w:ascii="宋体" w:hAnsi="宋体"/>
          <w:color w:val="000000"/>
          <w:sz w:val="24"/>
          <w:szCs w:val="24"/>
        </w:rPr>
        <w:outlineLvl w:val="2"/>
      </w:pPr>
      <w:r>
        <w:rPr>
          <w:rFonts w:hint="eastAsia" w:ascii="宋体" w:hAnsi="宋体"/>
          <w:color w:val="000000"/>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000000"/>
          <w:sz w:val="24"/>
          <w:szCs w:val="24"/>
        </w:rPr>
      </w:r>
      <w:r/>
    </w:p>
    <w:p>
      <w:pPr>
        <w:pStyle w:val="660"/>
        <w:keepLines/>
        <w:keepNext/>
        <w:spacing w:before="145" w:after="145" w:line="580" w:lineRule="exact"/>
        <w:rPr>
          <w:rFonts w:hint="eastAsia" w:ascii="宋体" w:hAnsi="宋体"/>
          <w:color w:val="000000"/>
          <w:sz w:val="24"/>
          <w:szCs w:val="24"/>
        </w:rPr>
        <w:outlineLvl w:val="2"/>
      </w:pPr>
      <w:r>
        <w:rPr>
          <w:rFonts w:hint="eastAsia" w:ascii="宋体" w:hAnsi="宋体"/>
          <w:color w:val="000000"/>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color w:val="000000"/>
          <w:sz w:val="24"/>
          <w:szCs w:val="24"/>
        </w:rPr>
        <w:t xml:space="preserve">https://czju.suzhou.gov.cn/zfcg/html/content/20231220161910031.shtml）。 在系统操作过程中如有疑问，请按以下方式联系： 注册咨询：0512-69820854； CA技术咨询电话：400-608-6099； 签章使用问题：025-83633811、025-83633812、15380932027、15371015030； 系统使用指导与咨询：联系电话：0512-69820854；智能客服：登录苏采云系统后，联系系统右下方智能客服图标进行咨询。</w:t>
      </w:r>
      <w:r>
        <w:rPr>
          <w:rFonts w:hint="eastAsia" w:ascii="宋体" w:hAnsi="宋体"/>
          <w:color w:val="000000"/>
          <w:sz w:val="24"/>
          <w:szCs w:val="24"/>
        </w:rPr>
      </w:r>
      <w:r/>
    </w:p>
    <w:p>
      <w:pPr>
        <w:pStyle w:val="660"/>
        <w:keepLines/>
        <w:keepNext/>
        <w:spacing w:before="145" w:after="145" w:line="580" w:lineRule="exact"/>
        <w:rPr>
          <w:rFonts w:hint="eastAsia" w:ascii="宋体" w:hAnsi="宋体"/>
          <w:color w:val="000000"/>
          <w:sz w:val="24"/>
          <w:szCs w:val="24"/>
        </w:rPr>
        <w:outlineLvl w:val="2"/>
      </w:pPr>
      <w:r>
        <w:rPr>
          <w:rFonts w:hint="eastAsia" w:ascii="宋体" w:hAnsi="宋体"/>
          <w:color w:val="000000"/>
          <w:sz w:val="24"/>
          <w:szCs w:val="24"/>
        </w:rPr>
        <w:t xml:space="preserve">4.有关本次招标的事项若存在变动或修改，敬请及时关注苏州市公共资源交易中心吴江分中心在“江苏政府采购网、苏州市政府采购网”发布的更正公告。</w:t>
      </w:r>
      <w:r>
        <w:rPr>
          <w:rFonts w:hint="eastAsia" w:ascii="宋体" w:hAnsi="宋体"/>
          <w:color w:val="000000"/>
          <w:sz w:val="24"/>
          <w:szCs w:val="24"/>
        </w:rPr>
      </w:r>
      <w:r/>
    </w:p>
    <w:p>
      <w:pPr>
        <w:pStyle w:val="660"/>
        <w:keepLines/>
        <w:keepNext/>
        <w:spacing w:before="145" w:after="145" w:line="580" w:lineRule="exact"/>
        <w:rPr>
          <w:rFonts w:hint="eastAsia" w:ascii="宋体" w:hAnsi="宋体"/>
          <w:color w:val="000000"/>
          <w:sz w:val="24"/>
          <w:szCs w:val="24"/>
        </w:rPr>
        <w:outlineLvl w:val="2"/>
      </w:pPr>
      <w:r>
        <w:rPr>
          <w:rFonts w:hint="eastAsia" w:ascii="宋体" w:hAnsi="宋体"/>
          <w:color w:val="000000"/>
          <w:sz w:val="24"/>
          <w:szCs w:val="24"/>
        </w:rPr>
        <w:t xml:space="preserve">5.本次招标不收取投标保证金。</w:t>
      </w:r>
      <w:r>
        <w:rPr>
          <w:rFonts w:hint="eastAsia" w:ascii="宋体" w:hAnsi="宋体"/>
          <w:color w:val="000000"/>
          <w:sz w:val="24"/>
          <w:szCs w:val="24"/>
        </w:rPr>
      </w:r>
      <w:r/>
    </w:p>
    <w:p>
      <w:pPr>
        <w:pStyle w:val="660"/>
        <w:keepLines/>
        <w:keepNext/>
        <w:spacing w:before="145" w:after="145" w:line="580" w:lineRule="exact"/>
        <w:rPr>
          <w:b/>
          <w:bCs/>
          <w:color w:val="000000"/>
          <w:sz w:val="32"/>
          <w:szCs w:val="32"/>
        </w:rPr>
        <w:outlineLvl w:val="2"/>
      </w:pPr>
      <w:r>
        <w:rPr>
          <w:rFonts w:hint="eastAsia"/>
          <w:b/>
          <w:bCs/>
          <w:color w:val="000000"/>
          <w:sz w:val="32"/>
          <w:szCs w:val="32"/>
        </w:rPr>
        <w:t xml:space="preserve">七、本次招标联系方式</w:t>
      </w:r>
      <w:r>
        <w:rPr>
          <w:b/>
          <w:bCs/>
          <w:color w:val="000000"/>
          <w:sz w:val="32"/>
          <w:szCs w:val="32"/>
        </w:rPr>
      </w:r>
      <w:r/>
    </w:p>
    <w:p>
      <w:pPr>
        <w:pStyle w:val="660"/>
        <w:ind w:firstLine="480"/>
        <w:spacing w:line="560" w:lineRule="exact"/>
        <w:tabs>
          <w:tab w:val="left" w:pos="900" w:leader="none"/>
        </w:tabs>
        <w:rPr>
          <w:rFonts w:ascii="宋体" w:hAnsi="宋体"/>
          <w:sz w:val="24"/>
          <w:szCs w:val="21"/>
        </w:rPr>
      </w:pPr>
      <w:r>
        <w:rPr>
          <w:rFonts w:hint="eastAsia" w:ascii="宋体" w:hAnsi="宋体"/>
          <w:sz w:val="24"/>
          <w:szCs w:val="21"/>
        </w:rPr>
        <w:t xml:space="preserve">1.采购人信息</w:t>
      </w:r>
      <w:r>
        <w:rPr>
          <w:rFonts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单位名称：江苏省苏州丝绸中等专业学校</w:t>
      </w:r>
      <w:r>
        <w:rPr>
          <w:rFonts w:hint="eastAsia"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单位地址：苏州市吴江区盛泽镇市场路</w:t>
      </w:r>
      <w:r>
        <w:rPr>
          <w:rFonts w:ascii="Segoe UI" w:hAnsi="Segoe UI" w:eastAsia="Segoe UI" w:cs="Segoe UI"/>
          <w:i w:val="0"/>
          <w:iCs w:val="0"/>
          <w:caps w:val="0"/>
          <w:spacing w:val="0"/>
          <w:sz w:val="21"/>
          <w:szCs w:val="21"/>
          <w:shd w:val="clear" w:color="auto" w:fill="ffffff"/>
        </w:rPr>
        <w:t xml:space="preserve">588号</w:t>
      </w:r>
      <w:r>
        <w:rPr>
          <w:rFonts w:hint="eastAsia" w:ascii="宋体" w:hAnsi="宋体"/>
          <w:sz w:val="24"/>
          <w:szCs w:val="21"/>
        </w:rPr>
      </w:r>
      <w:r/>
    </w:p>
    <w:p>
      <w:pPr>
        <w:pStyle w:val="660"/>
        <w:ind w:firstLine="480"/>
        <w:spacing w:line="560" w:lineRule="exact"/>
        <w:tabs>
          <w:tab w:val="left" w:pos="900" w:leader="none"/>
        </w:tabs>
        <w:rPr>
          <w:rFonts w:ascii="宋体" w:hAnsi="宋体"/>
          <w:sz w:val="24"/>
          <w:szCs w:val="21"/>
        </w:rPr>
      </w:pPr>
      <w:r>
        <w:rPr>
          <w:rFonts w:hint="eastAsia" w:ascii="宋体" w:hAnsi="宋体"/>
          <w:sz w:val="24"/>
          <w:szCs w:val="21"/>
        </w:rPr>
        <w:t xml:space="preserve">联系人：周老师、王老师</w:t>
      </w:r>
      <w:r>
        <w:rPr>
          <w:rFonts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联系方式：0512-6</w:t>
      </w:r>
      <w:r>
        <w:rPr>
          <w:rFonts w:ascii="宋体" w:hAnsi="宋体"/>
          <w:sz w:val="24"/>
          <w:szCs w:val="21"/>
        </w:rPr>
        <w:t xml:space="preserve">3552945</w:t>
      </w:r>
      <w:r>
        <w:rPr>
          <w:rFonts w:hint="eastAsia"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2.采购代理机构信息（如有）</w:t>
      </w:r>
      <w:r>
        <w:rPr>
          <w:rFonts w:hint="eastAsia"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单位名称：苏州市公共资源交易中心吴江分中心</w:t>
      </w:r>
      <w:r>
        <w:rPr>
          <w:rFonts w:hint="eastAsia"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单位地址：苏州市吴江区开平路998号</w:t>
      </w:r>
      <w:r>
        <w:rPr>
          <w:rFonts w:hint="eastAsia"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联系人：汪工</w:t>
      </w:r>
      <w:r>
        <w:rPr>
          <w:rFonts w:hint="eastAsia"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联系电话：0512-60905852</w:t>
      </w:r>
      <w:r>
        <w:rPr>
          <w:rFonts w:hint="eastAsia" w:ascii="宋体" w:hAnsi="宋体"/>
          <w:sz w:val="24"/>
          <w:szCs w:val="21"/>
        </w:rPr>
      </w:r>
      <w:r/>
    </w:p>
    <w:p>
      <w:pPr>
        <w:pStyle w:val="660"/>
        <w:ind w:firstLine="480"/>
        <w:spacing w:line="560" w:lineRule="exact"/>
        <w:tabs>
          <w:tab w:val="left" w:pos="900" w:leader="none"/>
        </w:tabs>
        <w:rPr>
          <w:rFonts w:hint="eastAsia" w:ascii="宋体" w:hAnsi="宋体"/>
          <w:sz w:val="24"/>
          <w:szCs w:val="21"/>
        </w:rPr>
      </w:pPr>
      <w:r>
        <w:rPr>
          <w:rFonts w:hint="eastAsia" w:ascii="宋体" w:hAnsi="宋体"/>
          <w:sz w:val="24"/>
          <w:szCs w:val="21"/>
        </w:rPr>
        <w:t xml:space="preserve">3.项目联系方式</w:t>
      </w:r>
      <w:r>
        <w:rPr>
          <w:rFonts w:hint="eastAsia" w:ascii="宋体" w:hAnsi="宋体"/>
          <w:sz w:val="24"/>
          <w:szCs w:val="21"/>
        </w:rPr>
      </w:r>
      <w:r/>
    </w:p>
    <w:p>
      <w:pPr>
        <w:pStyle w:val="660"/>
        <w:ind w:firstLine="480"/>
        <w:spacing w:line="560" w:lineRule="exact"/>
        <w:tabs>
          <w:tab w:val="left" w:pos="900" w:leader="none"/>
        </w:tabs>
        <w:rPr>
          <w:rFonts w:hint="eastAsia" w:ascii="宋体" w:hAnsi="宋体" w:eastAsia="宋体"/>
          <w:sz w:val="24"/>
          <w:szCs w:val="21"/>
          <w:lang w:eastAsia="zh-CN"/>
        </w:rPr>
      </w:pPr>
      <w:r>
        <w:rPr>
          <w:rFonts w:hint="eastAsia" w:ascii="宋体" w:hAnsi="宋体"/>
          <w:sz w:val="24"/>
          <w:szCs w:val="21"/>
        </w:rPr>
        <w:t xml:space="preserve">项目联系人：汪</w:t>
      </w:r>
      <w:r>
        <w:rPr>
          <w:rFonts w:hint="eastAsia" w:ascii="宋体" w:hAnsi="宋体"/>
          <w:sz w:val="24"/>
          <w:szCs w:val="21"/>
          <w:lang w:val="en-US" w:eastAsia="zh-CN"/>
        </w:rPr>
        <w:t xml:space="preserve">工</w:t>
      </w:r>
      <w:r>
        <w:rPr>
          <w:rFonts w:hint="eastAsia" w:ascii="宋体" w:hAnsi="宋体" w:eastAsia="宋体"/>
          <w:sz w:val="24"/>
          <w:szCs w:val="21"/>
          <w:lang w:eastAsia="zh-CN"/>
        </w:rPr>
      </w:r>
      <w:r/>
    </w:p>
    <w:p>
      <w:pPr>
        <w:pStyle w:val="660"/>
        <w:ind w:firstLine="480"/>
        <w:spacing w:line="560" w:lineRule="exact"/>
        <w:tabs>
          <w:tab w:val="left" w:pos="900" w:leader="none"/>
        </w:tabs>
        <w:rPr>
          <w:rFonts w:hint="eastAsia" w:ascii="宋体" w:hAnsi="宋体"/>
          <w:sz w:val="24"/>
          <w:szCs w:val="24"/>
        </w:rPr>
      </w:pPr>
      <w:r>
        <w:rPr>
          <w:rFonts w:hint="eastAsia" w:ascii="宋体" w:hAnsi="宋体"/>
          <w:sz w:val="24"/>
          <w:szCs w:val="21"/>
        </w:rPr>
        <w:t xml:space="preserve">电话：0512-60905852</w:t>
      </w:r>
      <w:r>
        <w:rPr>
          <w:rFonts w:hint="eastAsia" w:ascii="宋体" w:hAnsi="宋体"/>
          <w:sz w:val="24"/>
          <w:szCs w:val="24"/>
        </w:rPr>
      </w:r>
      <w:r/>
    </w:p>
    <w:p>
      <w:pPr>
        <w:pStyle w:val="662"/>
        <w:ind w:firstLine="2429"/>
        <w:jc w:val="both"/>
        <w:rPr>
          <w:rFonts w:hint="eastAsia" w:ascii="黑体" w:eastAsia="黑体"/>
          <w:b w:val="0"/>
          <w:bCs w:val="0"/>
        </w:rPr>
      </w:pPr>
      <w:r/>
      <w:bookmarkStart w:id="6" w:name="_Toc162532998"/>
      <w:r>
        <w:rPr>
          <w:rFonts w:hint="eastAsia" w:ascii="黑体" w:eastAsia="黑体"/>
        </w:rPr>
        <w:br w:type="page" w:clear="all"/>
      </w:r>
      <w:r>
        <w:rPr>
          <w:rFonts w:hint="eastAsia" w:ascii="黑体" w:eastAsia="黑体"/>
        </w:rPr>
        <w:t xml:space="preserve">第二章  投标人须知</w:t>
      </w:r>
      <w:bookmarkEnd w:id="6"/>
      <w:r>
        <w:rPr>
          <w:rFonts w:hint="eastAsia" w:ascii="黑体" w:eastAsia="黑体"/>
          <w:b w:val="0"/>
          <w:bCs w:val="0"/>
        </w:rPr>
      </w:r>
      <w:r/>
    </w:p>
    <w:p>
      <w:pPr>
        <w:pStyle w:val="663"/>
        <w:ind w:firstLine="498"/>
        <w:spacing w:before="180" w:after="180" w:line="360" w:lineRule="auto"/>
        <w:rPr>
          <w:rFonts w:hint="eastAsia"/>
        </w:rPr>
      </w:pPr>
      <w:r/>
      <w:bookmarkStart w:id="7" w:name="_Toc162532999"/>
      <w:r>
        <w:rPr>
          <w:rFonts w:hint="eastAsia"/>
        </w:rPr>
        <w:t xml:space="preserve">一、总则</w:t>
      </w:r>
      <w:bookmarkEnd w:id="7"/>
      <w:r>
        <w:rPr>
          <w:rFonts w:hint="eastAsia"/>
        </w:rPr>
      </w:r>
      <w:r/>
    </w:p>
    <w:p>
      <w:pPr>
        <w:pStyle w:val="664"/>
        <w:ind w:firstLine="420"/>
        <w:spacing w:before="0" w:after="0" w:line="240" w:lineRule="auto"/>
        <w:rPr>
          <w:rFonts w:hint="eastAsia"/>
          <w:b w:val="0"/>
          <w:bCs w:val="0"/>
        </w:rPr>
      </w:pPr>
      <w:r>
        <w:rPr>
          <w:rFonts w:hint="eastAsia"/>
          <w:b w:val="0"/>
          <w:bCs w:val="0"/>
        </w:rPr>
        <w:t xml:space="preserve">1、招标方式</w:t>
      </w:r>
      <w:r>
        <w:rPr>
          <w:rFonts w:hint="eastAsia"/>
          <w:b w:val="0"/>
          <w:bCs w:val="0"/>
        </w:rPr>
      </w:r>
      <w:r/>
    </w:p>
    <w:p>
      <w:pPr>
        <w:pStyle w:val="66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64"/>
        <w:ind w:firstLine="420"/>
        <w:spacing w:before="0" w:after="0" w:line="240" w:lineRule="auto"/>
        <w:rPr>
          <w:rFonts w:hint="eastAsia"/>
          <w:b w:val="0"/>
          <w:bCs w:val="0"/>
        </w:rPr>
      </w:pPr>
      <w:r>
        <w:rPr>
          <w:rFonts w:hint="eastAsia"/>
          <w:b w:val="0"/>
          <w:bCs w:val="0"/>
        </w:rPr>
        <w:t xml:space="preserve">2、合格的投标人</w:t>
      </w:r>
      <w:r>
        <w:rPr>
          <w:rFonts w:hint="eastAsia"/>
          <w:b w:val="0"/>
          <w:bCs w:val="0"/>
        </w:rPr>
      </w:r>
      <w:r/>
    </w:p>
    <w:p>
      <w:pPr>
        <w:pStyle w:val="66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6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664"/>
        <w:ind w:firstLine="420"/>
        <w:spacing w:before="0" w:after="0" w:line="240" w:lineRule="auto"/>
        <w:rPr>
          <w:b w:val="0"/>
          <w:bCs w:val="0"/>
        </w:rPr>
      </w:pPr>
      <w:r>
        <w:rPr>
          <w:rFonts w:hint="eastAsia"/>
          <w:b w:val="0"/>
          <w:bCs w:val="0"/>
        </w:rPr>
        <w:t xml:space="preserve">3、适用的法律和标准</w:t>
      </w:r>
      <w:r>
        <w:rPr>
          <w:b w:val="0"/>
          <w:bCs w:val="0"/>
        </w:rPr>
      </w:r>
      <w:r/>
    </w:p>
    <w:p>
      <w:pPr>
        <w:pStyle w:val="660"/>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660"/>
        <w:ind w:firstLine="420"/>
        <w:spacing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664"/>
        <w:ind w:firstLine="420"/>
        <w:spacing w:before="0" w:after="0" w:line="240" w:lineRule="auto"/>
        <w:rPr>
          <w:rFonts w:hint="eastAsia"/>
          <w:b w:val="0"/>
          <w:bCs w:val="0"/>
        </w:rPr>
      </w:pPr>
      <w:r>
        <w:rPr>
          <w:rFonts w:hint="eastAsia"/>
          <w:b w:val="0"/>
          <w:bCs w:val="0"/>
        </w:rPr>
        <w:t xml:space="preserve">4、投标费用</w:t>
      </w:r>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投标人应自行承担所有与参加投标有关的费用，无论投标过程中的做法和结果如何，苏州市公共资源交易中心吴江分中心（以下简称交易中心）在任何情况下均无义务和责任承担这些费用。</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sz w:val="24"/>
        </w:rPr>
        <w:t xml:space="preserve">4.2本次招标交易中心和采购人不收取标书工本费与中标服务费。</w:t>
      </w:r>
      <w:r>
        <w:rPr>
          <w:rFonts w:hint="eastAsia" w:ascii="宋体" w:hAnsi="宋体"/>
          <w:sz w:val="24"/>
        </w:rPr>
      </w:r>
      <w:r/>
    </w:p>
    <w:p>
      <w:pPr>
        <w:pStyle w:val="66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6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63"/>
        <w:ind w:firstLine="321"/>
        <w:spacing w:before="180" w:after="180" w:line="360" w:lineRule="auto"/>
        <w:rPr>
          <w:rFonts w:hint="eastAsia"/>
        </w:rPr>
      </w:pPr>
      <w:r/>
      <w:bookmarkStart w:id="8" w:name="_Toc162533000"/>
      <w:r>
        <w:rPr>
          <w:rFonts w:hint="eastAsia"/>
        </w:rPr>
        <w:t xml:space="preserve">二、招标文件</w:t>
      </w:r>
      <w:bookmarkEnd w:id="8"/>
      <w:r>
        <w:rPr>
          <w:rFonts w:hint="eastAsia"/>
        </w:rPr>
      </w:r>
      <w:r/>
    </w:p>
    <w:p>
      <w:pPr>
        <w:pStyle w:val="664"/>
        <w:ind w:firstLine="420"/>
        <w:spacing w:before="0" w:after="0" w:line="240" w:lineRule="auto"/>
        <w:rPr>
          <w:rFonts w:hint="eastAsia"/>
          <w:b w:val="0"/>
          <w:bCs w:val="0"/>
        </w:rPr>
      </w:pPr>
      <w:r>
        <w:rPr>
          <w:rFonts w:hint="eastAsia"/>
          <w:b w:val="0"/>
          <w:bCs w:val="0"/>
        </w:rPr>
        <w:t xml:space="preserve">6、招标文件构成</w:t>
      </w:r>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6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6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4"/>
        <w:ind w:firstLine="560"/>
        <w:spacing w:before="0" w:after="0" w:line="240" w:lineRule="auto"/>
        <w:rPr>
          <w:rFonts w:hint="eastAsia"/>
          <w:b w:val="0"/>
          <w:bCs w:val="0"/>
        </w:rPr>
      </w:pPr>
      <w:r>
        <w:rPr>
          <w:rFonts w:hint="eastAsia"/>
          <w:b w:val="0"/>
          <w:bCs w:val="0"/>
        </w:rPr>
        <w:t xml:space="preserve">7、招标文件的澄清</w:t>
      </w:r>
      <w:r>
        <w:rPr>
          <w:rFonts w:hint="eastAsia"/>
          <w:b w:val="0"/>
          <w:bCs w:val="0"/>
        </w:rPr>
      </w:r>
      <w:r/>
    </w:p>
    <w:p>
      <w:pPr>
        <w:pStyle w:val="66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rPr>
          <w:rFonts w:hint="eastAsia" w:ascii="宋体" w:hAnsi="宋体"/>
          <w:sz w:val="24"/>
          <w:szCs w:val="24"/>
        </w:rPr>
      </w:r>
      <w:r/>
    </w:p>
    <w:p>
      <w:pPr>
        <w:pStyle w:val="664"/>
        <w:ind w:firstLine="560"/>
        <w:spacing w:before="0" w:after="0" w:line="240" w:lineRule="auto"/>
        <w:rPr>
          <w:rFonts w:hint="eastAsia"/>
          <w:b w:val="0"/>
          <w:bCs w:val="0"/>
        </w:rPr>
      </w:pPr>
      <w:r>
        <w:rPr>
          <w:rFonts w:hint="eastAsia"/>
          <w:b w:val="0"/>
          <w:bCs w:val="0"/>
        </w:rPr>
        <w:t xml:space="preserve">8、招标文件的修改</w:t>
      </w:r>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rPr>
          <w:rFonts w:hint="eastAsia" w:ascii="宋体" w:hAnsi="宋体"/>
          <w:sz w:val="24"/>
        </w:rPr>
      </w:r>
      <w:r/>
    </w:p>
    <w:p>
      <w:pPr>
        <w:pStyle w:val="66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6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招标文件的修改将在苏州市政府采购网公布，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63"/>
        <w:ind w:firstLine="482"/>
        <w:spacing w:before="180" w:after="180" w:line="360" w:lineRule="auto"/>
        <w:rPr>
          <w:rFonts w:hint="eastAsia"/>
        </w:rPr>
      </w:pPr>
      <w:r/>
      <w:bookmarkStart w:id="9" w:name="_Toc162533001"/>
      <w:r>
        <w:rPr>
          <w:rFonts w:hint="eastAsia"/>
        </w:rPr>
        <w:t xml:space="preserve">三、投标文件的编制</w:t>
      </w:r>
      <w:bookmarkEnd w:id="9"/>
      <w:r>
        <w:rPr>
          <w:rFonts w:hint="eastAsia"/>
        </w:rPr>
      </w:r>
      <w:r/>
    </w:p>
    <w:p>
      <w:pPr>
        <w:pStyle w:val="664"/>
        <w:ind w:firstLine="560"/>
        <w:spacing w:before="0" w:after="0" w:line="240" w:lineRule="auto"/>
        <w:rPr>
          <w:rFonts w:hint="eastAsia"/>
          <w:bCs w:val="0"/>
        </w:rPr>
      </w:pPr>
      <w:r>
        <w:rPr>
          <w:rFonts w:hint="eastAsia"/>
          <w:b w:val="0"/>
          <w:bCs w:val="0"/>
        </w:rPr>
        <w:t xml:space="preserve">9、投标文件的语言及度量衡单位</w:t>
      </w:r>
      <w:r>
        <w:rPr>
          <w:rFonts w:hint="eastAsia"/>
          <w:bCs w:val="0"/>
        </w:rPr>
      </w:r>
      <w:r/>
    </w:p>
    <w:p>
      <w:pPr>
        <w:pStyle w:val="66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64"/>
        <w:ind w:firstLine="420"/>
        <w:spacing w:before="0" w:after="0" w:line="240" w:lineRule="auto"/>
        <w:rPr>
          <w:rFonts w:hint="eastAsia"/>
          <w:b w:val="0"/>
          <w:bCs w:val="0"/>
        </w:rPr>
      </w:pPr>
      <w:r>
        <w:rPr>
          <w:rFonts w:hint="eastAsia"/>
          <w:b w:val="0"/>
          <w:bCs w:val="0"/>
        </w:rPr>
        <w:t xml:space="preserve">10、投标文件构成</w:t>
      </w:r>
      <w:r>
        <w:rPr>
          <w:rFonts w:hint="eastAsia"/>
          <w:b w:val="0"/>
          <w:bCs w:val="0"/>
        </w:rPr>
      </w:r>
      <w:r/>
    </w:p>
    <w:p>
      <w:pPr>
        <w:pStyle w:val="660"/>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60"/>
        <w:ind w:firstLine="480"/>
        <w:spacing w:line="440" w:lineRule="exact"/>
        <w:rPr>
          <w:rFonts w:hint="eastAsia" w:ascii="宋体" w:hAnsi="宋体"/>
          <w:sz w:val="24"/>
        </w:rPr>
      </w:pPr>
      <w:r>
        <w:rPr>
          <w:rFonts w:hint="eastAsia" w:ascii="宋体" w:hAnsi="宋体"/>
          <w:sz w:val="24"/>
        </w:rPr>
        <w:t xml:space="preserve">10.2 如标书制作工具中格式和内容与“苏州市政府采购网”发布的招标文件不一致，请以“苏州市政府采购网”发布的招标文件为准。</w:t>
      </w:r>
      <w:r>
        <w:rPr>
          <w:rFonts w:hint="eastAsia" w:ascii="宋体" w:hAnsi="宋体"/>
          <w:sz w:val="24"/>
        </w:rPr>
      </w:r>
      <w:r/>
    </w:p>
    <w:p>
      <w:pPr>
        <w:pStyle w:val="664"/>
        <w:ind w:firstLine="420"/>
        <w:spacing w:before="0" w:after="0" w:line="240" w:lineRule="auto"/>
        <w:rPr>
          <w:rFonts w:hint="eastAsia"/>
          <w:b w:val="0"/>
          <w:bCs w:val="0"/>
        </w:rPr>
      </w:pPr>
      <w:r>
        <w:rPr>
          <w:rFonts w:hint="eastAsia"/>
          <w:b w:val="0"/>
          <w:bCs w:val="0"/>
        </w:rPr>
        <w:t xml:space="preserve">11、证明投标人及投标标的符合招标文件规定的文件</w:t>
      </w:r>
      <w:r>
        <w:rPr>
          <w:rFonts w:hint="eastAsia"/>
          <w:b w:val="0"/>
          <w:bCs w:val="0"/>
        </w:rPr>
      </w:r>
      <w:r/>
    </w:p>
    <w:p>
      <w:pPr>
        <w:pStyle w:val="660"/>
        <w:spacing w:line="480" w:lineRule="exact"/>
        <w:rPr>
          <w:rFonts w:hint="eastAsia"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64"/>
        <w:ind w:firstLine="420"/>
        <w:spacing w:before="0" w:after="0" w:line="240" w:lineRule="auto"/>
        <w:rPr>
          <w:rFonts w:hint="eastAsia"/>
          <w:b w:val="0"/>
          <w:bCs w:val="0"/>
        </w:rPr>
      </w:pPr>
      <w:r>
        <w:rPr>
          <w:rFonts w:hint="eastAsia"/>
          <w:b w:val="0"/>
          <w:bCs w:val="0"/>
        </w:rPr>
        <w:t xml:space="preserve">12、投标分项报价</w:t>
      </w:r>
      <w:bookmarkStart w:id="10" w:name="_Hlt26670373"/>
      <w:r/>
      <w:bookmarkEnd w:id="10"/>
      <w:r>
        <w:rPr>
          <w:rFonts w:hint="eastAsia"/>
          <w:b w:val="0"/>
          <w:bCs w:val="0"/>
        </w:rPr>
        <w:t xml:space="preserve">表</w:t>
      </w:r>
      <w:r>
        <w:rPr>
          <w:rFonts w:hint="eastAsia"/>
          <w:b w:val="0"/>
          <w:bCs w:val="0"/>
        </w:rPr>
      </w:r>
      <w:r/>
    </w:p>
    <w:p>
      <w:pPr>
        <w:pStyle w:val="66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 w:name="_Hlt26954840"/>
      <w:r/>
      <w:bookmarkEnd w:id="11"/>
      <w:r>
        <w:rPr>
          <w:rFonts w:hint="eastAsia" w:ascii="宋体" w:hAnsi="宋体"/>
          <w:sz w:val="24"/>
        </w:rPr>
        <w:t xml:space="preserve">标人应按照招标文件规定格式填报投标分项报价表</w:t>
      </w:r>
      <w:bookmarkStart w:id="12" w:name="_Hlt26670399"/>
      <w:r/>
      <w:bookmarkEnd w:id="12"/>
      <w:r>
        <w:rPr>
          <w:rFonts w:hint="eastAsia" w:ascii="宋体" w:hAnsi="宋体"/>
          <w:sz w:val="24"/>
        </w:rPr>
        <w:t xml:space="preserve">。</w:t>
      </w:r>
      <w:r>
        <w:rPr>
          <w:rFonts w:hint="eastAsia" w:ascii="宋体" w:hAnsi="宋体"/>
          <w:bCs/>
          <w:sz w:val="24"/>
        </w:rPr>
      </w:r>
      <w:r/>
    </w:p>
    <w:p>
      <w:pPr>
        <w:pStyle w:val="66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64"/>
        <w:ind w:firstLine="420"/>
        <w:spacing w:before="0" w:after="0" w:line="240" w:lineRule="auto"/>
        <w:rPr>
          <w:rFonts w:hint="eastAsia"/>
          <w:b w:val="0"/>
          <w:bCs w:val="0"/>
        </w:rPr>
      </w:pPr>
      <w:r/>
      <w:bookmarkStart w:id="13" w:name="_Hlt26670425"/>
      <w:r/>
      <w:bookmarkEnd w:id="13"/>
      <w:r/>
      <w:bookmarkStart w:id="14" w:name="_Hlt26668983"/>
      <w:r/>
      <w:bookmarkEnd w:id="14"/>
      <w:r/>
      <w:bookmarkStart w:id="15" w:name="_Hlt26670403"/>
      <w:r/>
      <w:bookmarkEnd w:id="15"/>
      <w:r/>
      <w:bookmarkStart w:id="16" w:name="_Hlt26954842"/>
      <w:r/>
      <w:bookmarkEnd w:id="16"/>
      <w:r/>
      <w:bookmarkStart w:id="17" w:name="_Hlt26954844"/>
      <w:r/>
      <w:bookmarkEnd w:id="17"/>
      <w:r>
        <w:rPr>
          <w:rFonts w:hint="eastAsia"/>
          <w:b w:val="0"/>
          <w:bCs w:val="0"/>
        </w:rPr>
        <w:t xml:space="preserve">13、技术要求响应及偏离表、商务要求响应及偏离表</w:t>
      </w:r>
      <w:r>
        <w:rPr>
          <w:rFonts w:hint="eastAsia"/>
          <w:b w:val="0"/>
          <w:bCs w:val="0"/>
        </w:rPr>
      </w:r>
      <w:r/>
    </w:p>
    <w:p>
      <w:pPr>
        <w:pStyle w:val="66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6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64"/>
        <w:ind w:firstLine="420"/>
        <w:spacing w:before="0" w:after="0" w:line="240" w:lineRule="auto"/>
        <w:rPr>
          <w:rFonts w:hint="eastAsia"/>
          <w:b w:val="0"/>
          <w:bCs w:val="0"/>
        </w:rPr>
      </w:pPr>
      <w:r>
        <w:rPr>
          <w:rFonts w:hint="eastAsia"/>
          <w:b w:val="0"/>
          <w:bCs w:val="0"/>
        </w:rPr>
        <w:t xml:space="preserve">14、投标函和开标一览表</w:t>
      </w:r>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64"/>
        <w:ind w:firstLine="420"/>
        <w:spacing w:before="0" w:after="0" w:line="240" w:lineRule="auto"/>
        <w:rPr>
          <w:rFonts w:hint="eastAsia"/>
          <w:b w:val="0"/>
          <w:bCs w:val="0"/>
        </w:rPr>
      </w:pPr>
      <w:r/>
      <w:bookmarkStart w:id="18" w:name="_Hlt26954734"/>
      <w:r/>
      <w:bookmarkEnd w:id="18"/>
      <w:r/>
      <w:bookmarkStart w:id="19" w:name="_Hlt26954850"/>
      <w:r/>
      <w:bookmarkEnd w:id="19"/>
      <w:r/>
      <w:bookmarkStart w:id="20" w:name="_Hlt26670489"/>
      <w:r/>
      <w:bookmarkEnd w:id="20"/>
      <w:r>
        <w:rPr>
          <w:rFonts w:hint="eastAsia"/>
          <w:b w:val="0"/>
          <w:bCs w:val="0"/>
        </w:rPr>
        <w:t xml:space="preserve">15、投标有效期</w:t>
      </w:r>
      <w:r>
        <w:rPr>
          <w:rFonts w:hint="eastAsia"/>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九十（</w:t>
      </w:r>
      <w:r>
        <w:rPr>
          <w:rFonts w:ascii="仿宋_GB2312" w:hAnsi="仿宋_GB2312"/>
          <w:b/>
          <w:sz w:val="24"/>
          <w:u w:val="single"/>
        </w:rPr>
        <w:t xml:space="preserve">9</w:t>
      </w:r>
      <w:r>
        <w:rPr>
          <w:rFonts w:hint="eastAsia" w:ascii="仿宋_GB2312" w:hAnsi="仿宋_GB2312"/>
          <w:b/>
          <w:sz w:val="24"/>
          <w:u w:val="single"/>
        </w:rPr>
        <w:t xml:space="preserve">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64"/>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63"/>
        <w:ind w:firstLine="482"/>
        <w:spacing w:before="180" w:after="180" w:line="360" w:lineRule="auto"/>
        <w:rPr>
          <w:rFonts w:hint="eastAsia"/>
        </w:rPr>
      </w:pPr>
      <w:r/>
      <w:bookmarkStart w:id="21" w:name="_Toc162533002"/>
      <w:r>
        <w:rPr>
          <w:rFonts w:hint="eastAsia"/>
        </w:rPr>
        <w:t xml:space="preserve">四、投标文件的递交</w:t>
      </w:r>
      <w:bookmarkEnd w:id="21"/>
      <w:r>
        <w:rPr>
          <w:rFonts w:hint="eastAsia"/>
        </w:rPr>
      </w:r>
      <w:r/>
    </w:p>
    <w:p>
      <w:pPr>
        <w:pStyle w:val="664"/>
        <w:ind w:firstLine="560"/>
        <w:spacing w:before="0" w:after="0" w:line="240" w:lineRule="auto"/>
        <w:rPr>
          <w:rFonts w:hint="eastAsia" w:ascii="黑体"/>
          <w:b w:val="0"/>
          <w:bCs w:val="0"/>
        </w:rPr>
      </w:pPr>
      <w:r>
        <w:rPr>
          <w:rFonts w:hint="eastAsia"/>
          <w:b w:val="0"/>
          <w:bCs w:val="0"/>
        </w:rPr>
        <w:t xml:space="preserve">17、</w:t>
      </w:r>
      <w:r>
        <w:rPr>
          <w:rFonts w:hint="eastAsia" w:ascii="黑体"/>
          <w:b w:val="0"/>
          <w:bCs w:val="0"/>
        </w:rPr>
        <w:t xml:space="preserve">投标文件的递交</w:t>
      </w:r>
      <w:r>
        <w:rPr>
          <w:rFonts w:hint="eastAsia" w:ascii="黑体"/>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4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rPr>
          <w:rFonts w:hint="eastAsia" w:ascii="宋体" w:hAnsi="宋体"/>
          <w:bCs/>
          <w:sz w:val="24"/>
        </w:rPr>
      </w:r>
      <w:r/>
    </w:p>
    <w:p>
      <w:pPr>
        <w:pStyle w:val="664"/>
        <w:ind w:firstLine="420"/>
        <w:rPr>
          <w:rFonts w:hint="eastAsia"/>
          <w:b w:val="0"/>
        </w:rPr>
      </w:pPr>
      <w:r>
        <w:rPr>
          <w:rFonts w:hint="eastAsia"/>
          <w:b w:val="0"/>
        </w:rPr>
        <w:t xml:space="preserve">18、投标截止时间</w:t>
      </w:r>
      <w:r>
        <w:rPr>
          <w:rFonts w:hint="eastAsia"/>
          <w:b w:val="0"/>
        </w:rPr>
      </w:r>
      <w:r/>
    </w:p>
    <w:p>
      <w:pPr>
        <w:pStyle w:val="660"/>
        <w:ind w:firstLine="480"/>
        <w:spacing w:line="500" w:lineRule="exact"/>
        <w:rPr>
          <w:rFonts w:hint="eastAsia" w:ascii="宋体" w:hAnsi="宋体"/>
          <w:bCs/>
          <w:i/>
          <w:sz w:val="24"/>
          <w:u w:val="single"/>
        </w:rPr>
      </w:pPr>
      <w:r>
        <w:rPr>
          <w:rFonts w:hint="eastAsia" w:ascii="宋体" w:hAnsi="宋体"/>
          <w:bCs/>
          <w:iCs/>
          <w:sz w:val="24"/>
        </w:rPr>
        <w:t xml:space="preserve">★</w:t>
      </w:r>
      <w:r>
        <w:rPr>
          <w:rFonts w:hint="eastAsia" w:ascii="宋体" w:hAnsi="宋体"/>
          <w:b/>
          <w:bCs/>
          <w:iCs/>
          <w:sz w:val="24"/>
        </w:rPr>
        <w:t xml:space="preserve">18.1 投标人上传电子投标文件的时间不得迟于招标公告中规定的投标截止时间。</w:t>
      </w:r>
      <w:r>
        <w:rPr>
          <w:rFonts w:hint="eastAsia" w:ascii="宋体" w:hAnsi="宋体"/>
          <w:bCs/>
          <w:i/>
          <w:sz w:val="24"/>
          <w:u w:val="single"/>
        </w:rPr>
      </w:r>
      <w:r/>
    </w:p>
    <w:p>
      <w:pPr>
        <w:pStyle w:val="66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66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64"/>
        <w:ind w:firstLine="420"/>
        <w:spacing w:before="0" w:after="0" w:line="240" w:lineRule="auto"/>
        <w:rPr>
          <w:rFonts w:hint="eastAsia"/>
          <w:b w:val="0"/>
          <w:bCs w:val="0"/>
        </w:rPr>
      </w:pPr>
      <w:r>
        <w:rPr>
          <w:rFonts w:hint="eastAsia"/>
          <w:b w:val="0"/>
          <w:bCs w:val="0"/>
        </w:rPr>
        <w:t xml:space="preserve">19、投标文件的拒收</w:t>
      </w:r>
      <w:r>
        <w:rPr>
          <w:rFonts w:hint="eastAsia"/>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64"/>
        <w:ind w:firstLine="420"/>
        <w:spacing w:before="0" w:after="0" w:line="240" w:lineRule="auto"/>
        <w:rPr>
          <w:rFonts w:hint="eastAsia"/>
          <w:b w:val="0"/>
          <w:bCs w:val="0"/>
        </w:rPr>
      </w:pPr>
      <w:r>
        <w:rPr>
          <w:rFonts w:hint="eastAsia"/>
          <w:b w:val="0"/>
          <w:bCs w:val="0"/>
        </w:rPr>
        <w:t xml:space="preserve">20、投标文件的撤回和修改</w:t>
      </w:r>
      <w:r>
        <w:rPr>
          <w:rFonts w:hint="eastAsia"/>
          <w:b w:val="0"/>
          <w:bCs w:val="0"/>
        </w:rPr>
      </w:r>
      <w:r/>
    </w:p>
    <w:p>
      <w:pPr>
        <w:pStyle w:val="660"/>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60"/>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66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6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6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6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63"/>
        <w:ind w:firstLine="482"/>
        <w:spacing w:before="180" w:after="180" w:line="360" w:lineRule="auto"/>
        <w:rPr>
          <w:rFonts w:hint="eastAsia"/>
        </w:rPr>
      </w:pPr>
      <w:r/>
      <w:bookmarkStart w:id="22" w:name="_Toc162533003"/>
      <w:r>
        <w:rPr>
          <w:rFonts w:hint="eastAsia"/>
        </w:rPr>
        <w:t xml:space="preserve">五、开标与评标</w:t>
      </w:r>
      <w:bookmarkEnd w:id="22"/>
      <w:r>
        <w:rPr>
          <w:rFonts w:hint="eastAsia"/>
        </w:rPr>
      </w:r>
      <w:r/>
    </w:p>
    <w:p>
      <w:pPr>
        <w:pStyle w:val="664"/>
        <w:ind w:firstLine="420"/>
        <w:spacing w:before="0" w:after="0" w:line="240" w:lineRule="auto"/>
        <w:rPr>
          <w:rFonts w:hint="eastAsia"/>
          <w:b w:val="0"/>
          <w:bCs w:val="0"/>
        </w:rPr>
      </w:pPr>
      <w:r>
        <w:rPr>
          <w:rFonts w:hint="eastAsia"/>
          <w:b w:val="0"/>
          <w:bCs w:val="0"/>
        </w:rPr>
        <w:t xml:space="preserve">21、开标</w:t>
      </w:r>
      <w:r>
        <w:rPr>
          <w:rFonts w:hint="eastAsia"/>
          <w:b w:val="0"/>
          <w:bCs w:val="0"/>
        </w:rPr>
      </w:r>
      <w:r/>
    </w:p>
    <w:p>
      <w:pPr>
        <w:pStyle w:val="660"/>
        <w:ind w:firstLine="360"/>
        <w:rPr>
          <w:rFonts w:hint="eastAsia"/>
        </w:rPr>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6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6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6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664"/>
        <w:ind w:firstLine="420"/>
        <w:spacing w:before="0" w:after="0" w:line="240" w:lineRule="auto"/>
        <w:rPr>
          <w:rFonts w:hint="eastAsia"/>
          <w:b w:val="0"/>
          <w:bCs w:val="0"/>
        </w:rPr>
      </w:pPr>
      <w:r>
        <w:rPr>
          <w:rFonts w:hint="eastAsia"/>
          <w:b w:val="0"/>
          <w:bCs w:val="0"/>
        </w:rPr>
        <w:t xml:space="preserve">22、评标委员会</w:t>
      </w:r>
      <w:r>
        <w:rPr>
          <w:rFonts w:hint="eastAsia"/>
          <w:b w:val="0"/>
          <w:bCs w:val="0"/>
        </w:rPr>
      </w:r>
      <w:r/>
    </w:p>
    <w:p>
      <w:pPr>
        <w:pStyle w:val="66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rPr>
          <w:rFonts w:hint="eastAsia" w:ascii="宋体" w:hAnsi="宋体"/>
          <w:b/>
          <w:sz w:val="24"/>
          <w:szCs w:val="24"/>
        </w:rPr>
      </w:r>
      <w:r/>
    </w:p>
    <w:p>
      <w:pPr>
        <w:pStyle w:val="66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6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664"/>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6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rPr>
          <w:rFonts w:hint="eastAsia"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664"/>
        <w:ind w:firstLine="420"/>
        <w:spacing w:before="0" w:after="0" w:line="240" w:lineRule="auto"/>
        <w:rPr>
          <w:rFonts w:hint="eastAsia"/>
          <w:b w:val="0"/>
          <w:bCs w:val="0"/>
        </w:rPr>
      </w:pPr>
      <w:r>
        <w:rPr>
          <w:rFonts w:hint="eastAsia"/>
          <w:b w:val="0"/>
          <w:bCs w:val="0"/>
        </w:rPr>
        <w:t xml:space="preserve">24、投标文件的澄清</w:t>
      </w:r>
      <w:r>
        <w:rPr>
          <w:rFonts w:hint="eastAsia"/>
          <w:b w:val="0"/>
          <w:bCs w:val="0"/>
        </w:rPr>
      </w:r>
      <w:r/>
    </w:p>
    <w:p>
      <w:pPr>
        <w:pStyle w:val="66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66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664"/>
        <w:ind w:firstLine="420"/>
        <w:spacing w:before="0" w:after="0" w:line="240" w:lineRule="auto"/>
        <w:rPr>
          <w:rFonts w:hint="eastAsia"/>
          <w:b w:val="0"/>
          <w:bCs w:val="0"/>
        </w:rPr>
      </w:pPr>
      <w:r>
        <w:rPr>
          <w:rFonts w:hint="eastAsia"/>
          <w:b w:val="0"/>
          <w:bCs w:val="0"/>
        </w:rPr>
        <w:t xml:space="preserve">25、对投标文件的初审</w:t>
      </w:r>
      <w:r>
        <w:rPr>
          <w:rFonts w:hint="eastAsia"/>
          <w:b w:val="0"/>
          <w:bCs w:val="0"/>
        </w:rPr>
      </w:r>
      <w:r/>
    </w:p>
    <w:p>
      <w:pPr>
        <w:pStyle w:val="66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6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6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6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6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6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6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6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6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60"/>
        <w:ind w:firstLine="420"/>
        <w:spacing w:line="460" w:lineRule="exact"/>
        <w:rPr>
          <w:rFonts w:hint="eastAsia" w:ascii="宋体" w:hAnsi="宋体"/>
          <w:sz w:val="24"/>
        </w:rPr>
      </w:pPr>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rPr>
          <w:rFonts w:hint="eastAsia" w:ascii="宋体" w:hAnsi="宋体"/>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25.7政府采购评审中出现下列情形之一的，评审委员会应当启动异常低价投标审查程序：</w:t>
      </w:r>
      <w:r>
        <w:rPr>
          <w:rFonts w:hint="eastAsia" w:ascii="宋体" w:hAnsi="宋体"/>
          <w:b/>
          <w:bCs/>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
          <w:bCs/>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
          <w:bCs/>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（3）投标（响应）报价低于采购项目最高限价45%的，即投标（响应）报价&lt;采购项目最高限价×45%； </w:t>
      </w:r>
      <w:r>
        <w:rPr>
          <w:rFonts w:hint="eastAsia" w:ascii="宋体" w:hAnsi="宋体"/>
          <w:b/>
          <w:bCs/>
          <w:sz w:val="24"/>
        </w:rPr>
      </w:r>
      <w:r/>
    </w:p>
    <w:p>
      <w:pPr>
        <w:pStyle w:val="660"/>
        <w:ind w:firstLine="420"/>
        <w:spacing w:line="460" w:lineRule="exact"/>
        <w:rPr>
          <w:rFonts w:hint="eastAsia" w:ascii="宋体" w:hAnsi="宋体"/>
          <w:b/>
          <w:bCs/>
          <w:sz w:val="24"/>
          <w:lang w:val="en-US" w:eastAsia="zh-CN"/>
        </w:rPr>
      </w:pPr>
      <w:r>
        <w:rPr>
          <w:rFonts w:hint="eastAsia" w:ascii="宋体" w:hAnsi="宋体"/>
          <w:b/>
          <w:bCs/>
          <w:sz w:val="24"/>
          <w:lang w:val="en-US" w:eastAsia="zh-CN"/>
        </w:rPr>
        <w:t xml:space="preserve">（</w:t>
      </w:r>
      <w:r>
        <w:rPr>
          <w:rFonts w:hint="eastAsia" w:ascii="宋体" w:hAnsi="宋体"/>
          <w:b/>
          <w:bCs/>
          <w:sz w:val="24"/>
          <w:lang w:val="en-US" w:eastAsia="zh-CN"/>
        </w:rPr>
        <w:t xml:space="preserve">4</w:t>
      </w:r>
      <w:r>
        <w:rPr>
          <w:rFonts w:hint="eastAsia" w:ascii="宋体" w:hAnsi="宋体"/>
          <w:b/>
          <w:bCs/>
          <w:sz w:val="24"/>
          <w:lang w:val="en-US" w:eastAsia="zh-CN"/>
        </w:rPr>
        <w:t xml:space="preserve">）评审委员会基于专业判断，认为供应商报价过低，有可能影响产品质量或者不能诚信履约的其他情形。 </w:t>
      </w:r>
      <w:r>
        <w:rPr>
          <w:rFonts w:hint="eastAsia" w:ascii="宋体" w:hAnsi="宋体"/>
          <w:b/>
          <w:bCs/>
          <w:sz w:val="24"/>
          <w:lang w:val="en-US" w:eastAsia="zh-CN"/>
        </w:rPr>
      </w:r>
      <w:r/>
    </w:p>
    <w:p>
      <w:pPr>
        <w:pStyle w:val="660"/>
        <w:ind w:firstLine="420"/>
        <w:spacing w:line="460" w:lineRule="exact"/>
        <w:rPr>
          <w:rFonts w:ascii="宋体" w:hAnsi="宋体" w:eastAsia="宋体"/>
          <w:b/>
          <w:bCs/>
          <w:sz w:val="24"/>
          <w:lang w:val="en-US" w:eastAsia="zh-CN"/>
        </w:rPr>
      </w:pPr>
      <w:r>
        <w:rPr>
          <w:rFonts w:hint="eastAsia" w:ascii="宋体" w:hAnsi="宋体"/>
          <w:b/>
          <w:bCs/>
          <w:sz w:val="24"/>
          <w:lang w:val="en-US" w:eastAsia="zh-CN"/>
        </w:rPr>
        <w:t xml:space="preserve">相关法律法规对供应商报价有规定的，从其规定。</w:t>
      </w:r>
      <w:r>
        <w:rPr>
          <w:rFonts w:ascii="宋体" w:hAnsi="宋体" w:eastAsia="宋体"/>
          <w:b/>
          <w:bCs/>
          <w:sz w:val="24"/>
          <w:lang w:val="en-US" w:eastAsia="zh-CN"/>
        </w:rPr>
      </w:r>
      <w:r/>
    </w:p>
    <w:p>
      <w:pPr>
        <w:pStyle w:val="660"/>
        <w:ind w:firstLine="420"/>
        <w:spacing w:line="460" w:lineRule="exact"/>
        <w:rPr>
          <w:rFonts w:hint="eastAsia" w:ascii="宋体" w:hAnsi="宋体"/>
          <w:b/>
          <w:bCs/>
          <w:sz w:val="24"/>
        </w:rPr>
      </w:pPr>
      <w:r>
        <w:rPr>
          <w:rFonts w:hint="eastAsia" w:ascii="宋体" w:hAnsi="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b/>
          <w:bCs/>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b/>
          <w:bCs/>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b/>
          <w:bCs/>
          <w:sz w:val="24"/>
        </w:rPr>
      </w:r>
      <w:r/>
    </w:p>
    <w:p>
      <w:pPr>
        <w:pStyle w:val="660"/>
        <w:ind w:firstLine="420"/>
        <w:spacing w:line="460" w:lineRule="exact"/>
        <w:rPr>
          <w:rFonts w:hint="eastAsia" w:ascii="宋体" w:hAnsi="宋体"/>
          <w:b/>
          <w:bCs/>
          <w:sz w:val="24"/>
        </w:rPr>
      </w:pPr>
      <w:r>
        <w:rPr>
          <w:rFonts w:hint="eastAsia" w:ascii="宋体" w:hAnsi="宋体"/>
          <w:b/>
          <w:bCs/>
          <w:sz w:val="24"/>
        </w:rPr>
        <w:t xml:space="preserve">25.8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hint="eastAsia" w:ascii="宋体" w:hAnsi="宋体"/>
          <w:b/>
          <w:bCs/>
          <w:sz w:val="24"/>
        </w:rPr>
      </w:r>
      <w:r/>
    </w:p>
    <w:p>
      <w:pPr>
        <w:pStyle w:val="664"/>
        <w:ind w:firstLine="420"/>
        <w:spacing w:before="0" w:after="0" w:line="240" w:lineRule="auto"/>
        <w:rPr>
          <w:rFonts w:hint="eastAsia"/>
          <w:b w:val="0"/>
          <w:bCs w:val="0"/>
        </w:rPr>
      </w:pPr>
      <w:r>
        <w:rPr>
          <w:rFonts w:hint="eastAsia"/>
          <w:b w:val="0"/>
          <w:bCs w:val="0"/>
        </w:rPr>
        <w:t xml:space="preserve">26、无效投标条款和废标条款</w:t>
      </w:r>
      <w:r>
        <w:rPr>
          <w:rFonts w:hint="eastAsia"/>
          <w:b w:val="0"/>
          <w:bCs w:val="0"/>
        </w:rPr>
      </w:r>
      <w:r/>
    </w:p>
    <w:p>
      <w:pPr>
        <w:pStyle w:val="660"/>
        <w:ind w:left="479"/>
        <w:spacing w:line="440" w:lineRule="exact"/>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66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6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6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60"/>
        <w:ind w:firstLine="360"/>
        <w:spacing w:line="440" w:lineRule="exact"/>
        <w:rPr>
          <w:rFonts w:hint="eastAsia" w:ascii="宋体" w:hAnsi="宋体"/>
          <w:bCs/>
          <w:iCs/>
          <w:sz w:val="24"/>
        </w:rPr>
      </w:pPr>
      <w:r>
        <w:rPr>
          <w:rFonts w:hint="eastAsia" w:ascii="宋体" w:hAnsi="宋体"/>
          <w:bCs/>
          <w:sz w:val="24"/>
        </w:rPr>
        <w:t xml:space="preserve"> 26.1.7不符合招标文件中规定的实质性要求和条件的（</w:t>
      </w:r>
      <w:r>
        <w:rPr>
          <w:rFonts w:hint="eastAsia" w:ascii="宋体" w:hAnsi="宋体"/>
          <w:bCs/>
          <w:iCs/>
          <w:sz w:val="24"/>
        </w:rPr>
        <w:t xml:space="preserve">本招标文件中打“★”为实质性要求和条件）。</w:t>
      </w:r>
      <w:r>
        <w:rPr>
          <w:rFonts w:hint="eastAsia" w:ascii="宋体" w:hAnsi="宋体"/>
          <w:bCs/>
          <w:i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26.1.13单位负责人为同一人或者存在直接控股、管理关系的不同供应商，不得参加同一合同项下的政府采购活动。</w:t>
      </w:r>
      <w:r>
        <w:rPr>
          <w:rFonts w:hint="eastAsia" w:ascii="宋体" w:hAnsi="宋体"/>
          <w:bCs/>
          <w:sz w:val="24"/>
        </w:rPr>
      </w:r>
      <w:r/>
    </w:p>
    <w:p>
      <w:pPr>
        <w:pStyle w:val="660"/>
        <w:ind w:firstLine="482"/>
        <w:spacing w:line="440" w:lineRule="exact"/>
        <w:rPr>
          <w:rFonts w:hint="eastAsia" w:ascii="宋体" w:hAnsi="宋体"/>
          <w:b/>
          <w:sz w:val="24"/>
        </w:rPr>
      </w:pPr>
      <w:r>
        <w:rPr>
          <w:rFonts w:hint="eastAsia" w:ascii="宋体" w:hAnsi="宋体"/>
          <w:b/>
          <w:sz w:val="24"/>
        </w:rPr>
        <w:t xml:space="preserve">26.1.14不同投标人的投标《响应》文件制作机器码一致。</w:t>
      </w:r>
      <w:r>
        <w:rPr>
          <w:rFonts w:hint="eastAsia" w:ascii="宋体" w:hAnsi="宋体"/>
          <w:b/>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26.1.15 投标人所投标产品不符合招标文件中所列国家强制性标准的。</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26.1.16其他法律、法规及本招标文件规定的属无效投标的情形。</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6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63"/>
        <w:ind w:firstLine="482"/>
        <w:spacing w:before="180" w:after="180" w:line="360" w:lineRule="auto"/>
        <w:rPr>
          <w:rFonts w:hint="eastAsia"/>
        </w:rPr>
      </w:pPr>
      <w:r/>
      <w:bookmarkStart w:id="23" w:name="_Toc162533004"/>
      <w:r>
        <w:rPr>
          <w:rFonts w:hint="eastAsia"/>
        </w:rPr>
        <w:t xml:space="preserve">六、定标</w:t>
      </w:r>
      <w:bookmarkEnd w:id="23"/>
      <w:r>
        <w:rPr>
          <w:rFonts w:hint="eastAsia"/>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27、确定中标单位</w:t>
      </w:r>
      <w:r>
        <w:rPr>
          <w:rFonts w:hint="eastAsia" w:ascii="黑体" w:hAnsi="宋体" w:cs="Times New Roman"/>
          <w:b w:val="0"/>
          <w:sz w:val="30"/>
          <w:szCs w:val="30"/>
        </w:rPr>
      </w:r>
      <w:r/>
    </w:p>
    <w:p>
      <w:pPr>
        <w:pStyle w:val="66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66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交易中心将在“苏州市政府采购网”发布中标公告，公告期限为1个工作日。</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r>
        <w:rPr>
          <w:rFonts w:hint="eastAsia" w:ascii="黑体" w:hAnsi="宋体" w:cs="Times New Roman"/>
          <w:b w:val="0"/>
          <w:sz w:val="30"/>
          <w:szCs w:val="30"/>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sz w:val="24"/>
          <w:szCs w:val="24"/>
        </w:rPr>
      </w:r>
      <w:r/>
    </w:p>
    <w:p>
      <w:pPr>
        <w:pStyle w:val="66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6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6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6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6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、质疑请向交易中心提出，由交易中心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交易中心质疑联系人：质疑处理专岗工作人员 </w:t>
      </w:r>
      <w:r>
        <w:rPr>
          <w:rFonts w:ascii="宋体" w:hAnsi="宋体"/>
          <w:sz w:val="24"/>
          <w:szCs w:val="24"/>
        </w:rPr>
        <w:t xml:space="preserve"> </w:t>
      </w:r>
      <w:r>
        <w:rPr>
          <w:rFonts w:hint="eastAsia" w:ascii="宋体" w:hAnsi="宋体"/>
          <w:sz w:val="24"/>
          <w:szCs w:val="24"/>
        </w:rPr>
        <w:t xml:space="preserve">联系地址：苏州市吴江区开平路998号 苏州市公共资源交易中心吴江分中心，联系电话：</w:t>
      </w:r>
      <w:r>
        <w:rPr>
          <w:rFonts w:ascii="宋体" w:hAnsi="宋体"/>
          <w:sz w:val="24"/>
          <w:szCs w:val="24"/>
        </w:rPr>
        <w:t xml:space="preserve">0512-609058</w:t>
      </w:r>
      <w:r>
        <w:rPr>
          <w:rFonts w:hint="eastAsia" w:ascii="宋体" w:hAnsi="宋体"/>
          <w:sz w:val="24"/>
          <w:szCs w:val="24"/>
        </w:rPr>
        <w:t xml:space="preserve">61。</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6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63"/>
        <w:spacing w:before="180" w:after="180" w:line="360" w:lineRule="auto"/>
        <w:rPr>
          <w:rFonts w:hint="eastAsia"/>
        </w:rPr>
      </w:pPr>
      <w:r/>
      <w:bookmarkStart w:id="24" w:name="_Toc162533005"/>
      <w:r>
        <w:rPr>
          <w:rFonts w:hint="eastAsia"/>
        </w:rPr>
        <w:t xml:space="preserve">七、授予合同</w:t>
      </w:r>
      <w:bookmarkEnd w:id="24"/>
      <w:r>
        <w:rPr>
          <w:rFonts w:hint="eastAsia"/>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6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bCs/>
          <w:iCs/>
          <w:sz w:val="24"/>
        </w:rPr>
        <w:t xml:space="preserve">★</w:t>
      </w:r>
      <w:r>
        <w:rPr>
          <w:rFonts w:hint="eastAsia" w:ascii="宋体" w:hAnsi="宋体"/>
          <w:b/>
          <w:bCs/>
          <w:iCs/>
          <w:sz w:val="24"/>
          <w:szCs w:val="24"/>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6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674"/>
      </w:pPr>
      <w:r>
        <w:rPr>
          <w:rFonts w:hint="eastAsia" w:ascii="宋体" w:hAnsi="宋体"/>
          <w:bCs/>
          <w:sz w:val="24"/>
        </w:rPr>
        <w:t xml:space="preserve">中标人可凭政府采购合同办理融资贷款，详情请见江苏政府采购网“政采贷”专栏。</w:t>
      </w:r>
      <w:r/>
    </w:p>
    <w:p>
      <w:pPr>
        <w:pStyle w:val="660"/>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0"/>
      <w:r/>
      <w:bookmarkEnd w:id="1"/>
      <w:r/>
      <w:bookmarkEnd w:id="2"/>
      <w:r/>
      <w:bookmarkEnd w:id="3"/>
      <w:r/>
      <w:bookmarkEnd w:id="4"/>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660"/>
        <w:ind w:firstLine="480"/>
        <w:spacing w:line="500" w:lineRule="exact"/>
        <w:rPr>
          <w:rFonts w:hint="eastAsia" w:ascii="宋体" w:hAnsi="宋体"/>
          <w:bCs/>
          <w:color w:val="000000"/>
          <w:sz w:val="24"/>
          <w:szCs w:val="21"/>
        </w:rPr>
      </w:pPr>
      <w:r/>
      <w:bookmarkStart w:id="25" w:name="_Toc16938559"/>
      <w:r/>
      <w:bookmarkStart w:id="26" w:name="_Toc513029243"/>
      <w:r/>
      <w:bookmarkStart w:id="27" w:name="_Toc20823315"/>
      <w:r/>
      <w:bookmarkStart w:id="28" w:name="_Toc479757211"/>
      <w:r/>
      <w:bookmarkStart w:id="29" w:name="_Toc462564139"/>
      <w:r/>
      <w:bookmarkStart w:id="30" w:name="_Hlt16619350"/>
      <w:r/>
      <w:bookmarkStart w:id="31" w:name="_Toc16938590"/>
      <w:r/>
      <w:bookmarkStart w:id="32" w:name="_Toc20823346"/>
      <w:r/>
      <w:bookmarkStart w:id="33" w:name="_Toc120614244"/>
      <w:r>
        <w:rPr>
          <w:rFonts w:hint="eastAsia" w:ascii="宋体" w:hAnsi="宋体"/>
          <w:bCs/>
          <w:color w:val="000000"/>
          <w:sz w:val="24"/>
          <w:szCs w:val="21"/>
        </w:rPr>
        <w:t xml:space="preserve">以下为中标后签定本项目合同的通用条款，中标人不得提出实质性的修改。</w:t>
      </w:r>
      <w:r>
        <w:rPr>
          <w:rFonts w:hint="eastAsia" w:ascii="宋体" w:hAnsi="宋体"/>
          <w:bCs/>
          <w:color w:val="000000"/>
          <w:sz w:val="24"/>
          <w:szCs w:val="21"/>
        </w:rPr>
      </w:r>
      <w:r/>
    </w:p>
    <w:p>
      <w:pPr>
        <w:pStyle w:val="660"/>
        <w:jc w:val="center"/>
        <w:spacing w:before="180" w:after="180"/>
        <w:rPr>
          <w:rFonts w:ascii="宋体" w:hAnsi="宋体"/>
          <w:b/>
          <w:bCs/>
          <w:color w:val="000000"/>
          <w:sz w:val="30"/>
          <w:szCs w:val="20"/>
        </w:rPr>
        <w:outlineLvl w:val="0"/>
      </w:pPr>
      <w:r/>
      <w:bookmarkStart w:id="34" w:name="OLE_LINK1"/>
      <w:r>
        <w:rPr>
          <w:rFonts w:hint="eastAsia" w:ascii="宋体" w:hAnsi="宋体"/>
          <w:b/>
          <w:color w:val="000000"/>
          <w:sz w:val="30"/>
          <w:szCs w:val="21"/>
        </w:rPr>
        <w:t xml:space="preserve">江苏省政府采购合同（货物）（合同编号）</w:t>
      </w:r>
      <w:r>
        <w:rPr>
          <w:rFonts w:ascii="宋体" w:hAnsi="宋体"/>
          <w:b/>
          <w:bCs/>
          <w:color w:val="000000"/>
          <w:sz w:val="30"/>
          <w:szCs w:val="20"/>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cs="Courier New"/>
          <w:color w:val="000000"/>
          <w:sz w:val="24"/>
          <w:szCs w:val="24"/>
          <w:u w:val="single"/>
        </w:rPr>
        <w:t xml:space="preserve">江苏省苏州丝绸中等专业学校</w:t>
      </w:r>
      <w:r>
        <w:rPr>
          <w:rFonts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ascii="宋体" w:hAnsi="宋体" w:cs="Courier New"/>
          <w:color w:val="000000"/>
          <w:sz w:val="24"/>
          <w:szCs w:val="24"/>
        </w:rPr>
        <w:t xml:space="preserve">乙方：（卖方）_________</w:t>
      </w:r>
      <w:r>
        <w:rPr>
          <w:rFonts w:hint="eastAsia"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苏州市公共资源交易中心吴江分中心</w:t>
      </w:r>
      <w:r>
        <w:rPr>
          <w:rFonts w:hint="eastAsia" w:ascii="宋体" w:hAnsi="宋体" w:cs="Courier New"/>
          <w:color w:val="000000"/>
          <w:sz w:val="24"/>
          <w:szCs w:val="24"/>
          <w:u w:val="single"/>
        </w:rPr>
        <w:t xml:space="preserve"> </w:t>
      </w:r>
      <w:r>
        <w:rPr>
          <w:rFonts w:hint="eastAsia" w:ascii="宋体" w:hAnsi="宋体"/>
          <w:color w:val="000000"/>
          <w:sz w:val="24"/>
          <w:szCs w:val="24"/>
          <w:u w:val="single"/>
        </w:rPr>
        <w:t xml:space="preserve">异地新建家具采购</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color w:val="000000"/>
          <w:sz w:val="24"/>
          <w:szCs w:val="24"/>
          <w:u w:val="single"/>
        </w:rPr>
        <w:t xml:space="preserve">江苏省苏州丝绸中等专业学校异地新建家具采购</w:t>
      </w:r>
      <w:r>
        <w:rPr>
          <w:rFonts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u w:val="single"/>
        </w:rPr>
        <w:t xml:space="preserve">合格</w:t>
      </w:r>
      <w:r>
        <w:rPr>
          <w:rFonts w:hint="eastAsia"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u w:val="single"/>
        </w:rPr>
        <w:t xml:space="preserve">以清单为准</w:t>
      </w:r>
      <w:r>
        <w:rPr>
          <w:rFonts w:hint="eastAsia"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1.4 履行时间（期限）：合同签订后60日内交货并完成全部货物安装调试工作</w:t>
      </w:r>
      <w:r>
        <w:rPr>
          <w:rFonts w:hint="eastAsia" w:ascii="宋体" w:hAnsi="宋体" w:cs="Courier New"/>
          <w:color w:val="000000"/>
          <w:sz w:val="24"/>
          <w:szCs w:val="24"/>
        </w:rPr>
      </w:r>
      <w:r/>
    </w:p>
    <w:p>
      <w:pPr>
        <w:pStyle w:val="660"/>
        <w:spacing w:before="120" w:after="120"/>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hint="eastAsia" w:ascii="宋体" w:hAnsi="宋体" w:cs="Courier New"/>
          <w:color w:val="000000"/>
          <w:sz w:val="24"/>
          <w:szCs w:val="24"/>
          <w:u w:val="single"/>
        </w:rPr>
        <w:t xml:space="preserve">江苏省苏州丝绸中等专业学校</w:t>
      </w:r>
      <w:r>
        <w:rPr>
          <w:rFonts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宋体"/>
          <w:color w:val="000000"/>
          <w:sz w:val="24"/>
          <w:szCs w:val="24"/>
          <w:u w:val="single"/>
        </w:rPr>
        <w:t xml:space="preserve">按甲方要求</w:t>
      </w:r>
      <w:r>
        <w:rPr>
          <w:rFonts w:hint="eastAsia" w:ascii="宋体" w:hAnsi="宋体" w:cs="Courier New"/>
          <w:color w:val="000000"/>
          <w:sz w:val="24"/>
          <w:szCs w:val="24"/>
        </w:rPr>
      </w:r>
      <w:r/>
    </w:p>
    <w:p>
      <w:pPr>
        <w:pStyle w:val="660"/>
        <w:spacing w:before="120" w:after="120"/>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hint="eastAsia" w:ascii="宋体" w:hAnsi="宋体" w:cs="Courier New"/>
          <w:color w:val="000000"/>
          <w:sz w:val="24"/>
          <w:szCs w:val="24"/>
          <w:u w:val="single"/>
        </w:rPr>
        <w:t xml:space="preserve">全新完整</w:t>
      </w:r>
      <w:r>
        <w:rPr>
          <w:rFonts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660"/>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2.1 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660"/>
        <w:ind w:left="410" w:hanging="410"/>
        <w:spacing w:before="120" w:after="120"/>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660"/>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660"/>
        <w:ind w:left="412" w:hanging="412"/>
        <w:spacing w:before="120" w:after="120"/>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660"/>
        <w:spacing w:line="0" w:lineRule="atLeast"/>
        <w:rPr>
          <w:rFonts w:hint="eastAsia" w:ascii="宋体" w:hAnsi="宋体"/>
          <w:color w:val="000000"/>
          <w:sz w:val="24"/>
          <w:szCs w:val="21"/>
        </w:rPr>
      </w:pPr>
      <w:r>
        <w:rPr>
          <w:rFonts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rPr>
          <w:rFonts w:hint="eastAsia" w:ascii="宋体" w:hAnsi="宋体"/>
          <w:color w:val="000000"/>
          <w:sz w:val="24"/>
          <w:szCs w:val="21"/>
        </w:rPr>
      </w:r>
      <w:r/>
    </w:p>
    <w:p>
      <w:pPr>
        <w:pStyle w:val="660"/>
        <w:spacing w:before="120" w:after="120"/>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660"/>
        <w:ind w:left="408" w:hanging="408"/>
        <w:spacing w:before="120" w:after="120"/>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660"/>
        <w:ind w:left="410" w:hanging="410"/>
        <w:spacing w:before="120" w:after="120"/>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660"/>
        <w:spacing w:before="180" w:after="1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6.1</w:t>
      </w:r>
      <w:r>
        <w:rPr>
          <w:rFonts w:hint="eastAsia" w:ascii="宋体" w:hAnsi="宋体" w:eastAsia="宋体" w:cs="Times New Roman"/>
          <w:color w:val="000000"/>
          <w:sz w:val="24"/>
          <w:szCs w:val="24"/>
        </w:rPr>
        <w:t xml:space="preserve">乙方交纳中标金额10%作为本合同的履约保证金。履约担保的金额为中标金额的10%，形式为银行履约保函或保证金（无息）或履约保证保险凭证或融资担保公司提供的担保保函。</w:t>
      </w:r>
      <w:r>
        <w:rPr>
          <w:rFonts w:hint="eastAsia" w:ascii="宋体" w:hAnsi="宋体" w:eastAsia="宋体" w:cs="Times New Roman"/>
          <w:color w:val="000000"/>
          <w:sz w:val="24"/>
          <w:szCs w:val="24"/>
        </w:rPr>
      </w:r>
      <w:r/>
    </w:p>
    <w:p>
      <w:pPr>
        <w:pStyle w:val="660"/>
        <w:spacing w:before="180" w:after="1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乙方需在合同签订后10天内向甲方提供履约保证金，如逾期提供履约保证金的，逾期每天支付合同金额的万分之0.5的违约金，甲方有权从未付款中直接扣除，最高不超过20万元，甲方保留取消其中标资格的权利。如因甲方原因造成的逾期，不予支付违约金。</w:t>
      </w:r>
      <w:r>
        <w:rPr>
          <w:rFonts w:hint="eastAsia" w:ascii="宋体" w:hAnsi="宋体" w:eastAsia="宋体" w:cs="Times New Roman"/>
          <w:color w:val="000000"/>
          <w:sz w:val="24"/>
          <w:szCs w:val="24"/>
        </w:rPr>
      </w:r>
      <w:r/>
    </w:p>
    <w:p>
      <w:pPr>
        <w:pStyle w:val="660"/>
        <w:spacing w:before="180" w:after="1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6.2合同履行结束后，甲方应及时退还交纳的履约保证金。</w:t>
      </w:r>
      <w:r>
        <w:rPr>
          <w:rFonts w:hint="eastAsia" w:ascii="宋体" w:hAnsi="宋体" w:eastAsia="宋体" w:cs="Times New Roman"/>
          <w:color w:val="000000"/>
          <w:sz w:val="24"/>
          <w:szCs w:val="24"/>
        </w:rPr>
      </w:r>
      <w:r/>
    </w:p>
    <w:p>
      <w:pPr>
        <w:pStyle w:val="660"/>
        <w:spacing w:before="180" w:after="1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6.2.1履约保证金退还方式：甲方应及时退还交纳的履约保证金。</w:t>
      </w:r>
      <w:r>
        <w:rPr>
          <w:rFonts w:hint="eastAsia" w:ascii="宋体" w:hAnsi="宋体" w:eastAsia="宋体" w:cs="Times New Roman"/>
          <w:color w:val="000000"/>
          <w:sz w:val="24"/>
          <w:szCs w:val="24"/>
        </w:rPr>
      </w:r>
      <w:r/>
    </w:p>
    <w:p>
      <w:pPr>
        <w:pStyle w:val="660"/>
        <w:spacing w:before="180" w:after="1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6.2.2履约保证金退还时间：原路退回。</w:t>
      </w:r>
      <w:r>
        <w:rPr>
          <w:rFonts w:hint="eastAsia" w:ascii="宋体" w:hAnsi="宋体" w:eastAsia="宋体" w:cs="Times New Roman"/>
          <w:color w:val="000000"/>
          <w:sz w:val="24"/>
          <w:szCs w:val="24"/>
        </w:rPr>
      </w:r>
      <w:r/>
    </w:p>
    <w:p>
      <w:pPr>
        <w:pStyle w:val="660"/>
        <w:spacing w:before="180" w:after="1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6.2.3履约保证金退还条件：竣工验收合格并经甲方确认后无息返还。</w:t>
      </w:r>
      <w:r>
        <w:rPr>
          <w:rFonts w:hint="eastAsia" w:ascii="宋体" w:hAnsi="宋体" w:eastAsia="宋体" w:cs="Times New Roman"/>
          <w:color w:val="000000"/>
          <w:sz w:val="24"/>
          <w:szCs w:val="24"/>
        </w:rPr>
      </w:r>
      <w:r/>
    </w:p>
    <w:p>
      <w:pPr>
        <w:pStyle w:val="660"/>
        <w:spacing w:before="180" w:after="1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6.2.4履约保证金不予退还的情形：竣工验收合格并经甲方确认。</w:t>
      </w:r>
      <w:r>
        <w:rPr>
          <w:rFonts w:hint="eastAsia" w:ascii="宋体" w:hAnsi="宋体" w:eastAsia="宋体" w:cs="Times New Roman"/>
          <w:color w:val="000000"/>
          <w:sz w:val="24"/>
          <w:szCs w:val="24"/>
        </w:rPr>
      </w:r>
      <w:r/>
    </w:p>
    <w:p>
      <w:pPr>
        <w:pStyle w:val="660"/>
        <w:spacing w:before="180" w:after="180"/>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江苏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Times New Roman"/>
          <w:color w:val="000000"/>
          <w:sz w:val="18"/>
          <w:szCs w:val="18"/>
        </w:rPr>
      </w:r>
      <w:r/>
    </w:p>
    <w:p>
      <w:pPr>
        <w:pStyle w:val="660"/>
        <w:spacing w:before="180" w:after="180"/>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60"/>
        <w:spacing w:before="180" w:after="180"/>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660"/>
        <w:spacing w:before="180" w:after="180"/>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660"/>
        <w:spacing w:before="180" w:after="180"/>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660"/>
        <w:spacing w:before="120" w:after="120"/>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660"/>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660"/>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8.1.1 预付款支付时间：</w:t>
      </w:r>
      <w:r>
        <w:rPr>
          <w:rFonts w:hint="eastAsia" w:ascii="宋体" w:hAnsi="宋体" w:cs="Courier New"/>
          <w:bCs/>
          <w:color w:val="000000"/>
          <w:sz w:val="24"/>
          <w:szCs w:val="24"/>
          <w:u w:val="single"/>
        </w:rPr>
        <w:t xml:space="preserve">合同签订后30日内</w:t>
      </w:r>
      <w:r>
        <w:rPr>
          <w:rFonts w:hint="eastAsia" w:ascii="宋体" w:hAnsi="宋体" w:cs="Courier New"/>
          <w:bCs/>
          <w:color w:val="000000"/>
          <w:sz w:val="24"/>
          <w:szCs w:val="24"/>
        </w:rPr>
        <w:t xml:space="preserve">，预付款支付比例：</w:t>
      </w:r>
      <w:r>
        <w:rPr>
          <w:rFonts w:hint="eastAsia" w:ascii="宋体" w:hAnsi="宋体" w:cs="Courier New"/>
          <w:bCs/>
          <w:color w:val="000000"/>
          <w:sz w:val="24"/>
          <w:szCs w:val="24"/>
          <w:u w:val="single"/>
        </w:rPr>
        <w:t xml:space="preserve">合同金额的30%</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698"/>
        <w:spacing w:before="120" w:after="120"/>
        <w:rPr>
          <w:rFonts w:hAnsi="宋体"/>
          <w:bCs/>
          <w:color w:val="000000"/>
          <w:sz w:val="24"/>
          <w:szCs w:val="24"/>
          <w:highlight w:val="none"/>
        </w:rPr>
      </w:pPr>
      <w:r>
        <w:rPr>
          <w:rFonts w:hint="eastAsia" w:hAnsi="宋体"/>
          <w:bCs/>
          <w:color w:val="000000"/>
          <w:sz w:val="24"/>
          <w:szCs w:val="24"/>
          <w:highlight w:val="none"/>
        </w:rPr>
        <w:t xml:space="preserve">8.1.2 尾款支付时间：</w:t>
      </w:r>
      <w:r>
        <w:rPr>
          <w:rFonts w:hAnsi="宋体" w:cs="宋体"/>
          <w:color w:val="000000"/>
          <w:sz w:val="24"/>
          <w:szCs w:val="24"/>
          <w:highlight w:val="none"/>
          <w:u w:val="single"/>
        </w:rPr>
        <w:t xml:space="preserve">产品验收完成</w:t>
      </w:r>
      <w:r>
        <w:rPr>
          <w:rFonts w:hint="eastAsia" w:hAnsi="宋体" w:cs="宋体"/>
          <w:color w:val="000000"/>
          <w:sz w:val="24"/>
          <w:szCs w:val="24"/>
          <w:highlight w:val="none"/>
          <w:u w:val="single"/>
        </w:rPr>
        <w:t xml:space="preserve">后60</w:t>
      </w:r>
      <w:r>
        <w:rPr>
          <w:rFonts w:hAnsi="宋体" w:cs="宋体"/>
          <w:color w:val="000000"/>
          <w:sz w:val="24"/>
          <w:szCs w:val="24"/>
          <w:highlight w:val="none"/>
          <w:u w:val="single"/>
        </w:rPr>
        <w:t xml:space="preserve">日内，</w:t>
      </w:r>
      <w:r>
        <w:rPr>
          <w:rFonts w:hint="eastAsia" w:hAnsi="宋体"/>
          <w:bCs/>
          <w:color w:val="000000"/>
          <w:sz w:val="24"/>
          <w:szCs w:val="24"/>
          <w:highlight w:val="none"/>
        </w:rPr>
        <w:t xml:space="preserve">尾款支付比例：</w:t>
      </w:r>
      <w:r>
        <w:rPr>
          <w:rFonts w:hint="eastAsia" w:ascii="宋体" w:hAnsi="宋体" w:cs="Courier New"/>
          <w:bCs/>
          <w:color w:val="000000"/>
          <w:sz w:val="24"/>
          <w:szCs w:val="24"/>
          <w:u w:val="single"/>
        </w:rPr>
        <w:t xml:space="preserve">合同</w:t>
      </w:r>
      <w:r>
        <w:rPr>
          <w:rFonts w:hAnsi="宋体" w:cs="宋体"/>
          <w:color w:val="000000"/>
          <w:sz w:val="24"/>
          <w:szCs w:val="24"/>
          <w:highlight w:val="none"/>
          <w:u w:val="single"/>
        </w:rPr>
        <w:t xml:space="preserve">金额的</w:t>
      </w:r>
      <w:r>
        <w:rPr>
          <w:rFonts w:hint="eastAsia" w:hAnsi="宋体" w:cs="宋体"/>
          <w:color w:val="000000"/>
          <w:sz w:val="24"/>
          <w:szCs w:val="24"/>
          <w:highlight w:val="none"/>
          <w:u w:val="single"/>
          <w:lang w:val="en-US" w:eastAsia="zh-CN"/>
        </w:rPr>
        <w:t xml:space="preserve">7</w:t>
      </w:r>
      <w:r>
        <w:rPr>
          <w:rFonts w:hAnsi="宋体" w:cs="宋体"/>
          <w:color w:val="000000"/>
          <w:sz w:val="24"/>
          <w:szCs w:val="24"/>
          <w:highlight w:val="none"/>
          <w:u w:val="single"/>
        </w:rPr>
        <w:t xml:space="preserve">0%</w:t>
      </w:r>
      <w:r>
        <w:rPr>
          <w:rFonts w:hint="eastAsia" w:hAnsi="宋体"/>
          <w:bCs/>
          <w:color w:val="000000"/>
          <w:sz w:val="24"/>
          <w:szCs w:val="24"/>
          <w:highlight w:val="none"/>
        </w:rPr>
        <w:t xml:space="preserve">。</w:t>
      </w:r>
      <w:r>
        <w:rPr>
          <w:rFonts w:hAnsi="宋体"/>
          <w:bCs/>
          <w:color w:val="000000"/>
          <w:sz w:val="24"/>
          <w:szCs w:val="24"/>
          <w:highlight w:val="none"/>
        </w:rPr>
      </w:r>
      <w:r/>
    </w:p>
    <w:p>
      <w:pPr>
        <w:pStyle w:val="660"/>
        <w:ind w:left="480" w:hanging="480"/>
        <w:spacing w:before="120" w:after="120"/>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660"/>
        <w:spacing w:before="180" w:after="180"/>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60"/>
        <w:spacing w:before="180" w:after="180"/>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660"/>
        <w:ind w:left="412" w:hanging="412"/>
        <w:spacing w:before="120" w:after="120"/>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660"/>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660"/>
        <w:ind w:firstLine="420"/>
        <w:spacing w:before="120" w:after="120"/>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660"/>
        <w:ind w:firstLine="420"/>
        <w:spacing w:before="120" w:after="120"/>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660"/>
        <w:ind w:left="420"/>
        <w:spacing w:before="120" w:after="120"/>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w:t>
      </w:r>
      <w:r>
        <w:rPr>
          <w:rFonts w:hint="eastAsia" w:ascii="宋体" w:hAnsi="宋体" w:cs="Courier New"/>
          <w:color w:val="000000"/>
          <w:sz w:val="24"/>
          <w:szCs w:val="24"/>
        </w:rPr>
        <w:t xml:space="preserve">2</w:t>
      </w:r>
      <w:r>
        <w:rPr>
          <w:rFonts w:ascii="宋体" w:hAnsi="宋体" w:cs="Courier New"/>
          <w:color w:val="000000"/>
          <w:sz w:val="24"/>
          <w:szCs w:val="24"/>
        </w:rPr>
        <w:t xml:space="preserve">___小时内到达甲方现场。</w:t>
      </w:r>
      <w:r>
        <w:rPr>
          <w:rFonts w:ascii="宋体" w:hAnsi="宋体" w:cs="Courier New"/>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hint="eastAsia" w:ascii="宋体" w:hAnsi="宋体" w:cs="Courier New"/>
          <w:color w:val="000000"/>
          <w:sz w:val="24"/>
          <w:szCs w:val="24"/>
          <w:u w:val="single"/>
        </w:rPr>
        <w:t xml:space="preserve">2</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rPr>
          <w:rFonts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660"/>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60"/>
        <w:spacing w:before="120" w:after="120"/>
        <w:rPr>
          <w:rFonts w:hint="eastAsia" w:ascii="宋体" w:hAnsi="宋体" w:eastAsia="宋体" w:cs="Courier New"/>
          <w:color w:val="000000"/>
          <w:sz w:val="24"/>
          <w:szCs w:val="24"/>
          <w:highlight w:val="none"/>
          <w:lang w:eastAsia="zh-CN"/>
        </w:rPr>
      </w:pPr>
      <w:r>
        <w:rPr>
          <w:rFonts w:hint="eastAsia" w:ascii="宋体" w:hAnsi="宋体" w:cs="Courier New"/>
          <w:color w:val="000000"/>
          <w:sz w:val="24"/>
          <w:szCs w:val="24"/>
          <w:highlight w:val="none"/>
        </w:rPr>
        <w:t xml:space="preserve">11.7</w:t>
      </w:r>
      <w:r>
        <w:rPr>
          <w:rFonts w:ascii="宋体" w:hAnsi="宋体" w:cs="宋体"/>
          <w:sz w:val="24"/>
          <w:szCs w:val="24"/>
          <w:highlight w:val="none"/>
          <w:lang w:bidi="ar"/>
        </w:rPr>
        <w:t xml:space="preserve">乙方应在项目验收合格后15日内，向甲方及审计机构提供完整、真实、有效的结算资料（包括但不限于合同、中标通知书、货物清单、验收报告、发票、费用明细、相关凭证等），配合审计机构开展审计工作，及时补充审计所需资料，不得拖延、隐瞒、虚报；审计过程中，如发现乙方存在虚报工程量、虚报费用、提供虚假资料等情况，审计机构有权核减相应金额，乙方需承担核减金额20%的违约金，甲方有权从应付货款中扣除，情节严重的，甲方有权解除合同、追究乙方违约责任</w:t>
      </w:r>
      <w:r>
        <w:rPr>
          <w:rFonts w:hint="eastAsia" w:ascii="宋体" w:hAnsi="宋体" w:cs="宋体"/>
          <w:sz w:val="24"/>
          <w:szCs w:val="24"/>
          <w:highlight w:val="none"/>
          <w:lang w:eastAsia="zh-CN" w:bidi="ar"/>
        </w:rPr>
        <w:t xml:space="preserve">。</w:t>
      </w:r>
      <w:r>
        <w:rPr>
          <w:rFonts w:hint="eastAsia" w:ascii="宋体" w:hAnsi="宋体" w:eastAsia="宋体" w:cs="Courier New"/>
          <w:color w:val="000000"/>
          <w:sz w:val="24"/>
          <w:szCs w:val="24"/>
          <w:highlight w:val="none"/>
          <w:lang w:eastAsia="zh-CN"/>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ff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660"/>
        <w:ind w:left="480" w:right="26" w:hanging="480"/>
        <w:spacing w:before="156" w:after="156"/>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660"/>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660"/>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660"/>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660"/>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660"/>
        <w:ind w:left="480" w:hanging="480"/>
        <w:spacing w:before="120" w:after="120"/>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660"/>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66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660"/>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660"/>
        <w:ind w:left="480" w:hanging="48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66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66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660"/>
        <w:ind w:firstLine="240"/>
        <w:spacing w:before="120" w:after="120" w:line="0" w:lineRule="atLeast"/>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rPr>
          <w:rFonts w:hint="eastAsia" w:ascii="宋体" w:hAnsi="Courier New" w:cs="Courier New"/>
          <w:color w:val="000000"/>
          <w:szCs w:val="21"/>
        </w:rPr>
      </w:r>
      <w:r/>
    </w:p>
    <w:p>
      <w:pPr>
        <w:pStyle w:val="660"/>
        <w:jc w:val="center"/>
        <w:spacing w:before="120" w:after="120" w:line="0" w:lineRule="atLeast"/>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660"/>
        <w:jc w:val="center"/>
        <w:spacing w:before="120" w:after="120" w:line="0" w:lineRule="atLeast"/>
        <w:rPr>
          <w:rFonts w:hint="eastAsia" w:ascii="宋体" w:hAnsi="宋体" w:cs="Courier New"/>
          <w:color w:val="000000"/>
          <w:sz w:val="24"/>
          <w:szCs w:val="24"/>
        </w:rPr>
      </w:pPr>
      <w:r>
        <w:rPr>
          <w:rFonts w:hint="eastAsia" w:ascii="宋体" w:hAnsi="宋体" w:cs="Courier New"/>
          <w:color w:val="000000"/>
          <w:sz w:val="24"/>
          <w:szCs w:val="24"/>
        </w:rPr>
      </w:r>
      <w:r/>
    </w:p>
    <w:p>
      <w:pPr>
        <w:pStyle w:val="660"/>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25"/>
      <w:r/>
      <w:bookmarkEnd w:id="26"/>
      <w:r/>
      <w:bookmarkEnd w:id="27"/>
      <w:r/>
      <w:bookmarkEnd w:id="34"/>
      <w:r/>
      <w:bookmarkStart w:id="35" w:name="_Hlt16619369"/>
      <w:r/>
      <w:bookmarkEnd w:id="35"/>
      <w:r>
        <w:rPr>
          <w:rFonts w:ascii="黑体" w:hAnsi="Courier New" w:eastAsia="黑体" w:cs="Courier New"/>
          <w:bCs/>
          <w:color w:val="000000"/>
          <w:sz w:val="44"/>
          <w:szCs w:val="21"/>
        </w:rPr>
        <w:br w:type="page" w:clear="all"/>
      </w:r>
      <w:r>
        <w:rPr>
          <w:rFonts w:hint="eastAsia" w:ascii="宋体" w:hAnsi="宋体" w:cs="Courier New"/>
          <w:color w:val="000000"/>
          <w:sz w:val="24"/>
          <w:szCs w:val="24"/>
        </w:rPr>
        <w:t xml:space="preserve">合同附件：</w:t>
      </w:r>
      <w:r>
        <w:rPr>
          <w:rFonts w:hint="eastAsia" w:ascii="宋体" w:hAnsi="宋体" w:cs="Courier New"/>
          <w:color w:val="000000"/>
          <w:sz w:val="24"/>
          <w:szCs w:val="24"/>
        </w:rPr>
      </w:r>
      <w:r/>
    </w:p>
    <w:p>
      <w:pPr>
        <w:pStyle w:val="660"/>
        <w:jc w:val="center"/>
        <w:spacing w:before="120" w:after="120" w:line="360" w:lineRule="auto"/>
        <w:rPr>
          <w:rFonts w:hint="eastAsia" w:ascii="宋体" w:hAnsi="宋体" w:cs="Courier New"/>
          <w:b/>
          <w:bCs/>
          <w:color w:val="000000"/>
          <w:sz w:val="24"/>
          <w:szCs w:val="24"/>
        </w:rPr>
      </w:pPr>
      <w:r>
        <w:rPr>
          <w:rFonts w:hint="eastAsia" w:ascii="宋体" w:hAnsi="宋体" w:cs="Courier New"/>
          <w:b/>
          <w:bCs/>
          <w:color w:val="000000"/>
          <w:sz w:val="24"/>
          <w:szCs w:val="24"/>
        </w:rPr>
        <w:t xml:space="preserve">项目验收方案</w:t>
      </w:r>
      <w:r>
        <w:rPr>
          <w:rFonts w:hint="eastAsia" w:ascii="宋体" w:hAnsi="宋体" w:cs="Courier New"/>
          <w:b/>
          <w:bCs/>
          <w:color w:val="000000"/>
          <w:sz w:val="24"/>
          <w:szCs w:val="24"/>
        </w:rPr>
      </w:r>
      <w:r/>
    </w:p>
    <w:p>
      <w:pPr>
        <w:pStyle w:val="660"/>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验收单位：</w:t>
      </w:r>
      <w:r>
        <w:rPr>
          <w:rFonts w:hint="eastAsia" w:ascii="宋体" w:hAnsi="宋体"/>
          <w:sz w:val="24"/>
          <w:szCs w:val="21"/>
        </w:rPr>
        <w:t xml:space="preserve">江苏省苏州丝绸中等专业学校</w:t>
      </w:r>
      <w:r>
        <w:rPr>
          <w:rFonts w:hint="eastAsia" w:ascii="宋体" w:hAnsi="宋体" w:cs="Courier New"/>
          <w:color w:val="000000"/>
          <w:sz w:val="24"/>
          <w:szCs w:val="24"/>
        </w:rPr>
      </w:r>
      <w:r/>
    </w:p>
    <w:p>
      <w:pPr>
        <w:pStyle w:val="660"/>
        <w:ind w:firstLine="359"/>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、乙方应按照采购文件的有关</w:t>
      </w:r>
      <w:r>
        <w:rPr>
          <w:rFonts w:hint="eastAsia" w:ascii="宋体" w:hAnsi="宋体"/>
          <w:color w:val="000000"/>
          <w:szCs w:val="21"/>
        </w:rPr>
        <w:t xml:space="preserve">规定提供产品及材料，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家通用标准；</w:t>
      </w:r>
      <w:r>
        <w:rPr>
          <w:rFonts w:ascii="宋体" w:hAnsi="宋体"/>
          <w:color w:val="000000"/>
          <w:szCs w:val="21"/>
        </w:rPr>
      </w:r>
      <w:r/>
    </w:p>
    <w:p>
      <w:pPr>
        <w:pStyle w:val="660"/>
        <w:ind w:firstLine="359"/>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、产品质量出现问题，乙方负责包修、包退、包换，费用由乙方承担；</w:t>
      </w:r>
      <w:r>
        <w:rPr>
          <w:rFonts w:ascii="宋体" w:hAnsi="宋体"/>
          <w:color w:val="000000"/>
          <w:szCs w:val="21"/>
        </w:rPr>
      </w:r>
      <w:r/>
    </w:p>
    <w:p>
      <w:pPr>
        <w:pStyle w:val="660"/>
        <w:ind w:firstLine="240"/>
        <w:spacing w:line="360" w:lineRule="auto"/>
        <w:rPr>
          <w:rFonts w:ascii="宋体" w:hAnsi="宋体"/>
          <w:color w:val="000000"/>
          <w:szCs w:val="21"/>
        </w:rPr>
      </w:pPr>
      <w:r>
        <w:rPr>
          <w:rFonts w:ascii="宋体" w:hAnsi="宋体"/>
          <w:color w:val="000000"/>
          <w:szCs w:val="21"/>
        </w:rPr>
        <w:t xml:space="preserve"> 3</w:t>
      </w:r>
      <w:r>
        <w:rPr>
          <w:rFonts w:hint="eastAsia" w:ascii="宋体" w:hAnsi="宋体"/>
          <w:color w:val="000000"/>
          <w:szCs w:val="21"/>
        </w:rPr>
        <w:t xml:space="preserve">、设备的验收包括：数量、外观、质量、性能、质保单、包装和乙方承诺的其它指标。</w:t>
      </w:r>
      <w:r>
        <w:rPr>
          <w:rFonts w:ascii="宋体" w:hAnsi="宋体"/>
          <w:color w:val="000000"/>
          <w:szCs w:val="21"/>
        </w:rPr>
      </w:r>
      <w:r/>
    </w:p>
    <w:p>
      <w:pPr>
        <w:pStyle w:val="660"/>
        <w:ind w:firstLine="210"/>
        <w:spacing w:line="360" w:lineRule="auto"/>
        <w:rPr>
          <w:rFonts w:ascii="宋体" w:hAnsi="宋体"/>
          <w:color w:val="000000"/>
          <w:szCs w:val="21"/>
        </w:rPr>
      </w:pPr>
      <w:r>
        <w:rPr>
          <w:rFonts w:ascii="宋体" w:hAnsi="宋体"/>
          <w:color w:val="000000"/>
          <w:szCs w:val="21"/>
        </w:rPr>
        <w:t xml:space="preserve"> 4</w:t>
      </w:r>
      <w:r>
        <w:rPr>
          <w:rFonts w:hint="eastAsia" w:ascii="宋体" w:hAnsi="宋体"/>
          <w:color w:val="000000"/>
          <w:szCs w:val="21"/>
        </w:rPr>
        <w:t xml:space="preserve">、产品质量要求：</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1）所有设备在到达安装现场时须经采购单位代表验收后才可进行设备安装，验货时须提交该产品的原厂质量合格证明。</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2）所有设备、附（配）件应具备该类产品的功能要求，无瑕疵和缺陷，质量为合格产品，同时有明确的生产厂商或制造厂商；</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3）缺陷保修：如果设备交付使用后，缺陷多次反复出现，乙方必须提出分析报告和解决方案，直到最后纠正缺陷、中标方提供的质保从纠正之日起重新计算质保期。</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4）如果是超出乙方的责任范围的疏忽、误操作等情况而导致的更换修正，应由乙方进行修理，其额外费用由双方协商承担。</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5）所有设备、材料均须使用成熟产品，除数量增加外，不得增加任何费用。</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6）质量要求：合格，试运行一个月后要求能保证验收通过。</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（7）空气质量要求：产品安装添置需符合空气质量符合国家标准。</w:t>
      </w:r>
      <w:r>
        <w:rPr>
          <w:rFonts w:ascii="宋体" w:hAnsi="宋体"/>
          <w:color w:val="000000"/>
          <w:szCs w:val="21"/>
        </w:rPr>
      </w:r>
      <w:r/>
    </w:p>
    <w:p>
      <w:pPr>
        <w:pStyle w:val="660"/>
        <w:ind w:firstLine="420"/>
        <w:spacing w:line="360" w:lineRule="auto"/>
        <w:rPr>
          <w:rFonts w:ascii="宋体" w:hAnsi="宋体"/>
          <w:color w:val="000000"/>
          <w:szCs w:val="21"/>
        </w:rPr>
      </w:pPr>
      <w:r>
        <w:rPr>
          <w:rFonts w:ascii="宋体" w:hAnsi="宋体"/>
          <w:color w:val="000000"/>
          <w:szCs w:val="21"/>
        </w:rPr>
        <w:t xml:space="preserve">5、验收：</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1）乙方提供的货物必须符合我国最新颁布的与之相关的技术规范与标准，同时必须满足招标文件中所列规格、具体配置、技术条件及功能要求和乙方承诺的其它指标。</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在交货时必须原包装现场拆封验收，由第三方专业人士对标的物的质量、规格、性能、数量、外观、随机备件备品、装箱单、随机资料、包装等进行详细而全面的检验，并出具一份检验合格证明，合格检验证明作为甲方外观验收的依据，但不能作为有关标的物质量、规格、数量或性能的最终检验结果。</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4）甲方根据合同规定的内容和验收标准进行验收，可委托第三方验收，同时比较乙方出具的检验证明，经检验无误后出具验收合格证明，该证明作为验收结果，并作为最终付款所需文件的组成部分。</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5）验收期限在安装调试结束后</w:t>
      </w:r>
      <w:r>
        <w:rPr>
          <w:rFonts w:hint="eastAsia" w:ascii="宋体" w:hAnsi="宋体"/>
          <w:color w:val="000000"/>
          <w:szCs w:val="21"/>
        </w:rPr>
        <w:t xml:space="preserve">5</w:t>
      </w:r>
      <w:r>
        <w:rPr>
          <w:rFonts w:ascii="宋体" w:hAnsi="宋体"/>
          <w:color w:val="000000"/>
          <w:szCs w:val="21"/>
        </w:rPr>
        <w:t xml:space="preserve">个工作日内进行。甲方逾期未验收的，乙方应书面告知甲方在合理的期限内进行验收。验收不合格的，不受验收期限约束。</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6）验收结果经双方确认后，双方代表须按规定的验收项目对照本合同填好验收结果并签名盖章。如双方对验收结果有分歧，则以第三方权威机构的检验结果为准，检验费由有过失的一方支付。</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7）验收前乙方单位须向采购单位提供整套设备质保书、保修证明、调试说明书</w:t>
      </w:r>
      <w:r>
        <w:rPr>
          <w:rFonts w:hint="eastAsia" w:ascii="宋体" w:hAnsi="宋体"/>
          <w:color w:val="000000"/>
          <w:szCs w:val="21"/>
        </w:rPr>
        <w:t xml:space="preserve">；</w:t>
      </w:r>
      <w:r>
        <w:rPr>
          <w:rFonts w:ascii="宋体" w:hAnsi="宋体"/>
          <w:color w:val="000000"/>
          <w:szCs w:val="21"/>
        </w:rPr>
        <w:t xml:space="preserve">验收合格后乙方应提供相关技术培训。</w:t>
      </w:r>
      <w:r>
        <w:rPr>
          <w:rFonts w:ascii="宋体" w:hAnsi="宋体"/>
          <w:color w:val="000000"/>
          <w:szCs w:val="21"/>
        </w:rPr>
      </w:r>
      <w:r/>
    </w:p>
    <w:p>
      <w:pPr>
        <w:pStyle w:val="660"/>
        <w:ind w:firstLine="420"/>
        <w:spacing w:line="360" w:lineRule="auto"/>
        <w:rPr>
          <w:rFonts w:ascii="宋体" w:hAnsi="宋体"/>
          <w:color w:val="000000"/>
          <w:szCs w:val="21"/>
        </w:rPr>
      </w:pPr>
      <w:r>
        <w:rPr>
          <w:rFonts w:ascii="宋体" w:hAnsi="宋体"/>
          <w:color w:val="000000"/>
          <w:szCs w:val="21"/>
        </w:rPr>
        <w:t xml:space="preserve">6、施工要求：</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1）乙方应遵守现场的一切规章制度，文明施工；</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2）乙方负责保管、看护进场的设备及附配件直至完成安装调试后交付甲方；</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3）乙方负责设备、安装设备（工具）等提供适当的保护、包装或覆盖等处理，直至验收合格，以免受损；</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4）无论调试期间或保修过程中，乙方负责及时清理垃圾。</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5）所有安装施工材料质量及施工质量必须严格按照国家规范及江苏省、苏州市相应地方规范、公开招标采购文件、材料厂家的技术规范的有关要求执行；</w:t>
      </w:r>
      <w:r>
        <w:rPr>
          <w:rFonts w:ascii="宋体" w:hAnsi="宋体"/>
          <w:color w:val="000000"/>
          <w:szCs w:val="21"/>
        </w:rPr>
      </w:r>
      <w:r/>
    </w:p>
    <w:p>
      <w:pPr>
        <w:pStyle w:val="660"/>
        <w:ind w:firstLine="438"/>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6）乙方应对安装施工质量、安全全面负责，如中标人原因造成质量、安全事故、中标人承担一切经济法律责任；</w:t>
      </w:r>
      <w:r>
        <w:rPr>
          <w:rFonts w:ascii="宋体" w:hAnsi="宋体"/>
          <w:color w:val="000000"/>
          <w:szCs w:val="21"/>
        </w:rPr>
      </w:r>
      <w:r/>
    </w:p>
    <w:p>
      <w:pPr>
        <w:pStyle w:val="660"/>
        <w:ind w:firstLine="438"/>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7）施工期间，乙方应无条件的接受采购单位的质量监督，提出的质量问题要及时整改，整改完毕后通知甲方检查验收，合格后书面报送甲方备案。</w:t>
      </w:r>
      <w:r>
        <w:rPr>
          <w:rFonts w:ascii="宋体" w:hAnsi="宋体"/>
          <w:color w:val="000000"/>
          <w:szCs w:val="21"/>
        </w:rPr>
      </w:r>
      <w:r/>
    </w:p>
    <w:p>
      <w:pPr>
        <w:pStyle w:val="660"/>
        <w:ind w:firstLine="438"/>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8）乙方必须按照工程设计和技术标准施工，不得擅自修改工程设计，不得偷工减料；</w:t>
      </w:r>
      <w:r>
        <w:rPr>
          <w:rFonts w:ascii="宋体" w:hAnsi="宋体"/>
          <w:color w:val="000000"/>
          <w:szCs w:val="21"/>
        </w:rPr>
      </w:r>
      <w:r/>
    </w:p>
    <w:p>
      <w:pPr>
        <w:pStyle w:val="660"/>
        <w:ind w:firstLine="417"/>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9）乙方必须建立健全质量检查制度，严格工序管理，隐蔽工程在隐蔽前应通知采购单位检查验收；本着谁施工谁负责产品保护，谁破坏产品谁负责赔偿的原则，乙方必须采取切实有效的产品保护措施，并编制相应的产品保护方案报采购单位批准同意后组织实施。</w:t>
      </w:r>
      <w:r>
        <w:rPr>
          <w:rFonts w:ascii="宋体" w:hAnsi="宋体"/>
          <w:color w:val="000000"/>
          <w:szCs w:val="21"/>
        </w:rPr>
      </w:r>
      <w:r/>
    </w:p>
    <w:p>
      <w:pPr>
        <w:pStyle w:val="660"/>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10）乙方所有临时设施不需要再使用时，如采购单位要求拆除，乙方应立即无条件拆除。</w:t>
      </w:r>
      <w:r>
        <w:rPr>
          <w:rFonts w:ascii="宋体" w:hAnsi="宋体"/>
          <w:color w:val="000000"/>
          <w:szCs w:val="21"/>
        </w:rPr>
      </w:r>
      <w:r/>
    </w:p>
    <w:p>
      <w:pPr>
        <w:pStyle w:val="660"/>
        <w:ind w:firstLine="420"/>
        <w:jc w:val="left"/>
        <w:spacing w:before="120" w:after="120"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11）竣工验收一次性不合格的，在结算中扣除工程结算造价的0.6%，竣工验收二次不合格的，扣除金额翻倍，以此类推。施工过程中出现质量事故的，按照规定返工（或返修）后，由相关部门评定损失金额，在结算中予以扣除。</w:t>
      </w:r>
      <w:r>
        <w:rPr>
          <w:rFonts w:hint="eastAsia" w:ascii="宋体" w:hAnsi="宋体"/>
          <w:color w:val="000000"/>
          <w:szCs w:val="21"/>
        </w:rPr>
      </w:r>
      <w:r/>
    </w:p>
    <w:p>
      <w:pPr>
        <w:pStyle w:val="660"/>
        <w:spacing w:before="120" w:after="120" w:line="0" w:lineRule="atLeast"/>
        <w:rPr>
          <w:rFonts w:hint="eastAsia" w:ascii="宋体" w:hAnsi="宋体" w:cs="Courier New"/>
          <w:b/>
          <w:bCs/>
          <w:color w:val="000000"/>
          <w:sz w:val="24"/>
          <w:szCs w:val="24"/>
        </w:rPr>
        <w:sectPr>
          <w:headerReference w:type="default" r:id="rId9"/>
          <w:footerReference w:type="default" r:id="rId10"/>
          <w:footnotePr/>
          <w:endnotePr/>
          <w:type w:val="nextPage"/>
          <w:pgSz w:w="11906" w:h="16838" w:orient="portrait"/>
          <w:pgMar w:top="1098" w:right="1803" w:bottom="1440" w:left="1803" w:header="851" w:footer="992" w:gutter="0"/>
          <w:cols w:num="1" w:sep="0" w:space="1701" w:equalWidth="1"/>
          <w:docGrid w:linePitch="360"/>
        </w:sectPr>
      </w:pPr>
      <w:r>
        <w:rPr>
          <w:rFonts w:hint="eastAsia" w:ascii="宋体" w:hAnsi="宋体" w:cs="Courier New"/>
          <w:b/>
          <w:bCs/>
          <w:color w:val="000000"/>
          <w:sz w:val="24"/>
          <w:szCs w:val="24"/>
        </w:rPr>
      </w:r>
      <w:r/>
    </w:p>
    <w:p>
      <w:pPr>
        <w:pStyle w:val="66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30"/>
      <w:r>
        <w:rPr>
          <w:rFonts w:hint="eastAsia" w:ascii="黑体" w:hAnsi="Courier New" w:eastAsia="黑体" w:cs="Courier New"/>
          <w:bCs/>
          <w:color w:val="000000"/>
          <w:sz w:val="44"/>
          <w:szCs w:val="21"/>
        </w:rPr>
        <w:t xml:space="preserve">四章 采购需求</w:t>
      </w:r>
      <w:bookmarkEnd w:id="31"/>
      <w:r/>
      <w:bookmarkEnd w:id="32"/>
      <w:r/>
      <w:bookmarkEnd w:id="33"/>
      <w:r>
        <w:rPr>
          <w:rFonts w:hint="eastAsia" w:ascii="宋体" w:hAnsi="宋体" w:cs="Courier New"/>
          <w:color w:val="000000"/>
          <w:sz w:val="24"/>
          <w:szCs w:val="24"/>
        </w:rPr>
      </w:r>
      <w:r/>
    </w:p>
    <w:p>
      <w:pPr>
        <w:pStyle w:val="660"/>
        <w:spacing w:line="0" w:lineRule="atLeast"/>
        <w:rPr>
          <w:rFonts w:hint="eastAsia" w:ascii="宋体" w:hAnsi="宋体"/>
          <w:color w:val="000000"/>
          <w:sz w:val="24"/>
          <w:szCs w:val="24"/>
        </w:rPr>
      </w:pPr>
      <w:r/>
      <w:bookmarkStart w:id="36" w:name="_Toc49090575"/>
      <w:r/>
      <w:bookmarkStart w:id="37" w:name="_Toc26554093"/>
      <w:r>
        <w:rPr>
          <w:rFonts w:hint="eastAsia" w:ascii="宋体" w:hAnsi="宋体"/>
          <w:color w:val="000000"/>
          <w:sz w:val="24"/>
          <w:szCs w:val="24"/>
        </w:rPr>
        <w:t xml:space="preserve">项目属性:货物类项目。</w:t>
      </w:r>
      <w:r>
        <w:rPr>
          <w:rFonts w:hint="eastAsia" w:ascii="宋体" w:hAnsi="宋体"/>
          <w:color w:val="000000"/>
          <w:sz w:val="24"/>
          <w:szCs w:val="24"/>
        </w:rPr>
      </w:r>
      <w:r/>
    </w:p>
    <w:p>
      <w:pPr>
        <w:pStyle w:val="66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660"/>
        <w:spacing w:line="0" w:lineRule="atLeas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19"/>
        <w:gridCol w:w="885"/>
        <w:gridCol w:w="1506"/>
        <w:gridCol w:w="1896"/>
        <w:gridCol w:w="696"/>
        <w:gridCol w:w="546"/>
        <w:gridCol w:w="7432"/>
        <w:gridCol w:w="839"/>
      </w:tblGrid>
      <w:tr>
        <w:trPr>
          <w:trHeight w:val="48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名称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图片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规格</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技术要求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备注</w:t>
            </w:r>
            <w:r>
              <w:rPr>
                <w:rFonts w:hint="eastAsia" w:ascii="宋体" w:hAnsi="宋体" w:cs="宋体"/>
                <w:color w:val="000000"/>
                <w:sz w:val="24"/>
                <w:szCs w:val="24"/>
              </w:rPr>
            </w:r>
            <w:r/>
          </w:p>
        </w:tc>
      </w:tr>
      <w:tr>
        <w:trPr>
          <w:trHeight w:val="380"/>
        </w:trPr>
        <w:tc>
          <w:tcPr>
            <w:gridSpan w:val="6"/>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66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教学楼</w:t>
            </w:r>
            <w:r>
              <w:rPr>
                <w:rFonts w:hint="eastAsia" w:ascii="宋体" w:hAnsi="宋体" w:cs="宋体"/>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8271" w:type="dxa"/>
            <w:vAlign w:val="center"/>
            <w:textDirection w:val="lrTb"/>
            <w:noWrap w:val="false"/>
          </w:tcPr>
          <w:p>
            <w:pPr>
              <w:pStyle w:val="660"/>
              <w:jc w:val="center"/>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一、教室114间</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教室讲台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26035</wp:posOffset>
                      </wp:positionH>
                      <wp:positionV relativeFrom="paragraph">
                        <wp:posOffset>1634490</wp:posOffset>
                      </wp:positionV>
                      <wp:extent cx="699770" cy="53149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699769" cy="531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0pt;mso-position-horizontal:absolute;mso-position-vertical-relative:text;margin-top:128.7pt;mso-position-vertical:absolute;width:55.1pt;height:41.9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1000*700*1000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 人造板及其制品中甲醛释放限量》、GB/T35601-2024《绿色产品评价 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 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abs激光封边条，激光封边技术使板材之间实现永久性无缝粘结，无胶无味，不会出现拼缝黑线，各种环境下使用不起边翘边；封边条的外观、表面理化性能、甲醛释放量、可溶性重金属等都需符合QB/T4463-2025《家具用封边条技术要求》的标准要求；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4、支撑脚：钢制双层冲孔侧板，洞洞板造型设计，表面喷塑，高压静电喷</w:t>
            </w:r>
            <w:r>
              <w:rPr>
                <w:rFonts w:hint="eastAsia" w:ascii="宋体" w:hAnsi="宋体" w:cs="宋体"/>
                <w:color w:val="000000"/>
                <w:sz w:val="24"/>
                <w:szCs w:val="24"/>
                <w:lang w:bidi="ar"/>
              </w:rPr>
              <w:t xml:space="preserve">塑前经过13道前期处理，无甲醛释放量，钢制件的酸性盐雾试验、弯曲性能、力学性能、室温拉伸、抗拉强度、下屈服强度、断后伸长率、等符合标准GB/T10125-2021《人造气氛腐蚀试验盐雾试验》、GB/T 13237-2013《优质碳素结构钢冷轧钢板和钢带》；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苯并芘）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25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书包柜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1096645</wp:posOffset>
                      </wp:positionV>
                      <wp:extent cx="829310" cy="49974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29310" cy="49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0.0pt;mso-position-horizontal:absolute;mso-position-vertical-relative:text;margin-top:86.3pt;mso-position-vertical:absolute;width:65.3pt;height:39.4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4900*400*900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abs激光封边条，激光封边技术使板材之间实现永久性无缝粘结，无胶无味，不会出现拼缝黑线，各种环境下使用不起边翘边；封边条的外观、表面理化性能、甲醛释放量、可溶性重金属等都需符合QB/T4463-2025《家具用封边条技术要求》的标准要求；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4、参考标准GB/T 3324-2024《木家具通用技术条件》、GB/T 35607-2024《绿色产品评价家具》，产品的形状和位置公差、外观性能要求、理化性能、力学性能、安全性能、产品有害物质（甲醛释放量、苯、甲苯、二甲苯、总挥发性有机化合物等、苯并芘）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二、合班教室</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93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讲台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47625</wp:posOffset>
                      </wp:positionH>
                      <wp:positionV relativeFrom="paragraph">
                        <wp:posOffset>1165225</wp:posOffset>
                      </wp:positionV>
                      <wp:extent cx="750570" cy="71818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50570"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3.8pt;mso-position-horizontal:absolute;mso-position-vertical-relative:text;margin-top:91.8pt;mso-position-vertical:absolute;width:59.1pt;height:56.5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1000*700*1000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abs激光封边条，激光封边技术使板材之间实现永久性无缝粘结，无胶无味，不会出现拼缝黑线，各种环境下使用不起边翘边；封边条的外观、表面理化性能、甲醛释放量、可溶性重金属等都需符合QB/T4463-2025《家具用封边条技术要求》的标准要求；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4、参考标准GB/T 3324-2024《木家具通用技术条件》、GB/T 35607-2024《绿色产品评价 家具》，产品的形状和位置公差、外观性能要求、理化性能、力学性能、安全性能、产品有害物质（甲醛释放量、苯、甲苯、二甲苯、总挥发性有机化合物等、苯并芘）等都需符合国家标准。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0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条桌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7620</wp:posOffset>
                      </wp:positionH>
                      <wp:positionV relativeFrom="paragraph">
                        <wp:posOffset>2370455</wp:posOffset>
                      </wp:positionV>
                      <wp:extent cx="796290" cy="84010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96290" cy="84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0.6pt;mso-position-horizontal:absolute;mso-position-vertical-relative:text;margin-top:186.6pt;mso-position-vertical:absolute;width:62.7pt;height:66.1pt;mso-wrap-distance-left:9.0pt;mso-wrap-distance-top:0.0pt;mso-wrap-distance-right:9.0pt;mso-wrap-distance-bottom:0.0pt;" stroked="f">
                      <v:path textboxrect="0,0,0,0"/>
                      <v:imagedata r:id="rId14"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32385</wp:posOffset>
                      </wp:positionH>
                      <wp:positionV relativeFrom="paragraph">
                        <wp:posOffset>782320</wp:posOffset>
                      </wp:positionV>
                      <wp:extent cx="817880" cy="7302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17880" cy="730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310;o:allowoverlap:true;o:allowincell:true;mso-position-horizontal-relative:text;margin-left:2.5pt;mso-position-horizontal:absolute;mso-position-vertical-relative:text;margin-top:61.6pt;mso-position-vertical:absolute;width:64.4pt;height:57.5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1200*</w:t>
            </w:r>
            <w:r>
              <w:rPr>
                <w:rFonts w:hint="eastAsia" w:ascii="宋体" w:hAnsi="宋体" w:cs="宋体"/>
                <w:sz w:val="24"/>
                <w:szCs w:val="24"/>
                <w:lang w:bidi="ar"/>
              </w:rPr>
              <w:t xml:space="preserve">300</w:t>
            </w:r>
            <w:r>
              <w:rPr>
                <w:rFonts w:hint="eastAsia" w:ascii="宋体" w:hAnsi="宋体" w:cs="宋体"/>
                <w:color w:val="000000"/>
                <w:sz w:val="24"/>
                <w:szCs w:val="24"/>
                <w:lang w:bidi="ar"/>
              </w:rPr>
              <w:t xml:space="preserve">*760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7432" w:type="dxa"/>
            <w:vAlign w:val="center"/>
            <w:vMerge w:val="restart"/>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多层板基材饰面板与钢材铸铁结合。                                                                                                                           1、座和靠板基材：芯材采用实木多层板，板材的外观质量、含水率、板内密度偏差、2h 吸水厚度膨胀率、静曲强度、握螺钉力等物理力学性能、板材的厚度偏差、平整度、甲醛释放量 (≤0.</w:t>
            </w:r>
            <w:r>
              <w:rPr>
                <w:rFonts w:hint="eastAsia" w:ascii="宋体" w:hAnsi="宋体" w:cs="宋体"/>
                <w:color w:val="000000"/>
                <w:sz w:val="24"/>
                <w:szCs w:val="24"/>
                <w:lang w:bidi="ar"/>
              </w:rPr>
              <w:t xml:space="preserve">05mg/m³ )、总挥发性有机化合物 (≤100ug/m³ ) 等都需符合国标GB/T15102-2017《浸渍胶膜纸饰面纤维板和刨花板》、GB18580-2017《室内装饰装修材料人造板及其制品中甲醛释放限量》、GB/T35601-2024《绿色产品评价人造板和木质地板》的要求；                                                                                                                  </w:t>
            </w:r>
            <w:r>
              <w:rPr>
                <w:rFonts w:hint="eastAsia" w:ascii="宋体" w:hAnsi="宋体" w:cs="宋体"/>
                <w:color w:val="000000"/>
                <w:sz w:val="24"/>
                <w:szCs w:val="24"/>
                <w:lang w:bidi="ar"/>
              </w:rPr>
              <w:t xml:space="preserve">                        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3、铸铁件：定制；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36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椅子（带桌面）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550*810*900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432" w:type="dxa"/>
            <w:vAlign w:val="center"/>
            <w:vMerge w:val="continue"/>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61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椅子（不带桌面）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rPr>
                <w:rFonts w:hint="eastAsia" w:ascii="宋体" w:hAnsi="宋体" w:cs="宋体"/>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-7619</wp:posOffset>
                      </wp:positionH>
                      <wp:positionV relativeFrom="paragraph">
                        <wp:posOffset>567690</wp:posOffset>
                      </wp:positionV>
                      <wp:extent cx="739140" cy="82423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39140" cy="824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311;o:allowoverlap:true;o:allowincell:true;mso-position-horizontal-relative:text;margin-left:-0.6pt;mso-position-horizontal:absolute;mso-position-vertical-relative:text;margin-top:44.7pt;mso-position-vertical:absolute;width:58.2pt;height:64.9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550*550*900</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74</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Borders>
              <w:top w:val="none" w:color="000000" w:sz="0" w:space="0"/>
              <w:left w:val="single" w:color="000000" w:sz="4" w:space="0"/>
              <w:bottom w:val="single" w:color="000000" w:sz="4" w:space="0"/>
              <w:right w:val="single" w:color="000000" w:sz="4" w:space="0"/>
            </w:tcBorders>
            <w:tcW w:w="7432" w:type="dxa"/>
            <w:vAlign w:val="center"/>
            <w:vMerge w:val="continue"/>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三、教师办公室31间</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57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文件柜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137160</wp:posOffset>
                      </wp:positionH>
                      <wp:positionV relativeFrom="paragraph">
                        <wp:posOffset>1014730</wp:posOffset>
                      </wp:positionV>
                      <wp:extent cx="574040" cy="10477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404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10.8pt;mso-position-horizontal:absolute;mso-position-vertical-relative:text;margin-top:79.9pt;mso-position-vertical:absolute;width:45.2pt;height:82.5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900*400*1850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材料：采用冷轧钢板制作，材料厚度裸板≥0.7mm。表面喷涂处理，采用粉末，高压静电喷塑前经过13道前期处理，无甲醛释放量，各零部件（含搁板、侧板、顶板、底板等）、组合件表面应光滑、平整，表光泽度为60%～70%，耐冲击力大于60kg/cm2，不得有尖角、划口、凸起；涂膜厚度色泽应一致，漆面均匀光亮、无任何流漆划伤；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2、层板：采用冷轧钢板，钢板的下屈服强度、抗拉强度、断后伸长率、弯曲试验符合国标GB/T 13237-2013《优质碳素结构钢冷轧钢板和钢带》；</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3、五金件：钢柜锁具为锌合金锁壳，表面镀铬，结构安全性能优异；上柜门采用强化玻璃门；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外观、形状和位置公差、五金连接件及配件、安全性能、孔和间隙、防倾翻装置、挥发性有机化合物（甲醛、苯、甲苯、二甲苯、TVOC）及其他物质限量（表面涂层、塑料）、表面理化性能、力学性能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18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教师办公桌</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39370</wp:posOffset>
                      </wp:positionH>
                      <wp:positionV relativeFrom="paragraph">
                        <wp:posOffset>2434590</wp:posOffset>
                      </wp:positionV>
                      <wp:extent cx="767080" cy="58928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7079"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5;o:allowoverlap:true;o:allowincell:true;mso-position-horizontal-relative:text;margin-left:3.1pt;mso-position-horizontal:absolute;mso-position-vertical-relative:text;margin-top:191.7pt;mso-position-vertical:absolute;width:60.4pt;height:46.4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sz w:val="24"/>
                <w:szCs w:val="24"/>
              </w:rPr>
            </w:pPr>
            <w:r>
              <w:rPr>
                <w:rFonts w:hint="eastAsia" w:ascii="宋体" w:hAnsi="宋体" w:cs="宋体"/>
                <w:color w:val="000000"/>
                <w:sz w:val="24"/>
                <w:szCs w:val="24"/>
                <w:lang w:bidi="ar"/>
              </w:rPr>
              <w:t xml:space="preserve">主桌1400*600*760</w:t>
            </w:r>
            <w:r>
              <w:rPr>
                <w:rFonts w:hint="eastAsia" w:ascii="宋体" w:hAnsi="宋体" w:cs="宋体"/>
                <w:sz w:val="24"/>
                <w:szCs w:val="24"/>
              </w:rPr>
            </w:r>
            <w:r/>
          </w:p>
          <w:p>
            <w:pPr>
              <w:pStyle w:val="660"/>
              <w:jc w:val="center"/>
              <w:widowControl/>
              <w:rPr>
                <w:rFonts w:hint="eastAsia" w:ascii="宋体" w:hAnsi="宋体" w:cs="宋体"/>
                <w:sz w:val="24"/>
                <w:szCs w:val="24"/>
              </w:rPr>
            </w:pPr>
            <w:r>
              <w:rPr>
                <w:rFonts w:hint="eastAsia" w:ascii="宋体" w:hAnsi="宋体" w:cs="宋体"/>
                <w:sz w:val="24"/>
                <w:szCs w:val="24"/>
              </w:rPr>
              <w:t xml:space="preserve">侧边柜</w:t>
            </w:r>
            <w:r>
              <w:rPr>
                <w:rFonts w:hint="eastAsia" w:ascii="宋体" w:hAnsi="宋体" w:cs="宋体"/>
                <w:sz w:val="24"/>
                <w:szCs w:val="24"/>
              </w:rPr>
            </w:r>
            <w:r/>
          </w:p>
          <w:p>
            <w:pPr>
              <w:pStyle w:val="660"/>
              <w:jc w:val="center"/>
              <w:widowControl/>
            </w:pPr>
            <w:r>
              <w:rPr>
                <w:rFonts w:hint="eastAsia" w:ascii="宋体" w:hAnsi="宋体" w:cs="宋体"/>
                <w:sz w:val="24"/>
                <w:szCs w:val="24"/>
              </w:rPr>
              <w:t xml:space="preserve">1400*400*650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 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料家具中有害物质限量》的要求；   </w:t>
            </w:r>
            <w:r>
              <w:rPr>
                <w:rFonts w:hint="eastAsia" w:ascii="宋体" w:hAnsi="宋体" w:cs="宋体"/>
                <w:color w:val="000000"/>
                <w:sz w:val="24"/>
                <w:szCs w:val="24"/>
                <w:lang w:bidi="ar"/>
              </w:rPr>
              <w:t xml:space="preserve">                                                                                                                                        4、钢架：钢管壁厚≥1.2mm，表面喷塑，高压静电喷塑前经过13道前期处理，无甲醛释放量，底脚防滑脚垫，采用ABS模具一体成型；钢制件的酸性盐雾试验符合标准GB/T10125-2021《人造气氛腐蚀试验 盐雾试验》；桌面下带横向钢制支撑杆；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31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139700</wp:posOffset>
                      </wp:positionH>
                      <wp:positionV relativeFrom="paragraph">
                        <wp:posOffset>1782445</wp:posOffset>
                      </wp:positionV>
                      <wp:extent cx="537845" cy="100965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3784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6;o:allowoverlap:true;o:allowincell:true;mso-position-horizontal-relative:text;margin-left:11.0pt;mso-position-horizontal:absolute;mso-position-vertical-relative:text;margin-top:140.3pt;mso-position-vertical:absolute;width:42.4pt;height:79.5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610*680*1100-1200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1、面料：双框结构弹性背框，一体成型，靠背采用</w:t>
            </w:r>
            <w:r>
              <w:rPr>
                <w:rFonts w:hint="eastAsia" w:ascii="宋体" w:hAnsi="宋体" w:cs="宋体"/>
                <w:color w:val="000000"/>
                <w:sz w:val="24"/>
                <w:szCs w:val="24"/>
                <w:lang w:bidi="ar"/>
              </w:rPr>
              <w:t xml:space="preserve"> 透气网布，坐面采用 麻绒布料，布料的阻燃性能（国家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总铅、总镉、邻苯二甲酸酯等都符合 《国家纺织品基本安全技术规范》、GB/T19817-2005《纺织品 装饰用织物》、GB8624-2012《建筑材料及制品燃烧性能分级》、GB/T18885-2020《生态纺织品技术要求》的要求；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3、底盘：带上下升降及同步倾仰，反冲静音气压杆，尼龙五星脚+PA 静音轮，气压杆的尺寸及外观质量、密封性能、循环寿命、抗拉强度、耐腐蚀性、耐高低温性能等符合标准 GB25751-2010《压缩气弹簧技术条件》、GB/T 29525-2013《座椅升降气弹簧 技术条件》的要求，滚轮符合 QB/T 2280-2016《办公家具办公椅》的要求；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4、功能要求：可升降黑色网布头枕、可调腰靠、固定扶手；带挂衣杆；含定型棉隐藏式抽拉搁脚；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2280-2016《办公家具办公椅》、GB/T35607-2024《绿色产品评价家具》、GB/</w:t>
            </w:r>
            <w:r>
              <w:rPr>
                <w:rFonts w:hint="eastAsia" w:ascii="宋体" w:hAnsi="宋体" w:cs="宋体"/>
                <w:color w:val="000000"/>
                <w:sz w:val="24"/>
                <w:szCs w:val="24"/>
                <w:lang w:bidi="ar"/>
              </w:rPr>
              <w:t xml:space="preserve">T39223.3-2020《健康家居的人类工效学要求 第 3 部分：办公桌椅》，产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腰部支撑面、脊柱后凸接触面、体压分布要求，其他工效学要求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33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60325</wp:posOffset>
                      </wp:positionH>
                      <wp:positionV relativeFrom="paragraph">
                        <wp:posOffset>1021080</wp:posOffset>
                      </wp:positionV>
                      <wp:extent cx="748665" cy="75819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8665"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7;o:allowoverlap:true;o:allowincell:true;mso-position-horizontal-relative:text;margin-left:4.8pt;mso-position-horizontal:absolute;mso-position-vertical-relative:text;margin-top:80.4pt;mso-position-vertical:absolute;width:58.9pt;height:59.7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 QB/T 2189-2013《家具五金杯状暗铰链》、GB/T 10125-2021《人造气氛腐蚀试验盐雾试验》的标准要求；窄边铝合金门框，铝合金的抗拉强度、规定非比例延伸强度、断后伸长率、维氏硬度、压痕硬度、干附着性、湿附着性、耐冲击性、抗弯曲性、光泽度、耐盐酸性、耐腐蚀、冲击强度等符合 GB/T5237.4-2017</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《铝合金建筑型材 第 4 部分：喷粉型材》、GB/T332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-2024《金属家具通用技术条件》的要求； 玻璃及 家具锁，配件的使用功能必须符合使用者的使用需求；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食堂</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214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两门更衣柜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95885</wp:posOffset>
                      </wp:positionH>
                      <wp:positionV relativeFrom="paragraph">
                        <wp:posOffset>925830</wp:posOffset>
                      </wp:positionV>
                      <wp:extent cx="638810" cy="116141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38810" cy="1161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8;o:allowoverlap:true;o:allowincell:true;mso-position-horizontal-relative:text;margin-left:7.5pt;mso-position-horizontal:absolute;mso-position-vertical-relative:text;margin-top:72.9pt;mso-position-vertical:absolute;width:50.3pt;height:91.4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900*420*1800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1、钢板：柜体、层板采用裸板厚度 0.7mm  一级冷轧钢板，厚度均匀，表面质量优越，符合标准中的力学性能要求；层板及顶板采用折弯机自动折弯，柜体及其他部件采用手动折弯设备及气动折弯成型；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2、塑粉：塑粉：表面采用环氧聚酯型粉末涂料，表面性能突出，环保无污染，具有优异的耐候、耐热、耐冲击性能，符合标准要求；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3、五金件：钢柜锁具为锌合金锁壳，表面镀铬，结构安全性能优异；阻尼自动回闭功能，铰链表面镀镍处理，通过耐久性 4万次，垂直静载荷 20KG，水平静载荷 40N 测试；</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外观、形状和位置公差、五金连接件及配件、安全性能、孔和间隙、防倾翻装置、挥发性有机化合物（甲醛、苯、甲苯、二甲苯、TVOC）及其他物质限量（表面涂层、塑料）、表面理化性能、力学性能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501"/>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四人位餐桌椅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55245</wp:posOffset>
                      </wp:positionH>
                      <wp:positionV relativeFrom="paragraph">
                        <wp:posOffset>1055370</wp:posOffset>
                      </wp:positionV>
                      <wp:extent cx="749300" cy="59372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49300" cy="593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9;o:allowoverlap:true;o:allowincell:true;mso-position-horizontal-relative:text;margin-left:4.3pt;mso-position-horizontal:absolute;mso-position-vertical-relative:text;margin-top:83.1pt;mso-position-vertical:absolute;width:59.0pt;height:46.8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1200*1400*750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餐桌面采用304不锈钢板，厚度≥0.6mm；下衬E1级以上环保密度板，厚度≥20mm，并配加强筋加强；座面采用防火板贴面实木多层板，板的纸张撕裂、含水率、表面胶合强度、表面耐磨、表板拼接离缝、甲醛释放量、苯、甲苯、TVOC 都符合国标 GB/T34722-2017《浸渍胶膜纸饰面胶合板和细木工板》、GB/T 35601-2017《绿色产品评价人造板和木质地板》；封边：采用厚度≥2mm 的 PVC 封边条；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金属框架，管材厚度≥2.0mm，经激光切割、焊接、抛光打磨后表面喷涂处理，主框架规格≥30*60mm，副框架规格≥40*40mm。要求：五金焊接部位牢固，无脱焊、虚焊、焊穿，焊缝均匀，无毛刺、锐棱、飞溅、堆积、裂纹，喷涂层光滑均匀、色泽一致、无流挂、疙瘩、皱皮飞漆等缺陷，金属件表面抗盐雾、耐腐蚀；椅脚采用塑料pp材质，结构设计为喇叭脚形状，外观为12角8面菱形内方形；内部采用4根加强筋使其结构承重更</w:t>
            </w:r>
            <w:r>
              <w:rPr>
                <w:rFonts w:hint="eastAsia" w:ascii="宋体" w:hAnsi="宋体" w:cs="宋体"/>
                <w:color w:val="000000"/>
                <w:sz w:val="24"/>
                <w:szCs w:val="24"/>
                <w:lang w:val="en-US" w:eastAsia="zh-CN" w:bidi="ar"/>
              </w:rPr>
              <w:t xml:space="preserve">加</w:t>
            </w:r>
            <w:r>
              <w:rPr>
                <w:rFonts w:hint="eastAsia" w:ascii="宋体" w:hAnsi="宋体" w:cs="宋体"/>
                <w:color w:val="000000"/>
                <w:sz w:val="24"/>
                <w:szCs w:val="24"/>
                <w:lang w:bidi="ar"/>
              </w:rPr>
              <w:t xml:space="preserve">稳固。 脚筒顶端面直径77mm（±5mm)，底部接触面直径150mm（±5mm)，椅脚总长270mm（±5mm)，喇叭形椅脚增大与地面的接触面积，承重力更强，造型美观。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教师餐桌椅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74930</wp:posOffset>
                      </wp:positionH>
                      <wp:positionV relativeFrom="paragraph">
                        <wp:posOffset>1254760</wp:posOffset>
                      </wp:positionV>
                      <wp:extent cx="719455" cy="69405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19455" cy="694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0;o:allowoverlap:true;o:allowincell:true;mso-position-horizontal-relative:text;margin-left:5.9pt;mso-position-horizontal:absolute;mso-position-vertical-relative:text;margin-top:98.8pt;mso-position-vertical:absolute;width:56.6pt;height:54.6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1200*1400*750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1、面板材为12mm 厚的岩板，有天然原料经过特殊工艺，借助万吨以上压机压制（超过15000吨），结合先进的生产技术，经过1200℃以上高温烧制而成，能够经得起切割、钻孔、打磨等加工过程的超大规格新型瓷质材料。面板应符合《陶瓷大板岩板装修镶贴应用规范》(T/CBMCA 039-2023)的标准。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2、背框：尼龙+20%玻纤一体成型，超韧弹性背；产品表面光洁，无划痕、无毛刺，产品的重金属含量符合国家GB/T32487-2016《塑料家具通用技术条件》的标准。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金属框架，管材厚度≥2.0mm，经激光切割、焊接、抛光打磨后表面喷涂处理，主框架规格≥30*60mm，副框架规格≥40*40mm。要求：五金焊接部位牢固，无脱焊、虚焊、焊穿，焊缝均匀，无毛刺、锐棱、飞溅、堆积、裂纹，喷涂层光滑均匀、色泽一致、无流挂、疙瘩、皱皮飞漆等缺陷，金属件表面抗盐雾、耐腐蚀；椅脚采用塑料pp材质，结构设计为喇叭脚形状，外观为12角8面菱形内方形；内部采用4根加强筋使其结构承重更</w:t>
            </w:r>
            <w:r>
              <w:rPr>
                <w:rFonts w:hint="eastAsia" w:ascii="宋体" w:hAnsi="宋体" w:cs="宋体"/>
                <w:color w:val="000000"/>
                <w:sz w:val="24"/>
                <w:szCs w:val="24"/>
                <w:lang w:val="en-US" w:eastAsia="zh-CN" w:bidi="ar"/>
              </w:rPr>
              <w:t xml:space="preserve">加</w:t>
            </w:r>
            <w:r>
              <w:rPr>
                <w:rFonts w:hint="eastAsia" w:ascii="宋体" w:hAnsi="宋体" w:cs="宋体"/>
                <w:color w:val="000000"/>
                <w:sz w:val="24"/>
                <w:szCs w:val="24"/>
                <w:lang w:bidi="ar"/>
              </w:rPr>
              <w:t xml:space="preserve">稳固。 脚筒顶端面直径77mm（±5mm)，底部接触面直径150mm（±5mm)，椅脚总长270mm（±5mm)，喇叭形椅脚增大与地面的接触面积，承重力更强，造型美观。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换鞋凳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17145</wp:posOffset>
                      </wp:positionH>
                      <wp:positionV relativeFrom="paragraph">
                        <wp:posOffset>1718945</wp:posOffset>
                      </wp:positionV>
                      <wp:extent cx="805180" cy="57912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05180"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1;o:allowoverlap:true;o:allowincell:true;mso-position-horizontal-relative:text;margin-left:1.3pt;mso-position-horizontal:absolute;mso-position-vertical-relative:text;margin-top:135.3pt;mso-position-vertical:absolute;width:63.4pt;height:45.6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1600*400*420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1、表面材料：采用环保皮，内衬高回弹海绵，耐污、易清洁。皮革的涂层粘着牢度、往复式摩擦色牢度、皮革可萃取重金属符合标准要求；皮革材质力学及耐磨色牢度等符合标准要求，PH 要求 3.5-6.0，禁用偶氮染料≤30mg/kg，游离甲醛≤75mg/kg，气味≤3 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10802-2006《通用软质聚醚型聚氨酯泡沫塑料》的要求；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3、金属脚：表面喷塑处理，其甲醛含量、挥发性有机化合物（VOC）含量、</w:t>
            </w:r>
            <w:r>
              <w:rPr>
                <w:rFonts w:hint="eastAsia" w:ascii="宋体" w:hAnsi="宋体" w:cs="宋体"/>
                <w:color w:val="000000"/>
                <w:sz w:val="24"/>
                <w:szCs w:val="24"/>
                <w:lang w:bidi="ar"/>
              </w:rPr>
              <w:t xml:space="preserve">苯含量、可溶性重金属含量必须达到室内标准；                                                                         4、参考标准 QB/T 1952.1-2023《软体家具沙发》、GB/T35607-2024《绿色产品评价家具》，产品的用料、加工、外观性能（面料、缝纫和包覆）、力学性能（沙发座、背及扶手耐久性）、理化性能（覆面材料理化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60"/>
        </w:trPr>
        <w:tc>
          <w:tcPr>
            <w:gridSpan w:val="6"/>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报告厅</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75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主席台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-10794</wp:posOffset>
                      </wp:positionH>
                      <wp:positionV relativeFrom="paragraph">
                        <wp:posOffset>2219960</wp:posOffset>
                      </wp:positionV>
                      <wp:extent cx="861695" cy="61722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6169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2;o:allowoverlap:true;o:allowincell:true;mso-position-horizontal-relative:text;margin-left:-0.8pt;mso-position-horizontal:absolute;mso-position-vertical-relative:text;margin-top:174.8pt;mso-position-vertical:absolute;width:67.8pt;height:48.6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2000*700*760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abs激光封边条，激光封边技术使板材之间实现永久性无缝粘结，无胶无味，不会出现拼缝黑线，各种环境下使用不起边翘边；封边条的外观、表面理化性能、甲醛释放量、可溶性重金属等都需符合QB/T4463-2025《家具用封边条技术要求》的标准要求；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 GB/T 3324-2024《木家具通用技术条件》、GB/T 35607-2024《绿色产品评价家具》，产品的形状和位置公差、外观性能要求、理化性能、力学性能、安全性能、产品有害物质（甲醛释放量、苯、甲苯、二甲苯、总挥发性有机化合物等、苯并芘）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4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主席椅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188595</wp:posOffset>
                      </wp:positionH>
                      <wp:positionV relativeFrom="paragraph">
                        <wp:posOffset>2383790</wp:posOffset>
                      </wp:positionV>
                      <wp:extent cx="514985" cy="68072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1498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3;o:allowoverlap:true;o:allowincell:true;mso-position-horizontal-relative:text;margin-left:14.8pt;mso-position-horizontal:absolute;mso-position-vertical-relative:text;margin-top:187.7pt;mso-position-vertical:absolute;width:40.5pt;height:53.6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570*650*880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1、面料：靠背采用环保 高弹性网布，透气耐磨，座垫采用 环保针织布料亲肤舒适，布料的阻燃性能（国家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等都符合 GB18401-2010《国家纺织品基本安全技术规范》、GB/T19817-2005《纺织品装饰用织物》、GB8624-2012《建筑材料及制品燃烧性能分级》的要求；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2、椅背：靠背骨架采用PA 材质加高强度玻璃纤维，靠背强度符合 QB/T 2280-2016《办公家具办公椅》标准，阻燃性能符合国家标准；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3、扶手：主体采用高强度 PP 加玻璃纤维材质，扶手通过钢板与靠背和坐垫连接，垂直测试 115 公斤，水平测试 68 公斤，强度符合 QB/T 2280-2016《办公家具 办公椅》标准。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4、座垫：坐垫骨架采用9 层 13 毫米高强度层压胶合板，填充物高密度海绵组合，面料为环保透气布料，座垫强度符合 QB/T 2280-2016《办公家具 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5、椅架：采用圆形钢管制成，壁厚 1.8mm，表面喷涂处理；地面接触面防滑脚垫；符合测试标准，座面载荷 109kg，循环测试 12 万次。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QB/T 2280-2016《办公家具办公椅》、GB/T35607-2024《绿色产品评价家具》，产品的硬度、冲击强度、耐盐雾、附着力；理化性能（软质聚氨酯泡沫塑料密度、回弹性、75%压缩永久变形）；力学性能；阻燃性；形状和位置公差、外观性能要求、理化性能要求、椅凳类强度和耐久性、椅凳类稳定性；产品有害物质（甲醛释放量、苯、甲苯、二甲苯、总挥发性有机化合物（TVOC）、可分解芳香胺染料（座面布料）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15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演讲台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27940</wp:posOffset>
                      </wp:positionH>
                      <wp:positionV relativeFrom="paragraph">
                        <wp:posOffset>2087245</wp:posOffset>
                      </wp:positionV>
                      <wp:extent cx="750570" cy="85407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50570" cy="854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312;o:allowoverlap:true;o:allowincell:true;mso-position-horizontal-relative:text;margin-left:2.2pt;mso-position-horizontal:absolute;mso-position-vertical-relative:text;margin-top:164.3pt;mso-position-vertical:absolute;width:59.1pt;height:67.2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550*430*1200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abs激光封边条，激光封边技术使板材之间实现永久性无缝粘结，无胶无味，不会出现拼缝黑线，各种环境下使用不起边翘边；封边条的外观、表面理化性能、甲醛释放量、可溶性重金属等都需符合QB/T4463-2025《家具用封边条技术要求》的标准要求；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 GB/T 3324-2024《木家具通用技术条件》、GB/T 35607-2024《绿色产品评价家具》，产品的形状和位置公差、外观性能要求、理化性能、力学性能、安全性能、产品有害物质（甲醛释放量、苯、甲苯、二甲苯、总挥发性有机化合物等、苯并芘）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94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礼堂椅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107950</wp:posOffset>
                      </wp:positionH>
                      <wp:positionV relativeFrom="paragraph">
                        <wp:posOffset>2262505</wp:posOffset>
                      </wp:positionV>
                      <wp:extent cx="628015" cy="83248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28015"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4;o:allowoverlap:true;o:allowincell:true;mso-position-horizontal-relative:text;margin-left:8.5pt;mso-position-horizontal:absolute;mso-position-vertical-relative:text;margin-top:178.1pt;mso-position-vertical:absolute;width:49.4pt;height:65.5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rPr>
            </w:pPr>
            <w:r>
              <w:rPr>
                <w:rFonts w:hint="eastAsia"/>
              </w:rPr>
              <w:t xml:space="preserve">640*710*1000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1、椅背：外板采用多层板外覆榉木经热压一次成型，表面喷环保聚酯漆。海绵采用聚氨脂高回弹定型海绵（密度为45kg/m3）；外覆专业座椅面料，内衬精压胶合板，配有座椅靠背套；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坐垫：外装饰板采用多层板外覆榉木经热压一次成型，带有吸音及排气孔表面喷环保聚酯漆；海绵采用聚氨脂高回弹冷发泡定型海绵（密度为55kg/m3），不变形，不起皱，宽度460mm，坐垫深度490mm，厚度130mm。坐垫缓冲机构：内置扭簧结合阻尼自动回弹装置，保证座椅在人离开后自动缓慢翻起，无冲击，噪音低至A声级（≤30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3、面料：采用耐磨麻绒面料，软硬适中，手感舒适。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4、扶手面板：采用 榉木经脱水、脱脂及精加工处理，表面喷环保聚酯亚光漆，平滑细腻。</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写字板：采用多层实木板热压而成，长255mm，宽235mm，厚度15mm。圆钢采用直径14mm的冷拉圆钢，屈服强度为235MPa，焊接工艺，写字板采用隐藏式设计，不使用时可以将其折叠收纳，不占用过道空间，写字板的折叠收纳装置，具有两轴自由度，采用金属及PA66材料，总体具备高强度及耐磨的特点，安装后具备50kg的承载能力，不易被破坏，使用寿命长。</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t xml:space="preserve">椅脚：椅脚边条材质采用厚度4mm碳素结构钢，屈服强度为235 MPa，合页折弯边条上加工有安装合页的对应槽位，打孔折弯边条上加工有安装消音垫的孔位。所有边条采用厚度为1.5mm的碳素结构钢加工成型，材料屈服强度为235MPa。椅脚后边条上焊接有M8*27mm的内六角长螺母，用于安装背连接板。两螺母间距130mm±0.25mm。合页的规格为φ10 mm，直接焊接在合页折弯边条的对应槽位中。扶板固定板采用20*2mm扁铁加工成型，屈服强度为235MPa，贴合人体坐姿的手臂姿态，扶手采用双折弯边条加合页隐藏焊接。</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7、座椅固定采用M8地爆螺钉。闷盖PP材质，外圆32mm，外径28mm，牙高9mm。横轴采用直径14mm圆钢，屈服强度为235MPa，长度490mm±0.5mm。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8、货物安装中对中尺寸：580mm，扶手的宽度为60mm，一般排距为900—1200mm。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9、采购标的安装时根据场地要求可以用膨胀螺丝或自攻螺丝隐藏在脚板内部固定。                </w:t>
            </w:r>
            <w:r>
              <w:rPr>
                <w:rFonts w:hint="eastAsia" w:ascii="宋体" w:hAnsi="宋体" w:cs="宋体"/>
                <w:color w:val="000000"/>
                <w:sz w:val="24"/>
                <w:szCs w:val="24"/>
                <w:lang w:bidi="ar"/>
              </w:rPr>
              <w:t xml:space="preserve">                                                                  10、参考标准《影剧院公共座椅》(QB/T2602-2003)、 QB/T 1952.1-2023《软体家具 沙发》、GB/T35607-2024《绿色产品评价 家具》，产品的用料、加工、外观性能（面料、缝纫和包覆）、力学性能（沙发座、背及扶手耐久性）、理化性能（覆面材料理化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96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接待沙发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11430</wp:posOffset>
                      </wp:positionH>
                      <wp:positionV relativeFrom="paragraph">
                        <wp:posOffset>450850</wp:posOffset>
                      </wp:positionV>
                      <wp:extent cx="848995" cy="78232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48995" cy="782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5;o:allowoverlap:true;o:allowincell:true;mso-position-horizontal-relative:text;margin-left:0.9pt;mso-position-horizontal:absolute;mso-position-vertical-relative:text;margin-top:35.5pt;mso-position-vertical:absolute;width:66.8pt;height:61.6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1020*860*960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1、内框架：木材含水率要求在 8~12％； 内衬多层板胶合强度≥7MPa，甲醛释放量≤0.08mg/m3；</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2、表面材料：采用 耐磨麻绒面料，软硬适中，手感舒适；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4、装饰板： 橡胶木，板材的外观、木材含水率、见指面抗弯强度、不见指面抗弯强度、甲醛释放量、苯、甲苯、二甲苯、总挥发性有机化合物含量必须</w:t>
            </w:r>
            <w:r>
              <w:rPr>
                <w:rFonts w:hint="eastAsia" w:ascii="宋体" w:hAnsi="宋体" w:cs="宋体"/>
                <w:color w:val="000000"/>
                <w:sz w:val="24"/>
                <w:szCs w:val="24"/>
                <w:lang w:bidi="ar"/>
              </w:rPr>
              <w:t xml:space="preserve">达到室内标准；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1952.1-2023《软体家具沙发》、GB/T35607-2024《绿色产品评价家具》，产品的用料、加工、外观性能（面料、缝纫和包覆）、力学性能（沙发座、背及扶手耐久性）、理化性能（覆面材料理化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174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方茶几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15875</wp:posOffset>
                      </wp:positionH>
                      <wp:positionV relativeFrom="paragraph">
                        <wp:posOffset>1167130</wp:posOffset>
                      </wp:positionV>
                      <wp:extent cx="792480" cy="79121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92480"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6;o:allowoverlap:true;o:allowincell:true;mso-position-horizontal-relative:text;margin-left:1.2pt;mso-position-horizontal:absolute;mso-position-vertical-relative:text;margin-top:91.9pt;mso-position-vertical:absolute;width:62.4pt;height:62.3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600*600*450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1、橡胶木，板材的外观、木材含水率、见指面抗弯强度、不见指面抗弯强度、甲醛释放量、苯、甲苯、二甲苯、总挥发</w:t>
            </w:r>
            <w:r>
              <w:rPr>
                <w:rFonts w:hint="eastAsia" w:ascii="宋体" w:hAnsi="宋体" w:cs="宋体"/>
                <w:color w:val="000000"/>
                <w:sz w:val="24"/>
                <w:szCs w:val="24"/>
                <w:lang w:bidi="ar"/>
              </w:rPr>
              <w:t xml:space="preserve">性有机化合物符合 GB/T 3324-2024《木家具通用技术条件》、GB/T 39600-2021《人造板及其制品甲醛释放量分级》、GB/T21140-2017《非结构用指接材》、GB/T 35601-2017《绿色产品评价人造板和木质地板》的要求；表面使用天然植物精炼木蜡油经反复打磨、浸润、擦拭、上光制成，不含甲醛，木蜡油的VOC 含量、总铅含量、可溶性重金属、乙二醇醚及醚酯总和含量、苯含量、甲苯和二甲苯（含乙苯）总和含量、卤代烃总和含量符合 GB 18581-2020《木器涂料中有害物质限量》的要求；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2、参考标准 GB/T 3324-2024《木家具通用技术条件》、GB/T35607-2024《绿色产品评价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335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55245</wp:posOffset>
                      </wp:positionH>
                      <wp:positionV relativeFrom="paragraph">
                        <wp:posOffset>839470</wp:posOffset>
                      </wp:positionV>
                      <wp:extent cx="700405" cy="68135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0040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7;o:allowoverlap:true;o:allowincell:true;mso-position-horizontal-relative:text;margin-left:4.3pt;mso-position-horizontal:absolute;mso-position-vertical-relative:text;margin-top:66.1pt;mso-position-vertical:absolute;width:55.1pt;height:53.6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 QB/T 2189-2013《家具五金杯状暗铰链》、GB/T 10125-2021《人造气氛腐蚀试验盐雾试验》的标准要求；窄边铝合金门框，铝合金的抗拉强度、规定非比例延伸强度、断后伸长率、维氏硬度、压痕硬度、干附着性、湿附着性、耐冲击性、抗弯曲性、光泽度、耐盐酸性、耐腐蚀、冲击强度等符合 GB/T5237.4-2017</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《铝合金建筑型材 第 4 部分：喷粉型材》、GB/T332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-2024《金属家具通用技术条件》的要求； 玻璃及 家具锁，配件的使用功能必须符合使用者的使用需求；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 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行政楼</w:t>
            </w:r>
            <w:r>
              <w:rPr>
                <w:rFonts w:hint="eastAsia" w:ascii="宋体" w:hAnsi="宋体" w:cs="宋体"/>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0"/>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一、准备室、录播教室3间(5F)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8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培训桌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-1904</wp:posOffset>
                      </wp:positionH>
                      <wp:positionV relativeFrom="paragraph">
                        <wp:posOffset>520700</wp:posOffset>
                      </wp:positionV>
                      <wp:extent cx="799465" cy="88900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99465" cy="889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8;o:allowoverlap:true;o:allowincell:true;mso-position-horizontal-relative:text;margin-left:-0.1pt;mso-position-horizontal:absolute;mso-position-vertical-relative:text;margin-top:41.0pt;mso-position-vertical:absolute;width:62.9pt;height:70.0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800*500*750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abs激光封边条，激光封边技术使板材之间实现永久性无缝粘结，无胶无味，不会出现拼缝黑线，各种环境下使用不起边翘边；封边条的外观、表面理化性能、甲醛释放量、可溶性重金属等都需符合QB/T4463-2025《家具用封边条技术要求》的标准要求；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4、钢脚采用φ30mm*1.5mm（±0.5mm）的套杆和φ25mm*1.5mm（±0.5mm）的内杆做成桌脚。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家具》，产品的形状和位置公差、外观性能要求、理化性能（软硬质覆面、金属喷漆涂层）、安全性能、产品有害物质（甲醛释放量、苯、甲苯、二甲苯、总挥发性有机化合物）、成品的力学性能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5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培训椅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48895</wp:posOffset>
                      </wp:positionH>
                      <wp:positionV relativeFrom="paragraph">
                        <wp:posOffset>1806575</wp:posOffset>
                      </wp:positionV>
                      <wp:extent cx="706120" cy="9010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06120" cy="901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9;o:allowoverlap:true;o:allowincell:true;mso-position-horizontal-relative:text;margin-left:3.8pt;mso-position-horizontal:absolute;mso-position-vertical-relative:text;margin-top:142.2pt;mso-position-vertical:absolute;width:55.6pt;height:71.0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600*540*860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1、背架：全新 PA+玻纤材料，一体注塑成型；靠背带有弹性倾仰设计，有效缓解疲劳；</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2、座垫：采用防阻燃定型海绵，舒适透气；靠背采用 透气网布，坐面采用 麻绒布料，布料的阻燃性能（国家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等都符合 GB18401-2010《国家纺织品基本安全技术规范》、GB/T19817-2005《纺织品 装饰用织物》、GB8624-2012《建筑材料及制品燃烧性能分级》的要求；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3、椅架：采用 T1.5mm 定制异型管，喷涂支架，金属质感，稳固性强，可折叠收纳；</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 QB/T 2280-2016《办公家具办公椅》、GB/T35607-2024《绿色产品评价 家具》，产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80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教室讲台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84455</wp:posOffset>
                      </wp:positionH>
                      <wp:positionV relativeFrom="paragraph">
                        <wp:posOffset>234950</wp:posOffset>
                      </wp:positionV>
                      <wp:extent cx="615950" cy="47053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15950" cy="470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0;o:allowoverlap:true;o:allowincell:true;mso-position-horizontal-relative:text;margin-left:6.6pt;mso-position-horizontal:absolute;mso-position-vertical-relative:text;margin-top:18.5pt;mso-position-vertical:absolute;width:48.5pt;height:37.0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1000*700*1000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1、基材：前挡板采用贴面实木多层板，板的纸张撕裂、含水率、表面胶合强度、表面耐磨、表板拼接离缝、甲醛释放量、苯、甲苯、TVOC 都符合国标 GB/T34722-2017《浸渍胶膜纸饰面胶合板和细木工板》、GB/T 35601-2017《绿色产品评价人造板和木质地板》；</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封边：采用厚度≥2mm的abs封边条，产品外观、理化性能、甲醛释放量、可迁移元素、邻苯二甲酸酯、多溴联苯、多溴联苯醚、多溴二苯醚都需符合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桌面：采用环保防火板贴面，防火板的含水率、表面胶合强度、握螺钉力、表面耐冷热循环、表面耐划痕、表面耐污染腐蚀、表面耐龟裂、表面耐干热、耐光色牢度、表面耐磨、防潮性能、总挥发性有机化合物、甲醛释放量、燃烧性能等级B1符合GB 8624-2012《建筑材料及制品燃烧性能分级》、GB/T 39600-2021《人造板及其制品甲醛释放量分级》、GB/T 15102-2017《浸渍胶膜纸饰面纤维板和刨花板》，桌面塑料孔盖装饰；</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4、钢板：采用裸板厚度 0.8mm  一级冷轧钢板，厚度均匀，表面质量优越，符合标准中的力学性能要求；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5、塑粉：表面采用环氧聚酯型粉末涂料，表面性能突出，环保无污染，具有优异的耐候、耐热、耐冲击性能，符合标准要求；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-2024《金属家具通用技术》、GB/T 35607-2024 《绿色产品评价 家具》，产品的木质件外观、木制件表面贴面层（抗冲击、耐冷热循环、耐污染性能、表面耐磨性、耐干热、耐湿热、耐划痕、耐光色牢度）、金属件外观、金属表面理化性能、家具涂层可迁移元素、力学性能（桌类强度和耐久性、桌类稳定性）、安全性能要求（结构安全）、甲醛释放量、苯、甲苯、二甲苯、TVOC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二、会议室(5F)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21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13970</wp:posOffset>
                      </wp:positionH>
                      <wp:positionV relativeFrom="paragraph">
                        <wp:posOffset>2009775</wp:posOffset>
                      </wp:positionV>
                      <wp:extent cx="807720" cy="5060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07720"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1;o:allowoverlap:true;o:allowincell:true;mso-position-horizontal-relative:text;margin-left:1.1pt;mso-position-horizontal:absolute;mso-position-vertical-relative:text;margin-top:158.2pt;mso-position-vertical:absolute;width:63.6pt;height:39.9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5500*2000*750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1、基材：选用符合室内排放标准的中密度纤维板，板材含水率符合国家标准，甲醛释放量及分级符合 GB/T11718-2021《中密度纤维板》、GB 18580-2017《室内装饰装修材料 人造板及其制品中甲醛释放限量》、GB/T 39600-2021《人造板及其制品甲醛释放量分级》，甲醛限量值 (≤0.05mg/m³ ), 表面贴实木木皮；</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3、胶水：采用 环保型家具用胶黏剂，其甲醛及有害物质含量符合 GB18583-2008《室内装饰装修材料胶粘剂中有害物质限量》标准；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五金配件；桌面带多功能集成线盒（内置强弱电模块）；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5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247015</wp:posOffset>
                      </wp:positionH>
                      <wp:positionV relativeFrom="paragraph">
                        <wp:posOffset>32385</wp:posOffset>
                      </wp:positionV>
                      <wp:extent cx="394970" cy="58737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39497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2;o:allowoverlap:true;o:allowincell:true;mso-position-horizontal-relative:text;margin-left:19.4pt;mso-position-horizontal:absolute;mso-position-vertical-relative:text;margin-top:2.5pt;mso-position-vertical:absolute;width:31.1pt;height:46.2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570*650*880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1、面料：靠背采用环保 高弹性网布，透气耐磨，座垫采用 环保针织布料亲肤舒适，布料的阻燃性能（国家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等都符合 GB18401-2010《国家纺织品基本安全技术规范》、GB/T19817-2005《纺织品装饰用织物》、GB8624-2012《建筑材料及制品燃烧性能分级》的要求；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2、椅背：靠背骨架采用PA 材质加高强度玻璃纤维，靠背强度符合 QB/T 2280-2016《办公家具办公椅》标准，阻燃性能符合国家标准；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3、扶手：主体采用高强度 PP 加玻璃纤维材质，扶手通过钢板与靠背和坐垫连接，垂直测试 115 公斤，水平测试 68 公斤，强度符合 QB/T 2280-2016《办公家具 办公椅》标准。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4、座垫：坐垫骨架采用9 层 13 毫米高强度层压胶合板，填充物高密度海绵组合，面料为环保透气布料，座垫强度符合 QB/T 2280-2016《办公家具 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5、椅架：采用圆形钢管制成，壁厚 1.8mm，表面喷涂处理；地面接触面防滑脚垫；符合测试标准，座面载荷 109kg，循环测试 12 万次。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QB/T 2280-2016《办公家具办公椅》、GB/T35607-2024《绿色产品评价家具》，产品的硬度、冲击强度、耐盐雾、附着力；理化性能（软质聚氨酯泡沫塑料密度、回弹性、75%压缩永久变形）；力学性能；阻燃性；形状和位置公差、外观性能要求、理化性能要求、椅凳类强度和耐久性、椅凳类稳定性；产品有害物质（甲醛释放量、苯、甲苯、二甲苯、总挥发性有机化合物（TVOC）、可分解芳香胺染料（座面布料）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77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173355</wp:posOffset>
                      </wp:positionH>
                      <wp:positionV relativeFrom="paragraph">
                        <wp:posOffset>95885</wp:posOffset>
                      </wp:positionV>
                      <wp:extent cx="474980" cy="45466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474980"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3;o:allowoverlap:true;o:allowincell:true;mso-position-horizontal-relative:text;margin-left:13.6pt;mso-position-horizontal:absolute;mso-position-vertical-relative:text;margin-top:7.5pt;mso-position-vertical:absolute;width:37.4pt;height:35.8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 QB/T 2189-2013《家具五金 杯状暗铰链》、GB/T 10125-2021《人造气氛腐蚀试验盐雾试验》的标准要求；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三、会议室/党建室各1间(6F)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-27304</wp:posOffset>
                      </wp:positionH>
                      <wp:positionV relativeFrom="paragraph">
                        <wp:posOffset>1950720</wp:posOffset>
                      </wp:positionV>
                      <wp:extent cx="824230" cy="5207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824230"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4;o:allowoverlap:true;o:allowincell:true;mso-position-horizontal-relative:text;margin-left:-2.1pt;mso-position-horizontal:absolute;mso-position-vertical-relative:text;margin-top:153.6pt;mso-position-vertical:absolute;width:64.9pt;height:41.0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4500*1500*750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1、基材：选用符合室内排放标准的中密度纤维板，板材含水率符合国家标准，甲醛释放量及分级符合 GB/T11718-2021《中密度纤维板》、GB 18580-2017《室内装饰装修材料人造板及其制品中甲醛释放限量》、GB/T 39600-2021《人造板及其制品甲醛释放量分级》，甲醛限量值 (≤0.05mg/m³ ), 表面贴实木木皮；</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3、胶水：采用 环保型家具用胶黏剂，其甲醛及有害物质含量符合 GB18583-2008《室内装饰装修材料胶粘剂中有害物质限量》标准；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五金配件；桌面带多功能集成线盒（内置强弱电模块）；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 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4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263525</wp:posOffset>
                      </wp:positionH>
                      <wp:positionV relativeFrom="paragraph">
                        <wp:posOffset>82550</wp:posOffset>
                      </wp:positionV>
                      <wp:extent cx="356870" cy="5175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356870"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5;o:allowoverlap:true;o:allowincell:true;mso-position-horizontal-relative:text;margin-left:20.8pt;mso-position-horizontal:absolute;mso-position-vertical-relative:text;margin-top:6.5pt;mso-position-vertical:absolute;width:28.1pt;height:40.8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570*650*880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1、面料：靠背采用环保 高弹性网布，透气耐磨，座垫采用 环保针织布料亲肤舒适，布料的阻燃性能（国家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等都符合 GB18401-2010《国家纺织品基本安全技术规范》、GB/T19817-2005《纺织品装饰用织物》、GB8624-2012《建筑材料及制品燃烧性能分级》的要求；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2、椅背：靠背骨架采用PA 材质加高强度玻璃纤维，靠背强度符合 QB/T 2280-2016《办公家具 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3、扶手：主体采用高强度 PP 加玻璃纤维材质，扶手通过钢板与靠背和坐垫连接，垂直测试 115 公斤，水平测试 68 公斤，强度符合 QB/T 2280-2016《办公家具 办公椅》标准。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4、座垫：坐垫骨架采用9 层 13 毫米高强度层压胶合板，填充物高密度海绵组合，面料为环保透气布料，座垫强度符合 QB/T 2280-2016《办公家具办公椅》标准，阻燃性能符合国家标准；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5、椅架：采用圆形钢管制成，壁厚 1.8mm，表面喷涂处理；地面接触面防滑脚垫；符合测试标准，座面载荷 109kg，循环测试 12 万次。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QB/T 2280-2016《办公家具办公椅》、GB/T35607-2024《绿色产品评价家具》，产品的硬度、冲击强度、耐盐雾、附着力；理化性能（软质聚氨酯泡沫塑料密度、回弹性、75%压缩永久变形）；力学性能；阻燃性；形状和位置公差、外观性能要求、理化性能要求、椅凳类强度和耐久性、椅凳类稳定性；产品有害物质（甲醛释放量、苯、甲苯、二甲苯、总挥发性有机化合物（TVOC）、可分解芳香胺染料（座面布料）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7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66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66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3810</wp:posOffset>
                      </wp:positionH>
                      <wp:positionV relativeFrom="paragraph">
                        <wp:posOffset>965835</wp:posOffset>
                      </wp:positionV>
                      <wp:extent cx="824865" cy="86360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824865" cy="8635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6;o:allowoverlap:true;o:allowincell:true;mso-position-horizontal-relative:text;margin-left:0.3pt;mso-position-horizontal:absolute;mso-position-vertical-relative:text;margin-top:76.0pt;mso-position-vertical:absolute;width:65.0pt;height:68.0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 QB/T 2189-2013《家具五金 杯状暗铰链》、GB/T 10125-2021《人造气氛腐蚀试验盐雾试验》的标准要求；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w:t>
            </w: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574040</wp:posOffset>
                      </wp:positionH>
                      <wp:positionV relativeFrom="paragraph">
                        <wp:posOffset>1518920</wp:posOffset>
                      </wp:positionV>
                      <wp:extent cx="829945" cy="67056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29944"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7;o:allowoverlap:true;o:allowincell:true;mso-position-horizontal-relative:text;margin-left:45.2pt;mso-position-horizontal:absolute;mso-position-vertical-relative:text;margin-top:119.6pt;mso-position-vertical:absolute;width:65.3pt;height:52.8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 w:val="24"/>
                <w:szCs w:val="24"/>
                <w:lang w:bidi="ar"/>
              </w:rPr>
              <w:t xml:space="preserve">条桌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1400*500*750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4、桌架：桌面含护角，直角型的控制杆，单手按压，外置防护罩；钢制支撑脚架采用 20mm*25mm 的钢管，桌面横管采用20mm*40mm 的方管，脚架采用 25mm*50mm 的方管，壁厚为 1.8mm；带置物框及活动滚轮，符合会议使用功能及安全需求；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5、配件： 五金配件；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党建室</w:t>
            </w: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会议椅子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127635</wp:posOffset>
                      </wp:positionH>
                      <wp:positionV relativeFrom="paragraph">
                        <wp:posOffset>1521460</wp:posOffset>
                      </wp:positionV>
                      <wp:extent cx="514985" cy="80962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1498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8;o:allowoverlap:true;o:allowincell:true;mso-position-horizontal-relative:text;margin-left:10.0pt;mso-position-horizontal:absolute;mso-position-vertical-relative:text;margin-top:119.8pt;mso-position-vertical:absolute;width:40.5pt;height:63.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570*650*880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1、面料：靠背采用环保 高弹性网布，透气耐磨，座垫采用 环保针织布料亲肤舒适，布料的阻燃性能（国家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等都符合 GB18401-2010《国家纺织品基本安全技术规范》、GB/T19817-2005《纺织品 装饰用织物》、GB8624-2012《建筑材料及制品燃烧性能分级》的要求；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2、椅背：靠背骨架采用PA 材质加高强度玻璃纤维，靠背强度符合 QB/T 2280-2016《办公家具 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3、扶手：主体采用高强度 PP 加玻璃纤维材质，扶手通过钢板与靠背和坐垫连接，垂直测试 115 公斤，水平测试 68 公斤，强度符合 QB/T 2280-2016《办公家具 办公椅》标准。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4、座垫：坐垫骨架采用9 层 13 毫米高强度层压胶合板，填充物高密度海绵组合，面料为环保透气布料，座垫强度符合 QB/T 2280-2016《办公家具 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5、椅架：采用圆形钢管制成，壁厚 1.8mm，表面喷涂处理；地面接触面防滑脚垫；符合测试标准，座面载荷 109kg，循环测试 12 万次。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QB/T 2280-2016《办公家具办公椅》、GB/T35607-2024《绿色产品评价家具》，产品的硬度、冲击强度、耐盐雾、附着力；理化性能（软质聚氨酯泡沫塑料密度、回弹性、75%压缩永久变形）；力学性能；阻燃性；形状和位置公差、外观性能要求、理化性能要求、椅凳类强度和耐久性、椅凳类稳定性；产品有害物质（甲醛释放量、苯、甲苯、二甲苯、总挥发性有机化合物（TVOC）、可分解芳香胺染料（座面布料）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党建室</w:t>
            </w:r>
            <w:r>
              <w:rPr>
                <w:rFonts w:hint="eastAsia" w:ascii="宋体" w:hAnsi="宋体" w:cs="宋体"/>
                <w:color w:val="000000"/>
                <w:sz w:val="24"/>
                <w:szCs w:val="24"/>
              </w:rP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四、行政办公桌5人（4间）(6F)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16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32385</wp:posOffset>
                      </wp:positionH>
                      <wp:positionV relativeFrom="paragraph">
                        <wp:posOffset>1339215</wp:posOffset>
                      </wp:positionV>
                      <wp:extent cx="782320" cy="53403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82320" cy="534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9;o:allowoverlap:true;o:allowincell:true;mso-position-horizontal-relative:text;margin-left:2.5pt;mso-position-horizontal:absolute;mso-position-vertical-relative:text;margin-top:105.4pt;mso-position-vertical:absolute;width:61.6pt;height:42.0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sz w:val="24"/>
                <w:szCs w:val="24"/>
              </w:rPr>
            </w:pPr>
            <w:r>
              <w:rPr>
                <w:rFonts w:hint="eastAsia" w:ascii="宋体" w:hAnsi="宋体" w:cs="宋体"/>
                <w:color w:val="000000"/>
                <w:sz w:val="24"/>
                <w:szCs w:val="24"/>
                <w:lang w:bidi="ar"/>
              </w:rPr>
              <w:t xml:space="preserve">主桌1600*700*750</w:t>
            </w:r>
            <w:r>
              <w:rPr>
                <w:rFonts w:hint="eastAsia" w:ascii="宋体" w:hAnsi="宋体" w:cs="宋体"/>
                <w:sz w:val="24"/>
                <w:szCs w:val="24"/>
              </w:rPr>
            </w:r>
            <w:r/>
          </w:p>
          <w:p>
            <w:pPr>
              <w:pStyle w:val="660"/>
              <w:jc w:val="center"/>
              <w:widowControl/>
              <w:rPr>
                <w:rFonts w:hint="eastAsia" w:ascii="宋体" w:hAnsi="宋体" w:cs="宋体"/>
                <w:sz w:val="24"/>
                <w:szCs w:val="24"/>
              </w:rPr>
            </w:pPr>
            <w:r>
              <w:rPr>
                <w:rFonts w:hint="eastAsia" w:ascii="宋体" w:hAnsi="宋体" w:cs="宋体"/>
                <w:sz w:val="24"/>
                <w:szCs w:val="24"/>
              </w:rPr>
              <w:t xml:space="preserve">侧边柜</w:t>
            </w:r>
            <w:r>
              <w:rPr>
                <w:rFonts w:hint="eastAsia" w:ascii="宋体" w:hAnsi="宋体" w:cs="宋体"/>
                <w:sz w:val="24"/>
                <w:szCs w:val="24"/>
              </w:rPr>
            </w:r>
            <w:r/>
          </w:p>
          <w:p>
            <w:pPr>
              <w:pStyle w:val="660"/>
              <w:jc w:val="center"/>
              <w:widowControl/>
            </w:pPr>
            <w:r>
              <w:rPr>
                <w:rFonts w:hint="eastAsia" w:ascii="宋体" w:hAnsi="宋体" w:cs="宋体"/>
                <w:sz w:val="24"/>
                <w:szCs w:val="24"/>
              </w:rPr>
              <w:t xml:space="preserve">1400*400*660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 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料家具中有害物质限量》的要求；  </w:t>
            </w:r>
            <w:r>
              <w:rPr>
                <w:rFonts w:hint="eastAsia" w:ascii="宋体" w:hAnsi="宋体" w:cs="宋体"/>
                <w:color w:val="000000"/>
                <w:sz w:val="24"/>
                <w:szCs w:val="24"/>
                <w:lang w:bidi="ar"/>
              </w:rPr>
              <w:t xml:space="preserve">                                                                                                                                         4、钢架：钢管壁厚≥1.2mm，表面喷塑，高压静电喷塑前经过13道前期处理，无甲醛释放量，底脚防滑脚垫，采用ABS模具一体成型；钢制件的酸性盐雾试验符合标准GB/T10125-2021《人造气氛腐蚀试验盐雾试验》；桌面下带横向钢制支撑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87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107315</wp:posOffset>
                      </wp:positionH>
                      <wp:positionV relativeFrom="paragraph">
                        <wp:posOffset>946150</wp:posOffset>
                      </wp:positionV>
                      <wp:extent cx="610870" cy="102743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0870" cy="1027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0;o:allowoverlap:true;o:allowincell:true;mso-position-horizontal-relative:text;margin-left:8.4pt;mso-position-horizontal:absolute;mso-position-vertical-relative:text;margin-top:74.5pt;mso-position-vertical:absolute;width:48.1pt;height:80.9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610*680*1100-1200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1、面料：双框结构弹性背框，一体成型，靠背采用 透气网布，坐面采用 </w:t>
            </w:r>
            <w:r>
              <w:rPr>
                <w:rFonts w:hint="eastAsia" w:ascii="宋体" w:hAnsi="宋体" w:cs="宋体"/>
                <w:color w:val="000000"/>
                <w:sz w:val="24"/>
                <w:szCs w:val="24"/>
                <w:lang w:bidi="ar"/>
              </w:rPr>
              <w:t xml:space="preserve">麻绒布料，布料的阻燃性能（国家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总铅、总镉、邻苯二甲酸酯等都符合 GB18401-2010《国家纺织品基本安全技术规范》、GB/T19817-2005《纺织品装饰用织物》、GB8624-2012《建筑材料及制品燃烧性能分级》、GB/T18885-2020《生态纺织品技术要求》的要求；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 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3、底盘：带上下升降及同步倾仰，反冲静音气压杆，尼龙五星脚+PA 静音轮，气压杆的尺寸及外观质量、密封性能、循环寿命、抗拉强度、耐腐蚀性、耐高低温性能等符合标准 GB25751-2010《压缩气弹簧技术条件》、GB/T 29525-2013《座椅升降气弹簧技术条件》的要求，滚轮符合 QB/T 2280-2016《办公家具办公椅》的要求；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4、功能要求：可升降黑色网布头枕、可调腰靠、固定扶手；带挂衣杆；含定型棉隐藏式抽拉搁脚；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2280-2016《办公家具办公椅》、GB/T35607-2024《绿色产品评价家具》、GB/</w:t>
            </w:r>
            <w:r>
              <w:rPr>
                <w:rFonts w:hint="eastAsia" w:ascii="宋体" w:hAnsi="宋体" w:cs="宋体"/>
                <w:color w:val="000000"/>
                <w:sz w:val="24"/>
                <w:szCs w:val="24"/>
                <w:lang w:bidi="ar"/>
              </w:rPr>
              <w:t xml:space="preserve">T39223.3-2020《健康家居的人类工效学要求 第 3 部分：办公桌椅》，产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腰部支撑面、脊柱后凸接触面、体压分布要求，其他工效学要求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54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文件柜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114935</wp:posOffset>
                      </wp:positionH>
                      <wp:positionV relativeFrom="paragraph">
                        <wp:posOffset>318135</wp:posOffset>
                      </wp:positionV>
                      <wp:extent cx="688340" cy="125603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88340" cy="125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1;o:allowoverlap:true;o:allowincell:true;mso-position-horizontal-relative:text;margin-left:9.0pt;mso-position-horizontal:absolute;mso-position-vertical-relative:text;margin-top:25.0pt;mso-position-vertical:absolute;width:54.2pt;height:98.9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900*400*1850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1、钢板:柜体、层板采用裸板厚度 0.7m -级冷轧钢板，厚度均匀，表面质里优越，符合标准中的力学性能要求;层板及项板采用折弯机自动折弯，柜体及其他部件采用手动折弯设备及气动折弯成型: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2、塑粉:表面采用环氧聚醋型粉末涂料，表面性能突出，环保无污染，具有优异的耐候、耐热、耐冲击性能，符合标准要求;                                                                            3、功能:-次成型内嵌式拉手;一体式底座内置可调脚</w:t>
            </w:r>
            <w:r>
              <w:rPr>
                <w:rFonts w:hint="eastAsia" w:ascii="宋体" w:hAnsi="宋体" w:cs="宋体"/>
                <w:color w:val="000000"/>
                <w:sz w:val="24"/>
                <w:szCs w:val="24"/>
                <w:lang w:bidi="ar"/>
              </w:rPr>
              <w:t xml:space="preserve">，方便配合不同室内的地面水平;内置挂衣杆、小镜子、名片槽;                                                                                    4、五金件:钢柜锁具为锌合金锁壳，表面铬，结构安全性能优异;阻尼自动回闭功能，铰链表面镀镍处理，通过耐久性4万次，垂直静载荷 20KG，水平静载荷40测试:                                                   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外观、形状和位置公差、五金连接件及配件、安全性能、孔和间隙、挥发性有机化合物(甲醛、苯、甲苯、二甲苯、TVOC)及其他物质限里(表面涂层、塑料)、表面理化性能、力学性能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91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-1904</wp:posOffset>
                      </wp:positionH>
                      <wp:positionV relativeFrom="paragraph">
                        <wp:posOffset>701675</wp:posOffset>
                      </wp:positionV>
                      <wp:extent cx="829310" cy="80645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29310" cy="806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2;o:allowoverlap:true;o:allowincell:true;mso-position-horizontal-relative:text;margin-left:-0.1pt;mso-position-horizontal:absolute;mso-position-vertical-relative:text;margin-top:55.2pt;mso-position-vertical:absolute;width:65.3pt;height:63.5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 QB/T 2189-2013《家具五金 杯状暗铰链》、GB/T 10125-2021《人造气氛腐蚀试验盐雾试验》的标准要求；窄边铝合金门框，铝合金的抗拉强度、规定非比例延伸强度、断后伸长率、维氏硬度、压痕硬度、干附着性、湿附着性、耐冲击性、抗弯曲性、光泽度、耐盐酸性、耐腐蚀、冲击强度等符合 GB/T5237.4-2017《铝合金建筑型材 第 4 部分：喷粉型材》、GB/T332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-2024《金属家具通用技术条件》的要求； 玻璃及 家具锁，配件的使用功能必须符合使用者的使用需求；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五、校长室、书记室（7F）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11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13335</wp:posOffset>
                      </wp:positionH>
                      <wp:positionV relativeFrom="paragraph">
                        <wp:posOffset>895350</wp:posOffset>
                      </wp:positionV>
                      <wp:extent cx="829945" cy="48069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829944"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3;o:allowoverlap:true;o:allowincell:true;mso-position-horizontal-relative:text;margin-left:1.1pt;mso-position-horizontal:absolute;mso-position-vertical-relative:text;margin-top:70.5pt;mso-position-vertical:absolute;width:65.3pt;height:37.9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pPr>
            <w:r>
              <w:rPr>
                <w:rFonts w:hint="eastAsia" w:ascii="宋体" w:hAnsi="宋体" w:cs="宋体"/>
                <w:color w:val="000000"/>
                <w:sz w:val="24"/>
                <w:szCs w:val="24"/>
                <w:lang w:bidi="ar"/>
              </w:rPr>
              <w:t xml:space="preserve">主桌1600*700*750</w:t>
            </w:r>
            <w:r/>
          </w:p>
          <w:p>
            <w:pPr>
              <w:pStyle w:val="660"/>
              <w:jc w:val="center"/>
              <w:widowControl/>
              <w:rPr>
                <w:rFonts w:hint="eastAsia"/>
              </w:rPr>
            </w:pPr>
            <w:r>
              <w:rPr>
                <w:rFonts w:hint="eastAsia"/>
              </w:rPr>
              <w:t xml:space="preserve">侧边柜</w:t>
            </w:r>
            <w:r>
              <w:rPr>
                <w:rFonts w:hint="eastAsia"/>
              </w:rPr>
            </w:r>
            <w:r/>
          </w:p>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1400*400*660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料家具中有害物质限量》的要求；  </w:t>
            </w:r>
            <w:r>
              <w:rPr>
                <w:rFonts w:hint="eastAsia" w:ascii="宋体" w:hAnsi="宋体" w:cs="宋体"/>
                <w:color w:val="000000"/>
                <w:sz w:val="24"/>
                <w:szCs w:val="24"/>
                <w:lang w:bidi="ar"/>
              </w:rPr>
              <w:t xml:space="preserve">                                                                                                                                         4、钢架：钢管壁厚≥1.2mm，表面喷塑，高压静电喷塑前经过13道前期处理，无甲醛释放量，底脚防滑脚垫，采用ABS模具一体成型；钢制件的酸性盐雾试验符合标准GB/T10125-2021《人造气氛腐蚀试验盐雾试验》；桌面下带横向钢制支撑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941"/>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101600</wp:posOffset>
                      </wp:positionH>
                      <wp:positionV relativeFrom="paragraph">
                        <wp:posOffset>1931035</wp:posOffset>
                      </wp:positionV>
                      <wp:extent cx="527050" cy="9366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27050"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4;o:allowoverlap:true;o:allowincell:true;mso-position-horizontal-relative:text;margin-left:8.0pt;mso-position-horizontal:absolute;mso-position-vertical-relative:text;margin-top:152.0pt;mso-position-vertical:absolute;width:41.5pt;height:73.8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610*680*1120-1220</w:t>
            </w:r>
            <w:r>
              <w:rPr>
                <w:rFonts w:hint="eastAsia" w:ascii="宋体" w:hAnsi="宋体" w:cs="宋体"/>
                <w:color w:val="000000"/>
                <w:sz w:val="24"/>
                <w:szCs w:val="24"/>
                <w:lang w:bidi="ar"/>
              </w:rPr>
              <w:tab/>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1、面料：双框结构弹性背框，一体成型，靠背采用 透气网布，坐面采用 </w:t>
            </w:r>
            <w:r>
              <w:rPr>
                <w:rFonts w:hint="eastAsia" w:ascii="宋体" w:hAnsi="宋体" w:cs="宋体"/>
                <w:color w:val="000000"/>
                <w:sz w:val="24"/>
                <w:szCs w:val="24"/>
                <w:lang w:bidi="ar"/>
              </w:rPr>
              <w:t xml:space="preserve">麻绒布料，布料的阻燃性能（国家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总铅、总镉、邻苯二甲酸酯等都符合 GB18401-2010《国家纺织品基本安全技术规范》、GB/T19817-2005《纺织品装饰用织物》、GB8624-2012《建筑材料及制品燃烧性能分级》、GB/T18885-2020《生态纺织品技术要求》的要求；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 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3、底盘：带上下升降及同步倾仰，反冲静音气压杆，尼龙五星脚+PA 静音轮，气压杆的尺寸及外观质量、密封性能、循环寿命、抗拉强度、耐腐蚀性、耐高低温性能等符合标准 GB25751-2010《压缩气弹簧技术条件》、GB/T 29525-2013《座椅升降气弹簧技术条件》的要求，滚轮符合 QB/T 2280-2016《办公家具办公椅》的要求；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4、功能要求：可升降黑色网布头枕、可调腰靠、固定扶手；带挂衣杆；含定型棉隐藏式抽拉搁脚；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2280-2016《办公家具办公椅》、GB/T35607-2024《绿色产品评价家具》、GB/</w:t>
            </w:r>
            <w:r>
              <w:rPr>
                <w:rFonts w:hint="eastAsia" w:ascii="宋体" w:hAnsi="宋体" w:cs="宋体"/>
                <w:color w:val="000000"/>
                <w:sz w:val="24"/>
                <w:szCs w:val="24"/>
                <w:lang w:bidi="ar"/>
              </w:rPr>
              <w:t xml:space="preserve">T39223.3-2020《健康家居的人类工效学要求 第 3 部分：办公桌椅》，产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腰部支撑面、脊柱后凸接触面、体压分布要求，其他工效学要求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89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洽谈椅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127000</wp:posOffset>
                      </wp:positionH>
                      <wp:positionV relativeFrom="paragraph">
                        <wp:posOffset>1039495</wp:posOffset>
                      </wp:positionV>
                      <wp:extent cx="537845" cy="100965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3784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5;o:allowoverlap:true;o:allowincell:true;mso-position-horizontal-relative:text;margin-left:10.0pt;mso-position-horizontal:absolute;mso-position-vertical-relative:text;margin-top:81.8pt;mso-position-vertical:absolute;width:42.4pt;height:79.5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610*680*1100-1200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1、面料：双框结构弹性背框，一体成型，靠背采用 透气网布，坐面采用 </w:t>
            </w:r>
            <w:r>
              <w:rPr>
                <w:rFonts w:hint="eastAsia" w:ascii="宋体" w:hAnsi="宋体" w:cs="宋体"/>
                <w:color w:val="000000"/>
                <w:sz w:val="24"/>
                <w:szCs w:val="24"/>
                <w:lang w:bidi="ar"/>
              </w:rPr>
              <w:t xml:space="preserve">麻绒布料，布料的阻燃性能（国家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总铅、总镉、邻苯二甲酸酯等都符合 GB18401-2010《国家纺织品基本安全技术规范》、GB/T19817-2005《纺织品装饰用织物》、GB8624-2012《建筑材料及制品燃烧性能分级》、GB/T18885-2020《生态纺织品技术要求》的要求；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 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3、底盘：带上下升降及同步倾仰，反冲静音气压杆，尼龙五星脚+PA 静音轮，气压杆的尺寸及外观质量、密封性能、循环寿命、抗拉强度、耐腐蚀性、耐高低温性能等符合标准 GB25751-2010《压缩气弹簧技术条件》、GB/T 29525-2013《座椅升降气弹簧技术条件》的要求，滚轮符合 QB/T 2280-2016《办公家具办公椅》的要求；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4、功能要求：可升降黑色网布头枕、可调腰靠、固定扶手；带挂衣杆；含定型棉隐藏式抽拉搁脚；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2280-2016《办公家具办公椅》、GB/T35607-2024《绿色产品评价家具》、GB/</w:t>
            </w:r>
            <w:r>
              <w:rPr>
                <w:rFonts w:hint="eastAsia" w:ascii="宋体" w:hAnsi="宋体" w:cs="宋体"/>
                <w:color w:val="000000"/>
                <w:sz w:val="24"/>
                <w:szCs w:val="24"/>
                <w:lang w:bidi="ar"/>
              </w:rPr>
              <w:t xml:space="preserve">T39223.3-2020《健康家居的人类工效学要求 第 3 部分：办公桌椅》，产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腰部支撑面、脊柱后凸接触面、体压分布要求，其他工效学要求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03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17780</wp:posOffset>
                      </wp:positionH>
                      <wp:positionV relativeFrom="paragraph">
                        <wp:posOffset>927735</wp:posOffset>
                      </wp:positionV>
                      <wp:extent cx="751840" cy="73088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51840"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6;o:allowoverlap:true;o:allowincell:true;mso-position-horizontal-relative:text;margin-left:1.4pt;mso-position-horizontal:absolute;mso-position-vertical-relative:text;margin-top:73.0pt;mso-position-vertical:absolute;width:59.2pt;height:57.5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 QB/T 2189-2013《家具五金 杯状暗铰链》、GB/T 10125-2021《人造气氛腐蚀试验  盐雾试验》的标准要求；窄边铝合金门框，铝合金的抗拉强度、规定非比例延伸强度、断后伸长率、维氏硬度、压痕硬度、干附着性、湿附着性、耐冲击性、抗弯曲性、光泽度、耐盐酸性、耐腐蚀、冲击强度等符合 GB/T5237.4-2017</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《铝合金建筑型材 第 4 部分：喷粉型材》、GB/T332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-2024《金属家具通用技术条件》的要求； 玻璃及 家具锁，配件的使用功能必须符合使用者的使用需求；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 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六、副校长室6间（7F）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49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-17144</wp:posOffset>
                      </wp:positionH>
                      <wp:positionV relativeFrom="paragraph">
                        <wp:posOffset>1419860</wp:posOffset>
                      </wp:positionV>
                      <wp:extent cx="840105" cy="58420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40105"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7;o:allowoverlap:true;o:allowincell:true;mso-position-horizontal-relative:text;margin-left:-1.3pt;mso-position-horizontal:absolute;mso-position-vertical-relative:text;margin-top:111.8pt;mso-position-vertical:absolute;width:66.1pt;height:46.0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pPr>
            <w:r>
              <w:rPr>
                <w:rFonts w:hint="eastAsia" w:ascii="宋体" w:hAnsi="宋体" w:cs="宋体"/>
                <w:color w:val="000000"/>
                <w:sz w:val="24"/>
                <w:szCs w:val="24"/>
                <w:lang w:bidi="ar"/>
              </w:rPr>
              <w:t xml:space="preserve">主桌1600*700*750</w:t>
            </w:r>
            <w:r/>
          </w:p>
          <w:p>
            <w:pPr>
              <w:pStyle w:val="660"/>
              <w:jc w:val="center"/>
              <w:widowControl/>
              <w:rPr>
                <w:rFonts w:hint="eastAsia"/>
              </w:rPr>
            </w:pPr>
            <w:r>
              <w:rPr>
                <w:rFonts w:hint="eastAsia"/>
              </w:rPr>
              <w:t xml:space="preserve">侧边柜</w:t>
            </w:r>
            <w:r>
              <w:rPr>
                <w:rFonts w:hint="eastAsia"/>
              </w:rPr>
            </w:r>
            <w:r/>
          </w:p>
          <w:p>
            <w:pPr>
              <w:pStyle w:val="660"/>
            </w:pPr>
            <w:r>
              <w:rPr>
                <w:rFonts w:hint="eastAsia" w:ascii="宋体" w:hAnsi="宋体" w:cs="宋体"/>
                <w:color w:val="000000"/>
                <w:sz w:val="24"/>
                <w:szCs w:val="24"/>
                <w:lang w:bidi="ar"/>
              </w:rPr>
              <w:t xml:space="preserve">1400*400*660</w:t>
            </w:r>
            <w:r/>
          </w:p>
          <w:p>
            <w:pPr>
              <w:pStyle w:val="66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料家具中有害物质限量》的要求；   </w:t>
            </w:r>
            <w:r>
              <w:rPr>
                <w:rFonts w:hint="eastAsia" w:ascii="宋体" w:hAnsi="宋体" w:cs="宋体"/>
                <w:color w:val="000000"/>
                <w:sz w:val="24"/>
                <w:szCs w:val="24"/>
                <w:lang w:bidi="ar"/>
              </w:rPr>
              <w:t xml:space="preserve">                                                                                                                                        4、钢架：钢管壁厚≥1.2mm，表面喷塑，高压静电喷塑前经过13道前期处理，无甲醛释放量，底脚防滑脚垫，采用ABS模具一体成型；钢制件的酸性盐雾试验符合标准GB/T10125-2021《人造气氛腐蚀试验 盐雾试验》；桌面下带横向钢制支撑杆；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94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116205</wp:posOffset>
                      </wp:positionH>
                      <wp:positionV relativeFrom="paragraph">
                        <wp:posOffset>1044575</wp:posOffset>
                      </wp:positionV>
                      <wp:extent cx="551815" cy="82804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51815" cy="828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78;o:allowoverlap:true;o:allowincell:true;mso-position-horizontal-relative:text;margin-left:9.2pt;mso-position-horizontal:absolute;mso-position-vertical-relative:text;margin-top:82.2pt;mso-position-vertical:absolute;width:43.4pt;height:65.2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610*680*1120-1220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1、面料：双框结构弹性背框，一体成型，靠背采用 透气网布，坐面采用 麻</w:t>
            </w:r>
            <w:r>
              <w:rPr>
                <w:rFonts w:hint="eastAsia" w:ascii="宋体" w:hAnsi="宋体" w:cs="宋体"/>
                <w:color w:val="000000"/>
                <w:sz w:val="24"/>
                <w:szCs w:val="24"/>
                <w:lang w:bidi="ar"/>
              </w:rPr>
              <w:t xml:space="preserve">绒布料，布料的阻燃性能（国家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总铅、总镉、邻苯二甲酸酯等都符合 GB18401-2010《国家纺织品基本安全技术规范》、GB/T19817-2005《纺织品 装饰用织物》、GB8624-2012《建筑材料及制品燃烧性能分级》、GB/T18885-2020《生态纺织品技术要求》的要求；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 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3、底盘：带上下升降及同步倾仰，反冲静音气压杆，尼龙五星脚+PA 静音轮，气压杆的尺寸及外观质量、密封性能、循环寿命、抗拉强度、耐腐蚀性、耐高低温性能等符合标准 GB25751-2010《压缩气弹簧技术条件》、GB/T 29525-2013《座椅升降气弹簧 技术条件》的要求，滚轮符合 QB/T 2280-2016《办公家具 办公椅》的要求；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4、功能要求：可升降黑色网布头枕、可调腰靠、固定扶手；带挂衣杆；含定型棉隐藏式抽拉搁脚；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2280-2016《办公家具办公椅》、GB/T35607-2024《绿色产品评价家具》、GB/</w:t>
            </w:r>
            <w:r>
              <w:rPr>
                <w:rFonts w:hint="eastAsia" w:ascii="宋体" w:hAnsi="宋体" w:cs="宋体"/>
                <w:color w:val="000000"/>
                <w:sz w:val="24"/>
                <w:szCs w:val="24"/>
                <w:lang w:bidi="ar"/>
              </w:rPr>
              <w:t xml:space="preserve">T39223.3-2020《健康家居的人类工效学要求 第 3 部分：办公桌椅》，产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腰部支撑面、脊柱后凸接触面、体压分布要求，其他工效学要求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84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沙发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3810</wp:posOffset>
                      </wp:positionH>
                      <wp:positionV relativeFrom="paragraph">
                        <wp:posOffset>1247775</wp:posOffset>
                      </wp:positionV>
                      <wp:extent cx="779145" cy="69024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79145"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9;o:allowoverlap:true;o:allowincell:true;mso-position-horizontal-relative:text;margin-left:0.3pt;mso-position-horizontal:absolute;mso-position-vertical-relative:text;margin-top:98.2pt;mso-position-vertical:absolute;width:61.3pt;height:54.3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860*820*820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1、内框架：木材含水率要求在 8~12％； 内衬多层板胶合强度≥7MPa，甲醛释放量≤0.08mg/m3；</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2、表面材料：采用 耐磨麻绒面料，软硬适中，手感舒适；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 QB/T 1952.1-2023《软体家具沙发》、GB/T35607-2024《绿色产品评价家具》，产品的用料、加工、外观性能（面料、缝纫和包覆）、力学性能（沙发座、背及扶手耐久性）、理化性能（覆面材料理化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86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15240</wp:posOffset>
                      </wp:positionH>
                      <wp:positionV relativeFrom="paragraph">
                        <wp:posOffset>843915</wp:posOffset>
                      </wp:positionV>
                      <wp:extent cx="791845" cy="72263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91845"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0;o:allowoverlap:true;o:allowincell:true;mso-position-horizontal-relative:text;margin-left:1.2pt;mso-position-horizontal:absolute;mso-position-vertical-relative:text;margin-top:66.5pt;mso-position-vertical:absolute;width:62.3pt;height:56.9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600*400*500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 橡胶木，板材的外观、木材含水率、见指面抗弯强度、不见指面抗弯强度、甲醛释放量、苯、甲苯、二甲苯、总挥发性</w:t>
            </w:r>
            <w:r>
              <w:rPr>
                <w:rFonts w:hint="eastAsia" w:ascii="宋体" w:hAnsi="宋体" w:cs="宋体"/>
                <w:color w:val="000000"/>
                <w:sz w:val="24"/>
                <w:szCs w:val="24"/>
                <w:lang w:bidi="ar"/>
              </w:rPr>
              <w:t xml:space="preserve">有机化合物符合 GB/T 3324-2024《木家具通用技术条件》、GB/T 39600-2021《人造板及其制品甲醛释放量分级》、GB/T21140-2017《非结构用指接材》、GB/T 35601-2017《绿色产品评价 人造板和木质地板》的要求；表面使用天然植物精炼木蜡油经反复打磨、浸润、擦拭、上光制成，不含甲醛，木蜡油的VOC 含量、总铅含量、可溶性重金属、乙二醇醚及醚酯总和含量、苯含量、甲苯和二甲苯（含乙苯）总和含量、卤代烃总和含量符合 GB 18581-2020《木器涂料中有害物质限量》的要求；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2、参考标准 GB/T 3324-2024《木家具通用技术条件》、GB/T35607-2024《绿色产品评价 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09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文件柜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19050</wp:posOffset>
                      </wp:positionH>
                      <wp:positionV relativeFrom="paragraph">
                        <wp:posOffset>142875</wp:posOffset>
                      </wp:positionV>
                      <wp:extent cx="764540" cy="139573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64540" cy="1395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1;o:allowoverlap:true;o:allowincell:true;mso-position-horizontal-relative:text;margin-left:1.5pt;mso-position-horizontal:absolute;mso-position-vertical-relative:text;margin-top:11.2pt;mso-position-vertical:absolute;width:60.2pt;height:109.9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900*400*1850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1、钢板:柜体、层板采用裸板厚度 0.7m -级冷轧钢板，厚度均匀，表面质里优越，符合标准中的力学性能要求;层板及项板采用折弯机自动折弯，柜体及其他部件采用手动折弯设备及气动折弯成型: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2、塑粉:表面采用环氧聚醋型粉末涂料，表面性能突出，环保无污染，具有优异的耐候、耐热、耐冲击性能，符合标准要求;                                                                            3、功能:-次成型内嵌式拉手;一体式底座内置可调脚，</w:t>
            </w:r>
            <w:r>
              <w:rPr>
                <w:rFonts w:hint="eastAsia" w:ascii="宋体" w:hAnsi="宋体" w:cs="宋体"/>
                <w:color w:val="000000"/>
                <w:sz w:val="24"/>
                <w:szCs w:val="24"/>
                <w:lang w:bidi="ar"/>
              </w:rPr>
              <w:t xml:space="preserve">方便配合不同室内的地面水平;内置挂衣杆、小镜子、名片槽;                                                                                    4、五金件:钢柜锁具为锌合金锁壳，表面铬，结构安全性能优异;阻尼自动回闭功能，铰链表面镀镍处理，通过耐久性4万次，垂直静载荷 20KG，水平静载荷40测试:                                                   5、参考标准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外观、形状和位置公差、五金连接件及配件、安全性能、孔和间隙、挥发性有机化合物(甲醛、苯、甲苯、二甲苯、TVOC)及其他物质限里(表面涂层、塑料)、表面理化性能、力学性能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96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35560</wp:posOffset>
                      </wp:positionH>
                      <wp:positionV relativeFrom="paragraph">
                        <wp:posOffset>1623060</wp:posOffset>
                      </wp:positionV>
                      <wp:extent cx="751840" cy="73088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51840"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2;o:allowoverlap:true;o:allowincell:true;mso-position-horizontal-relative:text;margin-left:2.8pt;mso-position-horizontal:absolute;mso-position-vertical-relative:text;margin-top:127.8pt;mso-position-vertical:absolute;width:59.2pt;height:57.5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 QB/T 2189-2013《家具五金杯状暗铰链》、GB/T 10125-2021《人造气氛腐蚀试验盐雾试验》的标准要求；窄边铝合金门框，铝合金的抗拉强度、规定非比例延伸强度、断后伸长率、维氏硬度、压痕硬度、干附着性、湿附着性、耐冲击性、抗弯曲性、光泽度、耐盐酸性、耐腐蚀、冲击强度等符合 GB/T5237.4-2017</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《铝合金建筑型材 第 4 部分：喷粉型材》、GB/T332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-2024《金属家具通用技术条件》的要求；玻璃及家具锁，配件的使用功能必须符合使用者的使用需求；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 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六、校办室2间、财务室1间（7F）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23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28575</wp:posOffset>
                      </wp:positionH>
                      <wp:positionV relativeFrom="paragraph">
                        <wp:posOffset>809625</wp:posOffset>
                      </wp:positionV>
                      <wp:extent cx="823595" cy="52578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23595" cy="525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3;o:allowoverlap:true;o:allowincell:true;mso-position-horizontal-relative:text;margin-left:2.2pt;mso-position-horizontal:absolute;mso-position-vertical-relative:text;margin-top:63.8pt;mso-position-vertical:absolute;width:64.8pt;height:41.4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pPr>
            <w:r>
              <w:rPr>
                <w:rFonts w:hint="eastAsia" w:ascii="宋体" w:hAnsi="宋体" w:cs="宋体"/>
                <w:color w:val="000000"/>
                <w:sz w:val="24"/>
                <w:szCs w:val="24"/>
                <w:lang w:bidi="ar"/>
              </w:rPr>
              <w:t xml:space="preserve">主桌1600*800*750</w:t>
            </w:r>
            <w:r/>
          </w:p>
          <w:p>
            <w:pPr>
              <w:pStyle w:val="660"/>
              <w:jc w:val="center"/>
              <w:widowControl/>
              <w:rPr>
                <w:rFonts w:hint="eastAsia"/>
              </w:rPr>
            </w:pPr>
            <w:r>
              <w:rPr>
                <w:rFonts w:hint="eastAsia"/>
              </w:rPr>
              <w:t xml:space="preserve">侧边柜</w:t>
            </w:r>
            <w:r>
              <w:rPr>
                <w:rFonts w:hint="eastAsia"/>
              </w:rPr>
            </w:r>
            <w:r/>
          </w:p>
          <w:p>
            <w:pPr>
              <w:pStyle w:val="660"/>
            </w:pPr>
            <w:r>
              <w:rPr>
                <w:rFonts w:hint="eastAsia" w:ascii="宋体" w:hAnsi="宋体" w:cs="宋体"/>
                <w:color w:val="000000"/>
                <w:sz w:val="24"/>
                <w:szCs w:val="24"/>
                <w:lang w:bidi="ar"/>
              </w:rPr>
              <w:t xml:space="preserve">1600*400*650</w:t>
            </w:r>
            <w:r/>
          </w:p>
          <w:p>
            <w:pPr>
              <w:pStyle w:val="66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4、配件：五金配件，采用 门铰，在门即将关闭时会自动减速，关闭平稳，承载能力佳，过载-垂直静载荷符合QB/T 2189-2013《家具五金 杯状暗铰链》标准要求；GB/T 10125-2021《人造气氛腐蚀试验盐雾试验》的标准要求；家具锁；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3324-2024《木家具通用技术条件》、GB/T 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861"/>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207645</wp:posOffset>
                      </wp:positionH>
                      <wp:positionV relativeFrom="paragraph">
                        <wp:posOffset>1125855</wp:posOffset>
                      </wp:positionV>
                      <wp:extent cx="443865" cy="74612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443865"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4;o:allowoverlap:true;o:allowincell:true;mso-position-horizontal-relative:text;margin-left:16.3pt;mso-position-horizontal:absolute;mso-position-vertical-relative:text;margin-top:88.6pt;mso-position-vertical:absolute;width:34.9pt;height:58.8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610*680*1120-1220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1、面料：双框结构弹性背框，一体成型，靠背采用透气网布，坐面采</w:t>
            </w:r>
            <w:r>
              <w:rPr>
                <w:rFonts w:hint="eastAsia" w:ascii="宋体" w:hAnsi="宋体" w:cs="宋体"/>
                <w:color w:val="000000"/>
                <w:sz w:val="24"/>
                <w:szCs w:val="24"/>
                <w:lang w:bidi="ar"/>
              </w:rPr>
              <w:t xml:space="preserve">用麻绒布料，布料的阻燃性能（国家B1级），表面防污处理，布料甲醛含量、染色牢度（耐水性、变色）、PH值、可分解芳香胺染料、耐磨性、断裂强力、撕裂强气、胀破强度、异味、起球、耐光色牢度、燃烧性能、氧指数、耐干摩擦色牢度、耐汗渍色牢度、耐水色牢度、耐唾液色牢度、总铅、总镉、邻苯二甲酸酯等都符合 GB18401-2010《国家纺织品基本安全技术规范》、GB/T19817-2005《纺织品 装饰用织物》、GB8624-2012《建筑材料及制品燃烧性能分级》、GB/T18885-2020《生态纺织品技术要求》的要求；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 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3、底盘：带上下升降及同步倾仰，反冲静音气压杆，尼龙五星脚+PA 静音轮，气压杆的尺寸及外观质量、密封性能、循环寿命、抗拉强度、耐腐蚀性、耐高低温性能等符合标准 GB25751-2010《压缩气弹簧技术条件》、GB/T 29525-2013《座椅升降气弹簧技术条件》的要求，滚轮符合 QB/T 2280-2016《办公家具办公椅》的要求；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4、功能要求：可升降黑色网布头枕、可调腰靠、固定扶手；带挂衣杆；含定型棉隐藏式抽拉搁脚；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2280-2016《办公家具办公椅》、GB/T35607-2024《绿色产品评价家具》、GB/</w:t>
            </w:r>
            <w:r>
              <w:rPr>
                <w:rFonts w:hint="eastAsia" w:ascii="宋体" w:hAnsi="宋体" w:cs="宋体"/>
                <w:color w:val="000000"/>
                <w:sz w:val="24"/>
                <w:szCs w:val="24"/>
                <w:lang w:bidi="ar"/>
              </w:rPr>
              <w:t xml:space="preserve">T39223.3-2020《健康家居的人类工效学要求 第 3 部分：办公桌椅》，产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腰部支撑面、脊柱后凸接触面、体压分布要求，其他工效学要求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6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文件柜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66675</wp:posOffset>
                      </wp:positionH>
                      <wp:positionV relativeFrom="paragraph">
                        <wp:posOffset>1075690</wp:posOffset>
                      </wp:positionV>
                      <wp:extent cx="704215" cy="12852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704215" cy="1285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5;o:allowoverlap:true;o:allowincell:true;mso-position-horizontal-relative:text;margin-left:5.2pt;mso-position-horizontal:absolute;mso-position-vertical-relative:text;margin-top:84.7pt;mso-position-vertical:absolute;width:55.4pt;height:101.2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900*400*1850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1、钢板:柜体、层板采用裸板厚度0.7m -级冷轧钢板，厚度均匀，表面质里优越，符合标准中的力学性能要求;层板及项板采用折弯机自动折弯，柜体及其他部件采用手动折弯设备及气动折弯成型: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2、塑粉:表面采用环氧聚醋型粉末涂料，表面性能突出，环保无污染，具有优异的耐候、耐热、耐冲击性能，符合标准要求;                                                                            3、功能:-次成型内嵌式拉手;一体式底座内置可调脚，</w:t>
            </w:r>
            <w:r>
              <w:rPr>
                <w:rFonts w:hint="eastAsia" w:ascii="宋体" w:hAnsi="宋体" w:cs="宋体"/>
                <w:color w:val="000000"/>
                <w:sz w:val="24"/>
                <w:szCs w:val="24"/>
                <w:lang w:bidi="ar"/>
              </w:rPr>
              <w:t xml:space="preserve">方便配合不同室内的地面水平;内置挂衣杆、小镜子、名片槽;                                                                                    4、五金件:钢柜锁具为锌合金锁壳，表面铬，结构安全性能优异;阻尼自动回闭功能，铰链表面镀镍处理，通过耐久性4万次，垂直静载荷 20KG，水平静载荷40测试:                                                   5、参考标准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外观、形状和位置公差、五金连接件及配件、安全性能、孔和间隙、挥发性有机化合物(甲醛、苯、甲苯、二甲苯、TVOC)及其他物质限里(表面涂层、塑料)、表面理化性能、力学性能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90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-32384</wp:posOffset>
                      </wp:positionH>
                      <wp:positionV relativeFrom="paragraph">
                        <wp:posOffset>640080</wp:posOffset>
                      </wp:positionV>
                      <wp:extent cx="753110" cy="71818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53110"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6;o:allowoverlap:true;o:allowincell:true;mso-position-horizontal-relative:text;margin-left:-2.5pt;mso-position-horizontal:absolute;mso-position-vertical-relative:text;margin-top:50.4pt;mso-position-vertical:absolute;width:59.3pt;height:56.5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 人造板及其制品中甲醛释放限量》、GB/T35601-2024《绿色产品评价 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4、配件：五金配件，采用门铰，在门即将关闭时会自动减速，关闭平稳，承载能力佳，过载-垂直静载荷符合 QB/T 2189-2013《家具五金 杯状暗铰链》、GB/T 10125-2021《人造气氛腐蚀试验  盐雾试验》的标准要求；窄边铝合金门框，铝合金的抗拉强度、规定非比例延伸强度、断后伸长率、维氏硬度、压痕硬度、干附着性、湿附着性、耐冲击性、抗弯曲性、光泽度、耐盐酸性、耐腐蚀、冲击强度等符合 GB/T5237.4-2017《铝合金建筑型材第 4 部分：喷粉型材》、GB/T332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-2024《金属家具通用技术条件》的要求； 玻璃及家具锁，配件的使用功能必须符合使用者的使用需求；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七、会议室3间、接待室（7F)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84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11430</wp:posOffset>
                      </wp:positionH>
                      <wp:positionV relativeFrom="paragraph">
                        <wp:posOffset>2027555</wp:posOffset>
                      </wp:positionV>
                      <wp:extent cx="828675" cy="52768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828675" cy="527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7;o:allowoverlap:true;o:allowincell:true;mso-position-horizontal-relative:text;margin-left:0.9pt;mso-position-horizontal:absolute;mso-position-vertical-relative:text;margin-top:159.7pt;mso-position-vertical:absolute;width:65.2pt;height:41.5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4000*1500*750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1、基材：选用符合室内排放标准的中密度纤维板，板材含水率符合国家标准，甲醛释放量及分级符合 GB/T11718-2021《中密度纤维板》、GB 18580-2017《室内装饰装修材料 人造板及其制品中甲醛释放限量》、GB/T 39600-2021《人造板及其制品甲醛释放量分级》，甲醛限量值 (≤0.05mg/m³ ), 表面贴实木木皮；</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3、胶水：采用 环保型家具用胶黏剂，其甲醛及有害物质含量符合 GB18583-2008《室内装饰装修材料胶粘剂中有害物质限量》标准；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五金配件；桌面带多功能集成线盒（内置强弱电模块）；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303530</wp:posOffset>
                      </wp:positionH>
                      <wp:positionV relativeFrom="paragraph">
                        <wp:posOffset>183515</wp:posOffset>
                      </wp:positionV>
                      <wp:extent cx="324485" cy="61912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324485" cy="61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23.9pt;mso-position-horizontal:absolute;mso-position-vertical-relative:text;margin-top:14.4pt;mso-position-vertical:absolute;width:25.5pt;height:48.8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570*650*880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1、面料：靠背采用环保 高弹性网布，透气耐磨，座垫采用 环保针织布料亲肤舒适，布料的阻燃性能（国家 B1 级），表面防污处理，布料甲醛含量、染色牢度（耐水性、变色）、PH值、可分解芳香胺染料、耐磨性、断裂强力、撕裂强气、胀破强度、异味、起球、耐光色牢度、燃烧性能、氧指数、耐干摩擦色牢度、耐汗渍色牢度、耐水色牢度、耐唾液色牢度等都符合 GB18401-2010《国家纺织品基本安全技术规范》、GB/T19817-2005《纺织品 装饰用织物》、GB8624-2012《建筑材料及制品燃烧性能分级》的要求；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2、椅背：靠背骨架采用PA材质加高强度玻璃纤维，靠背强度符合 QB/T 2280-2016《办公家具办公椅》标准，阻燃性能符合国家标准；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3、扶手：主体采用高强度PP加玻璃纤维材质，扶手通过钢板与靠背和坐垫连接，垂直测试115公斤，水平测试68公斤，强度符合 QB/T 2280-2016《办公家具 办公椅》标准。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4、座垫：坐垫骨架采用9 层 13 毫米高强度层压胶合板，填充物高密度海绵组合，面料为环保透气布料，座垫强度符合 QB/T 2280-2016《办公家具办公椅》标准，阻燃性能符合国家标准；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5、椅架：采用圆形钢管制成，壁厚 1.8mm，表面喷涂处理；地面接触面防滑脚垫；符合测试标准，座面载荷 109kg，循环测试 12 万次。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QB/T 2280-2016《办公家具办公椅》、GB/T35607-2024《绿色产品评价家具》，产品的硬度、冲击强度、耐盐雾、附着力；理化性能（软质聚氨酯泡沫塑料密度、回弹性、75%压缩永久变形）；力学性能；阻燃性；形状和位置公差、外观性能要求、理化性能要求、椅凳类强度和耐久性、椅凳类稳定性；产品有害物质（甲醛释放量、苯、甲苯、二甲苯、总挥发性有机化合物（TVOC）、可分解芳香胺染料（座面布料）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84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10795</wp:posOffset>
                      </wp:positionH>
                      <wp:positionV relativeFrom="paragraph">
                        <wp:posOffset>2061210</wp:posOffset>
                      </wp:positionV>
                      <wp:extent cx="804545" cy="48450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804545"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9;o:allowoverlap:true;o:allowincell:true;mso-position-horizontal-relative:text;margin-left:0.8pt;mso-position-horizontal:absolute;mso-position-vertical-relative:text;margin-top:162.3pt;mso-position-vertical:absolute;width:63.3pt;height:38.1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11000*2000*750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1、基材：选用符合室内排放标准的中密度纤维板，板材含水率符合国家标准，甲醛释放量及分级符合 GB/T11718-2021《中密度纤维板》、GB 18580-2017《室内装饰装修材料 人造板及其制品中甲醛释放限量》、GB/T 39600-2021《人造板及其制品甲醛释放量分级》，甲醛限量值 (≤0.05mg/m³ ), 表面贴实木木皮；</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3、胶水：采用 环保型家具用胶黏剂，其甲醛及有害物质含量符合 GB18583-2008《室内装饰装修材料胶粘剂中有害物质限量》标准；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五金配件；桌面带多功能集成线盒（内置强弱电模块）；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 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43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会议条桌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34290</wp:posOffset>
                      </wp:positionH>
                      <wp:positionV relativeFrom="paragraph">
                        <wp:posOffset>2094230</wp:posOffset>
                      </wp:positionV>
                      <wp:extent cx="741680" cy="64706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41680" cy="647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0;o:allowoverlap:true;o:allowincell:true;mso-position-horizontal-relative:text;margin-left:2.7pt;mso-position-horizontal:absolute;mso-position-vertical-relative:text;margin-top:164.9pt;mso-position-vertical:absolute;width:58.4pt;height:50.9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1400*400*750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 人造板及其制品中甲醛释放限量》、GB/T35601-2024《绿色产品评价 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4、桌架：桌面含护角，直角型的控制杆，单手按压，外置防护罩；钢制支撑脚架采用 20mm*25mm 的钢管，桌面横管采用20mm*40mm 的方管，脚架采用 25mm*50mm 的方管，壁厚为 1.8mm；带置物框及活动滚轮，符合会议使用功能及安全需求；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5、配件： 五金配件；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142875</wp:posOffset>
                      </wp:positionH>
                      <wp:positionV relativeFrom="paragraph">
                        <wp:posOffset>1738630</wp:posOffset>
                      </wp:positionV>
                      <wp:extent cx="514985" cy="71056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14985" cy="710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1;o:allowoverlap:true;o:allowincell:true;mso-position-horizontal-relative:text;margin-left:11.2pt;mso-position-horizontal:absolute;mso-position-vertical-relative:text;margin-top:136.9pt;mso-position-vertical:absolute;width:40.5pt;height:55.9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570*650*880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面料：靠背采用环保高弹性网布，透气耐磨，座垫采用环保针织布料亲肤舒适，布料的阻燃性能（国家B1级），表面防污处理，布料甲醛含量、染色牢度（耐水性、变色）、PH值、可分解芳香胺染料、耐磨性、断裂强力、撕裂强气、胀破强度、异味、起球、耐光色牢度、燃烧性能、氧指数、耐干摩擦色牢度、耐汗渍色牢度、耐水色牢度、耐唾液色牢度等都符合 GB18401-2010《国家纺织品基本安全技术规范》、GB/T19817-2005《纺织品装饰用织物》、GB8624-2012《建筑材料及制品燃烧性能分级》的要求；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2、椅背：靠背骨架采用PA材质加高强度玻璃纤维，靠背强度符合QB/T 2280-2016《办公家具办公椅》标准，阻燃性能符合国家标准；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3、扶手：主体采用高强度 PP加玻璃纤维材质，扶手通过钢板与靠背和坐垫连接，垂直测试 115公斤，水平测试 68 公斤，强度符合 QB/T 2280-2016《办公家具 办公椅》标准。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4、座垫：坐垫骨架采用9 层 13 毫米高强度层压胶合板，填充物高密度海绵组合，面料为环保透气布料，座垫强度符合QB/T 2280-2016《办公家具办公椅》标准，阻燃性能符合国家标准；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5、椅架：采用圆形钢管制成，壁厚 1.8mm，表面喷涂处理；地面接触面防滑脚垫；符合测试标准，座面载荷 109kg，循环测试 12 万次。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QB/T 2280-2016《办公家具办公椅》、GB/T35607-2024《绿色产品评价家具》，产品的硬度、冲击强度、耐盐雾、附着力；理化性能（软质聚氨酯泡沫塑料密度、回弹性、75%压缩永久变形）；力学性能；阻燃性；形状和位置公差、外观性能要求、理化性能要求、椅凳类强度和耐久性、椅凳类稳定性；产品有害物质（甲醛释放量、苯、甲苯、二甲苯、总挥发性有机化合物（TVOC）、可分解芳香胺染料（座面布料）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30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茶水柜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-38734</wp:posOffset>
                      </wp:positionH>
                      <wp:positionV relativeFrom="paragraph">
                        <wp:posOffset>1713230</wp:posOffset>
                      </wp:positionV>
                      <wp:extent cx="866775" cy="67945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8667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3.0pt;mso-position-horizontal:absolute;mso-position-vertical-relative:text;margin-top:134.9pt;mso-position-vertical:absolute;width:68.2pt;height:53.5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1200*400*850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4、配件：五金配件，采用门铰，在门即将关闭时会自动减速，关闭平稳，承载能力佳，过载-垂直静载荷符合 QB/T 2189-2013《家具五金杯状暗铰链》、GB/T 10125-2021《人造气氛腐蚀试验  盐雾试验》的标准要求；窄边铝合金门框，铝合金的抗拉强度、规定非比例延伸强度、断后伸长率、维氏硬度、压痕硬度、干附着性、湿附着性、耐冲击性、抗弯曲性、光泽度、耐盐酸性、耐腐蚀、冲击强度等符合 GB/T5237.4-2017《铝合金建筑型材 第 4 部分：喷粉型材》、GB/T332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-2024《金属家具通用技术条件》的要求；玻璃及家具锁，配件的使用功能必须符合使用者的使用需求；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9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沙发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49530</wp:posOffset>
                      </wp:positionH>
                      <wp:positionV relativeFrom="paragraph">
                        <wp:posOffset>859790</wp:posOffset>
                      </wp:positionV>
                      <wp:extent cx="697230" cy="68262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97230" cy="68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3;o:allowoverlap:true;o:allowincell:true;mso-position-horizontal-relative:text;margin-left:3.9pt;mso-position-horizontal:absolute;mso-position-vertical-relative:text;margin-top:67.7pt;mso-position-vertical:absolute;width:54.9pt;height:53.8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1020*860*960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1、内框架：木材含水率要求在 8~12％； 内衬多层板胶合强度≥7MPa，甲醛释放量≤0.08mg/m3；</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2、表面材料：采用 耐磨麻绒面料，软硬适中，手感舒适；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10802-2023《通用软质聚氨酯泡沫塑料》的要求；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4、装饰板： 橡胶木，板材的外观、木材含水率、见指面抗弯强度、不见指面抗弯强度、甲醛释放量、苯、甲苯、二甲苯、总挥发性有机化合物含量必须</w:t>
            </w:r>
            <w:r>
              <w:rPr>
                <w:rFonts w:hint="eastAsia" w:ascii="宋体" w:hAnsi="宋体" w:cs="宋体"/>
                <w:color w:val="000000"/>
                <w:sz w:val="24"/>
                <w:szCs w:val="24"/>
                <w:lang w:bidi="ar"/>
              </w:rPr>
              <w:t xml:space="preserve">达到室内标准；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QB/T 1952.1-2023《软体家具沙发》、GB/T35607-2024《绿色产品评价 家具》，产品的用料、加工、外观性能（面料、缝纫和包覆）、力学性能（沙发座、背及扶手耐久性）、理化性能（覆面材料理化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59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茶几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57785</wp:posOffset>
                      </wp:positionH>
                      <wp:positionV relativeFrom="paragraph">
                        <wp:posOffset>1320800</wp:posOffset>
                      </wp:positionV>
                      <wp:extent cx="669925" cy="56959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66992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4;o:allowoverlap:true;o:allowincell:true;mso-position-horizontal-relative:text;margin-left:4.5pt;mso-position-horizontal:absolute;mso-position-vertical-relative:text;margin-top:104.0pt;mso-position-vertical:absolute;width:52.8pt;height:44.8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600*400*500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 橡胶木，板材的外观、木材含水率、见指面抗弯强度、不见指面抗弯强度、甲醛释放量、苯、甲苯、二甲苯、总挥发性有机化合物符合 GB/T 3324-2024《木家具通用技术条件》、GB/T 39600-2021《人造板及其制品甲醛释放量分级》、GB/T21140-2017《非结构用指接材》、GB/T 35601-2017《绿色产品评价人造板和木质</w:t>
            </w:r>
            <w:r>
              <w:rPr>
                <w:rFonts w:hint="eastAsia" w:ascii="宋体" w:hAnsi="宋体" w:cs="宋体"/>
                <w:color w:val="000000"/>
                <w:sz w:val="24"/>
                <w:szCs w:val="24"/>
                <w:lang w:bidi="ar"/>
              </w:rPr>
              <w:t xml:space="preserve">地板》的要求；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2、参考标准 GB/T 3324-2024《木家具通用技术条件》、GB/T35607-2024《绿色产品评价 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八、健身区、休闲区（8F）</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60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更衣柜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-23494</wp:posOffset>
                      </wp:positionH>
                      <wp:positionV relativeFrom="paragraph">
                        <wp:posOffset>1470660</wp:posOffset>
                      </wp:positionV>
                      <wp:extent cx="802640" cy="114871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802640" cy="1148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5;o:allowoverlap:true;o:allowincell:true;mso-position-horizontal-relative:text;margin-left:-1.8pt;mso-position-horizontal:absolute;mso-position-vertical-relative:text;margin-top:115.8pt;mso-position-vertical:absolute;width:63.2pt;height:90.4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1800*600*2000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吸水厚度膨胀率、静曲强度、握螺钉力等物理力学性能、板材的厚度偏差、平整度、甲醛释放量（≤0.05mg/m³）、总挥发性有机化合物（≤100ug/m³）等都需符合国标GB/T 4897-2015 《刨花板》、GB 18580-2017《室内装饰装修材料 人造板及其制品中甲醛释放限量》、GB/T35601-2024《绿色产品评价 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 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4、配件： 五金配件，采用 门铰，在门即将关闭时会自动减速，关闭平稳，承载能力佳，过载-垂直静载荷符合QB/T 2189-2013《家具五金 杯状暗铰链》标准要求；GB/T 10125-2021《人造气氛腐蚀试验　盐雾试验》的标准要求；家具锁；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3324-2024《木家具通用技术条件》、GB/T 35607-2024《绿色产品评价 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图书馆</w:t>
            </w:r>
            <w:r>
              <w:rPr>
                <w:rFonts w:hint="eastAsia" w:ascii="宋体" w:hAnsi="宋体" w:cs="宋体"/>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0"/>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2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60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钢书架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-18414</wp:posOffset>
                      </wp:positionH>
                      <wp:positionV relativeFrom="paragraph">
                        <wp:posOffset>1391285</wp:posOffset>
                      </wp:positionV>
                      <wp:extent cx="835025" cy="69850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83502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6;o:allowoverlap:true;o:allowincell:true;mso-position-horizontal-relative:text;margin-left:-1.4pt;mso-position-horizontal:absolute;mso-position-vertical-relative:text;margin-top:109.5pt;mso-position-vertical:absolute;width:65.8pt;height:55.0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900*500*2000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numPr>
                <w:ilvl w:val="0"/>
                <w:numId w:val="5"/>
              </w:num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所有部件均必须采用 冷轧钢板，每单节连接处采用双立柱相连，立柱壁厚 0.8~1mm 钢板，立柱宽度达到 45mm；                                                                        2、搁板及挂板的钢板厚度 0.8~1mm，双面放置图书，档书条钢板厚度≥0.8mm；                            </w:t>
            </w:r>
            <w:r>
              <w:rPr>
                <w:rFonts w:hint="eastAsia" w:ascii="宋体" w:hAnsi="宋体" w:cs="宋体"/>
                <w:color w:val="000000"/>
                <w:sz w:val="24"/>
                <w:szCs w:val="24"/>
                <w:lang w:bidi="ar"/>
              </w:rPr>
            </w:r>
            <w:r/>
          </w:p>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3、钢制品内外表面采用 环保静电喷涂工艺，经 13 道前期处理达到室内多年不生锈，涂装的颜色无明显色差；                                                 </w:t>
            </w:r>
            <w:r>
              <w:rPr>
                <w:rFonts w:hint="eastAsia" w:ascii="宋体" w:hAnsi="宋体" w:cs="宋体"/>
                <w:color w:val="000000"/>
                <w:sz w:val="24"/>
                <w:szCs w:val="24"/>
                <w:lang w:bidi="ar"/>
              </w:rPr>
              <w:t xml:space="preserve">                                                4、各零部件（含搁板、挂板、顶板、脚板等）、组合件表面应光滑、平整，表光泽度为60%～70%，耐冲击力大于60kg/cm2，不得有尖角、划口、凸起；涂膜厚度 20~30um，漆面均匀光亮、色泽一致，无任何流漆划伤；焊接点焊接牢固，焊缝光滑平整。护板采用 冷轧钢板，厚度大于等于 1.0MM，表面采用 环保静电喷涂工艺，经 13 道前期处理达到室内多年不生锈，涂装的颜色无明显色差；木纹纹理处理工艺。配件：塑料标签筐；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 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期刊组合柜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-10794</wp:posOffset>
                      </wp:positionH>
                      <wp:positionV relativeFrom="paragraph">
                        <wp:posOffset>677545</wp:posOffset>
                      </wp:positionV>
                      <wp:extent cx="828675" cy="757555"/>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828675" cy="757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7;o:allowoverlap:true;o:allowincell:true;mso-position-horizontal-relative:text;margin-left:-0.8pt;mso-position-horizontal:absolute;mso-position-vertical-relative:text;margin-top:53.3pt;mso-position-vertical:absolute;width:65.2pt;height:59.6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1500*800*1500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vMerge w:val="restart"/>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 人造板及其制品中甲醛释放限量》、GB/T35601-2024《绿色产品评价 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 GB/T 3324-2024《木家具通用技术条件》、GB/T35607-2024《绿色产品评价 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48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期刊柜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-19684</wp:posOffset>
                      </wp:positionH>
                      <wp:positionV relativeFrom="paragraph">
                        <wp:posOffset>1329055</wp:posOffset>
                      </wp:positionV>
                      <wp:extent cx="867410" cy="54229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867410" cy="542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8;o:allowoverlap:true;o:allowincell:true;mso-position-horizontal-relative:text;margin-left:-1.5pt;mso-position-horizontal:absolute;mso-position-vertical-relative:text;margin-top:104.6pt;mso-position-vertical:absolute;width:68.3pt;height:42.7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1200*800*1500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vMerge w:val="continue"/>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14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阅览桌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0"/>
              <w:jc w:val="center"/>
              <w:widowControl/>
              <w:rPr>
                <w:rFonts w:hint="eastAsia" w:ascii="宋体" w:hAnsi="宋体" w:cs="宋体"/>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635</wp:posOffset>
                      </wp:positionH>
                      <wp:positionV relativeFrom="paragraph">
                        <wp:posOffset>1815465</wp:posOffset>
                      </wp:positionV>
                      <wp:extent cx="817880" cy="71247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81788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14;o:allowoverlap:true;o:allowincell:true;mso-position-horizontal-relative:text;margin-left:0.0pt;mso-position-horizontal:absolute;mso-position-vertical-relative:text;margin-top:142.9pt;mso-position-vertical:absolute;width:64.4pt;height:56.1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1200*700*760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 橡胶木集成材25mm 厚，板材的外观、木材含水率、见指面抗弯强度、不见指面抗弯强度、甲醛释放量、苯、甲苯、二甲苯、总挥发性有机化合物符合 GB/T 3324-2024《木家具通用技术条件》、GB/T 39600-2021《人造板及其制品甲醛释放量分级》、GB/T21140-2017《非结构用指接材》、GB/T 35601-2017《绿色产品评价 人造板和木质</w:t>
            </w:r>
            <w:r>
              <w:rPr>
                <w:rFonts w:hint="eastAsia" w:ascii="宋体" w:hAnsi="宋体" w:cs="宋体"/>
                <w:color w:val="000000"/>
                <w:sz w:val="24"/>
                <w:szCs w:val="24"/>
                <w:lang w:bidi="ar"/>
              </w:rPr>
              <w:t xml:space="preserve">地板》的要求；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2、参考标准 GB/T 3324-2024《木家具通用技术条件》、GB/T35607-2024《绿色产品评价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52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722630</wp:posOffset>
                      </wp:positionH>
                      <wp:positionV relativeFrom="paragraph">
                        <wp:posOffset>1819910</wp:posOffset>
                      </wp:positionV>
                      <wp:extent cx="504825" cy="73914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04825" cy="73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13;o:allowoverlap:true;o:allowincell:true;mso-position-horizontal-relative:text;margin-left:56.9pt;mso-position-horizontal:absolute;mso-position-vertical-relative:text;margin-top:143.3pt;mso-position-vertical:absolute;width:39.8pt;height:58.2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 w:val="24"/>
                <w:szCs w:val="24"/>
                <w:lang w:bidi="ar"/>
              </w:rPr>
              <w:t xml:space="preserve">阅览椅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560*560*820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1、覆面材料： 麻绒/环保皮，布料要求符合标准 GB18401-2010《国家纺织产品基本安全技术规范》、GB/T19817-2005《纺织品 装饰用织物》、GB8624-2012《建筑材料及制品燃烧性能分级》。甲醛含量、染色牢度（变色、沾色）、异味、PH 值、可分解致癌芳香胺染料、燃烧性能等级 B1、耐磨性、断裂强力、撕裂强力、胀破强度均符合国家标准；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2、内衬海绵：采用45KG/m³密度高弹切割海绵，通过 SGS 标准认证，环保、久坐不易变形；</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3、框架：整体采用北美白蜡木，脚架采用传统榫接结构；</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24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休闲桌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54610</wp:posOffset>
                      </wp:positionH>
                      <wp:positionV relativeFrom="paragraph">
                        <wp:posOffset>2395220</wp:posOffset>
                      </wp:positionV>
                      <wp:extent cx="680085" cy="63500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80085"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99;o:allowoverlap:true;o:allowincell:true;mso-position-horizontal-relative:text;margin-left:4.3pt;mso-position-horizontal:absolute;mso-position-vertical-relative:text;margin-top:188.6pt;mso-position-vertical:absolute;width:53.5pt;height:50.0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φ800*750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等都需符合国标GB/T 4897-2015 《刨花板》、GB18580-2017《室内装饰装修材料人造板及其制品中甲醛释放限量》、GB/T35601-2024《绿色产品评价人造板和木质地板》的要求；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 (≤0.05mg/m³ )、挥发性有机化合物（苯、甲苯、二甲苯、TVOC）均需符合标准 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 的 PVC 封边条，产品外观、理化性能、甲醛释放量、可迁移元素、邻苯二甲酸酯、多溴联苯、多溴联苯醚、多溴二苯醚都需符合 QB/T4463-2025《家具用封边条技术要求》、GB28481-2012《塑料家具中有害物质限量》的要求；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4、钢制支撑脚；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 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 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6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休闲椅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8890</wp:posOffset>
                      </wp:positionH>
                      <wp:positionV relativeFrom="paragraph">
                        <wp:posOffset>2136140</wp:posOffset>
                      </wp:positionV>
                      <wp:extent cx="822325" cy="86296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822325" cy="862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0;o:allowoverlap:true;o:allowincell:true;mso-position-horizontal-relative:text;margin-left:0.7pt;mso-position-horizontal:absolute;mso-position-vertical-relative:text;margin-top:168.2pt;mso-position-vertical:absolute;width:64.8pt;height:68.0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560*560*820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1、覆面材料： 环保皮革，经液氨多道浸色及防潮、防腐等工艺处理，皮面手感柔软舒适，光泽持久，且透气性、韧性等理化指标更胜一筹，符合标准 GB/T16799-2018《家具用皮革》；</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2、内衬海绵：海绵采用高密度定型海绵，密度≥30KG/m³。海绵理化性及压膜量均符合标准 GB/T10802-2006《通用软质聚醚型聚氨酯泡沫塑料》，不塌陷、具有较好的回弹性；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3、内框采用实木框架，肉眼观测没有损木、无虫蛀及疤节，经烘干、防虫防腐处理，木材含水量≤12%。料与料之间采用榫眼或者刻口相互衔接，再用黏胶剂，使之用力前后左右摇晃都不会有松动感；</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4、框架：整体采用北美白蜡木，脚架采用传统榫接结构；</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学生宿舍</w:t>
            </w:r>
            <w:r>
              <w:rPr>
                <w:rFonts w:hint="eastAsia" w:ascii="宋体" w:hAnsi="宋体" w:cs="宋体"/>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0"/>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rPr>
                <w:rFonts w:hint="eastAsia" w:ascii="宋体" w:hAnsi="宋体" w:cs="宋体"/>
                <w:b/>
                <w:bCs/>
                <w:color w:val="000000"/>
                <w:sz w:val="24"/>
                <w:szCs w:val="24"/>
              </w:rPr>
            </w:pPr>
            <w:r>
              <w:rPr>
                <w:rFonts w:hint="eastAsia" w:ascii="宋体" w:hAnsi="宋体" w:cs="宋体"/>
                <w:b/>
                <w:bCs/>
                <w:color w:val="000000"/>
                <w:sz w:val="24"/>
                <w:szCs w:val="24"/>
              </w:rPr>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4806" w:type="dxa"/>
            <w:vAlign w:val="center"/>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lang w:bidi="ar"/>
              </w:rPr>
              <w:t xml:space="preserve">一、标准间（6人间）--424间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94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b/>
                <w:bCs/>
                <w:color w:val="000000"/>
                <w:sz w:val="24"/>
                <w:szCs w:val="24"/>
              </w:rPr>
              <w:t xml:space="preserve">学生金属公寓床（双层）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635</wp:posOffset>
                      </wp:positionH>
                      <wp:positionV relativeFrom="paragraph">
                        <wp:posOffset>415925</wp:posOffset>
                      </wp:positionV>
                      <wp:extent cx="807720" cy="102489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807720" cy="1024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1;o:allowoverlap:true;o:allowincell:true;mso-position-horizontal-relative:text;margin-left:0.0pt;mso-position-horizontal:absolute;mso-position-vertical-relative:text;margin-top:32.8pt;mso-position-vertical:absolute;width:63.6pt;height:80.7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2000*900*2000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vMerge w:val="restart"/>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1、立柱：采用金属管50*50mm的方管，为产品的主受立柱，壁厚≥1.3mm；床片的上下横档：采用30*30mm的方管壁厚≥1.0mm；竖管20*20mm的方管壁厚≥1.0mm；立柱与横梁焊接成一整体；立柱下脚：采用PP塑料内塞装饰。</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2、床挺：采用50*25mm的方管，壁厚≥1.3mm；床铺板横档20*20mm的方管，壁厚≥1.0mm，确保使用到安全性。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3、护栏：采用25*25的方管，壁厚≥1.3mm，护栏高度350mm，嵌入芯材采用实木多层板表面采用耐磨三聚氰胺浸渍饰面纸；床头蚊帐架的钢管：采用φ16*1.0mm圆管。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4、床板：采用14mm厚的 云杉实木板条，空缝制作，木板面平整，不变形，不允许钉子外露，双面抛光，板材应结巴少、无霉烂、含水量符合国家标准；床板平铺钉在四根30*40mm的云杉实木木档。</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5、床下架：采用20*20mm的方管，壁厚≥1.3mm制。                                                                     6、生产工艺要求：1、钢管采用插入式焊接，永不断裂；管材表面无裂缝、叠缝；外露</w:t>
            </w:r>
            <w:r>
              <w:rPr>
                <w:rFonts w:hint="eastAsia" w:ascii="宋体" w:hAnsi="宋体" w:cs="宋体"/>
                <w:color w:val="000000"/>
                <w:sz w:val="24"/>
                <w:szCs w:val="24"/>
                <w:lang w:bidi="ar"/>
              </w:rPr>
              <w:t xml:space="preserve">管口端面封闭；涂层无漏喷、锈蚀和脱色、掉色现象；涂层光滑均匀、色泽一致，无流挂、疙瘩、皱皮、飞漆等缺陷；金属表面耐腐蚀可达10级。2、架体表面采用环保静电环氧聚酯粉末，涂膜外观正常，附着力可达0级，耐碱性、耐盐雾性，可溶性重金属（铅、镉、铬、汞）。                                                                    7、参考标准 QB/T 2741-2013《学生公寓多功能家具》、GB_T 3328-2016《床类主要尺寸》、GB/T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35607-2024《绿色产品评价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上下双层床，每间二套</w:t>
            </w:r>
            <w:r>
              <w:rPr>
                <w:rFonts w:hint="eastAsia" w:ascii="宋体" w:hAnsi="宋体" w:cs="宋体"/>
                <w:color w:val="000000"/>
                <w:sz w:val="24"/>
                <w:szCs w:val="24"/>
              </w:rPr>
            </w:r>
            <w:r/>
          </w:p>
        </w:tc>
      </w:tr>
      <w:tr>
        <w:trPr>
          <w:trHeight w:val="44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b/>
                <w:bCs/>
                <w:color w:val="000000"/>
                <w:sz w:val="24"/>
                <w:szCs w:val="24"/>
              </w:rPr>
              <w:t xml:space="preserve">学生金属公寓床（单层）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42545</wp:posOffset>
                      </wp:positionH>
                      <wp:positionV relativeFrom="paragraph">
                        <wp:posOffset>1261110</wp:posOffset>
                      </wp:positionV>
                      <wp:extent cx="727075" cy="865505"/>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27075"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2;o:allowoverlap:true;o:allowincell:true;mso-position-horizontal-relative:text;margin-left:3.3pt;mso-position-horizontal:absolute;mso-position-vertical-relative:text;margin-top:99.3pt;mso-position-vertical:absolute;width:57.2pt;height:68.1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2000*900*2000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vMerge w:val="continue"/>
            <w:textDirection w:val="lrTb"/>
            <w:noWrap w:val="false"/>
          </w:tcPr>
          <w:p>
            <w:pPr>
              <w:pStyle w:val="660"/>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单层床，每间二套</w:t>
            </w:r>
            <w:r>
              <w:rPr>
                <w:rFonts w:hint="eastAsia" w:ascii="宋体" w:hAnsi="宋体" w:cs="宋体"/>
                <w:color w:val="000000"/>
                <w:sz w:val="24"/>
                <w:szCs w:val="24"/>
              </w:rPr>
            </w:r>
            <w:r/>
          </w:p>
        </w:tc>
      </w:tr>
      <w:tr>
        <w:trPr>
          <w:trHeight w:val="15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69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组合柜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22225</wp:posOffset>
                      </wp:positionH>
                      <wp:positionV relativeFrom="paragraph">
                        <wp:posOffset>2063750</wp:posOffset>
                      </wp:positionV>
                      <wp:extent cx="798195" cy="91503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798195"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3;o:allowoverlap:true;o:allowincell:true;mso-position-horizontal-relative:text;margin-left:1.8pt;mso-position-horizontal:absolute;mso-position-vertical-relative:text;margin-top:162.5pt;mso-position-vertical:absolute;width:62.8pt;height:72.0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1900*800*1580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1、基材：芯材采用实木颗粒板，板材的外观质量、含水率、板内密度偏差、2h 吸水厚度膨胀率、静曲强度、握螺钉力等物理力学性能、板材的厚度偏差、平整度、甲醛释放量 (≤0.05mg/m³ )、总挥发性有机化合物 (≤100ug/m³ ) 等都需符合国</w:t>
            </w:r>
            <w:r>
              <w:rPr>
                <w:rFonts w:hint="eastAsia" w:ascii="宋体" w:hAnsi="宋体" w:cs="宋体"/>
                <w:color w:val="000000"/>
                <w:sz w:val="24"/>
                <w:szCs w:val="24"/>
                <w:highlight w:val="none"/>
                <w:lang w:bidi="ar"/>
              </w:rPr>
              <w:t xml:space="preserve">标GB/T 4897-2015 《刨花板》、</w:t>
            </w:r>
            <w:r>
              <w:rPr>
                <w:rFonts w:hint="eastAsia" w:ascii="宋体" w:hAnsi="宋体" w:cs="宋体"/>
                <w:color w:val="000000"/>
                <w:sz w:val="24"/>
                <w:szCs w:val="24"/>
                <w:lang w:bidi="ar"/>
              </w:rPr>
              <w:t xml:space="preserve">GB18580-2017《室内装饰装修材料人造板及其制品中甲醛释放限量》、GB/T35601-2024《绿色产品评价人造板和木质地板》的要求；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料家具中有害物质限量》的要求；        </w:t>
            </w:r>
            <w:r>
              <w:rPr>
                <w:rFonts w:hint="eastAsia" w:ascii="宋体" w:hAnsi="宋体" w:cs="宋体"/>
                <w:color w:val="000000"/>
                <w:sz w:val="24"/>
                <w:szCs w:val="24"/>
                <w:lang w:bidi="ar"/>
              </w:rPr>
              <w:t xml:space="preserve">                                                                                                                             4、钢架：脚采用40*40mm钢管壁厚≥1.2mm，其他材料φ20mm钢管壁厚≥1.0mm，表面喷塑，高压静电喷塑前经过13道前期处理，无甲醛释放量；钢制件的酸性盐雾试验符合标准GB/T10125-2021《人造气氛腐蚀试验 盐雾试验》；桌面下带横向钢制支撑杆；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每间二只</w:t>
            </w:r>
            <w:r>
              <w:rPr>
                <w:rFonts w:hint="eastAsia" w:ascii="宋体" w:hAnsi="宋体" w:cs="宋体"/>
                <w:color w:val="000000"/>
                <w:sz w:val="24"/>
                <w:szCs w:val="24"/>
              </w:rPr>
            </w:r>
            <w:r/>
          </w:p>
        </w:tc>
      </w:tr>
      <w:tr>
        <w:trPr>
          <w:trHeight w:val="186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70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楼梯柜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20320</wp:posOffset>
                      </wp:positionH>
                      <wp:positionV relativeFrom="paragraph">
                        <wp:posOffset>1332230</wp:posOffset>
                      </wp:positionV>
                      <wp:extent cx="780415" cy="149352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80415" cy="1493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4;o:allowoverlap:true;o:allowincell:true;mso-position-horizontal-relative:text;margin-left:1.6pt;mso-position-horizontal:absolute;mso-position-vertical-relative:text;margin-top:104.9pt;mso-position-vertical:absolute;width:61.4pt;height:117.6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500*900*1400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基材：芯材采用实木多层板，板材的外观质量、含水率、板内密度偏差、2h吸水厚度膨胀率、静曲强度、握螺钉力等物理力学性能、板材的厚度偏差、平整度、甲醛释放量（≤0.05mg/m³）、总挥发性有机化合物（≤100ug/m³）等都需符合GB 18580-2017《室内装饰装修材料 人造板及其制品中甲醛释放限量》、GB/T35601-2024《绿色产品评价 人造板和木质地板》的要求；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饰面纸：表面采用耐磨三聚氰胺浸渍饰面纸，产品的表面耐划痕、耐磨（磨毛值及表面情况表现优异）、表面耐香烟灼烧、耐干热、耐污染腐蚀、耐龟裂、耐水蒸气、耐光色牢度、甲醛释放量（≤0.05mg/m³）、挥发性有机化合物（苯、甲苯、二甲苯、TVOC）均需符合标准GB18580-2017《室内装饰装修材料人造板及其制品中甲醛释放量》、GB/T35601-2024《绿色产品评价人造板和木质地板》、GB/T15102-2017《浸渍胶膜纸饰面纤维板和刨花板》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3、封边：采用厚度≥2mm的PVC封边条，产品外观、理化性能、甲醛释放量、可迁移元素、邻苯二甲酸酯、多溴联苯、多溴联苯醚、多溴二苯醚都需符合QB/T4463-2025《家具用封边条技术要求》、GB28481-2012《塑</w:t>
            </w:r>
            <w:r>
              <w:rPr>
                <w:rFonts w:hint="eastAsia" w:ascii="宋体" w:hAnsi="宋体" w:cs="宋体"/>
                <w:color w:val="000000"/>
                <w:sz w:val="24"/>
                <w:szCs w:val="24"/>
                <w:lang w:bidi="ar"/>
              </w:rPr>
              <w:t xml:space="preserve">料家具中有害物质限量》的要求；                                                                                                                                     4、钢架：脚采用40*40钢管壁厚≥1.2mm，表面喷塑，高压静电喷塑前经过13道前期处理，无甲醛释放量；钢制件的酸性盐雾试验符合标准GB/T10125-2021《人造气氛腐蚀试验盐雾试验》；桌面下带横向钢制支撑杆；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每间二只</w:t>
            </w:r>
            <w:r>
              <w:rPr>
                <w:rFonts w:hint="eastAsia" w:ascii="宋体" w:hAnsi="宋体" w:cs="宋体"/>
                <w:color w:val="000000"/>
                <w:sz w:val="24"/>
                <w:szCs w:val="24"/>
              </w:rPr>
            </w:r>
            <w:r/>
          </w:p>
        </w:tc>
      </w:tr>
      <w:tr>
        <w:trPr>
          <w:trHeight w:val="286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lang w:bidi="ar"/>
              </w:rPr>
              <w:t xml:space="preserve">行李架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91440</wp:posOffset>
                      </wp:positionH>
                      <wp:positionV relativeFrom="paragraph">
                        <wp:posOffset>439420</wp:posOffset>
                      </wp:positionV>
                      <wp:extent cx="601980" cy="119126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01980" cy="1191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5;o:allowoverlap:true;o:allowincell:true;mso-position-horizontal-relative:text;margin-left:7.2pt;mso-position-horizontal:absolute;mso-position-vertical-relative:text;margin-top:34.6pt;mso-position-vertical:absolute;width:47.4pt;height:93.8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800*600*2000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1、钢架：脚采用20*20mm钢管壁厚≥1.2mm，其他材料φ16mm钢管壁厚≥1.0mm，表面喷塑，高压静电喷塑前经过13道前期处理，无甲醛释放量；钢制件的酸性盐雾试验符合标准GB/T10125-2021《人造气氛腐蚀试验 盐雾试验》；桌面下带横向钢制支撑杆；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2、参考标准GB/T 332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-2024《金属家具通用技术条件》、GB/T 35607-2024《绿色产品评价家具》，产品的形状和位置公差、外观性能要求、理化性能、力学性能、安全性能、产品有害物质（甲醛释放量、苯、甲苯、二甲苯、总挥发性有机化合物等）等都需符合国家标准。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每间一只</w:t>
            </w:r>
            <w:r>
              <w:rPr>
                <w:rFonts w:hint="eastAsia"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方凳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25400</wp:posOffset>
                      </wp:positionH>
                      <wp:positionV relativeFrom="paragraph">
                        <wp:posOffset>392430</wp:posOffset>
                      </wp:positionV>
                      <wp:extent cx="789305" cy="83312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89305"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6;o:allowoverlap:true;o:allowincell:true;mso-position-horizontal-relative:text;margin-left:2.0pt;mso-position-horizontal:absolute;mso-position-vertical-relative:text;margin-top:30.9pt;mso-position-vertical:absolute;width:62.1pt;height:65.6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240*340*420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1、材质： 橡胶木，面板为18mm厚的橡胶木集成材，其它均为橡胶木实木，榫结构，脚30*40mm，走司厚为25mm，宽为45mm，拉脚档25*20mm，板材的外观、木材含水率、见指面抗弯强度、不见指面抗弯强度、甲醛释放量、苯、甲苯、二甲苯、总挥发性有机化合物含量必须达到室内标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3、参考标准 GB/T 3324-2024《木家具通用技术条件》、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28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单人床</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24130</wp:posOffset>
                      </wp:positionH>
                      <wp:positionV relativeFrom="paragraph">
                        <wp:posOffset>1275080</wp:posOffset>
                      </wp:positionV>
                      <wp:extent cx="800100" cy="60071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800100" cy="600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7;o:allowoverlap:true;o:allowincell:true;mso-position-horizontal-relative:text;margin-left:1.9pt;mso-position-horizontal:absolute;mso-position-vertical-relative:text;margin-top:100.4pt;mso-position-vertical:absolute;width:63.0pt;height:47.3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2100*1200*1000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1、床材料为白橡木实木和18mm厚的多层板双面贴0.6mm厚的白橡木木皮实木板。后靠脚和上、下毛</w:t>
            </w:r>
            <w:r>
              <w:rPr>
                <w:rFonts w:hint="eastAsia" w:ascii="宋体" w:hAnsi="宋体" w:cs="宋体"/>
                <w:color w:val="000000"/>
                <w:sz w:val="24"/>
                <w:szCs w:val="24"/>
                <w:lang w:bidi="ar"/>
              </w:rPr>
              <w:t xml:space="preserve">45mm宽35mm厚的实木，拉档35mm宽25mm厚，上部后板 布艺软包，抗张强度好，耐撕裂强度，内部采用阻燃、环保高密度聚亚安脂树脂（CM成型座棉），密度45kg/m3、回弹力90%、达国家阻燃标准。床梃宽120mm厚30mm。铺板档5根35mm宽55mm厚的硬杂木，铺板条为 松木实木厚≥14mm，档间距≤14mm。前片床片脚和上、下毛均为60mm宽35mm厚,中间板18mm厚。床下柜的斗面板18mm厚，斗墙为 桐木实木，厚度≥14㎜。所有材料均要进行蒸汽脱脂干燥处理，做到不易变形翘曲，实木水份≤14%。</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2、棕垫为中档 阻燃面料，内衬环保棕丝垫60mm厚。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油漆：环保水性漆，其不挥发物、耐人工气候老化、硬度、防霉等级、细度、耐冻融性、涂膜外观、附着力、抗粘连性、耐磨性、耐划伤性、耐醇性、耐污染性、耐干热性、打磨性、耐黄变形、耐冲击性、耐水性、耐碱性必须达到 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4、参考标准</w:t>
            </w:r>
            <w:r>
              <w:rPr>
                <w:rFonts w:hint="eastAsia" w:ascii="宋体" w:hAnsi="宋体" w:cs="宋体"/>
                <w:color w:val="000000"/>
                <w:sz w:val="24"/>
                <w:szCs w:val="24"/>
                <w:highlight w:val="none"/>
                <w:lang w:bidi="ar"/>
              </w:rPr>
              <w:t xml:space="preserve"> GB/T 3324-2024《木家具通用技术条件》</w:t>
            </w:r>
            <w:r>
              <w:rPr>
                <w:rFonts w:hint="eastAsia" w:ascii="宋体" w:hAnsi="宋体" w:cs="宋体"/>
                <w:color w:val="000000"/>
                <w:sz w:val="24"/>
                <w:szCs w:val="24"/>
                <w:lang w:bidi="ar"/>
              </w:rPr>
              <w:t xml:space="preserve">、GB/T35607-2024《绿色产品评价家具》，产品的形状和位置公差、外观性能要求、理化性能、力学性能、安全性能、产品有害物质（甲醛释放量、苯、甲苯、二甲苯、总挥发性有机化合物）等都需符合国家标准。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无障碍宿舍</w:t>
            </w:r>
            <w:r>
              <w:rPr>
                <w:rFonts w:hint="eastAsia" w:ascii="宋体" w:hAnsi="宋体" w:cs="宋体"/>
                <w:color w:val="000000"/>
                <w:sz w:val="24"/>
                <w:szCs w:val="24"/>
              </w:rPr>
            </w:r>
            <w:r/>
          </w:p>
        </w:tc>
      </w:tr>
      <w:tr>
        <w:trPr>
          <w:trHeight w:val="360"/>
        </w:trPr>
        <w:tc>
          <w:tcPr>
            <w:gridSpan w:val="3"/>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二、公共空间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223"/>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更衣柜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23495</wp:posOffset>
                      </wp:positionH>
                      <wp:positionV relativeFrom="paragraph">
                        <wp:posOffset>1177925</wp:posOffset>
                      </wp:positionV>
                      <wp:extent cx="781685" cy="133921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81685" cy="133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08;o:allowoverlap:true;o:allowincell:true;mso-position-horizontal-relative:text;margin-left:1.8pt;mso-position-horizontal:absolute;mso-position-vertical-relative:text;margin-top:92.8pt;mso-position-vertical:absolute;width:61.5pt;height:105.4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780*500*1960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1、材质：更衣柜为ABS全新工程塑料制成，强度高、韧性好、耐冲击，不易腐蚀，无毒无味，环保耐用。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2、工艺：采用钢制模具注塑一次成型；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3、产品特点：榫接结构并合理布局加强筋，安装时不用胶水粘结，不用任何螺丝，使用产品自身力量相互连结。产品不变形、不扭曲，达到可重复拆装使用。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4、铰链：高强度尼龙铰链，必须采用U型卡固定铰链。</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5、安装方式：榫卯连接，牢固耐用，底座高度为100mm（允许偏离5mm），宽度390mm（允许偏离5mm）上下板厚30mm从而使产品更牢固、结实耐用。每个门板与侧板连结采用高强度尼龙防水铰链和上下门轴加固。</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6、多功能盒：门板内侧门幅板挂钩多功能盒子为一体化注塑设计，不另外安装，结实耐用不易断裂。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7、顶板采用平顶板模式，内置固定块，改掉了之前用上下板作为顶板，用封条和固定板来加固的模式。</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底座：高度必须为全封闭底座，高度能有效防止打扫卫生时的水花溅入，提高柜子的使用率；全封闭底座能有效的杜绝的果皮纸屑的进入，杜绝卫生死角，保持清洁的良好的环境。板材厚度：侧板（22mm）、顶板(30mm)、底板（30mm）、门板（32mm）、底座（100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9、每款门板右上角均有门牌号,采用镶嵌式，避免了由于胶粘的易脱落的发生。</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10、挂衣棒：柜体内部配备挂衣棒，时收起，方便实用，合理利用空间。</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11、毛巾架：门副板内侧安装可伸缩毛巾架方便晾晒毛巾</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12、锁内置隐藏锁，与柜门保持平面，杜绝意外磕碰，简单方便。</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13、锁具采用拉手式镶嵌锁具，不得打孔破坏门板，保证门板表面平整。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17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换鞋凳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24130</wp:posOffset>
                      </wp:positionH>
                      <wp:positionV relativeFrom="paragraph">
                        <wp:posOffset>1152525</wp:posOffset>
                      </wp:positionV>
                      <wp:extent cx="779145" cy="56007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79145"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09;o:allowoverlap:true;o:allowincell:true;mso-position-horizontal-relative:text;margin-left:1.9pt;mso-position-horizontal:absolute;mso-position-vertical-relative:text;margin-top:90.8pt;mso-position-vertical:absolute;width:61.3pt;height:44.1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1600*600*450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32" w:type="dxa"/>
            <w:vAlign w:val="center"/>
            <w:textDirection w:val="lrTb"/>
            <w:noWrap w:val="false"/>
          </w:tcPr>
          <w:p>
            <w:pPr>
              <w:pStyle w:val="66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1、表面材料：采用环保皮，内衬高回弹海绵，耐污、易清洁。皮革的涂层粘着牢度、往复式摩擦色牢度、皮革可萃取重金属符合标准要求；皮革材质力学及耐磨色牢度等符合标准要求，PH 要求 3.5-6.0，禁用偶氮染料≤30mg/kg，游离甲醛≤75mg/kg，气味≤3 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2、海绵：一体成型高密度定型绵，海绵的感官和物理力学性能，海绵的 25%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GB/T 10802-2006《通用软质聚醚型聚氨酯泡沫塑料》的要求；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3、金属脚：表面喷塑处理，其甲醛含量、挥发性有机化合物（VOC）含量、</w:t>
            </w:r>
            <w:r>
              <w:rPr>
                <w:rFonts w:hint="eastAsia" w:ascii="宋体" w:hAnsi="宋体" w:cs="宋体"/>
                <w:color w:val="000000"/>
                <w:sz w:val="24"/>
                <w:szCs w:val="24"/>
                <w:lang w:bidi="ar"/>
              </w:rPr>
              <w:t xml:space="preserve">苯含量、可溶性重金属含量必须达到室内标准；                                                                         4、参考标准 QB/T 1952.1-2023《软体家具沙发》、GB/T35607-2024《绿色产品评价家具》，产品的用料、加工、外观性能（面料、缝纫和包覆）、力学性能（沙发座、背及扶手耐久性）、理化性能（覆面材料理化性能）、安全性能、产品有害物质（甲醛释放量、苯、甲苯、二甲苯、总挥发性有机化合物等）等都需符合国家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60"/>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66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660"/>
        <w:numPr>
          <w:ilvl w:val="0"/>
          <w:numId w:val="6"/>
        </w:numPr>
        <w:spacing w:line="0" w:lineRule="atLeast"/>
        <w:rPr>
          <w:rFonts w:hint="eastAsia" w:ascii="宋体" w:hAnsi="宋体"/>
          <w:bCs/>
          <w:color w:val="00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color w:val="000000"/>
          <w:sz w:val="24"/>
          <w:szCs w:val="24"/>
        </w:rPr>
      </w:r>
      <w:r/>
    </w:p>
    <w:p>
      <w:pPr>
        <w:pStyle w:val="66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660"/>
        <w:ind w:firstLine="480"/>
        <w:spacing w:line="360" w:lineRule="auto"/>
        <w:rPr>
          <w:rFonts w:hint="eastAsia" w:ascii="宋体" w:hAnsi="宋体" w:cs="宋体"/>
          <w:bCs/>
          <w:sz w:val="24"/>
          <w:szCs w:val="24"/>
        </w:rPr>
      </w:pPr>
      <w:r>
        <w:rPr>
          <w:rFonts w:hint="eastAsia" w:ascii="宋体" w:hAnsi="宋体" w:cs="宋体"/>
          <w:bCs/>
          <w:sz w:val="24"/>
          <w:szCs w:val="24"/>
        </w:rPr>
        <w:t xml:space="preserve">本次采购的核心产品:</w:t>
      </w:r>
      <w:r>
        <w:rPr>
          <w:rFonts w:hint="eastAsia" w:ascii="宋体" w:hAnsi="宋体" w:cs="宋体"/>
          <w:color w:val="000000"/>
          <w:sz w:val="24"/>
          <w:szCs w:val="24"/>
          <w:lang w:val="en-US" w:eastAsia="zh-CN" w:bidi="ar"/>
        </w:rPr>
        <w:t xml:space="preserve">学生金属</w:t>
      </w:r>
      <w:r>
        <w:rPr>
          <w:rFonts w:hint="eastAsia" w:ascii="宋体" w:hAnsi="宋体" w:cs="宋体"/>
          <w:color w:val="000000"/>
          <w:sz w:val="24"/>
          <w:szCs w:val="24"/>
          <w:lang w:bidi="ar"/>
        </w:rPr>
        <w:t xml:space="preserve">公寓床</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双层</w:t>
      </w:r>
      <w:r>
        <w:rPr>
          <w:rFonts w:hint="eastAsia" w:ascii="宋体" w:hAnsi="宋体" w:cs="宋体"/>
          <w:color w:val="000000"/>
          <w:sz w:val="24"/>
          <w:szCs w:val="24"/>
          <w:lang w:eastAsia="zh-CN" w:bidi="ar"/>
        </w:rPr>
        <w:t xml:space="preserve">）</w:t>
      </w:r>
      <w:r>
        <w:rPr>
          <w:rFonts w:hint="eastAsia" w:ascii="宋体" w:hAnsi="宋体" w:cs="宋体"/>
          <w:bCs/>
          <w:sz w:val="24"/>
          <w:szCs w:val="24"/>
        </w:rPr>
        <w:t xml:space="preserve">。 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rPr>
          <w:rFonts w:hint="eastAsia" w:ascii="宋体" w:hAnsi="宋体" w:cs="宋体"/>
          <w:bCs/>
          <w:sz w:val="24"/>
          <w:szCs w:val="24"/>
        </w:rPr>
      </w:r>
      <w:r/>
    </w:p>
    <w:p>
      <w:pPr>
        <w:pStyle w:val="660"/>
        <w:ind w:firstLine="422"/>
        <w:spacing w:line="360" w:lineRule="auto"/>
        <w:rPr>
          <w:rFonts w:hint="eastAsia" w:ascii="宋体" w:hAnsi="宋体" w:cs="宋体"/>
          <w:b/>
          <w:bCs/>
          <w:szCs w:val="21"/>
          <w:highlight w:val="green"/>
        </w:rPr>
        <w:sectPr>
          <w:footnotePr/>
          <w:endnotePr/>
          <w:type w:val="nextPage"/>
          <w:pgSz w:w="16838" w:h="11906" w:orient="landscape"/>
          <w:pgMar w:top="1179" w:right="1098" w:bottom="1803" w:left="1157" w:header="851" w:footer="992" w:gutter="0"/>
          <w:cols w:num="1" w:sep="0" w:space="1701" w:equalWidth="1"/>
          <w:docGrid w:linePitch="360"/>
        </w:sectPr>
      </w:pPr>
      <w:r>
        <w:rPr>
          <w:rFonts w:hint="eastAsia" w:ascii="宋体" w:hAnsi="宋体" w:cs="宋体"/>
          <w:b/>
          <w:bCs/>
          <w:szCs w:val="21"/>
          <w:highlight w:val="green"/>
        </w:rPr>
      </w:r>
      <w:r/>
    </w:p>
    <w:p>
      <w:pPr>
        <w:pStyle w:val="660"/>
        <w:ind w:firstLine="422"/>
        <w:spacing w:line="360" w:lineRule="auto"/>
        <w:rPr>
          <w:rFonts w:ascii="宋体" w:hAnsi="宋体" w:cs="宋体"/>
          <w:b/>
          <w:bCs/>
          <w:szCs w:val="21"/>
        </w:rPr>
      </w:pPr>
      <w:r>
        <w:rPr>
          <w:rFonts w:hint="eastAsia" w:ascii="宋体" w:hAnsi="宋体" w:cs="宋体"/>
          <w:b/>
          <w:bCs/>
          <w:szCs w:val="21"/>
        </w:rPr>
        <w:t xml:space="preserve">二、节能环保产品要求：</w:t>
      </w:r>
      <w:r>
        <w:rPr>
          <w:rFonts w:ascii="宋体" w:hAnsi="宋体" w:cs="宋体"/>
          <w:b/>
          <w:bCs/>
          <w:szCs w:val="21"/>
        </w:rPr>
      </w:r>
      <w:r/>
    </w:p>
    <w:p>
      <w:pPr>
        <w:pStyle w:val="660"/>
        <w:rPr>
          <w:rFonts w:hint="eastAsia" w:ascii="宋体" w:hAnsi="宋体" w:cs="宋体"/>
          <w:szCs w:val="21"/>
        </w:rPr>
      </w:pPr>
      <w:r>
        <w:rPr>
          <w:rFonts w:hint="eastAsia" w:ascii="宋体" w:hAnsi="宋体" w:cs="宋体"/>
          <w:szCs w:val="21"/>
        </w:rPr>
        <w:t xml:space="preserve">★若本次采购货物为节能产品政府采购品目清单中规定的政府强制采购产品</w:t>
      </w:r>
      <w:r>
        <w:rPr>
          <w:rFonts w:hint="eastAsia"/>
        </w:rPr>
        <w:t xml:space="preserve">（</w:t>
      </w:r>
      <w:r>
        <w:rPr>
          <w:rFonts w:hint="eastAsia"/>
          <w:lang w:val="en-US" w:eastAsia="zh-CN"/>
        </w:rPr>
        <w:t xml:space="preserve">无</w:t>
      </w:r>
      <w:r>
        <w:rPr>
          <w:rFonts w:hint="eastAsia"/>
        </w:rPr>
        <w:t xml:space="preserve">）</w:t>
      </w:r>
      <w:r>
        <w:rPr>
          <w:rFonts w:hint="eastAsia" w:ascii="宋体" w:hAnsi="宋体" w:cs="宋体"/>
          <w:szCs w:val="21"/>
        </w:rPr>
        <w:t xml:space="preserve">，投标人需在标书内提供投标产品有效期内的节能产品认证证书复印件或网页查询截图。</w:t>
      </w:r>
      <w:r>
        <w:rPr>
          <w:rFonts w:hint="eastAsia" w:ascii="宋体" w:hAnsi="宋体" w:cs="宋体"/>
          <w:szCs w:val="21"/>
        </w:rPr>
      </w:r>
      <w:r/>
    </w:p>
    <w:p>
      <w:pPr>
        <w:pStyle w:val="660"/>
        <w:ind w:right="-161" w:firstLine="422"/>
        <w:spacing w:line="360" w:lineRule="auto"/>
        <w:rPr>
          <w:rFonts w:hint="eastAsia" w:ascii="宋体" w:hAnsi="宋体" w:cs="宋体"/>
          <w:b/>
          <w:szCs w:val="21"/>
        </w:rPr>
      </w:pPr>
      <w:r>
        <w:rPr>
          <w:rFonts w:hint="eastAsia" w:ascii="宋体" w:hAnsi="宋体" w:cs="宋体"/>
          <w:b/>
          <w:szCs w:val="21"/>
        </w:rPr>
        <w:t xml:space="preserve">三、其他说明： </w:t>
      </w:r>
      <w:r>
        <w:rPr>
          <w:rFonts w:hint="eastAsia" w:ascii="宋体" w:hAnsi="宋体" w:cs="宋体"/>
          <w:b/>
          <w:szCs w:val="21"/>
        </w:rPr>
      </w:r>
      <w:r/>
    </w:p>
    <w:p>
      <w:pPr>
        <w:pStyle w:val="660"/>
        <w:ind w:right="-161" w:firstLine="420"/>
        <w:spacing w:line="360" w:lineRule="auto"/>
        <w:rPr>
          <w:rFonts w:hint="eastAsia"/>
        </w:rPr>
      </w:pPr>
      <w:r>
        <w:rPr>
          <w:rFonts w:hint="eastAsia"/>
          <w:lang w:val="en-US" w:eastAsia="zh-CN"/>
        </w:rPr>
        <w:t xml:space="preserve">1.</w:t>
      </w:r>
      <w:r>
        <w:rPr>
          <w:rFonts w:hint="eastAsia"/>
        </w:rPr>
        <w:t xml:space="preserve">合同款项的支付方式及进度安排</w:t>
      </w:r>
      <w:r>
        <w:rPr>
          <w:rFonts w:hint="eastAsia"/>
        </w:rPr>
      </w:r>
      <w:r/>
    </w:p>
    <w:p>
      <w:pPr>
        <w:pStyle w:val="660"/>
        <w:ind w:right="-161" w:firstLine="420"/>
        <w:spacing w:line="360" w:lineRule="auto"/>
        <w:rPr>
          <w:rFonts w:hint="eastAsia"/>
        </w:rPr>
      </w:pPr>
      <w:r>
        <w:rPr>
          <w:rFonts w:hint="eastAsia"/>
        </w:rPr>
        <w:t xml:space="preserve">8.1 预付款支付时间：合同签订后30日内，预付款支付比例：合同金额的30%。</w:t>
      </w:r>
      <w:r>
        <w:rPr>
          <w:rFonts w:hint="eastAsia"/>
        </w:rPr>
      </w:r>
      <w:r/>
    </w:p>
    <w:p>
      <w:pPr>
        <w:pStyle w:val="660"/>
        <w:ind w:right="-161" w:firstLine="420"/>
        <w:spacing w:line="360" w:lineRule="auto"/>
        <w:rPr>
          <w:rFonts w:hint="eastAsia"/>
        </w:rPr>
      </w:pPr>
      <w:r>
        <w:rPr>
          <w:rFonts w:hint="eastAsia"/>
        </w:rPr>
        <w:t xml:space="preserve">8.2 尾款支付时间：产品验收完成后60日内，尾款支付比例：</w:t>
      </w:r>
      <w:r>
        <w:rPr>
          <w:rFonts w:hint="eastAsia"/>
          <w:lang w:val="en-US" w:eastAsia="zh-CN"/>
        </w:rPr>
        <w:t xml:space="preserve">合同金额</w:t>
      </w:r>
      <w:r>
        <w:rPr>
          <w:rFonts w:hint="eastAsia"/>
        </w:rPr>
        <w:t xml:space="preserve">的</w:t>
      </w:r>
      <w:r>
        <w:rPr>
          <w:rFonts w:hint="eastAsia"/>
          <w:lang w:val="en-US" w:eastAsia="zh-CN"/>
        </w:rPr>
        <w:t xml:space="preserve">70</w:t>
      </w:r>
      <w:r>
        <w:rPr>
          <w:rFonts w:hint="eastAsia"/>
        </w:rPr>
        <w:t xml:space="preserve">%。</w:t>
      </w:r>
      <w:r>
        <w:rPr>
          <w:rFonts w:hint="eastAsia"/>
        </w:rPr>
      </w:r>
      <w:r/>
    </w:p>
    <w:p>
      <w:pPr>
        <w:pStyle w:val="660"/>
        <w:ind w:right="-161" w:firstLine="420"/>
        <w:spacing w:line="360" w:lineRule="auto"/>
        <w:rPr>
          <w:rFonts w:hint="eastAsia"/>
        </w:rPr>
      </w:pPr>
      <w:r>
        <w:rPr>
          <w:rFonts w:hint="eastAsia"/>
        </w:rPr>
        <w:t xml:space="preserve">2当采购数量与实际使用数量不一致时，乙方应根据实际使用量供货，合同的最终结算金额按实际使用量乘以成交单价进行计算。</w:t>
      </w:r>
      <w:r>
        <w:rPr>
          <w:rFonts w:hint="eastAsia"/>
        </w:rPr>
      </w:r>
      <w:r/>
    </w:p>
    <w:p>
      <w:pPr>
        <w:pStyle w:val="660"/>
        <w:ind w:right="-161" w:firstLine="420"/>
        <w:spacing w:line="360" w:lineRule="auto"/>
        <w:rPr>
          <w:rFonts w:hint="eastAsia"/>
          <w:lang w:val="en-US" w:eastAsia="zh-CN"/>
        </w:rPr>
      </w:pPr>
      <w:r>
        <w:rPr>
          <w:rFonts w:hint="eastAsia"/>
          <w:lang w:val="en-US" w:eastAsia="zh-CN"/>
        </w:rPr>
        <w:t xml:space="preserve">3.质量保修范围和保修期及售后服务</w:t>
      </w:r>
      <w:r>
        <w:rPr>
          <w:rFonts w:hint="eastAsia"/>
          <w:lang w:val="en-US" w:eastAsia="zh-CN"/>
        </w:rPr>
      </w:r>
      <w:r/>
    </w:p>
    <w:p>
      <w:pPr>
        <w:pStyle w:val="660"/>
        <w:ind w:right="-161" w:firstLine="420"/>
        <w:spacing w:line="360" w:lineRule="auto"/>
        <w:rPr>
          <w:rFonts w:hint="eastAsia"/>
          <w:lang w:val="en-US" w:eastAsia="zh-CN"/>
        </w:rPr>
      </w:pPr>
      <w:r>
        <w:rPr>
          <w:rFonts w:hint="eastAsia"/>
          <w:lang w:val="en-US" w:eastAsia="zh-CN"/>
        </w:rPr>
        <w:t xml:space="preserve">3.1 乙方应按招标文件规定的货物性能、技术要求、质量标准向甲方提供未经使用的全新产品。</w:t>
      </w:r>
      <w:r>
        <w:rPr>
          <w:rFonts w:hint="eastAsia"/>
          <w:lang w:val="en-US" w:eastAsia="zh-CN"/>
        </w:rPr>
      </w:r>
      <w:r/>
    </w:p>
    <w:p>
      <w:pPr>
        <w:pStyle w:val="660"/>
        <w:ind w:right="-161" w:firstLine="420"/>
        <w:spacing w:line="360" w:lineRule="auto"/>
        <w:rPr>
          <w:rFonts w:hint="eastAsia"/>
          <w:lang w:val="en-US" w:eastAsia="zh-CN"/>
        </w:rPr>
      </w:pPr>
      <w:r>
        <w:rPr>
          <w:rFonts w:hint="eastAsia"/>
          <w:lang w:val="en-US" w:eastAsia="zh-CN"/>
        </w:rPr>
        <w:t xml:space="preserve">3.2 乙方提供的货物在质量期内因货物本身的质量问题发生故障，乙方应负责免费更换。对达不到技术要求者，根据实际情况，经双方协商，可按以下办法处理：</w:t>
      </w:r>
      <w:r>
        <w:rPr>
          <w:rFonts w:hint="eastAsia"/>
          <w:lang w:val="en-US" w:eastAsia="zh-CN"/>
        </w:rPr>
      </w:r>
      <w:r/>
    </w:p>
    <w:p>
      <w:pPr>
        <w:pStyle w:val="660"/>
        <w:ind w:right="-161" w:firstLine="420"/>
        <w:spacing w:line="360" w:lineRule="auto"/>
        <w:rPr>
          <w:rFonts w:hint="eastAsia"/>
          <w:lang w:val="en-US" w:eastAsia="zh-CN"/>
        </w:rPr>
      </w:pPr>
      <w:r>
        <w:rPr>
          <w:rFonts w:hint="eastAsia"/>
          <w:lang w:val="en-US" w:eastAsia="zh-CN"/>
        </w:rPr>
        <w:t xml:space="preserve">⑴更换：由乙方承担所发生的全部费用。</w:t>
      </w:r>
      <w:r>
        <w:rPr>
          <w:rFonts w:hint="eastAsia"/>
          <w:lang w:val="en-US" w:eastAsia="zh-CN"/>
        </w:rPr>
      </w:r>
      <w:r/>
    </w:p>
    <w:p>
      <w:pPr>
        <w:pStyle w:val="660"/>
        <w:ind w:right="-161" w:firstLine="420"/>
        <w:spacing w:line="360" w:lineRule="auto"/>
        <w:rPr>
          <w:rFonts w:hint="eastAsia"/>
          <w:lang w:val="en-US" w:eastAsia="zh-CN"/>
        </w:rPr>
      </w:pPr>
      <w:r>
        <w:rPr>
          <w:rFonts w:hint="eastAsia"/>
          <w:lang w:val="en-US" w:eastAsia="zh-CN"/>
        </w:rPr>
        <w:t xml:space="preserve">⑵贬值处理：由甲乙双方合议定价。</w:t>
      </w:r>
      <w:r>
        <w:rPr>
          <w:rFonts w:hint="eastAsia"/>
          <w:lang w:val="en-US" w:eastAsia="zh-CN"/>
        </w:rPr>
      </w:r>
      <w:r/>
    </w:p>
    <w:p>
      <w:pPr>
        <w:pStyle w:val="660"/>
        <w:ind w:right="-161" w:firstLine="420"/>
        <w:spacing w:line="360" w:lineRule="auto"/>
        <w:rPr>
          <w:rFonts w:hint="eastAsia"/>
          <w:lang w:val="en-US" w:eastAsia="zh-CN"/>
        </w:rPr>
      </w:pPr>
      <w:r>
        <w:rPr>
          <w:rFonts w:hint="eastAsia"/>
          <w:lang w:val="en-US" w:eastAsia="zh-CN"/>
        </w:rPr>
        <w:t xml:space="preserve">⑶退货处理：乙方应退还甲方支付的合同款，同时应承担该货物的直接费用（运输、保险、检验、货款利息及银行手续费等）。</w:t>
      </w:r>
      <w:r>
        <w:rPr>
          <w:rFonts w:hint="eastAsia"/>
          <w:lang w:val="en-US" w:eastAsia="zh-CN"/>
        </w:rPr>
      </w:r>
      <w:r/>
    </w:p>
    <w:p>
      <w:pPr>
        <w:pStyle w:val="660"/>
        <w:ind w:right="-161" w:firstLine="420"/>
        <w:spacing w:line="360" w:lineRule="auto"/>
        <w:rPr>
          <w:rFonts w:hint="eastAsia"/>
          <w:lang w:val="en-US" w:eastAsia="zh-CN"/>
        </w:rPr>
      </w:pPr>
      <w:r>
        <w:rPr>
          <w:rFonts w:hint="eastAsia"/>
          <w:lang w:val="en-US" w:eastAsia="zh-CN"/>
        </w:rPr>
        <w:t xml:space="preserve">3.3 如在使用过程中发生质量问题，乙方在接到甲方通知后在___2___小时内到达甲方现场。</w:t>
      </w:r>
      <w:r>
        <w:rPr>
          <w:rFonts w:hint="eastAsia"/>
          <w:lang w:val="en-US" w:eastAsia="zh-CN"/>
        </w:rPr>
      </w:r>
      <w:r/>
    </w:p>
    <w:p>
      <w:pPr>
        <w:pStyle w:val="660"/>
        <w:ind w:right="-161" w:firstLine="420"/>
        <w:spacing w:line="360" w:lineRule="auto"/>
        <w:rPr>
          <w:rFonts w:hint="eastAsia"/>
          <w:lang w:val="en-US" w:eastAsia="zh-CN"/>
        </w:rPr>
      </w:pPr>
      <w:r>
        <w:rPr>
          <w:rFonts w:hint="eastAsia"/>
          <w:lang w:val="en-US" w:eastAsia="zh-CN"/>
        </w:rPr>
        <w:t xml:space="preserve">3.4 在质保期内，乙方应对货物出现的质量及安全问题负责处理解决并承担一切费用。</w:t>
      </w:r>
      <w:r>
        <w:rPr>
          <w:rFonts w:hint="eastAsia"/>
          <w:lang w:val="en-US" w:eastAsia="zh-CN"/>
        </w:rPr>
      </w:r>
      <w:r/>
    </w:p>
    <w:p>
      <w:pPr>
        <w:pStyle w:val="660"/>
        <w:ind w:right="-161" w:firstLine="420"/>
        <w:spacing w:line="360" w:lineRule="auto"/>
        <w:rPr>
          <w:rFonts w:eastAsia="宋体"/>
          <w:lang w:val="en-US" w:eastAsia="zh-CN"/>
        </w:rPr>
      </w:pPr>
      <w:r>
        <w:rPr>
          <w:rFonts w:hint="eastAsia"/>
          <w:lang w:val="en-US" w:eastAsia="zh-CN"/>
        </w:rPr>
        <w:t xml:space="preserve">3.5上述的货物免费保修期为  2  年（自交货验收合格之日起计），因人为因素出现的故障不在免费保修范围内。超过保修期的机器设备，终生维修，维修时只收部件成本费。</w:t>
      </w:r>
      <w:r>
        <w:rPr>
          <w:rFonts w:eastAsia="宋体"/>
          <w:lang w:val="en-US" w:eastAsia="zh-CN"/>
        </w:rPr>
      </w:r>
      <w:r/>
    </w:p>
    <w:p>
      <w:pPr>
        <w:pStyle w:val="66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本项目不接受进口产品投标.</w:t>
      </w:r>
      <w:r>
        <w:rPr>
          <w:rFonts w:hint="eastAsia" w:ascii="宋体" w:hAnsi="宋体" w:cs="宋体"/>
          <w:b/>
          <w:color w:val="000000"/>
          <w:sz w:val="24"/>
          <w:szCs w:val="24"/>
        </w:rPr>
      </w:r>
      <w:r/>
    </w:p>
    <w:p>
      <w:pPr>
        <w:pStyle w:val="660"/>
        <w:spacing w:line="360" w:lineRule="auto"/>
        <w:rPr>
          <w:rFonts w:ascii="宋体" w:hAnsi="宋体" w:cs="宋体"/>
          <w:b/>
          <w:color w:val="000000"/>
          <w:sz w:val="24"/>
          <w:szCs w:val="24"/>
        </w:rPr>
      </w:pPr>
      <w:r>
        <w:rPr>
          <w:rFonts w:hint="eastAsia" w:ascii="宋体" w:hAnsi="宋体" w:cs="宋体"/>
          <w:b/>
          <w:color w:val="000000"/>
          <w:sz w:val="24"/>
          <w:szCs w:val="24"/>
        </w:rPr>
        <w:t xml:space="preserve">采购标的对应的中小企业划分标准所属行业：工业</w:t>
      </w:r>
      <w:r>
        <w:rPr>
          <w:rFonts w:ascii="宋体" w:hAnsi="宋体" w:cs="宋体"/>
          <w:b/>
          <w:color w:val="000000"/>
          <w:sz w:val="24"/>
          <w:szCs w:val="24"/>
        </w:rPr>
      </w:r>
      <w:r/>
    </w:p>
    <w:p>
      <w:pPr>
        <w:pStyle w:val="660"/>
        <w:ind w:firstLine="480"/>
        <w:rPr>
          <w:rFonts w:hint="eastAsia" w:ascii="宋体" w:hAnsi="宋体"/>
          <w:color w:val="000000"/>
          <w:sz w:val="24"/>
          <w:szCs w:val="24"/>
        </w:rPr>
      </w:pPr>
      <w:r>
        <w:rPr>
          <w:rFonts w:hint="eastAsia" w:ascii="宋体" w:hAnsi="宋体"/>
          <w:color w:val="000000"/>
          <w:sz w:val="24"/>
          <w:szCs w:val="24"/>
        </w:rPr>
      </w:r>
      <w:r/>
    </w:p>
    <w:p>
      <w:pPr>
        <w:pStyle w:val="660"/>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660"/>
        <w:ind w:firstLine="602"/>
        <w:rPr>
          <w:rFonts w:hint="eastAsia"/>
          <w:b/>
          <w:i/>
          <w:color w:val="000000"/>
          <w:sz w:val="30"/>
          <w:szCs w:val="32"/>
          <w:u w:val="single"/>
        </w:rPr>
      </w:pPr>
      <w:r>
        <w:rPr>
          <w:rFonts w:hint="eastAsia"/>
          <w:b/>
          <w:i/>
          <w:color w:val="000000"/>
          <w:sz w:val="30"/>
          <w:szCs w:val="32"/>
          <w:u w:val="single"/>
        </w:rPr>
      </w:r>
      <w:r/>
    </w:p>
    <w:p>
      <w:pPr>
        <w:pStyle w:val="660"/>
        <w:rPr>
          <w:rFonts w:hint="eastAsia" w:ascii="宋体" w:hAnsi="宋体"/>
          <w:b/>
          <w:color w:val="000000"/>
          <w:sz w:val="28"/>
          <w:szCs w:val="28"/>
        </w:rPr>
      </w:pPr>
      <w:r>
        <w:rPr>
          <w:rFonts w:hint="eastAsia" w:ascii="宋体" w:hAnsi="宋体"/>
          <w:b/>
          <w:color w:val="000000"/>
          <w:sz w:val="28"/>
          <w:szCs w:val="28"/>
        </w:rPr>
      </w:r>
      <w:r/>
    </w:p>
    <w:p>
      <w:pPr>
        <w:pStyle w:val="660"/>
        <w:rPr>
          <w:rFonts w:hint="eastAsia" w:ascii="宋体" w:hAnsi="宋体"/>
          <w:b/>
          <w:color w:val="000000"/>
          <w:sz w:val="28"/>
          <w:szCs w:val="28"/>
        </w:rPr>
      </w:pPr>
      <w:r>
        <w:rPr>
          <w:rFonts w:hint="eastAsia" w:ascii="宋体" w:hAnsi="宋体"/>
          <w:b/>
          <w:color w:val="000000"/>
          <w:sz w:val="28"/>
          <w:szCs w:val="28"/>
        </w:rPr>
      </w:r>
      <w:r/>
    </w:p>
    <w:p>
      <w:pPr>
        <w:pStyle w:val="660"/>
        <w:jc w:val="center"/>
        <w:tabs>
          <w:tab w:val="left" w:pos="6200" w:leader="none"/>
        </w:tabs>
        <w:rPr>
          <w:rFonts w:ascii="Arial" w:hAnsi="Arial" w:cs="Arial"/>
          <w:b/>
          <w:color w:val="000000"/>
          <w:sz w:val="32"/>
          <w:szCs w:val="21"/>
        </w:rPr>
      </w:pPr>
      <w:r>
        <w:rPr>
          <w:rFonts w:ascii="Arial" w:hAnsi="Arial" w:cs="Arial"/>
          <w:b/>
          <w:color w:val="000000"/>
          <w:sz w:val="32"/>
          <w:szCs w:val="21"/>
        </w:rPr>
      </w:r>
      <w:r/>
    </w:p>
    <w:p>
      <w:pPr>
        <w:pStyle w:val="660"/>
        <w:jc w:val="center"/>
        <w:keepNext/>
        <w:rPr>
          <w:rFonts w:hint="eastAsia" w:ascii="黑体" w:eastAsia="黑体"/>
          <w:bCs/>
          <w:color w:val="000000"/>
          <w:sz w:val="44"/>
          <w:szCs w:val="28"/>
        </w:rPr>
        <w:outlineLvl w:val="0"/>
      </w:pPr>
      <w:r/>
      <w:bookmarkStart w:id="38" w:name="_Toc120614281"/>
      <w:r>
        <w:rPr>
          <w:rFonts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60"/>
        <w:rPr>
          <w:rFonts w:hint="eastAsia"/>
          <w:color w:val="000000"/>
          <w:szCs w:val="21"/>
        </w:rPr>
      </w:pPr>
      <w:r>
        <w:rPr>
          <w:rFonts w:hint="eastAsia"/>
          <w:color w:val="000000"/>
          <w:szCs w:val="21"/>
        </w:rPr>
      </w:r>
      <w:r/>
    </w:p>
    <w:p>
      <w:pPr>
        <w:pStyle w:val="75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758"/>
        <w:ind w:firstLine="441"/>
        <w:rPr>
          <w:rFonts w:hint="eastAsia" w:ascii="宋体" w:hAnsi="宋体"/>
          <w:b/>
        </w:rPr>
      </w:pPr>
      <w:r>
        <w:rPr>
          <w:rFonts w:hint="eastAsia" w:ascii="宋体" w:hAnsi="宋体"/>
          <w:b/>
        </w:rPr>
        <w:t xml:space="preserve">政府采购政策功能落实</w:t>
      </w:r>
      <w:r>
        <w:rPr>
          <w:rFonts w:hint="eastAsia" w:ascii="宋体" w:hAnsi="宋体"/>
          <w:b/>
        </w:rPr>
      </w:r>
      <w:r/>
    </w:p>
    <w:p>
      <w:pPr>
        <w:pStyle w:val="758"/>
        <w:ind w:firstLine="441"/>
        <w:rPr>
          <w:rFonts w:ascii="宋体" w:hAnsi="宋体"/>
          <w:b/>
        </w:rPr>
      </w:pPr>
      <w:r>
        <w:rPr>
          <w:rFonts w:hint="eastAsia" w:ascii="宋体" w:hAnsi="宋体"/>
          <w:b/>
        </w:rPr>
        <w:t xml:space="preserve">专门面向中小企业采购的项目或者采购包，不再执行价格评审优惠的扶持政策。</w:t>
      </w:r>
      <w:r>
        <w:rPr>
          <w:rFonts w:ascii="宋体" w:hAnsi="宋体"/>
          <w:b/>
        </w:rPr>
      </w:r>
      <w:r/>
    </w:p>
    <w:p>
      <w:pPr>
        <w:pStyle w:val="758"/>
        <w:ind w:firstLine="482"/>
        <w:spacing w:line="0" w:lineRule="atLeast"/>
        <w:rPr>
          <w:rFonts w:hint="eastAsia" w:ascii="宋体" w:hAnsi="宋体"/>
          <w:b/>
        </w:rPr>
      </w:pPr>
      <w:r>
        <w:rPr>
          <w:rFonts w:hint="eastAsia" w:ascii="宋体" w:hAnsi="宋体"/>
          <w:b/>
        </w:rPr>
        <w:t xml:space="preserve">对本国产品的支持政策</w:t>
      </w:r>
      <w:r>
        <w:rPr>
          <w:rFonts w:hint="eastAsia" w:ascii="宋体" w:hAnsi="宋体"/>
          <w:b/>
        </w:rPr>
      </w:r>
      <w:r/>
    </w:p>
    <w:p>
      <w:pPr>
        <w:pStyle w:val="758"/>
        <w:ind w:firstLine="482"/>
        <w:spacing w:line="0" w:lineRule="atLeast"/>
        <w:rPr>
          <w:rFonts w:hint="eastAsia" w:ascii="宋体" w:hAnsi="宋体"/>
          <w:b/>
        </w:rPr>
      </w:pPr>
      <w:r>
        <w:rPr>
          <w:rFonts w:hint="eastAsia" w:ascii="宋体" w:hAnsi="宋体"/>
          <w:b/>
        </w:rPr>
        <w:t xml:space="preserve">根据《国务院办公厅关于在</w:t>
      </w:r>
      <w:r>
        <w:rPr>
          <w:rFonts w:hint="eastAsia" w:ascii="宋体" w:hAnsi="宋体"/>
          <w:b/>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
        </w:rPr>
      </w:r>
      <w:r/>
    </w:p>
    <w:p>
      <w:pPr>
        <w:pStyle w:val="758"/>
        <w:ind w:firstLine="482"/>
        <w:spacing w:line="0" w:lineRule="atLeast"/>
        <w:rPr>
          <w:rFonts w:hint="eastAsia" w:ascii="宋体" w:hAnsi="宋体"/>
          <w:b/>
        </w:rPr>
      </w:pPr>
      <w:r>
        <w:rPr>
          <w:rFonts w:hint="eastAsia" w:ascii="宋体" w:hAnsi="宋体"/>
          <w:b/>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
        </w:rPr>
      </w:r>
      <w:r/>
    </w:p>
    <w:p>
      <w:pPr>
        <w:pStyle w:val="758"/>
        <w:ind w:firstLine="482"/>
        <w:spacing w:line="0" w:lineRule="atLeast"/>
        <w:rPr>
          <w:rFonts w:hint="eastAsia" w:ascii="宋体" w:hAnsi="宋体"/>
          <w:b/>
        </w:rPr>
      </w:pPr>
      <w:r>
        <w:rPr>
          <w:rFonts w:hint="eastAsia" w:ascii="宋体" w:hAnsi="宋体"/>
          <w:b/>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rPr>
      </w:r>
      <w:r/>
    </w:p>
    <w:p>
      <w:pPr>
        <w:pStyle w:val="758"/>
        <w:ind w:firstLine="482"/>
        <w:spacing w:line="0" w:lineRule="atLeast"/>
        <w:rPr>
          <w:rFonts w:hint="eastAsia" w:ascii="宋体" w:hAnsi="宋体"/>
          <w:b/>
        </w:rPr>
      </w:pPr>
      <w:r>
        <w:rPr>
          <w:rFonts w:hint="eastAsia" w:ascii="宋体" w:hAnsi="宋体"/>
          <w:b/>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b/>
        </w:rPr>
      </w:r>
      <w:r/>
    </w:p>
    <w:p>
      <w:pPr>
        <w:pStyle w:val="758"/>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660"/>
        <w:rPr>
          <w:rFonts w:ascii="Arial" w:hAnsi="Arial"/>
          <w:sz w:val="24"/>
          <w:szCs w:val="24"/>
        </w:rPr>
      </w:pPr>
      <w:r>
        <w:rPr>
          <w:rFonts w:ascii="Arial" w:hAnsi="Arial"/>
          <w:sz w:val="24"/>
          <w:szCs w:val="24"/>
        </w:rPr>
      </w:r>
      <w:r/>
    </w:p>
    <w:p>
      <w:pPr>
        <w:pStyle w:val="660"/>
        <w:ind w:firstLine="480"/>
        <w:rPr>
          <w:rFonts w:hint="eastAsia" w:ascii="Arial" w:hAnsi="Arial"/>
          <w:sz w:val="24"/>
          <w:szCs w:val="24"/>
        </w:rPr>
      </w:pPr>
      <w:r>
        <w:rPr>
          <w:rFonts w:hint="eastAsia" w:ascii="Arial" w:hAnsi="Arial"/>
          <w:sz w:val="24"/>
          <w:szCs w:val="24"/>
        </w:rPr>
        <w:t xml:space="preserve">一、评分标准：</w:t>
      </w:r>
      <w:r>
        <w:rPr>
          <w:rFonts w:hint="eastAsia" w:ascii="Arial" w:hAnsi="Arial"/>
          <w:sz w:val="24"/>
          <w:szCs w:val="24"/>
        </w:rPr>
      </w:r>
      <w:r/>
    </w:p>
    <w:p>
      <w:pPr>
        <w:pStyle w:val="660"/>
        <w:ind w:firstLine="480"/>
        <w:rPr>
          <w:rFonts w:hint="eastAsia" w:ascii="Arial" w:hAnsi="Arial"/>
          <w:sz w:val="24"/>
          <w:szCs w:val="24"/>
        </w:rPr>
      </w:pPr>
      <w:r>
        <w:rPr>
          <w:rFonts w:hint="eastAsia" w:ascii="Arial" w:hAnsi="Arial"/>
          <w:sz w:val="24"/>
          <w:szCs w:val="24"/>
        </w:rPr>
        <w:t xml:space="preserve">（一）价格分：30分</w:t>
      </w:r>
      <w:r>
        <w:rPr>
          <w:rFonts w:hint="eastAsia" w:ascii="Arial" w:hAnsi="Arial"/>
          <w:sz w:val="24"/>
          <w:szCs w:val="24"/>
        </w:rPr>
      </w:r>
      <w:r/>
    </w:p>
    <w:p>
      <w:pPr>
        <w:pStyle w:val="660"/>
        <w:ind w:firstLine="480"/>
        <w:rPr>
          <w:rFonts w:hint="eastAsia" w:ascii="Arial" w:hAnsi="Arial"/>
          <w:sz w:val="24"/>
          <w:szCs w:val="24"/>
        </w:rPr>
      </w:pPr>
      <w:r>
        <w:rPr>
          <w:rFonts w:hint="eastAsia" w:ascii="Arial" w:hAnsi="Arial"/>
          <w:sz w:val="24"/>
          <w:szCs w:val="24"/>
        </w:rPr>
        <w:t xml:space="preserve">1.投标总报价低于或等于财政预算价格的，为有效投标报价。超财政预算的投标报价为无效投标报价。无效投标报价的投标文件不进行评审，也不得标。</w:t>
      </w:r>
      <w:r>
        <w:rPr>
          <w:rFonts w:hint="eastAsia" w:ascii="Arial" w:hAnsi="Arial"/>
          <w:sz w:val="24"/>
          <w:szCs w:val="24"/>
        </w:rPr>
      </w:r>
      <w:r/>
    </w:p>
    <w:p>
      <w:pPr>
        <w:pStyle w:val="660"/>
        <w:ind w:firstLine="480"/>
        <w:rPr>
          <w:rFonts w:hint="eastAsia" w:ascii="Arial" w:hAnsi="Arial"/>
          <w:sz w:val="24"/>
          <w:szCs w:val="24"/>
        </w:rPr>
      </w:pPr>
      <w:r>
        <w:rPr>
          <w:rFonts w:hint="eastAsia" w:ascii="Arial" w:hAnsi="Arial"/>
          <w:sz w:val="24"/>
          <w:szCs w:val="24"/>
        </w:rPr>
        <w:t xml:space="preserve">2.价格分采用低价优先法计算，即满足招标文件要求且投标价格最低的投标报价为评标基准价。响应单位的价格分按照下列公式计算（计算结果四舍五入保留两位小数）。</w:t>
      </w:r>
      <w:r>
        <w:rPr>
          <w:rFonts w:hint="eastAsia" w:ascii="Arial" w:hAnsi="Arial"/>
          <w:sz w:val="24"/>
          <w:szCs w:val="24"/>
        </w:rPr>
      </w:r>
      <w:r/>
    </w:p>
    <w:p>
      <w:pPr>
        <w:pStyle w:val="775"/>
        <w:spacing w:line="360" w:lineRule="auto"/>
        <w:rPr>
          <w:rFonts w:hint="eastAsia" w:ascii="宋体" w:hAnsi="宋体" w:cs="宋体"/>
          <w:sz w:val="24"/>
          <w:szCs w:val="24"/>
          <w:lang w:val="en-US"/>
        </w:rPr>
      </w:pPr>
      <w:r>
        <w:rPr>
          <w:rFonts w:hint="eastAsia" w:ascii="宋体" w:hAnsi="宋体" w:cs="宋体"/>
          <w:sz w:val="24"/>
          <w:szCs w:val="24"/>
          <w:lang w:val="en-US"/>
        </w:rPr>
        <w:t xml:space="preserve">投标报价得分=（评标基准价/投标报价）*价格权重*100，小数点后保留两位。</w:t>
      </w:r>
      <w:r>
        <w:rPr>
          <w:rFonts w:hint="eastAsia" w:ascii="宋体" w:hAnsi="宋体" w:cs="宋体"/>
          <w:sz w:val="24"/>
          <w:szCs w:val="24"/>
          <w:lang w:val="en-US"/>
        </w:rPr>
      </w:r>
      <w:r/>
    </w:p>
    <w:p>
      <w:pPr>
        <w:pStyle w:val="660"/>
        <w:numPr>
          <w:ilvl w:val="0"/>
          <w:numId w:val="6"/>
        </w:numPr>
        <w:rPr>
          <w:rFonts w:hint="eastAsia" w:ascii="Arial" w:hAnsi="Arial"/>
          <w:sz w:val="24"/>
          <w:szCs w:val="24"/>
        </w:rPr>
      </w:pPr>
      <w:r>
        <w:rPr>
          <w:rFonts w:hint="eastAsia" w:ascii="Arial" w:hAnsi="Arial"/>
          <w:sz w:val="24"/>
          <w:szCs w:val="24"/>
        </w:rPr>
        <w:t xml:space="preserve">技术分：70分</w:t>
      </w:r>
      <w:r>
        <w:rPr>
          <w:rFonts w:hint="eastAsia" w:ascii="Arial" w:hAnsi="Arial"/>
          <w:sz w:val="24"/>
          <w:szCs w:val="24"/>
        </w:rPr>
      </w:r>
      <w:r/>
    </w:p>
    <w:tbl>
      <w:tblPr>
        <w:tblpPr w:horzAnchor="page" w:tblpX="1582" w:vertAnchor="text" w:tblpY="40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559"/>
        <w:gridCol w:w="6031"/>
        <w:gridCol w:w="816"/>
      </w:tblGrid>
      <w:tr>
        <w:trPr>
          <w:trHeight w:val="600"/>
        </w:trPr>
        <w:tc>
          <w:tcPr>
            <w:shd w:val="clear" w:color="auto" w:fill="dddddd"/>
            <w:tcW w:w="711" w:type="dxa"/>
            <w:vAlign w:val="center"/>
            <w:textDirection w:val="lrTb"/>
            <w:noWrap w:val="false"/>
          </w:tcPr>
          <w:p>
            <w:pPr>
              <w:pStyle w:val="660"/>
              <w:jc w:val="center"/>
              <w:spacing w:line="400" w:lineRule="exact"/>
              <w:rPr>
                <w:rFonts w:hint="eastAsia" w:ascii="宋体" w:hAnsi="宋体" w:cs="宋体"/>
                <w:b/>
                <w:color w:val="000000"/>
                <w:sz w:val="24"/>
                <w:szCs w:val="24"/>
              </w:rPr>
              <w:framePr w:vAnchor="text" w:hAnchor="page" w:x="1582" w:y="407"/>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shd w:val="clear" w:color="auto" w:fill="dddddd"/>
            <w:tcW w:w="1559" w:type="dxa"/>
            <w:vAlign w:val="center"/>
            <w:textDirection w:val="lrTb"/>
            <w:noWrap w:val="false"/>
          </w:tcPr>
          <w:p>
            <w:pPr>
              <w:pStyle w:val="660"/>
              <w:jc w:val="center"/>
              <w:spacing w:line="400" w:lineRule="exact"/>
              <w:rPr>
                <w:rFonts w:hint="eastAsia" w:ascii="宋体" w:hAnsi="宋体" w:cs="宋体"/>
                <w:b/>
                <w:color w:val="000000"/>
                <w:sz w:val="24"/>
                <w:szCs w:val="24"/>
              </w:rPr>
              <w:framePr w:vAnchor="text" w:hAnchor="page" w:x="1582" w:y="407"/>
            </w:pPr>
            <w:r>
              <w:rPr>
                <w:rFonts w:hint="eastAsia" w:ascii="宋体" w:hAnsi="宋体" w:cs="宋体"/>
                <w:b/>
                <w:color w:val="000000"/>
                <w:sz w:val="24"/>
                <w:szCs w:val="24"/>
              </w:rPr>
              <w:t xml:space="preserve">评分项目</w:t>
            </w:r>
            <w:r>
              <w:rPr>
                <w:rFonts w:hint="eastAsia" w:ascii="宋体" w:hAnsi="宋体" w:cs="宋体"/>
                <w:b/>
                <w:color w:val="000000"/>
                <w:sz w:val="24"/>
                <w:szCs w:val="24"/>
              </w:rPr>
            </w:r>
            <w:r/>
          </w:p>
        </w:tc>
        <w:tc>
          <w:tcPr>
            <w:shd w:val="clear" w:color="auto" w:fill="dddddd"/>
            <w:tcW w:w="6031" w:type="dxa"/>
            <w:vAlign w:val="center"/>
            <w:textDirection w:val="lrTb"/>
            <w:noWrap w:val="false"/>
          </w:tcPr>
          <w:p>
            <w:pPr>
              <w:pStyle w:val="660"/>
              <w:jc w:val="center"/>
              <w:spacing w:line="400" w:lineRule="exact"/>
              <w:rPr>
                <w:rFonts w:hint="eastAsia" w:ascii="宋体" w:hAnsi="宋体" w:cs="宋体"/>
                <w:b/>
                <w:color w:val="000000"/>
                <w:sz w:val="24"/>
                <w:szCs w:val="24"/>
              </w:rPr>
              <w:framePr w:vAnchor="text" w:hAnchor="page" w:x="1582" w:y="407"/>
            </w:pPr>
            <w:r>
              <w:rPr>
                <w:rFonts w:hint="eastAsia" w:ascii="宋体" w:hAnsi="宋体" w:cs="宋体"/>
                <w:b/>
                <w:color w:val="000000"/>
                <w:sz w:val="24"/>
                <w:szCs w:val="24"/>
              </w:rPr>
              <w:t xml:space="preserve">内容</w:t>
            </w:r>
            <w:r>
              <w:rPr>
                <w:rFonts w:hint="eastAsia" w:ascii="宋体" w:hAnsi="宋体" w:cs="宋体"/>
                <w:b/>
                <w:color w:val="000000"/>
                <w:sz w:val="24"/>
                <w:szCs w:val="24"/>
              </w:rPr>
            </w:r>
            <w:r/>
          </w:p>
        </w:tc>
        <w:tc>
          <w:tcPr>
            <w:shd w:val="clear" w:color="auto" w:fill="dddddd"/>
            <w:tcW w:w="816" w:type="dxa"/>
            <w:vAlign w:val="center"/>
            <w:textDirection w:val="lrTb"/>
            <w:noWrap w:val="false"/>
          </w:tcPr>
          <w:p>
            <w:pPr>
              <w:pStyle w:val="660"/>
              <w:ind w:right="-105"/>
              <w:jc w:val="center"/>
              <w:spacing w:line="400" w:lineRule="exact"/>
              <w:rPr>
                <w:rFonts w:hint="eastAsia" w:ascii="宋体" w:hAnsi="宋体" w:cs="宋体"/>
                <w:b/>
                <w:color w:val="000000"/>
                <w:sz w:val="24"/>
                <w:szCs w:val="24"/>
              </w:rPr>
              <w:framePr w:vAnchor="text" w:hAnchor="page" w:x="1582" w:y="407"/>
            </w:pPr>
            <w:r>
              <w:rPr>
                <w:rFonts w:hint="eastAsia" w:ascii="宋体" w:hAnsi="宋体" w:cs="宋体"/>
                <w:b/>
                <w:color w:val="000000"/>
                <w:sz w:val="24"/>
                <w:szCs w:val="24"/>
              </w:rPr>
              <w:t xml:space="preserve">分值</w:t>
            </w:r>
            <w:r>
              <w:rPr>
                <w:rFonts w:hint="eastAsia" w:ascii="宋体" w:hAnsi="宋体" w:cs="宋体"/>
                <w:b/>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一</w:t>
            </w:r>
            <w:r>
              <w:rPr>
                <w:rFonts w:hint="eastAsia" w:ascii="宋体" w:hAnsi="宋体" w:cs="宋体"/>
                <w:b/>
                <w:bCs/>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材料质量</w:t>
            </w:r>
            <w:r>
              <w:rPr>
                <w:rFonts w:hint="eastAsia" w:ascii="宋体" w:hAnsi="宋体" w:cs="宋体"/>
                <w:b/>
                <w:bCs/>
                <w:color w:val="000000"/>
                <w:sz w:val="24"/>
                <w:szCs w:val="24"/>
              </w:rPr>
            </w:r>
            <w:r/>
          </w:p>
        </w:tc>
        <w:tc>
          <w:tcPr>
            <w:tcW w:w="6031" w:type="dxa"/>
            <w:vAlign w:val="center"/>
            <w:textDirection w:val="lrTb"/>
            <w:noWrap w:val="false"/>
          </w:tcPr>
          <w:p>
            <w:pPr>
              <w:pStyle w:val="778"/>
              <w:jc w:val="left"/>
              <w:keepNext w:val="0"/>
              <w:spacing w:line="400" w:lineRule="exact"/>
              <w:shd w:val="clear" w:color="auto" w:fill="ffffff"/>
              <w:widowControl/>
              <w:rPr>
                <w:rFonts w:hint="eastAsia" w:ascii="宋体" w:hAnsi="宋体" w:eastAsia="宋体" w:cs="宋体"/>
                <w:bCs/>
                <w:color w:val="000000"/>
                <w:sz w:val="24"/>
                <w:szCs w:val="24"/>
              </w:rPr>
              <w:framePr w:vAnchor="text" w:hAnchor="page" w:x="1582" w:y="407"/>
            </w:pPr>
            <w:r>
              <w:rPr>
                <w:rFonts w:hint="eastAsia" w:ascii="宋体" w:hAnsi="宋体" w:eastAsia="宋体" w:cs="宋体"/>
                <w:bCs/>
                <w:color w:val="000000"/>
                <w:sz w:val="24"/>
                <w:szCs w:val="24"/>
              </w:rPr>
            </w:r>
            <w:r/>
          </w:p>
        </w:tc>
        <w:tc>
          <w:tcPr>
            <w:tcW w:w="816" w:type="dxa"/>
            <w:vAlign w:val="center"/>
            <w:textDirection w:val="lrTb"/>
            <w:noWrap w:val="false"/>
          </w:tcPr>
          <w:p>
            <w:pPr>
              <w:pStyle w:val="660"/>
              <w:jc w:val="left"/>
              <w:spacing w:line="400" w:lineRule="exact"/>
              <w:tabs>
                <w:tab w:val="left" w:pos="201" w:leader="none"/>
                <w:tab w:val="center" w:pos="359" w:leader="none"/>
              </w:tabs>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27分</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b/>
                <w:bCs/>
                <w:color w:val="000000"/>
                <w:sz w:val="24"/>
                <w:szCs w:val="24"/>
              </w:rPr>
              <w:t xml:space="preserve">原材料检测报告</w:t>
            </w:r>
            <w:r>
              <w:rPr>
                <w:rFonts w:hint="eastAsia" w:ascii="宋体" w:hAnsi="宋体" w:cs="宋体"/>
                <w:color w:val="000000"/>
                <w:sz w:val="24"/>
                <w:szCs w:val="24"/>
              </w:rPr>
            </w:r>
            <w:r/>
          </w:p>
        </w:tc>
        <w:tc>
          <w:tcPr>
            <w:tcW w:w="6031" w:type="dxa"/>
            <w:vAlign w:val="center"/>
            <w:textDirection w:val="lrTb"/>
            <w:noWrap w:val="false"/>
          </w:tcPr>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提供下表中检测产品的检测报告扫描件并加盖投标单位公章（如报告内容不全导致无法确认报告的各项要求的，或字迹模糊不清无法辨认的都视为未提供。每份检测报告4.5分，不提供或不按要求提供不得分，最高得18分。）</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1、检测报告应为具有检验检测资质的检测机构出具，检测机构应通过相应的CMA认证，检测报告页面必须有CMA认证标志；</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2、检测报告中的检测（判定）依据必须参照现行国家（或行业）标准；</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3、检测报告中下表所列必须包含的检测项目检测结果应为合格。</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（1）</w:t>
            </w:r>
            <w:r>
              <w:rPr>
                <w:rFonts w:hint="eastAsia" w:ascii="宋体" w:hAnsi="宋体" w:cs="宋体"/>
                <w:color w:val="000000"/>
                <w:sz w:val="24"/>
                <w:szCs w:val="24"/>
                <w:highlight w:val="none"/>
              </w:rPr>
              <w:t xml:space="preserve">、冷轧钢板：检测报告检测项目须包括：力学及工艺性能（抗拉强度、180°弯曲试验）、金相组织（晶粒度）、化学成分；</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（2）、钢管：检测报告检测项目须包括：力学性能（抗拉强度、下屈服强度、断后伸长率、冲击试验）、化学成分；</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（3）、环氧聚酯粉末：检测报告检测项目须包括：耐冲击性、弯曲试验、挥发物含量、耐盐雾性（室内用）；</w:t>
            </w:r>
            <w:r>
              <w:rPr>
                <w:rFonts w:hint="eastAsia" w:ascii="宋体" w:hAnsi="宋体" w:cs="宋体"/>
                <w:color w:val="000000"/>
                <w:sz w:val="24"/>
                <w:szCs w:val="24"/>
              </w:rPr>
            </w:r>
            <w:r/>
          </w:p>
          <w:p>
            <w:pPr>
              <w:pStyle w:val="6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   （4）、</w:t>
            </w:r>
            <w:r>
              <w:rPr>
                <w:rFonts w:hint="eastAsia" w:ascii="宋体" w:hAnsi="宋体" w:cs="宋体"/>
                <w:color w:val="000000"/>
                <w:sz w:val="24"/>
                <w:szCs w:val="24"/>
                <w:highlight w:val="none"/>
              </w:rPr>
              <w:t xml:space="preserve">实木颗粒板：检测报告检测项目须包括：甲醛释放量要求、挥发性有机化合物要求（苯、甲苯、二甲苯、总挥发性有机化合物）、外观质量、含水率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握螺钉力。</w:t>
            </w:r>
            <w:r>
              <w:rPr>
                <w:rFonts w:hint="eastAsia" w:ascii="宋体" w:hAnsi="宋体" w:cs="宋体"/>
                <w:color w:val="000000"/>
                <w:sz w:val="24"/>
                <w:szCs w:val="24"/>
              </w:rPr>
            </w:r>
            <w:r/>
          </w:p>
        </w:tc>
        <w:tc>
          <w:tcPr>
            <w:tcW w:w="816" w:type="dxa"/>
            <w:vAlign w:val="center"/>
            <w:textDirection w:val="lrTb"/>
            <w:noWrap w:val="false"/>
          </w:tcPr>
          <w:p>
            <w:pPr>
              <w:pStyle w:val="660"/>
              <w:jc w:val="left"/>
              <w:spacing w:line="400" w:lineRule="exact"/>
              <w:tabs>
                <w:tab w:val="left" w:pos="201" w:leader="none"/>
                <w:tab w:val="center" w:pos="359" w:leader="none"/>
              </w:tabs>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18分</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2</w:t>
            </w:r>
            <w:r>
              <w:rPr>
                <w:rFonts w:hint="eastAsia" w:ascii="宋体" w:hAnsi="宋体" w:cs="宋体"/>
                <w:b/>
                <w:bCs/>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成品检测报告</w:t>
            </w:r>
            <w:r>
              <w:rPr>
                <w:rFonts w:hint="eastAsia" w:ascii="宋体" w:hAnsi="宋体" w:cs="宋体"/>
                <w:b/>
                <w:bCs/>
                <w:color w:val="000000"/>
                <w:sz w:val="24"/>
                <w:szCs w:val="24"/>
              </w:rPr>
            </w:r>
            <w:r/>
          </w:p>
        </w:tc>
        <w:tc>
          <w:tcPr>
            <w:tcW w:w="6031" w:type="dxa"/>
            <w:vAlign w:val="center"/>
            <w:textDirection w:val="lrTb"/>
            <w:noWrap w:val="false"/>
          </w:tcPr>
          <w:p>
            <w:pPr>
              <w:pStyle w:val="6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提供所投产品清单</w:t>
            </w:r>
            <w:r>
              <w:rPr>
                <w:rFonts w:hint="eastAsia" w:ascii="宋体" w:hAnsi="宋体" w:cs="宋体"/>
                <w:b/>
                <w:bCs/>
                <w:color w:val="000000"/>
                <w:sz w:val="24"/>
                <w:szCs w:val="24"/>
              </w:rPr>
              <w:t xml:space="preserve">学生金属公寓床、文件柜、教师办公桌</w:t>
            </w:r>
            <w:r>
              <w:rPr>
                <w:rFonts w:hint="eastAsia" w:ascii="宋体" w:hAnsi="宋体" w:cs="宋体"/>
                <w:color w:val="000000"/>
                <w:sz w:val="24"/>
                <w:szCs w:val="24"/>
              </w:rPr>
              <w:t xml:space="preserve">的类似品类成品检测报告并加盖投标单位公章（如报告内容不全导致无法确认报告的各项要求的，或字迹模糊不清无法辨认的都视为未提供。每份检测报告3分，不提供或不按要求提供不得分，否则不得分。）</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1、检测报告应为具有检验检测资质的检测机构出具，检测机构应通过相应的CMA认证，检测报告页面必须有CMA认证标志；</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2、检测报告中的检测（判定）依据必须参照现行国家（或行业）标准；</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3、检测报告中下表所列必须包含的检测项目检测结果应为合格。</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（1）、</w:t>
            </w:r>
            <w:r>
              <w:rPr>
                <w:rFonts w:hint="eastAsia" w:ascii="宋体" w:hAnsi="宋体" w:cs="宋体"/>
                <w:b/>
                <w:bCs/>
                <w:color w:val="000000"/>
                <w:sz w:val="24"/>
                <w:szCs w:val="24"/>
              </w:rPr>
              <w:t xml:space="preserve">学生金属公寓床</w:t>
            </w:r>
            <w:r>
              <w:rPr>
                <w:rFonts w:hint="eastAsia" w:ascii="宋体" w:hAnsi="宋体" w:cs="宋体"/>
                <w:color w:val="000000"/>
                <w:sz w:val="24"/>
                <w:szCs w:val="24"/>
              </w:rPr>
              <w:t xml:space="preserve">：检测报告检测项目须包括：外观性能（金属件、木制件、塑料件、可触及区域）、理化性能【金属喷漆（塑）涂层（硬度、冲击强度、耐盐浴、附着力）】、力学性能（双层床强度和耐久性、双层床稳定性）、产品有害物质【甲醛释放量、苯、甲苯、二甲苯、总挥发性有机化合物、力学性能【扶梯（挠度和强度）、安全栏（静载荷）】；</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（2）、</w:t>
            </w:r>
            <w:r>
              <w:rPr>
                <w:rFonts w:hint="eastAsia" w:ascii="宋体" w:hAnsi="宋体" w:cs="宋体"/>
                <w:b/>
                <w:bCs/>
                <w:color w:val="000000"/>
                <w:sz w:val="24"/>
                <w:szCs w:val="24"/>
              </w:rPr>
              <w:t xml:space="preserve">文件柜</w:t>
            </w:r>
            <w:r>
              <w:rPr>
                <w:rFonts w:hint="eastAsia" w:ascii="宋体" w:hAnsi="宋体" w:cs="宋体"/>
                <w:color w:val="000000"/>
                <w:sz w:val="24"/>
                <w:szCs w:val="24"/>
              </w:rPr>
              <w:t xml:space="preserve">：检测报告检测项目须包括：装配、安装及安全要求、力学性能【产品稳定性（空载稳定性、加载稳定性）、额定承载变形限量、产品承载性能（均布载荷强度）】、理化性能【金属喷漆（塑）涂层（硬度、冲击强度、耐盐浴、附着力）】、有害物质限量（可迁移有害元素）；</w:t>
            </w:r>
            <w:r>
              <w:rPr>
                <w:rFonts w:hint="eastAsia" w:ascii="宋体" w:hAnsi="宋体" w:cs="宋体"/>
                <w:color w:val="000000"/>
                <w:sz w:val="24"/>
                <w:szCs w:val="24"/>
              </w:rPr>
            </w:r>
            <w:r/>
          </w:p>
          <w:p>
            <w:pPr>
              <w:pStyle w:val="660"/>
              <w:ind w:firstLine="360"/>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（3）、</w:t>
            </w:r>
            <w:r>
              <w:rPr>
                <w:rFonts w:hint="eastAsia" w:ascii="宋体" w:hAnsi="宋体" w:cs="宋体"/>
                <w:b/>
                <w:bCs/>
                <w:color w:val="000000"/>
                <w:sz w:val="24"/>
                <w:szCs w:val="24"/>
              </w:rPr>
              <w:t xml:space="preserve">教师办公桌</w:t>
            </w:r>
            <w:r>
              <w:rPr>
                <w:rFonts w:hint="eastAsia" w:ascii="宋体" w:hAnsi="宋体" w:cs="宋体"/>
                <w:color w:val="000000"/>
                <w:sz w:val="24"/>
                <w:szCs w:val="24"/>
              </w:rPr>
              <w:t xml:space="preserve">：检测报告检测项目须包括：外观性能（金属件、木制件、塑料件、可触及区域）、产品表面理化性能【金属喷漆（塑）涂层（硬度、冲击强度、耐盐浴、附着力）、木制件表面装饰层（软硬质覆面层）（耐冷热循环、耐干热、耐湿热、耐污染、耐磨、抗冲击、耐光色牢度）】、产品部件材质理化性能（人造板件）、产品有害物质（甲醛释放量、苯、甲苯、二甲苯、总挥发性有机化合物、家具涂层可迁移元素）。</w:t>
            </w:r>
            <w:r>
              <w:rPr>
                <w:rFonts w:hint="eastAsia" w:ascii="宋体" w:hAnsi="宋体" w:cs="宋体"/>
                <w:color w:val="000000"/>
                <w:sz w:val="24"/>
                <w:szCs w:val="24"/>
              </w:rPr>
            </w:r>
            <w:r/>
          </w:p>
        </w:tc>
        <w:tc>
          <w:tcPr>
            <w:tcW w:w="816" w:type="dxa"/>
            <w:vAlign w:val="center"/>
            <w:textDirection w:val="lrTb"/>
            <w:noWrap w:val="false"/>
          </w:tcPr>
          <w:p>
            <w:pPr>
              <w:pStyle w:val="660"/>
              <w:jc w:val="left"/>
              <w:spacing w:line="400" w:lineRule="exact"/>
              <w:tabs>
                <w:tab w:val="left" w:pos="201" w:leader="none"/>
                <w:tab w:val="center" w:pos="359" w:leader="none"/>
              </w:tabs>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9分</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二</w:t>
            </w:r>
            <w:r>
              <w:rPr>
                <w:rFonts w:hint="eastAsia" w:ascii="宋体" w:hAnsi="宋体" w:cs="宋体"/>
                <w:b/>
                <w:bCs/>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企业给定评分</w:t>
            </w:r>
            <w:r>
              <w:rPr>
                <w:rFonts w:hint="eastAsia" w:ascii="宋体" w:hAnsi="宋体" w:cs="宋体"/>
                <w:b/>
                <w:bCs/>
                <w:color w:val="000000"/>
                <w:sz w:val="24"/>
                <w:szCs w:val="24"/>
              </w:rPr>
            </w:r>
            <w:r/>
          </w:p>
        </w:tc>
        <w:tc>
          <w:tcPr>
            <w:tcW w:w="6031" w:type="dxa"/>
            <w:vAlign w:val="center"/>
            <w:textDirection w:val="lrTb"/>
            <w:noWrap w:val="false"/>
          </w:tcPr>
          <w:p>
            <w:pPr>
              <w:pStyle w:val="660"/>
              <w:ind w:firstLine="420"/>
              <w:spacing w:line="400" w:lineRule="exact"/>
              <w:widowControl/>
              <w:rPr>
                <w:rFonts w:hint="eastAsia" w:ascii="宋体" w:hAnsi="宋体" w:cs="宋体"/>
                <w:color w:val="000000"/>
                <w:sz w:val="24"/>
                <w:szCs w:val="24"/>
              </w:rPr>
              <w:framePr w:vAnchor="text" w:hAnchor="page" w:x="1582" w:y="407"/>
            </w:pPr>
            <w:r>
              <w:rPr>
                <w:rFonts w:hint="eastAsia" w:ascii="宋体" w:hAnsi="宋体" w:cs="宋体"/>
                <w:color w:val="000000"/>
                <w:sz w:val="24"/>
                <w:szCs w:val="24"/>
              </w:rPr>
            </w:r>
            <w:r/>
          </w:p>
        </w:tc>
        <w:tc>
          <w:tcPr>
            <w:tcW w:w="816" w:type="dxa"/>
            <w:vAlign w:val="center"/>
            <w:textDirection w:val="lrTb"/>
            <w:noWrap w:val="false"/>
          </w:tcPr>
          <w:p>
            <w:pPr>
              <w:pStyle w:val="660"/>
              <w:jc w:val="left"/>
              <w:spacing w:line="400" w:lineRule="exact"/>
              <w:tabs>
                <w:tab w:val="left" w:pos="201" w:leader="none"/>
                <w:tab w:val="center" w:pos="359" w:leader="none"/>
              </w:tabs>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10</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559" w:type="dxa"/>
            <w:vAlign w:val="center"/>
            <w:textDirection w:val="lrTb"/>
            <w:noWrap w:val="false"/>
          </w:tcPr>
          <w:p>
            <w:pPr>
              <w:pStyle w:val="750"/>
              <w:jc w:val="center"/>
              <w:spacing w:line="400" w:lineRule="exact"/>
              <w:rPr>
                <w:rFonts w:hint="eastAsia" w:ascii="宋体" w:hAnsi="宋体" w:cs="宋体"/>
                <w:color w:val="000000"/>
                <w:szCs w:val="24"/>
                <w:lang w:val="zh-CN"/>
              </w:rPr>
              <w:framePr w:vAnchor="text" w:hAnchor="page" w:x="1582" w:y="407"/>
            </w:pPr>
            <w:r>
              <w:rPr>
                <w:rFonts w:hint="eastAsia" w:ascii="宋体" w:hAnsi="宋体" w:cs="宋体"/>
                <w:color w:val="000000"/>
                <w:szCs w:val="24"/>
                <w:lang w:val="zh-CN"/>
              </w:rPr>
              <w:t xml:space="preserve">体系认证证书</w:t>
            </w:r>
            <w:r>
              <w:rPr>
                <w:rFonts w:hint="eastAsia" w:ascii="宋体" w:hAnsi="宋体" w:cs="宋体"/>
                <w:color w:val="000000"/>
                <w:szCs w:val="24"/>
                <w:lang w:val="zh-CN"/>
              </w:rPr>
            </w:r>
            <w:r/>
          </w:p>
        </w:tc>
        <w:tc>
          <w:tcPr>
            <w:tcW w:w="6031" w:type="dxa"/>
            <w:vAlign w:val="center"/>
            <w:textDirection w:val="lrTb"/>
            <w:noWrap w:val="false"/>
          </w:tcPr>
          <w:p>
            <w:pPr>
              <w:pStyle w:val="750"/>
              <w:spacing w:line="400" w:lineRule="exact"/>
              <w:rPr>
                <w:rFonts w:hint="eastAsia" w:ascii="宋体" w:hAnsi="宋体" w:cs="宋体"/>
                <w:color w:val="000000"/>
                <w:szCs w:val="24"/>
              </w:rPr>
              <w:framePr w:vAnchor="text" w:hAnchor="page" w:x="1582" w:y="407"/>
            </w:pPr>
            <w:r>
              <w:rPr>
                <w:rFonts w:hint="eastAsia" w:ascii="宋体" w:hAnsi="宋体" w:cs="宋体"/>
                <w:bCs/>
                <w:color w:val="000000"/>
                <w:szCs w:val="24"/>
              </w:rPr>
              <w:t xml:space="preserve">投标单位或所投产品生产厂家具有有效期内的①质量管理体系认证证书、②环境管理体系认证证书，每项得1分，没有不得分，最高2分。（投标文件中须提供有效期内证书复印件，并加盖投标单位公章，否则不得分）</w:t>
            </w:r>
            <w:r>
              <w:rPr>
                <w:rFonts w:hint="eastAsia" w:ascii="宋体" w:hAnsi="宋体" w:cs="宋体"/>
                <w:color w:val="000000"/>
                <w:szCs w:val="24"/>
              </w:rPr>
            </w:r>
            <w:r/>
          </w:p>
        </w:tc>
        <w:tc>
          <w:tcPr>
            <w:tcW w:w="816"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2</w:t>
            </w:r>
            <w:r>
              <w:rPr>
                <w:rFonts w:hint="eastAsia" w:ascii="宋体" w:hAnsi="宋体" w:cs="宋体"/>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559" w:type="dxa"/>
            <w:vAlign w:val="center"/>
            <w:textDirection w:val="lrTb"/>
            <w:noWrap w:val="false"/>
          </w:tcPr>
          <w:p>
            <w:pPr>
              <w:pStyle w:val="750"/>
              <w:jc w:val="center"/>
              <w:spacing w:line="400" w:lineRule="exact"/>
              <w:rPr>
                <w:rFonts w:hint="eastAsia" w:ascii="宋体" w:hAnsi="宋体" w:cs="宋体"/>
                <w:color w:val="000000"/>
                <w:szCs w:val="24"/>
                <w:lang w:val="zh-CN"/>
              </w:rPr>
              <w:framePr w:vAnchor="text" w:hAnchor="page" w:x="1582" w:y="407"/>
            </w:pPr>
            <w:r>
              <w:rPr>
                <w:rFonts w:hint="eastAsia" w:ascii="宋体" w:hAnsi="宋体" w:cs="宋体"/>
                <w:color w:val="000000"/>
                <w:szCs w:val="24"/>
                <w:lang w:val="zh-CN"/>
              </w:rPr>
              <w:t xml:space="preserve">绿色采购</w:t>
            </w:r>
            <w:r>
              <w:rPr>
                <w:rFonts w:hint="eastAsia" w:ascii="宋体" w:hAnsi="宋体" w:cs="宋体"/>
                <w:color w:val="000000"/>
                <w:szCs w:val="24"/>
                <w:lang w:val="zh-CN"/>
              </w:rPr>
            </w:r>
            <w:r/>
          </w:p>
        </w:tc>
        <w:tc>
          <w:tcPr>
            <w:tcW w:w="6031" w:type="dxa"/>
            <w:vAlign w:val="center"/>
            <w:textDirection w:val="lrTb"/>
            <w:noWrap w:val="false"/>
          </w:tcPr>
          <w:p>
            <w:pPr>
              <w:pStyle w:val="660"/>
              <w:spacing w:line="400" w:lineRule="exact"/>
              <w:widowControl/>
              <w:rPr>
                <w:rFonts w:hint="eastAsia" w:ascii="宋体" w:hAnsi="宋体" w:cs="宋体"/>
                <w:bCs/>
                <w:color w:val="000000"/>
                <w:sz w:val="24"/>
                <w:szCs w:val="24"/>
                <w:highlight w:val="none"/>
              </w:rPr>
              <w:framePr w:vAnchor="text" w:hAnchor="page" w:x="1582" w:y="407"/>
            </w:pPr>
            <w:r>
              <w:rPr>
                <w:rFonts w:hint="eastAsia" w:ascii="宋体" w:hAnsi="宋体" w:cs="宋体"/>
                <w:bCs/>
                <w:color w:val="000000"/>
                <w:sz w:val="24"/>
                <w:szCs w:val="24"/>
                <w:highlight w:val="none"/>
              </w:rPr>
              <w:t xml:space="preserve">投标单位或所投产品生产厂家具有有效期内的“中国环境标志产品认证证书”（认证范围包含实木类家具、钢木家具），认证范围</w:t>
            </w:r>
            <w:r>
              <w:rPr>
                <w:rFonts w:hint="eastAsia" w:ascii="宋体" w:hAnsi="宋体" w:cs="宋体"/>
                <w:bCs/>
                <w:color w:val="000000"/>
                <w:sz w:val="24"/>
                <w:szCs w:val="24"/>
                <w:highlight w:val="none"/>
              </w:rPr>
              <w:t xml:space="preserve">每有一项得1分，没有不得分，最高2分。</w:t>
            </w:r>
            <w:r>
              <w:rPr>
                <w:rFonts w:hint="eastAsia" w:ascii="宋体" w:hAnsi="宋体" w:cs="宋体"/>
                <w:bCs/>
                <w:color w:val="000000"/>
                <w:sz w:val="24"/>
                <w:szCs w:val="24"/>
                <w:highlight w:val="none"/>
              </w:rPr>
              <w:t xml:space="preserve">（投标文件中提供证书复印件并加盖投标单位公章，否则不得分）</w:t>
            </w:r>
            <w:r>
              <w:rPr>
                <w:rFonts w:hint="eastAsia" w:ascii="宋体" w:hAnsi="宋体" w:cs="宋体"/>
                <w:bCs/>
                <w:color w:val="000000"/>
                <w:sz w:val="24"/>
                <w:szCs w:val="24"/>
                <w:highlight w:val="none"/>
              </w:rPr>
            </w:r>
            <w:r/>
          </w:p>
        </w:tc>
        <w:tc>
          <w:tcPr>
            <w:tcW w:w="816"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2</w:t>
            </w:r>
            <w:r>
              <w:rPr>
                <w:rFonts w:hint="eastAsia" w:ascii="宋体" w:hAnsi="宋体" w:cs="宋体"/>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559" w:type="dxa"/>
            <w:vAlign w:val="center"/>
            <w:textDirection w:val="lrTb"/>
            <w:noWrap w:val="false"/>
          </w:tcPr>
          <w:p>
            <w:pPr>
              <w:pStyle w:val="750"/>
              <w:jc w:val="center"/>
              <w:spacing w:line="400" w:lineRule="exact"/>
              <w:rPr>
                <w:rFonts w:hint="eastAsia" w:ascii="宋体" w:hAnsi="宋体" w:cs="宋体"/>
                <w:color w:val="000000"/>
                <w:szCs w:val="24"/>
                <w:lang w:val="zh-CN"/>
              </w:rPr>
              <w:framePr w:vAnchor="text" w:hAnchor="page" w:x="1582" w:y="407"/>
            </w:pPr>
            <w:r>
              <w:rPr>
                <w:rFonts w:hint="eastAsia" w:ascii="宋体" w:hAnsi="宋体" w:cs="宋体"/>
                <w:bCs/>
                <w:color w:val="000000"/>
                <w:szCs w:val="24"/>
              </w:rPr>
              <w:t xml:space="preserve">环保产品认证</w:t>
            </w:r>
            <w:r>
              <w:rPr>
                <w:rFonts w:hint="eastAsia" w:ascii="宋体" w:hAnsi="宋体" w:cs="宋体"/>
                <w:color w:val="000000"/>
                <w:szCs w:val="24"/>
                <w:lang w:val="zh-CN"/>
              </w:rPr>
            </w:r>
            <w:r/>
          </w:p>
        </w:tc>
        <w:tc>
          <w:tcPr>
            <w:tcW w:w="6031" w:type="dxa"/>
            <w:vAlign w:val="center"/>
            <w:textDirection w:val="lrTb"/>
            <w:noWrap w:val="false"/>
          </w:tcPr>
          <w:p>
            <w:pPr>
              <w:pStyle w:val="660"/>
              <w:spacing w:line="400" w:lineRule="exact"/>
              <w:widowControl/>
              <w:rPr>
                <w:rFonts w:hint="eastAsia" w:ascii="宋体" w:hAnsi="宋体" w:cs="宋体"/>
                <w:bCs/>
                <w:color w:val="000000"/>
                <w:sz w:val="24"/>
                <w:szCs w:val="24"/>
                <w:highlight w:val="none"/>
              </w:rPr>
              <w:framePr w:vAnchor="text" w:hAnchor="page" w:x="1582" w:y="407"/>
            </w:pPr>
            <w:r>
              <w:rPr>
                <w:rFonts w:hint="eastAsia" w:ascii="宋体" w:hAnsi="宋体" w:cs="宋体"/>
                <w:bCs/>
                <w:color w:val="000000"/>
                <w:sz w:val="24"/>
                <w:szCs w:val="24"/>
                <w:highlight w:val="none"/>
              </w:rPr>
              <w:t xml:space="preserve">投标单位或所投产品生产厂家具有有效期内的“中国环保产品认证证书”（认证范围包含</w:t>
            </w:r>
            <w:r>
              <w:rPr>
                <w:rFonts w:hint="eastAsia" w:ascii="宋体" w:hAnsi="宋体" w:cs="宋体"/>
                <w:bCs/>
                <w:color w:val="000000"/>
                <w:sz w:val="24"/>
                <w:szCs w:val="24"/>
                <w:highlight w:val="none"/>
                <w:lang w:val="en-US" w:eastAsia="zh-CN"/>
              </w:rPr>
              <w:t xml:space="preserve">木制</w:t>
            </w:r>
            <w:r>
              <w:rPr>
                <w:rFonts w:hint="eastAsia" w:ascii="宋体" w:hAnsi="宋体" w:cs="宋体"/>
                <w:bCs/>
                <w:color w:val="000000"/>
                <w:sz w:val="24"/>
                <w:szCs w:val="24"/>
                <w:highlight w:val="none"/>
              </w:rPr>
              <w:t xml:space="preserve">公寓家具、</w:t>
            </w:r>
            <w:r>
              <w:rPr>
                <w:rFonts w:hint="eastAsia" w:ascii="宋体" w:hAnsi="宋体" w:cs="宋体"/>
                <w:bCs/>
                <w:color w:val="000000"/>
                <w:sz w:val="24"/>
                <w:szCs w:val="24"/>
                <w:highlight w:val="none"/>
                <w:lang w:val="en-US" w:eastAsia="zh-CN"/>
              </w:rPr>
              <w:t xml:space="preserve">木制</w:t>
            </w:r>
            <w:r>
              <w:rPr>
                <w:rFonts w:hint="eastAsia" w:ascii="宋体" w:hAnsi="宋体" w:cs="宋体"/>
                <w:bCs/>
                <w:color w:val="000000"/>
                <w:sz w:val="24"/>
                <w:szCs w:val="24"/>
                <w:highlight w:val="none"/>
              </w:rPr>
              <w:t xml:space="preserve">教学家具），认证范围</w:t>
            </w:r>
            <w:r>
              <w:rPr>
                <w:rFonts w:hint="eastAsia" w:ascii="宋体" w:hAnsi="宋体" w:cs="宋体"/>
                <w:bCs/>
                <w:color w:val="000000"/>
                <w:sz w:val="24"/>
                <w:szCs w:val="24"/>
                <w:highlight w:val="none"/>
              </w:rPr>
              <w:t xml:space="preserve">每有一项得1分，没有不得分，最高2分。</w:t>
            </w:r>
            <w:r>
              <w:rPr>
                <w:rFonts w:hint="eastAsia" w:ascii="宋体" w:hAnsi="宋体" w:cs="宋体"/>
                <w:bCs/>
                <w:color w:val="000000"/>
                <w:sz w:val="24"/>
                <w:szCs w:val="24"/>
                <w:highlight w:val="none"/>
              </w:rPr>
              <w:t xml:space="preserve">（投标文件中提供证书复印件并加盖投标单位公章，否则不得分）</w:t>
            </w:r>
            <w:r>
              <w:rPr>
                <w:rFonts w:hint="eastAsia" w:ascii="宋体" w:hAnsi="宋体" w:cs="宋体"/>
                <w:bCs/>
                <w:color w:val="000000"/>
                <w:sz w:val="24"/>
                <w:szCs w:val="24"/>
                <w:highlight w:val="none"/>
              </w:rPr>
            </w:r>
            <w:r/>
          </w:p>
        </w:tc>
        <w:tc>
          <w:tcPr>
            <w:tcW w:w="816" w:type="dxa"/>
            <w:vAlign w:val="center"/>
            <w:textDirection w:val="lrTb"/>
            <w:noWrap w:val="false"/>
          </w:tcPr>
          <w:p>
            <w:pPr>
              <w:pStyle w:val="660"/>
              <w:jc w:val="center"/>
              <w:spacing w:line="400" w:lineRule="exact"/>
              <w:rPr>
                <w:rFonts w:ascii="宋体" w:hAnsi="宋体" w:cs="宋体"/>
                <w:color w:val="000000"/>
                <w:sz w:val="24"/>
                <w:szCs w:val="24"/>
              </w:rPr>
              <w:framePr w:vAnchor="text" w:hAnchor="page" w:x="1582" w:y="407"/>
            </w:pPr>
            <w:r>
              <w:rPr>
                <w:rFonts w:hint="eastAsia" w:ascii="宋体" w:hAnsi="宋体" w:cs="宋体"/>
                <w:color w:val="000000"/>
                <w:sz w:val="24"/>
                <w:szCs w:val="24"/>
              </w:rPr>
              <w:t xml:space="preserve">2</w:t>
            </w:r>
            <w:r>
              <w:rPr>
                <w:rFonts w:ascii="宋体" w:hAnsi="宋体" w:cs="宋体"/>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559" w:type="dxa"/>
            <w:vAlign w:val="center"/>
            <w:textDirection w:val="lrTb"/>
            <w:noWrap w:val="false"/>
          </w:tcPr>
          <w:p>
            <w:pPr>
              <w:pStyle w:val="750"/>
              <w:jc w:val="center"/>
              <w:spacing w:line="400" w:lineRule="exact"/>
              <w:rPr>
                <w:rFonts w:hint="eastAsia" w:ascii="宋体" w:hAnsi="宋体" w:cs="宋体"/>
                <w:color w:val="000000"/>
                <w:szCs w:val="24"/>
              </w:rPr>
              <w:framePr w:vAnchor="text" w:hAnchor="page" w:x="1582" w:y="407"/>
            </w:pPr>
            <w:r>
              <w:rPr>
                <w:rFonts w:hint="eastAsia" w:ascii="宋体" w:hAnsi="宋体" w:cs="宋体"/>
                <w:color w:val="000000"/>
                <w:szCs w:val="24"/>
              </w:rPr>
              <w:t xml:space="preserve">企业类似业绩</w:t>
            </w:r>
            <w:r>
              <w:rPr>
                <w:rFonts w:hint="eastAsia" w:ascii="宋体" w:hAnsi="宋体" w:cs="宋体"/>
                <w:color w:val="000000"/>
                <w:szCs w:val="24"/>
              </w:rPr>
            </w:r>
            <w:r/>
          </w:p>
        </w:tc>
        <w:tc>
          <w:tcPr>
            <w:tcW w:w="6031" w:type="dxa"/>
            <w:vAlign w:val="center"/>
            <w:textDirection w:val="lrTb"/>
            <w:noWrap w:val="false"/>
          </w:tcPr>
          <w:p>
            <w:pPr>
              <w:pStyle w:val="750"/>
              <w:spacing w:line="400" w:lineRule="exact"/>
              <w:rPr>
                <w:rFonts w:hint="eastAsia" w:ascii="宋体" w:hAnsi="宋体" w:cs="宋体"/>
                <w:color w:val="000000"/>
                <w:szCs w:val="24"/>
              </w:rPr>
              <w:framePr w:vAnchor="text" w:hAnchor="page" w:x="1582" w:y="407"/>
            </w:pPr>
            <w:r>
              <w:rPr>
                <w:rFonts w:hint="eastAsia" w:ascii="宋体" w:hAnsi="宋体" w:cs="宋体"/>
                <w:color w:val="000000"/>
                <w:szCs w:val="24"/>
              </w:rPr>
              <w:t xml:space="preserve">投标单位提供2023年1月以来的类似项目业绩（以合同签订日期为准），有1个得2分，没有不得分，最高4分（投标文件中提供清晰的合同及对应合同服务期间任意一期发票的复印件并加盖投标单位公章，否则不得分）</w:t>
            </w:r>
            <w:r>
              <w:rPr>
                <w:rFonts w:hint="eastAsia" w:ascii="宋体" w:hAnsi="宋体" w:cs="宋体"/>
                <w:color w:val="000000"/>
                <w:szCs w:val="24"/>
              </w:rPr>
            </w:r>
            <w:r/>
          </w:p>
        </w:tc>
        <w:tc>
          <w:tcPr>
            <w:tcW w:w="816"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4</w:t>
            </w:r>
            <w:r>
              <w:rPr>
                <w:rFonts w:hint="eastAsia" w:ascii="宋体" w:hAnsi="宋体" w:cs="宋体"/>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(三)</w:t>
            </w:r>
            <w:r>
              <w:rPr>
                <w:rFonts w:hint="eastAsia" w:ascii="宋体" w:hAnsi="宋体" w:cs="宋体"/>
                <w:b/>
                <w:bCs/>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产品深化方案设计比较</w:t>
            </w:r>
            <w:r>
              <w:rPr>
                <w:rFonts w:hint="eastAsia" w:ascii="宋体" w:hAnsi="宋体" w:cs="宋体"/>
                <w:b/>
                <w:bCs/>
                <w:color w:val="000000"/>
                <w:sz w:val="24"/>
                <w:szCs w:val="24"/>
              </w:rPr>
            </w:r>
            <w:r/>
          </w:p>
        </w:tc>
        <w:tc>
          <w:tcPr>
            <w:tcW w:w="6031" w:type="dxa"/>
            <w:vAlign w:val="center"/>
            <w:textDirection w:val="lrTb"/>
            <w:noWrap w:val="false"/>
          </w:tcPr>
          <w:p>
            <w:pPr>
              <w:pStyle w:val="750"/>
              <w:spacing w:line="400" w:lineRule="exact"/>
              <w:rPr>
                <w:rFonts w:hint="eastAsia" w:ascii="宋体" w:hAnsi="宋体" w:cs="宋体"/>
                <w:b/>
                <w:bCs/>
                <w:color w:val="000000"/>
                <w:szCs w:val="24"/>
              </w:rPr>
              <w:framePr w:vAnchor="text" w:hAnchor="page" w:x="1582" w:y="407"/>
            </w:pPr>
            <w:r>
              <w:rPr>
                <w:rFonts w:hint="eastAsia" w:ascii="宋体" w:hAnsi="宋体" w:cs="宋体"/>
                <w:b/>
                <w:bCs/>
                <w:color w:val="000000"/>
                <w:szCs w:val="24"/>
              </w:rPr>
            </w:r>
            <w:r/>
          </w:p>
        </w:tc>
        <w:tc>
          <w:tcPr>
            <w:tcW w:w="816"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18</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rPr>
              <w:t xml:space="preserve">产品深化方案设计比较</w:t>
            </w:r>
            <w:r>
              <w:rPr>
                <w:rFonts w:hint="eastAsia" w:ascii="宋体" w:hAnsi="宋体" w:cs="宋体"/>
                <w:color w:val="000000"/>
                <w:sz w:val="24"/>
                <w:szCs w:val="24"/>
              </w:rPr>
            </w:r>
            <w:r/>
          </w:p>
        </w:tc>
        <w:tc>
          <w:tcPr>
            <w:tcW w:w="6031" w:type="dxa"/>
            <w:vAlign w:val="center"/>
            <w:textDirection w:val="lrTb"/>
            <w:noWrap w:val="false"/>
          </w:tcPr>
          <w:p>
            <w:pPr>
              <w:pStyle w:val="750"/>
              <w:spacing w:line="400" w:lineRule="exact"/>
              <w:rPr>
                <w:rFonts w:hint="eastAsia" w:ascii="宋体" w:hAnsi="宋体" w:cs="宋体"/>
                <w:color w:val="000000"/>
                <w:szCs w:val="24"/>
              </w:rPr>
              <w:framePr w:vAnchor="text" w:hAnchor="page" w:x="1582" w:y="407"/>
            </w:pPr>
            <w:r>
              <w:rPr>
                <w:rFonts w:hint="eastAsia" w:ascii="宋体" w:hAnsi="宋体" w:cs="宋体"/>
                <w:color w:val="000000"/>
                <w:szCs w:val="24"/>
              </w:rPr>
              <w:t xml:space="preserve">投标单位须提供家具清单中下述产品的三视图、工艺结构图和用料清单：</w:t>
            </w:r>
            <w:r>
              <w:rPr>
                <w:rFonts w:hint="eastAsia" w:ascii="宋体" w:hAnsi="宋体" w:cs="宋体"/>
                <w:color w:val="000000"/>
                <w:szCs w:val="24"/>
              </w:rPr>
            </w:r>
            <w:r/>
          </w:p>
          <w:p>
            <w:pPr>
              <w:pStyle w:val="750"/>
              <w:ind w:firstLine="180"/>
              <w:spacing w:line="400" w:lineRule="exact"/>
              <w:rPr>
                <w:rFonts w:hint="eastAsia" w:ascii="宋体" w:hAnsi="宋体" w:cs="宋体"/>
                <w:color w:val="000000"/>
                <w:szCs w:val="24"/>
              </w:rPr>
              <w:framePr w:vAnchor="text" w:hAnchor="page" w:x="1582" w:y="407"/>
            </w:pPr>
            <w:r>
              <w:rPr>
                <w:rFonts w:hint="eastAsia" w:ascii="宋体" w:hAnsi="宋体" w:cs="宋体"/>
                <w:bCs/>
                <w:color w:val="000000"/>
                <w:szCs w:val="24"/>
              </w:rPr>
              <w:t xml:space="preserve">1、教师办公桌—序号8（教学楼）；2、学生金属公寓床（双层）—序号67（学生宿舍）；3、组合柜—序号69（学生宿舍）；总计3套，包含①三视图（主视图、左视图、俯视图）</w:t>
            </w:r>
            <w:r>
              <w:rPr>
                <w:rFonts w:hint="eastAsia" w:ascii="宋体" w:hAnsi="宋体" w:cs="宋体"/>
                <w:color w:val="000000"/>
                <w:szCs w:val="24"/>
              </w:rPr>
              <w:t xml:space="preserve">、②部件结构图及工艺结构图、③用料明细清单、安装说明。</w:t>
            </w:r>
            <w:r>
              <w:rPr>
                <w:rFonts w:hint="eastAsia" w:ascii="宋体" w:hAnsi="宋体" w:cs="宋体"/>
                <w:color w:val="000000"/>
                <w:szCs w:val="24"/>
              </w:rPr>
            </w:r>
            <w:r/>
          </w:p>
          <w:p>
            <w:pPr>
              <w:pStyle w:val="750"/>
              <w:spacing w:line="400" w:lineRule="exact"/>
              <w:rPr>
                <w:rFonts w:hint="eastAsia" w:ascii="宋体" w:hAnsi="宋体" w:cs="宋体"/>
                <w:color w:val="000000"/>
                <w:szCs w:val="24"/>
              </w:rPr>
              <w:framePr w:vAnchor="text" w:hAnchor="page" w:x="1582" w:y="407"/>
            </w:pPr>
            <w:r>
              <w:rPr>
                <w:rFonts w:hint="eastAsia" w:ascii="宋体" w:hAnsi="宋体" w:cs="宋体"/>
                <w:color w:val="000000"/>
                <w:szCs w:val="24"/>
              </w:rPr>
              <w:t xml:space="preserve">每套图纸清晰完整、完全满足招标清单内实际采购需求样式、工艺结构及招标清单材质要求的每套每项得2分，有一处内容不合理或错误的得1分，未提供或出现二处及以上内容不合理或错误的此项不得分。每种产品最高得6分，最高分18分。</w:t>
            </w:r>
            <w:r>
              <w:rPr>
                <w:rFonts w:hint="eastAsia" w:ascii="宋体" w:hAnsi="宋体" w:cs="宋体"/>
                <w:color w:val="000000"/>
                <w:szCs w:val="24"/>
              </w:rPr>
            </w:r>
            <w:r/>
          </w:p>
          <w:p>
            <w:pPr>
              <w:pStyle w:val="750"/>
              <w:spacing w:line="400" w:lineRule="exact"/>
              <w:rPr>
                <w:rFonts w:hint="eastAsia" w:ascii="宋体" w:hAnsi="宋体" w:cs="宋体"/>
                <w:color w:val="000000"/>
                <w:szCs w:val="24"/>
              </w:rPr>
              <w:framePr w:vAnchor="text" w:hAnchor="page" w:x="1582" w:y="407"/>
            </w:pPr>
            <w:r>
              <w:rPr>
                <w:rFonts w:hint="eastAsia" w:ascii="宋体" w:hAnsi="宋体" w:cs="宋体"/>
                <w:color w:val="000000"/>
                <w:szCs w:val="24"/>
              </w:rPr>
              <w:t xml:space="preserve">注：以上内容“不合理”、“错误”是指：存在不适用产品设计实际情况、套用其他无关内容、内容不完整、与本项目履约无关、逻辑存在漏洞以及不满足采购文件要求的其他情况。</w:t>
            </w:r>
            <w:r>
              <w:rPr>
                <w:rFonts w:hint="eastAsia" w:ascii="宋体" w:hAnsi="宋体" w:cs="宋体"/>
                <w:color w:val="000000"/>
                <w:szCs w:val="24"/>
              </w:rPr>
            </w:r>
            <w:r/>
          </w:p>
        </w:tc>
        <w:tc>
          <w:tcPr>
            <w:tcW w:w="816" w:type="dxa"/>
            <w:vAlign w:val="center"/>
            <w:textDirection w:val="lrTb"/>
            <w:noWrap w:val="false"/>
          </w:tcPr>
          <w:p>
            <w:pPr>
              <w:pStyle w:val="660"/>
              <w:jc w:val="left"/>
              <w:spacing w:line="400" w:lineRule="exact"/>
              <w:tabs>
                <w:tab w:val="left" w:pos="201" w:leader="none"/>
                <w:tab w:val="center" w:pos="359" w:leader="none"/>
              </w:tabs>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18</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b/>
                <w:bCs/>
                <w:color w:val="000000"/>
                <w:sz w:val="24"/>
                <w:szCs w:val="24"/>
              </w:rPr>
              <w:t xml:space="preserve">(四)</w:t>
            </w:r>
            <w:r>
              <w:rPr>
                <w:rFonts w:hint="eastAsia" w:ascii="宋体" w:hAnsi="宋体" w:cs="宋体"/>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color w:val="000000"/>
                <w:sz w:val="24"/>
                <w:szCs w:val="24"/>
              </w:rPr>
              <w:framePr w:vAnchor="text" w:hAnchor="page" w:x="1582" w:y="407"/>
            </w:pPr>
            <w:r>
              <w:rPr>
                <w:rFonts w:hint="eastAsia" w:ascii="宋体" w:hAnsi="宋体" w:cs="宋体"/>
                <w:b/>
                <w:color w:val="000000"/>
                <w:sz w:val="24"/>
                <w:szCs w:val="24"/>
              </w:rPr>
              <w:t xml:space="preserve">生产、供货及售后服务</w:t>
            </w:r>
            <w:r>
              <w:rPr>
                <w:rFonts w:hint="eastAsia" w:ascii="宋体" w:hAnsi="宋体" w:cs="宋体"/>
                <w:color w:val="000000"/>
                <w:sz w:val="24"/>
                <w:szCs w:val="24"/>
              </w:rPr>
            </w:r>
            <w:r/>
          </w:p>
        </w:tc>
        <w:tc>
          <w:tcPr>
            <w:tcW w:w="6031" w:type="dxa"/>
            <w:vAlign w:val="center"/>
            <w:textDirection w:val="lrTb"/>
            <w:noWrap w:val="false"/>
          </w:tcPr>
          <w:p>
            <w:pPr>
              <w:pStyle w:val="660"/>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r>
            <w:r/>
          </w:p>
        </w:tc>
        <w:tc>
          <w:tcPr>
            <w:tcW w:w="816" w:type="dxa"/>
            <w:vAlign w:val="center"/>
            <w:textDirection w:val="lrTb"/>
            <w:noWrap w:val="false"/>
          </w:tcPr>
          <w:p>
            <w:pPr>
              <w:pStyle w:val="660"/>
              <w:jc w:val="center"/>
              <w:spacing w:line="400" w:lineRule="exact"/>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15</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项目整体实施方案比较</w:t>
            </w:r>
            <w:r>
              <w:rPr>
                <w:rFonts w:hint="eastAsia" w:ascii="宋体" w:hAnsi="宋体" w:cs="宋体"/>
                <w:bCs/>
                <w:color w:val="000000"/>
                <w:sz w:val="24"/>
                <w:szCs w:val="24"/>
              </w:rPr>
            </w:r>
            <w:r/>
          </w:p>
        </w:tc>
        <w:tc>
          <w:tcPr>
            <w:tcW w:w="6031" w:type="dxa"/>
            <w:vAlign w:val="center"/>
            <w:textDirection w:val="lrTb"/>
            <w:noWrap w:val="false"/>
          </w:tcPr>
          <w:p>
            <w:pPr>
              <w:pStyle w:val="775"/>
              <w:spacing w:line="400" w:lineRule="exact"/>
              <w:rPr>
                <w:rFonts w:hint="eastAsia" w:ascii="宋体" w:hAnsi="宋体" w:cs="宋体"/>
                <w:color w:val="000000"/>
                <w:sz w:val="24"/>
                <w:szCs w:val="24"/>
              </w:rPr>
              <w:framePr w:vAnchor="text" w:hAnchor="page" w:x="1582" w:y="407"/>
            </w:pPr>
            <w:r>
              <w:rPr>
                <w:rFonts w:hint="eastAsia" w:ascii="宋体" w:hAnsi="宋体" w:cs="宋体"/>
                <w:color w:val="000000"/>
                <w:sz w:val="24"/>
                <w:szCs w:val="24"/>
                <w:lang w:val="en-US"/>
              </w:rPr>
              <w:t xml:space="preserve">1、</w:t>
            </w:r>
            <w:r>
              <w:rPr>
                <w:rFonts w:hint="eastAsia" w:ascii="宋体" w:hAnsi="宋体" w:cs="宋体"/>
                <w:color w:val="000000"/>
                <w:sz w:val="24"/>
                <w:szCs w:val="24"/>
              </w:rPr>
              <w:t xml:space="preserve">投标单位提供本项目的实施进度安排</w:t>
            </w:r>
            <w:r>
              <w:rPr>
                <w:rFonts w:hint="eastAsia" w:ascii="宋体" w:hAnsi="宋体" w:cs="宋体"/>
                <w:color w:val="000000"/>
                <w:sz w:val="24"/>
                <w:szCs w:val="24"/>
                <w:lang w:val="en-US"/>
              </w:rPr>
              <w:t xml:space="preserve">方案，包含</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①从交货进度计划表、</w:t>
            </w:r>
            <w:r>
              <w:rPr>
                <w:rFonts w:hint="eastAsia" w:ascii="宋体" w:hAnsi="宋体" w:cs="宋体"/>
                <w:color w:val="000000"/>
                <w:sz w:val="24"/>
                <w:szCs w:val="24"/>
                <w:lang w:val="en-US"/>
              </w:rPr>
              <w:t xml:space="preserve">②</w:t>
            </w:r>
            <w:r>
              <w:rPr>
                <w:rFonts w:hint="eastAsia" w:ascii="宋体" w:hAnsi="宋体" w:cs="宋体"/>
                <w:color w:val="000000"/>
                <w:sz w:val="24"/>
                <w:szCs w:val="24"/>
              </w:rPr>
              <w:t xml:space="preserve">货物安装布局、</w:t>
            </w:r>
            <w:r>
              <w:rPr>
                <w:rFonts w:hint="eastAsia" w:ascii="宋体" w:hAnsi="宋体" w:cs="宋体"/>
                <w:color w:val="000000"/>
                <w:sz w:val="24"/>
                <w:szCs w:val="24"/>
                <w:lang w:val="en-US"/>
              </w:rPr>
              <w:t xml:space="preserve">③</w:t>
            </w:r>
            <w:r>
              <w:rPr>
                <w:rFonts w:hint="eastAsia" w:ascii="宋体" w:hAnsi="宋体" w:cs="宋体"/>
                <w:bCs/>
                <w:color w:val="000000"/>
                <w:sz w:val="24"/>
                <w:szCs w:val="24"/>
              </w:rPr>
              <w:t xml:space="preserve">安装工具设备清单验收组织计划、</w:t>
            </w:r>
            <w:r>
              <w:rPr>
                <w:rFonts w:hint="eastAsia" w:ascii="宋体" w:hAnsi="宋体" w:cs="宋体"/>
                <w:color w:val="000000"/>
                <w:sz w:val="24"/>
                <w:szCs w:val="24"/>
                <w:lang w:val="en-US"/>
              </w:rPr>
              <w:t xml:space="preserve">④</w:t>
            </w:r>
            <w:r>
              <w:rPr>
                <w:rFonts w:hint="eastAsia" w:ascii="宋体" w:hAnsi="宋体" w:cs="宋体"/>
                <w:bCs/>
                <w:color w:val="000000"/>
                <w:sz w:val="24"/>
                <w:szCs w:val="24"/>
              </w:rPr>
              <w:t xml:space="preserve">安全文明施工制度等方面。方案完整、符合本项目实际需求的，每项得1分，投标单位提供方案中每项内容里有一处内容不合理或错误的得0</w:t>
            </w:r>
            <w:r>
              <w:rPr>
                <w:rFonts w:hint="eastAsia" w:ascii="宋体" w:hAnsi="宋体" w:cs="宋体"/>
                <w:bCs/>
                <w:color w:val="000000"/>
                <w:sz w:val="24"/>
                <w:szCs w:val="24"/>
                <w:lang w:val="en-US"/>
              </w:rPr>
              <w:t xml:space="preserve">.5</w:t>
            </w:r>
            <w:r>
              <w:rPr>
                <w:rFonts w:hint="eastAsia" w:ascii="宋体" w:hAnsi="宋体" w:cs="宋体"/>
                <w:bCs/>
                <w:color w:val="000000"/>
                <w:sz w:val="24"/>
                <w:szCs w:val="24"/>
              </w:rPr>
              <w:t xml:space="preserve">分，未提供或出现二处及以上内容不合理或错误的此项不得分。最高分4分。</w:t>
            </w:r>
            <w:r>
              <w:rPr>
                <w:rFonts w:hint="eastAsia" w:ascii="宋体" w:hAnsi="宋体" w:cs="宋体"/>
                <w:color w:val="000000"/>
                <w:sz w:val="24"/>
                <w:szCs w:val="24"/>
              </w:rPr>
            </w:r>
            <w:r/>
          </w:p>
          <w:p>
            <w:pPr>
              <w:pStyle w:val="775"/>
              <w:spacing w:line="400" w:lineRule="exact"/>
              <w:rPr>
                <w:rFonts w:hint="eastAsia" w:ascii="宋体" w:hAnsi="宋体" w:cs="宋体"/>
                <w:bCs/>
                <w:color w:val="000000"/>
                <w:sz w:val="24"/>
                <w:szCs w:val="24"/>
              </w:rPr>
              <w:framePr w:vAnchor="text" w:hAnchor="page" w:x="1582" w:y="407"/>
            </w:pPr>
            <w:r>
              <w:rPr>
                <w:rFonts w:hint="eastAsia" w:ascii="宋体" w:hAnsi="宋体" w:cs="宋体"/>
                <w:color w:val="000000"/>
                <w:sz w:val="24"/>
                <w:szCs w:val="24"/>
                <w:lang w:val="en-US"/>
              </w:rPr>
              <w:t xml:space="preserve">2、</w:t>
            </w:r>
            <w:r>
              <w:rPr>
                <w:rFonts w:hint="eastAsia" w:ascii="宋体" w:hAnsi="宋体" w:cs="宋体"/>
                <w:color w:val="000000"/>
                <w:sz w:val="24"/>
                <w:szCs w:val="24"/>
              </w:rPr>
              <w:t xml:space="preserve">投标单位提供本项目的安装调试方案，</w:t>
            </w:r>
            <w:r>
              <w:rPr>
                <w:rFonts w:hint="eastAsia" w:ascii="宋体" w:hAnsi="宋体" w:cs="宋体"/>
                <w:color w:val="000000"/>
                <w:sz w:val="24"/>
                <w:szCs w:val="24"/>
                <w:lang w:val="en-US"/>
              </w:rPr>
              <w:t xml:space="preserve">包含</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①从人员的安排、</w:t>
            </w:r>
            <w:r>
              <w:rPr>
                <w:rFonts w:hint="eastAsia" w:ascii="宋体" w:hAnsi="宋体" w:cs="宋体"/>
                <w:bCs/>
                <w:color w:val="000000"/>
                <w:sz w:val="24"/>
                <w:szCs w:val="24"/>
                <w:lang w:val="en-US"/>
              </w:rPr>
              <w:t xml:space="preserve">②</w:t>
            </w:r>
            <w:r>
              <w:rPr>
                <w:rFonts w:hint="eastAsia" w:ascii="宋体" w:hAnsi="宋体" w:cs="宋体"/>
                <w:bCs/>
                <w:color w:val="000000"/>
                <w:sz w:val="24"/>
                <w:szCs w:val="24"/>
              </w:rPr>
              <w:t xml:space="preserve">车辆的安排、</w:t>
            </w:r>
            <w:r>
              <w:rPr>
                <w:rFonts w:hint="eastAsia" w:ascii="宋体" w:hAnsi="宋体" w:cs="宋体"/>
                <w:color w:val="000000"/>
                <w:sz w:val="24"/>
                <w:szCs w:val="24"/>
                <w:lang w:val="en-US"/>
              </w:rPr>
              <w:t xml:space="preserve">③</w:t>
            </w:r>
            <w:r>
              <w:rPr>
                <w:rFonts w:hint="eastAsia" w:ascii="宋体" w:hAnsi="宋体" w:cs="宋体"/>
                <w:bCs/>
                <w:color w:val="000000"/>
                <w:sz w:val="24"/>
                <w:szCs w:val="24"/>
              </w:rPr>
              <w:t xml:space="preserve">突发事件的应急处理、</w:t>
            </w:r>
            <w:r>
              <w:rPr>
                <w:rFonts w:hint="eastAsia" w:ascii="宋体" w:hAnsi="宋体" w:cs="宋体"/>
                <w:color w:val="000000"/>
                <w:sz w:val="24"/>
                <w:szCs w:val="24"/>
                <w:lang w:val="en-US"/>
              </w:rPr>
              <w:t xml:space="preserve">④</w:t>
            </w:r>
            <w:r>
              <w:rPr>
                <w:rFonts w:hint="eastAsia" w:ascii="宋体" w:hAnsi="宋体" w:cs="宋体"/>
                <w:bCs/>
                <w:color w:val="000000"/>
                <w:sz w:val="24"/>
                <w:szCs w:val="24"/>
              </w:rPr>
              <w:t xml:space="preserve">各方沟通协调机制方面。方案完整、符合本项目实际需求的，每项得1分，投标单位提供方案中每项内容里有一处内容不合理或错误的得0</w:t>
            </w:r>
            <w:r>
              <w:rPr>
                <w:rFonts w:hint="eastAsia" w:ascii="宋体" w:hAnsi="宋体" w:cs="宋体"/>
                <w:bCs/>
                <w:color w:val="000000"/>
                <w:sz w:val="24"/>
                <w:szCs w:val="24"/>
                <w:lang w:val="en-US"/>
              </w:rPr>
              <w:t xml:space="preserve">.5</w:t>
            </w:r>
            <w:r>
              <w:rPr>
                <w:rFonts w:hint="eastAsia" w:ascii="宋体" w:hAnsi="宋体" w:cs="宋体"/>
                <w:bCs/>
                <w:color w:val="000000"/>
                <w:sz w:val="24"/>
                <w:szCs w:val="24"/>
              </w:rPr>
              <w:t xml:space="preserve">分，未提供或出现二处及以上内容不合理或错误的此项不得分。最高分4分。</w:t>
            </w:r>
            <w:r>
              <w:rPr>
                <w:rFonts w:hint="eastAsia" w:ascii="宋体" w:hAnsi="宋体" w:cs="宋体"/>
                <w:bCs/>
                <w:color w:val="000000"/>
                <w:sz w:val="24"/>
                <w:szCs w:val="24"/>
              </w:rPr>
            </w:r>
            <w:r/>
          </w:p>
          <w:p>
            <w:pPr>
              <w:pStyle w:val="750"/>
              <w:spacing w:line="400" w:lineRule="exact"/>
              <w:rPr>
                <w:rFonts w:hint="eastAsia" w:ascii="宋体" w:hAnsi="宋体" w:cs="宋体"/>
                <w:bCs/>
                <w:color w:val="000000"/>
                <w:szCs w:val="24"/>
              </w:rPr>
              <w:framePr w:vAnchor="text" w:hAnchor="page" w:x="1582" w:y="407"/>
            </w:pPr>
            <w:r>
              <w:rPr>
                <w:rFonts w:hint="eastAsia" w:ascii="宋体" w:hAnsi="宋体" w:cs="宋体"/>
                <w:bCs/>
                <w:color w:val="000000"/>
                <w:szCs w:val="24"/>
              </w:rPr>
              <w:t xml:space="preserve">注：以上内容“不合理”、“错误”是指：存在不适用项目实际情况、套用其他无关内容、内容不完整、与本项目履约无关、逻辑存在漏洞以及不满足采购文件要求的其他情况。</w:t>
            </w:r>
            <w:r>
              <w:rPr>
                <w:rFonts w:hint="eastAsia" w:ascii="宋体" w:hAnsi="宋体" w:cs="宋体"/>
                <w:bCs/>
                <w:color w:val="000000"/>
                <w:szCs w:val="24"/>
              </w:rPr>
            </w:r>
            <w:r/>
          </w:p>
        </w:tc>
        <w:tc>
          <w:tcPr>
            <w:tcW w:w="816" w:type="dxa"/>
            <w:vAlign w:val="center"/>
            <w:textDirection w:val="lrTb"/>
            <w:noWrap w:val="false"/>
          </w:tcPr>
          <w:p>
            <w:pPr>
              <w:pStyle w:val="660"/>
              <w:jc w:val="center"/>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8</w:t>
            </w:r>
            <w:r>
              <w:rPr>
                <w:rFonts w:hint="eastAsia" w:ascii="宋体" w:hAnsi="宋体" w:cs="宋体"/>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1559" w:type="dxa"/>
            <w:vAlign w:val="center"/>
            <w:textDirection w:val="lrTb"/>
            <w:noWrap w:val="false"/>
          </w:tcPr>
          <w:p>
            <w:pPr>
              <w:pStyle w:val="660"/>
              <w:jc w:val="center"/>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售后服务方案比较</w:t>
            </w:r>
            <w:r>
              <w:rPr>
                <w:rFonts w:hint="eastAsia" w:ascii="宋体" w:hAnsi="宋体" w:cs="宋体"/>
                <w:bCs/>
                <w:color w:val="000000"/>
                <w:sz w:val="24"/>
                <w:szCs w:val="24"/>
              </w:rPr>
            </w:r>
            <w:r/>
          </w:p>
        </w:tc>
        <w:tc>
          <w:tcPr>
            <w:tcW w:w="6031" w:type="dxa"/>
            <w:vAlign w:val="center"/>
            <w:textDirection w:val="lrTb"/>
            <w:noWrap w:val="false"/>
          </w:tcPr>
          <w:p>
            <w:pPr>
              <w:pStyle w:val="775"/>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投标单位提供本项目的售后方案，包含①售后服务人员名单、②易损件及 替换零件清单、③售后服务流程及维修措施。④培训方案。</w:t>
            </w:r>
            <w:r>
              <w:rPr>
                <w:rFonts w:hint="eastAsia" w:ascii="宋体" w:hAnsi="宋体" w:cs="宋体"/>
                <w:bCs/>
                <w:color w:val="000000"/>
                <w:sz w:val="24"/>
                <w:szCs w:val="24"/>
              </w:rPr>
            </w:r>
            <w:r/>
          </w:p>
          <w:p>
            <w:pPr>
              <w:pStyle w:val="775"/>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方案完整，符合本项目实际需求的，每项得1分，投标单位提供方案中每项内容有一处内容不合理不错误的得0</w:t>
            </w:r>
            <w:r>
              <w:rPr>
                <w:rFonts w:hint="eastAsia" w:ascii="宋体" w:hAnsi="宋体" w:cs="宋体"/>
                <w:bCs/>
                <w:color w:val="000000"/>
                <w:sz w:val="24"/>
                <w:szCs w:val="24"/>
                <w:lang w:val="en-US"/>
              </w:rPr>
              <w:t xml:space="preserve">.</w:t>
            </w:r>
            <w:r>
              <w:rPr>
                <w:rFonts w:hint="eastAsia" w:ascii="宋体" w:hAnsi="宋体" w:cs="宋体"/>
                <w:bCs/>
                <w:color w:val="000000"/>
                <w:sz w:val="24"/>
                <w:szCs w:val="24"/>
              </w:rPr>
              <w:t xml:space="preserve">5分，未提供或出现二处以上内容不合理或错误的此项不得分，最高分4分。</w:t>
            </w:r>
            <w:r>
              <w:rPr>
                <w:rFonts w:hint="eastAsia" w:ascii="宋体" w:hAnsi="宋体" w:cs="宋体"/>
                <w:bCs/>
                <w:color w:val="000000"/>
                <w:sz w:val="24"/>
                <w:szCs w:val="24"/>
              </w:rPr>
            </w:r>
            <w:r/>
          </w:p>
          <w:p>
            <w:pPr>
              <w:pStyle w:val="750"/>
              <w:spacing w:line="400" w:lineRule="exact"/>
              <w:rPr>
                <w:rFonts w:hint="eastAsia" w:ascii="宋体" w:hAnsi="宋体" w:cs="宋体"/>
                <w:color w:val="000000"/>
                <w:szCs w:val="24"/>
              </w:rPr>
              <w:framePr w:vAnchor="text" w:hAnchor="page" w:x="1582" w:y="407"/>
            </w:pPr>
            <w:r>
              <w:rPr>
                <w:rFonts w:hint="eastAsia" w:ascii="宋体" w:hAnsi="宋体" w:cs="宋体"/>
                <w:bCs/>
                <w:color w:val="000000"/>
                <w:szCs w:val="24"/>
              </w:rPr>
              <w:t xml:space="preserve">注：以上内容“不合理”、“错误”是指：存在不适用交货实施方案实际情况，套用其他无关内容、内容不完整、与本项目履约无关、逻辑存在漏洞以及不满足采购文件要求的其他情况。</w:t>
            </w:r>
            <w:r>
              <w:rPr>
                <w:rFonts w:hint="eastAsia" w:ascii="宋体" w:hAnsi="宋体" w:cs="宋体"/>
                <w:color w:val="000000"/>
                <w:szCs w:val="24"/>
              </w:rPr>
            </w:r>
            <w:r/>
          </w:p>
        </w:tc>
        <w:tc>
          <w:tcPr>
            <w:tcW w:w="816" w:type="dxa"/>
            <w:vAlign w:val="center"/>
            <w:textDirection w:val="lrTb"/>
            <w:noWrap w:val="false"/>
          </w:tcPr>
          <w:p>
            <w:pPr>
              <w:pStyle w:val="660"/>
              <w:jc w:val="left"/>
              <w:spacing w:line="400" w:lineRule="exact"/>
              <w:tabs>
                <w:tab w:val="left" w:pos="201" w:leader="none"/>
                <w:tab w:val="center" w:pos="359" w:leader="none"/>
              </w:tabs>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4</w:t>
            </w:r>
            <w:r>
              <w:rPr>
                <w:rFonts w:hint="eastAsia" w:ascii="宋体" w:hAnsi="宋体" w:cs="宋体"/>
                <w:b/>
                <w:bCs/>
                <w:color w:val="000000"/>
                <w:sz w:val="24"/>
                <w:szCs w:val="24"/>
              </w:rPr>
            </w:r>
            <w:r/>
          </w:p>
        </w:tc>
      </w:tr>
      <w:tr>
        <w:trPr>
          <w:trHeight w:val="298"/>
        </w:trPr>
        <w:tc>
          <w:tcPr>
            <w:tcW w:w="711" w:type="dxa"/>
            <w:vAlign w:val="center"/>
            <w:textDirection w:val="lrTb"/>
            <w:noWrap w:val="false"/>
          </w:tcPr>
          <w:p>
            <w:pPr>
              <w:pStyle w:val="660"/>
              <w:jc w:val="center"/>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1559" w:type="dxa"/>
            <w:vAlign w:val="center"/>
            <w:textDirection w:val="lrTb"/>
            <w:noWrap w:val="false"/>
          </w:tcPr>
          <w:p>
            <w:pPr>
              <w:pStyle w:val="660"/>
              <w:spacing w:line="400" w:lineRule="exact"/>
              <w:rPr>
                <w:rFonts w:hint="eastAsia" w:ascii="宋体" w:hAnsi="宋体" w:cs="宋体"/>
                <w:bCs/>
                <w:color w:val="000000"/>
                <w:sz w:val="24"/>
                <w:szCs w:val="24"/>
              </w:rPr>
              <w:framePr w:vAnchor="text" w:hAnchor="page" w:x="1582" w:y="407"/>
            </w:pPr>
            <w:r>
              <w:rPr>
                <w:rFonts w:hint="eastAsia" w:ascii="宋体" w:hAnsi="宋体" w:cs="宋体"/>
                <w:bCs/>
                <w:color w:val="000000"/>
                <w:sz w:val="24"/>
                <w:szCs w:val="24"/>
              </w:rPr>
              <w:t xml:space="preserve">售后服务时间</w:t>
            </w:r>
            <w:r>
              <w:rPr>
                <w:rFonts w:hint="eastAsia" w:ascii="宋体" w:hAnsi="宋体" w:cs="宋体"/>
                <w:bCs/>
                <w:color w:val="000000"/>
                <w:sz w:val="24"/>
                <w:szCs w:val="24"/>
              </w:rPr>
            </w:r>
            <w:r/>
          </w:p>
        </w:tc>
        <w:tc>
          <w:tcPr>
            <w:tcW w:w="6031" w:type="dxa"/>
            <w:vAlign w:val="center"/>
            <w:textDirection w:val="lrTb"/>
            <w:noWrap w:val="false"/>
          </w:tcPr>
          <w:p>
            <w:pPr>
              <w:pStyle w:val="660"/>
              <w:jc w:val="left"/>
              <w:spacing w:line="400" w:lineRule="exact"/>
              <w:rPr>
                <w:rFonts w:hint="eastAsia" w:ascii="宋体" w:hAnsi="宋体" w:cs="宋体"/>
                <w:color w:val="000000"/>
                <w:sz w:val="24"/>
                <w:szCs w:val="24"/>
              </w:rPr>
              <w:framePr w:vAnchor="text" w:hAnchor="page" w:x="1582" w:y="407"/>
            </w:pPr>
            <w:r>
              <w:rPr>
                <w:rFonts w:hint="eastAsia" w:ascii="宋体" w:hAnsi="宋体" w:cs="宋体"/>
                <w:bCs/>
                <w:color w:val="000000"/>
                <w:sz w:val="24"/>
                <w:szCs w:val="24"/>
                <w:lang w:val="zh-CN"/>
              </w:rPr>
              <w:t xml:space="preserve">供应商须作出售后服务维修时间响应承诺，承诺在16小时内完成采购人维修要求的得</w:t>
            </w:r>
            <w:r>
              <w:rPr>
                <w:rFonts w:hint="eastAsia" w:ascii="宋体" w:hAnsi="宋体" w:cs="宋体"/>
                <w:bCs/>
                <w:color w:val="000000"/>
                <w:sz w:val="24"/>
                <w:szCs w:val="24"/>
              </w:rPr>
              <w:t xml:space="preserve">3</w:t>
            </w:r>
            <w:r>
              <w:rPr>
                <w:rFonts w:hint="eastAsia" w:ascii="宋体" w:hAnsi="宋体" w:cs="宋体"/>
                <w:bCs/>
                <w:color w:val="000000"/>
                <w:sz w:val="24"/>
                <w:szCs w:val="24"/>
                <w:lang w:val="zh-CN"/>
              </w:rPr>
              <w:t xml:space="preserve">分，承诺在16-20小时（含16小时，不含20小时）</w:t>
            </w:r>
            <w:r>
              <w:rPr>
                <w:rFonts w:hint="eastAsia" w:ascii="宋体" w:hAnsi="宋体" w:cs="宋体"/>
                <w:bCs/>
                <w:color w:val="000000"/>
                <w:sz w:val="24"/>
                <w:szCs w:val="24"/>
              </w:rPr>
              <w:t xml:space="preserve">完成采购人维修要求的得2分，承诺在20-23（含20小时，不含23小时）小时完成采购人维修要求的得1分，承诺超过23小时完成采购人维修要求的不得分）</w:t>
            </w:r>
            <w:r>
              <w:rPr>
                <w:rFonts w:hint="eastAsia" w:ascii="宋体" w:hAnsi="宋体" w:cs="宋体"/>
                <w:color w:val="000000"/>
                <w:sz w:val="24"/>
                <w:szCs w:val="24"/>
              </w:rPr>
            </w:r>
            <w:r/>
          </w:p>
        </w:tc>
        <w:tc>
          <w:tcPr>
            <w:tcW w:w="816" w:type="dxa"/>
            <w:vAlign w:val="center"/>
            <w:textDirection w:val="lrTb"/>
            <w:noWrap w:val="false"/>
          </w:tcPr>
          <w:p>
            <w:pPr>
              <w:pStyle w:val="660"/>
              <w:jc w:val="left"/>
              <w:spacing w:line="400" w:lineRule="exact"/>
              <w:tabs>
                <w:tab w:val="left" w:pos="201" w:leader="none"/>
                <w:tab w:val="center" w:pos="359" w:leader="none"/>
              </w:tabs>
              <w:rPr>
                <w:rFonts w:hint="eastAsia" w:ascii="宋体" w:hAnsi="宋体" w:cs="宋体"/>
                <w:b/>
                <w:bCs/>
                <w:color w:val="000000"/>
                <w:sz w:val="24"/>
                <w:szCs w:val="24"/>
              </w:rPr>
              <w:framePr w:vAnchor="text" w:hAnchor="page" w:x="1582" w:y="407"/>
            </w:pPr>
            <w:r>
              <w:rPr>
                <w:rFonts w:hint="eastAsia" w:ascii="宋体" w:hAnsi="宋体" w:cs="宋体"/>
                <w:b/>
                <w:bCs/>
                <w:color w:val="000000"/>
                <w:sz w:val="24"/>
                <w:szCs w:val="24"/>
              </w:rPr>
              <w:t xml:space="preserve">3</w:t>
            </w:r>
            <w:r>
              <w:rPr>
                <w:rFonts w:hint="eastAsia" w:ascii="宋体" w:hAnsi="宋体" w:cs="宋体"/>
                <w:b/>
                <w:bCs/>
                <w:color w:val="000000"/>
                <w:sz w:val="24"/>
                <w:szCs w:val="24"/>
              </w:rPr>
            </w:r>
            <w:r/>
          </w:p>
        </w:tc>
      </w:tr>
    </w:tbl>
    <w:p>
      <w:pPr>
        <w:pStyle w:val="660"/>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660"/>
        <w:jc w:val="center"/>
        <w:keepNext/>
        <w:rPr>
          <w:rFonts w:hint="eastAsia" w:ascii="黑体" w:eastAsia="黑体"/>
          <w:bCs/>
          <w:color w:val="000000"/>
          <w:sz w:val="44"/>
          <w:szCs w:val="28"/>
        </w:rPr>
        <w:outlineLvl w:val="0"/>
      </w:pPr>
      <w:r/>
      <w:bookmarkEnd w:id="36"/>
      <w:r/>
      <w:bookmarkEnd w:id="37"/>
      <w:r/>
      <w:bookmarkEnd w:id="38"/>
      <w:r/>
      <w:bookmarkStart w:id="39" w:name="_Toc49090576"/>
      <w:r/>
      <w:bookmarkStart w:id="40" w:name="_Toc26554094"/>
      <w:r/>
      <w:bookmarkStart w:id="41" w:name="_Toc120614282"/>
      <w:r>
        <w:rPr>
          <w:rFonts w:hint="eastAsia" w:ascii="黑体" w:eastAsia="黑体"/>
          <w:bCs/>
          <w:color w:val="000000"/>
          <w:sz w:val="44"/>
          <w:szCs w:val="28"/>
        </w:rPr>
      </w:r>
      <w:r/>
    </w:p>
    <w:p>
      <w:pPr>
        <w:pStyle w:val="660"/>
        <w:jc w:val="both"/>
        <w:rPr>
          <w:rFonts w:hint="eastAsia" w:ascii="宋体" w:hAnsi="宋体"/>
          <w:b/>
          <w:color w:val="000000"/>
          <w:sz w:val="72"/>
          <w:szCs w:val="21"/>
        </w:rPr>
      </w:pPr>
      <w:r>
        <w:rPr>
          <w:rFonts w:hint="eastAsia" w:ascii="宋体" w:hAnsi="宋体"/>
          <w:b/>
          <w:color w:val="000000"/>
          <w:sz w:val="72"/>
          <w:szCs w:val="21"/>
        </w:rPr>
      </w:r>
      <w:r/>
    </w:p>
    <w:p>
      <w:pPr>
        <w:pStyle w:val="660"/>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660"/>
        <w:jc w:val="center"/>
        <w:rPr>
          <w:rFonts w:hint="eastAsia" w:ascii="宋体" w:hAnsi="宋体"/>
          <w:b/>
          <w:color w:val="000000"/>
          <w:sz w:val="72"/>
          <w:szCs w:val="21"/>
        </w:rPr>
      </w:pPr>
      <w:r>
        <w:rPr>
          <w:rFonts w:hint="eastAsia" w:ascii="宋体" w:hAnsi="宋体"/>
          <w:b/>
          <w:color w:val="000000"/>
          <w:sz w:val="72"/>
          <w:szCs w:val="21"/>
        </w:rPr>
      </w:r>
      <w:r/>
    </w:p>
    <w:p>
      <w:pPr>
        <w:pStyle w:val="660"/>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60"/>
        <w:jc w:val="center"/>
        <w:rPr>
          <w:rFonts w:hint="eastAsia" w:ascii="宋体" w:hAnsi="宋体"/>
          <w:b/>
          <w:color w:val="000000"/>
          <w:sz w:val="72"/>
          <w:szCs w:val="21"/>
        </w:rPr>
      </w:pPr>
      <w:r>
        <w:rPr>
          <w:rFonts w:hint="eastAsia" w:ascii="宋体" w:hAnsi="宋体"/>
          <w:b/>
          <w:color w:val="000000"/>
          <w:sz w:val="72"/>
          <w:szCs w:val="21"/>
        </w:rPr>
      </w:r>
      <w:r/>
    </w:p>
    <w:p>
      <w:pPr>
        <w:pStyle w:val="660"/>
        <w:jc w:val="center"/>
        <w:rPr>
          <w:rFonts w:hint="eastAsia" w:ascii="宋体" w:hAnsi="宋体"/>
          <w:b/>
          <w:color w:val="000000"/>
          <w:sz w:val="72"/>
          <w:szCs w:val="21"/>
        </w:rPr>
      </w:pPr>
      <w:r>
        <w:rPr>
          <w:rFonts w:hint="eastAsia" w:ascii="宋体" w:hAnsi="宋体"/>
          <w:b/>
          <w:color w:val="000000"/>
          <w:sz w:val="72"/>
          <w:szCs w:val="21"/>
        </w:rPr>
      </w:r>
      <w:r/>
    </w:p>
    <w:p>
      <w:pPr>
        <w:pStyle w:val="660"/>
        <w:jc w:val="center"/>
        <w:rPr>
          <w:rFonts w:hint="eastAsia" w:ascii="宋体" w:hAnsi="宋体"/>
          <w:b/>
          <w:color w:val="000000"/>
          <w:sz w:val="36"/>
          <w:szCs w:val="21"/>
        </w:rPr>
      </w:pPr>
      <w:r>
        <w:rPr>
          <w:rFonts w:hint="eastAsia" w:ascii="宋体" w:hAnsi="宋体"/>
          <w:b/>
          <w:color w:val="000000"/>
          <w:sz w:val="36"/>
          <w:szCs w:val="21"/>
        </w:rPr>
      </w:r>
      <w:r/>
    </w:p>
    <w:p>
      <w:pPr>
        <w:pStyle w:val="660"/>
        <w:jc w:val="center"/>
        <w:rPr>
          <w:rFonts w:hint="eastAsia" w:ascii="宋体" w:hAnsi="宋体"/>
          <w:b/>
          <w:color w:val="000000"/>
          <w:sz w:val="36"/>
          <w:szCs w:val="21"/>
        </w:rPr>
      </w:pPr>
      <w:r>
        <w:rPr>
          <w:rFonts w:hint="eastAsia" w:ascii="宋体" w:hAnsi="宋体"/>
          <w:b/>
          <w:color w:val="000000"/>
          <w:sz w:val="36"/>
          <w:szCs w:val="21"/>
        </w:rPr>
      </w:r>
      <w:r/>
    </w:p>
    <w:p>
      <w:pPr>
        <w:pStyle w:val="660"/>
        <w:jc w:val="center"/>
        <w:rPr>
          <w:rFonts w:hint="eastAsia" w:ascii="宋体" w:hAnsi="宋体"/>
          <w:b/>
          <w:color w:val="000000"/>
          <w:sz w:val="36"/>
          <w:szCs w:val="21"/>
        </w:rPr>
      </w:pPr>
      <w:r>
        <w:rPr>
          <w:rFonts w:hint="eastAsia" w:ascii="宋体" w:hAnsi="宋体"/>
          <w:b/>
          <w:color w:val="000000"/>
          <w:sz w:val="36"/>
          <w:szCs w:val="21"/>
        </w:rPr>
      </w:r>
      <w:r/>
    </w:p>
    <w:p>
      <w:pPr>
        <w:pStyle w:val="660"/>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60"/>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60"/>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60"/>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6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0"/>
        <w:spacing w:line="440" w:lineRule="exact"/>
        <w:rPr>
          <w:rFonts w:ascii="宋体" w:hAnsi="宋体"/>
          <w:color w:val="000000"/>
          <w:szCs w:val="21"/>
        </w:rPr>
      </w:pPr>
      <w:r>
        <w:rPr>
          <w:rFonts w:ascii="宋体" w:hAnsi="宋体"/>
          <w:color w:val="000000"/>
          <w:szCs w:val="21"/>
        </w:rPr>
      </w:r>
      <w:r/>
    </w:p>
    <w:p>
      <w:pPr>
        <w:pStyle w:val="660"/>
        <w:rPr>
          <w:rFonts w:hint="eastAsia" w:ascii="黑体" w:hAnsi="黑体" w:eastAsia="黑体"/>
          <w:iCs/>
          <w:sz w:val="32"/>
          <w:szCs w:val="32"/>
        </w:rPr>
      </w:pPr>
      <w:r>
        <w:rPr>
          <w:rFonts w:ascii="宋体" w:hAnsi="宋体"/>
          <w:b/>
          <w:color w:val="000000"/>
          <w:sz w:val="36"/>
          <w:szCs w:val="21"/>
          <w:u w:val="single"/>
        </w:rPr>
        <w:br w:type="page" w:clear="all"/>
      </w:r>
      <w:bookmarkEnd w:id="28"/>
      <w:r/>
      <w:bookmarkEnd w:id="29"/>
      <w:r/>
      <w:bookmarkEnd w:id="39"/>
      <w:r/>
      <w:bookmarkEnd w:id="40"/>
      <w:r/>
      <w:bookmarkEnd w:id="41"/>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hint="eastAsia" w:ascii="黑体" w:hAnsi="黑体" w:eastAsia="黑体"/>
          <w:iCs/>
          <w:sz w:val="32"/>
          <w:szCs w:val="32"/>
        </w:rPr>
      </w:r>
      <w:r/>
    </w:p>
    <w:p>
      <w:pPr>
        <w:pStyle w:val="660"/>
        <w:ind w:firstLine="480"/>
        <w:spacing w:line="440" w:lineRule="exact"/>
        <w:rPr>
          <w:rFonts w:ascii="宋体" w:hAnsi="宋体"/>
          <w:sz w:val="24"/>
        </w:rPr>
      </w:pPr>
      <w:r>
        <w:rPr>
          <w:rFonts w:ascii="宋体" w:hAnsi="宋体"/>
          <w:sz w:val="24"/>
        </w:rPr>
      </w:r>
      <w:r/>
    </w:p>
    <w:p>
      <w:pPr>
        <w:pStyle w:val="660"/>
        <w:rPr>
          <w:rFonts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二、2024年度</w:t>
      </w:r>
      <w:r>
        <w:rPr>
          <w:rFonts w:hint="eastAsia" w:ascii="黑体" w:hAnsi="黑体" w:eastAsia="黑体"/>
          <w:iCs/>
          <w:sz w:val="32"/>
          <w:szCs w:val="32"/>
          <w:lang w:val="en-US" w:eastAsia="zh-CN"/>
        </w:rPr>
        <w:t xml:space="preserve">或2025年度</w:t>
      </w:r>
      <w:r>
        <w:rPr>
          <w:rFonts w:hint="eastAsia" w:ascii="黑体" w:hAnsi="黑体" w:eastAsia="黑体"/>
          <w:iCs/>
          <w:sz w:val="32"/>
          <w:szCs w:val="32"/>
        </w:rPr>
        <w:t xml:space="preserve">经审计的财务报告或投标截止前六个月内银行金融机构出具的资信证明</w:t>
      </w:r>
      <w:r>
        <w:rPr>
          <w:rFonts w:ascii="黑体" w:hAnsi="黑体" w:eastAsia="黑体"/>
          <w:iCs/>
          <w:sz w:val="32"/>
          <w:szCs w:val="32"/>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rPr>
          <w:rFonts w:hint="eastAsia" w:ascii="黑体" w:hAnsi="黑体" w:eastAsia="黑体"/>
          <w:iCs/>
          <w:sz w:val="32"/>
          <w:szCs w:val="32"/>
        </w:rPr>
      </w:r>
      <w:r/>
    </w:p>
    <w:p>
      <w:pPr>
        <w:pStyle w:val="660"/>
        <w:ind w:firstLine="480"/>
        <w:rPr>
          <w:rFonts w:hint="eastAsia" w:ascii="宋体" w:hAnsi="宋体"/>
          <w:bCs/>
          <w:sz w:val="24"/>
        </w:rPr>
      </w:pPr>
      <w:r/>
      <w:bookmarkStart w:id="42"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sz w:val="24"/>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hint="eastAsia" w:ascii="黑体" w:hAnsi="黑体" w:eastAsia="黑体"/>
          <w:iCs/>
          <w:sz w:val="32"/>
          <w:szCs w:val="32"/>
        </w:rPr>
      </w:r>
      <w:r/>
    </w:p>
    <w:p>
      <w:pPr>
        <w:pStyle w:val="660"/>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660"/>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60"/>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60"/>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674"/>
        <w:ind w:firstLine="0"/>
        <w:rPr>
          <w:rFonts w:hint="eastAsia"/>
        </w:rPr>
      </w:pPr>
      <w:r>
        <w:rPr>
          <w:rFonts w:hint="eastAsia"/>
        </w:rPr>
      </w:r>
      <w:r/>
    </w:p>
    <w:p>
      <w:pPr>
        <w:pStyle w:val="660"/>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hint="eastAsia" w:ascii="黑体" w:hAnsi="黑体" w:eastAsia="黑体"/>
          <w:iCs/>
          <w:sz w:val="32"/>
          <w:szCs w:val="32"/>
        </w:rPr>
      </w:r>
      <w:r/>
    </w:p>
    <w:p>
      <w:pPr>
        <w:pStyle w:val="660"/>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60"/>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rPr>
      </w:r>
      <w:r/>
    </w:p>
    <w:p>
      <w:pPr>
        <w:pStyle w:val="660"/>
        <w:rPr>
          <w:rFonts w:ascii="宋体" w:hAnsi="宋体"/>
          <w:bCs/>
          <w:iCs/>
          <w:sz w:val="24"/>
        </w:rPr>
      </w:pPr>
      <w:r>
        <w:rPr>
          <w:rFonts w:hint="eastAsia" w:ascii="宋体" w:hAnsi="宋体"/>
          <w:bCs/>
          <w:iCs/>
          <w:sz w:val="24"/>
        </w:rPr>
        <w:t xml:space="preserve">★</w:t>
      </w:r>
      <w:r>
        <w:rPr>
          <w:rFonts w:hint="eastAsia" w:ascii="黑体" w:hAnsi="黑体" w:eastAsia="黑体"/>
          <w:iCs/>
          <w:sz w:val="32"/>
          <w:szCs w:val="32"/>
        </w:rPr>
        <w:t xml:space="preserve">六：关于资格文件的声明函</w:t>
      </w:r>
      <w:r>
        <w:rPr>
          <w:rFonts w:ascii="宋体" w:hAnsi="宋体"/>
          <w:bCs/>
          <w:iCs/>
          <w:sz w:val="24"/>
        </w:rPr>
      </w:r>
      <w:r/>
    </w:p>
    <w:p>
      <w:pPr>
        <w:pStyle w:val="660"/>
        <w:jc w:val="center"/>
        <w:spacing w:line="440" w:lineRule="exact"/>
        <w:rPr>
          <w:rFonts w:ascii="宋体" w:hAnsi="宋体"/>
          <w:lang w:val="zh-CN"/>
        </w:rPr>
      </w:pPr>
      <w:r>
        <w:rPr>
          <w:rFonts w:hint="eastAsia" w:ascii="宋体" w:hAnsi="宋体"/>
          <w:b/>
          <w:bCs/>
          <w:sz w:val="44"/>
          <w:szCs w:val="44"/>
        </w:rPr>
        <w:t xml:space="preserve">声  明</w:t>
      </w:r>
      <w:r>
        <w:rPr>
          <w:rFonts w:ascii="宋体" w:hAnsi="宋体"/>
          <w:lang w:val="zh-CN"/>
        </w:rPr>
      </w:r>
      <w:r/>
    </w:p>
    <w:p>
      <w:pPr>
        <w:pStyle w:val="660"/>
        <w:ind w:firstLine="480"/>
        <w:rPr>
          <w:rFonts w:ascii="宋体" w:hAnsi="宋体"/>
          <w:sz w:val="24"/>
          <w:szCs w:val="24"/>
        </w:rPr>
      </w:pPr>
      <w:r>
        <w:rPr>
          <w:rFonts w:hint="eastAsia" w:ascii="宋体" w:hAnsi="宋体"/>
          <w:sz w:val="24"/>
          <w:szCs w:val="24"/>
        </w:rPr>
        <w:t xml:space="preserve">本公司愿就由贵单位组织实施的编号为</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rPr>
          <w:rFonts w:ascii="宋体" w:hAnsi="宋体"/>
          <w:sz w:val="24"/>
          <w:szCs w:val="24"/>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七、特定资格要求的证明文件</w:t>
      </w:r>
      <w:r>
        <w:rPr>
          <w:rFonts w:hint="eastAsia" w:ascii="黑体" w:hAnsi="黑体" w:eastAsia="黑体"/>
          <w:iCs/>
          <w:sz w:val="32"/>
          <w:szCs w:val="32"/>
        </w:rPr>
      </w:r>
      <w:r/>
    </w:p>
    <w:p>
      <w:pPr>
        <w:pStyle w:val="66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60"/>
        <w:spacing w:line="460" w:lineRule="exact"/>
        <w:rPr>
          <w:rFonts w:hint="eastAsia" w:ascii="宋体" w:hAnsi="宋体"/>
          <w:bCs/>
          <w:sz w:val="24"/>
        </w:rPr>
      </w:pPr>
      <w:r>
        <w:rPr>
          <w:rFonts w:hint="eastAsia" w:ascii="宋体" w:hAnsi="宋体"/>
          <w:bCs/>
          <w:sz w:val="24"/>
        </w:rPr>
      </w:r>
      <w:r/>
    </w:p>
    <w:p>
      <w:pPr>
        <w:pStyle w:val="660"/>
        <w:jc w:val="cente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八、法人授权书</w:t>
      </w:r>
      <w:r>
        <w:rPr>
          <w:rFonts w:hint="eastAsia" w:ascii="黑体" w:hAnsi="黑体" w:eastAsia="黑体"/>
          <w:iCs/>
          <w:sz w:val="32"/>
          <w:szCs w:val="32"/>
        </w:rPr>
      </w:r>
      <w:r/>
    </w:p>
    <w:p>
      <w:pPr>
        <w:pStyle w:val="744"/>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44"/>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44"/>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44"/>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44"/>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44"/>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44"/>
        <w:ind w:firstLine="480"/>
        <w:tabs>
          <w:tab w:val="left" w:pos="360" w:leader="none"/>
        </w:tabs>
        <w:rPr>
          <w:rFonts w:hint="eastAsia"/>
          <w:sz w:val="24"/>
          <w:szCs w:val="24"/>
        </w:rPr>
      </w:pPr>
      <w:r>
        <w:rPr>
          <w:rFonts w:hint="eastAsia"/>
          <w:sz w:val="24"/>
          <w:szCs w:val="24"/>
        </w:rPr>
        <w:t xml:space="preserve">      日期：</w:t>
      </w:r>
      <w:bookmarkStart w:id="43" w:name="_格式3__银行出具的资信证明"/>
      <w:r/>
      <w:bookmarkEnd w:id="43"/>
      <w:r/>
      <w:bookmarkStart w:id="44" w:name="_Hlt26955070"/>
      <w:r/>
      <w:bookmarkEnd w:id="44"/>
      <w:r/>
      <w:bookmarkStart w:id="45" w:name="_Hlt26671380"/>
      <w:r/>
      <w:bookmarkEnd w:id="45"/>
      <w:r>
        <w:rPr>
          <w:rFonts w:hint="eastAsia"/>
          <w:sz w:val="24"/>
          <w:szCs w:val="24"/>
          <w:u w:val="single"/>
        </w:rPr>
        <w:t xml:space="preserve">                                         </w:t>
      </w:r>
      <w:r>
        <w:rPr>
          <w:rFonts w:hint="eastAsia"/>
          <w:sz w:val="24"/>
          <w:szCs w:val="24"/>
        </w:rPr>
      </w:r>
      <w:r/>
    </w:p>
    <w:p>
      <w:pPr>
        <w:pStyle w:val="674"/>
        <w:rPr>
          <w:rFonts w:hint="eastAsia"/>
          <w:i/>
          <w:sz w:val="24"/>
          <w:szCs w:val="24"/>
          <w:u w:val="single"/>
        </w:rPr>
      </w:pPr>
      <w:r>
        <w:rPr>
          <w:rFonts w:hint="eastAsia"/>
          <w:i/>
          <w:sz w:val="24"/>
          <w:szCs w:val="24"/>
          <w:u w:val="single"/>
        </w:rPr>
      </w:r>
      <w:r/>
    </w:p>
    <w:p>
      <w:pPr>
        <w:pStyle w:val="674"/>
        <w:ind w:firstLine="0"/>
        <w:rPr>
          <w:rFonts w:hint="eastAsia"/>
        </w:rPr>
      </w:pPr>
      <w:r>
        <w:rPr>
          <w:rFonts w:hint="eastAsia"/>
        </w:rPr>
      </w:r>
      <w:r/>
    </w:p>
    <w:p>
      <w:pPr>
        <w:pStyle w:val="660"/>
        <w:spacing w:line="460" w:lineRule="exact"/>
        <w:rPr>
          <w:rFonts w:hint="eastAsia" w:ascii="楷体" w:hAnsi="楷体" w:eastAsia="楷体"/>
          <w:bCs/>
          <w:sz w:val="24"/>
          <w:szCs w:val="24"/>
        </w:rPr>
      </w:pPr>
      <w:r>
        <w:rPr>
          <w:rFonts w:hint="eastAsia" w:ascii="楷体" w:hAnsi="楷体" w:eastAsia="楷体"/>
          <w:bCs/>
          <w:sz w:val="24"/>
          <w:szCs w:val="24"/>
        </w:rPr>
      </w:r>
      <w:r/>
    </w:p>
    <w:p>
      <w:pPr>
        <w:pStyle w:val="660"/>
        <w:spacing w:line="460" w:lineRule="exact"/>
        <w:rPr>
          <w:rFonts w:hint="eastAsia" w:ascii="宋体" w:hAnsi="宋体"/>
          <w:bCs/>
          <w:sz w:val="24"/>
        </w:rPr>
      </w:pPr>
      <w:r>
        <w:rPr>
          <w:rFonts w:hint="eastAsia" w:ascii="宋体" w:hAnsi="宋体"/>
          <w:bCs/>
          <w:sz w:val="24"/>
        </w:rPr>
      </w:r>
      <w:r/>
    </w:p>
    <w:p>
      <w:pPr>
        <w:pStyle w:val="660"/>
        <w:jc w:val="center"/>
        <w:rPr>
          <w:rFonts w:ascii="黑体" w:hAnsi="黑体" w:eastAsia="黑体"/>
          <w:iCs/>
          <w:sz w:val="32"/>
          <w:szCs w:val="32"/>
        </w:rPr>
      </w:pPr>
      <w:r>
        <w:rPr>
          <w:rFonts w:ascii="宋体" w:hAnsi="宋体"/>
          <w:bCs/>
          <w:sz w:val="24"/>
        </w:rPr>
        <w:br w:type="page" w:clear="all"/>
      </w:r>
      <w:r>
        <w:rPr>
          <w:rFonts w:hint="eastAsia" w:ascii="宋体" w:hAnsi="宋体"/>
          <w:bCs/>
          <w:iCs/>
          <w:sz w:val="24"/>
        </w:rPr>
        <w:t xml:space="preserve">★</w:t>
      </w:r>
      <w:r>
        <w:rPr>
          <w:rFonts w:hint="eastAsia" w:ascii="黑体" w:hAnsi="黑体" w:eastAsia="黑体"/>
          <w:iCs/>
          <w:sz w:val="32"/>
          <w:szCs w:val="32"/>
        </w:rPr>
        <w:t xml:space="preserve">九、投标函</w:t>
      </w:r>
      <w:r>
        <w:rPr>
          <w:rFonts w:ascii="黑体" w:hAnsi="黑体" w:eastAsia="黑体"/>
          <w:iCs/>
          <w:sz w:val="32"/>
          <w:szCs w:val="32"/>
        </w:rPr>
      </w:r>
      <w:r/>
    </w:p>
    <w:p>
      <w:pPr>
        <w:pStyle w:val="758"/>
        <w:ind w:firstLine="0"/>
        <w:spacing w:before="0" w:after="0" w:line="420" w:lineRule="exact"/>
        <w:rPr>
          <w:rFonts w:ascii="宋体" w:hAnsi="宋体"/>
          <w:szCs w:val="21"/>
        </w:rPr>
      </w:pPr>
      <w:r>
        <w:rPr>
          <w:rFonts w:hint="eastAsia" w:ascii="宋体" w:hAnsi="宋体"/>
          <w:szCs w:val="21"/>
        </w:rPr>
        <w:t xml:space="preserve">致：苏州市公共资源交易中心吴江分中心</w:t>
      </w:r>
      <w:r>
        <w:rPr>
          <w:rFonts w:ascii="宋体" w:hAnsi="宋体"/>
          <w:szCs w:val="21"/>
        </w:rPr>
      </w:r>
      <w:r/>
    </w:p>
    <w:p>
      <w:pPr>
        <w:pStyle w:val="75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5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5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5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5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5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5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5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5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5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5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jc w:val="center"/>
        <w:spacing w:line="460" w:lineRule="exact"/>
        <w:rPr>
          <w:rFonts w:ascii="黑体" w:hAnsi="黑体" w:eastAsia="黑体"/>
          <w:b/>
          <w:sz w:val="32"/>
          <w:szCs w:val="32"/>
        </w:rPr>
      </w:pPr>
      <w:r>
        <w:rPr>
          <w:rFonts w:ascii="黑体" w:hAnsi="黑体" w:eastAsia="黑体"/>
          <w:b/>
          <w:sz w:val="32"/>
          <w:szCs w:val="32"/>
        </w:rPr>
      </w:r>
      <w:r/>
    </w:p>
    <w:p>
      <w:pPr>
        <w:pStyle w:val="660"/>
        <w:jc w:val="center"/>
        <w:spacing w:line="460" w:lineRule="exact"/>
        <w:rPr>
          <w:rFonts w:ascii="黑体" w:hAnsi="黑体" w:eastAsia="黑体"/>
          <w:b/>
          <w:sz w:val="32"/>
          <w:szCs w:val="32"/>
        </w:rPr>
      </w:pPr>
      <w:r>
        <w:rPr>
          <w:rFonts w:ascii="黑体" w:hAnsi="黑体" w:eastAsia="黑体"/>
          <w:b/>
          <w:sz w:val="32"/>
          <w:szCs w:val="32"/>
        </w:rPr>
      </w:r>
      <w:r/>
    </w:p>
    <w:p>
      <w:pPr>
        <w:pStyle w:val="660"/>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十、中小企业声明函（</w:t>
      </w:r>
      <w:r>
        <w:rPr>
          <w:rFonts w:hint="eastAsia" w:ascii="黑体" w:hAnsi="黑体" w:eastAsia="黑体"/>
          <w:b/>
          <w:color w:val="000000"/>
          <w:sz w:val="32"/>
          <w:szCs w:val="32"/>
        </w:rPr>
        <w:t xml:space="preserve">货物</w:t>
      </w:r>
      <w:r>
        <w:rPr>
          <w:rFonts w:hint="eastAsia" w:ascii="黑体" w:hAnsi="黑体" w:eastAsia="黑体"/>
          <w:b/>
          <w:sz w:val="32"/>
          <w:szCs w:val="32"/>
        </w:rPr>
        <w:t xml:space="preserve">）</w:t>
      </w:r>
      <w:r>
        <w:rPr>
          <w:rFonts w:hint="eastAsia" w:ascii="黑体" w:hAnsi="黑体" w:eastAsia="黑体"/>
          <w:b/>
          <w:sz w:val="32"/>
          <w:szCs w:val="32"/>
        </w:rPr>
      </w:r>
      <w:r/>
    </w:p>
    <w:p>
      <w:pPr>
        <w:pStyle w:val="660"/>
        <w:ind w:firstLine="480"/>
        <w:spacing w:line="4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rPr>
          <w:rFonts w:ascii="宋体" w:hAnsi="宋体" w:cs="宋体"/>
          <w:sz w:val="24"/>
          <w:szCs w:val="24"/>
        </w:rPr>
      </w:r>
      <w:r/>
    </w:p>
    <w:p>
      <w:pPr>
        <w:pStyle w:val="660"/>
        <w:ind w:firstLine="480"/>
        <w:spacing w:line="400" w:lineRule="exact"/>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）；制造商为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rPr>
          <w:rFonts w:ascii="宋体" w:hAnsi="宋体" w:cs="宋体"/>
          <w:sz w:val="24"/>
          <w:szCs w:val="24"/>
        </w:rPr>
      </w:r>
      <w:r/>
    </w:p>
    <w:p>
      <w:pPr>
        <w:pStyle w:val="660"/>
        <w:ind w:firstLine="480"/>
        <w:spacing w:line="400" w:lineRule="exact"/>
        <w:rPr>
          <w:rFonts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）；制造商为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rPr>
          <w:rFonts w:ascii="宋体" w:hAnsi="宋体" w:cs="宋体"/>
          <w:sz w:val="24"/>
          <w:szCs w:val="24"/>
        </w:rPr>
      </w:r>
      <w:r/>
    </w:p>
    <w:p>
      <w:pPr>
        <w:pStyle w:val="660"/>
        <w:ind w:firstLine="480"/>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660"/>
        <w:ind w:firstLine="480"/>
        <w:spacing w:line="4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660"/>
        <w:ind w:firstLine="480"/>
        <w:spacing w:line="4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660"/>
        <w:ind w:firstLine="480"/>
        <w:rPr>
          <w:rFonts w:ascii="宋体" w:hAnsi="宋体" w:cs="宋体"/>
          <w:sz w:val="24"/>
          <w:szCs w:val="24"/>
        </w:rPr>
      </w:pPr>
      <w:r>
        <w:rPr>
          <w:rFonts w:ascii="宋体" w:hAnsi="宋体" w:cs="宋体"/>
          <w:sz w:val="24"/>
          <w:szCs w:val="24"/>
        </w:rPr>
      </w:r>
      <w:r/>
    </w:p>
    <w:p>
      <w:pPr>
        <w:pStyle w:val="660"/>
        <w:ind w:firstLine="480"/>
        <w:rPr>
          <w:rFonts w:ascii="宋体" w:hAnsi="宋体" w:cs="宋体"/>
          <w:sz w:val="24"/>
          <w:szCs w:val="24"/>
        </w:rPr>
      </w:pP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企业名称（盖章）：</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660"/>
        <w:ind w:firstLine="480"/>
        <w:rPr>
          <w:rFonts w:ascii="宋体" w:hAnsi="宋体" w:cs="宋体"/>
          <w:sz w:val="24"/>
          <w:szCs w:val="24"/>
        </w:rPr>
      </w:pPr>
      <w:r>
        <w:rPr>
          <w:rFonts w:ascii="宋体" w:hAnsi="宋体" w:cs="宋体"/>
          <w:sz w:val="24"/>
          <w:szCs w:val="24"/>
        </w:rPr>
      </w:r>
      <w:r/>
    </w:p>
    <w:p>
      <w:pPr>
        <w:pStyle w:val="660"/>
        <w:jc w:val="left"/>
        <w:spacing w:line="460" w:lineRule="exact"/>
        <w:rPr>
          <w:rFonts w:hint="eastAsia" w:ascii="宋体" w:hAnsi="宋体" w:cs="宋体"/>
          <w:b/>
          <w:bCs/>
          <w:sz w:val="24"/>
          <w:szCs w:val="24"/>
        </w:rPr>
        <w:sectPr>
          <w:footnotePr/>
          <w:endnotePr/>
          <w:type w:val="nextPage"/>
          <w:pgSz w:w="11906" w:h="16838" w:orient="portrait"/>
          <w:pgMar w:top="1417" w:right="1587" w:bottom="1417" w:left="1366" w:header="851" w:footer="907" w:gutter="0"/>
          <w:cols w:num="1" w:sep="0" w:space="1701" w:equalWidth="1"/>
          <w:docGrid w:linePitch="360"/>
          <w:titlePg/>
        </w:sectPr>
      </w:pPr>
      <w:r>
        <w:rPr>
          <w:rFonts w:hint="eastAsia" w:ascii="宋体" w:hAnsi="宋体" w:cs="宋体"/>
          <w:b/>
          <w:bCs/>
          <w:sz w:val="24"/>
          <w:szCs w:val="24"/>
        </w:rPr>
        <w:t xml:space="preserve">备注：从业人员、营业收入、资产总额填报上一年度数据，无上一年度数据的新成立企业可不填报，如未对（中型企业、小型企业、微型企业）进行填写，视同非中小微企业，不可享受相应优惠</w:t>
      </w:r>
      <w:r>
        <w:rPr>
          <w:rFonts w:hint="eastAsia" w:ascii="宋体" w:hAnsi="宋体" w:cs="宋体"/>
          <w:sz w:val="24"/>
          <w:szCs w:val="24"/>
        </w:rPr>
        <w:t xml:space="preserve">。</w:t>
      </w:r>
      <w:r>
        <w:rPr>
          <w:rFonts w:hint="eastAsia" w:ascii="宋体" w:hAnsi="宋体" w:cs="宋体"/>
          <w:b/>
          <w:bCs/>
          <w:sz w:val="24"/>
          <w:szCs w:val="24"/>
        </w:rPr>
        <w:t xml:space="preserve">一个项目中包含多项货物采购的，须所有标的均为中小微企业生产产品才可给予价格折扣。</w:t>
      </w:r>
      <w:r>
        <w:rPr>
          <w:rFonts w:hint="eastAsia" w:ascii="宋体" w:hAnsi="宋体" w:cs="宋体"/>
          <w:b/>
          <w:bCs/>
          <w:sz w:val="24"/>
          <w:szCs w:val="24"/>
        </w:rPr>
      </w:r>
      <w:r/>
    </w:p>
    <w:p>
      <w:pPr>
        <w:pStyle w:val="660"/>
        <w:spacing w:line="280" w:lineRule="exact"/>
        <w:rPr>
          <w:rFonts w:ascii="宋体" w:hAnsi="宋体"/>
          <w:b/>
        </w:rPr>
      </w:pPr>
      <w:r>
        <w:rPr>
          <w:rFonts w:hint="eastAsia" w:ascii="宋体" w:hAnsi="宋体"/>
          <w:b/>
        </w:rPr>
        <w:t xml:space="preserve">附：中小企业划型标准规定</w:t>
      </w:r>
      <w:r>
        <w:rPr>
          <w:rFonts w:ascii="宋体" w:hAnsi="宋体"/>
          <w:b/>
        </w:rPr>
      </w:r>
      <w:r/>
    </w:p>
    <w:p>
      <w:pPr>
        <w:pStyle w:val="660"/>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66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660"/>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660"/>
        <w:jc w:val="left"/>
        <w:spacing w:line="460" w:lineRule="exact"/>
        <w:rPr>
          <w:rFonts w:ascii="黑体" w:hAnsi="黑体" w:eastAsia="黑体"/>
          <w:b/>
          <w:sz w:val="32"/>
          <w:szCs w:val="32"/>
        </w:rPr>
        <w:sectPr>
          <w:footnotePr/>
          <w:endnotePr/>
          <w:type w:val="nextPage"/>
          <w:pgSz w:w="11906" w:h="16838" w:orient="portrait"/>
          <w:pgMar w:top="1417" w:right="1587" w:bottom="1417" w:left="1366" w:header="851" w:footer="907" w:gutter="0"/>
          <w:cols w:num="1" w:sep="0" w:space="1701" w:equalWidth="1"/>
          <w:docGrid w:linePitch="360"/>
          <w:titlePg/>
        </w:sectPr>
      </w:pPr>
      <w:r>
        <w:rPr>
          <w:rFonts w:ascii="黑体" w:hAnsi="黑体" w:eastAsia="黑体"/>
          <w:b/>
          <w:sz w:val="32"/>
          <w:szCs w:val="32"/>
        </w:rPr>
      </w:r>
      <w:r/>
    </w:p>
    <w:p>
      <w:pPr>
        <w:pStyle w:val="660"/>
        <w:jc w:val="left"/>
        <w:spacing w:line="460" w:lineRule="exact"/>
        <w:rPr>
          <w:rFonts w:hint="eastAsia" w:ascii="黑体" w:hAnsi="黑体" w:eastAsia="黑体"/>
          <w:b/>
          <w:sz w:val="32"/>
          <w:szCs w:val="32"/>
        </w:rPr>
      </w:pPr>
      <w:r>
        <w:rPr>
          <w:rFonts w:hint="eastAsia" w:ascii="黑体" w:hAnsi="黑体" w:eastAsia="黑体"/>
          <w:b/>
          <w:sz w:val="32"/>
          <w:szCs w:val="32"/>
        </w:rPr>
        <w:t xml:space="preserve">十一、残疾人福利性单位声明函</w:t>
      </w:r>
      <w:r>
        <w:rPr>
          <w:rFonts w:hint="eastAsia" w:ascii="黑体" w:hAnsi="黑体" w:eastAsia="黑体"/>
          <w:b/>
          <w:sz w:val="32"/>
          <w:szCs w:val="32"/>
        </w:rPr>
      </w:r>
      <w:r/>
    </w:p>
    <w:p>
      <w:pPr>
        <w:pStyle w:val="66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6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60"/>
        <w:ind w:firstLine="480"/>
        <w:spacing w:line="588" w:lineRule="exact"/>
        <w:rPr>
          <w:rFonts w:hint="eastAsia" w:ascii="宋体" w:hAnsi="宋体"/>
          <w:sz w:val="24"/>
        </w:rPr>
      </w:pPr>
      <w:r>
        <w:rPr>
          <w:rFonts w:hint="eastAsia" w:ascii="宋体" w:hAnsi="宋体"/>
          <w:sz w:val="24"/>
        </w:rPr>
      </w:r>
      <w:r/>
    </w:p>
    <w:p>
      <w:pPr>
        <w:pStyle w:val="66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6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6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6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color w:val="000000"/>
          <w:sz w:val="32"/>
          <w:szCs w:val="32"/>
        </w:rPr>
      </w:pPr>
      <w:r/>
      <w:bookmarkEnd w:id="42"/>
      <w:r>
        <w:rPr>
          <w:rFonts w:hint="eastAsia" w:ascii="宋体" w:hAnsi="宋体"/>
          <w:bCs/>
          <w:iCs/>
          <w:sz w:val="24"/>
        </w:rPr>
        <w:t xml:space="preserve">★</w:t>
      </w:r>
      <w:r>
        <w:rPr>
          <w:rFonts w:hint="eastAsia" w:ascii="黑体" w:hAnsi="黑体" w:eastAsia="黑体"/>
          <w:b/>
          <w:color w:val="000000"/>
          <w:sz w:val="32"/>
          <w:szCs w:val="32"/>
        </w:rPr>
        <w:t xml:space="preserve">十二、投标分项报价表（分包号：***）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660"/>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660"/>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660"/>
              <w:rPr>
                <w:rFonts w:hint="eastAsia" w:ascii="宋体" w:hAnsi="宋体"/>
                <w:color w:val="000000"/>
                <w:sz w:val="24"/>
                <w:szCs w:val="24"/>
              </w:rPr>
            </w:pPr>
            <w:r>
              <w:rPr>
                <w:rFonts w:hint="eastAsia" w:ascii="宋体" w:hAnsi="宋体"/>
                <w:color w:val="000000"/>
                <w:sz w:val="24"/>
                <w:szCs w:val="24"/>
              </w:rPr>
            </w:r>
            <w:r/>
          </w:p>
        </w:tc>
      </w:tr>
    </w:tbl>
    <w:p>
      <w:pPr>
        <w:pStyle w:val="660"/>
        <w:rPr>
          <w:rFonts w:hint="eastAsia" w:ascii="宋体" w:hAnsi="宋体"/>
          <w:color w:val="000000"/>
          <w:sz w:val="24"/>
          <w:szCs w:val="24"/>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szCs w:val="21"/>
        </w:rPr>
        <w:t xml:space="preserve"> “</w:t>
      </w:r>
      <w:r>
        <w:rPr>
          <w:rFonts w:hint="eastAsia" w:ascii="宋体" w:hAnsi="宋体"/>
          <w:color w:val="000000"/>
          <w:sz w:val="24"/>
          <w:szCs w:val="21"/>
        </w:rPr>
        <w:t xml:space="preserve">投标分项报价表</w:t>
      </w:r>
      <w:r>
        <w:rPr>
          <w:rFonts w:hint="eastAsia"/>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4"/>
        </w:rPr>
      </w:r>
      <w:r/>
    </w:p>
    <w:p>
      <w:pPr>
        <w:pStyle w:val="660"/>
        <w:rPr>
          <w:rFonts w:hint="eastAsia" w:ascii="宋体" w:hAnsi="宋体"/>
          <w:sz w:val="24"/>
          <w:szCs w:val="24"/>
        </w:rPr>
      </w:pPr>
      <w:r>
        <w:rPr>
          <w:rFonts w:hint="eastAsia" w:ascii="宋体" w:hAnsi="宋体"/>
          <w:sz w:val="24"/>
          <w:szCs w:val="24"/>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rPr>
          <w:rFonts w:hint="eastAsia" w:ascii="宋体" w:hAnsi="宋体"/>
          <w:bCs/>
          <w:iCs/>
          <w:sz w:val="24"/>
        </w:rPr>
      </w:pPr>
      <w:r>
        <w:rPr>
          <w:rFonts w:hint="eastAsia" w:ascii="宋体" w:hAnsi="宋体"/>
          <w:bCs/>
          <w:iCs/>
          <w:sz w:val="24"/>
        </w:rPr>
        <w:br w:type="page" w:clear="all"/>
      </w:r>
      <w:r>
        <w:rPr>
          <w:rFonts w:hint="eastAsia" w:ascii="宋体" w:hAnsi="宋体"/>
          <w:bCs/>
          <w:iCs/>
          <w:sz w:val="24"/>
        </w:rPr>
      </w:r>
      <w:r/>
    </w:p>
    <w:p>
      <w:pPr>
        <w:pStyle w:val="660"/>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十三、技术要求响应及偏离表（分包号：**）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6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bl>
    <w:p>
      <w:pPr>
        <w:pStyle w:val="66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60"/>
        <w:jc w:val="center"/>
        <w:rPr>
          <w:rFonts w:hint="eastAsia" w:ascii="黑体" w:hAnsi="Arial" w:eastAsia="黑体"/>
          <w:b/>
          <w:sz w:val="36"/>
        </w:rPr>
      </w:pPr>
      <w:r>
        <w:rPr>
          <w:rFonts w:hint="eastAsia" w:ascii="黑体" w:hAnsi="Arial" w:eastAsia="黑体"/>
          <w:b/>
          <w:sz w:val="36"/>
        </w:rPr>
      </w:r>
      <w:r/>
    </w:p>
    <w:p>
      <w:pPr>
        <w:pStyle w:val="660"/>
        <w:jc w:val="center"/>
        <w:rPr>
          <w:rFonts w:hint="eastAsia" w:ascii="黑体" w:hAnsi="Arial" w:eastAsia="黑体"/>
          <w:b/>
          <w:sz w:val="36"/>
        </w:rPr>
      </w:pPr>
      <w:r>
        <w:rPr>
          <w:rFonts w:hint="eastAsia" w:ascii="黑体" w:hAnsi="Arial" w:eastAsia="黑体"/>
          <w:b/>
          <w:sz w:val="36"/>
        </w:rPr>
      </w:r>
      <w:r/>
    </w:p>
    <w:p>
      <w:pPr>
        <w:pStyle w:val="660"/>
        <w:jc w:val="center"/>
        <w:rPr>
          <w:rFonts w:hint="eastAsia" w:ascii="黑体" w:hAnsi="Arial" w:eastAsia="黑体"/>
          <w:b/>
          <w:sz w:val="36"/>
        </w:rPr>
      </w:pPr>
      <w:r>
        <w:rPr>
          <w:rFonts w:hint="eastAsia" w:ascii="黑体" w:hAnsi="Arial" w:eastAsia="黑体"/>
          <w:b/>
          <w:sz w:val="36"/>
        </w:rPr>
      </w:r>
      <w:r/>
    </w:p>
    <w:p>
      <w:pPr>
        <w:pStyle w:val="660"/>
        <w:jc w:val="center"/>
        <w:rPr>
          <w:rFonts w:hint="eastAsia" w:ascii="黑体" w:hAnsi="Arial" w:eastAsia="黑体"/>
          <w:b/>
          <w:sz w:val="36"/>
        </w:rPr>
      </w:pPr>
      <w:r>
        <w:rPr>
          <w:rFonts w:hint="eastAsia" w:ascii="黑体" w:hAnsi="Arial" w:eastAsia="黑体"/>
          <w:b/>
          <w:sz w:val="36"/>
        </w:rPr>
      </w:r>
      <w:r/>
    </w:p>
    <w:p>
      <w:pPr>
        <w:pStyle w:val="660"/>
        <w:rPr>
          <w:rFonts w:hint="eastAsia" w:ascii="黑体" w:hAnsi="Arial" w:eastAsia="黑体"/>
          <w:sz w:val="32"/>
        </w:rPr>
      </w:pPr>
      <w:r>
        <w:rPr>
          <w:rFonts w:hint="eastAsia" w:ascii="黑体" w:hAnsi="Arial" w:eastAsia="黑体"/>
          <w:sz w:val="32"/>
        </w:rPr>
      </w:r>
      <w:r/>
    </w:p>
    <w:p>
      <w:pPr>
        <w:pStyle w:val="660"/>
        <w:rPr>
          <w:rFonts w:hint="eastAsia" w:ascii="黑体" w:hAnsi="Arial" w:eastAsia="黑体"/>
          <w:sz w:val="32"/>
        </w:rPr>
      </w:pPr>
      <w:r>
        <w:rPr>
          <w:rFonts w:hint="eastAsia" w:ascii="黑体" w:hAnsi="Arial" w:eastAsia="黑体"/>
          <w:sz w:val="32"/>
        </w:rPr>
      </w:r>
      <w:r/>
    </w:p>
    <w:p>
      <w:pPr>
        <w:pStyle w:val="660"/>
        <w:rPr>
          <w:rFonts w:hint="eastAsia" w:ascii="黑体" w:hAnsi="Arial" w:eastAsia="黑体"/>
          <w:sz w:val="32"/>
        </w:rPr>
      </w:pPr>
      <w:r>
        <w:rPr>
          <w:rFonts w:hint="eastAsia" w:ascii="黑体" w:hAnsi="Arial" w:eastAsia="黑体"/>
          <w:sz w:val="32"/>
        </w:rPr>
      </w:r>
      <w:r/>
    </w:p>
    <w:p>
      <w:pPr>
        <w:pStyle w:val="660"/>
        <w:rPr>
          <w:rFonts w:hint="eastAsia" w:ascii="黑体" w:hAnsi="Arial" w:eastAsia="黑体"/>
          <w:sz w:val="32"/>
        </w:rPr>
      </w:pPr>
      <w:r>
        <w:rPr>
          <w:rFonts w:hint="eastAsia" w:ascii="黑体" w:hAnsi="Arial" w:eastAsia="黑体"/>
          <w:sz w:val="32"/>
        </w:rPr>
      </w:r>
      <w:r/>
    </w:p>
    <w:p>
      <w:pPr>
        <w:pStyle w:val="660"/>
        <w:rPr>
          <w:rFonts w:hint="eastAsia" w:ascii="黑体" w:hAnsi="Arial" w:eastAsia="黑体"/>
          <w:sz w:val="32"/>
        </w:rPr>
      </w:pPr>
      <w:r>
        <w:rPr>
          <w:rFonts w:hint="eastAsia" w:ascii="黑体" w:hAnsi="Arial" w:eastAsia="黑体"/>
          <w:sz w:val="32"/>
        </w:rPr>
      </w:r>
      <w:r/>
    </w:p>
    <w:p>
      <w:pPr>
        <w:pStyle w:val="660"/>
        <w:rPr>
          <w:rFonts w:hint="eastAsia" w:ascii="宋体" w:hAnsi="宋体"/>
          <w:bCs/>
          <w:iCs/>
          <w:sz w:val="24"/>
        </w:rPr>
      </w:pPr>
      <w:r/>
      <w:bookmarkStart w:id="46" w:name="_Hlt26955054"/>
      <w:r/>
      <w:bookmarkEnd w:id="46"/>
      <w:r>
        <w:rPr>
          <w:rFonts w:hint="eastAsia" w:ascii="宋体" w:hAnsi="宋体"/>
          <w:bCs/>
          <w:iCs/>
          <w:sz w:val="24"/>
        </w:rPr>
        <w:br w:type="page" w:clear="all"/>
      </w:r>
      <w:r>
        <w:rPr>
          <w:rFonts w:hint="eastAsia" w:ascii="宋体" w:hAnsi="宋体"/>
          <w:bCs/>
          <w:iCs/>
          <w:sz w:val="24"/>
        </w:rPr>
      </w:r>
      <w:r/>
    </w:p>
    <w:p>
      <w:pPr>
        <w:pStyle w:val="660"/>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660"/>
              <w:jc w:val="center"/>
              <w:rPr>
                <w:rFonts w:hint="eastAsia" w:ascii="宋体" w:hAnsi="宋体"/>
                <w:sz w:val="24"/>
                <w:szCs w:val="24"/>
              </w:rPr>
            </w:pPr>
            <w:r/>
            <w:bookmarkStart w:id="47" w:name="_Hlt26609391"/>
            <w:r/>
            <w:bookmarkEnd w:id="47"/>
            <w:r/>
            <w:bookmarkStart w:id="48" w:name="_Hlt26955064"/>
            <w:r/>
            <w:bookmarkEnd w:id="48"/>
            <w:r/>
            <w:bookmarkStart w:id="49" w:name="_Hlt24879081"/>
            <w:r/>
            <w:bookmarkEnd w:id="49"/>
            <w:r/>
            <w:bookmarkStart w:id="50" w:name="_Hlt26955056"/>
            <w:r/>
            <w:bookmarkEnd w:id="50"/>
            <w:r/>
            <w:bookmarkStart w:id="51" w:name="_Hlt26580838"/>
            <w:r/>
            <w:bookmarkEnd w:id="51"/>
            <w:r/>
            <w:bookmarkStart w:id="52" w:name="_Hlt26782999"/>
            <w:r/>
            <w:bookmarkEnd w:id="52"/>
            <w:r/>
            <w:bookmarkStart w:id="53" w:name="_Hlt26671372"/>
            <w:r/>
            <w:bookmarkEnd w:id="53"/>
            <w:r/>
            <w:bookmarkStart w:id="54" w:name="_Hlt26671343"/>
            <w:r/>
            <w:bookmarkEnd w:id="54"/>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83"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2"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614"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6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bl>
    <w:p>
      <w:pPr>
        <w:pStyle w:val="66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60"/>
        <w:spacing w:line="480" w:lineRule="auto"/>
        <w:rPr>
          <w:rFonts w:hint="eastAsia" w:ascii="宋体" w:hAnsi="宋体"/>
          <w:sz w:val="24"/>
        </w:rPr>
      </w:pPr>
      <w:r>
        <w:rPr>
          <w:rFonts w:hint="eastAsia" w:ascii="宋体" w:hAnsi="宋体"/>
          <w:sz w:val="24"/>
        </w:rPr>
      </w:r>
      <w:r/>
    </w:p>
    <w:p>
      <w:pPr>
        <w:pStyle w:val="660"/>
        <w:spacing w:line="480" w:lineRule="auto"/>
        <w:rPr>
          <w:rFonts w:hint="eastAsia" w:ascii="仿宋_GB2312" w:hAnsi="Arial"/>
          <w:sz w:val="30"/>
        </w:rPr>
      </w:pPr>
      <w:r>
        <w:rPr>
          <w:rFonts w:hint="eastAsia" w:ascii="仿宋_GB2312" w:hAnsi="Arial"/>
          <w:sz w:val="30"/>
        </w:rPr>
      </w:r>
      <w:r/>
    </w:p>
    <w:p>
      <w:pPr>
        <w:pStyle w:val="674"/>
        <w:ind w:firstLine="0"/>
        <w:rPr>
          <w:rFonts w:hint="eastAsia" w:ascii="宋体" w:hAnsi="宋体"/>
          <w:sz w:val="24"/>
        </w:rPr>
      </w:pPr>
      <w:r/>
      <w:bookmarkStart w:id="55" w:name="_Hlt26671374"/>
      <w:r/>
      <w:bookmarkEnd w:id="55"/>
      <w:r/>
      <w:bookmarkStart w:id="56" w:name="_Hlt26609389"/>
      <w:r/>
      <w:bookmarkEnd w:id="56"/>
      <w:r/>
      <w:bookmarkStart w:id="57" w:name="_Hlt26955066"/>
      <w:r/>
      <w:bookmarkEnd w:id="57"/>
      <w:r/>
      <w:bookmarkStart w:id="58" w:name="_Toc462564146"/>
      <w:r>
        <w:rPr>
          <w:rFonts w:hint="eastAsia" w:ascii="宋体" w:hAnsi="宋体"/>
          <w:sz w:val="24"/>
        </w:rPr>
      </w:r>
      <w:r/>
    </w:p>
    <w:p>
      <w:pPr>
        <w:pStyle w:val="660"/>
        <w:jc w:val="center"/>
        <w:rPr>
          <w:rFonts w:hint="eastAsia" w:ascii="黑体" w:hAnsi="黑体" w:eastAsia="黑体"/>
          <w:b/>
          <w:sz w:val="32"/>
          <w:szCs w:val="32"/>
        </w:rPr>
      </w:pPr>
      <w:r/>
      <w:bookmarkEnd w:id="58"/>
      <w:r/>
      <w:bookmarkStart w:id="59" w:name="_格式2__法定代表人授权书"/>
      <w:r/>
      <w:bookmarkEnd w:id="59"/>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rPr>
          <w:rFonts w:hint="eastAsia" w:ascii="黑体" w:hAnsi="黑体" w:eastAsia="黑体"/>
          <w:b/>
          <w:sz w:val="32"/>
          <w:szCs w:val="32"/>
        </w:rPr>
      </w:pPr>
      <w:r>
        <w:rPr>
          <w:rFonts w:hint="eastAsia" w:ascii="黑体" w:hAnsi="黑体" w:eastAsia="黑体"/>
          <w:b/>
          <w:sz w:val="32"/>
          <w:szCs w:val="32"/>
        </w:rPr>
      </w:r>
      <w:r/>
    </w:p>
    <w:p>
      <w:pPr>
        <w:pStyle w:val="660"/>
        <w:rPr>
          <w:rFonts w:ascii="黑体" w:hAnsi="黑体" w:eastAsia="黑体"/>
          <w:b/>
          <w:sz w:val="32"/>
          <w:szCs w:val="32"/>
        </w:rPr>
      </w:pPr>
      <w:r>
        <w:rPr>
          <w:rFonts w:ascii="黑体" w:hAnsi="黑体" w:eastAsia="黑体"/>
          <w:b/>
          <w:sz w:val="32"/>
          <w:szCs w:val="32"/>
        </w:rPr>
      </w:r>
      <w:r/>
    </w:p>
    <w:p>
      <w:pPr>
        <w:pStyle w:val="660"/>
        <w:rPr>
          <w:rFonts w:ascii="黑体" w:hAnsi="黑体" w:eastAsia="黑体"/>
          <w:b/>
          <w:sz w:val="32"/>
          <w:szCs w:val="32"/>
        </w:rPr>
      </w:pPr>
      <w:r>
        <w:rPr>
          <w:rFonts w:ascii="黑体" w:hAnsi="黑体" w:eastAsia="黑体"/>
          <w:b/>
          <w:sz w:val="32"/>
          <w:szCs w:val="32"/>
        </w:rPr>
      </w:r>
      <w:r/>
    </w:p>
    <w:p>
      <w:pPr>
        <w:pStyle w:val="660"/>
        <w:rPr>
          <w:rFonts w:ascii="黑体" w:hAnsi="黑体" w:eastAsia="黑体"/>
          <w:b/>
          <w:sz w:val="32"/>
          <w:szCs w:val="32"/>
        </w:rPr>
      </w:pPr>
      <w:r>
        <w:rPr>
          <w:rFonts w:ascii="黑体" w:hAnsi="黑体" w:eastAsia="黑体"/>
          <w:b/>
          <w:sz w:val="32"/>
          <w:szCs w:val="32"/>
        </w:rPr>
      </w:r>
      <w:r/>
    </w:p>
    <w:p>
      <w:pPr>
        <w:pStyle w:val="660"/>
        <w:rPr>
          <w:rFonts w:ascii="黑体" w:hAnsi="黑体" w:eastAsia="黑体"/>
          <w:b/>
          <w:sz w:val="32"/>
          <w:szCs w:val="32"/>
        </w:rPr>
      </w:pPr>
      <w:r>
        <w:rPr>
          <w:rFonts w:ascii="黑体" w:hAnsi="黑体" w:eastAsia="黑体"/>
          <w:b/>
          <w:sz w:val="32"/>
          <w:szCs w:val="32"/>
        </w:rPr>
      </w:r>
      <w:r/>
    </w:p>
    <w:p>
      <w:pPr>
        <w:pStyle w:val="660"/>
        <w:jc w:val="center"/>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rPr>
          <w:rFonts w:hint="eastAsia" w:eastAsia="仿宋_GB2312"/>
          <w:iCs/>
          <w:sz w:val="24"/>
          <w:szCs w:val="20"/>
        </w:rPr>
      </w:r>
      <w:r/>
    </w:p>
    <w:p>
      <w:pPr>
        <w:pStyle w:val="660"/>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60"/>
        <w:ind w:firstLine="480"/>
        <w:rPr>
          <w:sz w:val="24"/>
          <w:szCs w:val="24"/>
        </w:rPr>
      </w:pPr>
      <w:r>
        <w:rPr>
          <w:rFonts w:hint="eastAsia" w:ascii="宋体" w:hAnsi="宋体"/>
          <w:sz w:val="24"/>
          <w:szCs w:val="24"/>
        </w:rPr>
        <w:t xml:space="preserve">项目名称：</w:t>
      </w:r>
      <w:r>
        <w:rPr>
          <w:sz w:val="24"/>
          <w:szCs w:val="24"/>
        </w:rPr>
      </w:r>
      <w:r/>
    </w:p>
    <w:p>
      <w:pPr>
        <w:pStyle w:val="66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5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60"/>
        <w:rPr>
          <w:rFonts w:ascii="宋体" w:hAnsi="宋体"/>
          <w:sz w:val="24"/>
          <w:szCs w:val="24"/>
        </w:rPr>
      </w:pPr>
      <w:r>
        <w:rPr>
          <w:rFonts w:ascii="宋体" w:hAnsi="宋体"/>
          <w:sz w:val="24"/>
          <w:szCs w:val="24"/>
        </w:rPr>
      </w:r>
      <w:r/>
    </w:p>
    <w:p>
      <w:pPr>
        <w:pStyle w:val="66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660"/>
        <w:ind w:firstLine="480"/>
        <w:rPr>
          <w:rFonts w:hint="eastAsia" w:ascii="宋体" w:hAnsi="宋体"/>
          <w:sz w:val="24"/>
          <w:szCs w:val="24"/>
        </w:rPr>
      </w:pPr>
      <w:r>
        <w:rPr>
          <w:rFonts w:hint="eastAsia" w:ascii="宋体" w:hAnsi="宋体"/>
          <w:sz w:val="24"/>
          <w:szCs w:val="24"/>
        </w:rPr>
      </w:r>
      <w:r/>
    </w:p>
    <w:p>
      <w:pPr>
        <w:pStyle w:val="660"/>
        <w:ind w:firstLine="480"/>
        <w:spacing w:line="360" w:lineRule="auto"/>
        <w:rPr>
          <w:rFonts w:ascii="宋体" w:hAnsi="宋体" w:cs="宋体"/>
          <w:sz w:val="24"/>
        </w:rPr>
      </w:pPr>
      <w:r>
        <w:rPr>
          <w:rFonts w:ascii="宋体" w:hAnsi="宋体" w:cs="宋体"/>
          <w:sz w:val="24"/>
        </w:rPr>
      </w:r>
      <w:r/>
    </w:p>
    <w:p>
      <w:pPr>
        <w:pStyle w:val="660"/>
        <w:ind w:firstLine="480"/>
        <w:rPr>
          <w:rFonts w:ascii="宋体" w:hAnsi="宋体"/>
          <w:sz w:val="24"/>
          <w:szCs w:val="24"/>
        </w:rPr>
      </w:pPr>
      <w:r>
        <w:rPr>
          <w:rFonts w:ascii="宋体" w:hAnsi="宋体"/>
          <w:sz w:val="24"/>
          <w:szCs w:val="24"/>
        </w:rPr>
      </w:r>
      <w:r/>
    </w:p>
    <w:p>
      <w:pPr>
        <w:pStyle w:val="660"/>
        <w:ind w:firstLine="480"/>
        <w:rPr>
          <w:rFonts w:ascii="宋体" w:hAnsi="宋体"/>
          <w:sz w:val="24"/>
          <w:szCs w:val="24"/>
        </w:rPr>
      </w:pPr>
      <w:r>
        <w:rPr>
          <w:rFonts w:ascii="宋体" w:hAnsi="宋体"/>
          <w:sz w:val="24"/>
          <w:szCs w:val="24"/>
        </w:rPr>
      </w:r>
      <w:r/>
    </w:p>
    <w:p>
      <w:pPr>
        <w:pStyle w:val="660"/>
        <w:ind w:firstLine="480"/>
        <w:rPr>
          <w:rFonts w:ascii="宋体" w:hAnsi="宋体"/>
          <w:sz w:val="24"/>
          <w:szCs w:val="24"/>
        </w:rPr>
      </w:pPr>
      <w:r>
        <w:rPr>
          <w:rFonts w:ascii="宋体" w:hAnsi="宋体"/>
          <w:sz w:val="24"/>
          <w:szCs w:val="24"/>
        </w:rPr>
      </w:r>
      <w:r/>
    </w:p>
    <w:p>
      <w:pPr>
        <w:pStyle w:val="660"/>
        <w:ind w:firstLine="480"/>
        <w:rPr>
          <w:rFonts w:ascii="宋体" w:hAnsi="宋体"/>
          <w:sz w:val="24"/>
          <w:szCs w:val="24"/>
        </w:rPr>
      </w:pPr>
      <w:r>
        <w:rPr>
          <w:rFonts w:ascii="宋体" w:hAnsi="宋体"/>
          <w:sz w:val="24"/>
          <w:szCs w:val="24"/>
        </w:rPr>
      </w:r>
      <w:r/>
    </w:p>
    <w:p>
      <w:pPr>
        <w:pStyle w:val="660"/>
        <w:ind w:firstLine="480"/>
        <w:rPr>
          <w:rFonts w:ascii="宋体" w:hAnsi="宋体"/>
          <w:sz w:val="24"/>
          <w:szCs w:val="24"/>
        </w:rPr>
      </w:pPr>
      <w:r>
        <w:rPr>
          <w:rFonts w:ascii="宋体" w:hAnsi="宋体"/>
          <w:sz w:val="24"/>
          <w:szCs w:val="24"/>
        </w:rPr>
      </w:r>
      <w:r/>
    </w:p>
    <w:p>
      <w:pPr>
        <w:pStyle w:val="660"/>
        <w:ind w:firstLine="480"/>
        <w:rPr>
          <w:rFonts w:ascii="宋体" w:hAnsi="宋体"/>
          <w:sz w:val="24"/>
          <w:szCs w:val="24"/>
        </w:rPr>
      </w:pPr>
      <w:r>
        <w:rPr>
          <w:rFonts w:ascii="宋体" w:hAnsi="宋体"/>
          <w:sz w:val="24"/>
          <w:szCs w:val="24"/>
        </w:rPr>
      </w:r>
      <w:r/>
    </w:p>
    <w:p>
      <w:pPr>
        <w:pStyle w:val="755"/>
        <w:tabs>
          <w:tab w:val="left" w:pos="5250" w:leader="none"/>
        </w:tabs>
        <w:rPr>
          <w:rFonts w:hint="eastAsia"/>
        </w:rPr>
      </w:pPr>
      <w:r>
        <w:rPr>
          <w:rFonts w:hint="eastAsia"/>
        </w:r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660"/>
        <w:jc w:val="center"/>
        <w:rPr>
          <w:b/>
          <w:sz w:val="28"/>
          <w:szCs w:val="28"/>
          <w:lang w:bidi="ar"/>
        </w:rPr>
      </w:pPr>
      <w:r>
        <w:rPr>
          <w:rFonts w:hint="eastAsia" w:ascii="宋体" w:hAnsi="宋体" w:cs="仿宋"/>
          <w:b/>
          <w:bCs/>
          <w:sz w:val="32"/>
          <w:szCs w:val="32"/>
        </w:rPr>
        <w:br w:type="page" w:clear="all"/>
      </w:r>
      <w:r>
        <w:rPr>
          <w:rFonts w:hint="eastAsia" w:ascii="黑体" w:hAnsi="黑体" w:eastAsia="黑体" w:cs="Times New Roman"/>
          <w:b/>
          <w:iCs/>
          <w:sz w:val="32"/>
          <w:szCs w:val="32"/>
        </w:rPr>
        <w:t xml:space="preserve">★</w:t>
      </w:r>
      <w:r>
        <w:rPr>
          <w:rFonts w:hint="eastAsia" w:ascii="黑体" w:hAnsi="黑体" w:eastAsia="黑体" w:cs="Times New Roman"/>
          <w:b/>
          <w:iCs/>
          <w:sz w:val="32"/>
          <w:szCs w:val="32"/>
          <w:lang w:val="en-US" w:eastAsia="zh-CN"/>
        </w:rPr>
        <w:t xml:space="preserve">十六</w:t>
      </w:r>
      <w:r>
        <w:rPr>
          <w:rFonts w:hint="eastAsia" w:ascii="黑体" w:hAnsi="黑体" w:eastAsia="黑体" w:cs="Times New Roman"/>
          <w:b/>
          <w:iCs/>
          <w:sz w:val="32"/>
          <w:szCs w:val="32"/>
        </w:rPr>
        <w:t xml:space="preserve">、关于符合本国产品标准的声明函</w:t>
      </w:r>
      <w:r>
        <w:rPr>
          <w:b/>
          <w:sz w:val="28"/>
          <w:szCs w:val="28"/>
          <w:lang w:bidi="ar"/>
        </w:rPr>
      </w:r>
      <w:r/>
    </w:p>
    <w:p>
      <w:pPr>
        <w:pStyle w:val="723"/>
        <w:ind w:firstLine="3720"/>
        <w:spacing w:before="0" w:after="0" w:line="0" w:lineRule="atLeast"/>
        <w:rPr>
          <w:color w:val="ff0000"/>
          <w:szCs w:val="24"/>
        </w:rPr>
      </w:pPr>
      <w:r>
        <w:rPr>
          <w:color w:val="ff0000"/>
        </w:rPr>
        <w:t xml:space="preserve"> </w:t>
      </w:r>
      <w:r>
        <w:rPr>
          <w:color w:val="ff0000"/>
          <w:szCs w:val="24"/>
        </w:rPr>
      </w:r>
      <w:r/>
    </w:p>
    <w:p>
      <w:pPr>
        <w:pStyle w:val="723"/>
        <w:ind w:firstLine="420"/>
        <w:spacing w:before="0" w:after="0" w:line="360" w:lineRule="auto"/>
        <w:rPr>
          <w:rFonts w:eastAsia="宋体"/>
          <w:color w:val="000000"/>
          <w:szCs w:val="24"/>
        </w:rPr>
      </w:pPr>
      <w:r>
        <w:rPr>
          <w:rFonts w:eastAsia="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000000"/>
          <w:szCs w:val="24"/>
        </w:rPr>
      </w:r>
      <w:r/>
    </w:p>
    <w:p>
      <w:pPr>
        <w:pStyle w:val="723"/>
        <w:ind w:firstLine="420"/>
        <w:spacing w:before="0" w:after="30" w:line="360" w:lineRule="auto"/>
        <w:rPr>
          <w:rFonts w:eastAsia="宋体"/>
          <w:color w:val="000000"/>
        </w:rPr>
      </w:pP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4686300</wp:posOffset>
                </wp:positionH>
                <wp:positionV relativeFrom="paragraph">
                  <wp:posOffset>53340</wp:posOffset>
                </wp:positionV>
                <wp:extent cx="728345" cy="24765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5;o:allowoverlap:true;o:allowincell:true;mso-position-horizontal-relative:text;margin-left:369.0pt;mso-position-horizontal:absolute;mso-position-vertical-relative:text;margin-top:4.2pt;mso-position-vertical:absolute;width:57.3pt;height:19.5pt;mso-wrap-distance-left:9.0pt;mso-wrap-distance-top:0.0pt;mso-wrap-distance-right:9.0pt;mso-wrap-distance-bottom:0.0pt;" stroked="f">
                <v:path textboxrect="0,0,0,0"/>
                <v:imagedata r:id="rId86"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1270000</wp:posOffset>
                </wp:positionH>
                <wp:positionV relativeFrom="paragraph">
                  <wp:posOffset>843915</wp:posOffset>
                </wp:positionV>
                <wp:extent cx="728345" cy="24765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9;o:allowoverlap:true;o:allowincell:true;mso-position-horizontal-relative:text;margin-left:100.0pt;mso-position-horizontal:absolute;mso-position-vertical-relative:text;margin-top:66.5pt;mso-position-vertical:absolute;width:57.3pt;height:19.5pt;mso-wrap-distance-left:9.0pt;mso-wrap-distance-top:0.0pt;mso-wrap-distance-right:9.0pt;mso-wrap-distance-bottom:0.0pt;" stroked="f">
                <v:path textboxrect="0,0,0,0"/>
                <v:imagedata r:id="rId87"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2510155</wp:posOffset>
                </wp:positionH>
                <wp:positionV relativeFrom="paragraph">
                  <wp:posOffset>843915</wp:posOffset>
                </wp:positionV>
                <wp:extent cx="728345" cy="24765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20;o:allowoverlap:true;o:allowincell:true;mso-position-horizontal-relative:text;margin-left:197.6pt;mso-position-horizontal:absolute;mso-position-vertical-relative:text;margin-top:66.5pt;mso-position-vertical:absolute;width:57.3pt;height:19.5pt;mso-wrap-distance-left:9.0pt;mso-wrap-distance-top:0.0pt;mso-wrap-distance-right:9.0pt;mso-wrap-distance-bottom:0.0pt;" stroked="f">
                <v:path textboxrect="0,0,0,0"/>
                <v:imagedata r:id="rId88"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2384425</wp:posOffset>
                </wp:positionH>
                <wp:positionV relativeFrom="paragraph">
                  <wp:posOffset>472440</wp:posOffset>
                </wp:positionV>
                <wp:extent cx="728345" cy="24765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6;o:allowoverlap:true;o:allowincell:true;mso-position-horizontal-relative:text;margin-left:187.8pt;mso-position-horizontal:absolute;mso-position-vertical-relative:text;margin-top:37.2pt;mso-position-vertical:absolute;width:57.3pt;height:19.5pt;mso-wrap-distance-left:9.0pt;mso-wrap-distance-top:0.0pt;mso-wrap-distance-right:9.0pt;mso-wrap-distance-bottom:0.0pt;" stroked="f">
                <v:path textboxrect="0,0,0,0"/>
                <v:imagedata r:id="rId89"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4686300</wp:posOffset>
                </wp:positionH>
                <wp:positionV relativeFrom="paragraph">
                  <wp:posOffset>472440</wp:posOffset>
                </wp:positionV>
                <wp:extent cx="728345" cy="24765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8;o:allowoverlap:true;o:allowincell:true;mso-position-horizontal-relative:text;margin-left:369.0pt;mso-position-horizontal:absolute;mso-position-vertical-relative:text;margin-top:37.2pt;mso-position-vertical:absolute;width:57.3pt;height:19.5pt;mso-wrap-distance-left:9.0pt;mso-wrap-distance-top:0.0pt;mso-wrap-distance-right:9.0pt;mso-wrap-distance-bottom:0.0pt;" stroked="f">
                <v:path textboxrect="0,0,0,0"/>
                <v:imagedata r:id="rId90"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3476625</wp:posOffset>
                </wp:positionH>
                <wp:positionV relativeFrom="paragraph">
                  <wp:posOffset>472440</wp:posOffset>
                </wp:positionV>
                <wp:extent cx="728345" cy="24765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7;o:allowoverlap:true;o:allowincell:true;mso-position-horizontal-relative:text;margin-left:273.8pt;mso-position-horizontal:absolute;mso-position-vertical-relative:text;margin-top:37.2pt;mso-position-vertical:absolute;width:57.3pt;height:19.5pt;mso-wrap-distance-left:9.0pt;mso-wrap-distance-top:0.0pt;mso-wrap-distance-right:9.0pt;mso-wrap-distance-bottom:0.0pt;" stroked="f">
                <v:path textboxrect="0,0,0,0"/>
                <v:imagedata r:id="rId91" o:title=""/>
              </v:shape>
            </w:pict>
          </mc:Fallback>
        </mc:AlternateContent>
      </w:r>
      <w:r>
        <w:rPr>
          <w:rFonts w:eastAsia="宋体"/>
          <w:color w:val="000000"/>
          <w:shd w:val="clear" w:color="auto" w:fill="ffffff"/>
        </w:rPr>
        <w:t xml:space="preserve">1.</w:t>
      </w:r>
      <w:r>
        <w:rPr>
          <w:rStyle w:val="779"/>
          <w:rFonts w:eastAsia="宋体"/>
          <w:i w:val="0"/>
          <w:color w:val="000000"/>
          <w:u w:val="single"/>
          <w:shd w:val="clear" w:color="auto" w:fill="ffffff"/>
        </w:rPr>
        <w:t xml:space="preserve">（产品名称1）</w:t>
      </w:r>
      <w:r>
        <w:rPr>
          <w:rStyle w:val="779"/>
          <w:rFonts w:eastAsia="宋体"/>
          <w:i w:val="0"/>
          <w:color w:val="000000"/>
          <w:shd w:val="clear" w:color="auto" w:fill="ffffff"/>
          <w:vertAlign w:val="superscript"/>
        </w:rPr>
        <w:t xml:space="preserve">1</w:t>
      </w:r>
      <w:r>
        <w:rPr>
          <w:rFonts w:eastAsia="宋体"/>
          <w:color w:val="000000"/>
          <w:shd w:val="clear" w:color="auto" w:fill="ffffff"/>
        </w:rPr>
        <w:t xml:space="preserve">，生产厂为</w:t>
      </w:r>
      <w:r>
        <w:rPr>
          <w:rStyle w:val="779"/>
          <w:rFonts w:eastAsia="宋体"/>
          <w:i w:val="0"/>
          <w:color w:val="000000"/>
          <w:u w:val="single"/>
          <w:shd w:val="clear" w:color="auto" w:fill="ffffff"/>
        </w:rPr>
        <w:t xml:space="preserve">（厂名）</w:t>
      </w:r>
      <w:r>
        <w:rPr>
          <w:rStyle w:val="779"/>
          <w:rFonts w:eastAsia="宋体"/>
          <w:i w:val="0"/>
          <w:color w:val="000000"/>
          <w:shd w:val="clear" w:color="auto" w:fill="ffffff"/>
          <w:vertAlign w:val="superscript"/>
        </w:rPr>
        <w:t xml:space="preserve">2</w:t>
      </w:r>
      <w:r>
        <w:rPr>
          <w:rFonts w:eastAsia="宋体"/>
          <w:color w:val="000000"/>
          <w:shd w:val="clear" w:color="auto" w:fill="ffffff"/>
        </w:rPr>
        <w:t xml:space="preserve">，厂址为</w:t>
      </w:r>
      <w:r>
        <w:rPr>
          <w:rStyle w:val="779"/>
          <w:rFonts w:eastAsia="宋体"/>
          <w:i w:val="0"/>
          <w:color w:val="000000"/>
          <w:u w:val="single"/>
          <w:shd w:val="clear" w:color="auto" w:fill="ffffff"/>
        </w:rPr>
        <w:t xml:space="preserve">（生产厂址）</w:t>
      </w:r>
      <w:r>
        <w:rPr>
          <w:rFonts w:eastAsia="宋体"/>
          <w:color w:val="000000"/>
          <w:shd w:val="clear" w:color="auto" w:fill="ffffff"/>
        </w:rPr>
        <w:t xml:space="preserve">。</w:t>
      </w:r>
      <w:r>
        <w:rPr>
          <w:rFonts w:eastAsia="宋体"/>
          <w:color w:val="000000"/>
          <w:u w:val="single"/>
          <w:shd w:val="clear" w:color="auto" w:fill="ffffff"/>
        </w:rPr>
        <w:t xml:space="preserve"> </w:t>
      </w:r>
      <w:r>
        <w:rPr>
          <w:rStyle w:val="779"/>
          <w:rFonts w:eastAsia="宋体"/>
          <w:i w:val="0"/>
          <w:color w:val="000000"/>
          <w:u w:val="single"/>
          <w:shd w:val="clear" w:color="auto" w:fill="ffffff"/>
        </w:rPr>
        <w:t xml:space="preserve">（产品名称1） </w:t>
      </w:r>
      <w:r>
        <w:rPr>
          <w:rFonts w:eastAsia="宋体"/>
          <w:color w:val="000000"/>
          <w:shd w:val="clear" w:color="auto" w:fill="ffffff"/>
        </w:rPr>
        <w:t xml:space="preserve">的中国境内生产的组件成本占比≥</w:t>
      </w:r>
      <w:r>
        <w:rPr>
          <w:rStyle w:val="779"/>
          <w:rFonts w:eastAsia="宋体"/>
          <w:i w:val="0"/>
          <w:color w:val="000000"/>
          <w:u w:val="single"/>
          <w:shd w:val="clear" w:color="auto" w:fill="ffffff"/>
        </w:rPr>
        <w:t xml:space="preserve">（规定比例）</w:t>
      </w:r>
      <w:r>
        <w:rPr>
          <w:rStyle w:val="779"/>
          <w:rFonts w:eastAsia="宋体"/>
          <w:i w:val="0"/>
          <w:color w:val="000000"/>
          <w:shd w:val="clear" w:color="auto" w:fill="ffffff"/>
          <w:vertAlign w:val="superscript"/>
        </w:rPr>
        <w:t xml:space="preserve">3</w:t>
      </w:r>
      <w:r>
        <w:rPr>
          <w:rFonts w:eastAsia="宋体"/>
          <w:color w:val="000000"/>
          <w:shd w:val="clear" w:color="auto" w:fill="ffffff"/>
        </w:rPr>
        <w:t xml:space="preserve">。</w:t>
      </w:r>
      <w:r>
        <w:rPr>
          <w:rStyle w:val="779"/>
          <w:rFonts w:eastAsia="宋体"/>
          <w:i w:val="0"/>
          <w:color w:val="000000"/>
          <w:u w:val="single"/>
          <w:shd w:val="clear" w:color="auto" w:fill="ffffff"/>
        </w:rPr>
        <w:t xml:space="preserve">（产品名称1）</w:t>
      </w:r>
      <w:r>
        <w:rPr>
          <w:rFonts w:eastAsia="宋体"/>
          <w:color w:val="000000"/>
          <w:shd w:val="clear" w:color="auto" w:fill="ffffff"/>
        </w:rPr>
        <w:t xml:space="preserve">的</w:t>
      </w:r>
      <w:r>
        <w:rPr>
          <w:rStyle w:val="779"/>
          <w:rFonts w:eastAsia="宋体"/>
          <w:i w:val="0"/>
          <w:color w:val="000000"/>
          <w:u w:val="single"/>
          <w:shd w:val="clear" w:color="auto" w:fill="ffffff"/>
        </w:rPr>
        <w:t xml:space="preserve">（关键组件）</w:t>
      </w:r>
      <w:r>
        <w:rPr>
          <w:rStyle w:val="779"/>
          <w:rFonts w:eastAsia="宋体"/>
          <w:i w:val="0"/>
          <w:color w:val="000000"/>
          <w:shd w:val="clear" w:color="auto" w:fill="ffffff"/>
          <w:vertAlign w:val="superscript"/>
        </w:rPr>
        <w:t xml:space="preserve">4</w:t>
      </w:r>
      <w:r>
        <w:rPr>
          <w:rFonts w:eastAsia="宋体"/>
          <w:color w:val="000000"/>
          <w:shd w:val="clear" w:color="auto" w:fill="ffffff"/>
        </w:rPr>
        <w:t xml:space="preserve">在中国境内生产。</w:t>
      </w:r>
      <w:r>
        <w:rPr>
          <w:rStyle w:val="779"/>
          <w:rFonts w:eastAsia="宋体"/>
          <w:i w:val="0"/>
          <w:color w:val="000000"/>
          <w:u w:val="single"/>
          <w:shd w:val="clear" w:color="auto" w:fill="ffffff"/>
        </w:rPr>
        <w:t xml:space="preserve">（产品名称1）</w:t>
      </w:r>
      <w:r>
        <w:rPr>
          <w:rFonts w:eastAsia="宋体"/>
          <w:color w:val="000000"/>
          <w:shd w:val="clear" w:color="auto" w:fill="ffffff"/>
        </w:rPr>
        <w:t xml:space="preserve">的</w:t>
      </w:r>
      <w:r>
        <w:rPr>
          <w:rStyle w:val="779"/>
          <w:rFonts w:eastAsia="宋体"/>
          <w:i w:val="0"/>
          <w:color w:val="000000"/>
          <w:u w:val="single"/>
          <w:shd w:val="clear" w:color="auto" w:fill="ffffff"/>
        </w:rPr>
        <w:t xml:space="preserve">（关键工序）</w:t>
      </w:r>
      <w:r>
        <w:rPr>
          <w:rStyle w:val="779"/>
          <w:rFonts w:eastAsia="宋体"/>
          <w:i w:val="0"/>
          <w:color w:val="000000"/>
          <w:shd w:val="clear" w:color="auto" w:fill="ffffff"/>
          <w:vertAlign w:val="superscript"/>
        </w:rPr>
        <w:t xml:space="preserve">5</w:t>
      </w:r>
      <w:r>
        <w:rPr>
          <w:rFonts w:eastAsia="宋体"/>
          <w:color w:val="000000"/>
          <w:shd w:val="clear" w:color="auto" w:fill="ffffff"/>
        </w:rPr>
        <w:t xml:space="preserve">在中国境内完成。</w:t>
      </w:r>
      <w:r>
        <w:rPr>
          <w:rFonts w:eastAsia="宋体"/>
          <w:color w:val="000000"/>
        </w:rPr>
      </w:r>
      <w:r/>
    </w:p>
    <w:p>
      <w:pPr>
        <w:pStyle w:val="723"/>
        <w:ind w:firstLine="420"/>
        <w:spacing w:before="0" w:after="30" w:line="360" w:lineRule="auto"/>
        <w:rPr>
          <w:rFonts w:eastAsia="宋体"/>
          <w:color w:val="000000"/>
        </w:rPr>
      </w:pP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4562475</wp:posOffset>
                </wp:positionH>
                <wp:positionV relativeFrom="paragraph">
                  <wp:posOffset>47625</wp:posOffset>
                </wp:positionV>
                <wp:extent cx="728345" cy="24765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1;o:allowoverlap:true;o:allowincell:true;mso-position-horizontal-relative:text;margin-left:359.2pt;mso-position-horizontal:absolute;mso-position-vertical-relative:text;margin-top:3.8pt;mso-position-vertical:absolute;width:57.3pt;height:19.5pt;mso-wrap-distance-left:9.0pt;mso-wrap-distance-top:0.0pt;mso-wrap-distance-right:9.0pt;mso-wrap-distance-bottom:0.0pt;" stroked="f">
                <v:path textboxrect="0,0,0,0"/>
                <v:imagedata r:id="rId92"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2146300</wp:posOffset>
                </wp:positionH>
                <wp:positionV relativeFrom="paragraph">
                  <wp:posOffset>428625</wp:posOffset>
                </wp:positionV>
                <wp:extent cx="728345" cy="24765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2;o:allowoverlap:true;o:allowincell:true;mso-position-horizontal-relative:text;margin-left:169.0pt;mso-position-horizontal:absolute;mso-position-vertical-relative:text;margin-top:33.8pt;mso-position-vertical:absolute;width:57.3pt;height:19.5pt;mso-wrap-distance-left:9.0pt;mso-wrap-distance-top:0.0pt;mso-wrap-distance-right:9.0pt;mso-wrap-distance-bottom:0.0pt;" stroked="f">
                <v:path textboxrect="0,0,0,0"/>
                <v:imagedata r:id="rId93"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3238500</wp:posOffset>
                </wp:positionH>
                <wp:positionV relativeFrom="paragraph">
                  <wp:posOffset>428625</wp:posOffset>
                </wp:positionV>
                <wp:extent cx="728345" cy="24765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3;o:allowoverlap:true;o:allowincell:true;mso-position-horizontal-relative:text;margin-left:255.0pt;mso-position-horizontal:absolute;mso-position-vertical-relative:text;margin-top:33.8pt;mso-position-vertical:absolute;width:57.3pt;height:19.5pt;mso-wrap-distance-left:9.0pt;mso-wrap-distance-top:0.0pt;mso-wrap-distance-right:9.0pt;mso-wrap-distance-bottom:0.0pt;" stroked="f">
                <v:path textboxrect="0,0,0,0"/>
                <v:imagedata r:id="rId94"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4322445</wp:posOffset>
                </wp:positionH>
                <wp:positionV relativeFrom="paragraph">
                  <wp:posOffset>428625</wp:posOffset>
                </wp:positionV>
                <wp:extent cx="728345" cy="24765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4;o:allowoverlap:true;o:allowincell:true;mso-position-horizontal-relative:text;margin-left:340.3pt;mso-position-horizontal:absolute;mso-position-vertical-relative:text;margin-top:33.8pt;mso-position-vertical:absolute;width:57.3pt;height:19.5pt;mso-wrap-distance-left:9.0pt;mso-wrap-distance-top:0.0pt;mso-wrap-distance-right:9.0pt;mso-wrap-distance-bottom:0.0pt;" stroked="f">
                <v:path textboxrect="0,0,0,0"/>
                <v:imagedata r:id="rId95"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margin">
                  <wp:posOffset>781050</wp:posOffset>
                </wp:positionH>
                <wp:positionV relativeFrom="paragraph">
                  <wp:posOffset>866775</wp:posOffset>
                </wp:positionV>
                <wp:extent cx="728345" cy="24765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5;o:allowoverlap:true;o:allowincell:true;mso-position-horizontal-relative:margin;margin-left:61.5pt;mso-position-horizontal:absolute;mso-position-vertical-relative:text;margin-top:68.2pt;mso-position-vertical:absolute;width:57.3pt;height:19.5pt;mso-wrap-distance-left:9.0pt;mso-wrap-distance-top:0.0pt;mso-wrap-distance-right:9.0pt;mso-wrap-distance-bottom:0.0pt;" stroked="f">
                <v:path textboxrect="0,0,0,0"/>
                <v:imagedata r:id="rId96" o:title=""/>
              </v:shape>
            </w:pict>
          </mc:Fallback>
        </mc:AlternateContent>
      </w:r>
      <w:r>
        <w:rPr>
          <w:rFonts w:eastAsia="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2020570</wp:posOffset>
                </wp:positionH>
                <wp:positionV relativeFrom="paragraph">
                  <wp:posOffset>866775</wp:posOffset>
                </wp:positionV>
                <wp:extent cx="728345" cy="24765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6;o:allowoverlap:true;o:allowincell:true;mso-position-horizontal-relative:text;margin-left:159.1pt;mso-position-horizontal:absolute;mso-position-vertical-relative:text;margin-top:68.2pt;mso-position-vertical:absolute;width:57.3pt;height:19.5pt;mso-wrap-distance-left:9.0pt;mso-wrap-distance-top:0.0pt;mso-wrap-distance-right:9.0pt;mso-wrap-distance-bottom:0.0pt;" stroked="f">
                <v:path textboxrect="0,0,0,0"/>
                <v:imagedata r:id="rId97" o:title=""/>
              </v:shape>
            </w:pict>
          </mc:Fallback>
        </mc:AlternateContent>
      </w:r>
      <w:r>
        <w:rPr>
          <w:rFonts w:eastAsia="宋体"/>
          <w:color w:val="000000"/>
          <w:shd w:val="clear" w:color="auto" w:fill="ffffff"/>
        </w:rPr>
        <w:t xml:space="preserve">2.</w:t>
      </w:r>
      <w:r>
        <w:rPr>
          <w:rStyle w:val="779"/>
          <w:rFonts w:eastAsia="宋体"/>
          <w:i w:val="0"/>
          <w:color w:val="000000"/>
          <w:u w:val="single"/>
          <w:shd w:val="clear" w:color="auto" w:fill="ffffff"/>
        </w:rPr>
        <w:t xml:space="preserve">（产品名称2）</w:t>
      </w:r>
      <w:r>
        <w:rPr>
          <w:rFonts w:eastAsia="宋体"/>
          <w:color w:val="000000"/>
          <w:shd w:val="clear" w:color="auto" w:fill="ffffff"/>
        </w:rPr>
        <w:t xml:space="preserve">，生产厂为</w:t>
      </w:r>
      <w:r>
        <w:rPr>
          <w:rStyle w:val="779"/>
          <w:rFonts w:eastAsia="宋体"/>
          <w:i w:val="0"/>
          <w:color w:val="000000"/>
          <w:u w:val="single"/>
          <w:shd w:val="clear" w:color="auto" w:fill="ffffff"/>
        </w:rPr>
        <w:t xml:space="preserve">（厂名）</w:t>
      </w:r>
      <w:r>
        <w:rPr>
          <w:rFonts w:eastAsia="宋体"/>
          <w:color w:val="000000"/>
          <w:shd w:val="clear" w:color="auto" w:fill="ffffff"/>
        </w:rPr>
        <w:t xml:space="preserve">，厂址为</w:t>
      </w:r>
      <w:r>
        <w:rPr>
          <w:rStyle w:val="779"/>
          <w:rFonts w:eastAsia="宋体"/>
          <w:i w:val="0"/>
          <w:color w:val="000000"/>
          <w:u w:val="single"/>
          <w:shd w:val="clear" w:color="auto" w:fill="ffffff"/>
        </w:rPr>
        <w:t xml:space="preserve">（生产厂址）</w:t>
      </w:r>
      <w:r>
        <w:rPr>
          <w:rFonts w:eastAsia="宋体"/>
          <w:color w:val="000000"/>
          <w:shd w:val="clear" w:color="auto" w:fill="ffffff"/>
        </w:rPr>
        <w:t xml:space="preserve">。</w:t>
      </w:r>
      <w:r>
        <w:rPr>
          <w:rStyle w:val="779"/>
          <w:rFonts w:eastAsia="宋体"/>
          <w:i w:val="0"/>
          <w:color w:val="000000"/>
          <w:u w:val="single"/>
          <w:shd w:val="clear" w:color="auto" w:fill="ffffff"/>
        </w:rPr>
        <w:t xml:space="preserve">（产品名称2）</w:t>
      </w:r>
      <w:r>
        <w:rPr>
          <w:rFonts w:eastAsia="宋体"/>
          <w:color w:val="000000"/>
          <w:shd w:val="clear" w:color="auto" w:fill="ffffff"/>
        </w:rPr>
        <w:t xml:space="preserve">的中国境内生产的组件成本占比≥</w:t>
      </w:r>
      <w:r>
        <w:rPr>
          <w:rStyle w:val="779"/>
          <w:rFonts w:eastAsia="宋体"/>
          <w:i w:val="0"/>
          <w:color w:val="000000"/>
          <w:u w:val="single"/>
          <w:shd w:val="clear" w:color="auto" w:fill="ffffff"/>
        </w:rPr>
        <w:t xml:space="preserve">（规定比例）</w:t>
      </w:r>
      <w:r>
        <w:rPr>
          <w:rFonts w:eastAsia="宋体"/>
          <w:color w:val="000000"/>
          <w:shd w:val="clear" w:color="auto" w:fill="ffffff"/>
        </w:rPr>
        <w:t xml:space="preserve">。</w:t>
      </w:r>
      <w:r>
        <w:rPr>
          <w:rStyle w:val="779"/>
          <w:rFonts w:eastAsia="宋体"/>
          <w:i w:val="0"/>
          <w:color w:val="000000"/>
          <w:u w:val="single"/>
          <w:shd w:val="clear" w:color="auto" w:fill="ffffff"/>
        </w:rPr>
        <w:t xml:space="preserve">（产品名称2）</w:t>
      </w:r>
      <w:r>
        <w:rPr>
          <w:rFonts w:eastAsia="宋体"/>
          <w:color w:val="000000"/>
          <w:shd w:val="clear" w:color="auto" w:fill="ffffff"/>
        </w:rPr>
        <w:t xml:space="preserve">的</w:t>
      </w:r>
      <w:r>
        <w:rPr>
          <w:rStyle w:val="779"/>
          <w:rFonts w:eastAsia="宋体"/>
          <w:i w:val="0"/>
          <w:color w:val="000000"/>
          <w:u w:val="single"/>
          <w:shd w:val="clear" w:color="auto" w:fill="ffffff"/>
        </w:rPr>
        <w:t xml:space="preserve">（关键组件）</w:t>
      </w:r>
      <w:r>
        <w:rPr>
          <w:rFonts w:eastAsia="宋体"/>
          <w:color w:val="000000"/>
          <w:shd w:val="clear" w:color="auto" w:fill="ffffff"/>
        </w:rPr>
        <w:t xml:space="preserve">在中国境内生产。</w:t>
      </w:r>
      <w:r>
        <w:rPr>
          <w:rStyle w:val="779"/>
          <w:rFonts w:eastAsia="宋体"/>
          <w:i w:val="0"/>
          <w:color w:val="000000"/>
          <w:u w:val="single"/>
          <w:shd w:val="clear" w:color="auto" w:fill="ffffff"/>
        </w:rPr>
        <w:t xml:space="preserve">（产品名称1）</w:t>
      </w:r>
      <w:r>
        <w:rPr>
          <w:rFonts w:eastAsia="宋体"/>
          <w:color w:val="000000"/>
          <w:shd w:val="clear" w:color="auto" w:fill="ffffff"/>
        </w:rPr>
        <w:t xml:space="preserve">的</w:t>
      </w:r>
      <w:r>
        <w:rPr>
          <w:rStyle w:val="779"/>
          <w:rFonts w:eastAsia="宋体"/>
          <w:i w:val="0"/>
          <w:color w:val="000000"/>
          <w:u w:val="single"/>
          <w:shd w:val="clear" w:color="auto" w:fill="ffffff"/>
        </w:rPr>
        <w:t xml:space="preserve">（关键工序）</w:t>
      </w:r>
      <w:r>
        <w:rPr>
          <w:rFonts w:eastAsia="宋体"/>
          <w:color w:val="000000"/>
          <w:shd w:val="clear" w:color="auto" w:fill="ffffff"/>
        </w:rPr>
        <w:t xml:space="preserve">在中国境内完成。</w:t>
      </w:r>
      <w:r>
        <w:rPr>
          <w:rFonts w:eastAsia="宋体"/>
          <w:color w:val="000000"/>
        </w:rPr>
      </w:r>
      <w:r/>
    </w:p>
    <w:p>
      <w:pPr>
        <w:pStyle w:val="723"/>
        <w:ind w:firstLine="420"/>
        <w:spacing w:before="30" w:after="30" w:line="360" w:lineRule="auto"/>
        <w:rPr>
          <w:rFonts w:eastAsia="宋体"/>
          <w:color w:val="000000"/>
        </w:rPr>
      </w:pPr>
      <w:r>
        <w:rPr>
          <w:rFonts w:eastAsia="宋体"/>
          <w:color w:val="000000"/>
          <w:shd w:val="clear" w:color="auto" w:fill="ffffff"/>
        </w:rPr>
        <w:t xml:space="preserve">……</w:t>
      </w:r>
      <w:r>
        <w:rPr>
          <w:rFonts w:eastAsia="宋体"/>
          <w:color w:val="000000"/>
        </w:rPr>
      </w:r>
      <w:r/>
    </w:p>
    <w:p>
      <w:pPr>
        <w:pStyle w:val="723"/>
        <w:ind w:firstLine="420"/>
        <w:spacing w:before="30" w:after="30" w:line="360" w:lineRule="auto"/>
        <w:rPr>
          <w:rFonts w:eastAsia="宋体"/>
          <w:color w:val="000000"/>
        </w:rPr>
      </w:pPr>
      <w:r>
        <w:rPr>
          <w:rFonts w:eastAsia="宋体"/>
          <w:color w:val="000000"/>
          <w:shd w:val="clear" w:color="auto" w:fill="ffffff"/>
        </w:rPr>
        <w:t xml:space="preserve">本公司（单位）对上述声明内容的真实性负责。如有虚假，愿承担相应法律责任。</w:t>
      </w:r>
      <w:r>
        <w:rPr>
          <w:rFonts w:eastAsia="宋体"/>
          <w:color w:val="000000"/>
        </w:rPr>
      </w:r>
      <w:r/>
    </w:p>
    <w:p>
      <w:pPr>
        <w:pStyle w:val="723"/>
        <w:spacing w:before="30" w:after="30" w:line="0" w:lineRule="atLeast"/>
        <w:rPr>
          <w:color w:val="000000"/>
        </w:rPr>
      </w:pPr>
      <w:r>
        <w:rPr>
          <w:color w:val="000000"/>
        </w:rPr>
        <w:t xml:space="preserve"> </w:t>
      </w:r>
      <w:r>
        <w:rPr>
          <w:color w:val="000000"/>
        </w:rPr>
      </w:r>
      <w:r/>
    </w:p>
    <w:p>
      <w:pPr>
        <w:pStyle w:val="723"/>
        <w:ind w:right="480" w:firstLine="5160"/>
        <w:spacing w:before="30" w:after="30" w:line="360" w:lineRule="auto"/>
        <w:rPr>
          <w:color w:val="000000"/>
          <w:szCs w:val="24"/>
        </w:rPr>
      </w:pPr>
      <w:r>
        <w:rPr>
          <w:color w:val="000000"/>
          <w:shd w:val="clear" w:color="auto" w:fill="ffffff"/>
        </w:rPr>
        <w:t xml:space="preserve">公司（单位）名称（盖章）：         </w:t>
      </w:r>
      <w:r>
        <w:rPr>
          <w:color w:val="000000"/>
          <w:szCs w:val="24"/>
        </w:rPr>
      </w:r>
      <w:r/>
    </w:p>
    <w:p>
      <w:pPr>
        <w:pStyle w:val="723"/>
        <w:jc w:val="center"/>
        <w:spacing w:before="30" w:after="30" w:line="360" w:lineRule="auto"/>
        <w:rPr>
          <w:color w:val="000000"/>
        </w:rPr>
      </w:pPr>
      <w:r>
        <w:rPr>
          <w:color w:val="000000"/>
          <w:shd w:val="clear" w:color="auto" w:fill="ffffff"/>
        </w:rPr>
        <w:t xml:space="preserve">                                日期：    年   月   日         </w:t>
      </w:r>
      <w:r>
        <w:rPr>
          <w:color w:val="000000"/>
        </w:rPr>
      </w:r>
      <w:r/>
    </w:p>
    <w:p>
      <w:pPr>
        <w:pStyle w:val="723"/>
        <w:spacing w:before="30" w:after="30" w:line="360" w:lineRule="auto"/>
        <w:rPr>
          <w:color w:val="000000"/>
        </w:rPr>
      </w:pPr>
      <w:r>
        <w:rPr>
          <w:color w:val="000000"/>
          <w:shd w:val="clear" w:color="auto" w:fill="ffffff"/>
        </w:rPr>
        <w:t xml:space="preserve">__________________</w:t>
      </w:r>
      <w:r>
        <w:rPr>
          <w:color w:val="000000"/>
        </w:rPr>
      </w:r>
      <w:r/>
    </w:p>
    <w:p>
      <w:pPr>
        <w:pStyle w:val="723"/>
        <w:spacing w:before="30" w:after="30" w:line="360" w:lineRule="auto"/>
        <w:rPr>
          <w:color w:val="000000"/>
          <w:sz w:val="22"/>
          <w:szCs w:val="22"/>
        </w:rPr>
      </w:pPr>
      <w:r>
        <w:rPr>
          <w:color w:val="000000"/>
          <w:sz w:val="22"/>
          <w:szCs w:val="22"/>
          <w:shd w:val="clear" w:color="auto" w:fill="ffffff"/>
        </w:rPr>
        <w:t xml:space="preserve">1.产品如有型号，请在“产品名称”栏一并填写。</w:t>
      </w:r>
      <w:r>
        <w:rPr>
          <w:color w:val="000000"/>
          <w:sz w:val="22"/>
          <w:szCs w:val="22"/>
        </w:rPr>
      </w:r>
      <w:r/>
    </w:p>
    <w:p>
      <w:pPr>
        <w:pStyle w:val="723"/>
        <w:spacing w:before="30" w:after="30" w:line="360" w:lineRule="auto"/>
        <w:rPr>
          <w:color w:val="000000"/>
          <w:sz w:val="22"/>
          <w:szCs w:val="22"/>
        </w:rPr>
      </w:pPr>
      <w:r>
        <w:rPr>
          <w:color w:val="000000"/>
          <w:sz w:val="22"/>
          <w:szCs w:val="22"/>
          <w:shd w:val="clear" w:color="auto" w:fill="ffffff"/>
        </w:rPr>
        <w:t xml:space="preserve">2.生产厂名与厂址应与生产厂营业执照载明的相关信息保持一致。</w:t>
      </w:r>
      <w:r>
        <w:rPr>
          <w:color w:val="000000"/>
          <w:sz w:val="22"/>
          <w:szCs w:val="22"/>
        </w:rPr>
      </w:r>
      <w:r/>
    </w:p>
    <w:p>
      <w:pPr>
        <w:pStyle w:val="723"/>
        <w:spacing w:before="30" w:after="30" w:line="360" w:lineRule="auto"/>
        <w:rPr>
          <w:color w:val="000000"/>
          <w:sz w:val="22"/>
          <w:szCs w:val="22"/>
        </w:rPr>
      </w:pPr>
      <w:r>
        <w:rPr>
          <w:color w:val="000000"/>
          <w:sz w:val="22"/>
          <w:szCs w:val="22"/>
          <w:shd w:val="clear" w:color="auto" w:fill="ffffff"/>
        </w:rPr>
        <w:t xml:space="preserve">3.该产品的中国境内生产的组件成本占比相关要求实施前，“规定比例”栏可不填，下同。</w:t>
      </w:r>
      <w:r>
        <w:rPr>
          <w:color w:val="000000"/>
          <w:sz w:val="22"/>
          <w:szCs w:val="22"/>
        </w:rPr>
      </w:r>
      <w:r/>
    </w:p>
    <w:p>
      <w:pPr>
        <w:pStyle w:val="723"/>
        <w:spacing w:before="30" w:after="30" w:line="360" w:lineRule="auto"/>
        <w:rPr>
          <w:color w:val="000000"/>
          <w:sz w:val="22"/>
          <w:szCs w:val="22"/>
        </w:rPr>
      </w:pPr>
      <w:r>
        <w:rPr>
          <w:color w:val="000000"/>
          <w:sz w:val="22"/>
          <w:szCs w:val="22"/>
          <w:shd w:val="clear" w:color="auto" w:fill="ffffff"/>
        </w:rPr>
        <w:t xml:space="preserve">4.该产品的关键组件要求实施前，“关键组件”栏可不填，下同。</w:t>
      </w:r>
      <w:r>
        <w:rPr>
          <w:color w:val="000000"/>
          <w:sz w:val="22"/>
          <w:szCs w:val="22"/>
        </w:rPr>
      </w:r>
      <w:r/>
    </w:p>
    <w:p>
      <w:pPr>
        <w:pStyle w:val="723"/>
        <w:spacing w:before="30" w:after="30" w:line="360" w:lineRule="auto"/>
        <w:rPr>
          <w:color w:val="000000"/>
          <w:sz w:val="22"/>
          <w:szCs w:val="22"/>
          <w:shd w:val="clear" w:color="auto" w:fill="ffffff"/>
        </w:rPr>
      </w:pPr>
      <w:r>
        <w:rPr>
          <w:color w:val="000000"/>
          <w:sz w:val="22"/>
          <w:szCs w:val="22"/>
          <w:shd w:val="clear" w:color="auto" w:fill="ffffff"/>
        </w:rPr>
        <w:t xml:space="preserve">5.该产品的关键工序要求实施前，“关键工序”栏可不填，下同。</w:t>
      </w:r>
      <w:r>
        <w:rPr>
          <w:color w:val="000000"/>
          <w:sz w:val="22"/>
          <w:szCs w:val="22"/>
          <w:shd w:val="clear" w:color="auto" w:fill="ffffff"/>
        </w:rPr>
      </w:r>
      <w:r/>
    </w:p>
    <w:p>
      <w:pPr>
        <w:pStyle w:val="723"/>
        <w:spacing w:before="30" w:after="30" w:line="360" w:lineRule="auto"/>
        <w:rPr>
          <w:b/>
          <w:szCs w:val="21"/>
        </w:rPr>
      </w:pPr>
      <w:r>
        <w:rPr>
          <w:color w:val="000000"/>
          <w:sz w:val="22"/>
          <w:shd w:val="clear" w:color="auto" w:fill="ffffff"/>
        </w:rPr>
        <w:t xml:space="preserve">6.用斜线划除的地方无需填写。</w:t>
      </w:r>
      <w:r>
        <w:rPr>
          <w:b/>
          <w:szCs w:val="21"/>
        </w:rPr>
      </w:r>
      <w:r/>
    </w:p>
    <w:p>
      <w:pPr>
        <w:pStyle w:val="660"/>
        <w:jc w:val="center"/>
        <w:rPr>
          <w:rFonts w:hint="eastAsia" w:ascii="宋体" w:hAnsi="宋体" w:cs="仿宋"/>
          <w:b/>
          <w:bCs/>
          <w:sz w:val="32"/>
          <w:szCs w:val="32"/>
        </w:rPr>
        <w:sectPr>
          <w:footnotePr/>
          <w:endnotePr/>
          <w:type w:val="nextPage"/>
          <w:pgSz w:w="11906" w:h="16838" w:orient="portrait"/>
          <w:pgMar w:top="1417" w:right="1587" w:bottom="1417" w:left="1366" w:header="851" w:footer="907" w:gutter="0"/>
          <w:cols w:num="1" w:sep="0" w:space="1701" w:equalWidth="1"/>
          <w:docGrid w:linePitch="360"/>
          <w:titlePg/>
        </w:sectPr>
      </w:pPr>
      <w:r>
        <w:rPr>
          <w:rFonts w:hint="eastAsia" w:ascii="宋体" w:hAnsi="宋体" w:cs="仿宋"/>
          <w:b/>
          <w:bCs/>
          <w:sz w:val="32"/>
          <w:szCs w:val="32"/>
        </w:rPr>
      </w:r>
      <w:r/>
    </w:p>
    <w:p>
      <w:pPr>
        <w:pStyle w:val="66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60"/>
        <w:spacing w:before="298"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7"/>
                            <w:tabs>
                              <w:tab w:val="clear" w:pos="4153" w:leader="none"/>
                              <w:tab w:val="clear" w:pos="8306" w:leader="none"/>
                            </w:tabs>
                            <w:rPr>
                              <w:rStyle w:val="733"/>
                              <w:rFonts w:ascii="宋体" w:hAnsi="宋体"/>
                            </w:rPr>
                          </w:pPr>
                          <w:r>
                            <w:rPr>
                              <w:rFonts w:ascii="宋体" w:hAnsi="宋体"/>
                            </w:rPr>
                            <w:fldChar w:fldCharType="begin"/>
                          </w:r>
                          <w:r>
                            <w:rPr>
                              <w:rStyle w:val="733"/>
                              <w:rFonts w:ascii="宋体" w:hAnsi="宋体"/>
                            </w:rPr>
                            <w:instrText xml:space="preserve">PAGE  </w:instrText>
                          </w:r>
                          <w:r>
                            <w:rPr>
                              <w:rFonts w:ascii="宋体" w:hAnsi="宋体"/>
                            </w:rPr>
                            <w:fldChar w:fldCharType="separate"/>
                          </w:r>
                          <w:r>
                            <w:rPr>
                              <w:rStyle w:val="733"/>
                              <w:rFonts w:ascii="宋体" w:hAnsi="宋体"/>
                            </w:rPr>
                            <w:t xml:space="preserve">106</w:t>
                          </w:r>
                          <w:r>
                            <w:rPr>
                              <w:rFonts w:ascii="宋体" w:hAnsi="宋体"/>
                            </w:rPr>
                            <w:fldChar w:fldCharType="end"/>
                          </w:r>
                          <w:r>
                            <w:rPr>
                              <w:rStyle w:val="733"/>
                              <w:rFonts w:ascii="宋体" w:hAnsi="宋体"/>
                            </w:rPr>
                          </w:r>
                          <w:r/>
                        </w:p>
                        <w:p>
                          <w:pPr>
                            <w:pStyle w:val="6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7"/>
                      <w:tabs>
                        <w:tab w:val="clear" w:pos="4153" w:leader="none"/>
                        <w:tab w:val="clear" w:pos="8306" w:leader="none"/>
                      </w:tabs>
                      <w:rPr>
                        <w:rStyle w:val="733"/>
                        <w:rFonts w:ascii="宋体" w:hAnsi="宋体"/>
                      </w:rPr>
                    </w:pPr>
                    <w:r>
                      <w:rPr>
                        <w:rFonts w:ascii="宋体" w:hAnsi="宋体"/>
                      </w:rPr>
                      <w:fldChar w:fldCharType="begin"/>
                    </w:r>
                    <w:r>
                      <w:rPr>
                        <w:rStyle w:val="733"/>
                        <w:rFonts w:ascii="宋体" w:hAnsi="宋体"/>
                      </w:rPr>
                      <w:instrText xml:space="preserve">PAGE  </w:instrText>
                    </w:r>
                    <w:r>
                      <w:rPr>
                        <w:rFonts w:ascii="宋体" w:hAnsi="宋体"/>
                      </w:rPr>
                      <w:fldChar w:fldCharType="separate"/>
                    </w:r>
                    <w:r>
                      <w:rPr>
                        <w:rStyle w:val="733"/>
                        <w:rFonts w:ascii="宋体" w:hAnsi="宋体"/>
                      </w:rPr>
                      <w:t xml:space="preserve">106</w:t>
                    </w:r>
                    <w:r>
                      <w:rPr>
                        <w:rFonts w:ascii="宋体" w:hAnsi="宋体"/>
                      </w:rPr>
                      <w:fldChar w:fldCharType="end"/>
                    </w:r>
                    <w:r>
                      <w:rPr>
                        <w:rStyle w:val="733"/>
                        <w:rFonts w:ascii="宋体" w:hAnsi="宋体"/>
                      </w:rPr>
                    </w:r>
                    <w:r/>
                  </w:p>
                  <w:p>
                    <w:pPr>
                      <w:pStyle w:val="660"/>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41"/>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48"/>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0"/>
    <w:link w:val="660"/>
    <w:qFormat/>
    <w:pPr>
      <w:jc w:val="both"/>
      <w:widowControl w:val="off"/>
    </w:pPr>
    <w:rPr>
      <w:sz w:val="21"/>
      <w:szCs w:val="22"/>
      <w:lang w:val="en-US" w:eastAsia="zh-CN" w:bidi="ar-SA"/>
    </w:rPr>
  </w:style>
  <w:style w:type="paragraph" w:styleId="661">
    <w:name w:val="标题 1"/>
    <w:basedOn w:val="660"/>
    <w:next w:val="660"/>
    <w:link w:val="672"/>
    <w:qFormat/>
    <w:pPr>
      <w:jc w:val="center"/>
      <w:keepNext/>
      <w:outlineLvl w:val="0"/>
    </w:pPr>
    <w:rPr>
      <w:rFonts w:ascii="楷体_GB2312" w:hAnsi="Times New Roman" w:eastAsia="楷体_GB2312" w:cs="Times New Roman"/>
      <w:sz w:val="28"/>
      <w:szCs w:val="28"/>
    </w:rPr>
  </w:style>
  <w:style w:type="paragraph" w:styleId="662">
    <w:name w:val="标题 2"/>
    <w:basedOn w:val="660"/>
    <w:next w:val="674"/>
    <w:link w:val="673"/>
    <w:qFormat/>
    <w:pPr>
      <w:jc w:val="center"/>
      <w:keepLines/>
      <w:keepNext/>
      <w:spacing w:before="260" w:after="260" w:line="416" w:lineRule="auto"/>
      <w:outlineLvl w:val="1"/>
    </w:pPr>
    <w:rPr>
      <w:rFonts w:ascii="Arial" w:hAnsi="Arial" w:eastAsia="幼圆" w:cs="Arial"/>
      <w:b/>
      <w:bCs/>
      <w:sz w:val="44"/>
      <w:szCs w:val="44"/>
    </w:rPr>
  </w:style>
  <w:style w:type="paragraph" w:styleId="663">
    <w:name w:val="标题 3"/>
    <w:basedOn w:val="660"/>
    <w:next w:val="674"/>
    <w:link w:val="6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4">
    <w:name w:val="标题 4"/>
    <w:basedOn w:val="660"/>
    <w:next w:val="674"/>
    <w:link w:val="677"/>
    <w:qFormat/>
    <w:pPr>
      <w:keepLines/>
      <w:keepNext/>
      <w:spacing w:before="280" w:after="290" w:line="376" w:lineRule="auto"/>
      <w:outlineLvl w:val="3"/>
    </w:pPr>
    <w:rPr>
      <w:rFonts w:ascii="Arial" w:hAnsi="Arial" w:eastAsia="黑体" w:cs="Arial"/>
      <w:b/>
      <w:bCs/>
      <w:sz w:val="28"/>
      <w:szCs w:val="28"/>
    </w:rPr>
  </w:style>
  <w:style w:type="paragraph" w:styleId="665">
    <w:name w:val="标题 5"/>
    <w:basedOn w:val="660"/>
    <w:next w:val="674"/>
    <w:link w:val="678"/>
    <w:qFormat/>
    <w:pPr>
      <w:keepNext/>
      <w:outlineLvl w:val="4"/>
    </w:pPr>
    <w:rPr>
      <w:rFonts w:ascii="宋体" w:hAnsi="Times New Roman" w:eastAsia="宋体" w:cs="Times New Roman"/>
      <w:color w:val="000000"/>
      <w:sz w:val="28"/>
      <w:szCs w:val="28"/>
    </w:rPr>
  </w:style>
  <w:style w:type="paragraph" w:styleId="666">
    <w:name w:val="标题 6"/>
    <w:basedOn w:val="660"/>
    <w:next w:val="660"/>
    <w:link w:val="6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7">
    <w:name w:val="标题 7"/>
    <w:basedOn w:val="660"/>
    <w:next w:val="660"/>
    <w:link w:val="6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8">
    <w:name w:val="标题 8"/>
    <w:basedOn w:val="660"/>
    <w:next w:val="660"/>
    <w:link w:val="6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9">
    <w:name w:val="标题 9"/>
    <w:basedOn w:val="660"/>
    <w:next w:val="660"/>
    <w:link w:val="682"/>
    <w:qFormat/>
    <w:pPr>
      <w:numPr>
        <w:ilvl w:val="8"/>
        <w:numId w:val="1"/>
      </w:numPr>
      <w:keepLines/>
      <w:keepNext/>
      <w:spacing w:before="240" w:after="64" w:line="320" w:lineRule="auto"/>
      <w:outlineLvl w:val="8"/>
    </w:pPr>
    <w:rPr>
      <w:rFonts w:ascii="Arial" w:hAnsi="Arial" w:eastAsia="黑体" w:cs="Times New Roman"/>
      <w:szCs w:val="21"/>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character" w:styleId="672">
    <w:name w:val="标题 1 Char"/>
    <w:next w:val="672"/>
    <w:link w:val="661"/>
    <w:rPr>
      <w:rFonts w:ascii="楷体_GB2312" w:hAnsi="Times New Roman" w:eastAsia="楷体_GB2312" w:cs="Times New Roman"/>
      <w:sz w:val="28"/>
      <w:szCs w:val="28"/>
    </w:rPr>
  </w:style>
  <w:style w:type="character" w:styleId="673">
    <w:name w:val="标题 2 Char"/>
    <w:next w:val="673"/>
    <w:link w:val="662"/>
    <w:rPr>
      <w:rFonts w:ascii="Arial" w:hAnsi="Arial" w:eastAsia="幼圆" w:cs="Arial"/>
      <w:b/>
      <w:bCs/>
      <w:sz w:val="44"/>
      <w:szCs w:val="44"/>
    </w:rPr>
  </w:style>
  <w:style w:type="paragraph" w:styleId="674">
    <w:name w:val="正文缩进"/>
    <w:basedOn w:val="660"/>
    <w:next w:val="660"/>
    <w:link w:val="675"/>
    <w:pPr>
      <w:ind w:firstLine="420"/>
    </w:pPr>
    <w:rPr>
      <w:szCs w:val="21"/>
    </w:rPr>
  </w:style>
  <w:style w:type="character" w:styleId="675">
    <w:name w:val="正文缩进 Char"/>
    <w:next w:val="675"/>
    <w:link w:val="674"/>
    <w:rPr>
      <w:szCs w:val="21"/>
    </w:rPr>
  </w:style>
  <w:style w:type="character" w:styleId="676">
    <w:name w:val="标题 3 Char"/>
    <w:next w:val="676"/>
    <w:link w:val="663"/>
    <w:rPr>
      <w:rFonts w:ascii="Times New Roman" w:hAnsi="Times New Roman" w:eastAsia="宋体" w:cs="Times New Roman"/>
      <w:b/>
      <w:bCs/>
      <w:sz w:val="32"/>
      <w:szCs w:val="32"/>
    </w:rPr>
  </w:style>
  <w:style w:type="character" w:styleId="677">
    <w:name w:val="标题 4 Char"/>
    <w:next w:val="677"/>
    <w:link w:val="664"/>
    <w:rPr>
      <w:rFonts w:ascii="Arial" w:hAnsi="Arial" w:eastAsia="黑体" w:cs="Arial"/>
      <w:b/>
      <w:bCs/>
      <w:sz w:val="28"/>
      <w:szCs w:val="28"/>
    </w:rPr>
  </w:style>
  <w:style w:type="character" w:styleId="678">
    <w:name w:val="标题 5 Char"/>
    <w:next w:val="678"/>
    <w:link w:val="665"/>
    <w:rPr>
      <w:rFonts w:ascii="宋体" w:hAnsi="Times New Roman" w:eastAsia="宋体" w:cs="Times New Roman"/>
      <w:color w:val="000000"/>
      <w:sz w:val="28"/>
      <w:szCs w:val="28"/>
    </w:rPr>
  </w:style>
  <w:style w:type="character" w:styleId="679">
    <w:name w:val="标题 6 Char"/>
    <w:next w:val="679"/>
    <w:link w:val="666"/>
    <w:rPr>
      <w:rFonts w:ascii="Arial" w:hAnsi="Arial" w:eastAsia="黑体" w:cs="Times New Roman"/>
      <w:b/>
      <w:bCs/>
      <w:sz w:val="24"/>
      <w:szCs w:val="24"/>
    </w:rPr>
  </w:style>
  <w:style w:type="character" w:styleId="680">
    <w:name w:val="标题 7 Char"/>
    <w:next w:val="680"/>
    <w:link w:val="667"/>
    <w:rPr>
      <w:rFonts w:ascii="Times New Roman" w:hAnsi="Times New Roman" w:eastAsia="宋体" w:cs="Times New Roman"/>
      <w:b/>
      <w:bCs/>
      <w:sz w:val="24"/>
      <w:szCs w:val="24"/>
    </w:rPr>
  </w:style>
  <w:style w:type="character" w:styleId="681">
    <w:name w:val="标题 8 Char"/>
    <w:next w:val="681"/>
    <w:link w:val="668"/>
    <w:rPr>
      <w:rFonts w:ascii="Arial" w:hAnsi="Arial" w:eastAsia="黑体" w:cs="Times New Roman"/>
      <w:sz w:val="24"/>
      <w:szCs w:val="24"/>
    </w:rPr>
  </w:style>
  <w:style w:type="character" w:styleId="682">
    <w:name w:val="标题 9 Char"/>
    <w:next w:val="682"/>
    <w:link w:val="669"/>
    <w:rPr>
      <w:rFonts w:ascii="Arial" w:hAnsi="Arial" w:eastAsia="黑体" w:cs="Times New Roman"/>
      <w:szCs w:val="21"/>
    </w:rPr>
  </w:style>
  <w:style w:type="paragraph" w:styleId="683">
    <w:name w:val="列表 3"/>
    <w:basedOn w:val="660"/>
    <w:next w:val="683"/>
    <w:link w:val="660"/>
    <w:pPr>
      <w:ind w:left="100" w:hanging="200"/>
    </w:pPr>
    <w:rPr>
      <w:rFonts w:ascii="Times New Roman" w:hAnsi="Times New Roman" w:eastAsia="宋体" w:cs="Times New Roman"/>
      <w:szCs w:val="21"/>
    </w:rPr>
  </w:style>
  <w:style w:type="paragraph" w:styleId="684">
    <w:name w:val="目录 7"/>
    <w:basedOn w:val="660"/>
    <w:next w:val="660"/>
    <w:link w:val="660"/>
    <w:semiHidden/>
    <w:pPr>
      <w:ind w:left="1260"/>
      <w:jc w:val="left"/>
    </w:pPr>
    <w:rPr>
      <w:rFonts w:ascii="Times New Roman" w:hAnsi="Times New Roman" w:eastAsia="宋体" w:cs="Times New Roman"/>
      <w:szCs w:val="21"/>
    </w:rPr>
  </w:style>
  <w:style w:type="paragraph" w:styleId="685">
    <w:name w:val="文档结构图"/>
    <w:basedOn w:val="660"/>
    <w:next w:val="685"/>
    <w:link w:val="686"/>
    <w:semiHidden/>
    <w:pPr>
      <w:shd w:val="clear" w:color="auto" w:fill="000080"/>
    </w:pPr>
    <w:rPr>
      <w:rFonts w:ascii="Times New Roman" w:hAnsi="Times New Roman" w:eastAsia="宋体" w:cs="Times New Roman"/>
      <w:szCs w:val="21"/>
    </w:rPr>
  </w:style>
  <w:style w:type="character" w:styleId="686">
    <w:name w:val="文档结构图 Char"/>
    <w:next w:val="686"/>
    <w:link w:val="685"/>
    <w:semiHidden/>
    <w:rPr>
      <w:rFonts w:ascii="Times New Roman" w:hAnsi="Times New Roman" w:eastAsia="宋体" w:cs="Times New Roman"/>
      <w:szCs w:val="21"/>
      <w:shd w:val="clear" w:color="auto" w:fill="000080"/>
    </w:rPr>
  </w:style>
  <w:style w:type="paragraph" w:styleId="687">
    <w:name w:val="批注文字"/>
    <w:basedOn w:val="660"/>
    <w:next w:val="687"/>
    <w:link w:val="688"/>
    <w:unhideWhenUsed/>
    <w:pPr>
      <w:jc w:val="left"/>
    </w:pPr>
  </w:style>
  <w:style w:type="character" w:styleId="688">
    <w:name w:val="批注文字 Char"/>
    <w:next w:val="688"/>
    <w:link w:val="687"/>
    <w:uiPriority w:val="99"/>
    <w:semiHidden/>
  </w:style>
  <w:style w:type="paragraph" w:styleId="689">
    <w:name w:val="正文文本 3"/>
    <w:basedOn w:val="660"/>
    <w:next w:val="689"/>
    <w:link w:val="690"/>
    <w:rPr>
      <w:rFonts w:ascii="仿宋_GB2312" w:hAnsi="Arial" w:eastAsia="仿宋_GB2312" w:cs="Times New Roman"/>
      <w:sz w:val="32"/>
      <w:szCs w:val="32"/>
    </w:rPr>
  </w:style>
  <w:style w:type="character" w:styleId="690">
    <w:name w:val="正文文本 3 Char"/>
    <w:next w:val="690"/>
    <w:link w:val="689"/>
    <w:rPr>
      <w:rFonts w:ascii="仿宋_GB2312" w:hAnsi="Arial" w:eastAsia="仿宋_GB2312" w:cs="Times New Roman"/>
      <w:sz w:val="32"/>
      <w:szCs w:val="32"/>
    </w:rPr>
  </w:style>
  <w:style w:type="paragraph" w:styleId="691">
    <w:name w:val="正文文本"/>
    <w:basedOn w:val="660"/>
    <w:next w:val="691"/>
    <w:link w:val="692"/>
    <w:rPr>
      <w:rFonts w:ascii="楷体_GB2312" w:hAnsi="Arial" w:eastAsia="楷体_GB2312" w:cs="Times New Roman"/>
      <w:sz w:val="28"/>
      <w:szCs w:val="28"/>
    </w:rPr>
  </w:style>
  <w:style w:type="character" w:styleId="692">
    <w:name w:val="正文文本 Char"/>
    <w:next w:val="692"/>
    <w:link w:val="691"/>
    <w:rPr>
      <w:rFonts w:ascii="楷体_GB2312" w:hAnsi="Arial" w:eastAsia="楷体_GB2312" w:cs="Times New Roman"/>
      <w:sz w:val="28"/>
      <w:szCs w:val="28"/>
    </w:rPr>
  </w:style>
  <w:style w:type="paragraph" w:styleId="693">
    <w:name w:val="正文文本缩进"/>
    <w:basedOn w:val="660"/>
    <w:next w:val="660"/>
    <w:link w:val="694"/>
    <w:unhideWhenUsed/>
    <w:pPr>
      <w:ind w:left="420"/>
      <w:spacing w:after="120"/>
    </w:pPr>
  </w:style>
  <w:style w:type="character" w:styleId="694">
    <w:name w:val="正文文本缩进 Char"/>
    <w:next w:val="694"/>
    <w:link w:val="693"/>
    <w:uiPriority w:val="99"/>
    <w:semiHidden/>
  </w:style>
  <w:style w:type="paragraph" w:styleId="695">
    <w:name w:val="列表 2"/>
    <w:basedOn w:val="660"/>
    <w:next w:val="695"/>
    <w:link w:val="660"/>
    <w:pPr>
      <w:ind w:left="100" w:hanging="200"/>
    </w:pPr>
    <w:rPr>
      <w:rFonts w:ascii="Times New Roman" w:hAnsi="Times New Roman" w:eastAsia="宋体" w:cs="Times New Roman"/>
      <w:szCs w:val="21"/>
    </w:rPr>
  </w:style>
  <w:style w:type="paragraph" w:styleId="696">
    <w:name w:val="目录 5"/>
    <w:basedOn w:val="660"/>
    <w:next w:val="660"/>
    <w:link w:val="660"/>
    <w:semiHidden/>
    <w:pPr>
      <w:ind w:left="840"/>
      <w:jc w:val="left"/>
    </w:pPr>
    <w:rPr>
      <w:rFonts w:ascii="Times New Roman" w:hAnsi="Times New Roman" w:eastAsia="宋体" w:cs="Times New Roman"/>
      <w:szCs w:val="21"/>
    </w:rPr>
  </w:style>
  <w:style w:type="paragraph" w:styleId="697">
    <w:name w:val="目录 3"/>
    <w:basedOn w:val="660"/>
    <w:next w:val="660"/>
    <w:link w:val="660"/>
    <w:semiHidden/>
    <w:pPr>
      <w:ind w:left="420"/>
      <w:jc w:val="left"/>
    </w:pPr>
    <w:rPr>
      <w:rFonts w:ascii="Times New Roman" w:hAnsi="Times New Roman" w:eastAsia="宋体" w:cs="Times New Roman"/>
      <w:i/>
      <w:iCs/>
      <w:szCs w:val="24"/>
    </w:rPr>
  </w:style>
  <w:style w:type="paragraph" w:styleId="698">
    <w:name w:val="纯文本"/>
    <w:basedOn w:val="660"/>
    <w:next w:val="698"/>
    <w:link w:val="699"/>
    <w:rPr>
      <w:rFonts w:ascii="宋体" w:hAnsi="Courier New" w:eastAsia="宋体" w:cs="Courier New"/>
      <w:szCs w:val="21"/>
    </w:rPr>
  </w:style>
  <w:style w:type="character" w:styleId="699">
    <w:name w:val="纯文本 Char"/>
    <w:next w:val="699"/>
    <w:link w:val="698"/>
    <w:rPr>
      <w:rFonts w:ascii="宋体" w:hAnsi="Courier New" w:eastAsia="宋体" w:cs="Courier New"/>
      <w:szCs w:val="21"/>
    </w:rPr>
  </w:style>
  <w:style w:type="paragraph" w:styleId="700">
    <w:name w:val="目录 8"/>
    <w:basedOn w:val="660"/>
    <w:next w:val="660"/>
    <w:link w:val="660"/>
    <w:semiHidden/>
    <w:pPr>
      <w:ind w:left="1470"/>
      <w:jc w:val="left"/>
    </w:pPr>
    <w:rPr>
      <w:rFonts w:ascii="Times New Roman" w:hAnsi="Times New Roman" w:eastAsia="宋体" w:cs="Times New Roman"/>
      <w:szCs w:val="21"/>
    </w:rPr>
  </w:style>
  <w:style w:type="paragraph" w:styleId="701">
    <w:name w:val="日期"/>
    <w:basedOn w:val="660"/>
    <w:next w:val="660"/>
    <w:link w:val="702"/>
    <w:rPr>
      <w:rFonts w:ascii="Times New Roman" w:hAnsi="Times New Roman" w:eastAsia="宋体" w:cs="Times New Roman"/>
      <w:sz w:val="24"/>
      <w:szCs w:val="24"/>
    </w:rPr>
  </w:style>
  <w:style w:type="character" w:styleId="702">
    <w:name w:val="日期 Char"/>
    <w:next w:val="702"/>
    <w:link w:val="701"/>
    <w:rPr>
      <w:rFonts w:ascii="Times New Roman" w:hAnsi="Times New Roman" w:eastAsia="宋体" w:cs="Times New Roman"/>
      <w:sz w:val="24"/>
      <w:szCs w:val="24"/>
    </w:rPr>
  </w:style>
  <w:style w:type="paragraph" w:styleId="703">
    <w:name w:val="正文文本缩进 2"/>
    <w:basedOn w:val="660"/>
    <w:next w:val="703"/>
    <w:link w:val="704"/>
    <w:pPr>
      <w:ind w:left="630" w:firstLine="645"/>
    </w:pPr>
    <w:rPr>
      <w:rFonts w:ascii="Arial" w:hAnsi="Arial" w:eastAsia="仿宋_GB2312" w:cs="Arial"/>
      <w:sz w:val="32"/>
      <w:szCs w:val="32"/>
    </w:rPr>
  </w:style>
  <w:style w:type="character" w:styleId="704">
    <w:name w:val="正文文本缩进 2 Char"/>
    <w:next w:val="704"/>
    <w:link w:val="703"/>
    <w:rPr>
      <w:rFonts w:ascii="Arial" w:hAnsi="Arial" w:eastAsia="仿宋_GB2312" w:cs="Arial"/>
      <w:sz w:val="32"/>
      <w:szCs w:val="32"/>
    </w:rPr>
  </w:style>
  <w:style w:type="paragraph" w:styleId="705">
    <w:name w:val="批注框文本"/>
    <w:basedOn w:val="660"/>
    <w:next w:val="705"/>
    <w:link w:val="706"/>
    <w:semiHidden/>
    <w:rPr>
      <w:rFonts w:ascii="Times New Roman" w:hAnsi="Times New Roman" w:eastAsia="宋体" w:cs="Times New Roman"/>
      <w:sz w:val="18"/>
      <w:szCs w:val="18"/>
    </w:rPr>
  </w:style>
  <w:style w:type="character" w:styleId="706">
    <w:name w:val="批注框文本 Char"/>
    <w:next w:val="706"/>
    <w:link w:val="705"/>
    <w:semiHidden/>
    <w:rPr>
      <w:rFonts w:ascii="Times New Roman" w:hAnsi="Times New Roman" w:eastAsia="宋体" w:cs="Times New Roman"/>
      <w:sz w:val="18"/>
      <w:szCs w:val="18"/>
    </w:rPr>
  </w:style>
  <w:style w:type="paragraph" w:styleId="707">
    <w:name w:val="页脚"/>
    <w:basedOn w:val="660"/>
    <w:next w:val="707"/>
    <w:link w:val="708"/>
    <w:pPr>
      <w:jc w:val="left"/>
      <w:tabs>
        <w:tab w:val="center" w:pos="4153" w:leader="none"/>
        <w:tab w:val="right" w:pos="8306" w:leader="none"/>
      </w:tabs>
    </w:pPr>
    <w:rPr>
      <w:rFonts w:ascii="Times New Roman" w:hAnsi="Times New Roman" w:eastAsia="宋体" w:cs="Times New Roman"/>
      <w:sz w:val="18"/>
      <w:szCs w:val="18"/>
    </w:rPr>
  </w:style>
  <w:style w:type="character" w:styleId="708">
    <w:name w:val="页脚 Char"/>
    <w:next w:val="708"/>
    <w:link w:val="707"/>
    <w:rPr>
      <w:rFonts w:ascii="Times New Roman" w:hAnsi="Times New Roman" w:eastAsia="宋体" w:cs="Times New Roman"/>
      <w:sz w:val="18"/>
      <w:szCs w:val="18"/>
    </w:rPr>
  </w:style>
  <w:style w:type="paragraph" w:styleId="709">
    <w:name w:val="寄信人地址"/>
    <w:basedOn w:val="660"/>
    <w:next w:val="709"/>
    <w:link w:val="660"/>
    <w:qFormat/>
    <w:rPr>
      <w:rFonts w:ascii="Arial" w:hAnsi="Arial" w:eastAsia="宋体"/>
      <w:sz w:val="21"/>
      <w:szCs w:val="24"/>
    </w:rPr>
  </w:style>
  <w:style w:type="paragraph" w:styleId="710">
    <w:name w:val="页眉"/>
    <w:basedOn w:val="660"/>
    <w:next w:val="710"/>
    <w:link w:val="71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1">
    <w:name w:val="页眉 Char"/>
    <w:next w:val="711"/>
    <w:link w:val="710"/>
    <w:rPr>
      <w:rFonts w:ascii="Times New Roman" w:hAnsi="Times New Roman" w:eastAsia="宋体" w:cs="Times New Roman"/>
      <w:sz w:val="18"/>
      <w:szCs w:val="18"/>
    </w:rPr>
  </w:style>
  <w:style w:type="paragraph" w:styleId="712">
    <w:name w:val="目录 1"/>
    <w:basedOn w:val="660"/>
    <w:next w:val="660"/>
    <w:link w:val="6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3">
    <w:name w:val="目录 4"/>
    <w:basedOn w:val="660"/>
    <w:next w:val="660"/>
    <w:link w:val="660"/>
    <w:semiHidden/>
    <w:pPr>
      <w:ind w:left="630"/>
      <w:jc w:val="left"/>
    </w:pPr>
    <w:rPr>
      <w:rFonts w:ascii="Times New Roman" w:hAnsi="Times New Roman" w:eastAsia="宋体" w:cs="Times New Roman"/>
      <w:szCs w:val="21"/>
    </w:rPr>
  </w:style>
  <w:style w:type="paragraph" w:styleId="714">
    <w:name w:val="列表"/>
    <w:basedOn w:val="660"/>
    <w:next w:val="714"/>
    <w:link w:val="660"/>
    <w:pPr>
      <w:ind w:left="200" w:hanging="200"/>
    </w:pPr>
    <w:rPr>
      <w:rFonts w:ascii="Times New Roman" w:hAnsi="Times New Roman" w:eastAsia="宋体" w:cs="Times New Roman"/>
      <w:szCs w:val="21"/>
    </w:rPr>
  </w:style>
  <w:style w:type="paragraph" w:styleId="715">
    <w:name w:val="目录 6"/>
    <w:basedOn w:val="660"/>
    <w:next w:val="660"/>
    <w:link w:val="660"/>
    <w:semiHidden/>
    <w:pPr>
      <w:ind w:left="1050"/>
      <w:jc w:val="left"/>
    </w:pPr>
    <w:rPr>
      <w:rFonts w:ascii="Times New Roman" w:hAnsi="Times New Roman" w:eastAsia="宋体" w:cs="Times New Roman"/>
      <w:szCs w:val="21"/>
    </w:rPr>
  </w:style>
  <w:style w:type="paragraph" w:styleId="716">
    <w:name w:val="正文文本缩进 3"/>
    <w:basedOn w:val="660"/>
    <w:next w:val="716"/>
    <w:link w:val="717"/>
    <w:pPr>
      <w:ind w:left="645" w:firstLine="645"/>
    </w:pPr>
    <w:rPr>
      <w:rFonts w:ascii="Arial" w:hAnsi="Arial" w:eastAsia="仿宋_GB2312" w:cs="Arial"/>
      <w:color w:val="ffff00"/>
      <w:sz w:val="32"/>
      <w:szCs w:val="32"/>
    </w:rPr>
  </w:style>
  <w:style w:type="character" w:styleId="717">
    <w:name w:val="正文文本缩进 3 Char"/>
    <w:next w:val="717"/>
    <w:link w:val="716"/>
    <w:rPr>
      <w:rFonts w:ascii="Arial" w:hAnsi="Arial" w:eastAsia="仿宋_GB2312" w:cs="Arial"/>
      <w:color w:val="ffff00"/>
      <w:sz w:val="32"/>
      <w:szCs w:val="32"/>
    </w:rPr>
  </w:style>
  <w:style w:type="paragraph" w:styleId="718">
    <w:name w:val="图表目录"/>
    <w:basedOn w:val="660"/>
    <w:next w:val="660"/>
    <w:link w:val="660"/>
    <w:semiHidden/>
    <w:pPr>
      <w:ind w:left="840" w:hanging="420"/>
    </w:pPr>
    <w:rPr>
      <w:rFonts w:ascii="Times New Roman" w:hAnsi="Times New Roman" w:eastAsia="宋体" w:cs="Times New Roman"/>
      <w:szCs w:val="21"/>
    </w:rPr>
  </w:style>
  <w:style w:type="paragraph" w:styleId="719">
    <w:name w:val="目录 2"/>
    <w:basedOn w:val="660"/>
    <w:next w:val="660"/>
    <w:link w:val="660"/>
    <w:semiHidden/>
    <w:pPr>
      <w:ind w:left="210"/>
      <w:jc w:val="left"/>
    </w:pPr>
    <w:rPr>
      <w:rFonts w:ascii="Times New Roman" w:hAnsi="Times New Roman" w:eastAsia="宋体" w:cs="Times New Roman"/>
      <w:smallCaps/>
      <w:szCs w:val="24"/>
    </w:rPr>
  </w:style>
  <w:style w:type="paragraph" w:styleId="720">
    <w:name w:val="目录 9"/>
    <w:basedOn w:val="660"/>
    <w:next w:val="660"/>
    <w:link w:val="660"/>
    <w:semiHidden/>
    <w:pPr>
      <w:ind w:left="1680"/>
      <w:jc w:val="left"/>
    </w:pPr>
    <w:rPr>
      <w:rFonts w:ascii="Times New Roman" w:hAnsi="Times New Roman" w:eastAsia="宋体" w:cs="Times New Roman"/>
      <w:szCs w:val="21"/>
    </w:rPr>
  </w:style>
  <w:style w:type="paragraph" w:styleId="721">
    <w:name w:val="正文文本 2"/>
    <w:basedOn w:val="660"/>
    <w:next w:val="721"/>
    <w:link w:val="722"/>
    <w:pPr>
      <w:jc w:val="center"/>
      <w:widowControl/>
    </w:pPr>
    <w:rPr>
      <w:rFonts w:ascii="楷体_GB2312" w:hAnsi="Times New Roman" w:eastAsia="楷体_GB2312" w:cs="Times New Roman"/>
      <w:sz w:val="28"/>
      <w:szCs w:val="28"/>
    </w:rPr>
  </w:style>
  <w:style w:type="character" w:styleId="722">
    <w:name w:val="正文文本 2 Char"/>
    <w:next w:val="722"/>
    <w:link w:val="721"/>
    <w:rPr>
      <w:rFonts w:ascii="楷体_GB2312" w:hAnsi="Times New Roman" w:eastAsia="楷体_GB2312" w:cs="Times New Roman"/>
      <w:sz w:val="28"/>
      <w:szCs w:val="28"/>
    </w:rPr>
  </w:style>
  <w:style w:type="paragraph" w:styleId="723">
    <w:name w:val="普通(网站)"/>
    <w:basedOn w:val="660"/>
    <w:next w:val="723"/>
    <w:link w:val="660"/>
    <w:uiPriority w:val="99"/>
    <w:pPr>
      <w:jc w:val="left"/>
      <w:spacing w:before="100" w:beforeAutospacing="1" w:after="100" w:afterAutospacing="1"/>
      <w:widowControl/>
    </w:pPr>
    <w:rPr>
      <w:rFonts w:ascii="宋体" w:hAnsi="宋体" w:eastAsia="宋体" w:cs="宋体"/>
      <w:sz w:val="24"/>
      <w:szCs w:val="24"/>
    </w:rPr>
  </w:style>
  <w:style w:type="paragraph" w:styleId="724">
    <w:name w:val="索引 1"/>
    <w:basedOn w:val="660"/>
    <w:next w:val="660"/>
    <w:link w:val="660"/>
    <w:semiHidden/>
    <w:pPr>
      <w:spacing w:line="240" w:lineRule="atLeast"/>
    </w:pPr>
    <w:rPr>
      <w:rFonts w:ascii="Times New Roman" w:hAnsi="Times New Roman" w:eastAsia="宋体" w:cs="Times New Roman"/>
      <w:b/>
      <w:bCs/>
      <w:szCs w:val="21"/>
    </w:rPr>
  </w:style>
  <w:style w:type="paragraph" w:styleId="725">
    <w:name w:val="批注主题"/>
    <w:basedOn w:val="687"/>
    <w:next w:val="687"/>
    <w:link w:val="726"/>
    <w:semiHidden/>
    <w:rPr>
      <w:rFonts w:ascii="Times New Roman" w:hAnsi="Times New Roman" w:eastAsia="宋体" w:cs="Times New Roman"/>
      <w:b/>
      <w:bCs/>
      <w:szCs w:val="21"/>
    </w:rPr>
  </w:style>
  <w:style w:type="character" w:styleId="726">
    <w:name w:val="批注主题 Char"/>
    <w:next w:val="726"/>
    <w:link w:val="725"/>
    <w:semiHidden/>
    <w:rPr>
      <w:rFonts w:ascii="Times New Roman" w:hAnsi="Times New Roman" w:eastAsia="宋体" w:cs="Times New Roman"/>
      <w:b/>
      <w:bCs/>
      <w:szCs w:val="21"/>
    </w:rPr>
  </w:style>
  <w:style w:type="paragraph" w:styleId="727">
    <w:name w:val="正文首行缩进"/>
    <w:basedOn w:val="660"/>
    <w:next w:val="727"/>
    <w:link w:val="728"/>
    <w:pPr>
      <w:ind w:firstLine="200"/>
      <w:spacing w:line="360" w:lineRule="auto"/>
    </w:pPr>
    <w:rPr>
      <w:rFonts w:ascii="仿宋_GB2312" w:hAnsi="Times New Roman" w:eastAsia="仿宋_GB2312" w:cs="Times New Roman"/>
      <w:sz w:val="30"/>
      <w:szCs w:val="30"/>
    </w:rPr>
  </w:style>
  <w:style w:type="character" w:styleId="728">
    <w:name w:val="正文首行缩进 Char"/>
    <w:next w:val="728"/>
    <w:link w:val="727"/>
    <w:rPr>
      <w:rFonts w:ascii="仿宋_GB2312" w:hAnsi="Times New Roman" w:eastAsia="仿宋_GB2312" w:cs="Times New Roman"/>
      <w:sz w:val="30"/>
      <w:szCs w:val="30"/>
    </w:rPr>
  </w:style>
  <w:style w:type="paragraph" w:styleId="729">
    <w:name w:val="正文首行缩进 2"/>
    <w:basedOn w:val="693"/>
    <w:next w:val="729"/>
    <w:link w:val="730"/>
    <w:pPr>
      <w:ind w:left="0" w:firstLine="420"/>
      <w:spacing w:after="0" w:line="360" w:lineRule="auto"/>
    </w:pPr>
    <w:rPr>
      <w:rFonts w:ascii="宋体" w:hAnsi="宋体" w:eastAsia="宋体" w:cs="Times New Roman"/>
      <w:szCs w:val="20"/>
    </w:rPr>
  </w:style>
  <w:style w:type="character" w:styleId="730">
    <w:name w:val="正文首行缩进 2 Char"/>
    <w:next w:val="730"/>
    <w:link w:val="729"/>
    <w:rPr>
      <w:rFonts w:ascii="宋体" w:hAnsi="宋体" w:eastAsia="宋体" w:cs="Times New Roman"/>
      <w:szCs w:val="20"/>
    </w:rPr>
  </w:style>
  <w:style w:type="table" w:styleId="731">
    <w:name w:val="网格型"/>
    <w:basedOn w:val="671"/>
    <w:next w:val="731"/>
    <w:link w:val="660"/>
    <w:pPr>
      <w:jc w:val="both"/>
      <w:widowControl w:val="off"/>
    </w:pPr>
    <w:rPr>
      <w:rFonts w:ascii="Times New Roman" w:hAnsi="Times New Roman" w:eastAsia="宋体" w:cs="Times New Roman"/>
      <w:sz w:val="20"/>
      <w:szCs w:val="20"/>
    </w:rPr>
    <w:tblPr/>
  </w:style>
  <w:style w:type="character" w:styleId="732">
    <w:name w:val="要点"/>
    <w:next w:val="732"/>
    <w:link w:val="660"/>
    <w:qFormat/>
    <w:rPr>
      <w:b/>
      <w:bCs/>
    </w:rPr>
  </w:style>
  <w:style w:type="character" w:styleId="733">
    <w:name w:val="页码"/>
    <w:next w:val="733"/>
    <w:link w:val="660"/>
  </w:style>
  <w:style w:type="character" w:styleId="734">
    <w:name w:val="已访问的超链接"/>
    <w:next w:val="734"/>
    <w:link w:val="660"/>
    <w:rPr>
      <w:color w:val="800080"/>
      <w:u w:val="single"/>
    </w:rPr>
  </w:style>
  <w:style w:type="character" w:styleId="735">
    <w:name w:val="超链接"/>
    <w:next w:val="735"/>
    <w:link w:val="660"/>
    <w:rPr>
      <w:color w:val="0000ff"/>
      <w:u w:val="single"/>
    </w:rPr>
  </w:style>
  <w:style w:type="character" w:styleId="736">
    <w:name w:val="批注引用"/>
    <w:next w:val="736"/>
    <w:link w:val="660"/>
    <w:semiHidden/>
    <w:rPr>
      <w:sz w:val="21"/>
      <w:szCs w:val="21"/>
    </w:rPr>
  </w:style>
  <w:style w:type="character" w:styleId="737">
    <w:name w:val="列出段落 Char,Bullet List Char,numbered Char,FooterText Char,List Paragraph1 Char,Paragraphe de liste1 Char"/>
    <w:next w:val="737"/>
    <w:link w:val="738"/>
    <w:rPr>
      <w:rFonts w:ascii="Calibri" w:hAnsi="Calibri"/>
      <w:sz w:val="24"/>
      <w:szCs w:val="24"/>
      <w:lang w:eastAsia="en-US" w:bidi="en-US"/>
    </w:rPr>
  </w:style>
  <w:style w:type="paragraph" w:styleId="738">
    <w:name w:val="列出段落1"/>
    <w:basedOn w:val="660"/>
    <w:next w:val="738"/>
    <w:link w:val="737"/>
    <w:qFormat/>
    <w:pPr>
      <w:contextualSpacing/>
      <w:ind w:left="720"/>
      <w:jc w:val="left"/>
      <w:widowControl/>
    </w:pPr>
    <w:rPr>
      <w:rFonts w:ascii="Calibri" w:hAnsi="Calibri"/>
      <w:sz w:val="24"/>
      <w:szCs w:val="24"/>
      <w:lang w:eastAsia="en-US" w:bidi="en-US"/>
    </w:rPr>
  </w:style>
  <w:style w:type="character" w:styleId="739">
    <w:name w:val="font5 Char"/>
    <w:next w:val="739"/>
    <w:link w:val="660"/>
    <w:rPr>
      <w:rFonts w:ascii="宋体" w:hAnsi="宋体" w:eastAsia="宋体"/>
      <w:sz w:val="28"/>
      <w:szCs w:val="28"/>
      <w:lang w:val="en-US" w:eastAsia="zh-CN" w:bidi="ar-SA"/>
    </w:rPr>
  </w:style>
  <w:style w:type="character" w:styleId="740">
    <w:name w:val="二级目录 Char"/>
    <w:next w:val="740"/>
    <w:link w:val="741"/>
    <w:rPr>
      <w:b/>
      <w:sz w:val="30"/>
      <w:szCs w:val="28"/>
    </w:rPr>
  </w:style>
  <w:style w:type="paragraph" w:styleId="741">
    <w:name w:val="二级目录"/>
    <w:next w:val="660"/>
    <w:link w:val="740"/>
    <w:pPr>
      <w:numPr>
        <w:ilvl w:val="0"/>
        <w:numId w:val="2"/>
      </w:numPr>
      <w:tabs>
        <w:tab w:val="left" w:pos="907" w:leader="none"/>
        <w:tab w:val="left" w:pos="1145" w:leader="none"/>
      </w:tabs>
      <w:outlineLvl w:val="1"/>
    </w:pPr>
    <w:rPr>
      <w:b/>
      <w:sz w:val="30"/>
      <w:szCs w:val="28"/>
      <w:lang w:val="en-US" w:eastAsia="zh-CN" w:bidi="ar-SA"/>
    </w:rPr>
  </w:style>
  <w:style w:type="paragraph" w:styleId="742">
    <w:name w:val="xl30"/>
    <w:basedOn w:val="660"/>
    <w:next w:val="742"/>
    <w:link w:val="660"/>
    <w:pPr>
      <w:jc w:val="center"/>
      <w:spacing w:before="100" w:beforeAutospacing="1" w:after="100" w:afterAutospacing="1"/>
      <w:widowControl/>
    </w:pPr>
    <w:rPr>
      <w:rFonts w:ascii="宋体" w:hAnsi="宋体" w:eastAsia="宋体" w:cs="Times New Roman"/>
      <w:b/>
      <w:bCs/>
      <w:sz w:val="36"/>
      <w:szCs w:val="36"/>
    </w:rPr>
  </w:style>
  <w:style w:type="paragraph" w:styleId="743">
    <w:name w:val="无间隔"/>
    <w:next w:val="743"/>
    <w:link w:val="660"/>
    <w:uiPriority w:val="99"/>
    <w:qFormat/>
    <w:pPr>
      <w:jc w:val="both"/>
      <w:widowControl w:val="off"/>
    </w:pPr>
    <w:rPr>
      <w:sz w:val="21"/>
      <w:szCs w:val="21"/>
      <w:lang w:val="en-US" w:eastAsia="zh-CN" w:bidi="ar-SA"/>
    </w:rPr>
  </w:style>
  <w:style w:type="paragraph" w:styleId="744">
    <w:name w:val="Char"/>
    <w:basedOn w:val="660"/>
    <w:next w:val="744"/>
    <w:link w:val="660"/>
    <w:pPr>
      <w:ind w:firstLine="200"/>
      <w:tabs>
        <w:tab w:val="left" w:pos="360" w:leader="none"/>
      </w:tabs>
    </w:pPr>
    <w:rPr>
      <w:rFonts w:ascii="Times New Roman" w:hAnsi="Times New Roman" w:eastAsia="宋体" w:cs="Times New Roman"/>
      <w:sz w:val="28"/>
      <w:szCs w:val="30"/>
    </w:rPr>
  </w:style>
  <w:style w:type="paragraph" w:styleId="745">
    <w:name w:val="图标"/>
    <w:basedOn w:val="660"/>
    <w:next w:val="660"/>
    <w:link w:val="6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46">
    <w:name w:val="Char Char Char Char Char Char Char Char"/>
    <w:basedOn w:val="660"/>
    <w:next w:val="746"/>
    <w:link w:val="660"/>
    <w:pPr>
      <w:jc w:val="left"/>
      <w:spacing w:after="160" w:line="240" w:lineRule="exact"/>
      <w:widowControl/>
    </w:pPr>
    <w:rPr>
      <w:rFonts w:ascii="Verdana" w:hAnsi="Verdana" w:eastAsia="宋体" w:cs="Times New Roman"/>
      <w:sz w:val="20"/>
      <w:szCs w:val="20"/>
      <w:lang w:eastAsia="en-US"/>
    </w:rPr>
  </w:style>
  <w:style w:type="paragraph" w:styleId="747">
    <w:name w:val="Char Char Char Char"/>
    <w:basedOn w:val="685"/>
    <w:next w:val="747"/>
    <w:link w:val="660"/>
    <w:pPr>
      <w:spacing w:line="360" w:lineRule="auto"/>
    </w:pPr>
    <w:rPr>
      <w:rFonts w:ascii="Tahoma" w:hAnsi="Tahoma"/>
      <w:sz w:val="24"/>
      <w:szCs w:val="24"/>
    </w:rPr>
  </w:style>
  <w:style w:type="paragraph" w:styleId="748">
    <w:name w:val="样式1"/>
    <w:basedOn w:val="660"/>
    <w:next w:val="748"/>
    <w:link w:val="660"/>
    <w:pPr>
      <w:numPr>
        <w:ilvl w:val="0"/>
        <w:numId w:val="3"/>
      </w:numPr>
      <w:tabs>
        <w:tab w:val="left" w:pos="709" w:leader="none"/>
      </w:tabs>
    </w:pPr>
    <w:rPr>
      <w:rFonts w:ascii="宋体" w:hAnsi="宋体" w:eastAsia="宋体" w:cs="Times New Roman"/>
      <w:szCs w:val="21"/>
    </w:rPr>
  </w:style>
  <w:style w:type="paragraph" w:styleId="749">
    <w:name w:val="font7"/>
    <w:basedOn w:val="660"/>
    <w:next w:val="749"/>
    <w:link w:val="660"/>
    <w:pPr>
      <w:jc w:val="left"/>
      <w:spacing w:before="100" w:beforeAutospacing="1" w:after="100" w:afterAutospacing="1"/>
      <w:widowControl/>
    </w:pPr>
    <w:rPr>
      <w:rFonts w:hint="eastAsia" w:ascii="宋体" w:hAnsi="宋体" w:eastAsia="宋体" w:cs="Times New Roman"/>
      <w:sz w:val="18"/>
      <w:szCs w:val="18"/>
    </w:rPr>
  </w:style>
  <w:style w:type="paragraph" w:styleId="750">
    <w:name w:val="Table Paragraph"/>
    <w:basedOn w:val="660"/>
    <w:next w:val="750"/>
    <w:link w:val="660"/>
    <w:uiPriority w:val="1"/>
    <w:qFormat/>
    <w:pPr>
      <w:jc w:val="left"/>
    </w:pPr>
    <w:rPr>
      <w:sz w:val="24"/>
    </w:rPr>
  </w:style>
  <w:style w:type="paragraph" w:styleId="751">
    <w:name w:val="附录1"/>
    <w:next w:val="751"/>
    <w:link w:val="660"/>
    <w:pPr>
      <w:numPr>
        <w:ilvl w:val="0"/>
        <w:numId w:val="2"/>
      </w:numPr>
      <w:spacing w:before="240" w:line="600" w:lineRule="atLeast"/>
      <w:tabs>
        <w:tab w:val="left" w:pos="907" w:leader="none"/>
      </w:tabs>
    </w:pPr>
    <w:rPr>
      <w:b/>
      <w:i/>
      <w:sz w:val="28"/>
      <w:lang w:val="en-US" w:eastAsia="zh-CN" w:bidi="ar-SA"/>
    </w:rPr>
  </w:style>
  <w:style w:type="paragraph" w:styleId="752">
    <w:name w:val=" Char"/>
    <w:basedOn w:val="685"/>
    <w:next w:val="752"/>
    <w:link w:val="660"/>
    <w:rPr>
      <w:rFonts w:ascii="Tahoma" w:hAnsi="Tahoma"/>
      <w:sz w:val="24"/>
      <w:szCs w:val="24"/>
    </w:rPr>
  </w:style>
  <w:style w:type="paragraph" w:styleId="753">
    <w:name w:val="xl27"/>
    <w:basedOn w:val="660"/>
    <w:next w:val="753"/>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xl28"/>
    <w:basedOn w:val="660"/>
    <w:next w:val="754"/>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55">
    <w:name w:val="正文1"/>
    <w:basedOn w:val="691"/>
    <w:next w:val="660"/>
    <w:link w:val="660"/>
    <w:qFormat/>
    <w:pPr>
      <w:ind w:left="420" w:firstLine="527"/>
      <w:spacing w:before="120" w:line="360" w:lineRule="auto"/>
      <w:tabs>
        <w:tab w:val="left" w:pos="5250" w:leader="none"/>
      </w:tabs>
    </w:pPr>
    <w:rPr>
      <w:rFonts w:ascii="宋体" w:hAnsi="宋体"/>
    </w:rPr>
  </w:style>
  <w:style w:type="paragraph" w:styleId="756">
    <w:name w:val="xl24"/>
    <w:basedOn w:val="660"/>
    <w:next w:val="756"/>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7">
    <w:name w:val="普通 (Web)"/>
    <w:basedOn w:val="660"/>
    <w:next w:val="757"/>
    <w:link w:val="660"/>
    <w:pPr>
      <w:jc w:val="left"/>
      <w:spacing w:before="100" w:beforeAutospacing="1" w:after="100" w:afterAutospacing="1"/>
      <w:widowControl/>
    </w:pPr>
    <w:rPr>
      <w:rFonts w:ascii="宋体" w:hAnsi="宋体" w:eastAsia="宋体" w:cs="Times New Roman"/>
      <w:sz w:val="24"/>
      <w:szCs w:val="24"/>
    </w:rPr>
  </w:style>
  <w:style w:type="paragraph" w:styleId="758">
    <w:name w:val="普通正文"/>
    <w:basedOn w:val="660"/>
    <w:next w:val="758"/>
    <w:link w:val="660"/>
    <w:pPr>
      <w:ind w:firstLine="480"/>
      <w:jc w:val="left"/>
      <w:spacing w:before="120" w:after="120" w:line="360" w:lineRule="auto"/>
    </w:pPr>
    <w:rPr>
      <w:rFonts w:ascii="Arial" w:hAnsi="Arial" w:eastAsia="宋体" w:cs="Times New Roman"/>
      <w:sz w:val="24"/>
      <w:szCs w:val="24"/>
    </w:rPr>
  </w:style>
  <w:style w:type="paragraph" w:styleId="759">
    <w:name w:val="4"/>
    <w:basedOn w:val="660"/>
    <w:next w:val="716"/>
    <w:link w:val="660"/>
    <w:pPr>
      <w:ind w:firstLine="420"/>
      <w:spacing w:line="360" w:lineRule="auto"/>
    </w:pPr>
    <w:rPr>
      <w:rFonts w:ascii="Times New Roman" w:hAnsi="Times New Roman" w:eastAsia="宋体" w:cs="Times New Roman"/>
      <w:color w:val="ff0000"/>
      <w:sz w:val="24"/>
      <w:szCs w:val="24"/>
    </w:rPr>
  </w:style>
  <w:style w:type="paragraph" w:styleId="760">
    <w:name w:val="标题3"/>
    <w:basedOn w:val="660"/>
    <w:next w:val="660"/>
    <w:link w:val="660"/>
    <w:pPr>
      <w:ind w:firstLine="624"/>
      <w:spacing w:line="590" w:lineRule="atLeast"/>
    </w:pPr>
    <w:rPr>
      <w:rFonts w:ascii="方正黑体_GBK" w:hAnsi="Times New Roman" w:eastAsia="方正黑体_GBK" w:cs="Times New Roman"/>
      <w:sz w:val="32"/>
      <w:szCs w:val="32"/>
    </w:rPr>
  </w:style>
  <w:style w:type="paragraph" w:styleId="761">
    <w:name w:val="table_lines"/>
    <w:basedOn w:val="660"/>
    <w:next w:val="761"/>
    <w:link w:val="660"/>
    <w:pPr>
      <w:jc w:val="left"/>
      <w:widowControl/>
    </w:pPr>
    <w:rPr>
      <w:rFonts w:ascii="Times New Roman" w:hAnsi="Times New Roman" w:eastAsia="宋体" w:cs="Times New Roman"/>
      <w:sz w:val="20"/>
      <w:szCs w:val="20"/>
      <w:lang w:val="de-DE" w:eastAsia="de-DE"/>
    </w:rPr>
  </w:style>
  <w:style w:type="paragraph" w:styleId="762">
    <w:name w:val="修订"/>
    <w:next w:val="762"/>
    <w:link w:val="660"/>
    <w:uiPriority w:val="99"/>
    <w:semiHidden/>
    <w:rPr>
      <w:sz w:val="21"/>
      <w:szCs w:val="21"/>
      <w:lang w:val="en-US" w:eastAsia="zh-CN" w:bidi="ar-SA"/>
    </w:rPr>
  </w:style>
  <w:style w:type="paragraph" w:styleId="763">
    <w:name w:val="xl26"/>
    <w:basedOn w:val="660"/>
    <w:next w:val="763"/>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4">
    <w:name w:val="font6"/>
    <w:basedOn w:val="660"/>
    <w:next w:val="764"/>
    <w:link w:val="660"/>
    <w:pPr>
      <w:jc w:val="left"/>
      <w:spacing w:before="100" w:beforeAutospacing="1" w:after="100" w:afterAutospacing="1"/>
      <w:widowControl/>
    </w:pPr>
    <w:rPr>
      <w:rFonts w:hint="eastAsia" w:ascii="宋体" w:hAnsi="宋体" w:eastAsia="宋体" w:cs="Times New Roman"/>
      <w:sz w:val="28"/>
      <w:szCs w:val="28"/>
      <w:u w:val="single"/>
    </w:rPr>
  </w:style>
  <w:style w:type="paragraph" w:styleId="765">
    <w:name w:val="xl29"/>
    <w:basedOn w:val="660"/>
    <w:next w:val="765"/>
    <w:link w:val="6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6">
    <w:name w:val="table_1stline"/>
    <w:basedOn w:val="660"/>
    <w:next w:val="766"/>
    <w:link w:val="660"/>
    <w:pPr>
      <w:jc w:val="left"/>
      <w:spacing w:before="120"/>
      <w:widowControl/>
    </w:pPr>
    <w:rPr>
      <w:rFonts w:ascii="Times New Roman" w:hAnsi="Times New Roman" w:eastAsia="宋体" w:cs="Times New Roman"/>
      <w:bCs/>
      <w:sz w:val="20"/>
      <w:szCs w:val="20"/>
      <w:lang w:val="de-DE" w:eastAsia="de-DE"/>
    </w:rPr>
  </w:style>
  <w:style w:type="paragraph" w:styleId="767">
    <w:name w:val="font5"/>
    <w:basedOn w:val="660"/>
    <w:next w:val="767"/>
    <w:link w:val="660"/>
    <w:pPr>
      <w:jc w:val="left"/>
      <w:spacing w:before="100" w:beforeAutospacing="1" w:after="100" w:afterAutospacing="1"/>
      <w:widowControl/>
    </w:pPr>
    <w:rPr>
      <w:rFonts w:hint="eastAsia" w:ascii="宋体" w:hAnsi="宋体" w:eastAsia="宋体" w:cs="Times New Roman"/>
      <w:sz w:val="28"/>
      <w:szCs w:val="28"/>
    </w:rPr>
  </w:style>
  <w:style w:type="paragraph" w:styleId="768">
    <w:name w:val="xl25"/>
    <w:basedOn w:val="660"/>
    <w:next w:val="768"/>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9">
    <w:name w:val="标题1"/>
    <w:basedOn w:val="660"/>
    <w:next w:val="660"/>
    <w:link w:val="6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0">
    <w:name w:val="寄信人地址1"/>
    <w:basedOn w:val="660"/>
    <w:next w:val="770"/>
    <w:link w:val="660"/>
    <w:qFormat/>
    <w:rPr>
      <w:rFonts w:ascii="Arial" w:hAnsi="Arial" w:eastAsia="宋体"/>
      <w:sz w:val="21"/>
      <w:szCs w:val="24"/>
    </w:rPr>
  </w:style>
  <w:style w:type="paragraph" w:styleId="771">
    <w:name w:val=" Char Char Char Char Char Char Char Char"/>
    <w:basedOn w:val="660"/>
    <w:next w:val="771"/>
    <w:link w:val="660"/>
    <w:pPr>
      <w:jc w:val="left"/>
      <w:spacing w:after="160" w:line="240" w:lineRule="exact"/>
      <w:widowControl/>
    </w:pPr>
    <w:rPr>
      <w:rFonts w:ascii="Verdana" w:hAnsi="Verdana" w:eastAsia="宋体" w:cs="Times New Roman"/>
      <w:sz w:val="20"/>
      <w:szCs w:val="20"/>
      <w:lang w:eastAsia="en-US"/>
    </w:rPr>
  </w:style>
  <w:style w:type="paragraph" w:styleId="772">
    <w:name w:val="正文文本缩进1"/>
    <w:basedOn w:val="660"/>
    <w:next w:val="772"/>
    <w:link w:val="660"/>
    <w:unhideWhenUsed/>
    <w:pPr>
      <w:ind w:left="420"/>
      <w:spacing w:after="120"/>
    </w:pPr>
  </w:style>
  <w:style w:type="paragraph" w:styleId="773">
    <w:name w:val="列出段落"/>
    <w:basedOn w:val="660"/>
    <w:next w:val="773"/>
    <w:link w:val="660"/>
    <w:qFormat/>
    <w:pPr>
      <w:contextualSpacing/>
      <w:ind w:left="720"/>
      <w:jc w:val="left"/>
      <w:widowControl/>
    </w:pPr>
    <w:rPr>
      <w:rFonts w:ascii="Calibri" w:hAnsi="Calibri" w:eastAsia="宋体" w:cs="Times New Roman"/>
      <w:sz w:val="24"/>
      <w:szCs w:val="24"/>
      <w:lang w:eastAsia="en-US" w:bidi="en-US"/>
    </w:rPr>
  </w:style>
  <w:style w:type="paragraph" w:styleId="774">
    <w:name w:val="Body Text(ch)"/>
    <w:basedOn w:val="660"/>
    <w:next w:val="691"/>
    <w:link w:val="660"/>
    <w:pPr>
      <w:spacing w:after="120"/>
    </w:pPr>
    <w:rPr>
      <w:rFonts w:ascii="宋体" w:hAnsi="Arial" w:eastAsia="宋体" w:cs="Times New Roman"/>
      <w:bCs/>
      <w:iCs/>
      <w:szCs w:val="24"/>
    </w:rPr>
  </w:style>
  <w:style w:type="paragraph" w:styleId="775">
    <w:name w:val="首行缩进"/>
    <w:basedOn w:val="660"/>
    <w:next w:val="775"/>
    <w:link w:val="660"/>
    <w:qFormat/>
    <w:pPr>
      <w:ind w:firstLine="480"/>
    </w:pPr>
    <w:rPr>
      <w:lang w:val="zh-CN"/>
    </w:rPr>
  </w:style>
  <w:style w:type="paragraph" w:styleId="776">
    <w:name w:val=" Char Char Char Char Char Char Char Char Char Char"/>
    <w:basedOn w:val="660"/>
    <w:next w:val="776"/>
    <w:link w:val="660"/>
    <w:pPr>
      <w:spacing w:line="360" w:lineRule="auto"/>
    </w:pPr>
    <w:rPr>
      <w:rFonts w:ascii="Times New Roman" w:hAnsi="Times New Roman" w:eastAsia="宋体" w:cs="Times New Roman"/>
      <w:sz w:val="24"/>
      <w:szCs w:val="20"/>
    </w:rPr>
  </w:style>
  <w:style w:type="paragraph" w:styleId="777">
    <w:name w:val=" Char Char Char Char"/>
    <w:basedOn w:val="685"/>
    <w:next w:val="777"/>
    <w:link w:val="660"/>
    <w:pPr>
      <w:spacing w:line="360" w:lineRule="auto"/>
    </w:pPr>
    <w:rPr>
      <w:rFonts w:ascii="Tahoma" w:hAnsi="Tahoma"/>
      <w:sz w:val="24"/>
      <w:szCs w:val="24"/>
    </w:rPr>
  </w:style>
  <w:style w:type="paragraph" w:styleId="778">
    <w:name w:val="标题 11"/>
    <w:basedOn w:val="660"/>
    <w:next w:val="660"/>
    <w:link w:val="660"/>
    <w:qFormat/>
    <w:pPr>
      <w:jc w:val="center"/>
      <w:keepNext/>
      <w:outlineLvl w:val="0"/>
    </w:pPr>
    <w:rPr>
      <w:rFonts w:ascii="楷体_GB2312" w:hAnsi="Times New Roman" w:eastAsia="楷体_GB2312" w:cs="Times New Roman"/>
      <w:sz w:val="28"/>
      <w:szCs w:val="28"/>
    </w:rPr>
  </w:style>
  <w:style w:type="character" w:styleId="779">
    <w:name w:val="16"/>
    <w:basedOn w:val="670"/>
    <w:next w:val="779"/>
    <w:link w:val="660"/>
    <w:qFormat/>
    <w:rPr>
      <w:rFonts w:ascii="Times New Roman" w:hAnsi="Times New Roman" w:cs="Times New Roman"/>
      <w:i/>
    </w:rPr>
  </w:style>
  <w:style w:type="character" w:styleId="16886" w:default="1">
    <w:name w:val="Default Paragraph Font"/>
    <w:uiPriority w:val="1"/>
    <w:semiHidden/>
    <w:unhideWhenUsed/>
  </w:style>
  <w:style w:type="numbering" w:styleId="16887" w:default="1">
    <w:name w:val="No List"/>
    <w:uiPriority w:val="99"/>
    <w:semiHidden/>
    <w:unhideWhenUsed/>
  </w:style>
  <w:style w:type="table" w:styleId="168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汪亮</cp:lastModifiedBy>
  <cp:revision>3</cp:revision>
  <dcterms:created xsi:type="dcterms:W3CDTF">2026-02-27T05:47:00Z</dcterms:created>
  <dcterms:modified xsi:type="dcterms:W3CDTF">2026-03-19T05:50:22Z</dcterms:modified>
</cp:coreProperties>
</file>