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spacing w:line="480" w:lineRule="exact"/>
        <w:rPr>
          <w:rFonts w:hint="eastAsia" w:ascii="宋体" w:hAnsi="宋体" w:cs="宋体"/>
          <w:b/>
          <w:color w:val="000000"/>
          <w:sz w:val="72"/>
          <w:szCs w:val="20"/>
          <w:lang w:bidi="ar"/>
        </w:rPr>
      </w:pPr>
      <w:r/>
      <w:bookmarkStart w:id="0" w:name="_Toc97191716"/>
      <w:r/>
      <w:bookmarkStart w:id="1" w:name="_Toc2583690"/>
      <w:r/>
      <w:bookmarkStart w:id="2" w:name="_Hlk145532791"/>
      <w:r/>
      <w:bookmarkStart w:id="3" w:name="_Toc97191717"/>
      <w:r/>
      <w:bookmarkStart w:id="4" w:name="_Hlk145532938"/>
      <w:r/>
      <w:bookmarkStart w:id="5" w:name="_Toc97191718"/>
      <w:r/>
      <w:bookmarkStart w:id="6" w:name="_Toc97191719"/>
      <w:r/>
      <w:bookmarkStart w:id="7" w:name="_Hlk145533390"/>
      <w:r/>
      <w:bookmarkStart w:id="8" w:name="_Toc97191725"/>
      <w:r/>
      <w:bookmarkStart w:id="9" w:name="_Toc97191730"/>
      <w:r/>
      <w:bookmarkStart w:id="10" w:name="_Toc97191731"/>
      <w:r>
        <w:rPr>
          <w:rFonts w:hint="eastAsia" w:ascii="宋体" w:hAnsi="宋体" w:cs="宋体"/>
          <w:b/>
          <w:color w:val="000000"/>
          <w:sz w:val="72"/>
          <w:szCs w:val="20"/>
          <w:lang w:bidi="ar"/>
        </w:rPr>
      </w:r>
      <w:r/>
    </w:p>
    <w:p>
      <w:pPr>
        <w:pStyle w:val="864"/>
        <w:ind w:left="-1"/>
        <w:jc w:val="center"/>
        <w:spacing w:line="480" w:lineRule="exact"/>
        <w:rPr>
          <w:rFonts w:hint="eastAsia" w:ascii="宋体" w:hAnsi="宋体" w:cs="宋体"/>
          <w:b/>
          <w:color w:val="000000"/>
          <w:sz w:val="72"/>
          <w:szCs w:val="20"/>
          <w:lang w:bidi="ar"/>
        </w:rPr>
      </w:pPr>
      <w:r>
        <w:rPr>
          <w:rFonts w:hint="eastAsia" w:ascii="宋体" w:hAnsi="宋体" w:cs="宋体"/>
          <w:b/>
          <w:color w:val="000000"/>
          <w:sz w:val="72"/>
          <w:szCs w:val="20"/>
          <w:lang w:bidi="ar"/>
        </w:rPr>
      </w:r>
      <w:r/>
    </w:p>
    <w:p>
      <w:pPr>
        <w:pStyle w:val="864"/>
        <w:ind w:left="-1"/>
        <w:jc w:val="center"/>
        <w:spacing w:line="480" w:lineRule="exact"/>
        <w:rPr>
          <w:rFonts w:ascii="宋体" w:hAnsi="宋体" w:cs="宋体"/>
          <w:b/>
          <w:color w:val="000000"/>
          <w:sz w:val="72"/>
          <w:szCs w:val="20"/>
          <w:lang w:bidi="ar"/>
        </w:rPr>
      </w:pPr>
      <w:r>
        <w:rPr>
          <w:rFonts w:hint="eastAsia" w:ascii="宋体" w:hAnsi="宋体" w:cs="宋体"/>
          <w:b/>
          <w:color w:val="000000"/>
          <w:sz w:val="72"/>
          <w:szCs w:val="20"/>
          <w:lang w:bidi="ar"/>
        </w:rPr>
        <w:t xml:space="preserve"> </w:t>
      </w:r>
      <w:r>
        <w:rPr>
          <w:rFonts w:ascii="宋体" w:hAnsi="宋体" w:cs="宋体"/>
          <w:b/>
          <w:color w:val="000000"/>
          <w:sz w:val="72"/>
          <w:szCs w:val="20"/>
          <w:lang w:bidi="ar"/>
        </w:rPr>
      </w:r>
      <w:r/>
    </w:p>
    <w:p>
      <w:pPr>
        <w:pStyle w:val="864"/>
        <w:ind w:firstLine="1446"/>
        <w:spacing w:line="360" w:lineRule="auto"/>
        <w:rPr>
          <w:rFonts w:hint="eastAsia" w:ascii="宋体" w:hAnsi="宋体" w:cs="宋体"/>
          <w:b/>
          <w:color w:val="000000"/>
          <w:sz w:val="72"/>
          <w:szCs w:val="20"/>
        </w:rPr>
      </w:pPr>
      <w:r>
        <w:rPr>
          <w:rFonts w:hint="eastAsia" w:ascii="宋体" w:hAnsi="宋体" w:cs="宋体"/>
          <w:b/>
          <w:color w:val="000000"/>
          <w:sz w:val="72"/>
          <w:szCs w:val="20"/>
          <w:lang w:bidi="ar"/>
        </w:rPr>
        <w:t xml:space="preserve">苏 州 市 政 府 采 购 </w:t>
      </w:r>
      <w:r>
        <w:rPr>
          <w:rFonts w:hint="eastAsia" w:ascii="宋体" w:hAnsi="宋体" w:cs="宋体"/>
          <w:b/>
          <w:color w:val="000000"/>
          <w:sz w:val="72"/>
          <w:szCs w:val="20"/>
        </w:rPr>
      </w:r>
      <w:r/>
    </w:p>
    <w:p>
      <w:pPr>
        <w:pStyle w:val="864"/>
        <w:ind w:left="-1"/>
        <w:jc w:val="center"/>
        <w:spacing w:line="360" w:lineRule="auto"/>
        <w:rPr>
          <w:rFonts w:hint="eastAsia" w:ascii="宋体" w:hAnsi="宋体" w:cs="宋体"/>
          <w:b/>
          <w:color w:val="000000"/>
          <w:sz w:val="72"/>
          <w:szCs w:val="20"/>
        </w:rPr>
      </w:pPr>
      <w:r>
        <w:rPr>
          <w:rFonts w:hint="eastAsia" w:ascii="宋体" w:hAnsi="宋体" w:cs="宋体"/>
          <w:b/>
          <w:color w:val="000000"/>
          <w:sz w:val="72"/>
          <w:szCs w:val="20"/>
          <w:lang w:bidi="ar"/>
        </w:rPr>
        <w:t xml:space="preserve">  招 标 文 件</w:t>
      </w:r>
      <w:r>
        <w:rPr>
          <w:rFonts w:hint="eastAsia" w:ascii="宋体" w:hAnsi="宋体" w:cs="宋体"/>
          <w:b/>
          <w:color w:val="000000"/>
          <w:sz w:val="72"/>
          <w:szCs w:val="20"/>
        </w:rPr>
      </w:r>
      <w:r/>
    </w:p>
    <w:p>
      <w:pPr>
        <w:pStyle w:val="864"/>
        <w:ind w:left="420"/>
        <w:jc w:val="center"/>
        <w:spacing w:line="360" w:lineRule="auto"/>
        <w:rPr>
          <w:rFonts w:hint="eastAsia" w:ascii="宋体" w:hAnsi="宋体" w:cs="宋体"/>
          <w:b/>
          <w:color w:val="000000"/>
          <w:spacing w:val="40"/>
          <w:sz w:val="15"/>
          <w:szCs w:val="15"/>
        </w:rPr>
      </w:pPr>
      <w:r>
        <w:rPr>
          <w:rFonts w:hint="eastAsia" w:ascii="宋体" w:hAnsi="宋体" w:cs="宋体"/>
          <w:b/>
          <w:color w:val="000000"/>
          <w:spacing w:val="40"/>
          <w:sz w:val="15"/>
          <w:szCs w:val="15"/>
        </w:rPr>
      </w:r>
      <w:r/>
    </w:p>
    <w:p>
      <w:pPr>
        <w:pStyle w:val="864"/>
        <w:ind w:left="420"/>
        <w:jc w:val="center"/>
        <w:spacing w:line="360" w:lineRule="auto"/>
        <w:rPr>
          <w:rFonts w:hint="eastAsia" w:ascii="宋体" w:hAnsi="宋体" w:cs="宋体"/>
          <w:b/>
          <w:color w:val="000000"/>
          <w:spacing w:val="40"/>
          <w:sz w:val="15"/>
          <w:szCs w:val="15"/>
        </w:rPr>
      </w:pPr>
      <w:r>
        <w:rPr>
          <w:rFonts w:hint="eastAsia" w:ascii="宋体" w:hAnsi="宋体" w:cs="宋体"/>
          <w:b/>
          <w:color w:val="000000"/>
          <w:spacing w:val="40"/>
          <w:sz w:val="15"/>
          <w:szCs w:val="15"/>
        </w:rPr>
      </w:r>
      <w:r/>
    </w:p>
    <w:p>
      <w:pPr>
        <w:pStyle w:val="864"/>
        <w:ind w:left="420"/>
        <w:jc w:val="center"/>
        <w:spacing w:line="360" w:lineRule="auto"/>
        <w:rPr>
          <w:color w:val="000000"/>
        </w:rPr>
      </w:pPr>
      <w:r>
        <w:rPr>
          <w:color w:val="000000"/>
        </w:rPr>
      </w:r>
      <w:r/>
    </w:p>
    <w:p>
      <w:pPr>
        <w:pStyle w:val="864"/>
        <w:ind w:left="420"/>
        <w:jc w:val="center"/>
        <w:spacing w:line="360" w:lineRule="auto"/>
        <w:rPr>
          <w:rFonts w:hint="eastAsia"/>
          <w:color w:val="000000"/>
        </w:rPr>
      </w:pPr>
      <w:r>
        <w:rPr>
          <w:rFonts w:hint="eastAsia"/>
          <w:color w:val="000000"/>
        </w:rPr>
      </w:r>
      <w:r/>
    </w:p>
    <w:p>
      <w:pPr>
        <w:pStyle w:val="864"/>
        <w:spacing w:line="360" w:lineRule="auto"/>
        <w:rPr>
          <w:color w:val="000000"/>
        </w:rPr>
      </w:pPr>
      <w:r>
        <w:rPr>
          <w:color w:val="000000"/>
        </w:rPr>
      </w:r>
      <w:r/>
    </w:p>
    <w:p>
      <w:pPr>
        <w:pStyle w:val="864"/>
        <w:spacing w:line="360" w:lineRule="auto"/>
        <w:rPr>
          <w:rFonts w:hint="eastAsia"/>
          <w:color w:val="000000"/>
        </w:rPr>
      </w:pPr>
      <w:r>
        <w:rPr>
          <w:rFonts w:hint="eastAsia"/>
          <w:color w:val="000000"/>
        </w:rPr>
      </w:r>
      <w:r/>
    </w:p>
    <w:p>
      <w:pPr>
        <w:pStyle w:val="864"/>
        <w:ind w:left="420" w:firstLine="793"/>
        <w:jc w:val="left"/>
        <w:spacing w:line="360" w:lineRule="auto"/>
        <w:rPr>
          <w:b/>
          <w:color w:val="000000"/>
          <w:sz w:val="32"/>
        </w:rPr>
      </w:pPr>
      <w:r>
        <w:rPr>
          <w:rFonts w:hint="eastAsia" w:cs="宋体"/>
          <w:b/>
          <w:color w:val="000000"/>
          <w:sz w:val="32"/>
          <w:lang w:bidi="ar"/>
        </w:rPr>
        <w:t xml:space="preserve">采购编号</w:t>
      </w:r>
      <w:r>
        <w:rPr>
          <w:b/>
          <w:color w:val="000000"/>
          <w:sz w:val="32"/>
          <w:lang w:bidi="ar"/>
        </w:rPr>
        <w:t xml:space="preserve">:</w:t>
      </w:r>
      <w:r>
        <w:rPr>
          <w:rFonts w:hint="eastAsia"/>
          <w:b/>
          <w:color w:val="000000"/>
          <w:sz w:val="32"/>
          <w:lang w:eastAsia="zh-CN" w:bidi="ar"/>
        </w:rPr>
        <w:t xml:space="preserve">JSZC-320500-CCCC-G2026-0008</w:t>
      </w:r>
      <w:r>
        <w:rPr>
          <w:rFonts w:hint="eastAsia" w:cs="宋体"/>
          <w:b/>
          <w:color w:val="000000"/>
          <w:sz w:val="32"/>
          <w:lang w:bidi="ar"/>
        </w:rPr>
        <w:t xml:space="preserve">号</w:t>
      </w:r>
      <w:r>
        <w:rPr>
          <w:b/>
          <w:color w:val="000000"/>
          <w:sz w:val="32"/>
        </w:rPr>
      </w:r>
      <w:r/>
    </w:p>
    <w:p>
      <w:pPr>
        <w:pStyle w:val="864"/>
        <w:ind w:left="420" w:firstLine="793"/>
        <w:jc w:val="left"/>
        <w:spacing w:line="360" w:lineRule="auto"/>
        <w:rPr>
          <w:rFonts w:hint="eastAsia" w:eastAsia="宋体"/>
          <w:b/>
          <w:color w:val="000000"/>
          <w:sz w:val="32"/>
          <w:lang w:eastAsia="zh-CN"/>
        </w:rPr>
      </w:pPr>
      <w:r>
        <w:rPr>
          <w:rFonts w:hint="eastAsia" w:cs="宋体"/>
          <w:b/>
          <w:color w:val="000000"/>
          <w:sz w:val="32"/>
          <w:lang w:bidi="ar"/>
        </w:rPr>
        <w:t xml:space="preserve">采购人</w:t>
      </w:r>
      <w:r>
        <w:rPr>
          <w:b/>
          <w:color w:val="000000"/>
          <w:sz w:val="32"/>
          <w:lang w:bidi="ar"/>
        </w:rPr>
        <w:t xml:space="preserve">:  </w:t>
      </w:r>
      <w:r>
        <w:rPr>
          <w:rFonts w:hint="eastAsia" w:cs="宋体"/>
          <w:b/>
          <w:color w:val="000000"/>
          <w:sz w:val="32"/>
          <w:lang w:eastAsia="zh-CN" w:bidi="ar"/>
        </w:rPr>
        <w:t xml:space="preserve">苏州市石湖景区管理处（华南虎苏州培育基地）</w:t>
      </w:r>
      <w:r>
        <w:rPr>
          <w:rFonts w:hint="eastAsia" w:eastAsia="宋体"/>
          <w:b/>
          <w:color w:val="000000"/>
          <w:sz w:val="32"/>
          <w:lang w:eastAsia="zh-CN"/>
        </w:rPr>
      </w:r>
      <w:r/>
    </w:p>
    <w:p>
      <w:pPr>
        <w:pStyle w:val="864"/>
        <w:ind w:left="899" w:firstLine="321"/>
        <w:jc w:val="left"/>
        <w:spacing w:line="360" w:lineRule="auto"/>
        <w:rPr>
          <w:rFonts w:hint="eastAsia" w:eastAsia="宋体"/>
          <w:b/>
          <w:color w:val="000000"/>
          <w:sz w:val="32"/>
          <w:lang w:eastAsia="zh-CN"/>
        </w:rPr>
      </w:pPr>
      <w:r>
        <w:rPr>
          <w:rFonts w:hint="eastAsia" w:cs="宋体"/>
          <w:b/>
          <w:color w:val="000000"/>
          <w:sz w:val="32"/>
          <w:lang w:bidi="ar"/>
        </w:rPr>
        <w:t xml:space="preserve">采购内容</w:t>
      </w:r>
      <w:r>
        <w:rPr>
          <w:b/>
          <w:color w:val="000000"/>
          <w:sz w:val="32"/>
          <w:lang w:bidi="ar"/>
        </w:rPr>
        <w:t xml:space="preserve">: </w:t>
      </w:r>
      <w:r>
        <w:rPr>
          <w:rFonts w:hint="eastAsia" w:cs="宋体"/>
          <w:b/>
          <w:color w:val="000000"/>
          <w:sz w:val="32"/>
          <w:lang w:eastAsia="zh-CN" w:bidi="ar"/>
        </w:rPr>
        <w:t xml:space="preserve">野生动物饲料</w:t>
      </w:r>
      <w:r>
        <w:rPr>
          <w:rFonts w:hint="eastAsia" w:eastAsia="宋体"/>
          <w:b/>
          <w:color w:val="000000"/>
          <w:sz w:val="32"/>
          <w:lang w:eastAsia="zh-CN"/>
        </w:rPr>
      </w:r>
      <w:r/>
    </w:p>
    <w:p>
      <w:pPr>
        <w:pStyle w:val="864"/>
        <w:ind w:left="420"/>
        <w:jc w:val="left"/>
        <w:spacing w:line="360" w:lineRule="auto"/>
        <w:rPr>
          <w:rFonts w:hint="eastAsia" w:eastAsia="楷体_GB2312"/>
          <w:color w:val="000000"/>
          <w:sz w:val="24"/>
          <w:szCs w:val="20"/>
        </w:rPr>
      </w:pPr>
      <w:r>
        <w:rPr>
          <w:rFonts w:hint="eastAsia" w:eastAsia="楷体_GB2312"/>
          <w:color w:val="000000"/>
          <w:sz w:val="24"/>
          <w:szCs w:val="20"/>
        </w:rPr>
      </w:r>
      <w:r/>
    </w:p>
    <w:p>
      <w:pPr>
        <w:pStyle w:val="864"/>
        <w:spacing w:line="360" w:lineRule="auto"/>
        <w:rPr>
          <w:rFonts w:ascii="宋体" w:hAnsi="宋体" w:cs="宋体"/>
          <w:color w:val="000000"/>
          <w:sz w:val="24"/>
          <w:lang w:bidi="ar"/>
        </w:rPr>
      </w:pPr>
      <w:r>
        <w:rPr>
          <w:rFonts w:hint="eastAsia" w:ascii="宋体" w:hAnsi="宋体" w:cs="宋体"/>
          <w:color w:val="000000"/>
          <w:sz w:val="24"/>
          <w:lang w:bidi="ar"/>
        </w:rPr>
        <w:t xml:space="preserve">                            </w:t>
      </w:r>
      <w:r>
        <w:rPr>
          <w:rFonts w:hint="eastAsia" w:ascii="宋体" w:hAnsi="宋体" w:cs="宋体"/>
          <w:color w:val="000000"/>
          <w:sz w:val="24"/>
          <w:lang w:bidi="ar"/>
        </w:rPr>
        <mc:AlternateContent>
          <mc:Choice Requires="wpg">
            <w:drawing>
              <wp:inline xmlns:wp="http://schemas.openxmlformats.org/drawingml/2006/wordprocessingDrawing" distT="0" distB="0" distL="0" distR="0">
                <wp:extent cx="1644548" cy="171535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644548" cy="1715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5pt;height:135.1pt;mso-wrap-distance-left:0.0pt;mso-wrap-distance-top:0.0pt;mso-wrap-distance-right:0.0pt;mso-wrap-distance-bottom:0.0pt;" stroked="f">
                <v:path textboxrect="0,0,0,0"/>
                <v:imagedata r:id="rId10" o:title=""/>
              </v:shape>
            </w:pict>
          </mc:Fallback>
        </mc:AlternateContent>
      </w:r>
      <w:r>
        <w:rPr>
          <w:rFonts w:ascii="宋体" w:hAnsi="宋体" w:cs="宋体"/>
          <w:color w:val="000000"/>
          <w:sz w:val="24"/>
          <w:lang w:bidi="ar"/>
        </w:rPr>
      </w:r>
      <w:r/>
    </w:p>
    <w:p>
      <w:pPr>
        <w:pStyle w:val="864"/>
        <w:spacing w:line="360" w:lineRule="auto"/>
        <w:rPr>
          <w:rFonts w:hint="eastAsia" w:ascii="宋体" w:cs="宋体"/>
          <w:color w:val="000000"/>
        </w:rPr>
      </w:pPr>
      <w:r>
        <w:rPr>
          <w:rFonts w:hint="eastAsia" w:ascii="宋体" w:cs="宋体"/>
          <w:color w:val="000000"/>
        </w:rPr>
      </w:r>
      <w:r/>
    </w:p>
    <w:p>
      <w:pPr>
        <w:pStyle w:val="864"/>
        <w:ind w:firstLine="2570"/>
        <w:spacing w:line="360" w:lineRule="auto"/>
        <w:rPr>
          <w:rFonts w:hint="eastAsia" w:ascii="宋体" w:hAnsi="宋体" w:cs="宋体"/>
          <w:b/>
          <w:color w:val="000000"/>
          <w:sz w:val="32"/>
        </w:rPr>
      </w:pPr>
      <w:r>
        <w:rPr>
          <w:rFonts w:hint="eastAsia" w:ascii="宋体" w:hAnsi="宋体" w:cs="宋体"/>
          <w:b/>
          <w:color w:val="000000"/>
          <w:sz w:val="32"/>
          <w:lang w:bidi="ar"/>
        </w:rPr>
        <w:t xml:space="preserve">苏州市永诚建设咨询有限公司</w:t>
      </w:r>
      <w:r>
        <w:rPr>
          <w:rFonts w:hint="eastAsia" w:ascii="宋体" w:hAnsi="宋体" w:cs="宋体"/>
          <w:b/>
          <w:color w:val="000000"/>
          <w:sz w:val="32"/>
        </w:rPr>
      </w:r>
      <w:r/>
    </w:p>
    <w:p>
      <w:pPr>
        <w:pStyle w:val="864"/>
        <w:ind w:firstLine="3534"/>
        <w:spacing w:line="360" w:lineRule="auto"/>
        <w:rPr>
          <w:rFonts w:hint="eastAsia" w:ascii="黑体" w:hAnsi="宋体" w:eastAsia="黑体" w:cs="黑体"/>
          <w:b/>
          <w:color w:val="000000"/>
          <w:sz w:val="32"/>
          <w:highlight w:val="none"/>
        </w:rPr>
      </w:pPr>
      <w:r>
        <w:rPr>
          <w:rFonts w:hint="eastAsia" w:ascii="宋体" w:hAnsi="宋体" w:cs="宋体"/>
          <w:b/>
          <w:color w:val="000000"/>
          <w:sz w:val="32"/>
          <w:highlight w:val="none"/>
          <w:lang w:bidi="ar"/>
        </w:rPr>
        <w:t xml:space="preserve">二○二</w:t>
      </w:r>
      <w:r>
        <w:rPr>
          <w:rFonts w:hint="eastAsia" w:ascii="宋体" w:hAnsi="宋体" w:cs="宋体"/>
          <w:b/>
          <w:color w:val="000000"/>
          <w:sz w:val="32"/>
          <w:highlight w:val="none"/>
          <w:lang w:val="en-US" w:eastAsia="zh-CN" w:bidi="ar"/>
        </w:rPr>
        <w:t xml:space="preserve">六</w:t>
      </w:r>
      <w:r>
        <w:rPr>
          <w:rFonts w:hint="eastAsia" w:ascii="宋体" w:hAnsi="宋体" w:cs="宋体"/>
          <w:b/>
          <w:color w:val="000000"/>
          <w:sz w:val="32"/>
          <w:highlight w:val="none"/>
          <w:lang w:bidi="ar"/>
        </w:rPr>
        <w:t xml:space="preserve">年</w:t>
      </w:r>
      <w:r>
        <w:rPr>
          <w:rFonts w:hint="eastAsia" w:ascii="宋体" w:hAnsi="宋体" w:cs="宋体"/>
          <w:b/>
          <w:color w:val="000000"/>
          <w:sz w:val="32"/>
          <w:highlight w:val="none"/>
          <w:lang w:val="en-US" w:eastAsia="zh-CN" w:bidi="ar"/>
        </w:rPr>
        <w:t xml:space="preserve">三</w:t>
      </w:r>
      <w:r>
        <w:rPr>
          <w:rFonts w:hint="eastAsia" w:ascii="宋体" w:hAnsi="宋体" w:cs="宋体"/>
          <w:b/>
          <w:color w:val="000000"/>
          <w:sz w:val="32"/>
          <w:highlight w:val="none"/>
          <w:lang w:bidi="ar"/>
        </w:rPr>
        <w:t xml:space="preserve">月</w:t>
      </w:r>
      <w:r>
        <w:rPr>
          <w:rFonts w:hint="eastAsia" w:ascii="黑体" w:hAnsi="宋体" w:eastAsia="黑体" w:cs="黑体"/>
          <w:b/>
          <w:color w:val="000000"/>
          <w:sz w:val="32"/>
          <w:highlight w:val="none"/>
        </w:rPr>
      </w:r>
      <w:r/>
    </w:p>
    <w:p>
      <w:pPr>
        <w:pStyle w:val="864"/>
        <w:spacing w:line="360" w:lineRule="auto"/>
        <w:rPr>
          <w:szCs w:val="22"/>
          <w:lang w:bidi="ar"/>
        </w:rPr>
      </w:pPr>
      <w:r>
        <w:rPr>
          <w:szCs w:val="22"/>
          <w:lang w:bidi="ar"/>
        </w:rPr>
        <w:br w:type="page" w:clear="all"/>
      </w:r>
      <w:r>
        <w:rPr>
          <w:szCs w:val="22"/>
          <w:lang w:bidi="ar"/>
        </w:rPr>
      </w:r>
      <w:r/>
    </w:p>
    <w:p>
      <w:pPr>
        <w:pStyle w:val="864"/>
        <w:spacing w:line="480" w:lineRule="exact"/>
      </w:pPr>
      <w:r/>
      <w:r/>
    </w:p>
    <w:p>
      <w:pPr>
        <w:pStyle w:val="864"/>
        <w:jc w:val="center"/>
        <w:keepLines/>
        <w:keepNext/>
        <w:spacing w:before="480" w:line="480" w:lineRule="exact"/>
        <w:widowControl/>
        <w:rPr>
          <w:rFonts w:ascii="Cambria" w:hAnsi="Cambria" w:eastAsia="Cambria" w:cs="Cambria"/>
          <w:b/>
          <w:color w:val="000000"/>
          <w:sz w:val="28"/>
          <w:szCs w:val="28"/>
        </w:rPr>
      </w:pPr>
      <w:r>
        <w:rPr>
          <w:rFonts w:hint="eastAsia" w:ascii="Cambria" w:hAnsi="Cambria" w:cs="宋体"/>
          <w:b/>
          <w:color w:val="000000"/>
          <w:sz w:val="28"/>
          <w:szCs w:val="28"/>
          <w:lang w:val="zh-CN" w:bidi="ar"/>
        </w:rPr>
        <w:t xml:space="preserve">目录</w:t>
      </w:r>
      <w:r>
        <w:rPr>
          <w:rFonts w:ascii="Cambria" w:hAnsi="Cambria" w:eastAsia="Cambria" w:cs="Cambria"/>
          <w:b/>
          <w:color w:val="000000"/>
          <w:sz w:val="28"/>
          <w:szCs w:val="28"/>
        </w:rPr>
      </w:r>
      <w:r/>
    </w:p>
    <w:p>
      <w:pPr>
        <w:pStyle w:val="889"/>
        <w:spacing w:line="480" w:lineRule="exact"/>
        <w:tabs>
          <w:tab w:val="right" w:pos="8306" w:leader="dot"/>
        </w:tabs>
      </w:pPr>
      <w:r>
        <w:rPr>
          <w:szCs w:val="22"/>
          <w:lang w:bidi="ar"/>
        </w:rPr>
        <w:fldChar w:fldCharType="begin"/>
      </w:r>
      <w:r>
        <w:rPr>
          <w:rFonts w:eastAsia="楷体_GB2312"/>
          <w:color w:val="000000"/>
          <w:sz w:val="24"/>
          <w:szCs w:val="20"/>
          <w:lang w:bidi="ar"/>
        </w:rPr>
        <w:instrText xml:space="preserve"> TOC \o "1-3" \h \z \u </w:instrText>
      </w:r>
      <w:r>
        <w:rPr>
          <w:rFonts w:eastAsia="楷体_GB2312"/>
          <w:color w:val="000000"/>
          <w:sz w:val="24"/>
          <w:szCs w:val="20"/>
          <w:lang w:bidi="ar"/>
        </w:rPr>
        <w:fldChar w:fldCharType="separate"/>
      </w:r>
      <w:r>
        <w:rPr>
          <w:rFonts w:eastAsia="楷体_GB2312"/>
          <w:color w:val="000000"/>
          <w:szCs w:val="20"/>
          <w:lang w:bidi="ar"/>
        </w:rPr>
        <w:fldChar w:fldCharType="begin"/>
      </w:r>
      <w:r>
        <w:rPr>
          <w:rFonts w:eastAsia="楷体_GB2312"/>
          <w:szCs w:val="20"/>
          <w:lang w:bidi="ar"/>
        </w:rPr>
        <w:instrText xml:space="preserve"> HYPERLINK \l _Toc22843 </w:instrText>
      </w:r>
      <w:r>
        <w:rPr>
          <w:rFonts w:eastAsia="楷体_GB2312"/>
          <w:szCs w:val="20"/>
          <w:lang w:bidi="ar"/>
        </w:rPr>
        <w:fldChar w:fldCharType="separate"/>
      </w:r>
      <w:r>
        <w:rPr>
          <w:rFonts w:hint="eastAsia" w:cs="宋体"/>
          <w:szCs w:val="28"/>
          <w:lang w:bidi="ar"/>
        </w:rPr>
        <w:t xml:space="preserve">投标须知前附表</w:t>
      </w:r>
      <w:r>
        <w:tab/>
      </w:r>
      <w:r>
        <w:fldChar w:fldCharType="begin"/>
      </w:r>
      <w:r>
        <w:instrText xml:space="preserve"> PAGEREF _Toc22843 \h </w:instrText>
      </w:r>
      <w:r>
        <w:fldChar w:fldCharType="separate"/>
      </w:r>
      <w:r>
        <w:t xml:space="preserve">- 3 -</w:t>
      </w:r>
      <w:r>
        <w:fldChar w:fldCharType="end"/>
      </w:r>
      <w:r>
        <w:rPr>
          <w:rFonts w:eastAsia="楷体_GB2312"/>
          <w:color w:val="000000"/>
          <w:szCs w:val="20"/>
          <w:lang w:bidi="ar"/>
        </w:rPr>
        <w:fldChar w:fldCharType="end"/>
      </w:r>
      <w:r/>
    </w:p>
    <w:p>
      <w:pPr>
        <w:pStyle w:val="889"/>
        <w:spacing w:line="480" w:lineRule="exact"/>
        <w:tabs>
          <w:tab w:val="right" w:pos="8306" w:leader="dot"/>
        </w:tabs>
      </w:pPr>
      <w:r>
        <w:rPr>
          <w:szCs w:val="22"/>
          <w:lang w:bidi="ar"/>
        </w:rPr>
        <w:fldChar w:fldCharType="begin"/>
      </w:r>
      <w:r>
        <w:rPr>
          <w:szCs w:val="22"/>
          <w:lang w:bidi="ar"/>
        </w:rPr>
        <w:instrText xml:space="preserve"> HYPERLINK \l _Toc21549 </w:instrText>
      </w:r>
      <w:r>
        <w:rPr>
          <w:szCs w:val="22"/>
          <w:lang w:bidi="ar"/>
        </w:rPr>
        <w:fldChar w:fldCharType="separate"/>
      </w:r>
      <w:r>
        <w:rPr>
          <w:rFonts w:hint="eastAsia" w:cs="宋体"/>
          <w:szCs w:val="28"/>
          <w:lang w:bidi="ar"/>
        </w:rPr>
        <w:t xml:space="preserve">第一章招标公告</w:t>
      </w:r>
      <w:r>
        <w:tab/>
      </w:r>
      <w:r>
        <w:fldChar w:fldCharType="begin"/>
      </w:r>
      <w:r>
        <w:instrText xml:space="preserve"> PAGEREF _Toc21549 \h </w:instrText>
      </w:r>
      <w:r>
        <w:fldChar w:fldCharType="separate"/>
      </w:r>
      <w:r>
        <w:t xml:space="preserve">- 6 -</w:t>
      </w:r>
      <w:r>
        <w:fldChar w:fldCharType="end"/>
      </w:r>
      <w:r>
        <w:rPr>
          <w:szCs w:val="22"/>
          <w:lang w:bidi="ar"/>
        </w:rPr>
        <w:fldChar w:fldCharType="end"/>
      </w:r>
      <w:r/>
    </w:p>
    <w:p>
      <w:pPr>
        <w:pStyle w:val="889"/>
        <w:spacing w:line="480" w:lineRule="exact"/>
        <w:tabs>
          <w:tab w:val="right" w:pos="8306" w:leader="dot"/>
        </w:tabs>
      </w:pPr>
      <w:r>
        <w:rPr>
          <w:szCs w:val="22"/>
          <w:lang w:bidi="ar"/>
        </w:rPr>
        <w:fldChar w:fldCharType="begin"/>
      </w:r>
      <w:r>
        <w:rPr>
          <w:szCs w:val="22"/>
          <w:lang w:bidi="ar"/>
        </w:rPr>
        <w:instrText xml:space="preserve"> HYPERLINK \l _Toc5273 </w:instrText>
      </w:r>
      <w:r>
        <w:rPr>
          <w:szCs w:val="22"/>
          <w:lang w:bidi="ar"/>
        </w:rPr>
        <w:fldChar w:fldCharType="separate"/>
      </w:r>
      <w:r>
        <w:rPr>
          <w:rFonts w:hint="eastAsia" w:cs="宋体"/>
          <w:szCs w:val="28"/>
          <w:lang w:bidi="ar"/>
        </w:rPr>
        <w:t xml:space="preserve">第二章</w:t>
      </w:r>
      <w:r>
        <w:rPr>
          <w:szCs w:val="28"/>
          <w:lang w:bidi="ar"/>
        </w:rPr>
        <w:t xml:space="preserve">  </w:t>
      </w:r>
      <w:r>
        <w:rPr>
          <w:rFonts w:hint="eastAsia" w:cs="宋体"/>
          <w:szCs w:val="28"/>
          <w:lang w:bidi="ar"/>
        </w:rPr>
        <w:t xml:space="preserve">投标人须知</w:t>
      </w:r>
      <w:r>
        <w:tab/>
      </w:r>
      <w:r>
        <w:fldChar w:fldCharType="begin"/>
      </w:r>
      <w:r>
        <w:instrText xml:space="preserve"> PAGEREF _Toc5273 \h </w:instrText>
      </w:r>
      <w:r>
        <w:fldChar w:fldCharType="separate"/>
      </w:r>
      <w:r>
        <w:t xml:space="preserve">- 10 -</w:t>
      </w:r>
      <w:r>
        <w:fldChar w:fldCharType="end"/>
      </w:r>
      <w:r>
        <w:rPr>
          <w:szCs w:val="22"/>
          <w:lang w:bidi="ar"/>
        </w:rPr>
        <w:fldChar w:fldCharType="end"/>
      </w:r>
      <w:r/>
    </w:p>
    <w:p>
      <w:pPr>
        <w:pStyle w:val="889"/>
        <w:spacing w:line="480" w:lineRule="exact"/>
        <w:tabs>
          <w:tab w:val="right" w:pos="8306" w:leader="dot"/>
        </w:tabs>
      </w:pPr>
      <w:r>
        <w:rPr>
          <w:szCs w:val="22"/>
          <w:lang w:bidi="ar"/>
        </w:rPr>
        <w:fldChar w:fldCharType="begin"/>
      </w:r>
      <w:r>
        <w:rPr>
          <w:szCs w:val="22"/>
          <w:lang w:bidi="ar"/>
        </w:rPr>
        <w:instrText xml:space="preserve"> HYPERLINK \l _Toc8957 </w:instrText>
      </w:r>
      <w:r>
        <w:rPr>
          <w:szCs w:val="22"/>
          <w:lang w:bidi="ar"/>
        </w:rPr>
        <w:fldChar w:fldCharType="separate"/>
      </w:r>
      <w:r>
        <w:rPr>
          <w:rFonts w:hint="eastAsia" w:cs="宋体"/>
          <w:szCs w:val="28"/>
          <w:lang w:bidi="ar"/>
        </w:rPr>
        <w:t xml:space="preserve">第三章投标文件格式</w:t>
      </w:r>
      <w:r>
        <w:tab/>
      </w:r>
      <w:r>
        <w:fldChar w:fldCharType="begin"/>
      </w:r>
      <w:r>
        <w:instrText xml:space="preserve"> PAGEREF _Toc8957 \h </w:instrText>
      </w:r>
      <w:r>
        <w:fldChar w:fldCharType="separate"/>
      </w:r>
      <w:r>
        <w:t xml:space="preserve">- 22 -</w:t>
      </w:r>
      <w:r>
        <w:fldChar w:fldCharType="end"/>
      </w:r>
      <w:r>
        <w:rPr>
          <w:szCs w:val="22"/>
          <w:lang w:bidi="ar"/>
        </w:rPr>
        <w:fldChar w:fldCharType="end"/>
      </w:r>
      <w:r/>
    </w:p>
    <w:p>
      <w:pPr>
        <w:pStyle w:val="889"/>
        <w:spacing w:line="480" w:lineRule="exact"/>
        <w:tabs>
          <w:tab w:val="right" w:pos="8306" w:leader="dot"/>
        </w:tabs>
      </w:pPr>
      <w:r>
        <w:rPr>
          <w:szCs w:val="22"/>
          <w:lang w:bidi="ar"/>
        </w:rPr>
        <w:fldChar w:fldCharType="begin"/>
      </w:r>
      <w:r>
        <w:rPr>
          <w:szCs w:val="22"/>
          <w:lang w:bidi="ar"/>
        </w:rPr>
        <w:instrText xml:space="preserve"> HYPERLINK \l _Toc7813 </w:instrText>
      </w:r>
      <w:r>
        <w:rPr>
          <w:szCs w:val="22"/>
          <w:lang w:bidi="ar"/>
        </w:rPr>
        <w:fldChar w:fldCharType="separate"/>
      </w:r>
      <w:r>
        <w:rPr>
          <w:rFonts w:hint="eastAsia" w:cs="宋体"/>
          <w:szCs w:val="28"/>
          <w:lang w:bidi="ar"/>
        </w:rPr>
        <w:t xml:space="preserve">第四章</w:t>
      </w:r>
      <w:r>
        <w:rPr>
          <w:rFonts w:cs="宋体"/>
          <w:szCs w:val="28"/>
          <w:lang w:bidi="ar"/>
        </w:rPr>
        <w:t xml:space="preserve"> </w:t>
      </w:r>
      <w:r>
        <w:rPr>
          <w:rFonts w:hint="eastAsia" w:cs="宋体"/>
          <w:szCs w:val="28"/>
          <w:lang w:bidi="ar"/>
        </w:rPr>
        <w:t xml:space="preserve">招标书</w:t>
      </w:r>
      <w:r>
        <w:tab/>
      </w:r>
      <w:r>
        <w:fldChar w:fldCharType="begin"/>
      </w:r>
      <w:r>
        <w:instrText xml:space="preserve"> PAGEREF _Toc7813 \h </w:instrText>
      </w:r>
      <w:r>
        <w:fldChar w:fldCharType="separate"/>
      </w:r>
      <w:r>
        <w:t xml:space="preserve">- 44 -</w:t>
      </w:r>
      <w:r>
        <w:fldChar w:fldCharType="end"/>
      </w:r>
      <w:r>
        <w:rPr>
          <w:szCs w:val="22"/>
          <w:lang w:bidi="ar"/>
        </w:rPr>
        <w:fldChar w:fldCharType="end"/>
      </w:r>
      <w:r/>
    </w:p>
    <w:p>
      <w:pPr>
        <w:pStyle w:val="889"/>
        <w:spacing w:line="480" w:lineRule="exact"/>
        <w:tabs>
          <w:tab w:val="right" w:pos="8306" w:leader="dot"/>
        </w:tabs>
      </w:pPr>
      <w:r>
        <w:rPr>
          <w:szCs w:val="22"/>
          <w:lang w:bidi="ar"/>
        </w:rPr>
        <w:fldChar w:fldCharType="begin"/>
      </w:r>
      <w:r>
        <w:rPr>
          <w:szCs w:val="22"/>
          <w:lang w:bidi="ar"/>
        </w:rPr>
        <w:instrText xml:space="preserve"> HYPERLINK \l _Toc14020 </w:instrText>
      </w:r>
      <w:r>
        <w:rPr>
          <w:szCs w:val="22"/>
          <w:lang w:bidi="ar"/>
        </w:rPr>
        <w:fldChar w:fldCharType="separate"/>
      </w:r>
      <w:r>
        <w:rPr>
          <w:rFonts w:hint="eastAsia" w:cs="宋体"/>
          <w:szCs w:val="28"/>
          <w:lang w:bidi="ar"/>
        </w:rPr>
        <w:t xml:space="preserve">第五章合同文本</w:t>
      </w:r>
      <w:r>
        <w:tab/>
      </w:r>
      <w:r>
        <w:fldChar w:fldCharType="begin"/>
      </w:r>
      <w:r>
        <w:instrText xml:space="preserve"> PAGEREF _Toc14020 \h </w:instrText>
      </w:r>
      <w:r>
        <w:fldChar w:fldCharType="separate"/>
      </w:r>
      <w:r>
        <w:t xml:space="preserve">- 5</w:t>
      </w:r>
      <w:r>
        <w:rPr>
          <w:rFonts w:hint="eastAsia"/>
          <w:lang w:val="en-US" w:eastAsia="zh-CN"/>
        </w:rPr>
        <w:t xml:space="preserve">9</w:t>
      </w:r>
      <w:r>
        <w:t xml:space="preserve"> -</w:t>
      </w:r>
      <w:r>
        <w:fldChar w:fldCharType="end"/>
      </w:r>
      <w:r>
        <w:rPr>
          <w:szCs w:val="22"/>
          <w:lang w:bidi="ar"/>
        </w:rPr>
        <w:fldChar w:fldCharType="end"/>
      </w:r>
      <w:r/>
    </w:p>
    <w:p>
      <w:pPr>
        <w:pStyle w:val="889"/>
        <w:spacing w:line="480" w:lineRule="exact"/>
        <w:tabs>
          <w:tab w:val="right" w:pos="8306" w:leader="dot"/>
        </w:tabs>
      </w:pPr>
      <w:r>
        <w:rPr>
          <w:szCs w:val="22"/>
          <w:lang w:bidi="ar"/>
        </w:rPr>
        <w:fldChar w:fldCharType="begin"/>
      </w:r>
      <w:r>
        <w:rPr>
          <w:szCs w:val="22"/>
          <w:lang w:bidi="ar"/>
        </w:rPr>
        <w:instrText xml:space="preserve"> HYPERLINK \l _Toc4273 </w:instrText>
      </w:r>
      <w:r>
        <w:rPr>
          <w:szCs w:val="22"/>
          <w:lang w:bidi="ar"/>
        </w:rPr>
        <w:fldChar w:fldCharType="separate"/>
      </w:r>
      <w:r>
        <w:rPr>
          <w:rFonts w:hint="eastAsia" w:cs="宋体"/>
          <w:szCs w:val="28"/>
          <w:lang w:bidi="ar"/>
        </w:rPr>
        <w:t xml:space="preserve">第六章评标办法及评分标准</w:t>
      </w:r>
      <w:r>
        <w:tab/>
      </w:r>
      <w:r>
        <w:fldChar w:fldCharType="begin"/>
      </w:r>
      <w:r>
        <w:instrText xml:space="preserve"> PAGEREF _Toc4273 \h </w:instrText>
      </w:r>
      <w:r>
        <w:fldChar w:fldCharType="separate"/>
      </w:r>
      <w:r>
        <w:t xml:space="preserve">- </w:t>
      </w:r>
      <w:r>
        <w:rPr>
          <w:rFonts w:hint="eastAsia"/>
          <w:lang w:val="en-US" w:eastAsia="zh-CN"/>
        </w:rPr>
        <w:t xml:space="preserve">75</w:t>
      </w:r>
      <w:r>
        <w:t xml:space="preserve"> -</w:t>
      </w:r>
      <w:r>
        <w:fldChar w:fldCharType="end"/>
      </w:r>
      <w:r>
        <w:rPr>
          <w:szCs w:val="22"/>
          <w:lang w:bidi="ar"/>
        </w:rPr>
        <w:fldChar w:fldCharType="end"/>
      </w:r>
      <w:r/>
    </w:p>
    <w:p>
      <w:pPr>
        <w:pStyle w:val="864"/>
        <w:spacing w:line="480" w:lineRule="exact"/>
        <w:rPr>
          <w:color w:val="000000"/>
          <w:lang w:val="zh-CN"/>
        </w:rPr>
      </w:pPr>
      <w:r>
        <w:rPr>
          <w:szCs w:val="22"/>
          <w:lang w:bidi="ar"/>
        </w:rPr>
        <w:fldChar w:fldCharType="end"/>
      </w:r>
      <w:r>
        <w:rPr>
          <w:color w:val="000000"/>
          <w:lang w:val="zh-CN"/>
        </w:rPr>
      </w:r>
      <w:r/>
    </w:p>
    <w:p>
      <w:pPr>
        <w:pStyle w:val="864"/>
        <w:spacing w:line="480" w:lineRule="exact"/>
      </w:p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szCs w:val="22"/>
          <w:lang w:bidi="ar"/>
        </w:rPr>
      </w:pPr>
      <w:r>
        <w:rPr>
          <w:szCs w:val="22"/>
          <w:lang w:bidi="ar"/>
        </w:rPr>
      </w:r>
      <w:r/>
    </w:p>
    <w:p>
      <w:pPr>
        <w:pStyle w:val="864"/>
        <w:spacing w:line="480" w:lineRule="exact"/>
        <w:rPr>
          <w:rFonts w:hint="eastAsia"/>
        </w:rPr>
      </w:pPr>
      <w:r>
        <w:rPr>
          <w:rFonts w:hint="eastAsia"/>
        </w:rPr>
      </w:r>
      <w:r/>
    </w:p>
    <w:p>
      <w:pPr>
        <w:pStyle w:val="864"/>
        <w:ind w:firstLine="3654"/>
        <w:keepLines/>
        <w:keepNext/>
        <w:spacing w:before="340" w:after="330" w:line="480" w:lineRule="exact"/>
        <w:rPr>
          <w:rFonts w:hint="eastAsia" w:ascii="宋体" w:hAnsi="宋体"/>
          <w:b/>
          <w:color w:val="000000"/>
          <w:sz w:val="28"/>
          <w:szCs w:val="28"/>
        </w:rPr>
        <w:outlineLvl w:val="0"/>
      </w:pPr>
      <w:r/>
      <w:bookmarkStart w:id="11" w:name="_Toc22843"/>
      <w:r>
        <w:rPr>
          <w:rFonts w:hint="eastAsia" w:cs="宋体"/>
          <w:b/>
          <w:color w:val="000000"/>
          <w:sz w:val="28"/>
          <w:szCs w:val="28"/>
          <w:lang w:bidi="ar"/>
        </w:rPr>
        <w:t xml:space="preserve">投标须知前附表</w:t>
      </w:r>
      <w:bookmarkEnd w:id="0"/>
      <w:r/>
      <w:bookmarkEnd w:id="1"/>
      <w:r/>
      <w:bookmarkEnd w:id="11"/>
      <w:r>
        <w:rPr>
          <w:rFonts w:hint="eastAsia" w:ascii="宋体" w:hAnsi="宋体"/>
          <w:b/>
          <w:color w:val="000000"/>
          <w:sz w:val="28"/>
          <w:szCs w:val="28"/>
        </w:rPr>
      </w:r>
      <w:r/>
    </w:p>
    <w:p>
      <w:pPr>
        <w:pStyle w:val="864"/>
        <w:spacing w:line="480" w:lineRule="exact"/>
        <w:rPr>
          <w:rFonts w:cs="Arial"/>
          <w:color w:val="000000"/>
          <w:szCs w:val="21"/>
        </w:rPr>
      </w:pPr>
      <w:r>
        <w:rPr>
          <w:rFonts w:hint="eastAsia" w:cs="Arial"/>
          <w:color w:val="000000"/>
          <w:szCs w:val="21"/>
          <w:lang w:bidi="ar"/>
        </w:rPr>
        <w:t xml:space="preserve">下述关于要采购的</w:t>
      </w:r>
      <w:r>
        <w:rPr>
          <w:rFonts w:hint="eastAsia" w:cs="Arial"/>
          <w:color w:val="000000"/>
          <w:szCs w:val="21"/>
          <w:lang w:eastAsia="zh-CN" w:bidi="ar"/>
        </w:rPr>
        <w:t xml:space="preserve">野生动物饲料</w:t>
      </w:r>
      <w:r>
        <w:rPr>
          <w:rFonts w:hint="eastAsia" w:cs="Arial"/>
          <w:color w:val="000000"/>
          <w:szCs w:val="21"/>
          <w:lang w:bidi="ar"/>
        </w:rPr>
        <w:t xml:space="preserve">的具体资料是对招标文件第一部分投标人须知的具体补充和修改，如果有矛盾的话，应以本附表为准。</w:t>
      </w:r>
      <w:r>
        <w:rPr>
          <w:rFonts w:cs="Arial"/>
          <w:color w:val="000000"/>
          <w:szCs w:val="21"/>
        </w:rPr>
      </w:r>
      <w:r/>
    </w:p>
    <w:tbl>
      <w:tblPr>
        <w:tblW w:w="1033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43"/>
        <w:gridCol w:w="1591"/>
        <w:gridCol w:w="7697"/>
      </w:tblGrid>
      <w:tr>
        <w:trPr>
          <w:trHeight w:val="568"/>
        </w:trPr>
        <w:tc>
          <w:tcPr>
            <w:tcW w:w="1043" w:type="dxa"/>
            <w:vAlign w:val="center"/>
            <w:textDirection w:val="lrTb"/>
            <w:noWrap w:val="false"/>
          </w:tcPr>
          <w:p>
            <w:pPr>
              <w:pStyle w:val="864"/>
              <w:jc w:val="center"/>
              <w:spacing w:line="480" w:lineRule="exact"/>
              <w:rPr>
                <w:rFonts w:ascii="Times New Roman" w:hAnsi="Times New Roman" w:cs="Times New Roman"/>
                <w:b/>
                <w:color w:val="000000"/>
                <w:szCs w:val="21"/>
              </w:rPr>
            </w:pPr>
            <w:r>
              <w:rPr>
                <w:rFonts w:hint="eastAsia" w:ascii="Times New Roman" w:hAnsi="Times New Roman" w:cs="宋体"/>
                <w:b/>
                <w:color w:val="000000"/>
                <w:szCs w:val="21"/>
                <w:lang w:val="zh-CN"/>
              </w:rPr>
              <w:t xml:space="preserve">项号</w:t>
            </w:r>
            <w:r>
              <w:rPr>
                <w:rFonts w:ascii="Times New Roman" w:hAnsi="Times New Roman" w:cs="Times New Roman"/>
                <w:b/>
                <w:color w:val="000000"/>
                <w:szCs w:val="21"/>
              </w:rPr>
            </w:r>
            <w:r/>
          </w:p>
        </w:tc>
        <w:tc>
          <w:tcPr>
            <w:tcW w:w="1591" w:type="dxa"/>
            <w:vAlign w:val="center"/>
            <w:textDirection w:val="lrTb"/>
            <w:noWrap w:val="false"/>
          </w:tcPr>
          <w:p>
            <w:pPr>
              <w:pStyle w:val="864"/>
              <w:jc w:val="center"/>
              <w:spacing w:line="480" w:lineRule="exact"/>
              <w:rPr>
                <w:rFonts w:ascii="Times New Roman" w:hAnsi="Times New Roman" w:cs="Times New Roman"/>
                <w:b/>
                <w:color w:val="000000"/>
                <w:szCs w:val="21"/>
                <w:lang w:val="zh-CN"/>
              </w:rPr>
            </w:pPr>
            <w:r>
              <w:rPr>
                <w:rFonts w:hint="eastAsia" w:ascii="Times New Roman" w:hAnsi="Times New Roman" w:cs="宋体"/>
                <w:b/>
                <w:color w:val="000000"/>
                <w:szCs w:val="21"/>
                <w:lang w:val="zh-CN"/>
              </w:rPr>
              <w:t xml:space="preserve">名称</w:t>
            </w:r>
            <w:r>
              <w:rPr>
                <w:rFonts w:ascii="Times New Roman" w:hAnsi="Times New Roman" w:cs="Times New Roman"/>
                <w:b/>
                <w:color w:val="000000"/>
                <w:szCs w:val="21"/>
                <w:lang w:val="zh-CN"/>
              </w:rPr>
            </w:r>
            <w:r/>
          </w:p>
        </w:tc>
        <w:tc>
          <w:tcPr>
            <w:tcW w:w="7697" w:type="dxa"/>
            <w:vAlign w:val="center"/>
            <w:textDirection w:val="lrTb"/>
            <w:noWrap w:val="false"/>
          </w:tcPr>
          <w:p>
            <w:pPr>
              <w:pStyle w:val="864"/>
              <w:jc w:val="center"/>
              <w:spacing w:line="480" w:lineRule="exact"/>
              <w:rPr>
                <w:rFonts w:ascii="Times New Roman" w:hAnsi="Times New Roman" w:cs="Times New Roman"/>
                <w:b/>
                <w:color w:val="000000"/>
                <w:szCs w:val="21"/>
              </w:rPr>
            </w:pPr>
            <w:r>
              <w:rPr>
                <w:rFonts w:hint="eastAsia" w:ascii="Times New Roman" w:hAnsi="Times New Roman" w:cs="宋体"/>
                <w:b/>
                <w:color w:val="000000"/>
                <w:szCs w:val="21"/>
                <w:lang w:val="zh-CN"/>
              </w:rPr>
              <w:t xml:space="preserve">内容</w:t>
            </w:r>
            <w:r>
              <w:rPr>
                <w:rFonts w:ascii="Times New Roman" w:hAnsi="Times New Roman" w:cs="Times New Roman"/>
                <w:b/>
                <w:color w:val="000000"/>
                <w:szCs w:val="21"/>
              </w:rPr>
            </w:r>
            <w:r/>
          </w:p>
        </w:tc>
      </w:tr>
      <w:tr>
        <w:trPr>
          <w:trHeight w:val="568"/>
        </w:trPr>
        <w:tc>
          <w:tcPr>
            <w:tcW w:w="1043"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1</w:t>
            </w:r>
            <w:r>
              <w:rPr>
                <w:rFonts w:ascii="Times New Roman" w:hAnsi="Times New Roman" w:cs="Times New Roman"/>
                <w:color w:val="000000"/>
                <w:szCs w:val="21"/>
                <w:lang w:val="zh-CN"/>
              </w:rPr>
            </w:r>
            <w:r/>
          </w:p>
        </w:tc>
        <w:tc>
          <w:tcPr>
            <w:tcW w:w="1591" w:type="dxa"/>
            <w:vAlign w:val="center"/>
            <w:textDirection w:val="lrTb"/>
            <w:noWrap w:val="false"/>
          </w:tcPr>
          <w:p>
            <w:pPr>
              <w:pStyle w:val="864"/>
              <w:jc w:val="center"/>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采购人</w:t>
            </w:r>
            <w:r>
              <w:rPr>
                <w:rFonts w:ascii="Times New Roman" w:hAnsi="Times New Roman" w:cs="Times New Roman"/>
                <w:color w:val="000000"/>
                <w:szCs w:val="21"/>
                <w:lang w:val="zh-CN"/>
              </w:rPr>
            </w:r>
            <w:r/>
          </w:p>
        </w:tc>
        <w:tc>
          <w:tcPr>
            <w:tcW w:w="7697" w:type="dxa"/>
            <w:vAlign w:val="center"/>
            <w:textDirection w:val="lrTb"/>
            <w:noWrap w:val="false"/>
          </w:tcPr>
          <w:p>
            <w:pPr>
              <w:pStyle w:val="864"/>
              <w:spacing w:line="480" w:lineRule="exact"/>
              <w:rPr>
                <w:rFonts w:hint="eastAsia" w:ascii="Times New Roman" w:hAnsi="Times New Roman" w:eastAsia="宋体" w:cs="Times New Roman"/>
                <w:color w:val="000000"/>
                <w:szCs w:val="21"/>
                <w:lang w:eastAsia="zh-CN"/>
              </w:rPr>
            </w:pPr>
            <w:r>
              <w:rPr>
                <w:rFonts w:hint="eastAsia" w:ascii="Times New Roman" w:hAnsi="Times New Roman" w:cs="宋体"/>
                <w:color w:val="000000"/>
                <w:szCs w:val="21"/>
                <w:lang w:bidi="ar"/>
              </w:rPr>
              <w:t xml:space="preserve">名称：</w:t>
            </w:r>
            <w:r>
              <w:rPr>
                <w:rFonts w:hint="eastAsia" w:ascii="Times New Roman" w:hAnsi="Times New Roman" w:cs="宋体"/>
                <w:color w:val="000000"/>
                <w:szCs w:val="21"/>
                <w:lang w:eastAsia="zh-CN" w:bidi="ar"/>
              </w:rPr>
              <w:t xml:space="preserve">苏州市石湖景区管理处（华南虎苏州培育基地）</w:t>
            </w:r>
            <w:r>
              <w:rPr>
                <w:rFonts w:hint="eastAsia" w:ascii="Times New Roman" w:hAnsi="Times New Roman" w:eastAsia="宋体" w:cs="Times New Roman"/>
                <w:color w:val="000000"/>
                <w:szCs w:val="21"/>
                <w:lang w:eastAsia="zh-CN"/>
              </w:rPr>
            </w:r>
            <w:r/>
          </w:p>
          <w:p>
            <w:pPr>
              <w:pStyle w:val="864"/>
              <w:spacing w:line="480" w:lineRule="exact"/>
              <w:rPr>
                <w:rFonts w:hint="eastAsia" w:ascii="Times New Roman" w:hAnsi="Times New Roman" w:eastAsia="宋体" w:cs="Times New Roman"/>
                <w:color w:val="000000"/>
                <w:szCs w:val="21"/>
                <w:lang w:eastAsia="zh-CN"/>
              </w:rPr>
            </w:pPr>
            <w:r>
              <w:rPr>
                <w:rFonts w:hint="eastAsia" w:ascii="Times New Roman" w:hAnsi="Times New Roman" w:cs="宋体"/>
                <w:color w:val="000000"/>
                <w:szCs w:val="21"/>
                <w:lang w:bidi="ar"/>
              </w:rPr>
              <w:t xml:space="preserve">地址：</w:t>
            </w:r>
            <w:r>
              <w:rPr>
                <w:rFonts w:hint="eastAsia" w:ascii="Times New Roman" w:hAnsi="Times New Roman" w:cs="宋体"/>
                <w:color w:val="000000"/>
                <w:szCs w:val="21"/>
                <w:lang w:eastAsia="zh-CN" w:bidi="ar"/>
              </w:rPr>
              <w:t xml:space="preserve">苏州市虎丘区上方山行春桥堍</w:t>
            </w:r>
            <w:r>
              <w:rPr>
                <w:rFonts w:hint="eastAsia" w:ascii="Times New Roman" w:hAnsi="Times New Roman" w:eastAsia="宋体" w:cs="Times New Roman"/>
                <w:color w:val="000000"/>
                <w:szCs w:val="21"/>
                <w:lang w:eastAsia="zh-CN"/>
              </w:rPr>
            </w:r>
            <w:r/>
          </w:p>
          <w:p>
            <w:pPr>
              <w:pStyle w:val="864"/>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rPr>
              <w:t xml:space="preserve">联系人：</w:t>
            </w:r>
            <w:r>
              <w:rPr>
                <w:rFonts w:hint="eastAsia" w:ascii="Times New Roman" w:hAnsi="Times New Roman" w:cs="宋体"/>
                <w:color w:val="000000"/>
                <w:szCs w:val="21"/>
                <w:lang w:eastAsia="zh-CN"/>
              </w:rPr>
              <w:t xml:space="preserve">张芳</w:t>
            </w:r>
            <w:r>
              <w:rPr>
                <w:rFonts w:hint="eastAsia" w:ascii="Times New Roman" w:hAnsi="Times New Roman" w:cs="宋体"/>
                <w:color w:val="000000"/>
                <w:szCs w:val="21"/>
              </w:rPr>
              <w:t xml:space="preserve">   </w:t>
            </w:r>
            <w:r>
              <w:rPr>
                <w:rFonts w:hint="eastAsia" w:ascii="Times New Roman" w:hAnsi="Times New Roman" w:cs="Times New Roman"/>
                <w:color w:val="000000"/>
                <w:szCs w:val="21"/>
              </w:rPr>
              <w:t xml:space="preserve">  </w:t>
            </w:r>
            <w:r>
              <w:rPr>
                <w:rFonts w:hint="eastAsia" w:ascii="Times New Roman" w:hAnsi="Times New Roman" w:cs="宋体"/>
                <w:color w:val="000000"/>
                <w:szCs w:val="21"/>
                <w:lang w:val="zh-CN"/>
              </w:rPr>
              <w:t xml:space="preserve">联系电话：0512-68189827</w:t>
            </w:r>
            <w:r>
              <w:rPr>
                <w:rFonts w:ascii="Times New Roman" w:hAnsi="Times New Roman" w:cs="Times New Roman"/>
                <w:color w:val="000000"/>
                <w:szCs w:val="21"/>
                <w:lang w:val="zh-CN"/>
              </w:rPr>
              <w:t xml:space="preserve"> </w:t>
            </w:r>
            <w:r>
              <w:rPr>
                <w:rFonts w:ascii="Times New Roman" w:hAnsi="Times New Roman" w:cs="Times New Roman"/>
                <w:color w:val="000000"/>
                <w:szCs w:val="21"/>
                <w:lang w:val="zh-CN"/>
              </w:rPr>
            </w:r>
            <w:r/>
          </w:p>
        </w:tc>
      </w:tr>
      <w:tr>
        <w:trPr>
          <w:trHeight w:val="516"/>
        </w:trPr>
        <w:tc>
          <w:tcPr>
            <w:tcW w:w="1043"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2</w:t>
            </w:r>
            <w:r>
              <w:rPr>
                <w:rFonts w:ascii="Times New Roman" w:hAnsi="Times New Roman" w:cs="Times New Roman"/>
                <w:color w:val="000000"/>
                <w:szCs w:val="21"/>
                <w:lang w:val="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招标编号</w:t>
            </w:r>
            <w:r>
              <w:rPr>
                <w:rFonts w:ascii="Times New Roman" w:hAnsi="Times New Roman" w:cs="Times New Roman"/>
                <w:color w:val="000000"/>
                <w:szCs w:val="21"/>
              </w:rPr>
            </w:r>
            <w:r/>
          </w:p>
        </w:tc>
        <w:tc>
          <w:tcPr>
            <w:tcW w:w="7697" w:type="dxa"/>
            <w:vAlign w:val="center"/>
            <w:textDirection w:val="lrTb"/>
            <w:noWrap w:val="false"/>
          </w:tcPr>
          <w:p>
            <w:pPr>
              <w:pStyle w:val="864"/>
              <w:jc w:val="left"/>
              <w:spacing w:line="480" w:lineRule="exact"/>
              <w:tabs>
                <w:tab w:val="left" w:pos="3600" w:leader="none"/>
              </w:tabs>
              <w:rPr>
                <w:rFonts w:hint="eastAsia" w:ascii="Times New Roman" w:hAnsi="Times New Roman" w:eastAsia="宋体" w:cs="Times New Roman"/>
                <w:color w:val="000000"/>
                <w:szCs w:val="21"/>
                <w:highlight w:val="yellow"/>
                <w:lang w:eastAsia="zh-CN"/>
              </w:rPr>
            </w:pPr>
            <w:r>
              <w:rPr>
                <w:rFonts w:hint="eastAsia" w:ascii="Times New Roman" w:hAnsi="Times New Roman" w:cs="Times New Roman"/>
                <w:color w:val="000000"/>
                <w:szCs w:val="21"/>
                <w:lang w:eastAsia="zh-CN"/>
              </w:rPr>
              <w:t xml:space="preserve">JSZC-320500-CCCC-G2026-0008</w:t>
            </w:r>
            <w:r>
              <w:rPr>
                <w:rFonts w:hint="eastAsia" w:ascii="Times New Roman" w:hAnsi="Times New Roman" w:eastAsia="宋体" w:cs="Times New Roman"/>
                <w:color w:val="000000"/>
                <w:szCs w:val="21"/>
                <w:highlight w:val="yellow"/>
                <w:lang w:eastAsia="zh-CN"/>
              </w:rPr>
            </w:r>
            <w:r/>
          </w:p>
        </w:tc>
      </w:tr>
      <w:tr>
        <w:trPr>
          <w:trHeight w:val="516"/>
        </w:trPr>
        <w:tc>
          <w:tcPr>
            <w:tcW w:w="1043"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3</w:t>
            </w:r>
            <w:r>
              <w:rPr>
                <w:rFonts w:ascii="Times New Roman" w:hAnsi="Times New Roman" w:cs="Times New Roman"/>
                <w:color w:val="000000"/>
                <w:szCs w:val="21"/>
                <w:lang w:val="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招标内容</w:t>
            </w:r>
            <w:r>
              <w:rPr>
                <w:rFonts w:ascii="Times New Roman" w:hAnsi="Times New Roman" w:cs="Times New Roman"/>
                <w:color w:val="000000"/>
                <w:szCs w:val="21"/>
              </w:rPr>
            </w:r>
            <w:r/>
          </w:p>
        </w:tc>
        <w:tc>
          <w:tcPr>
            <w:tcW w:w="7697" w:type="dxa"/>
            <w:vAlign w:val="center"/>
            <w:textDirection w:val="lrTb"/>
            <w:noWrap w:val="false"/>
          </w:tcPr>
          <w:p>
            <w:pPr>
              <w:pStyle w:val="864"/>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野生动物饲料</w:t>
            </w:r>
            <w:r>
              <w:rPr>
                <w:rFonts w:ascii="Times New Roman" w:hAnsi="Times New Roman" w:cs="Times New Roman"/>
                <w:color w:val="000000"/>
                <w:szCs w:val="21"/>
                <w:lang w:val="zh-CN"/>
              </w:rPr>
            </w:r>
            <w:r/>
          </w:p>
        </w:tc>
      </w:tr>
      <w:tr>
        <w:trPr>
          <w:trHeight w:val="516"/>
        </w:trPr>
        <w:tc>
          <w:tcPr>
            <w:tcW w:w="1043"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4</w:t>
            </w:r>
            <w:r>
              <w:rPr>
                <w:rFonts w:ascii="Times New Roman" w:hAnsi="Times New Roman" w:cs="Times New Roman"/>
                <w:color w:val="000000"/>
                <w:szCs w:val="21"/>
                <w:lang w:val="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采购预算</w:t>
            </w:r>
            <w:r>
              <w:rPr>
                <w:rFonts w:ascii="Times New Roman" w:hAnsi="Times New Roman" w:cs="Times New Roman"/>
                <w:color w:val="000000"/>
                <w:szCs w:val="21"/>
                <w:lang w:val="zh-CN"/>
              </w:rPr>
            </w:r>
            <w:r/>
          </w:p>
        </w:tc>
        <w:tc>
          <w:tcPr>
            <w:tcW w:w="7697" w:type="dxa"/>
            <w:vAlign w:val="center"/>
            <w:textDirection w:val="lrTb"/>
            <w:noWrap w:val="false"/>
          </w:tcPr>
          <w:p>
            <w:pPr>
              <w:pStyle w:val="864"/>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highlight w:val="none"/>
                <w:lang w:val="zh-CN"/>
              </w:rPr>
              <w:t xml:space="preserve">人民币伍佰零肆万壹仟零叁拾捌元贰角叁分（￥5041038.23元）</w:t>
            </w:r>
            <w:r>
              <w:rPr>
                <w:rFonts w:ascii="Times New Roman" w:hAnsi="Times New Roman" w:cs="Times New Roman"/>
                <w:color w:val="000000"/>
                <w:szCs w:val="21"/>
                <w:lang w:val="zh-CN"/>
              </w:rPr>
            </w:r>
            <w:r/>
          </w:p>
        </w:tc>
      </w:tr>
      <w:tr>
        <w:trPr>
          <w:trHeight w:val="516"/>
        </w:trPr>
        <w:tc>
          <w:tcPr>
            <w:tcW w:w="1043"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5</w:t>
            </w:r>
            <w:r>
              <w:rPr>
                <w:rFonts w:ascii="Times New Roman" w:hAnsi="Times New Roman" w:cs="Times New Roman"/>
                <w:color w:val="000000"/>
                <w:szCs w:val="21"/>
                <w:lang w:val="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投标有效期</w:t>
            </w:r>
            <w:r>
              <w:rPr>
                <w:rFonts w:ascii="Times New Roman" w:hAnsi="Times New Roman" w:cs="Times New Roman"/>
                <w:color w:val="000000"/>
                <w:szCs w:val="21"/>
              </w:rPr>
            </w:r>
            <w:r/>
          </w:p>
        </w:tc>
        <w:tc>
          <w:tcPr>
            <w:tcW w:w="7697" w:type="dxa"/>
            <w:vAlign w:val="center"/>
            <w:textDirection w:val="lrTb"/>
            <w:noWrap w:val="false"/>
          </w:tcPr>
          <w:p>
            <w:pPr>
              <w:pStyle w:val="864"/>
              <w:jc w:val="left"/>
              <w:spacing w:line="480" w:lineRule="exact"/>
              <w:tabs>
                <w:tab w:val="left" w:pos="3600" w:leader="none"/>
              </w:tabs>
              <w:rPr>
                <w:rFonts w:ascii="Times New Roman" w:hAnsi="Times New Roman" w:cs="Times New Roman"/>
                <w:color w:val="000000"/>
                <w:szCs w:val="21"/>
                <w:lang w:val="zh-CN"/>
              </w:rPr>
            </w:pPr>
            <w:r>
              <w:rPr>
                <w:rFonts w:ascii="Times New Roman" w:hAnsi="Times New Roman" w:cs="Times New Roman"/>
                <w:color w:val="000000"/>
                <w:szCs w:val="21"/>
                <w:lang w:val="zh-CN"/>
              </w:rPr>
              <w:t xml:space="preserve">90</w:t>
            </w:r>
            <w:r>
              <w:rPr>
                <w:rFonts w:hint="eastAsia" w:ascii="Times New Roman" w:hAnsi="Times New Roman" w:cs="宋体"/>
                <w:color w:val="000000"/>
                <w:szCs w:val="21"/>
                <w:lang w:val="zh-CN"/>
              </w:rPr>
              <w:t xml:space="preserve">天（日历日）</w:t>
            </w:r>
            <w:r>
              <w:rPr>
                <w:rFonts w:ascii="Times New Roman" w:hAnsi="Times New Roman" w:cs="Times New Roman"/>
                <w:color w:val="000000"/>
                <w:szCs w:val="21"/>
                <w:lang w:val="zh-CN"/>
              </w:rPr>
            </w:r>
            <w:r/>
          </w:p>
        </w:tc>
      </w:tr>
      <w:tr>
        <w:trPr>
          <w:trHeight w:val="723"/>
        </w:trPr>
        <w:tc>
          <w:tcPr>
            <w:tcW w:w="1043"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hint="eastAsia" w:ascii="Times New Roman" w:hAnsi="Times New Roman" w:cs="Times New Roman"/>
                <w:color w:val="000000"/>
                <w:szCs w:val="21"/>
                <w:lang w:val="zh-CN"/>
              </w:rPr>
              <w:t xml:space="preserve">6</w:t>
            </w:r>
            <w:r>
              <w:rPr>
                <w:rFonts w:ascii="Times New Roman" w:hAnsi="Times New Roman" w:cs="Times New Roman"/>
                <w:color w:val="000000"/>
                <w:szCs w:val="21"/>
                <w:lang w:val="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投标保证金</w:t>
            </w:r>
            <w:r>
              <w:rPr>
                <w:rFonts w:ascii="Times New Roman" w:hAnsi="Times New Roman" w:cs="Times New Roman"/>
                <w:color w:val="000000"/>
                <w:szCs w:val="21"/>
              </w:rPr>
            </w:r>
            <w:r/>
          </w:p>
        </w:tc>
        <w:tc>
          <w:tcPr>
            <w:tcW w:w="7697" w:type="dxa"/>
            <w:vAlign w:val="center"/>
            <w:textDirection w:val="lrTb"/>
            <w:noWrap w:val="false"/>
          </w:tcPr>
          <w:p>
            <w:pPr>
              <w:pStyle w:val="864"/>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无，投标文件内提供响应保证承诺书，格式见附件。</w:t>
            </w:r>
            <w:r>
              <w:rPr>
                <w:rFonts w:ascii="Times New Roman" w:hAnsi="Times New Roman" w:cs="Times New Roman"/>
                <w:color w:val="000000"/>
                <w:szCs w:val="21"/>
                <w:lang w:val="zh-CN"/>
              </w:rPr>
            </w:r>
            <w:r/>
          </w:p>
        </w:tc>
      </w:tr>
      <w:tr>
        <w:trPr>
          <w:trHeight w:val="723"/>
        </w:trPr>
        <w:tc>
          <w:tcPr>
            <w:tcW w:w="1043" w:type="dxa"/>
            <w:vAlign w:val="center"/>
            <w:textDirection w:val="lrTb"/>
            <w:noWrap w:val="false"/>
          </w:tcPr>
          <w:p>
            <w:pPr>
              <w:pStyle w:val="864"/>
              <w:jc w:val="center"/>
              <w:spacing w:line="480" w:lineRule="exact"/>
              <w:rPr>
                <w:rFonts w:hint="eastAsia"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7</w:t>
            </w:r>
            <w:r>
              <w:rPr>
                <w:rFonts w:hint="eastAsia" w:ascii="Times New Roman" w:hAnsi="Times New Roman" w:eastAsia="宋体" w:cs="Times New Roman"/>
                <w:color w:val="000000"/>
                <w:szCs w:val="21"/>
                <w:lang w:val="en-US" w:eastAsia="zh-CN"/>
              </w:rPr>
            </w:r>
            <w:r/>
          </w:p>
        </w:tc>
        <w:tc>
          <w:tcPr>
            <w:tcW w:w="1591" w:type="dxa"/>
            <w:vAlign w:val="center"/>
            <w:textDirection w:val="lrTb"/>
            <w:noWrap w:val="false"/>
          </w:tcPr>
          <w:p>
            <w:pPr>
              <w:pStyle w:val="864"/>
              <w:jc w:val="center"/>
              <w:spacing w:line="480" w:lineRule="exact"/>
              <w:rPr>
                <w:rFonts w:ascii="Times New Roman" w:hAnsi="Times New Roman" w:eastAsia="宋体" w:cs="宋体"/>
                <w:color w:val="000000"/>
                <w:szCs w:val="21"/>
                <w:lang w:val="en-US" w:eastAsia="zh-CN"/>
              </w:rPr>
            </w:pPr>
            <w:r>
              <w:rPr>
                <w:rFonts w:hint="eastAsia" w:ascii="Times New Roman" w:hAnsi="Times New Roman" w:cs="宋体"/>
                <w:color w:val="000000"/>
                <w:szCs w:val="21"/>
                <w:lang w:val="en-US" w:eastAsia="zh-CN"/>
              </w:rPr>
              <w:t xml:space="preserve">履约保证金</w:t>
            </w:r>
            <w:r>
              <w:rPr>
                <w:rFonts w:ascii="Times New Roman" w:hAnsi="Times New Roman" w:eastAsia="宋体" w:cs="宋体"/>
                <w:color w:val="000000"/>
                <w:szCs w:val="21"/>
                <w:lang w:val="en-US" w:eastAsia="zh-CN"/>
              </w:rPr>
            </w:r>
            <w:r/>
          </w:p>
        </w:tc>
        <w:tc>
          <w:tcPr>
            <w:tcW w:w="7697" w:type="dxa"/>
            <w:vAlign w:val="center"/>
            <w:textDirection w:val="lrTb"/>
            <w:noWrap w:val="false"/>
          </w:tcPr>
          <w:p>
            <w:pPr>
              <w:pStyle w:val="864"/>
              <w:jc w:val="left"/>
              <w:spacing w:line="480" w:lineRule="exact"/>
              <w:tabs>
                <w:tab w:val="left" w:pos="3600" w:leader="none"/>
              </w:tabs>
              <w:rPr>
                <w:rFonts w:hint="eastAsia" w:ascii="Times New Roman" w:hAnsi="Times New Roman" w:cs="宋体"/>
                <w:color w:val="000000"/>
                <w:szCs w:val="21"/>
                <w:lang w:val="zh-CN"/>
              </w:rPr>
            </w:pPr>
            <w:r>
              <w:rPr>
                <w:rFonts w:hint="eastAsia" w:ascii="宋体" w:hAnsi="宋体" w:cs="宋体"/>
                <w:sz w:val="21"/>
                <w:szCs w:val="21"/>
                <w:highlight w:val="none"/>
                <w:lang w:val="en-US" w:eastAsia="zh-CN"/>
              </w:rPr>
              <w:t xml:space="preserve">中标单位</w:t>
            </w:r>
            <w:r>
              <w:rPr>
                <w:rFonts w:hint="eastAsia" w:ascii="宋体" w:hAnsi="宋体" w:cs="宋体"/>
                <w:sz w:val="21"/>
                <w:szCs w:val="21"/>
                <w:highlight w:val="none"/>
              </w:rPr>
              <w:t xml:space="preserve">须在中标后三个工作日内向</w:t>
            </w:r>
            <w:r>
              <w:rPr>
                <w:rFonts w:hint="eastAsia" w:ascii="宋体" w:hAnsi="宋体" w:cs="宋体"/>
                <w:sz w:val="21"/>
                <w:szCs w:val="21"/>
                <w:highlight w:val="none"/>
                <w:lang w:val="en-US" w:eastAsia="zh-CN"/>
              </w:rPr>
              <w:t xml:space="preserve">采购人</w:t>
            </w:r>
            <w:r>
              <w:rPr>
                <w:rFonts w:hint="eastAsia" w:ascii="宋体" w:hAnsi="宋体" w:cs="宋体"/>
                <w:sz w:val="21"/>
                <w:szCs w:val="21"/>
                <w:highlight w:val="none"/>
              </w:rPr>
              <w:t xml:space="preserve">交纳</w:t>
            </w:r>
            <w:r>
              <w:rPr>
                <w:rFonts w:hint="eastAsia" w:ascii="宋体" w:hAnsi="宋体"/>
                <w:sz w:val="21"/>
                <w:szCs w:val="21"/>
                <w:highlight w:val="none"/>
              </w:rPr>
              <w:t xml:space="preserve">10万元作为</w:t>
            </w:r>
            <w:r>
              <w:rPr>
                <w:rFonts w:hint="eastAsia" w:ascii="宋体" w:hAnsi="宋体" w:cs="宋体"/>
                <w:sz w:val="21"/>
                <w:szCs w:val="21"/>
                <w:highlight w:val="none"/>
              </w:rPr>
              <w:t xml:space="preserve">履约保证金，</w:t>
            </w:r>
            <w:r>
              <w:rPr>
                <w:rFonts w:hint="eastAsia" w:ascii="宋体" w:hAnsi="宋体"/>
                <w:color w:val="000000"/>
                <w:sz w:val="21"/>
                <w:szCs w:val="21"/>
                <w:highlight w:val="none"/>
              </w:rPr>
              <w:t xml:space="preserve">履约保证金以支票、汇票、本票、保函、电子</w:t>
            </w:r>
            <w:r>
              <w:rPr>
                <w:rFonts w:hint="eastAsia" w:hAnsi="宋体" w:cs="宋体"/>
                <w:sz w:val="21"/>
                <w:szCs w:val="21"/>
                <w:highlight w:val="none"/>
              </w:rPr>
              <w:t xml:space="preserve">（或电子保函）</w:t>
            </w:r>
            <w:r>
              <w:rPr>
                <w:rFonts w:hint="eastAsia" w:ascii="宋体" w:hAnsi="宋体"/>
                <w:color w:val="000000"/>
                <w:sz w:val="21"/>
                <w:szCs w:val="21"/>
                <w:highlight w:val="none"/>
              </w:rPr>
              <w:t xml:space="preserve">等非现金形式缴纳或提交至采购人，否则将视为拒绝与采购人签订合同。</w:t>
            </w:r>
            <w:r>
              <w:rPr>
                <w:rFonts w:hint="eastAsia" w:ascii="宋体" w:hAnsi="宋体" w:cs="宋体"/>
                <w:sz w:val="21"/>
                <w:szCs w:val="21"/>
                <w:highlight w:val="none"/>
              </w:rPr>
              <w:t xml:space="preserve">如在合同履行期间保证金被扣除，</w:t>
            </w:r>
            <w:r>
              <w:rPr>
                <w:rFonts w:hint="eastAsia" w:ascii="宋体" w:hAnsi="宋体" w:cs="宋体"/>
                <w:color w:val="000000"/>
                <w:sz w:val="21"/>
                <w:szCs w:val="21"/>
                <w:highlight w:val="none"/>
              </w:rPr>
              <w:t xml:space="preserve">则须在五个工作日内补齐至原始金额，合同结束且不存在未结纠纷的，甲方无息退还保证金。合同期内如出现扣除保证金后乙方未能依约及时补足保证金的，则甲方有权以未结货款中的相应金额直接补足保证金,该部分货款视为已经支付。</w:t>
            </w:r>
            <w:r>
              <w:rPr>
                <w:rFonts w:hint="eastAsia" w:ascii="Times New Roman" w:hAnsi="Times New Roman" w:cs="宋体"/>
                <w:color w:val="000000"/>
                <w:szCs w:val="21"/>
                <w:lang w:val="zh-CN"/>
              </w:rPr>
            </w:r>
            <w:r/>
          </w:p>
        </w:tc>
      </w:tr>
      <w:tr>
        <w:trPr>
          <w:trHeight w:val="154"/>
        </w:trPr>
        <w:tc>
          <w:tcPr>
            <w:tcW w:w="1043" w:type="dxa"/>
            <w:vAlign w:val="center"/>
            <w:textDirection w:val="lrTb"/>
            <w:noWrap w:val="false"/>
          </w:tcPr>
          <w:p>
            <w:pPr>
              <w:pStyle w:val="864"/>
              <w:jc w:val="center"/>
              <w:spacing w:line="480" w:lineRule="exact"/>
              <w:rPr>
                <w:rFonts w:hint="eastAsia" w:ascii="Times New Roman" w:hAnsi="Times New Roman" w:eastAsia="宋体" w:cs="Times New Roman"/>
                <w:color w:val="000000"/>
                <w:szCs w:val="21"/>
                <w:lang w:val="zh-CN" w:eastAsia="zh-CN"/>
              </w:rPr>
            </w:pPr>
            <w:r>
              <w:rPr>
                <w:rFonts w:hint="eastAsia" w:ascii="Times New Roman" w:hAnsi="Times New Roman" w:cs="Times New Roman"/>
                <w:color w:val="000000"/>
                <w:szCs w:val="21"/>
                <w:lang w:val="en-US" w:eastAsia="zh-CN"/>
              </w:rPr>
              <w:t xml:space="preserve">8</w:t>
            </w:r>
            <w:r>
              <w:rPr>
                <w:rFonts w:hint="eastAsia" w:ascii="Times New Roman" w:hAnsi="Times New Roman" w:eastAsia="宋体" w:cs="Times New Roman"/>
                <w:color w:val="000000"/>
                <w:szCs w:val="21"/>
                <w:lang w:val="zh-CN" w:eastAsia="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招标代理机构</w:t>
            </w:r>
            <w:r>
              <w:rPr>
                <w:rFonts w:ascii="Times New Roman" w:hAnsi="Times New Roman" w:cs="Times New Roman"/>
                <w:color w:val="000000"/>
                <w:szCs w:val="21"/>
                <w:lang w:val="zh-CN"/>
              </w:rPr>
            </w:r>
            <w:r/>
          </w:p>
        </w:tc>
        <w:tc>
          <w:tcPr>
            <w:tcW w:w="7697" w:type="dxa"/>
            <w:vAlign w:val="center"/>
            <w:textDirection w:val="lrTb"/>
            <w:noWrap w:val="false"/>
          </w:tcPr>
          <w:p>
            <w:pPr>
              <w:pStyle w:val="864"/>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苏州市永诚建设咨询有限公司</w:t>
            </w:r>
            <w:r>
              <w:rPr>
                <w:rFonts w:ascii="Times New Roman" w:hAnsi="Times New Roman" w:cs="Times New Roman"/>
                <w:color w:val="000000"/>
                <w:szCs w:val="21"/>
                <w:lang w:val="zh-CN"/>
              </w:rPr>
            </w:r>
            <w:r/>
          </w:p>
          <w:p>
            <w:pPr>
              <w:pStyle w:val="864"/>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地址：苏州市东吴北路</w:t>
            </w:r>
            <w:r>
              <w:rPr>
                <w:rFonts w:ascii="Times New Roman" w:hAnsi="Times New Roman" w:cs="Times New Roman"/>
                <w:color w:val="000000"/>
                <w:szCs w:val="21"/>
                <w:lang w:val="zh-CN" w:bidi="ar"/>
              </w:rPr>
              <w:t xml:space="preserve">221</w:t>
            </w:r>
            <w:r>
              <w:rPr>
                <w:rFonts w:hint="eastAsia" w:ascii="Times New Roman" w:hAnsi="Times New Roman" w:cs="宋体"/>
                <w:color w:val="000000"/>
                <w:szCs w:val="21"/>
                <w:lang w:val="zh-CN" w:bidi="ar"/>
              </w:rPr>
              <w:t xml:space="preserve">号惠康新地</w:t>
            </w:r>
            <w:r>
              <w:rPr>
                <w:rFonts w:ascii="Times New Roman" w:hAnsi="Times New Roman" w:cs="Times New Roman"/>
                <w:color w:val="000000"/>
                <w:szCs w:val="21"/>
                <w:lang w:val="zh-CN" w:bidi="ar"/>
              </w:rPr>
              <w:t xml:space="preserve">7</w:t>
            </w:r>
            <w:r>
              <w:rPr>
                <w:rFonts w:hint="eastAsia" w:ascii="Times New Roman" w:hAnsi="Times New Roman" w:cs="宋体"/>
                <w:color w:val="000000"/>
                <w:szCs w:val="21"/>
                <w:lang w:val="zh-CN" w:bidi="ar"/>
              </w:rPr>
              <w:t xml:space="preserve">楼</w:t>
            </w:r>
            <w:r>
              <w:rPr>
                <w:rFonts w:ascii="Times New Roman" w:hAnsi="Times New Roman" w:cs="Times New Roman"/>
                <w:color w:val="000000"/>
                <w:szCs w:val="21"/>
                <w:lang w:val="zh-CN"/>
              </w:rPr>
            </w:r>
            <w:r/>
          </w:p>
          <w:p>
            <w:pPr>
              <w:pStyle w:val="864"/>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联系人</w:t>
            </w:r>
            <w:r>
              <w:rPr>
                <w:rFonts w:ascii="Times New Roman" w:hAnsi="Times New Roman" w:cs="Times New Roman"/>
                <w:color w:val="000000"/>
                <w:szCs w:val="21"/>
                <w:lang w:val="zh-CN" w:bidi="ar"/>
              </w:rPr>
              <w:t xml:space="preserve">:</w:t>
            </w:r>
            <w:r>
              <w:rPr>
                <w:rFonts w:hint="eastAsia" w:ascii="Times New Roman" w:hAnsi="Times New Roman" w:cs="宋体"/>
                <w:color w:val="000000"/>
                <w:szCs w:val="21"/>
                <w:lang w:val="zh-CN" w:bidi="ar"/>
              </w:rPr>
              <w:t xml:space="preserve">焦秀丽</w:t>
            </w:r>
            <w:r>
              <w:rPr>
                <w:rFonts w:ascii="Times New Roman" w:hAnsi="Times New Roman" w:cs="Times New Roman"/>
                <w:color w:val="000000"/>
                <w:szCs w:val="21"/>
                <w:lang w:val="zh-CN"/>
              </w:rPr>
            </w:r>
            <w:r/>
          </w:p>
          <w:p>
            <w:pPr>
              <w:pStyle w:val="864"/>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联系电话：</w:t>
            </w:r>
            <w:r>
              <w:rPr>
                <w:rFonts w:ascii="Times New Roman" w:hAnsi="Times New Roman" w:cs="Times New Roman"/>
                <w:color w:val="000000"/>
                <w:szCs w:val="21"/>
                <w:lang w:val="zh-CN"/>
              </w:rPr>
              <w:t xml:space="preserve">0512-69157588*</w:t>
            </w:r>
            <w:r>
              <w:rPr>
                <w:rFonts w:hint="eastAsia" w:ascii="Times New Roman" w:hAnsi="Times New Roman" w:cs="Times New Roman"/>
                <w:color w:val="000000"/>
                <w:szCs w:val="21"/>
                <w:lang w:val="zh-CN"/>
              </w:rPr>
              <w:t xml:space="preserve">828</w:t>
            </w:r>
            <w:r>
              <w:rPr>
                <w:rFonts w:hint="eastAsia" w:ascii="Times New Roman" w:hAnsi="Times New Roman" w:cs="Times New Roman"/>
                <w:color w:val="000000"/>
                <w:szCs w:val="21"/>
                <w:lang w:val="en-US" w:eastAsia="zh-CN"/>
              </w:rPr>
              <w:t xml:space="preserve">  </w:t>
            </w:r>
            <w:r>
              <w:rPr>
                <w:rFonts w:hint="eastAsia" w:ascii="Times New Roman" w:hAnsi="Times New Roman" w:cs="宋体"/>
                <w:color w:val="000000"/>
                <w:szCs w:val="21"/>
                <w:lang w:val="zh-CN"/>
              </w:rPr>
              <w:t xml:space="preserve">传真：</w:t>
            </w:r>
            <w:r>
              <w:rPr>
                <w:rFonts w:ascii="Times New Roman" w:hAnsi="Times New Roman" w:cs="Times New Roman"/>
                <w:color w:val="000000"/>
                <w:szCs w:val="21"/>
                <w:lang w:val="zh-CN"/>
              </w:rPr>
              <w:t xml:space="preserve">0512-65268668      </w:t>
            </w:r>
            <w:r>
              <w:rPr>
                <w:rFonts w:ascii="Times New Roman" w:hAnsi="Times New Roman" w:cs="Times New Roman"/>
                <w:color w:val="000000"/>
                <w:szCs w:val="21"/>
                <w:lang w:val="zh-CN"/>
              </w:rPr>
            </w:r>
            <w:r/>
          </w:p>
        </w:tc>
      </w:tr>
      <w:tr>
        <w:trPr>
          <w:trHeight w:val="154"/>
        </w:trPr>
        <w:tc>
          <w:tcPr>
            <w:tcW w:w="1043" w:type="dxa"/>
            <w:vAlign w:val="center"/>
            <w:textDirection w:val="lrTb"/>
            <w:noWrap w:val="false"/>
          </w:tcPr>
          <w:p>
            <w:pPr>
              <w:pStyle w:val="864"/>
              <w:jc w:val="center"/>
              <w:spacing w:line="480" w:lineRule="exact"/>
              <w:rPr>
                <w:rFonts w:hint="eastAsia" w:ascii="Times New Roman" w:hAnsi="Times New Roman" w:eastAsia="宋体" w:cs="Times New Roman"/>
                <w:color w:val="000000"/>
                <w:szCs w:val="21"/>
                <w:lang w:val="zh-CN" w:eastAsia="zh-CN"/>
              </w:rPr>
            </w:pPr>
            <w:r>
              <w:rPr>
                <w:rFonts w:hint="eastAsia" w:ascii="Times New Roman" w:hAnsi="Times New Roman" w:cs="Times New Roman"/>
                <w:color w:val="000000"/>
                <w:szCs w:val="21"/>
                <w:lang w:val="en-US" w:eastAsia="zh-CN"/>
              </w:rPr>
              <w:t xml:space="preserve">9</w:t>
            </w:r>
            <w:r>
              <w:rPr>
                <w:rFonts w:hint="eastAsia" w:ascii="Times New Roman" w:hAnsi="Times New Roman" w:eastAsia="宋体" w:cs="Times New Roman"/>
                <w:color w:val="000000"/>
                <w:szCs w:val="21"/>
                <w:lang w:val="zh-CN" w:eastAsia="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依法获取招标文件</w:t>
            </w:r>
            <w:r>
              <w:rPr>
                <w:rFonts w:ascii="Times New Roman" w:hAnsi="Times New Roman" w:cs="Times New Roman"/>
                <w:color w:val="000000"/>
                <w:szCs w:val="21"/>
              </w:rPr>
            </w:r>
            <w:r/>
          </w:p>
        </w:tc>
        <w:tc>
          <w:tcPr>
            <w:tcW w:w="7697" w:type="dxa"/>
            <w:vAlign w:val="center"/>
            <w:textDirection w:val="lrTb"/>
            <w:noWrap w:val="false"/>
          </w:tcPr>
          <w:p>
            <w:pPr>
              <w:pStyle w:val="864"/>
              <w:jc w:val="left"/>
              <w:spacing w:line="480" w:lineRule="exact"/>
              <w:tabs>
                <w:tab w:val="left" w:pos="360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时间：自招标公告发布之日起</w:t>
            </w:r>
            <w:r>
              <w:rPr>
                <w:rFonts w:hint="eastAsia" w:ascii="Times New Roman" w:hAnsi="Times New Roman" w:cs="宋体"/>
                <w:color w:val="000000"/>
                <w:szCs w:val="21"/>
                <w:lang w:val="zh-CN" w:bidi="ar"/>
              </w:rPr>
              <w:t xml:space="preserve">五个</w:t>
            </w:r>
            <w:r>
              <w:rPr>
                <w:rFonts w:hint="eastAsia" w:ascii="Times New Roman" w:hAnsi="Times New Roman" w:cs="宋体"/>
                <w:color w:val="000000"/>
                <w:szCs w:val="21"/>
                <w:lang w:val="zh-CN" w:bidi="ar"/>
              </w:rPr>
              <w:t xml:space="preserve">工作日</w:t>
            </w:r>
            <w:r>
              <w:rPr>
                <w:rFonts w:hint="eastAsia" w:ascii="Times New Roman" w:hAnsi="Times New Roman" w:cs="宋体"/>
                <w:color w:val="000000"/>
                <w:szCs w:val="21"/>
                <w:lang w:val="zh-CN" w:bidi="ar"/>
              </w:rPr>
              <w:t xml:space="preserve">。</w:t>
            </w:r>
            <w:r>
              <w:rPr>
                <w:rFonts w:hint="eastAsia" w:ascii="Times New Roman" w:hAnsi="Times New Roman" w:cs="宋体"/>
                <w:color w:val="000000"/>
                <w:szCs w:val="21"/>
                <w:lang w:val="zh-CN" w:bidi="ar"/>
              </w:rPr>
            </w:r>
            <w:r/>
          </w:p>
          <w:p>
            <w:pPr>
              <w:pStyle w:val="864"/>
              <w:jc w:val="left"/>
              <w:spacing w:line="480" w:lineRule="exact"/>
              <w:tabs>
                <w:tab w:val="left" w:pos="3600" w:leader="none"/>
              </w:tabs>
              <w:rPr>
                <w:rFonts w:hint="eastAsia"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hint="eastAsia" w:ascii="Times New Roman" w:hAnsi="Times New Roman" w:cs="宋体"/>
                <w:color w:val="000000"/>
                <w:szCs w:val="21"/>
                <w:lang w:val="zh-CN" w:bidi="ar"/>
              </w:rPr>
              <w:t xml:space="preserve">报名供应商确认报名后需自行从</w:t>
            </w:r>
            <w:r>
              <w:rPr>
                <w:rFonts w:ascii="Times New Roman" w:hAnsi="Times New Roman" w:cs="宋体"/>
                <w:color w:val="000000"/>
                <w:szCs w:val="21"/>
                <w:lang w:val="zh-CN" w:bidi="ar"/>
              </w:rPr>
              <w:t xml:space="preserve">“苏采云”</w:t>
            </w:r>
            <w:r>
              <w:rPr>
                <w:rFonts w:hint="eastAsia" w:ascii="Times New Roman" w:hAnsi="Times New Roman" w:cs="宋体"/>
                <w:color w:val="000000"/>
                <w:szCs w:val="21"/>
                <w:lang w:val="zh-CN" w:bidi="ar"/>
              </w:rPr>
              <w:t xml:space="preserve">系统里面下载本项目招标文件，</w:t>
            </w:r>
            <w:r>
              <w:rPr>
                <w:rFonts w:ascii="Times New Roman" w:hAnsi="Times New Roman" w:cs="宋体"/>
                <w:color w:val="000000"/>
                <w:szCs w:val="21"/>
                <w:lang w:val="zh-CN" w:bidi="ar"/>
              </w:rPr>
              <w:t xml:space="preserve">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Times New Roman" w:hAnsi="Times New Roman" w:cs="宋体"/>
                <w:color w:val="000000"/>
                <w:szCs w:val="21"/>
                <w:lang w:val="zh-CN" w:bidi="ar"/>
              </w:rPr>
            </w:r>
            <w:r/>
          </w:p>
        </w:tc>
      </w:tr>
      <w:tr>
        <w:trPr>
          <w:trHeight w:val="154"/>
        </w:trPr>
        <w:tc>
          <w:tcPr>
            <w:tcW w:w="1043" w:type="dxa"/>
            <w:vAlign w:val="center"/>
            <w:textDirection w:val="lrTb"/>
            <w:noWrap w:val="false"/>
          </w:tcPr>
          <w:p>
            <w:pPr>
              <w:pStyle w:val="864"/>
              <w:jc w:val="center"/>
              <w:spacing w:line="480" w:lineRule="exact"/>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10</w:t>
            </w:r>
            <w:r>
              <w:rPr>
                <w:rFonts w:ascii="Times New Roman" w:hAnsi="Times New Roman" w:eastAsia="宋体" w:cs="Times New Roman"/>
                <w:color w:val="000000"/>
                <w:szCs w:val="21"/>
                <w:lang w:val="en-US" w:eastAsia="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rPr>
            </w:pPr>
            <w:r>
              <w:rPr>
                <w:rFonts w:hint="eastAsia" w:ascii="Times New Roman" w:hAnsi="Times New Roman" w:cs="宋体"/>
                <w:color w:val="000000"/>
                <w:szCs w:val="21"/>
                <w:lang w:val="zh-CN"/>
              </w:rPr>
              <w:t xml:space="preserve">质疑</w:t>
            </w:r>
            <w:r>
              <w:rPr>
                <w:rFonts w:ascii="Times New Roman" w:hAnsi="Times New Roman" w:cs="Times New Roman"/>
                <w:color w:val="000000"/>
                <w:szCs w:val="21"/>
              </w:rPr>
            </w:r>
            <w:r/>
          </w:p>
        </w:tc>
        <w:tc>
          <w:tcPr>
            <w:tcW w:w="7697" w:type="dxa"/>
            <w:vAlign w:val="bottom"/>
            <w:textDirection w:val="lrTb"/>
            <w:noWrap w:val="false"/>
          </w:tcPr>
          <w:p>
            <w:pPr>
              <w:pStyle w:val="864"/>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投标人认为招标文件、采购过程、中标结果使自己的权益受到损害的，可以在知道或者应知其权益受到损害之日起7个工作日内，以书面形式向采购人、采购代理机构提出质疑。投标人须在法定质疑期内一次性提出针对同一采购程序环节的质疑。投标人质疑应符合政府采购质疑和投诉办法(中华人民共和国财政部令第94号)。</w:t>
            </w:r>
            <w:r>
              <w:rPr>
                <w:rFonts w:ascii="Times New Roman" w:hAnsi="Times New Roman" w:cs="宋体"/>
                <w:color w:val="000000"/>
                <w:szCs w:val="21"/>
                <w:lang w:val="zh-CN" w:bidi="ar"/>
              </w:rPr>
            </w:r>
            <w:r/>
          </w:p>
          <w:p>
            <w:pPr>
              <w:pStyle w:val="864"/>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未依照采购公告要求依法获取招标文件的投标人，视为未参加该项政府采购活动，不具备对该政府采购项目提出质疑的法定权利。</w:t>
            </w:r>
            <w:r>
              <w:rPr>
                <w:rFonts w:ascii="Times New Roman" w:hAnsi="Times New Roman" w:cs="宋体"/>
                <w:color w:val="000000"/>
                <w:szCs w:val="21"/>
                <w:lang w:val="zh-CN" w:bidi="ar"/>
              </w:rPr>
            </w:r>
            <w:r/>
          </w:p>
          <w:p>
            <w:pPr>
              <w:pStyle w:val="864"/>
              <w:jc w:val="left"/>
              <w:spacing w:line="480" w:lineRule="exact"/>
              <w:tabs>
                <w:tab w:val="left" w:pos="3600" w:leader="none"/>
              </w:tabs>
              <w:rPr>
                <w:rFonts w:hint="eastAsia"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hint="eastAsia" w:ascii="Times New Roman" w:hAnsi="Times New Roman" w:cs="宋体"/>
                <w:color w:val="000000"/>
                <w:szCs w:val="21"/>
                <w:lang w:val="zh-CN" w:bidi="ar"/>
              </w:rPr>
              <w:t xml:space="preserve">在采购活动中本身权益未受到损害或从采购活动受益的供应商所提出的质疑不予受理。供应商应当在法定质疑期内一次性提出针对同一采购程序环节的质疑。</w:t>
            </w:r>
            <w:r>
              <w:rPr>
                <w:rFonts w:hint="eastAsia" w:ascii="Times New Roman" w:hAnsi="Times New Roman" w:cs="宋体"/>
                <w:color w:val="000000"/>
                <w:szCs w:val="21"/>
                <w:lang w:val="zh-CN" w:bidi="ar"/>
              </w:rPr>
            </w:r>
            <w:r/>
          </w:p>
          <w:p>
            <w:pPr>
              <w:pStyle w:val="864"/>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接受质疑函的方式：</w:t>
            </w:r>
            <w:r>
              <w:rPr>
                <w:rFonts w:hint="eastAsia" w:ascii="Times New Roman" w:hAnsi="Times New Roman" w:cs="宋体"/>
                <w:color w:val="000000"/>
                <w:szCs w:val="21"/>
                <w:lang w:val="zh-CN" w:bidi="ar"/>
              </w:rPr>
              <w:t xml:space="preserve">原件当场送达或邮寄，邮寄不得到付，递交至苏州市永诚建设咨询有限公司</w:t>
            </w:r>
            <w:r>
              <w:rPr>
                <w:rFonts w:ascii="Times New Roman" w:hAnsi="Times New Roman" w:cs="宋体"/>
                <w:color w:val="000000"/>
                <w:szCs w:val="21"/>
                <w:lang w:val="zh-CN" w:bidi="ar"/>
              </w:rPr>
              <w:t xml:space="preserve">。</w:t>
            </w:r>
            <w:r>
              <w:rPr>
                <w:rFonts w:ascii="Times New Roman" w:hAnsi="Times New Roman" w:cs="宋体"/>
                <w:color w:val="000000"/>
                <w:szCs w:val="21"/>
                <w:lang w:val="zh-CN" w:bidi="ar"/>
              </w:rPr>
            </w:r>
            <w:r/>
          </w:p>
          <w:p>
            <w:pPr>
              <w:pStyle w:val="864"/>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联系单位：苏州</w:t>
            </w:r>
            <w:r>
              <w:rPr>
                <w:rFonts w:hint="eastAsia" w:ascii="Times New Roman" w:hAnsi="Times New Roman" w:cs="宋体"/>
                <w:color w:val="000000"/>
                <w:szCs w:val="21"/>
                <w:lang w:val="zh-CN" w:bidi="ar"/>
              </w:rPr>
              <w:t xml:space="preserve">市永诚建设咨询有限公司</w:t>
            </w:r>
            <w:r>
              <w:rPr>
                <w:rFonts w:ascii="Times New Roman" w:hAnsi="Times New Roman" w:cs="宋体"/>
                <w:color w:val="000000"/>
                <w:szCs w:val="21"/>
                <w:lang w:val="zh-CN" w:bidi="ar"/>
              </w:rPr>
            </w:r>
            <w:r/>
          </w:p>
          <w:p>
            <w:pPr>
              <w:pStyle w:val="864"/>
              <w:jc w:val="left"/>
              <w:spacing w:line="480" w:lineRule="exact"/>
              <w:tabs>
                <w:tab w:val="left" w:pos="3600" w:leader="none"/>
              </w:tabs>
              <w:rPr>
                <w:rFonts w:ascii="Times New Roman" w:hAnsi="Times New Roman" w:cs="宋体"/>
                <w:color w:val="000000"/>
                <w:szCs w:val="21"/>
                <w:lang w:val="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收件人：</w:t>
            </w:r>
            <w:r>
              <w:rPr>
                <w:rFonts w:hint="eastAsia" w:ascii="Times New Roman" w:hAnsi="Times New Roman" w:cs="宋体"/>
                <w:color w:val="000000"/>
                <w:szCs w:val="21"/>
                <w:lang w:val="zh-CN" w:bidi="ar"/>
              </w:rPr>
              <w:t xml:space="preserve">焦秀丽</w:t>
            </w:r>
            <w:r>
              <w:rPr>
                <w:rFonts w:ascii="Times New Roman" w:hAnsi="Times New Roman" w:cs="宋体"/>
                <w:color w:val="000000"/>
                <w:szCs w:val="21"/>
                <w:lang w:val="zh-CN" w:bidi="ar"/>
              </w:rPr>
            </w:r>
            <w:r/>
          </w:p>
          <w:p>
            <w:pPr>
              <w:pStyle w:val="864"/>
              <w:jc w:val="left"/>
              <w:spacing w:line="480" w:lineRule="exact"/>
              <w:tabs>
                <w:tab w:val="left" w:pos="3600" w:leader="none"/>
              </w:tabs>
              <w:rPr>
                <w:rFonts w:ascii="Times New Roman" w:hAnsi="Times New Roman" w:eastAsia="宋体" w:cs="宋体"/>
                <w:color w:val="000000"/>
                <w:szCs w:val="21"/>
                <w:lang w:val="en-US" w:eastAsia="zh-CN" w:bidi="ar"/>
              </w:rPr>
              <w:pBdr>
                <w:top w:val="none" w:color="000000" w:sz="4" w:space="0"/>
                <w:left w:val="none" w:color="000000" w:sz="4" w:space="0"/>
                <w:bottom w:val="none" w:color="000000" w:sz="4" w:space="0"/>
                <w:right w:val="none" w:color="000000" w:sz="4" w:space="0"/>
              </w:pBdr>
            </w:pPr>
            <w:r>
              <w:rPr>
                <w:rFonts w:ascii="Times New Roman" w:hAnsi="Times New Roman" w:cs="宋体"/>
                <w:color w:val="000000"/>
                <w:szCs w:val="21"/>
                <w:lang w:val="zh-CN" w:bidi="ar"/>
              </w:rPr>
              <w:t xml:space="preserve">联系电话：0512-</w:t>
            </w:r>
            <w:r>
              <w:rPr>
                <w:rFonts w:hint="eastAsia" w:ascii="Times New Roman" w:hAnsi="Times New Roman" w:cs="宋体"/>
                <w:color w:val="000000"/>
                <w:szCs w:val="21"/>
                <w:lang w:val="zh-CN" w:bidi="ar"/>
              </w:rPr>
              <w:t xml:space="preserve">69157588</w:t>
            </w:r>
            <w:r>
              <w:rPr>
                <w:rFonts w:hint="eastAsia" w:ascii="Times New Roman" w:hAnsi="Times New Roman" w:cs="宋体"/>
                <w:color w:val="000000"/>
                <w:szCs w:val="21"/>
                <w:lang w:val="en-US" w:eastAsia="zh-CN" w:bidi="ar"/>
              </w:rPr>
              <w:t xml:space="preserve">*828</w:t>
            </w:r>
            <w:r>
              <w:rPr>
                <w:rFonts w:ascii="Times New Roman" w:hAnsi="Times New Roman" w:eastAsia="宋体" w:cs="宋体"/>
                <w:color w:val="000000"/>
                <w:szCs w:val="21"/>
                <w:lang w:val="en-US" w:eastAsia="zh-CN" w:bidi="ar"/>
              </w:rPr>
            </w:r>
            <w:r/>
          </w:p>
          <w:p>
            <w:pPr>
              <w:pStyle w:val="864"/>
              <w:jc w:val="left"/>
              <w:spacing w:line="480" w:lineRule="exact"/>
              <w:tabs>
                <w:tab w:val="left" w:pos="3600" w:leader="none"/>
              </w:tabs>
              <w:rPr>
                <w:rFonts w:hint="eastAsia" w:ascii="Times New Roman" w:hAnsi="Times New Roman" w:cs="宋体"/>
                <w:color w:val="000000"/>
                <w:szCs w:val="21"/>
                <w:lang w:val="zh-CN" w:bidi="ar"/>
              </w:rPr>
            </w:pPr>
            <w:r>
              <w:rPr>
                <w:rFonts w:ascii="Times New Roman" w:hAnsi="Times New Roman" w:cs="宋体"/>
                <w:color w:val="000000"/>
                <w:szCs w:val="21"/>
                <w:lang w:val="zh-CN" w:bidi="ar"/>
              </w:rPr>
              <w:t xml:space="preserve">通讯地址：</w:t>
            </w:r>
            <w:r>
              <w:rPr>
                <w:rFonts w:hint="eastAsia" w:ascii="Times New Roman" w:hAnsi="Times New Roman" w:cs="宋体"/>
                <w:color w:val="000000"/>
                <w:szCs w:val="21"/>
                <w:lang w:val="zh-CN" w:bidi="ar"/>
              </w:rPr>
              <w:t xml:space="preserve">苏州市东吴北路221号7楼</w:t>
            </w:r>
            <w:r>
              <w:rPr>
                <w:rFonts w:hint="eastAsia" w:ascii="Times New Roman" w:hAnsi="Times New Roman" w:cs="宋体"/>
                <w:color w:val="000000"/>
                <w:szCs w:val="21"/>
                <w:lang w:val="zh-CN" w:bidi="ar"/>
              </w:rPr>
            </w:r>
            <w:r/>
          </w:p>
        </w:tc>
      </w:tr>
      <w:tr>
        <w:trPr>
          <w:trHeight w:val="516"/>
        </w:trPr>
        <w:tc>
          <w:tcPr>
            <w:tcW w:w="1043" w:type="dxa"/>
            <w:vAlign w:val="center"/>
            <w:textDirection w:val="lrTb"/>
            <w:noWrap w:val="false"/>
          </w:tcPr>
          <w:p>
            <w:pPr>
              <w:pStyle w:val="864"/>
              <w:jc w:val="center"/>
              <w:spacing w:line="480" w:lineRule="exact"/>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11</w:t>
            </w:r>
            <w:r>
              <w:rPr>
                <w:rFonts w:ascii="Times New Roman" w:hAnsi="Times New Roman" w:eastAsia="宋体" w:cs="Times New Roman"/>
                <w:color w:val="000000"/>
                <w:szCs w:val="21"/>
                <w:lang w:val="en-US" w:eastAsia="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投标文件</w:t>
            </w:r>
            <w:r>
              <w:rPr>
                <w:rFonts w:ascii="Times New Roman" w:hAnsi="Times New Roman" w:cs="Times New Roman"/>
                <w:color w:val="000000"/>
                <w:szCs w:val="21"/>
                <w:lang w:val="zh-CN"/>
              </w:rPr>
            </w:r>
            <w:r/>
          </w:p>
        </w:tc>
        <w:tc>
          <w:tcPr>
            <w:tcW w:w="7697" w:type="dxa"/>
            <w:vAlign w:val="center"/>
            <w:textDirection w:val="lrTb"/>
            <w:noWrap w:val="false"/>
          </w:tcPr>
          <w:p>
            <w:pPr>
              <w:pStyle w:val="864"/>
              <w:jc w:val="left"/>
              <w:spacing w:line="480" w:lineRule="exact"/>
              <w:tabs>
                <w:tab w:val="left" w:pos="540" w:leader="none"/>
              </w:tabs>
              <w:rPr>
                <w:rFonts w:ascii="Times New Roman" w:hAnsi="Times New Roman" w:cs="宋体"/>
                <w:color w:val="000000"/>
                <w:szCs w:val="21"/>
                <w:lang w:val="zh-CN"/>
              </w:rPr>
            </w:pPr>
            <w:r>
              <w:rPr>
                <w:rFonts w:ascii="Times New Roman" w:hAnsi="Times New Roman" w:cs="宋体"/>
                <w:color w:val="000000"/>
                <w:szCs w:val="21"/>
                <w:lang w:val="zh-CN"/>
              </w:rPr>
              <w:t xml:space="preserve">1</w:t>
            </w:r>
            <w:r>
              <w:rPr>
                <w:rFonts w:hint="eastAsia" w:ascii="Times New Roman" w:hAnsi="Times New Roman" w:cs="宋体"/>
                <w:color w:val="000000"/>
                <w:szCs w:val="21"/>
                <w:lang w:val="zh-CN"/>
              </w:rPr>
              <w:t xml:space="preserve">、</w:t>
            </w:r>
            <w:r>
              <w:rPr>
                <w:rFonts w:ascii="Times New Roman" w:hAnsi="Times New Roman" w:cs="宋体"/>
                <w:color w:val="000000"/>
                <w:szCs w:val="21"/>
                <w:lang w:val="zh-CN"/>
              </w:rPr>
              <w:t xml:space="preserve">应使用“苏采云”系统制作并提交电子版投标文件，未按要求线上递交电子投标文件将被拒收。</w:t>
            </w:r>
            <w:r>
              <w:rPr>
                <w:rFonts w:ascii="Times New Roman" w:hAnsi="Times New Roman" w:cs="宋体"/>
                <w:color w:val="000000"/>
                <w:szCs w:val="21"/>
                <w:lang w:val="zh-CN"/>
              </w:rPr>
            </w:r>
            <w:r/>
          </w:p>
          <w:p>
            <w:pPr>
              <w:pStyle w:val="864"/>
              <w:jc w:val="left"/>
              <w:spacing w:line="480" w:lineRule="exact"/>
              <w:tabs>
                <w:tab w:val="left" w:pos="540" w:leader="none"/>
              </w:tabs>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2</w:t>
            </w:r>
            <w:r>
              <w:rPr>
                <w:rFonts w:hint="eastAsia" w:ascii="Times New Roman" w:hAnsi="Times New Roman" w:cs="宋体"/>
                <w:b/>
                <w:color w:val="000000"/>
                <w:szCs w:val="21"/>
                <w:lang w:val="zh-CN"/>
              </w:rPr>
              <w:t xml:space="preserve">、乙方在领取中标通知书时提供三份盖公章的纸质投标文件，供招标人归档使用。</w:t>
            </w:r>
            <w:r>
              <w:rPr>
                <w:rFonts w:ascii="Times New Roman" w:hAnsi="Times New Roman" w:cs="Times New Roman"/>
                <w:b/>
                <w:color w:val="000000"/>
                <w:szCs w:val="21"/>
                <w:lang w:val="zh-CN"/>
              </w:rPr>
            </w:r>
            <w:r/>
          </w:p>
        </w:tc>
      </w:tr>
      <w:tr>
        <w:trPr>
          <w:trHeight w:val="931"/>
        </w:trPr>
        <w:tc>
          <w:tcPr>
            <w:tcW w:w="1043" w:type="dxa"/>
            <w:vAlign w:val="center"/>
            <w:textDirection w:val="lrTb"/>
            <w:noWrap w:val="false"/>
          </w:tcPr>
          <w:p>
            <w:pPr>
              <w:pStyle w:val="864"/>
              <w:jc w:val="center"/>
              <w:spacing w:line="480" w:lineRule="exact"/>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12</w:t>
            </w:r>
            <w:r>
              <w:rPr>
                <w:rFonts w:ascii="Times New Roman" w:hAnsi="Times New Roman" w:eastAsia="宋体" w:cs="Times New Roman"/>
                <w:color w:val="000000"/>
                <w:szCs w:val="21"/>
                <w:lang w:val="en-US" w:eastAsia="zh-CN"/>
              </w:rPr>
            </w:r>
            <w:r/>
          </w:p>
        </w:tc>
        <w:tc>
          <w:tcPr>
            <w:tcW w:w="1591" w:type="dxa"/>
            <w:vAlign w:val="center"/>
            <w:textDirection w:val="lrTb"/>
            <w:noWrap w:val="false"/>
          </w:tcPr>
          <w:p>
            <w:pPr>
              <w:pStyle w:val="864"/>
              <w:jc w:val="left"/>
              <w:spacing w:line="480" w:lineRule="exact"/>
              <w:tabs>
                <w:tab w:val="left" w:pos="540" w:leader="none"/>
              </w:tabs>
              <w:rPr>
                <w:rFonts w:hint="eastAsia" w:ascii="宋体" w:hAnsi="宋体" w:cs="宋体"/>
                <w:color w:val="000000"/>
                <w:szCs w:val="21"/>
                <w:lang w:val="zh-CN"/>
              </w:rPr>
            </w:pPr>
            <w:r>
              <w:rPr>
                <w:rFonts w:hint="eastAsia" w:ascii="宋体" w:hAnsi="宋体" w:cs="宋体"/>
                <w:color w:val="000000"/>
                <w:szCs w:val="21"/>
                <w:lang w:val="zh-CN"/>
              </w:rPr>
              <w:t xml:space="preserve">电子投标文件递交截止时间</w:t>
            </w:r>
            <w:r>
              <w:rPr>
                <w:rFonts w:hint="eastAsia" w:ascii="宋体" w:hAnsi="宋体" w:cs="宋体"/>
                <w:color w:val="000000"/>
                <w:szCs w:val="21"/>
                <w:lang w:val="zh-CN"/>
              </w:rPr>
            </w:r>
            <w:r/>
          </w:p>
        </w:tc>
        <w:tc>
          <w:tcPr>
            <w:tcW w:w="7697" w:type="dxa"/>
            <w:vAlign w:val="center"/>
            <w:textDirection w:val="lrTb"/>
            <w:noWrap w:val="false"/>
          </w:tcPr>
          <w:p>
            <w:pPr>
              <w:pStyle w:val="864"/>
              <w:jc w:val="left"/>
              <w:spacing w:line="480" w:lineRule="exact"/>
              <w:tabs>
                <w:tab w:val="left" w:pos="540" w:leader="none"/>
              </w:tabs>
              <w:rPr>
                <w:rFonts w:hint="eastAsia" w:ascii="宋体" w:hAnsi="宋体" w:cs="宋体"/>
                <w:color w:val="000000"/>
                <w:szCs w:val="21"/>
                <w:lang w:val="zh-CN"/>
              </w:rPr>
            </w:pPr>
            <w:r>
              <w:rPr>
                <w:rFonts w:hint="eastAsia" w:ascii="宋体" w:hAnsi="宋体" w:cs="宋体"/>
                <w:color w:val="000000"/>
                <w:szCs w:val="21"/>
                <w:lang w:val="zh-CN"/>
              </w:rPr>
              <w:t xml:space="preserve">202</w:t>
            </w:r>
            <w:r>
              <w:rPr>
                <w:rFonts w:hint="eastAsia" w:ascii="宋体" w:hAnsi="宋体" w:cs="宋体"/>
                <w:color w:val="000000"/>
                <w:szCs w:val="21"/>
                <w:lang w:val="en-US" w:eastAsia="zh-CN"/>
              </w:rPr>
              <w:t xml:space="preserve">6</w:t>
            </w:r>
            <w:r>
              <w:rPr>
                <w:rFonts w:hint="eastAsia" w:ascii="宋体" w:hAnsi="宋体" w:cs="宋体"/>
                <w:color w:val="000000"/>
                <w:szCs w:val="21"/>
                <w:lang w:val="zh-CN"/>
              </w:rPr>
              <w:t xml:space="preserve">年</w:t>
            </w:r>
            <w:r>
              <w:rPr>
                <w:rFonts w:hint="eastAsia" w:ascii="宋体" w:hAnsi="宋体" w:cs="宋体"/>
                <w:color w:val="000000"/>
                <w:szCs w:val="21"/>
                <w:lang w:val="en-US" w:eastAsia="zh-CN"/>
              </w:rPr>
              <w:t xml:space="preserve">03</w:t>
            </w:r>
            <w:r>
              <w:rPr>
                <w:rFonts w:hint="eastAsia" w:ascii="宋体" w:hAnsi="宋体" w:cs="宋体"/>
                <w:color w:val="000000"/>
                <w:szCs w:val="21"/>
                <w:lang w:val="zh-CN"/>
              </w:rPr>
              <w:t xml:space="preserve">月26</w:t>
            </w:r>
            <w:r>
              <w:rPr>
                <w:rFonts w:hint="eastAsia" w:ascii="宋体" w:hAnsi="宋体" w:cs="宋体"/>
                <w:color w:val="000000"/>
                <w:szCs w:val="21"/>
                <w:lang w:val="zh-CN"/>
              </w:rPr>
              <w:t xml:space="preserve">日</w:t>
            </w:r>
            <w:r>
              <w:rPr>
                <w:rFonts w:hint="eastAsia" w:ascii="宋体" w:hAnsi="宋体" w:cs="宋体"/>
                <w:color w:val="000000"/>
                <w:szCs w:val="21"/>
                <w:lang w:val="en-US" w:eastAsia="zh-CN"/>
              </w:rPr>
              <w:t xml:space="preserve">13：30</w:t>
            </w:r>
            <w:r>
              <w:rPr>
                <w:rFonts w:hint="eastAsia" w:ascii="宋体" w:hAnsi="宋体" w:cs="宋体"/>
                <w:color w:val="000000"/>
                <w:szCs w:val="21"/>
                <w:lang w:val="zh-CN"/>
              </w:rPr>
              <w:t xml:space="preserve">（北京时间）</w:t>
            </w:r>
            <w:r>
              <w:rPr>
                <w:rFonts w:hint="eastAsia" w:ascii="宋体" w:hAnsi="宋体" w:cs="宋体"/>
                <w:color w:val="000000"/>
                <w:szCs w:val="21"/>
                <w:lang w:val="zh-CN"/>
              </w:rPr>
            </w:r>
            <w:r/>
          </w:p>
        </w:tc>
      </w:tr>
      <w:tr>
        <w:trPr>
          <w:trHeight w:val="90"/>
        </w:trPr>
        <w:tc>
          <w:tcPr>
            <w:tcW w:w="1043" w:type="dxa"/>
            <w:vAlign w:val="center"/>
            <w:textDirection w:val="lrTb"/>
            <w:noWrap w:val="false"/>
          </w:tcPr>
          <w:p>
            <w:pPr>
              <w:pStyle w:val="864"/>
              <w:jc w:val="center"/>
              <w:spacing w:line="480" w:lineRule="exact"/>
              <w:rPr>
                <w:rFonts w:ascii="Times New Roman" w:hAnsi="Times New Roman" w:eastAsia="宋体" w:cs="Times New Roman"/>
                <w:color w:val="000000"/>
                <w:szCs w:val="21"/>
                <w:lang w:val="en-US" w:eastAsia="zh-CN"/>
              </w:rPr>
            </w:pPr>
            <w:r>
              <w:rPr>
                <w:rFonts w:hint="eastAsia" w:ascii="Times New Roman" w:hAnsi="Times New Roman" w:cs="Times New Roman"/>
                <w:color w:val="000000"/>
                <w:szCs w:val="21"/>
                <w:lang w:val="en-US" w:eastAsia="zh-CN"/>
              </w:rPr>
              <w:t xml:space="preserve">13</w:t>
            </w:r>
            <w:r>
              <w:rPr>
                <w:rFonts w:ascii="Times New Roman" w:hAnsi="Times New Roman" w:eastAsia="宋体" w:cs="Times New Roman"/>
                <w:color w:val="000000"/>
                <w:szCs w:val="21"/>
                <w:lang w:val="en-US" w:eastAsia="zh-CN"/>
              </w:rPr>
            </w:r>
            <w:r/>
          </w:p>
        </w:tc>
        <w:tc>
          <w:tcPr>
            <w:tcW w:w="1591" w:type="dxa"/>
            <w:vAlign w:val="center"/>
            <w:textDirection w:val="lrTb"/>
            <w:noWrap w:val="false"/>
          </w:tcPr>
          <w:p>
            <w:pPr>
              <w:pStyle w:val="864"/>
              <w:jc w:val="center"/>
              <w:spacing w:line="480" w:lineRule="exact"/>
              <w:rPr>
                <w:rFonts w:hint="eastAsia" w:ascii="宋体" w:hAnsi="宋体" w:cs="宋体"/>
                <w:color w:val="000000"/>
                <w:szCs w:val="21"/>
              </w:rPr>
            </w:pPr>
            <w:r>
              <w:rPr>
                <w:rFonts w:hint="eastAsia" w:ascii="宋体" w:hAnsi="宋体" w:cs="宋体"/>
                <w:color w:val="000000"/>
                <w:szCs w:val="21"/>
                <w:lang w:val="zh-CN"/>
              </w:rPr>
              <w:t xml:space="preserve">投标文件</w:t>
            </w:r>
            <w:r>
              <w:rPr>
                <w:rFonts w:hint="eastAsia" w:ascii="宋体" w:hAnsi="宋体" w:cs="宋体"/>
                <w:color w:val="000000"/>
                <w:szCs w:val="21"/>
              </w:rPr>
              <w:t xml:space="preserve">上传</w:t>
            </w:r>
            <w:r>
              <w:rPr>
                <w:rFonts w:hint="eastAsia" w:ascii="宋体" w:hAnsi="宋体" w:cs="宋体"/>
                <w:color w:val="000000"/>
                <w:szCs w:val="21"/>
              </w:rPr>
            </w:r>
            <w:r/>
          </w:p>
        </w:tc>
        <w:tc>
          <w:tcPr>
            <w:tcW w:w="7697" w:type="dxa"/>
            <w:vAlign w:val="center"/>
            <w:textDirection w:val="lrTb"/>
            <w:noWrap w:val="false"/>
          </w:tcPr>
          <w:p>
            <w:pPr>
              <w:pStyle w:val="864"/>
              <w:spacing w:line="480" w:lineRule="exact"/>
              <w:widowControl/>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上传地点：“苏采云”系统</w:t>
            </w:r>
            <w:r>
              <w:rPr>
                <w:rFonts w:hint="eastAsia" w:ascii="宋体" w:hAnsi="宋体" w:cs="宋体"/>
                <w:color w:val="000000"/>
                <w:szCs w:val="21"/>
                <w:lang w:val="zh-CN"/>
              </w:rPr>
            </w:r>
            <w:r/>
          </w:p>
        </w:tc>
      </w:tr>
      <w:tr>
        <w:trPr>
          <w:trHeight w:val="1009"/>
        </w:trPr>
        <w:tc>
          <w:tcPr>
            <w:tcW w:w="1043" w:type="dxa"/>
            <w:vAlign w:val="center"/>
            <w:textDirection w:val="lrTb"/>
            <w:noWrap w:val="false"/>
          </w:tcPr>
          <w:p>
            <w:pPr>
              <w:pStyle w:val="864"/>
              <w:jc w:val="center"/>
              <w:spacing w:line="480" w:lineRule="exact"/>
              <w:rPr>
                <w:rFonts w:hint="eastAsia" w:ascii="Times New Roman" w:hAnsi="Times New Roman" w:eastAsia="宋体" w:cs="Times New Roman"/>
                <w:color w:val="000000"/>
                <w:szCs w:val="21"/>
                <w:lang w:val="zh-CN" w:eastAsia="zh-CN"/>
              </w:rPr>
            </w:pPr>
            <w:r>
              <w:rPr>
                <w:rFonts w:hint="eastAsia" w:ascii="Times New Roman" w:hAnsi="Times New Roman" w:cs="Times New Roman"/>
                <w:color w:val="000000"/>
                <w:szCs w:val="21"/>
                <w:lang w:val="zh-CN"/>
              </w:rPr>
              <w:t xml:space="preserve">1</w:t>
            </w:r>
            <w:r>
              <w:rPr>
                <w:rFonts w:hint="eastAsia" w:ascii="Times New Roman" w:hAnsi="Times New Roman" w:cs="Times New Roman"/>
                <w:color w:val="000000"/>
                <w:szCs w:val="21"/>
                <w:lang w:val="en-US" w:eastAsia="zh-CN"/>
              </w:rPr>
              <w:t xml:space="preserve">4</w:t>
            </w:r>
            <w:r>
              <w:rPr>
                <w:rFonts w:hint="eastAsia" w:ascii="Times New Roman" w:hAnsi="Times New Roman" w:eastAsia="宋体" w:cs="Times New Roman"/>
                <w:color w:val="000000"/>
                <w:szCs w:val="21"/>
                <w:lang w:val="zh-CN" w:eastAsia="zh-CN"/>
              </w:rPr>
            </w:r>
            <w:r/>
          </w:p>
        </w:tc>
        <w:tc>
          <w:tcPr>
            <w:tcW w:w="1591" w:type="dxa"/>
            <w:vAlign w:val="center"/>
            <w:textDirection w:val="lrTb"/>
            <w:noWrap w:val="false"/>
          </w:tcPr>
          <w:p>
            <w:pPr>
              <w:pStyle w:val="864"/>
              <w:jc w:val="center"/>
              <w:spacing w:line="480" w:lineRule="exact"/>
              <w:rPr>
                <w:rFonts w:hint="eastAsia" w:ascii="宋体" w:hAnsi="宋体" w:cs="宋体"/>
                <w:color w:val="000000"/>
                <w:szCs w:val="21"/>
                <w:lang w:val="zh-CN"/>
              </w:rPr>
            </w:pPr>
            <w:r>
              <w:rPr>
                <w:rFonts w:hint="eastAsia" w:ascii="宋体" w:hAnsi="宋体" w:cs="宋体"/>
                <w:color w:val="000000"/>
                <w:szCs w:val="21"/>
                <w:lang w:val="zh-CN" w:bidi="ar"/>
              </w:rPr>
              <w:t xml:space="preserve">开标时间</w:t>
            </w:r>
            <w:r>
              <w:rPr>
                <w:rFonts w:hint="eastAsia" w:ascii="宋体" w:hAnsi="宋体" w:cs="宋体"/>
                <w:color w:val="000000"/>
                <w:szCs w:val="21"/>
                <w:lang w:val="zh-CN"/>
              </w:rPr>
            </w:r>
            <w:r/>
          </w:p>
          <w:p>
            <w:pPr>
              <w:pStyle w:val="864"/>
              <w:jc w:val="center"/>
              <w:spacing w:line="480" w:lineRule="exact"/>
              <w:rPr>
                <w:rFonts w:hint="eastAsia" w:ascii="宋体" w:hAnsi="宋体" w:cs="宋体"/>
                <w:color w:val="000000"/>
                <w:szCs w:val="21"/>
              </w:rPr>
            </w:pPr>
            <w:r>
              <w:rPr>
                <w:rFonts w:hint="eastAsia" w:ascii="宋体" w:hAnsi="宋体" w:cs="宋体"/>
                <w:color w:val="000000"/>
                <w:szCs w:val="21"/>
                <w:lang w:val="zh-CN"/>
              </w:rPr>
              <w:t xml:space="preserve">地点</w:t>
            </w:r>
            <w:r>
              <w:rPr>
                <w:rFonts w:hint="eastAsia" w:ascii="宋体" w:hAnsi="宋体" w:cs="宋体"/>
                <w:color w:val="000000"/>
                <w:szCs w:val="21"/>
              </w:rPr>
            </w:r>
            <w:r/>
          </w:p>
        </w:tc>
        <w:tc>
          <w:tcPr>
            <w:tcW w:w="7697" w:type="dxa"/>
            <w:vAlign w:val="center"/>
            <w:textDirection w:val="lrTb"/>
            <w:noWrap w:val="false"/>
          </w:tcPr>
          <w:p>
            <w:pPr>
              <w:pStyle w:val="864"/>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本项目为不见面开标项目，开标阶段投标人在【供应商解密】环节必须使用 CA证书解密电子投标文件，如在系统规定的解密时间内未能完成解密的视为放弃投标。</w:t>
            </w:r>
            <w:r>
              <w:rPr>
                <w:rFonts w:hint="eastAsia" w:ascii="宋体" w:hAnsi="宋体" w:cs="宋体"/>
                <w:szCs w:val="21"/>
              </w:rPr>
            </w:r>
            <w:r/>
          </w:p>
          <w:p>
            <w:pPr>
              <w:pStyle w:val="864"/>
              <w:spacing w:line="480" w:lineRule="exact"/>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开标时间：202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年03</w:t>
            </w:r>
            <w:r>
              <w:rPr>
                <w:rFonts w:hint="eastAsia" w:ascii="宋体" w:hAnsi="宋体" w:cs="宋体"/>
                <w:color w:val="000000"/>
                <w:szCs w:val="21"/>
                <w:lang w:val="en-US" w:eastAsia="zh-CN"/>
              </w:rPr>
              <w:t xml:space="preserve">月26</w:t>
            </w:r>
            <w:r>
              <w:rPr>
                <w:rFonts w:hint="eastAsia" w:ascii="宋体" w:hAnsi="宋体" w:cs="宋体"/>
                <w:color w:val="000000"/>
                <w:szCs w:val="21"/>
              </w:rPr>
              <w:t xml:space="preserve">日</w:t>
            </w:r>
            <w:r>
              <w:rPr>
                <w:rFonts w:hint="eastAsia" w:ascii="宋体" w:hAnsi="宋体" w:cs="宋体"/>
                <w:color w:val="000000"/>
                <w:szCs w:val="21"/>
                <w:lang w:val="en-US" w:eastAsia="zh-CN"/>
              </w:rPr>
              <w:t xml:space="preserve">13</w:t>
            </w:r>
            <w:r>
              <w:rPr>
                <w:rFonts w:hint="eastAsia" w:ascii="宋体" w:hAnsi="宋体" w:cs="宋体"/>
                <w:color w:val="000000"/>
                <w:szCs w:val="21"/>
              </w:rPr>
              <w:t xml:space="preserve">:30（北京时间）</w:t>
            </w:r>
            <w:r>
              <w:rPr>
                <w:rFonts w:hint="eastAsia" w:ascii="宋体" w:hAnsi="宋体" w:cs="宋体"/>
                <w:szCs w:val="21"/>
              </w:rPr>
            </w:r>
            <w:r/>
          </w:p>
          <w:p>
            <w:pPr>
              <w:pStyle w:val="864"/>
              <w:jc w:val="left"/>
              <w:spacing w:line="480" w:lineRule="exact"/>
              <w:tabs>
                <w:tab w:val="left" w:pos="540" w:leader="none"/>
              </w:tabs>
              <w:rPr>
                <w:rFonts w:hint="eastAsia" w:ascii="宋体" w:hAnsi="宋体" w:cs="宋体"/>
                <w:color w:val="000000"/>
                <w:szCs w:val="21"/>
                <w:lang w:val="zh-CN"/>
              </w:rPr>
            </w:pPr>
            <w:r>
              <w:rPr>
                <w:rFonts w:hint="eastAsia" w:ascii="宋体" w:hAnsi="宋体" w:cs="宋体"/>
                <w:color w:val="000000"/>
                <w:szCs w:val="21"/>
              </w:rPr>
              <w:t xml:space="preserve">开标地点：“苏采云”系统</w:t>
            </w:r>
            <w:r>
              <w:rPr>
                <w:rFonts w:hint="eastAsia" w:ascii="宋体" w:hAnsi="宋体" w:cs="宋体"/>
                <w:color w:val="000000"/>
                <w:szCs w:val="21"/>
                <w:lang w:val="zh-CN"/>
              </w:rPr>
            </w:r>
            <w:r/>
          </w:p>
        </w:tc>
      </w:tr>
      <w:tr>
        <w:trPr>
          <w:trHeight w:val="375"/>
        </w:trPr>
        <w:tc>
          <w:tcPr>
            <w:tcW w:w="1043" w:type="dxa"/>
            <w:vAlign w:val="center"/>
            <w:textDirection w:val="lrTb"/>
            <w:noWrap w:val="false"/>
          </w:tcPr>
          <w:p>
            <w:pPr>
              <w:pStyle w:val="864"/>
              <w:jc w:val="center"/>
              <w:spacing w:line="480" w:lineRule="exact"/>
              <w:rPr>
                <w:rFonts w:hint="eastAsia" w:ascii="Times New Roman" w:hAnsi="Times New Roman" w:eastAsia="宋体" w:cs="Times New Roman"/>
                <w:color w:val="000000"/>
                <w:szCs w:val="21"/>
                <w:lang w:val="zh-CN" w:eastAsia="zh-CN"/>
              </w:rPr>
            </w:pPr>
            <w:r>
              <w:rPr>
                <w:rFonts w:hint="eastAsia" w:ascii="Times New Roman" w:hAnsi="Times New Roman" w:cs="Times New Roman"/>
                <w:color w:val="000000"/>
                <w:szCs w:val="21"/>
                <w:lang w:val="zh-CN"/>
              </w:rPr>
              <w:t xml:space="preserve">1</w:t>
            </w:r>
            <w:r>
              <w:rPr>
                <w:rFonts w:hint="eastAsia" w:ascii="Times New Roman" w:hAnsi="Times New Roman" w:cs="Times New Roman"/>
                <w:color w:val="000000"/>
                <w:szCs w:val="21"/>
                <w:lang w:val="en-US" w:eastAsia="zh-CN"/>
              </w:rPr>
              <w:t xml:space="preserve">5</w:t>
            </w:r>
            <w:r>
              <w:rPr>
                <w:rFonts w:hint="eastAsia" w:ascii="Times New Roman" w:hAnsi="Times New Roman" w:eastAsia="宋体" w:cs="Times New Roman"/>
                <w:color w:val="000000"/>
                <w:szCs w:val="21"/>
                <w:lang w:val="zh-CN" w:eastAsia="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中标服务费</w:t>
            </w:r>
            <w:r>
              <w:rPr>
                <w:rFonts w:ascii="Times New Roman" w:hAnsi="Times New Roman" w:cs="Times New Roman"/>
                <w:color w:val="000000"/>
                <w:szCs w:val="21"/>
                <w:lang w:val="zh-CN"/>
              </w:rPr>
            </w:r>
            <w:r/>
          </w:p>
        </w:tc>
        <w:tc>
          <w:tcPr>
            <w:tcW w:w="7697" w:type="dxa"/>
            <w:vAlign w:val="center"/>
            <w:textDirection w:val="lrTb"/>
            <w:noWrap w:val="false"/>
          </w:tcPr>
          <w:p>
            <w:pPr>
              <w:pStyle w:val="864"/>
              <w:spacing w:line="480" w:lineRule="exact"/>
              <w:widowControl/>
              <w:rPr>
                <w:rFonts w:hint="eastAsia" w:ascii="宋体" w:hAnsi="宋体" w:cs="宋体"/>
                <w:color w:val="000000"/>
                <w:szCs w:val="21"/>
              </w:rPr>
            </w:pPr>
            <w:r>
              <w:rPr>
                <w:rFonts w:hint="eastAsia" w:ascii="宋体" w:hAnsi="宋体" w:cs="宋体"/>
                <w:color w:val="000000"/>
                <w:szCs w:val="21"/>
              </w:rPr>
              <w:t xml:space="preserve">由中标人支付代理服务费，收费按以下标准</w:t>
            </w:r>
            <w:r>
              <w:rPr>
                <w:rFonts w:hint="eastAsia" w:ascii="宋体" w:hAnsi="宋体" w:cs="宋体"/>
                <w:color w:val="000000"/>
                <w:szCs w:val="21"/>
                <w:lang w:val="en-US" w:eastAsia="zh-CN"/>
              </w:rPr>
              <w:t xml:space="preserve">的97%</w:t>
            </w:r>
            <w:r>
              <w:rPr>
                <w:rFonts w:hint="eastAsia" w:ascii="宋体" w:hAnsi="宋体" w:cs="宋体"/>
                <w:color w:val="000000"/>
                <w:szCs w:val="21"/>
              </w:rPr>
              <w:t xml:space="preserve">计取：</w:t>
            </w:r>
            <w:r>
              <w:rPr>
                <w:rFonts w:hint="eastAsia" w:ascii="宋体" w:hAnsi="宋体" w:cs="宋体"/>
                <w:color w:val="000000"/>
                <w:szCs w:val="21"/>
              </w:rPr>
            </w:r>
            <w:r/>
          </w:p>
          <w:p>
            <w:pPr>
              <w:pStyle w:val="864"/>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预算金额100万以下费率为预算金额的1.5%；</w:t>
            </w:r>
            <w:r>
              <w:rPr>
                <w:rFonts w:hint="eastAsia" w:ascii="宋体" w:hAnsi="宋体" w:cs="宋体"/>
                <w:color w:val="000000"/>
                <w:szCs w:val="21"/>
              </w:rPr>
            </w:r>
            <w:r/>
          </w:p>
          <w:p>
            <w:pPr>
              <w:pStyle w:val="864"/>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预算金额100－500万费率为预算金额的1.1%；</w:t>
            </w:r>
            <w:r>
              <w:rPr>
                <w:rFonts w:hint="eastAsia" w:ascii="宋体" w:hAnsi="宋体" w:cs="宋体"/>
                <w:color w:val="000000"/>
                <w:szCs w:val="21"/>
              </w:rPr>
            </w:r>
            <w:r/>
          </w:p>
          <w:p>
            <w:pPr>
              <w:pStyle w:val="864"/>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预算金额500-1000万费率为预算金额的0.8%；</w:t>
            </w:r>
            <w:r>
              <w:rPr>
                <w:rFonts w:hint="eastAsia" w:ascii="宋体" w:hAnsi="宋体" w:cs="宋体"/>
                <w:color w:val="000000"/>
                <w:szCs w:val="21"/>
              </w:rPr>
            </w:r>
            <w:r/>
          </w:p>
          <w:p>
            <w:pPr>
              <w:pStyle w:val="864"/>
              <w:spacing w:line="480" w:lineRule="exact"/>
              <w:widowControl/>
              <w:rPr>
                <w:rFonts w:hint="eastAsia" w:ascii="宋体" w:hAnsi="宋体" w:cs="宋体"/>
                <w:color w:val="000000"/>
                <w:szCs w:val="21"/>
              </w:rPr>
            </w:pPr>
            <w:r>
              <w:rPr>
                <w:rFonts w:hint="eastAsia" w:ascii="宋体" w:hAnsi="宋体" w:cs="宋体"/>
                <w:color w:val="000000"/>
                <w:szCs w:val="21"/>
              </w:rPr>
              <w:t xml:space="preserve">预算金额1000-5000万费率为预算金额的0.5%；</w:t>
            </w:r>
            <w:r>
              <w:rPr>
                <w:rFonts w:hint="eastAsia" w:ascii="宋体" w:hAnsi="宋体" w:cs="宋体"/>
                <w:color w:val="000000"/>
                <w:szCs w:val="21"/>
              </w:rPr>
            </w:r>
            <w:r/>
          </w:p>
          <w:p>
            <w:pPr>
              <w:pStyle w:val="864"/>
              <w:spacing w:line="480" w:lineRule="exact"/>
              <w:widowControl/>
              <w:rPr>
                <w:rFonts w:hint="eastAsia" w:ascii="宋体" w:hAnsi="宋体" w:cs="宋体"/>
                <w:color w:val="000000"/>
                <w:szCs w:val="21"/>
              </w:rPr>
            </w:pPr>
            <w:r>
              <w:rPr>
                <w:rFonts w:hint="eastAsia" w:ascii="宋体" w:hAnsi="宋体" w:cs="宋体"/>
                <w:color w:val="000000"/>
                <w:szCs w:val="21"/>
              </w:rPr>
              <w:t xml:space="preserve">注：代理服务费按上述规定的标准和差额定率累进法进行计算后收取。在领取中标通知书时一次付清</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请各供应商在投标报价时综合考虑。</w:t>
            </w:r>
            <w:r>
              <w:rPr>
                <w:rFonts w:hint="eastAsia" w:ascii="宋体" w:hAnsi="宋体" w:cs="宋体"/>
                <w:color w:val="000000"/>
                <w:szCs w:val="21"/>
              </w:rPr>
            </w:r>
            <w:r/>
          </w:p>
          <w:p>
            <w:pPr>
              <w:pStyle w:val="864"/>
              <w:spacing w:line="480" w:lineRule="exact"/>
              <w:widowControl/>
              <w:rPr>
                <w:rFonts w:hint="eastAsia" w:ascii="Times New Roman" w:hAnsi="Times New Roman" w:eastAsia="宋体" w:cs="宋体"/>
                <w:color w:val="000000"/>
                <w:szCs w:val="21"/>
                <w:lang w:val="zh-CN" w:eastAsia="zh-CN" w:bidi="ar"/>
              </w:rPr>
            </w:pPr>
            <w:r>
              <w:rPr>
                <w:rFonts w:hint="eastAsia" w:ascii="宋体" w:hAnsi="宋体" w:cs="宋体"/>
                <w:color w:val="000000"/>
                <w:szCs w:val="21"/>
                <w:highlight w:val="none"/>
              </w:rPr>
              <w:t xml:space="preserve">本项目代理服务费：57548</w:t>
            </w:r>
            <w:r>
              <w:rPr>
                <w:rFonts w:hint="eastAsia" w:ascii="宋体" w:hAnsi="宋体" w:cs="宋体"/>
                <w:color w:val="000000"/>
                <w:szCs w:val="21"/>
                <w:highlight w:val="none"/>
              </w:rPr>
              <w:t xml:space="preserve">元</w:t>
            </w:r>
            <w:r>
              <w:rPr>
                <w:rFonts w:hint="eastAsia" w:ascii="Times New Roman" w:hAnsi="Times New Roman" w:eastAsia="宋体" w:cs="宋体"/>
                <w:color w:val="000000"/>
                <w:szCs w:val="21"/>
                <w:lang w:val="zh-CN" w:eastAsia="zh-CN" w:bidi="ar"/>
              </w:rPr>
            </w:r>
            <w:r/>
          </w:p>
        </w:tc>
      </w:tr>
      <w:tr>
        <w:trPr>
          <w:trHeight w:val="457"/>
        </w:trPr>
        <w:tc>
          <w:tcPr>
            <w:tcW w:w="1043" w:type="dxa"/>
            <w:vAlign w:val="center"/>
            <w:textDirection w:val="lrTb"/>
            <w:noWrap w:val="false"/>
          </w:tcPr>
          <w:p>
            <w:pPr>
              <w:pStyle w:val="864"/>
              <w:jc w:val="center"/>
              <w:spacing w:line="480" w:lineRule="exact"/>
              <w:rPr>
                <w:rFonts w:hint="eastAsia" w:ascii="Times New Roman" w:hAnsi="Times New Roman" w:eastAsia="宋体" w:cs="Times New Roman"/>
                <w:color w:val="000000"/>
                <w:szCs w:val="21"/>
                <w:lang w:val="zh-CN" w:eastAsia="zh-CN"/>
              </w:rPr>
            </w:pPr>
            <w:r>
              <w:rPr>
                <w:rFonts w:ascii="Times New Roman" w:hAnsi="Times New Roman" w:cs="Times New Roman"/>
                <w:color w:val="000000"/>
                <w:szCs w:val="21"/>
                <w:lang w:val="zh-CN"/>
              </w:rPr>
              <w:t xml:space="preserve">1</w:t>
            </w:r>
            <w:r>
              <w:rPr>
                <w:rFonts w:hint="eastAsia" w:ascii="Times New Roman" w:hAnsi="Times New Roman" w:cs="Times New Roman"/>
                <w:color w:val="000000"/>
                <w:szCs w:val="21"/>
                <w:lang w:val="en-US" w:eastAsia="zh-CN"/>
              </w:rPr>
              <w:t xml:space="preserve">6</w:t>
            </w:r>
            <w:r>
              <w:rPr>
                <w:rFonts w:hint="eastAsia" w:ascii="Times New Roman" w:hAnsi="Times New Roman" w:eastAsia="宋体" w:cs="Times New Roman"/>
                <w:color w:val="000000"/>
                <w:szCs w:val="21"/>
                <w:lang w:val="zh-CN" w:eastAsia="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导致废标因素</w:t>
            </w:r>
            <w:r>
              <w:rPr>
                <w:rFonts w:ascii="Times New Roman" w:hAnsi="Times New Roman" w:cs="Times New Roman"/>
                <w:color w:val="000000"/>
                <w:szCs w:val="21"/>
                <w:lang w:val="zh-CN"/>
              </w:rPr>
            </w:r>
            <w:r/>
          </w:p>
        </w:tc>
        <w:tc>
          <w:tcPr>
            <w:tcW w:w="7697" w:type="dxa"/>
            <w:vAlign w:val="center"/>
            <w:textDirection w:val="lrTb"/>
            <w:noWrap w:val="false"/>
          </w:tcPr>
          <w:p>
            <w:pPr>
              <w:pStyle w:val="864"/>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出现下列情形之一的，为废标：</w:t>
            </w:r>
            <w:r>
              <w:rPr>
                <w:rFonts w:ascii="Times New Roman" w:hAnsi="Times New Roman" w:cs="Times New Roman"/>
                <w:color w:val="000000"/>
                <w:szCs w:val="21"/>
                <w:lang w:val="zh-CN"/>
              </w:rPr>
            </w:r>
            <w:r/>
          </w:p>
          <w:p>
            <w:pPr>
              <w:pStyle w:val="864"/>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（一）符合专业条件的投标人或者对招标文件作实质响应的投标人不足三家的；</w:t>
            </w:r>
            <w:r>
              <w:rPr>
                <w:rFonts w:ascii="Times New Roman" w:hAnsi="Times New Roman" w:cs="Times New Roman"/>
                <w:color w:val="000000"/>
                <w:szCs w:val="21"/>
                <w:lang w:val="zh-CN"/>
              </w:rPr>
            </w:r>
            <w:r/>
          </w:p>
          <w:p>
            <w:pPr>
              <w:pStyle w:val="864"/>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（二）出现影响采购公正的违法、违规行为的；</w:t>
            </w:r>
            <w:r>
              <w:rPr>
                <w:rFonts w:ascii="Times New Roman" w:hAnsi="Times New Roman" w:cs="Times New Roman"/>
                <w:color w:val="000000"/>
                <w:szCs w:val="21"/>
                <w:lang w:val="zh-CN"/>
              </w:rPr>
            </w:r>
            <w:r/>
          </w:p>
          <w:p>
            <w:pPr>
              <w:pStyle w:val="864"/>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（三）投标人的报价均超过了采购预算或最高限价，采购人不能支付的；</w:t>
            </w:r>
            <w:r>
              <w:rPr>
                <w:rFonts w:ascii="Times New Roman" w:hAnsi="Times New Roman" w:cs="Times New Roman"/>
                <w:color w:val="000000"/>
                <w:szCs w:val="21"/>
                <w:lang w:val="zh-CN"/>
              </w:rPr>
            </w:r>
            <w:r/>
          </w:p>
          <w:p>
            <w:pPr>
              <w:pStyle w:val="864"/>
              <w:jc w:val="left"/>
              <w:spacing w:line="480" w:lineRule="exact"/>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（四）因重大变故，采购任务取消的。</w:t>
            </w:r>
            <w:r>
              <w:rPr>
                <w:rFonts w:ascii="Times New Roman" w:hAnsi="Times New Roman" w:cs="Times New Roman"/>
                <w:color w:val="000000"/>
                <w:szCs w:val="21"/>
                <w:lang w:val="zh-CN"/>
              </w:rPr>
            </w:r>
            <w:r/>
          </w:p>
        </w:tc>
      </w:tr>
      <w:tr>
        <w:trPr>
          <w:trHeight w:val="6131"/>
        </w:trPr>
        <w:tc>
          <w:tcPr>
            <w:tcW w:w="1043" w:type="dxa"/>
            <w:vAlign w:val="center"/>
            <w:textDirection w:val="lrTb"/>
            <w:noWrap w:val="false"/>
          </w:tcPr>
          <w:p>
            <w:pPr>
              <w:pStyle w:val="864"/>
              <w:jc w:val="center"/>
              <w:spacing w:line="480" w:lineRule="exact"/>
              <w:rPr>
                <w:rFonts w:hint="eastAsia" w:ascii="Times New Roman" w:hAnsi="Times New Roman" w:eastAsia="宋体" w:cs="Times New Roman"/>
                <w:color w:val="000000"/>
                <w:szCs w:val="21"/>
                <w:lang w:val="zh-CN" w:eastAsia="zh-CN"/>
              </w:rPr>
            </w:pPr>
            <w:r>
              <w:rPr>
                <w:rFonts w:ascii="Times New Roman" w:hAnsi="Times New Roman" w:cs="Times New Roman"/>
                <w:color w:val="000000"/>
                <w:szCs w:val="21"/>
                <w:lang w:val="zh-CN"/>
              </w:rPr>
              <w:t xml:space="preserve">1</w:t>
            </w:r>
            <w:r>
              <w:rPr>
                <w:rFonts w:hint="eastAsia" w:ascii="Times New Roman" w:hAnsi="Times New Roman" w:cs="Times New Roman"/>
                <w:color w:val="000000"/>
                <w:szCs w:val="21"/>
                <w:lang w:val="en-US" w:eastAsia="zh-CN"/>
              </w:rPr>
              <w:t xml:space="preserve">7</w:t>
            </w:r>
            <w:r>
              <w:rPr>
                <w:rFonts w:hint="eastAsia" w:ascii="Times New Roman" w:hAnsi="Times New Roman" w:eastAsia="宋体" w:cs="Times New Roman"/>
                <w:color w:val="000000"/>
                <w:szCs w:val="21"/>
                <w:lang w:val="zh-CN" w:eastAsia="zh-CN"/>
              </w:rPr>
            </w:r>
            <w:r/>
          </w:p>
        </w:tc>
        <w:tc>
          <w:tcPr>
            <w:tcW w:w="1591" w:type="dxa"/>
            <w:vAlign w:val="center"/>
            <w:textDirection w:val="lrTb"/>
            <w:noWrap w:val="false"/>
          </w:tcPr>
          <w:p>
            <w:pPr>
              <w:pStyle w:val="864"/>
              <w:jc w:val="center"/>
              <w:spacing w:line="480" w:lineRule="exact"/>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导致无效标因素</w:t>
            </w:r>
            <w:r>
              <w:rPr>
                <w:rFonts w:ascii="Times New Roman" w:hAnsi="Times New Roman" w:cs="Times New Roman"/>
                <w:color w:val="000000"/>
                <w:szCs w:val="21"/>
                <w:lang w:val="zh-CN"/>
              </w:rPr>
            </w:r>
            <w:r/>
          </w:p>
        </w:tc>
        <w:tc>
          <w:tcPr>
            <w:tcW w:w="7697" w:type="dxa"/>
            <w:vAlign w:val="center"/>
            <w:textDirection w:val="lrTb"/>
            <w:noWrap w:val="false"/>
          </w:tcPr>
          <w:p>
            <w:pPr>
              <w:pStyle w:val="864"/>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投标文件属下列情况之一的，在资格性、符合性检查时按照无效投标处理：</w:t>
            </w:r>
            <w:r>
              <w:rPr>
                <w:rFonts w:ascii="Times New Roman" w:hAnsi="Times New Roman" w:cs="Times New Roman"/>
                <w:color w:val="000000"/>
                <w:szCs w:val="21"/>
                <w:lang w:val="zh-CN"/>
              </w:rPr>
            </w:r>
            <w:r/>
          </w:p>
          <w:p>
            <w:pPr>
              <w:pStyle w:val="864"/>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（一）未按照招标文件规定要求签署、盖章的；</w:t>
            </w:r>
            <w:r>
              <w:rPr>
                <w:rFonts w:ascii="Times New Roman" w:hAnsi="Times New Roman" w:cs="Times New Roman"/>
                <w:color w:val="000000"/>
                <w:szCs w:val="21"/>
                <w:lang w:val="zh-CN"/>
              </w:rPr>
            </w:r>
            <w:r/>
          </w:p>
          <w:p>
            <w:pPr>
              <w:pStyle w:val="864"/>
              <w:spacing w:line="360" w:lineRule="auto"/>
              <w:rPr>
                <w:rFonts w:cs="Times New Roman"/>
                <w:lang w:val="zh-CN"/>
              </w:rPr>
            </w:pPr>
            <w:r>
              <w:rPr>
                <w:rFonts w:hint="eastAsia"/>
                <w:lang w:val="zh-CN" w:bidi="ar"/>
              </w:rPr>
              <w:t xml:space="preserve">（二）不具备标文件中规定资格要求的；</w:t>
            </w:r>
            <w:r>
              <w:rPr>
                <w:rFonts w:cs="Times New Roman"/>
                <w:lang w:val="zh-CN"/>
              </w:rPr>
            </w:r>
            <w:r/>
          </w:p>
          <w:p>
            <w:pPr>
              <w:pStyle w:val="864"/>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（三）投标报价超过采购预算或最高限价的；</w:t>
            </w:r>
            <w:r>
              <w:rPr>
                <w:rFonts w:ascii="Times New Roman" w:hAnsi="Times New Roman" w:cs="Times New Roman"/>
                <w:color w:val="000000"/>
                <w:szCs w:val="21"/>
                <w:lang w:val="zh-CN"/>
              </w:rPr>
            </w:r>
            <w:r/>
          </w:p>
          <w:p>
            <w:pPr>
              <w:pStyle w:val="864"/>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（四）投标人的报价只投了同一标段中部分内容；</w:t>
            </w:r>
            <w:r>
              <w:rPr>
                <w:rFonts w:ascii="Times New Roman" w:hAnsi="Times New Roman" w:cs="Times New Roman"/>
                <w:color w:val="000000"/>
                <w:szCs w:val="21"/>
                <w:lang w:val="zh-CN"/>
              </w:rPr>
            </w:r>
            <w:r/>
          </w:p>
          <w:p>
            <w:pPr>
              <w:pStyle w:val="864"/>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（五）投标文件含有采购人不能接受的附加条件的；</w:t>
            </w:r>
            <w:r>
              <w:rPr>
                <w:rFonts w:ascii="Times New Roman" w:hAnsi="Times New Roman" w:cs="Times New Roman"/>
                <w:color w:val="000000"/>
                <w:szCs w:val="21"/>
                <w:lang w:val="zh-CN"/>
              </w:rPr>
            </w:r>
            <w:r/>
          </w:p>
          <w:p>
            <w:pPr>
              <w:pStyle w:val="864"/>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（六）投标人的投标文件中出现评委会认为不应雷同的；</w:t>
            </w:r>
            <w:r>
              <w:rPr>
                <w:rFonts w:hint="eastAsia" w:ascii="Times New Roman" w:hAnsi="Times New Roman" w:cs="宋体"/>
                <w:color w:val="000000"/>
                <w:szCs w:val="21"/>
                <w:lang w:bidi="ar"/>
              </w:rPr>
              <w:t xml:space="preserve">不同</w:t>
            </w:r>
            <w:r>
              <w:rPr>
                <w:rFonts w:hint="eastAsia" w:ascii="Times New Roman" w:hAnsi="Times New Roman" w:cs="宋体"/>
                <w:color w:val="000000"/>
                <w:szCs w:val="22"/>
                <w:lang w:bidi="ar"/>
              </w:rPr>
              <w:t xml:space="preserve">投标人制作投标文件的机器码一致的</w:t>
            </w:r>
            <w:r>
              <w:rPr>
                <w:rFonts w:hint="eastAsia" w:ascii="Times New Roman" w:hAnsi="Times New Roman" w:cs="宋体"/>
                <w:color w:val="000000"/>
                <w:szCs w:val="21"/>
                <w:lang w:val="zh-CN" w:bidi="ar"/>
              </w:rPr>
              <w:t xml:space="preserve">；</w:t>
            </w:r>
            <w:r>
              <w:rPr>
                <w:rFonts w:ascii="Times New Roman" w:hAnsi="Times New Roman" w:cs="Times New Roman"/>
                <w:color w:val="000000"/>
                <w:szCs w:val="21"/>
                <w:lang w:val="zh-CN"/>
              </w:rPr>
            </w:r>
            <w:r/>
          </w:p>
          <w:p>
            <w:pPr>
              <w:pStyle w:val="864"/>
              <w:jc w:val="left"/>
              <w:spacing w:line="360" w:lineRule="auto"/>
              <w:tabs>
                <w:tab w:val="left" w:pos="540" w:leader="none"/>
              </w:tabs>
              <w:rPr>
                <w:rFonts w:ascii="Times New Roman" w:hAnsi="Times New Roman" w:cs="Times New Roman"/>
                <w:color w:val="000000"/>
                <w:szCs w:val="21"/>
                <w:highlight w:val="none"/>
                <w:lang w:val="zh-CN"/>
              </w:rPr>
            </w:pPr>
            <w:r>
              <w:rPr>
                <w:rFonts w:hint="eastAsia" w:ascii="Times New Roman" w:hAnsi="Times New Roman" w:cs="宋体"/>
                <w:color w:val="000000"/>
                <w:szCs w:val="21"/>
                <w:highlight w:val="none"/>
                <w:lang w:val="zh-CN" w:bidi="ar"/>
              </w:rPr>
              <w:t xml:space="preserve">（七）投标有效期短于</w:t>
            </w:r>
            <w:r>
              <w:rPr>
                <w:rFonts w:ascii="Times New Roman" w:hAnsi="Times New Roman" w:cs="Times New Roman"/>
                <w:color w:val="000000"/>
                <w:szCs w:val="21"/>
                <w:highlight w:val="none"/>
                <w:lang w:val="zh-CN" w:bidi="ar"/>
              </w:rPr>
              <w:t xml:space="preserve">90</w:t>
            </w:r>
            <w:r>
              <w:rPr>
                <w:rFonts w:hint="eastAsia" w:ascii="Times New Roman" w:hAnsi="Times New Roman" w:cs="宋体"/>
                <w:color w:val="000000"/>
                <w:szCs w:val="21"/>
                <w:highlight w:val="none"/>
                <w:lang w:val="zh-CN" w:bidi="ar"/>
              </w:rPr>
              <w:t xml:space="preserve">天的；</w:t>
            </w:r>
            <w:r>
              <w:rPr>
                <w:rFonts w:ascii="Times New Roman" w:hAnsi="Times New Roman" w:cs="Times New Roman"/>
                <w:color w:val="000000"/>
                <w:szCs w:val="21"/>
                <w:highlight w:val="none"/>
                <w:lang w:val="zh-CN"/>
              </w:rPr>
            </w:r>
            <w:r/>
          </w:p>
          <w:p>
            <w:pPr>
              <w:pStyle w:val="864"/>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bidi="ar"/>
              </w:rPr>
              <w:t xml:space="preserve">（八）与招标文件有重大偏离，不符合法律、法规和招标文件中规定的实质性要求的；</w:t>
            </w:r>
            <w:r>
              <w:rPr>
                <w:rFonts w:ascii="Times New Roman" w:hAnsi="Times New Roman" w:cs="Times New Roman"/>
                <w:color w:val="000000"/>
                <w:szCs w:val="21"/>
                <w:lang w:val="zh-CN"/>
              </w:rPr>
            </w:r>
            <w:r/>
          </w:p>
          <w:p>
            <w:pPr>
              <w:pStyle w:val="864"/>
              <w:jc w:val="left"/>
              <w:spacing w:line="360" w:lineRule="auto"/>
              <w:tabs>
                <w:tab w:val="left" w:pos="540" w:leader="none"/>
              </w:tabs>
              <w:rPr>
                <w:rFonts w:ascii="Times New Roman" w:hAnsi="Times New Roman" w:cs="Times New Roman"/>
                <w:color w:val="000000"/>
                <w:szCs w:val="21"/>
                <w:lang w:val="zh-CN"/>
              </w:rPr>
            </w:pPr>
            <w:r>
              <w:rPr>
                <w:rFonts w:hint="eastAsia" w:ascii="Times New Roman" w:hAnsi="Times New Roman" w:cs="宋体"/>
                <w:color w:val="000000"/>
                <w:szCs w:val="21"/>
                <w:lang w:val="zh-CN"/>
              </w:rPr>
              <w:t xml:space="preserve">（九）其他被评委会认定无效的情况。</w:t>
            </w:r>
            <w:r>
              <w:rPr>
                <w:rFonts w:ascii="Times New Roman" w:hAnsi="Times New Roman" w:cs="Times New Roman"/>
                <w:color w:val="000000"/>
                <w:szCs w:val="21"/>
                <w:lang w:val="zh-CN"/>
              </w:rPr>
            </w:r>
            <w:r/>
          </w:p>
        </w:tc>
      </w:tr>
    </w:tbl>
    <w:p>
      <w:pPr>
        <w:pStyle w:val="864"/>
        <w:ind w:firstLine="2811"/>
        <w:keepLines/>
        <w:keepNext/>
        <w:spacing w:before="340" w:after="330" w:line="480" w:lineRule="exact"/>
        <w:rPr>
          <w:rFonts w:hint="eastAsia" w:cs="宋体"/>
          <w:b/>
          <w:color w:val="000000"/>
          <w:sz w:val="28"/>
          <w:szCs w:val="28"/>
          <w:lang w:bidi="ar"/>
        </w:rPr>
        <w:outlineLvl w:val="0"/>
      </w:pPr>
      <w:r/>
      <w:bookmarkEnd w:id="2"/>
      <w:r>
        <w:rPr>
          <w:rFonts w:hint="eastAsia" w:cs="宋体"/>
          <w:b/>
          <w:color w:val="000000"/>
          <w:sz w:val="28"/>
          <w:szCs w:val="28"/>
          <w:lang w:bidi="ar"/>
        </w:rPr>
      </w:r>
      <w:r/>
    </w:p>
    <w:p>
      <w:pPr>
        <w:pStyle w:val="864"/>
        <w:ind w:firstLine="2811"/>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64"/>
        <w:spacing w:line="480" w:lineRule="exact"/>
        <w:rPr>
          <w:rFonts w:hint="eastAsia"/>
        </w:rPr>
      </w:pPr>
      <w:r>
        <w:rPr>
          <w:rFonts w:hint="eastAsia"/>
        </w:rPr>
      </w:r>
      <w:r/>
    </w:p>
    <w:p>
      <w:pPr>
        <w:pStyle w:val="864"/>
        <w:rPr>
          <w:rFonts w:hint="eastAsia"/>
        </w:rPr>
      </w:pPr>
      <w:r/>
      <w:bookmarkStart w:id="12" w:name="_Toc21549"/>
      <w:r>
        <w:rPr>
          <w:rFonts w:hint="eastAsia"/>
        </w:rPr>
      </w:r>
      <w:r/>
    </w:p>
    <w:p>
      <w:pPr>
        <w:ind w:firstLine="0"/>
        <w:keepLines/>
        <w:keepNext/>
        <w:spacing w:before="340" w:after="330" w:line="480" w:lineRule="exact"/>
        <w:rPr>
          <w:rFonts w:hint="eastAsia" w:cs="宋体"/>
          <w:b/>
          <w:bCs/>
          <w:color w:val="000000"/>
          <w:sz w:val="28"/>
          <w:szCs w:val="28"/>
          <w:lang w:bidi="ar"/>
        </w:rPr>
        <w:outlineLvl w:val="0"/>
      </w:pPr>
      <w:r>
        <w:rPr>
          <w:rFonts w:hint="eastAsia" w:cs="宋体"/>
          <w:b/>
          <w:color w:val="000000"/>
          <w:sz w:val="28"/>
          <w:szCs w:val="28"/>
          <w:highlight w:val="none"/>
          <w:lang w:bidi="ar"/>
        </w:rPr>
      </w:r>
      <w:r>
        <w:rPr>
          <w:rFonts w:hint="eastAsia" w:cs="宋体"/>
          <w:b/>
          <w:color w:val="000000"/>
          <w:sz w:val="28"/>
          <w:szCs w:val="28"/>
          <w:highlight w:val="none"/>
          <w:lang w:bidi="ar"/>
        </w:rPr>
      </w:r>
    </w:p>
    <w:p>
      <w:pPr>
        <w:pStyle w:val="864"/>
        <w:ind w:firstLine="0"/>
        <w:jc w:val="center"/>
        <w:keepLines/>
        <w:keepNext/>
        <w:spacing w:before="340" w:after="330" w:line="480" w:lineRule="exact"/>
        <w:rPr>
          <w:rFonts w:hint="eastAsia" w:cs="宋体"/>
          <w:b/>
          <w:bCs/>
          <w:color w:val="000000"/>
          <w:sz w:val="28"/>
          <w:szCs w:val="28"/>
          <w:highlight w:val="none"/>
          <w:lang w:bidi="ar"/>
        </w:rPr>
        <w:outlineLvl w:val="0"/>
      </w:pPr>
      <w:r>
        <w:rPr>
          <w:rFonts w:hint="eastAsia" w:cs="宋体"/>
          <w:b/>
          <w:color w:val="000000"/>
          <w:sz w:val="28"/>
          <w:szCs w:val="28"/>
          <w:lang w:bidi="ar"/>
        </w:rPr>
        <w:t xml:space="preserve">第一章</w:t>
      </w:r>
      <w:bookmarkEnd w:id="3"/>
      <w:r/>
      <w:bookmarkEnd w:id="4"/>
      <w:r/>
      <w:bookmarkEnd w:id="12"/>
      <w:r>
        <w:rPr>
          <w:rFonts w:hint="eastAsia" w:cs="宋体"/>
          <w:b/>
          <w:color w:val="000000"/>
          <w:sz w:val="28"/>
          <w:szCs w:val="28"/>
          <w:lang w:bidi="ar"/>
        </w:rPr>
        <w:t xml:space="preserve">招标公告</w:t>
      </w:r>
      <w:r>
        <w:rPr>
          <w:rFonts w:hint="eastAsia" w:cs="宋体"/>
          <w:b/>
          <w:color w:val="000000"/>
          <w:sz w:val="28"/>
          <w:szCs w:val="28"/>
          <w:lang w:bidi="ar"/>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8"/>
      </w:tblGrid>
      <w:tr>
        <w:trPr/>
        <w:tc>
          <w:tcPr>
            <w:tcMar>
              <w:left w:w="108" w:type="dxa"/>
              <w:top w:w="0" w:type="dxa"/>
              <w:right w:w="108" w:type="dxa"/>
              <w:bottom w:w="0" w:type="dxa"/>
            </w:tcMar>
            <w:tcW w:w="9338" w:type="dxa"/>
            <w:vAlign w:val="top"/>
            <w:textDirection w:val="lrTb"/>
            <w:noWrap w:val="false"/>
          </w:tcPr>
          <w:p>
            <w:pPr>
              <w:pStyle w:val="864"/>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项目概况</w:t>
            </w:r>
            <w:r>
              <w:rPr>
                <w:rFonts w:hint="eastAsia" w:ascii="宋体" w:hAnsi="宋体" w:cs="宋体"/>
                <w:szCs w:val="21"/>
              </w:rPr>
            </w:r>
            <w:r/>
          </w:p>
          <w:p>
            <w:pPr>
              <w:pStyle w:val="864"/>
              <w:ind w:firstLine="480"/>
              <w:spacing w:line="480" w:lineRule="exact"/>
              <w:shd w:val="clear" w:color="ffffff" w:fill="ffffff"/>
              <w:widowControl/>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lang w:eastAsia="zh-CN"/>
              </w:rPr>
              <w:t xml:space="preserve">野生动物饲料</w:t>
            </w:r>
            <w:r>
              <w:rPr>
                <w:rFonts w:hint="eastAsia" w:ascii="宋体" w:hAnsi="宋体" w:cs="宋体"/>
                <w:color w:val="000000"/>
                <w:szCs w:val="21"/>
              </w:rPr>
              <w:t xml:space="preserve">的潜在投标人应在“苏采云”系统获取招标文件，并于</w:t>
            </w:r>
            <w:r>
              <w:rPr>
                <w:rFonts w:hint="eastAsia" w:ascii="宋体" w:hAnsi="宋体" w:cs="宋体"/>
                <w:color w:val="000000"/>
                <w:szCs w:val="21"/>
                <w:u w:val="single"/>
              </w:rPr>
              <w:t xml:space="preserve">202</w:t>
            </w:r>
            <w:r>
              <w:rPr>
                <w:rFonts w:hint="eastAsia" w:ascii="宋体" w:hAnsi="宋体" w:cs="宋体"/>
                <w:color w:val="000000"/>
                <w:szCs w:val="21"/>
                <w:u w:val="single"/>
                <w:lang w:val="en-US" w:eastAsia="zh-CN"/>
              </w:rPr>
              <w:t xml:space="preserve">6</w:t>
            </w:r>
            <w:r>
              <w:rPr>
                <w:rFonts w:hint="eastAsia" w:ascii="宋体" w:hAnsi="宋体" w:cs="宋体"/>
                <w:color w:val="000000"/>
                <w:szCs w:val="21"/>
                <w:u w:val="single"/>
              </w:rPr>
              <w:t xml:space="preserve">年03</w:t>
            </w:r>
            <w:r>
              <w:rPr>
                <w:rFonts w:hint="eastAsia" w:ascii="宋体" w:hAnsi="宋体" w:cs="宋体"/>
                <w:color w:val="000000"/>
                <w:szCs w:val="21"/>
                <w:u w:val="single"/>
              </w:rPr>
              <w:t xml:space="preserve">月26</w:t>
            </w:r>
            <w:r>
              <w:rPr>
                <w:rFonts w:hint="eastAsia" w:ascii="宋体" w:hAnsi="宋体" w:cs="宋体"/>
                <w:color w:val="000000"/>
                <w:szCs w:val="21"/>
                <w:u w:val="single"/>
              </w:rPr>
              <w:t xml:space="preserve">日13</w:t>
            </w:r>
            <w:r>
              <w:rPr>
                <w:rFonts w:hint="eastAsia" w:ascii="宋体" w:hAnsi="宋体" w:cs="宋体"/>
                <w:color w:val="000000"/>
                <w:szCs w:val="21"/>
                <w:u w:val="single"/>
              </w:rPr>
              <w:t xml:space="preserve">点30分</w:t>
            </w:r>
            <w:r>
              <w:rPr>
                <w:rFonts w:hint="eastAsia" w:ascii="宋体" w:hAnsi="宋体" w:cs="宋体"/>
                <w:color w:val="000000"/>
                <w:szCs w:val="21"/>
              </w:rPr>
              <w:t xml:space="preserve">（</w:t>
            </w:r>
            <w:r>
              <w:rPr>
                <w:rFonts w:hint="eastAsia" w:ascii="宋体" w:hAnsi="宋体" w:cs="宋体"/>
                <w:color w:val="000000"/>
                <w:szCs w:val="21"/>
              </w:rPr>
              <w:t xml:space="preserve">北京时间）前递交投标文件。</w:t>
            </w:r>
            <w:r>
              <w:rPr>
                <w:rFonts w:hint="eastAsia" w:ascii="宋体" w:hAnsi="宋体" w:cs="宋体"/>
                <w:szCs w:val="21"/>
              </w:rPr>
            </w:r>
            <w:r/>
          </w:p>
        </w:tc>
      </w:tr>
    </w:tbl>
    <w:p>
      <w:pPr>
        <w:pStyle w:val="864"/>
        <w:ind w:firstLine="420"/>
        <w:spacing w:line="480" w:lineRule="exact"/>
        <w:shd w:val="clear" w:color="ffffff" w:fill="ffff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一、项目基本情况</w:t>
      </w:r>
      <w:r>
        <w:rPr>
          <w:rFonts w:hint="eastAsia" w:ascii="宋体" w:hAnsi="宋体" w:cs="宋体"/>
          <w:b/>
          <w:color w:val="000000"/>
          <w:szCs w:val="21"/>
        </w:rPr>
      </w:r>
      <w:r/>
    </w:p>
    <w:p>
      <w:pPr>
        <w:pStyle w:val="864"/>
        <w:ind w:firstLine="420"/>
        <w:jc w:val="left"/>
        <w:spacing w:line="360" w:lineRule="auto"/>
        <w:shd w:val="clear" w:color="auto" w:fill="ffffff"/>
        <w:widowControl/>
        <w:rPr>
          <w:rFonts w:ascii="宋体" w:hAnsi="宋体" w:eastAsia="宋体" w:cs="宋体"/>
          <w:sz w:val="20"/>
          <w:szCs w:val="21"/>
          <w:lang w:val="en-US" w:eastAsia="zh-CN"/>
        </w:rPr>
      </w:pPr>
      <w:r>
        <w:rPr>
          <w:rFonts w:hint="eastAsia" w:ascii="宋体" w:hAnsi="宋体" w:cs="宋体"/>
          <w:szCs w:val="21"/>
        </w:rPr>
        <w:t xml:space="preserve">（一）项目编号</w:t>
      </w:r>
      <w:r>
        <w:rPr>
          <w:rFonts w:hint="eastAsia" w:ascii="Calibri" w:hAnsi="Calibri" w:cs="宋体"/>
          <w:szCs w:val="22"/>
        </w:rPr>
        <w:t xml:space="preserve">：</w:t>
      </w:r>
      <w:r>
        <w:rPr>
          <w:rFonts w:hint="eastAsia" w:ascii="Calibri" w:hAnsi="Calibri" w:cs="宋体"/>
          <w:szCs w:val="22"/>
          <w:lang w:eastAsia="zh-CN"/>
        </w:rPr>
        <w:t xml:space="preserve">JSZC-320500-CCCC-G2026-0008</w:t>
      </w:r>
      <w:r>
        <w:rPr>
          <w:rFonts w:hint="eastAsia" w:ascii="Calibri" w:hAnsi="Calibri" w:cs="宋体"/>
          <w:szCs w:val="22"/>
          <w:lang w:val="en-US" w:eastAsia="zh-CN"/>
        </w:rPr>
        <w:t xml:space="preserve">号</w:t>
      </w:r>
      <w:r>
        <w:rPr>
          <w:rFonts w:ascii="宋体" w:hAnsi="宋体" w:eastAsia="宋体" w:cs="宋体"/>
          <w:sz w:val="20"/>
          <w:szCs w:val="21"/>
          <w:lang w:val="en-US" w:eastAsia="zh-CN"/>
        </w:rPr>
      </w:r>
      <w:r/>
    </w:p>
    <w:p>
      <w:pPr>
        <w:pStyle w:val="864"/>
        <w:ind w:firstLine="420"/>
        <w:jc w:val="left"/>
        <w:spacing w:line="360" w:lineRule="auto"/>
        <w:shd w:val="clear" w:color="auto" w:fill="ffffff"/>
        <w:widowControl/>
        <w:rPr>
          <w:rFonts w:hint="eastAsia" w:ascii="宋体" w:hAnsi="宋体" w:eastAsia="宋体" w:cs="宋体"/>
          <w:sz w:val="20"/>
          <w:szCs w:val="21"/>
          <w:lang w:eastAsia="zh-CN"/>
        </w:rPr>
      </w:pPr>
      <w:r>
        <w:rPr>
          <w:rFonts w:hint="eastAsia" w:ascii="宋体" w:hAnsi="宋体" w:cs="宋体"/>
          <w:szCs w:val="21"/>
        </w:rPr>
        <w:t xml:space="preserve">（二）项目名称：</w:t>
      </w:r>
      <w:r>
        <w:rPr>
          <w:rFonts w:hint="eastAsia" w:ascii="宋体" w:hAnsi="宋体" w:cs="宋体"/>
          <w:color w:val="000000"/>
          <w:szCs w:val="21"/>
          <w:lang w:eastAsia="zh-CN"/>
        </w:rPr>
        <w:t xml:space="preserve">野生动物饲料</w:t>
      </w:r>
      <w:r>
        <w:rPr>
          <w:rFonts w:hint="eastAsia" w:ascii="宋体" w:hAnsi="宋体" w:eastAsia="宋体" w:cs="宋体"/>
          <w:sz w:val="20"/>
          <w:szCs w:val="21"/>
          <w:lang w:eastAsia="zh-CN"/>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（三）采购方式：公开招标</w:t>
      </w:r>
      <w:r>
        <w:rPr>
          <w:rFonts w:ascii="宋体" w:hAnsi="宋体" w:cs="宋体"/>
          <w:szCs w:val="21"/>
        </w:rPr>
      </w:r>
      <w:r/>
    </w:p>
    <w:p>
      <w:pPr>
        <w:pStyle w:val="864"/>
        <w:ind w:firstLine="420"/>
        <w:spacing w:line="360" w:lineRule="auto"/>
        <w:widowControl/>
        <w:tabs>
          <w:tab w:val="left" w:pos="540" w:leader="none"/>
          <w:tab w:val="left" w:pos="567" w:leader="none"/>
        </w:tabs>
        <w:rPr>
          <w:rFonts w:hint="eastAsia" w:ascii="Calibri" w:hAnsi="Calibri" w:eastAsia="宋体"/>
          <w:lang w:eastAsia="zh-CN"/>
        </w:rPr>
      </w:pPr>
      <w:r>
        <w:rPr>
          <w:rFonts w:hint="eastAsia" w:ascii="宋体" w:hAnsi="宋体" w:cs="宋体"/>
          <w:szCs w:val="21"/>
        </w:rPr>
        <w:t xml:space="preserve">（四）预算金额：</w:t>
      </w:r>
      <w:r>
        <w:rPr>
          <w:rFonts w:hint="eastAsia" w:ascii="Calibri" w:hAnsi="Calibri" w:cs="宋体"/>
          <w:szCs w:val="22"/>
          <w:highlight w:val="none"/>
          <w:lang w:bidi="ar"/>
        </w:rPr>
        <w:t xml:space="preserve">人民币</w:t>
      </w:r>
      <w:r>
        <w:rPr>
          <w:rFonts w:hint="eastAsia" w:ascii="Calibri" w:hAnsi="Calibri" w:cs="宋体"/>
          <w:szCs w:val="22"/>
          <w:highlight w:val="none"/>
          <w:lang w:eastAsia="zh-CN" w:bidi="ar"/>
        </w:rPr>
        <w:t xml:space="preserve">伍佰零肆万壹仟零叁拾捌元贰角叁分（￥5041038.23元）</w:t>
      </w:r>
      <w:r>
        <w:rPr>
          <w:rFonts w:hint="eastAsia" w:ascii="Calibri" w:hAnsi="Calibri" w:eastAsia="宋体"/>
          <w:lang w:eastAsia="zh-CN"/>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（五）采购需求：</w:t>
      </w:r>
      <w:r>
        <w:rPr>
          <w:rFonts w:ascii="宋体" w:hAnsi="宋体" w:cs="宋体"/>
          <w:szCs w:val="21"/>
        </w:rPr>
      </w:r>
      <w:r/>
    </w:p>
    <w:p>
      <w:pPr>
        <w:pStyle w:val="864"/>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（1）项目概况</w:t>
      </w:r>
      <w:r>
        <w:rPr>
          <w:rFonts w:hint="eastAsia" w:ascii="宋体" w:hAnsi="宋体" w:eastAsia="宋体" w:cs="宋体"/>
          <w:szCs w:val="21"/>
        </w:rPr>
      </w:r>
      <w:r/>
    </w:p>
    <w:p>
      <w:pPr>
        <w:pStyle w:val="864"/>
        <w:ind w:firstLine="420"/>
        <w:jc w:val="left"/>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rPr>
        <w:t xml:space="preserve">野生动物饲料项目主要内容为购置全园野生动物饲料，包括肉禽类、蔬果水产类、草干、草食动物颗粒料和饲料原材料（树叶、鲜草、杂粮）等饲料，保障动物的健康生活与繁育需求，确保各项常规饲养管理工作有序、稳定运转。项目实施周期</w:t>
      </w:r>
      <w:r>
        <w:rPr>
          <w:rFonts w:hint="eastAsia" w:ascii="宋体" w:hAnsi="宋体" w:eastAsia="宋体" w:cs="宋体"/>
          <w:szCs w:val="21"/>
          <w:highlight w:val="none"/>
        </w:rPr>
        <w:t xml:space="preserve">从2026年4月1日</w:t>
      </w:r>
      <w:r>
        <w:rPr>
          <w:rFonts w:hint="eastAsia" w:ascii="宋体" w:hAnsi="宋体" w:eastAsia="宋体" w:cs="宋体"/>
          <w:szCs w:val="21"/>
        </w:rPr>
        <w:t xml:space="preserve">至2027年3月31日，为期12个月</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864"/>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（2）采购饲料具体的种类和数量见第四章招标书。</w:t>
      </w:r>
      <w:r>
        <w:rPr>
          <w:rFonts w:hint="eastAsia" w:ascii="宋体" w:hAnsi="宋体" w:eastAsia="宋体" w:cs="宋体"/>
          <w:szCs w:val="21"/>
        </w:rPr>
      </w:r>
      <w:r/>
    </w:p>
    <w:p>
      <w:pPr>
        <w:pStyle w:val="864"/>
        <w:ind w:firstLine="420"/>
        <w:jc w:val="left"/>
        <w:spacing w:line="360" w:lineRule="auto"/>
        <w:shd w:val="clear" w:color="auto" w:fill="ffffff"/>
        <w:widowControl/>
        <w:rPr>
          <w:rFonts w:ascii="宋体" w:hAnsi="宋体" w:eastAsia="宋体"/>
          <w:bCs/>
          <w:szCs w:val="21"/>
          <w:highlight w:val="yellow"/>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lang w:val="zh-TW" w:eastAsia="zh-TW"/>
        </w:rPr>
        <w:t xml:space="preserve">服务地点：</w:t>
      </w:r>
      <w:r>
        <w:rPr>
          <w:rFonts w:hint="eastAsia" w:ascii="宋体" w:hAnsi="宋体" w:eastAsia="宋体" w:cs="宋体"/>
          <w:szCs w:val="21"/>
        </w:rPr>
        <w:t xml:space="preserve">苏州市虎丘区上方山南麓</w:t>
      </w:r>
      <w:r>
        <w:rPr>
          <w:rFonts w:ascii="宋体" w:hAnsi="宋体" w:eastAsia="宋体"/>
          <w:bCs/>
          <w:szCs w:val="21"/>
          <w:highlight w:val="yellow"/>
          <w:lang w:val="en-US" w:eastAsia="zh-CN"/>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二、申请人的资格要求</w:t>
      </w:r>
      <w:r>
        <w:rPr>
          <w:rFonts w:hint="eastAsia" w:ascii="宋体" w:hAnsi="宋体" w:cs="宋体"/>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1.满足《中华人民共和国政府采购法》第二十二条规定：</w:t>
      </w:r>
      <w:r>
        <w:rPr>
          <w:rFonts w:hint="eastAsia" w:ascii="宋体" w:hAnsi="宋体" w:cs="宋体"/>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（1）具有独立承担民事责任的能力；</w:t>
      </w:r>
      <w:r>
        <w:rPr>
          <w:rFonts w:hint="eastAsia" w:ascii="宋体" w:hAnsi="宋体" w:cs="宋体"/>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（2）具有良好的商业信誉和健全的财务会计制度；</w:t>
      </w:r>
      <w:r>
        <w:rPr>
          <w:rFonts w:hint="eastAsia" w:ascii="宋体" w:hAnsi="宋体" w:cs="宋体"/>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（3）具有履行合同所必需的设备和专业技术能力；</w:t>
      </w:r>
      <w:r>
        <w:rPr>
          <w:rFonts w:hint="eastAsia" w:ascii="宋体" w:hAnsi="宋体" w:cs="宋体"/>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（4）有依法缴纳税收和社会保障资金的良好记录；</w:t>
      </w:r>
      <w:r>
        <w:rPr>
          <w:rFonts w:hint="eastAsia" w:ascii="宋体" w:hAnsi="宋体" w:cs="宋体"/>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（5）参加政府采购活动前三年内，在经营活动中没有重大违法记录；</w:t>
      </w:r>
      <w:r>
        <w:rPr>
          <w:rFonts w:hint="eastAsia" w:ascii="宋体" w:hAnsi="宋体" w:cs="宋体"/>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（6）法律、行政法规规定的其他条件。</w:t>
      </w:r>
      <w:r>
        <w:rPr>
          <w:rFonts w:hint="eastAsia" w:ascii="宋体" w:hAnsi="宋体" w:cs="宋体"/>
          <w:szCs w:val="21"/>
        </w:rPr>
      </w:r>
      <w:r/>
    </w:p>
    <w:p>
      <w:pPr>
        <w:pStyle w:val="864"/>
        <w:ind w:firstLine="420"/>
        <w:spacing w:line="360" w:lineRule="auto"/>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2.落实政府采购政策需满足的资格要求：</w:t>
      </w:r>
      <w:r>
        <w:rPr>
          <w:rFonts w:hint="eastAsia" w:ascii="宋体" w:hAnsi="宋体" w:cs="宋体"/>
          <w:szCs w:val="21"/>
        </w:rPr>
      </w:r>
      <w:r/>
    </w:p>
    <w:p>
      <w:pPr>
        <w:pStyle w:val="864"/>
        <w:ind w:firstLine="420"/>
        <w:spacing w:line="360" w:lineRule="auto"/>
        <w:tabs>
          <w:tab w:val="left" w:pos="540" w:leader="none"/>
        </w:tabs>
        <w:rPr>
          <w:rFonts w:hint="eastAsia" w:ascii="宋体" w:hAnsi="宋体" w:cs="宋体"/>
          <w:szCs w:val="21"/>
        </w:rPr>
      </w:pPr>
      <w:r>
        <w:rPr>
          <w:rFonts w:hint="eastAsia" w:ascii="宋体" w:hAnsi="宋体" w:cs="宋体"/>
          <w:szCs w:val="21"/>
        </w:rPr>
        <w:t xml:space="preserve">根据《政府采购促进中小企业发展管理办法》、《苏州市政府采购促进中小企业发展实施意见》（苏财购〔</w:t>
      </w:r>
      <w:r>
        <w:rPr>
          <w:rFonts w:ascii="宋体" w:hAnsi="宋体" w:cs="宋体"/>
          <w:szCs w:val="21"/>
        </w:rPr>
        <w:t xml:space="preserve">2022</w:t>
      </w:r>
      <w:r>
        <w:rPr>
          <w:rFonts w:hint="eastAsia" w:ascii="宋体" w:hAnsi="宋体" w:cs="宋体"/>
          <w:szCs w:val="21"/>
        </w:rPr>
        <w:t xml:space="preserve">〕</w:t>
      </w:r>
      <w:r>
        <w:rPr>
          <w:rFonts w:ascii="宋体" w:hAnsi="宋体" w:cs="宋体"/>
          <w:szCs w:val="21"/>
        </w:rPr>
        <w:t xml:space="preserve">16 </w:t>
      </w:r>
      <w:r>
        <w:rPr>
          <w:rFonts w:hint="eastAsia" w:ascii="宋体" w:hAnsi="宋体" w:cs="宋体"/>
          <w:szCs w:val="21"/>
        </w:rPr>
        <w:t xml:space="preserve">号）的相关规定，本项目专门面向中小企业，所属行业为</w:t>
      </w:r>
      <w:r>
        <w:rPr>
          <w:rFonts w:hint="eastAsia" w:ascii="宋体" w:hAnsi="宋体" w:cs="宋体"/>
          <w:b/>
          <w:bCs/>
          <w:szCs w:val="21"/>
        </w:rPr>
        <w:t xml:space="preserve">其他未列明行业</w:t>
      </w:r>
      <w:r>
        <w:rPr>
          <w:rFonts w:hint="eastAsia" w:ascii="宋体" w:hAnsi="宋体" w:cs="宋体"/>
          <w:szCs w:val="21"/>
        </w:rPr>
        <w:t xml:space="preserve">，供应商应为中小微企业、监狱企业、残疾人福利性单位。</w:t>
      </w:r>
      <w:r>
        <w:rPr>
          <w:rFonts w:hint="eastAsia" w:ascii="宋体" w:hAnsi="宋体" w:cs="宋体"/>
          <w:szCs w:val="21"/>
        </w:rPr>
      </w:r>
      <w:r/>
    </w:p>
    <w:p>
      <w:pPr>
        <w:pStyle w:val="864"/>
        <w:ind w:firstLine="420"/>
        <w:spacing w:line="360" w:lineRule="auto"/>
        <w:shd w:val="clear" w:color="ffffff" w:fill="ffffff"/>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3.本项目的特定资格要求：投标单位须具有有效期内的《食品经营许可证</w:t>
      </w:r>
      <w:r>
        <w:rPr>
          <w:rFonts w:hint="eastAsia" w:ascii="宋体" w:hAnsi="宋体" w:eastAsia="宋体" w:cs="宋体"/>
          <w:szCs w:val="21"/>
        </w:rPr>
        <w:t xml:space="preserve">》或《食品生产许可证》。</w:t>
      </w:r>
      <w:r>
        <w:rPr>
          <w:rFonts w:hint="eastAsia" w:ascii="宋体" w:hAnsi="宋体" w:eastAsia="宋体" w:cs="宋体"/>
          <w:szCs w:val="21"/>
        </w:rPr>
      </w:r>
      <w:r/>
    </w:p>
    <w:p>
      <w:pPr>
        <w:pStyle w:val="86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注：（1）单位负责人为同一人或者存在直接控股、管理关系的不同供应商（包含法定代表人为同一个人的两个及两个以上法人，母公司、全资子公司及其控股公司），不得参加同一合同项下的政府采购活动。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rPr>
      </w:r>
      <w:r/>
    </w:p>
    <w:p>
      <w:pPr>
        <w:pStyle w:val="864"/>
        <w:ind w:firstLine="420"/>
        <w:jc w:val="left"/>
        <w:spacing w:line="360" w:lineRule="auto"/>
        <w:shd w:val="clear" w:color="auto" w:fill="ffffff"/>
        <w:widowControl/>
        <w:rPr>
          <w:rFonts w:ascii="宋体" w:hAnsi="宋体" w:eastAsia="宋体" w:cs="宋体"/>
          <w:szCs w:val="21"/>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未被“信用中国”网站（WWW.creditchina.gov.cn）或“中国政府采购网”网站（www.ccgp.gov.cn）列入失信被执行人、重大税收违法案件当事人名单、政府采购严重失信行为记录名单。</w:t>
      </w:r>
      <w:r>
        <w:rPr>
          <w:rFonts w:ascii="宋体" w:hAnsi="宋体" w:eastAsia="宋体" w:cs="宋体"/>
          <w:szCs w:val="21"/>
          <w:lang w:val="en-US" w:eastAsia="zh-CN"/>
        </w:rPr>
      </w:r>
      <w:r/>
    </w:p>
    <w:p>
      <w:pPr>
        <w:pStyle w:val="864"/>
        <w:ind w:left="420"/>
        <w:spacing w:line="480" w:lineRule="exact"/>
        <w:shd w:val="clear" w:color="ffffff" w:fill="ffff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）本项目不接受联合体投标。</w:t>
      </w:r>
      <w:r>
        <w:rPr>
          <w:rFonts w:hint="eastAsia" w:ascii="宋体" w:hAnsi="宋体" w:cs="宋体"/>
          <w:color w:val="000000"/>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三、获取招标文件</w:t>
      </w:r>
      <w:r>
        <w:rPr>
          <w:rFonts w:hint="eastAsia" w:ascii="宋体" w:hAnsi="宋体" w:cs="宋体"/>
          <w:szCs w:val="21"/>
        </w:rPr>
      </w:r>
      <w:r/>
    </w:p>
    <w:p>
      <w:pPr>
        <w:pStyle w:val="864"/>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1、获取时间：自招标公告发布之日起5</w:t>
      </w:r>
      <w:r>
        <w:rPr>
          <w:rFonts w:hint="eastAsia" w:ascii="宋体" w:hAnsi="宋体" w:cs="宋体"/>
          <w:color w:val="000000"/>
          <w:szCs w:val="21"/>
        </w:rPr>
        <w:t xml:space="preserve">个</w:t>
      </w:r>
      <w:r>
        <w:rPr>
          <w:rFonts w:hint="eastAsia" w:ascii="宋体" w:hAnsi="宋体" w:cs="宋体"/>
          <w:color w:val="000000"/>
          <w:szCs w:val="21"/>
        </w:rPr>
        <w:t xml:space="preserve">工作日</w:t>
      </w:r>
      <w:r>
        <w:rPr>
          <w:rFonts w:hint="eastAsia" w:ascii="宋体" w:hAnsi="宋体" w:cs="宋体"/>
          <w:color w:val="000000"/>
          <w:szCs w:val="21"/>
        </w:rPr>
        <w:t xml:space="preserve">。</w:t>
      </w:r>
      <w:r>
        <w:rPr>
          <w:rFonts w:hint="eastAsia" w:ascii="宋体" w:hAnsi="宋体" w:cs="宋体"/>
          <w:szCs w:val="21"/>
        </w:rPr>
      </w:r>
      <w:r/>
    </w:p>
    <w:p>
      <w:pPr>
        <w:pStyle w:val="864"/>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2、地点：苏采云系统自行下载。</w:t>
      </w:r>
      <w:r>
        <w:rPr>
          <w:rFonts w:hint="eastAsia" w:ascii="宋体" w:hAnsi="宋体" w:cs="宋体"/>
          <w:szCs w:val="21"/>
        </w:rPr>
      </w:r>
      <w:r/>
    </w:p>
    <w:p>
      <w:pPr>
        <w:pStyle w:val="864"/>
        <w:ind w:firstLine="480"/>
        <w:spacing w:line="480" w:lineRule="exac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3、获取方式：自行下载。</w:t>
      </w:r>
      <w:r>
        <w:rPr>
          <w:rFonts w:hint="eastAsia" w:ascii="宋体" w:hAnsi="宋体" w:cs="宋体"/>
          <w:szCs w:val="21"/>
        </w:rPr>
      </w:r>
      <w:r/>
    </w:p>
    <w:p>
      <w:pPr>
        <w:pStyle w:val="864"/>
        <w:ind w:firstLine="480"/>
        <w:spacing w:line="48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4.售价：免费。</w:t>
      </w:r>
      <w:r>
        <w:rPr>
          <w:rFonts w:hint="eastAsia" w:ascii="宋体" w:hAnsi="宋体" w:cs="宋体"/>
          <w:color w:val="000000"/>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四、上传投标文件截止时间、开标时间和地点</w:t>
      </w:r>
      <w:r>
        <w:rPr>
          <w:rFonts w:hint="eastAsia" w:ascii="宋体" w:hAnsi="宋体" w:cs="宋体"/>
          <w:szCs w:val="21"/>
        </w:rPr>
      </w:r>
      <w:r/>
    </w:p>
    <w:p>
      <w:pPr>
        <w:pStyle w:val="864"/>
        <w:ind w:firstLine="480"/>
        <w:spacing w:line="48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1、上传投标文件截止时间：202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年03</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26</w:t>
      </w:r>
      <w:r>
        <w:rPr>
          <w:rFonts w:hint="eastAsia" w:ascii="宋体" w:hAnsi="宋体" w:cs="宋体"/>
          <w:color w:val="000000"/>
          <w:szCs w:val="21"/>
        </w:rPr>
        <w:t xml:space="preserve">日</w:t>
      </w:r>
      <w:r>
        <w:rPr>
          <w:rFonts w:hint="eastAsia" w:ascii="宋体" w:hAnsi="宋体" w:cs="宋体"/>
          <w:color w:val="000000"/>
          <w:szCs w:val="21"/>
        </w:rPr>
        <w:t xml:space="preserve">13</w:t>
      </w:r>
      <w:r>
        <w:rPr>
          <w:rFonts w:hint="eastAsia" w:ascii="宋体" w:hAnsi="宋体" w:cs="宋体"/>
          <w:color w:val="000000"/>
          <w:szCs w:val="21"/>
        </w:rPr>
        <w:t xml:space="preserve">:30</w:t>
      </w:r>
      <w:r>
        <w:rPr>
          <w:rFonts w:hint="eastAsia" w:ascii="宋体" w:hAnsi="宋体" w:cs="宋体"/>
          <w:color w:val="000000"/>
          <w:szCs w:val="21"/>
        </w:rPr>
        <w:t xml:space="preserve">（</w:t>
      </w:r>
      <w:r>
        <w:rPr>
          <w:rFonts w:hint="eastAsia" w:ascii="宋体" w:hAnsi="宋体" w:cs="宋体"/>
          <w:color w:val="000000"/>
          <w:szCs w:val="21"/>
        </w:rPr>
        <w:t xml:space="preserve">北京</w:t>
      </w:r>
      <w:r>
        <w:rPr>
          <w:rFonts w:hint="eastAsia" w:ascii="宋体" w:hAnsi="宋体" w:cs="宋体"/>
          <w:color w:val="000000"/>
          <w:szCs w:val="21"/>
        </w:rPr>
        <w:t xml:space="preserve">时间</w:t>
      </w:r>
      <w:r>
        <w:rPr>
          <w:rFonts w:hint="eastAsia" w:ascii="宋体" w:hAnsi="宋体" w:cs="宋体"/>
          <w:color w:val="000000"/>
          <w:szCs w:val="21"/>
        </w:rPr>
        <w:t xml:space="preserve">）</w:t>
      </w:r>
      <w:r>
        <w:rPr>
          <w:rFonts w:hint="eastAsia" w:ascii="宋体" w:hAnsi="宋体" w:cs="宋体"/>
          <w:color w:val="000000"/>
          <w:szCs w:val="21"/>
        </w:rPr>
      </w:r>
      <w:r/>
    </w:p>
    <w:p>
      <w:pPr>
        <w:pStyle w:val="864"/>
        <w:ind w:firstLine="480"/>
        <w:spacing w:line="480" w:lineRule="exac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2、开标时间：202</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年03</w:t>
      </w:r>
      <w:r>
        <w:rPr>
          <w:rFonts w:hint="eastAsia" w:ascii="宋体" w:hAnsi="宋体" w:cs="宋体"/>
          <w:color w:val="000000"/>
          <w:szCs w:val="21"/>
        </w:rPr>
        <w:t xml:space="preserve">月26</w:t>
      </w:r>
      <w:r>
        <w:rPr>
          <w:rFonts w:hint="eastAsia" w:ascii="宋体" w:hAnsi="宋体" w:cs="宋体"/>
          <w:color w:val="000000"/>
          <w:szCs w:val="21"/>
        </w:rPr>
        <w:t xml:space="preserve">日</w:t>
      </w:r>
      <w:r>
        <w:rPr>
          <w:rFonts w:hint="eastAsia" w:ascii="宋体" w:hAnsi="宋体" w:cs="宋体"/>
          <w:color w:val="000000"/>
          <w:szCs w:val="21"/>
          <w:lang w:val="en-US" w:eastAsia="zh-CN"/>
        </w:rPr>
        <w:t xml:space="preserve">13</w:t>
      </w:r>
      <w:r>
        <w:rPr>
          <w:rFonts w:hint="eastAsia" w:ascii="宋体" w:hAnsi="宋体" w:cs="宋体"/>
          <w:color w:val="000000"/>
          <w:szCs w:val="21"/>
        </w:rPr>
        <w:t xml:space="preserve">:30</w:t>
      </w:r>
      <w:r>
        <w:rPr>
          <w:rFonts w:hint="eastAsia" w:ascii="宋体" w:hAnsi="宋体" w:cs="宋体"/>
          <w:color w:val="000000"/>
          <w:szCs w:val="21"/>
        </w:rPr>
      </w:r>
      <w:r>
        <w:rPr>
          <w:rFonts w:hint="eastAsia" w:ascii="宋体" w:hAnsi="宋体" w:cs="宋体"/>
          <w:color w:val="000000"/>
          <w:szCs w:val="21"/>
        </w:rPr>
        <w:t xml:space="preserve">（</w:t>
      </w:r>
      <w:r>
        <w:rPr>
          <w:rFonts w:hint="eastAsia" w:ascii="宋体" w:hAnsi="宋体" w:cs="宋体"/>
          <w:color w:val="000000"/>
          <w:szCs w:val="21"/>
        </w:rPr>
        <w:t xml:space="preserve">北京</w:t>
      </w:r>
      <w:r>
        <w:rPr>
          <w:rFonts w:hint="eastAsia" w:ascii="宋体" w:hAnsi="宋体" w:cs="宋体"/>
          <w:color w:val="000000"/>
          <w:szCs w:val="21"/>
        </w:rPr>
        <w:t xml:space="preserve">时间</w:t>
      </w:r>
      <w:r>
        <w:rPr>
          <w:rFonts w:hint="eastAsia" w:ascii="宋体" w:hAnsi="宋体" w:cs="宋体"/>
          <w:color w:val="000000"/>
          <w:szCs w:val="21"/>
        </w:rPr>
        <w:t xml:space="preserve">）</w:t>
      </w:r>
      <w:r/>
      <w:r>
        <w:rPr>
          <w:rFonts w:hint="eastAsia" w:ascii="宋体" w:hAnsi="宋体" w:cs="宋体"/>
          <w:color w:val="000000"/>
          <w:szCs w:val="21"/>
        </w:rPr>
      </w:r>
      <w:r/>
    </w:p>
    <w:p>
      <w:pPr>
        <w:pStyle w:val="864"/>
        <w:ind w:firstLine="480"/>
        <w:spacing w:line="48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3、开标地点：苏采云政府采购一体化平台开标大厅（网上不见面开标）</w:t>
      </w:r>
      <w:r>
        <w:rPr>
          <w:rFonts w:ascii="宋体" w:hAnsi="宋体" w:cs="宋体"/>
          <w:color w:val="000000"/>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五、公告期限</w:t>
      </w:r>
      <w:r>
        <w:rPr>
          <w:rFonts w:hint="eastAsia" w:ascii="宋体" w:hAnsi="宋体" w:cs="宋体"/>
          <w:szCs w:val="21"/>
        </w:rPr>
      </w:r>
      <w:r/>
    </w:p>
    <w:p>
      <w:pPr>
        <w:pStyle w:val="864"/>
        <w:ind w:firstLine="420"/>
        <w:spacing w:line="480" w:lineRule="exact"/>
        <w:shd w:val="clear" w:color="ffffff" w:fill="ffffff"/>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自本公告发布之日起5个工作日。</w:t>
      </w:r>
      <w:r>
        <w:rPr>
          <w:rFonts w:hint="eastAsia" w:ascii="宋体" w:hAnsi="宋体" w:cs="宋体"/>
          <w:szCs w:val="21"/>
        </w:rPr>
      </w:r>
      <w:r/>
    </w:p>
    <w:p>
      <w:pPr>
        <w:pStyle w:val="864"/>
        <w:ind w:firstLine="420"/>
        <w:spacing w:line="480" w:lineRule="exact"/>
        <w:shd w:val="clear" w:color="ffffff" w:fill="ffff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六、其他补充事宜</w:t>
      </w:r>
      <w:r>
        <w:rPr>
          <w:rFonts w:hint="eastAsia" w:ascii="宋体" w:hAnsi="宋体" w:cs="宋体"/>
          <w:b/>
          <w:color w:val="000000"/>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1、采购文件获取方式（网上报名）</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（1）</w:t>
      </w:r>
      <w:r>
        <w:rPr>
          <w:rFonts w:hint="eastAsia" w:ascii="宋体" w:hAnsi="宋体" w:cs="宋体"/>
          <w:szCs w:val="21"/>
        </w:rPr>
        <w:t xml:space="preserve">CA办理：“苏采云”政府采购交易系统（以下简称苏采云系统）使用江苏省电子政务证书认证中心CA数字证书和方正国际软件（北京）有限公司电子签章。供应商通过苏采云系统参与政府采购项目，需要办理上述CA数字证书和电子签章（</w:t>
      </w:r>
      <w:r>
        <w:rPr>
          <w:rFonts w:hint="eastAsia" w:ascii="宋体" w:hAnsi="宋体"/>
          <w:szCs w:val="21"/>
          <w:highlight w:val="none"/>
        </w:rPr>
        <w:t xml:space="preserve">办理地点：苏州高新区邓尉路105号狮山科技馆1楼服务大厅，窗口电话：0512-65737699</w:t>
      </w:r>
      <w:r>
        <w:rPr>
          <w:rFonts w:hint="eastAsia" w:ascii="宋体" w:hAnsi="宋体" w:cs="宋体"/>
          <w:szCs w:val="21"/>
        </w:rPr>
        <w:t xml:space="preserve">）</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（2）报名:</w:t>
      </w:r>
      <w:r>
        <w:rPr>
          <w:rFonts w:hint="eastAsia" w:ascii="宋体" w:hAnsi="宋体" w:cs="宋体"/>
          <w:szCs w:val="21"/>
        </w:rPr>
        <w:t xml:space="preserve"> 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（3）</w:t>
      </w:r>
      <w:r>
        <w:rPr>
          <w:rFonts w:hint="eastAsia" w:ascii="宋体" w:hAnsi="宋体" w:cs="宋体"/>
          <w:szCs w:val="21"/>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在系统操作过程中如有疑问，请按以下方式联系：</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注册咨询：18261002950；</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CA技术咨询电话：400-608-6099；</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签章使用问题：025-83633811、025-83633812、15380932027、15371015030；</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系统使用指导与咨询：联系电话：18261002950；0512-69820854；智能客服：登录苏采云系统后，联系系统右下方智能客服图标进行咨询。</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szCs w:val="21"/>
        </w:rPr>
        <w:t xml:space="preserve">（4）</w:t>
      </w:r>
      <w:r>
        <w:rPr>
          <w:rFonts w:hint="eastAsia" w:ascii="宋体" w:hAnsi="宋体" w:cs="宋体"/>
          <w:szCs w:val="21"/>
        </w:rPr>
        <w:t xml:space="preserve">未依照采购公告要求实行网上报名的供应商，视为未参加该项政府采购活动，不具备对该政府采购项目提出质疑的法定权利，但因供应商资格条件或报名时间设定不符合有关法律法规规定等原因使供应商权益受损的除外。</w:t>
      </w:r>
      <w:r>
        <w:rPr>
          <w:rFonts w:ascii="宋体" w:hAnsi="宋体" w:cs="宋体"/>
          <w:szCs w:val="21"/>
        </w:rPr>
      </w:r>
      <w:r/>
    </w:p>
    <w:p>
      <w:pPr>
        <w:pStyle w:val="864"/>
        <w:ind w:firstLine="420"/>
        <w:spacing w:after="120" w:line="360" w:lineRule="auto"/>
        <w:rPr>
          <w:rFonts w:ascii="宋体" w:hAnsi="宋体"/>
          <w:szCs w:val="21"/>
        </w:rPr>
      </w:pPr>
      <w:r>
        <w:rPr>
          <w:rFonts w:hint="eastAsia" w:ascii="宋体" w:hAnsi="宋体"/>
          <w:szCs w:val="21"/>
        </w:rPr>
        <w:t xml:space="preserve">2、</w:t>
      </w:r>
      <w:r>
        <w:rPr>
          <w:rFonts w:hint="eastAsia" w:ascii="宋体" w:hAnsi="宋体" w:cs="宋体"/>
          <w:bCs/>
          <w:szCs w:val="21"/>
        </w:rPr>
        <w:t xml:space="preserve">电子投标文件的提交</w:t>
      </w:r>
      <w:r>
        <w:rPr>
          <w:rFonts w:ascii="宋体" w:hAnsi="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（1）提交方式：</w:t>
      </w:r>
      <w:r>
        <w:rPr>
          <w:rFonts w:ascii="宋体" w:hAnsi="宋体" w:cs="宋体"/>
          <w:szCs w:val="21"/>
        </w:rPr>
        <w:t xml:space="preserve">“</w:t>
      </w:r>
      <w:r>
        <w:rPr>
          <w:rFonts w:hint="eastAsia" w:ascii="宋体" w:hAnsi="宋体" w:cs="宋体"/>
          <w:szCs w:val="21"/>
        </w:rPr>
        <w:t xml:space="preserve">苏采云</w:t>
      </w:r>
      <w:r>
        <w:rPr>
          <w:rFonts w:ascii="宋体" w:hAnsi="宋体" w:cs="宋体"/>
          <w:szCs w:val="21"/>
        </w:rPr>
        <w:t xml:space="preserve">”</w:t>
      </w:r>
      <w:r>
        <w:rPr>
          <w:rFonts w:hint="eastAsia" w:ascii="宋体" w:hAnsi="宋体" w:cs="宋体"/>
          <w:szCs w:val="21"/>
        </w:rPr>
        <w:t xml:space="preserve">政府采购交易系统网上开标大厅（网址：</w:t>
      </w:r>
      <w:r>
        <w:rPr>
          <w:rFonts w:ascii="Calibri" w:hAnsi="Calibri"/>
          <w:szCs w:val="22"/>
        </w:rPr>
        <w:fldChar w:fldCharType="begin"/>
      </w:r>
      <w:r>
        <w:rPr>
          <w:rFonts w:ascii="Calibri" w:hAnsi="Calibri"/>
          <w:szCs w:val="22"/>
        </w:rPr>
        <w:instrText xml:space="preserve">HYPERLINK "http://jszfcg.jsczt.cn/），响应文件网上递交，供应商不需要到现场参加采购活动。"</w:instrText>
      </w:r>
      <w:r>
        <w:rPr>
          <w:rFonts w:ascii="Calibri" w:hAnsi="Calibri"/>
          <w:szCs w:val="22"/>
        </w:rPr>
        <w:fldChar w:fldCharType="separate"/>
      </w:r>
      <w:r>
        <w:rPr>
          <w:rFonts w:ascii="宋体" w:hAnsi="宋体" w:cs="宋体"/>
          <w:color w:val="0000ff"/>
          <w:u w:val="single"/>
        </w:rPr>
        <w:t xml:space="preserve">http://jszfcg.jsczt.cn/），响应文件网上递交，</w:t>
      </w:r>
      <w:r>
        <w:rPr>
          <w:rFonts w:hint="eastAsia" w:ascii="宋体" w:hAnsi="宋体" w:cs="宋体"/>
          <w:color w:val="0000ff"/>
          <w:u w:val="single"/>
        </w:rPr>
        <w:t xml:space="preserve">供应商</w:t>
      </w:r>
      <w:r>
        <w:rPr>
          <w:rFonts w:ascii="宋体" w:hAnsi="宋体" w:cs="宋体"/>
          <w:color w:val="0000ff"/>
          <w:u w:val="single"/>
        </w:rPr>
        <w:t xml:space="preserve">不需要</w:t>
      </w:r>
      <w:r>
        <w:rPr>
          <w:rFonts w:hint="eastAsia" w:ascii="宋体" w:hAnsi="宋体" w:cs="宋体"/>
          <w:color w:val="0000ff"/>
          <w:u w:val="single"/>
        </w:rPr>
        <w:t xml:space="preserve">到</w:t>
      </w:r>
      <w:r>
        <w:rPr>
          <w:rFonts w:ascii="宋体" w:hAnsi="宋体" w:cs="宋体"/>
          <w:color w:val="0000ff"/>
          <w:u w:val="single"/>
        </w:rPr>
        <w:t xml:space="preserve">现场参加采购活动。</w:t>
      </w:r>
      <w:r>
        <w:rPr>
          <w:rFonts w:ascii="Calibri" w:hAnsi="Calibri"/>
          <w:szCs w:val="22"/>
        </w:rPr>
        <w:fldChar w:fldCharType="end"/>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（2）线上参加开标（开启）会方式：供应商登录</w:t>
      </w:r>
      <w:r>
        <w:rPr>
          <w:rFonts w:ascii="宋体" w:hAnsi="宋体" w:cs="宋体"/>
          <w:szCs w:val="21"/>
        </w:rPr>
        <w:t xml:space="preserve">“</w:t>
      </w:r>
      <w:r>
        <w:rPr>
          <w:rFonts w:hint="eastAsia" w:ascii="宋体" w:hAnsi="宋体" w:cs="宋体"/>
          <w:szCs w:val="21"/>
        </w:rPr>
        <w:t xml:space="preserve">苏采云</w:t>
      </w:r>
      <w:r>
        <w:rPr>
          <w:rFonts w:ascii="宋体" w:hAnsi="宋体" w:cs="宋体"/>
          <w:szCs w:val="21"/>
        </w:rPr>
        <w:t xml:space="preserve">”</w:t>
      </w:r>
      <w:r>
        <w:rPr>
          <w:rFonts w:hint="eastAsia" w:ascii="宋体" w:hAnsi="宋体" w:cs="宋体"/>
          <w:szCs w:val="21"/>
        </w:rPr>
        <w:t xml:space="preserve">系统在平台首页点击</w:t>
      </w:r>
      <w:r>
        <w:rPr>
          <w:rFonts w:ascii="宋体" w:hAnsi="宋体" w:cs="宋体"/>
          <w:szCs w:val="21"/>
        </w:rPr>
        <w:t xml:space="preserve">“</w:t>
      </w:r>
      <w:r>
        <w:rPr>
          <w:rFonts w:hint="eastAsia" w:ascii="宋体" w:hAnsi="宋体" w:cs="宋体"/>
          <w:szCs w:val="21"/>
        </w:rPr>
        <w:t xml:space="preserve">开标大厅</w:t>
      </w:r>
      <w:r>
        <w:rPr>
          <w:rFonts w:ascii="宋体" w:hAnsi="宋体" w:cs="宋体"/>
          <w:szCs w:val="21"/>
        </w:rPr>
        <w:t xml:space="preserve">”</w:t>
      </w:r>
      <w:r>
        <w:rPr>
          <w:rFonts w:hint="eastAsia" w:ascii="宋体" w:hAnsi="宋体" w:cs="宋体"/>
          <w:szCs w:val="21"/>
        </w:rPr>
        <w:t xml:space="preserve">，进入江苏省政府采购一体化不见面开标（采购）大厅，在今日项目列表，点击项目，进入不见面开标系统。本项目为不见面开标项目，开启阶段供应商在【供应商解密】环节必须使用</w:t>
      </w:r>
      <w:r>
        <w:rPr>
          <w:rFonts w:ascii="宋体" w:hAnsi="宋体" w:cs="宋体"/>
          <w:szCs w:val="21"/>
        </w:rPr>
        <w:t xml:space="preserve"> CA</w:t>
      </w:r>
      <w:r>
        <w:rPr>
          <w:rFonts w:hint="eastAsia" w:ascii="宋体" w:hAnsi="宋体" w:cs="宋体"/>
          <w:szCs w:val="21"/>
        </w:rPr>
        <w:t xml:space="preserve">证书解密电子响应文件，如在系统规定的解密时间（响应文件提交截止时间后30分钟）内未能完成解密的视为放弃参与本项目。请供应商确保电脑、系统及其他设备（视频输入输出设备等）无误，且开启直至项目结束始终保持系统在线状态。</w:t>
      </w:r>
      <w:r>
        <w:rPr>
          <w:rFonts w:ascii="宋体" w:hAnsi="宋体" w:cs="宋体"/>
          <w:szCs w:val="21"/>
        </w:rPr>
      </w:r>
      <w:r/>
    </w:p>
    <w:p>
      <w:pPr>
        <w:pStyle w:val="86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（3）逾期上传的电子投标文件恕不接受。</w:t>
      </w:r>
      <w:r>
        <w:rPr>
          <w:rFonts w:ascii="宋体" w:hAnsi="宋体" w:cs="宋体"/>
          <w:szCs w:val="21"/>
        </w:rPr>
      </w:r>
      <w:r/>
    </w:p>
    <w:p>
      <w:pPr>
        <w:pStyle w:val="864"/>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3、</w:t>
      </w:r>
      <w:r>
        <w:rPr>
          <w:rFonts w:ascii="宋体" w:hAnsi="宋体" w:cs="宋体"/>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宋体" w:hAnsi="宋体" w:cs="宋体"/>
          <w:b/>
          <w:szCs w:val="21"/>
        </w:rPr>
        <w:t xml:space="preserve">供应商应充分考虑到网络环境、网络带宽等风险因素，如因供应商自身原因造成的电子投标文件上传不成功由供应商自行承担全部责任。</w:t>
      </w:r>
      <w:r>
        <w:rPr>
          <w:rFonts w:ascii="宋体" w:hAnsi="宋体" w:cs="宋体"/>
          <w:b/>
          <w:szCs w:val="21"/>
        </w:rPr>
      </w:r>
      <w:r/>
    </w:p>
    <w:p>
      <w:pPr>
        <w:pStyle w:val="864"/>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ascii="宋体" w:hAnsi="宋体" w:cs="宋体"/>
          <w:color w:val="000000"/>
          <w:szCs w:val="21"/>
        </w:rPr>
        <w:t xml:space="preserve">4</w:t>
      </w:r>
      <w:r>
        <w:rPr>
          <w:rFonts w:hint="eastAsia" w:ascii="宋体" w:hAnsi="宋体" w:cs="宋体"/>
          <w:color w:val="000000"/>
          <w:szCs w:val="21"/>
        </w:rPr>
        <w:t xml:space="preserve">、本次采购的有关信息将在以下网站上发布：</w:t>
      </w:r>
      <w:r>
        <w:rPr>
          <w:rFonts w:hint="eastAsia" w:ascii="宋体" w:hAnsi="宋体" w:cs="宋体"/>
          <w:color w:val="000000"/>
          <w:szCs w:val="21"/>
        </w:rPr>
      </w:r>
      <w:r/>
    </w:p>
    <w:p>
      <w:pPr>
        <w:pStyle w:val="864"/>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）江苏政府采购网</w:t>
      </w:r>
      <w:r>
        <w:rPr>
          <w:rFonts w:hint="eastAsia" w:ascii="宋体" w:hAnsi="宋体" w:cs="宋体"/>
          <w:color w:val="000000"/>
          <w:szCs w:val="21"/>
        </w:rPr>
      </w:r>
      <w:r/>
    </w:p>
    <w:p>
      <w:pPr>
        <w:pStyle w:val="864"/>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）苏州市政府采购网</w:t>
      </w:r>
      <w:r>
        <w:rPr>
          <w:rFonts w:hint="eastAsia" w:ascii="宋体" w:hAnsi="宋体" w:cs="宋体"/>
          <w:color w:val="000000"/>
          <w:szCs w:val="21"/>
        </w:rPr>
      </w:r>
      <w:r/>
    </w:p>
    <w:p>
      <w:pPr>
        <w:pStyle w:val="864"/>
        <w:ind w:firstLine="480"/>
        <w:spacing w:line="480" w:lineRule="exact"/>
        <w:rPr>
          <w:rFonts w:hint="eastAsia" w:ascii="宋体" w:hAnsi="宋体" w:cs="宋体"/>
          <w:color w:val="000000"/>
          <w:szCs w:val="21"/>
        </w:rPr>
        <w:pBdr>
          <w:top w:val="none" w:color="000000" w:sz="0" w:space="1"/>
          <w:left w:val="none" w:color="000000" w:sz="0" w:space="0"/>
          <w:bottom w:val="none" w:color="000000" w:sz="0" w:space="0"/>
          <w:right w:val="none" w:color="000000" w:sz="0" w:space="0"/>
        </w:pBdr>
      </w:pPr>
      <w:r>
        <w:rPr>
          <w:rFonts w:ascii="宋体" w:hAnsi="宋体" w:cs="宋体"/>
          <w:color w:val="000000"/>
          <w:szCs w:val="21"/>
        </w:rPr>
        <w:t xml:space="preserve">5</w:t>
      </w:r>
      <w:r>
        <w:rPr>
          <w:rFonts w:hint="eastAsia" w:ascii="宋体" w:hAnsi="宋体" w:cs="宋体"/>
          <w:color w:val="000000"/>
          <w:szCs w:val="21"/>
        </w:rPr>
        <w:t xml:space="preserve">、苏州市财政局政府采购监督电话：0512-68616651。</w:t>
      </w:r>
      <w:r>
        <w:rPr>
          <w:rFonts w:hint="eastAsia" w:ascii="宋体" w:hAnsi="宋体" w:cs="宋体"/>
          <w:color w:val="000000"/>
          <w:szCs w:val="21"/>
        </w:rPr>
      </w:r>
      <w:r/>
    </w:p>
    <w:p>
      <w:pPr>
        <w:pStyle w:val="864"/>
        <w:ind w:firstLine="420"/>
        <w:spacing w:line="480" w:lineRule="exact"/>
        <w:shd w:val="clear" w:color="ffffff" w:fill="ffffff"/>
        <w:rPr>
          <w:rFonts w:hint="eastAsia" w:ascii="宋体" w:hAnsi="宋体" w:cs="宋体"/>
          <w:szCs w:val="21"/>
        </w:rPr>
        <w:pBdr>
          <w:top w:val="none" w:color="000000" w:sz="0" w:space="1"/>
          <w:left w:val="none" w:color="000000" w:sz="0" w:space="0"/>
          <w:bottom w:val="none" w:color="000000" w:sz="0" w:space="0"/>
          <w:right w:val="none" w:color="000000" w:sz="0" w:space="0"/>
        </w:pBdr>
      </w:pPr>
      <w:r>
        <w:rPr>
          <w:rFonts w:hint="eastAsia" w:ascii="宋体" w:hAnsi="宋体" w:cs="宋体"/>
          <w:b/>
          <w:color w:val="000000"/>
          <w:szCs w:val="21"/>
        </w:rPr>
        <w:t xml:space="preserve">七、对本次招标提出询问，请按以下方式联系</w:t>
      </w:r>
      <w:r>
        <w:rPr>
          <w:rFonts w:hint="eastAsia" w:ascii="宋体" w:hAnsi="宋体" w:cs="宋体"/>
          <w:szCs w:val="21"/>
        </w:rPr>
      </w:r>
      <w:r/>
    </w:p>
    <w:p>
      <w:pPr>
        <w:pStyle w:val="864"/>
        <w:ind w:firstLine="420"/>
        <w:spacing w:line="480" w:lineRule="exact"/>
        <w:rPr>
          <w:rFonts w:hint="eastAsia"/>
        </w:rPr>
      </w:pPr>
      <w:r>
        <w:rPr>
          <w:rFonts w:hint="eastAsia"/>
        </w:rPr>
        <w:t xml:space="preserve">1、采购人</w:t>
      </w:r>
      <w:r>
        <w:rPr>
          <w:rFonts w:hint="eastAsia"/>
        </w:rPr>
      </w:r>
      <w:r/>
    </w:p>
    <w:p>
      <w:pPr>
        <w:pStyle w:val="864"/>
        <w:ind w:firstLine="420"/>
        <w:spacing w:line="480" w:lineRule="exact"/>
        <w:rPr>
          <w:rFonts w:hint="eastAsia" w:eastAsia="宋体"/>
          <w:lang w:eastAsia="zh-CN"/>
        </w:rPr>
      </w:pPr>
      <w:r>
        <w:rPr>
          <w:rFonts w:hint="eastAsia"/>
        </w:rPr>
        <w:t xml:space="preserve">单位名称：</w:t>
      </w:r>
      <w:r>
        <w:rPr>
          <w:rFonts w:hint="eastAsia"/>
          <w:lang w:eastAsia="zh-CN"/>
        </w:rPr>
        <w:t xml:space="preserve">苏州市石湖景区管理处（华南虎苏州培育基地）</w:t>
      </w:r>
      <w:r>
        <w:rPr>
          <w:rFonts w:hint="eastAsia" w:eastAsia="宋体"/>
          <w:lang w:eastAsia="zh-CN"/>
        </w:rPr>
      </w:r>
      <w:r/>
    </w:p>
    <w:p>
      <w:pPr>
        <w:pStyle w:val="864"/>
        <w:ind w:firstLine="420"/>
        <w:spacing w:line="480" w:lineRule="exact"/>
        <w:rPr>
          <w:rFonts w:hint="eastAsia" w:eastAsia="宋体"/>
          <w:color w:val="000000"/>
          <w:highlight w:val="none"/>
          <w:lang w:eastAsia="zh-CN"/>
        </w:rPr>
      </w:pPr>
      <w:r>
        <w:rPr>
          <w:rFonts w:hint="eastAsia"/>
          <w:color w:val="000000"/>
          <w:highlight w:val="none"/>
        </w:rPr>
        <w:t xml:space="preserve">地址：</w:t>
      </w:r>
      <w:r>
        <w:rPr>
          <w:rFonts w:hint="eastAsia"/>
          <w:color w:val="000000"/>
          <w:highlight w:val="none"/>
          <w:lang w:eastAsia="zh-CN"/>
        </w:rPr>
        <w:t xml:space="preserve">苏州市虎丘区上方山行春桥堍</w:t>
      </w:r>
      <w:r>
        <w:rPr>
          <w:rFonts w:hint="eastAsia" w:eastAsia="宋体"/>
          <w:color w:val="000000"/>
          <w:highlight w:val="none"/>
          <w:lang w:eastAsia="zh-CN"/>
        </w:rPr>
      </w:r>
      <w:r/>
    </w:p>
    <w:p>
      <w:pPr>
        <w:pStyle w:val="864"/>
        <w:ind w:firstLine="420"/>
        <w:spacing w:line="480" w:lineRule="exact"/>
        <w:rPr>
          <w:rFonts w:hint="eastAsia"/>
        </w:rPr>
      </w:pPr>
      <w:r>
        <w:rPr>
          <w:rFonts w:hint="eastAsia"/>
        </w:rPr>
        <w:t xml:space="preserve">联系人：</w:t>
      </w:r>
      <w:r>
        <w:rPr>
          <w:rFonts w:hint="eastAsia"/>
          <w:lang w:eastAsia="zh-CN"/>
        </w:rPr>
        <w:t xml:space="preserve">张芳</w:t>
      </w:r>
      <w:r>
        <w:rPr>
          <w:rFonts w:hint="eastAsia"/>
        </w:rPr>
        <w:t xml:space="preserve">     </w:t>
      </w:r>
      <w:r>
        <w:rPr>
          <w:rFonts w:hint="eastAsia"/>
        </w:rPr>
      </w:r>
      <w:r/>
    </w:p>
    <w:p>
      <w:pPr>
        <w:pStyle w:val="864"/>
        <w:ind w:firstLine="420"/>
        <w:spacing w:line="480" w:lineRule="exact"/>
        <w:rPr>
          <w:rFonts w:hint="eastAsia"/>
        </w:rPr>
      </w:pPr>
      <w:r>
        <w:rPr>
          <w:rFonts w:hint="eastAsia"/>
        </w:rPr>
        <w:t xml:space="preserve">联系电话：</w:t>
      </w:r>
      <w:r>
        <w:rPr>
          <w:rFonts w:hint="eastAsia"/>
          <w:lang w:eastAsia="zh-CN"/>
        </w:rPr>
        <w:t xml:space="preserve">0512-68189827</w:t>
      </w:r>
      <w:r>
        <w:rPr>
          <w:rFonts w:hint="eastAsia"/>
        </w:rPr>
        <w:t xml:space="preserve">  </w:t>
      </w:r>
      <w:r>
        <w:rPr>
          <w:rFonts w:hint="eastAsia"/>
        </w:rPr>
      </w:r>
      <w:r/>
    </w:p>
    <w:p>
      <w:pPr>
        <w:pStyle w:val="864"/>
        <w:ind w:firstLine="420"/>
        <w:spacing w:line="480" w:lineRule="exact"/>
        <w:rPr>
          <w:rFonts w:hint="eastAsia"/>
        </w:rPr>
      </w:pPr>
      <w:r>
        <w:rPr>
          <w:rFonts w:hint="eastAsia"/>
        </w:rPr>
        <w:t xml:space="preserve">2、采购代理机构</w:t>
      </w:r>
      <w:r>
        <w:rPr>
          <w:rFonts w:hint="eastAsia"/>
        </w:rPr>
      </w:r>
      <w:r/>
    </w:p>
    <w:p>
      <w:pPr>
        <w:pStyle w:val="864"/>
        <w:ind w:firstLine="420"/>
        <w:spacing w:line="480" w:lineRule="exact"/>
        <w:rPr>
          <w:rFonts w:hint="eastAsia"/>
        </w:rPr>
      </w:pPr>
      <w:r>
        <w:rPr>
          <w:rFonts w:hint="eastAsia"/>
        </w:rPr>
        <w:t xml:space="preserve">单位名称：苏州市永诚建设咨询有限公司</w:t>
      </w:r>
      <w:r>
        <w:rPr>
          <w:rFonts w:hint="eastAsia"/>
        </w:rPr>
      </w:r>
      <w:r/>
    </w:p>
    <w:p>
      <w:pPr>
        <w:pStyle w:val="864"/>
        <w:ind w:firstLine="420"/>
        <w:spacing w:line="480" w:lineRule="exact"/>
        <w:rPr>
          <w:rFonts w:hint="eastAsia"/>
        </w:rPr>
      </w:pPr>
      <w:r>
        <w:rPr>
          <w:rFonts w:hint="eastAsia"/>
        </w:rPr>
        <w:t xml:space="preserve">地址：苏州市东吴北路221号7楼          邮编：215007</w:t>
      </w:r>
      <w:r>
        <w:rPr>
          <w:rFonts w:hint="eastAsia"/>
        </w:rPr>
      </w:r>
      <w:r/>
    </w:p>
    <w:p>
      <w:pPr>
        <w:pStyle w:val="864"/>
        <w:ind w:firstLine="420"/>
        <w:spacing w:line="480" w:lineRule="exact"/>
        <w:rPr>
          <w:rFonts w:hint="eastAsia"/>
        </w:rPr>
      </w:pPr>
      <w:r>
        <w:rPr>
          <w:rFonts w:hint="eastAsia"/>
        </w:rPr>
        <w:t xml:space="preserve">联系电话：0512-69157588</w:t>
      </w:r>
      <w:r>
        <w:rPr>
          <w:rFonts w:hint="eastAsia"/>
        </w:rPr>
      </w:r>
      <w:r/>
    </w:p>
    <w:p>
      <w:pPr>
        <w:pStyle w:val="864"/>
        <w:ind w:firstLine="420"/>
        <w:spacing w:line="480" w:lineRule="exact"/>
        <w:rPr>
          <w:rFonts w:hint="eastAsia"/>
        </w:rPr>
      </w:pPr>
      <w:r>
        <w:rPr>
          <w:rFonts w:hint="eastAsia"/>
        </w:rPr>
        <w:t xml:space="preserve">3、项目联系方式</w:t>
      </w:r>
      <w:r>
        <w:rPr>
          <w:rFonts w:hint="eastAsia"/>
        </w:rPr>
      </w:r>
      <w:r/>
    </w:p>
    <w:p>
      <w:pPr>
        <w:pStyle w:val="864"/>
        <w:ind w:firstLine="420"/>
        <w:spacing w:line="480" w:lineRule="exact"/>
        <w:rPr>
          <w:rFonts w:hint="eastAsia"/>
        </w:rPr>
      </w:pPr>
      <w:r>
        <w:rPr>
          <w:rFonts w:hint="eastAsia"/>
        </w:rPr>
        <w:t xml:space="preserve">项目联系人：焦秀丽</w:t>
      </w:r>
      <w:r>
        <w:rPr>
          <w:rFonts w:hint="eastAsia"/>
        </w:rPr>
        <w:t xml:space="preserve">、</w:t>
      </w:r>
      <w:r>
        <w:rPr>
          <w:rFonts w:hint="eastAsia"/>
        </w:rPr>
        <w:t xml:space="preserve">朱琳</w:t>
      </w:r>
      <w:r>
        <w:rPr>
          <w:rFonts w:hint="eastAsia"/>
        </w:rPr>
      </w:r>
      <w:r/>
    </w:p>
    <w:p>
      <w:pPr>
        <w:pStyle w:val="864"/>
        <w:ind w:firstLine="420"/>
        <w:spacing w:line="480" w:lineRule="exact"/>
      </w:pPr>
      <w:r>
        <w:rPr>
          <w:rFonts w:hint="eastAsia"/>
        </w:rPr>
        <w:t xml:space="preserve">联系电话：0512-69157588-828   传真：0512-65268668</w:t>
      </w:r>
      <w:r/>
    </w:p>
    <w:p>
      <w:pPr>
        <w:pStyle w:val="864"/>
        <w:ind w:firstLine="420"/>
        <w:spacing w:line="480" w:lineRule="exact"/>
      </w:pPr>
      <w:r/>
      <w:r/>
    </w:p>
    <w:p>
      <w:pPr>
        <w:pStyle w:val="864"/>
        <w:ind w:firstLine="420"/>
        <w:spacing w:line="480" w:lineRule="exact"/>
      </w:pPr>
      <w:r/>
      <w:r/>
    </w:p>
    <w:p>
      <w:pPr>
        <w:pStyle w:val="864"/>
        <w:jc w:val="right"/>
        <w:spacing w:line="360" w:lineRule="auto"/>
      </w:pPr>
      <w:r>
        <w:rPr>
          <w:rFonts w:hint="eastAsia"/>
        </w:rPr>
        <w:t xml:space="preserve">苏州市永诚建设咨询有限公司</w:t>
      </w:r>
      <w:r/>
    </w:p>
    <w:p>
      <w:pPr>
        <w:pStyle w:val="864"/>
        <w:ind w:firstLine="420"/>
        <w:spacing w:line="480" w:lineRule="exact"/>
      </w:pPr>
      <w:r/>
      <w:r/>
    </w:p>
    <w:p>
      <w:pPr>
        <w:pStyle w:val="864"/>
        <w:ind w:firstLine="420"/>
        <w:spacing w:line="480" w:lineRule="exact"/>
      </w:pPr>
      <w:r/>
      <w:r/>
    </w:p>
    <w:p>
      <w:pPr>
        <w:pStyle w:val="864"/>
        <w:ind w:firstLine="420"/>
        <w:spacing w:line="480" w:lineRule="exact"/>
      </w:pPr>
      <w:r/>
      <w:r/>
    </w:p>
    <w:p>
      <w:pPr>
        <w:pStyle w:val="864"/>
        <w:ind w:firstLine="420"/>
        <w:spacing w:line="480" w:lineRule="exact"/>
        <w:rPr>
          <w:rFonts w:hint="eastAsia"/>
        </w:rPr>
      </w:pPr>
      <w:r>
        <w:rPr>
          <w:rFonts w:hint="eastAsia"/>
        </w:rPr>
      </w:r>
      <w:r/>
    </w:p>
    <w:p>
      <w:pPr>
        <w:pStyle w:val="864"/>
        <w:ind w:firstLine="3654"/>
        <w:keepLines/>
        <w:keepNext/>
        <w:spacing w:before="340" w:after="330" w:line="480" w:lineRule="exact"/>
        <w:rPr>
          <w:rFonts w:hint="eastAsia"/>
        </w:rPr>
        <w:outlineLvl w:val="0"/>
      </w:pPr>
      <w:r/>
      <w:bookmarkStart w:id="13" w:name="_Toc5273"/>
      <w:r>
        <w:rPr>
          <w:rFonts w:cs="宋体"/>
          <w:b/>
          <w:color w:val="000000"/>
          <w:sz w:val="28"/>
          <w:szCs w:val="28"/>
          <w:lang w:bidi="ar"/>
        </w:rPr>
        <w:br w:type="page" w:clear="all"/>
      </w:r>
      <w:r>
        <w:rPr>
          <w:rFonts w:hint="eastAsia" w:cs="宋体"/>
          <w:b/>
          <w:color w:val="000000"/>
          <w:sz w:val="28"/>
          <w:szCs w:val="28"/>
          <w:lang w:bidi="ar"/>
        </w:rPr>
        <w:t xml:space="preserve">第二章</w:t>
      </w:r>
      <w:r>
        <w:rPr>
          <w:b/>
          <w:color w:val="000000"/>
          <w:sz w:val="28"/>
          <w:szCs w:val="28"/>
          <w:lang w:bidi="ar"/>
        </w:rPr>
        <w:t xml:space="preserve">  </w:t>
      </w:r>
      <w:r>
        <w:rPr>
          <w:rFonts w:hint="eastAsia" w:cs="宋体"/>
          <w:b/>
          <w:color w:val="000000"/>
          <w:sz w:val="28"/>
          <w:szCs w:val="28"/>
          <w:lang w:bidi="ar"/>
        </w:rPr>
        <w:t xml:space="preserve">投标人须知</w:t>
      </w:r>
      <w:bookmarkEnd w:id="5"/>
      <w:r/>
      <w:bookmarkEnd w:id="13"/>
      <w:r>
        <w:rPr>
          <w:rFonts w:hint="eastAsia"/>
        </w:rPr>
      </w:r>
      <w:r/>
    </w:p>
    <w:p>
      <w:pPr>
        <w:pStyle w:val="864"/>
        <w:spacing w:line="480" w:lineRule="exact"/>
        <w:rPr>
          <w:rFonts w:hint="eastAsia"/>
        </w:rPr>
      </w:pPr>
      <w:r>
        <w:rPr>
          <w:rFonts w:hint="eastAsia"/>
        </w:rPr>
        <w:t xml:space="preserve">1总则</w:t>
      </w:r>
      <w:r>
        <w:rPr>
          <w:rFonts w:hint="eastAsia"/>
        </w:rPr>
      </w:r>
      <w:r/>
    </w:p>
    <w:p>
      <w:pPr>
        <w:pStyle w:val="864"/>
        <w:spacing w:line="480" w:lineRule="exact"/>
        <w:rPr>
          <w:rFonts w:hint="eastAsia"/>
        </w:rPr>
      </w:pPr>
      <w:r>
        <w:rPr>
          <w:rFonts w:hint="eastAsia"/>
        </w:rPr>
        <w:t xml:space="preserve">1.1投标人资格要求</w:t>
      </w:r>
      <w:r>
        <w:rPr>
          <w:rFonts w:hint="eastAsia"/>
        </w:rPr>
      </w:r>
      <w:r/>
    </w:p>
    <w:p>
      <w:pPr>
        <w:pStyle w:val="864"/>
        <w:spacing w:line="480" w:lineRule="exact"/>
        <w:rPr>
          <w:rFonts w:hint="eastAsia"/>
        </w:rPr>
      </w:pPr>
      <w:r>
        <w:rPr>
          <w:rFonts w:hint="eastAsia"/>
        </w:rPr>
        <w:t xml:space="preserve">1.1.1详见第一章招标公告中“二、申请人的资格要求”。</w:t>
      </w:r>
      <w:r>
        <w:rPr>
          <w:rFonts w:hint="eastAsia"/>
        </w:rPr>
      </w:r>
      <w:r/>
    </w:p>
    <w:p>
      <w:pPr>
        <w:pStyle w:val="864"/>
        <w:spacing w:line="480" w:lineRule="exact"/>
        <w:rPr>
          <w:rFonts w:hint="eastAsia"/>
        </w:rPr>
      </w:pPr>
      <w:r>
        <w:rPr>
          <w:rFonts w:hint="eastAsia"/>
        </w:rPr>
        <w:t xml:space="preserve">1.1.2投标人不得存在下列情形之一：</w:t>
      </w:r>
      <w:r>
        <w:rPr>
          <w:rFonts w:hint="eastAsia"/>
        </w:rPr>
      </w:r>
      <w:r/>
    </w:p>
    <w:p>
      <w:pPr>
        <w:pStyle w:val="864"/>
        <w:spacing w:line="480" w:lineRule="exact"/>
        <w:rPr>
          <w:rFonts w:hint="eastAsia"/>
        </w:rPr>
      </w:pPr>
      <w:r>
        <w:rPr>
          <w:rFonts w:hint="eastAsia"/>
        </w:rPr>
        <w:t xml:space="preserve">（1）苏州市财政局《关于印发苏州市市级政府采购信用记录查询和使用工作试行办法的通知》（苏财购（2017）11号）文件规定应拒绝的失信信息。</w:t>
      </w:r>
      <w:r>
        <w:rPr>
          <w:rFonts w:hint="eastAsia"/>
        </w:rPr>
      </w:r>
      <w:r/>
    </w:p>
    <w:p>
      <w:pPr>
        <w:pStyle w:val="864"/>
        <w:spacing w:line="480" w:lineRule="exact"/>
      </w:pPr>
      <w:r>
        <w:rPr>
          <w:rFonts w:hint="eastAsia"/>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64"/>
        <w:spacing w:line="480" w:lineRule="exact"/>
        <w:rPr>
          <w:rFonts w:hint="eastAsia"/>
        </w:rPr>
      </w:pPr>
      <w:r>
        <w:rPr>
          <w:rFonts w:hint="eastAsia"/>
        </w:rPr>
        <w:t xml:space="preserve">1.1.3联合体投标：第一章招标公告规定接受联合体投标的，联合体除应符合上述资格要求外，还应遵守以下规定：</w:t>
      </w:r>
      <w:r>
        <w:rPr>
          <w:rFonts w:hint="eastAsia"/>
        </w:rPr>
      </w:r>
      <w:r/>
    </w:p>
    <w:p>
      <w:pPr>
        <w:pStyle w:val="864"/>
        <w:spacing w:line="480" w:lineRule="exact"/>
        <w:rPr>
          <w:rFonts w:hint="eastAsia"/>
        </w:rPr>
      </w:pPr>
      <w:r>
        <w:rPr>
          <w:rFonts w:hint="eastAsia"/>
        </w:rPr>
        <w:t xml:space="preserve">（1）联合体各方应当向采购人提交联合体协议书，载明联合体各方承担的工作和义务，否则投标无效。</w:t>
      </w:r>
      <w:r>
        <w:rPr>
          <w:rFonts w:hint="eastAsia"/>
        </w:rPr>
      </w:r>
      <w:r/>
    </w:p>
    <w:p>
      <w:pPr>
        <w:pStyle w:val="864"/>
        <w:spacing w:line="480" w:lineRule="exact"/>
        <w:rPr>
          <w:rFonts w:hint="eastAsia"/>
        </w:rPr>
      </w:pPr>
      <w:r>
        <w:rPr>
          <w:rFonts w:hint="eastAsia"/>
        </w:rPr>
        <w:t xml:space="preserve">（2）联合体中有同类资质的投标人按照联合体分工承担相同工作的，应当按照资质等级较低的投标人确定资质等级。</w:t>
      </w:r>
      <w:r>
        <w:rPr>
          <w:rFonts w:hint="eastAsia"/>
        </w:rPr>
      </w:r>
      <w:r/>
    </w:p>
    <w:p>
      <w:pPr>
        <w:pStyle w:val="864"/>
        <w:spacing w:line="480" w:lineRule="exact"/>
        <w:rPr>
          <w:rFonts w:hint="eastAsia"/>
        </w:rPr>
      </w:pPr>
      <w:r>
        <w:rPr>
          <w:rFonts w:hint="eastAsia"/>
        </w:rPr>
        <w:t xml:space="preserve">（3）联合体各方不得再单独参加或者与其他投标人另外组成联合体参加同一合同项下的政府采购活动，否则各相关投标均无效。</w:t>
      </w:r>
      <w:r>
        <w:rPr>
          <w:rFonts w:hint="eastAsia"/>
        </w:rPr>
      </w:r>
      <w:r/>
    </w:p>
    <w:p>
      <w:pPr>
        <w:pStyle w:val="864"/>
        <w:spacing w:line="480" w:lineRule="exact"/>
        <w:rPr>
          <w:rFonts w:hint="eastAsia"/>
        </w:rPr>
      </w:pPr>
      <w:r>
        <w:rPr>
          <w:rFonts w:hint="eastAsia"/>
        </w:rPr>
        <w:t xml:space="preserve">（4）联合体各方应当共同与采购人签订采购合同，就采购合同约定的事项对采购人承担连带责任。</w:t>
      </w:r>
      <w:r>
        <w:rPr>
          <w:rFonts w:hint="eastAsia"/>
        </w:rPr>
      </w:r>
      <w:r/>
    </w:p>
    <w:p>
      <w:pPr>
        <w:pStyle w:val="864"/>
        <w:spacing w:line="480" w:lineRule="exact"/>
        <w:rPr>
          <w:rFonts w:hint="eastAsia"/>
        </w:rPr>
      </w:pPr>
      <w:r>
        <w:rPr>
          <w:rFonts w:hint="eastAsia"/>
        </w:rPr>
        <w:t xml:space="preserve">1.2分包</w:t>
      </w:r>
      <w:r>
        <w:rPr>
          <w:rFonts w:hint="eastAsia"/>
        </w:rPr>
      </w:r>
      <w:r/>
    </w:p>
    <w:p>
      <w:pPr>
        <w:pStyle w:val="864"/>
        <w:spacing w:line="480" w:lineRule="exact"/>
        <w:rPr>
          <w:rFonts w:hint="eastAsia"/>
        </w:rPr>
      </w:pPr>
      <w:r>
        <w:rPr>
          <w:rFonts w:hint="eastAsia"/>
        </w:rPr>
        <w:t xml:space="preserve">本项目 </w:t>
      </w:r>
      <w:r>
        <w:t xml:space="preserve">  </w:t>
      </w:r>
      <w:r>
        <w:rPr>
          <w:rFonts w:hint="eastAsia"/>
        </w:rPr>
        <w:t xml:space="preserve">☑不允许分包</w:t>
      </w:r>
      <w:r>
        <w:rPr>
          <w:rFonts w:hint="eastAsia"/>
        </w:rPr>
      </w:r>
      <w:r/>
    </w:p>
    <w:p>
      <w:pPr>
        <w:pStyle w:val="864"/>
        <w:spacing w:line="480" w:lineRule="exact"/>
        <w:rPr>
          <w:rFonts w:hint="eastAsia"/>
        </w:rPr>
      </w:pPr>
      <w:r>
        <w:rPr>
          <w:rFonts w:hint="eastAsia"/>
        </w:rPr>
        <w:t xml:space="preserve">    </w:t>
      </w:r>
      <w:r>
        <w:t xml:space="preserve">    </w:t>
      </w:r>
      <w:r>
        <w:rPr>
          <w:rFonts w:hint="eastAsia"/>
        </w:rPr>
        <w:t xml:space="preserve"> □允许分包，分包要求：  </w:t>
      </w:r>
      <w:r>
        <w:rPr>
          <w:rFonts w:hint="eastAsia"/>
        </w:rPr>
      </w:r>
      <w:r/>
    </w:p>
    <w:p>
      <w:pPr>
        <w:pStyle w:val="864"/>
        <w:spacing w:line="480" w:lineRule="exact"/>
        <w:rPr>
          <w:rFonts w:hint="eastAsia"/>
        </w:rPr>
      </w:pPr>
      <w:r>
        <w:rPr>
          <w:rFonts w:hint="eastAsia"/>
        </w:rPr>
        <w:t xml:space="preserve">1.3投标费用</w:t>
      </w:r>
      <w:r>
        <w:rPr>
          <w:rFonts w:hint="eastAsia"/>
        </w:rPr>
      </w:r>
      <w:r/>
    </w:p>
    <w:p>
      <w:pPr>
        <w:pStyle w:val="864"/>
        <w:spacing w:line="480" w:lineRule="exact"/>
        <w:rPr>
          <w:rFonts w:hint="eastAsia"/>
        </w:rPr>
      </w:pPr>
      <w:r>
        <w:rPr>
          <w:rFonts w:hint="eastAsia"/>
        </w:rPr>
        <w:t xml:space="preserve">1.3.1供应商应自行承担所有准备及参加投标的相关费用。不论投标结果如何，采购人及采购代理机构在任何情况下均无义务也无责任承担这些费用。</w:t>
      </w:r>
      <w:r>
        <w:rPr>
          <w:rFonts w:hint="eastAsia"/>
        </w:rPr>
      </w:r>
      <w:r/>
    </w:p>
    <w:p>
      <w:pPr>
        <w:pStyle w:val="864"/>
        <w:spacing w:line="480" w:lineRule="exact"/>
        <w:rPr>
          <w:rFonts w:hint="eastAsia"/>
        </w:rPr>
      </w:pPr>
      <w:r>
        <w:rPr>
          <w:rFonts w:hint="eastAsia"/>
        </w:rPr>
        <w:t xml:space="preserve">1.3.2本次招标项目由苏州市永诚建设咨询有限公司代理，不收取招标文件费用。</w:t>
      </w:r>
      <w:r>
        <w:rPr>
          <w:rFonts w:hint="eastAsia"/>
        </w:rPr>
      </w:r>
      <w:r/>
    </w:p>
    <w:p>
      <w:pPr>
        <w:pStyle w:val="864"/>
        <w:spacing w:line="480" w:lineRule="exact"/>
        <w:rPr>
          <w:rFonts w:hint="eastAsia"/>
        </w:rPr>
      </w:pPr>
      <w:r>
        <w:rPr>
          <w:rFonts w:hint="eastAsia"/>
        </w:rPr>
        <w:t xml:space="preserve">1.3.3中标服务费及收费标准：见投标须知前附表。</w:t>
      </w:r>
      <w:r>
        <w:rPr>
          <w:rFonts w:hint="eastAsia"/>
        </w:rPr>
      </w:r>
      <w:r/>
    </w:p>
    <w:p>
      <w:pPr>
        <w:pStyle w:val="864"/>
        <w:spacing w:line="480" w:lineRule="exact"/>
        <w:rPr>
          <w:rFonts w:hint="eastAsia"/>
          <w:b/>
        </w:rPr>
      </w:pPr>
      <w:r>
        <w:rPr>
          <w:rFonts w:hint="eastAsia"/>
          <w:b/>
        </w:rPr>
        <w:t xml:space="preserve">服务费交纳账户：苏州市永诚建设咨询有限公司</w:t>
      </w:r>
      <w:r>
        <w:rPr>
          <w:rFonts w:hint="eastAsia"/>
          <w:b/>
        </w:rPr>
      </w:r>
      <w:r/>
    </w:p>
    <w:p>
      <w:pPr>
        <w:pStyle w:val="864"/>
        <w:spacing w:line="480" w:lineRule="exact"/>
        <w:rPr>
          <w:rFonts w:hint="eastAsia"/>
          <w:b/>
        </w:rPr>
      </w:pPr>
      <w:r>
        <w:rPr>
          <w:rFonts w:hint="eastAsia"/>
          <w:b/>
        </w:rPr>
        <w:t xml:space="preserve">账号：7066602001120149002568</w:t>
      </w:r>
      <w:r>
        <w:rPr>
          <w:rFonts w:hint="eastAsia"/>
          <w:b/>
        </w:rPr>
      </w:r>
      <w:r/>
    </w:p>
    <w:p>
      <w:pPr>
        <w:pStyle w:val="864"/>
        <w:spacing w:line="480" w:lineRule="exact"/>
        <w:rPr>
          <w:b/>
        </w:rPr>
      </w:pPr>
      <w:r>
        <w:rPr>
          <w:rFonts w:hint="eastAsia"/>
          <w:b/>
        </w:rPr>
        <w:t xml:space="preserve">开户银行：苏州银行股份有限公司苏州分行</w:t>
      </w:r>
      <w:r>
        <w:rPr>
          <w:b/>
        </w:rPr>
      </w:r>
      <w:r/>
    </w:p>
    <w:p>
      <w:pPr>
        <w:pStyle w:val="864"/>
        <w:spacing w:line="480" w:lineRule="exact"/>
        <w:rPr>
          <w:rFonts w:hint="eastAsia"/>
        </w:rPr>
      </w:pPr>
      <w:r>
        <w:rPr>
          <w:rFonts w:hint="eastAsia"/>
        </w:rPr>
        <w:t xml:space="preserve">1.4保密</w:t>
      </w:r>
      <w:r>
        <w:rPr>
          <w:rFonts w:hint="eastAsia"/>
        </w:rPr>
      </w:r>
      <w:r/>
    </w:p>
    <w:p>
      <w:pPr>
        <w:pStyle w:val="864"/>
        <w:spacing w:line="480" w:lineRule="exact"/>
        <w:rPr>
          <w:rFonts w:hint="eastAsia"/>
        </w:rPr>
      </w:pPr>
      <w:r>
        <w:rPr>
          <w:rFonts w:hint="eastAsia"/>
        </w:rPr>
        <w:t xml:space="preserve">参与采购活动的各方应对招标文件和投标文件中的商业和技术等秘密保密，否则应承担相应的法律责任。</w:t>
      </w:r>
      <w:r>
        <w:rPr>
          <w:rFonts w:hint="eastAsia"/>
        </w:rPr>
      </w:r>
      <w:r/>
    </w:p>
    <w:p>
      <w:pPr>
        <w:pStyle w:val="864"/>
        <w:spacing w:line="480" w:lineRule="exact"/>
        <w:rPr>
          <w:rFonts w:hint="eastAsia"/>
        </w:rPr>
      </w:pPr>
      <w:r>
        <w:rPr>
          <w:rFonts w:hint="eastAsia"/>
        </w:rPr>
        <w:t xml:space="preserve">1.5语言文字</w:t>
      </w:r>
      <w:r>
        <w:rPr>
          <w:rFonts w:hint="eastAsia"/>
        </w:rPr>
      </w:r>
      <w:r/>
    </w:p>
    <w:p>
      <w:pPr>
        <w:pStyle w:val="864"/>
        <w:spacing w:line="480" w:lineRule="exact"/>
        <w:rPr>
          <w:rFonts w:hint="eastAsia"/>
        </w:rPr>
      </w:pPr>
      <w:r>
        <w:rPr>
          <w:rFonts w:hint="eastAsia"/>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rPr>
          <w:rFonts w:hint="eastAsia"/>
        </w:rPr>
      </w:r>
      <w:r/>
    </w:p>
    <w:p>
      <w:pPr>
        <w:pStyle w:val="864"/>
        <w:spacing w:line="480" w:lineRule="exact"/>
        <w:rPr>
          <w:rFonts w:hint="eastAsia"/>
        </w:rPr>
      </w:pPr>
      <w:r>
        <w:rPr>
          <w:rFonts w:hint="eastAsia"/>
        </w:rPr>
        <w:t xml:space="preserve">1.6计量单位</w:t>
      </w:r>
      <w:r>
        <w:rPr>
          <w:rFonts w:hint="eastAsia"/>
        </w:rPr>
      </w:r>
      <w:r/>
    </w:p>
    <w:p>
      <w:pPr>
        <w:pStyle w:val="864"/>
        <w:spacing w:line="480" w:lineRule="exact"/>
        <w:rPr>
          <w:rFonts w:hint="eastAsia"/>
        </w:rPr>
      </w:pPr>
      <w:r>
        <w:rPr>
          <w:rFonts w:hint="eastAsia"/>
        </w:rPr>
        <w:t xml:space="preserve">除招标文件有特殊要求外，所有计量均采用中华人民共和国法定计量单位。</w:t>
      </w:r>
      <w:r>
        <w:rPr>
          <w:rFonts w:hint="eastAsia"/>
        </w:rPr>
      </w:r>
      <w:r/>
    </w:p>
    <w:p>
      <w:pPr>
        <w:pStyle w:val="864"/>
        <w:spacing w:line="480" w:lineRule="exact"/>
        <w:rPr>
          <w:rFonts w:hint="eastAsia"/>
        </w:rPr>
      </w:pPr>
      <w:r>
        <w:rPr>
          <w:rFonts w:hint="eastAsia"/>
        </w:rPr>
        <w:t xml:space="preserve">1.7知识产权</w:t>
      </w:r>
      <w:r>
        <w:rPr>
          <w:rFonts w:hint="eastAsia"/>
        </w:rPr>
      </w:r>
      <w:r/>
    </w:p>
    <w:p>
      <w:pPr>
        <w:pStyle w:val="864"/>
        <w:spacing w:line="480" w:lineRule="exact"/>
        <w:rPr>
          <w:rFonts w:hint="eastAsia"/>
        </w:rPr>
      </w:pPr>
      <w:r>
        <w:rPr>
          <w:rFonts w:hint="eastAsia"/>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rPr>
      </w:r>
      <w:r/>
    </w:p>
    <w:p>
      <w:pPr>
        <w:pStyle w:val="864"/>
        <w:spacing w:line="480" w:lineRule="exact"/>
        <w:rPr>
          <w:rFonts w:hint="eastAsia"/>
        </w:rPr>
      </w:pPr>
      <w:r>
        <w:rPr>
          <w:rFonts w:hint="eastAsia"/>
        </w:rPr>
        <w:t xml:space="preserve">1.8现场踏勘</w:t>
      </w:r>
      <w:r>
        <w:rPr>
          <w:rFonts w:hint="eastAsia"/>
        </w:rPr>
      </w:r>
      <w:r/>
    </w:p>
    <w:p>
      <w:pPr>
        <w:pStyle w:val="864"/>
        <w:spacing w:line="480" w:lineRule="exact"/>
        <w:rPr>
          <w:rFonts w:hint="eastAsia"/>
        </w:rPr>
      </w:pPr>
      <w:r>
        <w:rPr>
          <w:rFonts w:hint="eastAsia"/>
        </w:rPr>
        <w:t xml:space="preserve">供应商可自行对有关现场和周围环境进行踏勘，以获取编制投标文件和签署合同所需的信息，踏勘现场所发生的费用由供应商自己承担。</w:t>
      </w:r>
      <w:r>
        <w:rPr>
          <w:rFonts w:hint="eastAsia"/>
        </w:rPr>
      </w:r>
      <w:r/>
    </w:p>
    <w:p>
      <w:pPr>
        <w:pStyle w:val="864"/>
        <w:spacing w:line="480" w:lineRule="exact"/>
        <w:rPr>
          <w:rFonts w:hint="eastAsia"/>
        </w:rPr>
      </w:pPr>
      <w:r>
        <w:rPr>
          <w:rFonts w:hint="eastAsia"/>
        </w:rPr>
        <w:t xml:space="preserve">1.9集中现场考察</w:t>
      </w:r>
      <w:r>
        <w:rPr>
          <w:rFonts w:hint="eastAsia"/>
        </w:rPr>
      </w:r>
      <w:r/>
    </w:p>
    <w:p>
      <w:pPr>
        <w:pStyle w:val="864"/>
        <w:spacing w:line="480" w:lineRule="exact"/>
        <w:rPr>
          <w:rFonts w:hint="eastAsia"/>
        </w:rPr>
      </w:pPr>
      <w:r>
        <w:rPr>
          <w:rFonts w:hint="eastAsia"/>
        </w:rPr>
        <w:t xml:space="preserve">本项目按以下第  ①  种方式组织集中现场考察：</w:t>
      </w:r>
      <w:r>
        <w:rPr>
          <w:rFonts w:hint="eastAsia"/>
        </w:rPr>
      </w:r>
      <w:r/>
    </w:p>
    <w:p>
      <w:pPr>
        <w:pStyle w:val="864"/>
        <w:spacing w:line="480" w:lineRule="exact"/>
        <w:rPr>
          <w:rFonts w:hint="eastAsia"/>
        </w:rPr>
      </w:pPr>
      <w:r>
        <w:rPr>
          <w:rFonts w:hint="eastAsia"/>
        </w:rPr>
        <w:t xml:space="preserve">①采购人不组织集中现场考察；</w:t>
      </w:r>
      <w:r>
        <w:rPr>
          <w:rFonts w:hint="eastAsia"/>
        </w:rPr>
      </w:r>
      <w:r/>
    </w:p>
    <w:p>
      <w:pPr>
        <w:pStyle w:val="864"/>
        <w:spacing w:line="480" w:lineRule="exact"/>
        <w:rPr>
          <w:rFonts w:hint="eastAsia"/>
        </w:rPr>
      </w:pPr>
      <w:r>
        <w:rPr>
          <w:rFonts w:hint="eastAsia"/>
        </w:rPr>
        <w:t xml:space="preserve">②采购人组织集中现场考察，请供应商持在”苏采云”系统中下载本项目采购文件的《投标供应商确认函》，按以下时间地点参加集中现场考察：</w:t>
      </w:r>
      <w:r>
        <w:rPr>
          <w:rFonts w:hint="eastAsia"/>
        </w:rPr>
      </w:r>
      <w:r/>
    </w:p>
    <w:p>
      <w:pPr>
        <w:pStyle w:val="864"/>
        <w:spacing w:line="480" w:lineRule="exact"/>
        <w:rPr>
          <w:rFonts w:hint="eastAsia"/>
        </w:rPr>
      </w:pPr>
      <w:r>
        <w:rPr>
          <w:rFonts w:hint="eastAsia"/>
        </w:rPr>
        <w:t xml:space="preserve">集合时间：   /年/月/日/时/分（北京时间）；</w:t>
      </w:r>
      <w:r>
        <w:rPr>
          <w:rFonts w:hint="eastAsia"/>
        </w:rPr>
      </w:r>
      <w:r/>
    </w:p>
    <w:p>
      <w:pPr>
        <w:pStyle w:val="864"/>
        <w:spacing w:line="480" w:lineRule="exact"/>
        <w:rPr>
          <w:rFonts w:hint="eastAsia"/>
        </w:rPr>
      </w:pPr>
      <w:r>
        <w:rPr>
          <w:rFonts w:hint="eastAsia"/>
        </w:rPr>
        <w:t xml:space="preserve">集合地点：    /     。</w:t>
      </w:r>
      <w:r>
        <w:rPr>
          <w:rFonts w:hint="eastAsia"/>
        </w:rPr>
      </w:r>
      <w:r/>
    </w:p>
    <w:p>
      <w:pPr>
        <w:pStyle w:val="864"/>
        <w:spacing w:line="480" w:lineRule="exact"/>
        <w:rPr>
          <w:rFonts w:hint="eastAsia"/>
        </w:rPr>
      </w:pPr>
      <w:r>
        <w:rPr>
          <w:rFonts w:hint="eastAsia"/>
        </w:rPr>
        <w:t xml:space="preserve">联系人：    /     ；联系电话：    /     。</w:t>
      </w:r>
      <w:r>
        <w:rPr>
          <w:rFonts w:hint="eastAsia"/>
        </w:rPr>
      </w:r>
      <w:r/>
    </w:p>
    <w:p>
      <w:pPr>
        <w:pStyle w:val="864"/>
        <w:spacing w:line="480" w:lineRule="exact"/>
        <w:rPr>
          <w:rFonts w:hint="eastAsia"/>
        </w:rPr>
      </w:pPr>
      <w:r>
        <w:rPr>
          <w:rFonts w:hint="eastAsia"/>
        </w:rPr>
        <w:t xml:space="preserve">请供应商安排好行程，不得迟到。未提供《投标供应商确认函》或迟到者，恕不接待。</w:t>
      </w:r>
      <w:r>
        <w:rPr>
          <w:rFonts w:hint="eastAsia"/>
        </w:rPr>
      </w:r>
      <w:r/>
    </w:p>
    <w:p>
      <w:pPr>
        <w:pStyle w:val="864"/>
        <w:spacing w:line="480" w:lineRule="exact"/>
        <w:rPr>
          <w:rFonts w:hint="eastAsia"/>
        </w:rPr>
      </w:pPr>
      <w:r>
        <w:rPr>
          <w:rFonts w:hint="eastAsia"/>
        </w:rPr>
        <w:t xml:space="preserve">（1）根据自身投标需要，供应商可对项目相关情况进行考察，以获取编制投标文件和签署合同所需的信息。考察现场所发生的费用由供应商自己承担。</w:t>
      </w:r>
      <w:r>
        <w:rPr>
          <w:rFonts w:hint="eastAsia"/>
        </w:rPr>
      </w:r>
      <w:r/>
    </w:p>
    <w:p>
      <w:pPr>
        <w:pStyle w:val="864"/>
        <w:spacing w:line="480" w:lineRule="exact"/>
        <w:rPr>
          <w:rFonts w:hint="eastAsia"/>
        </w:rPr>
      </w:pPr>
      <w:r>
        <w:rPr>
          <w:rFonts w:hint="eastAsia"/>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rPr>
          <w:rFonts w:hint="eastAsia"/>
        </w:rPr>
      </w:r>
      <w:r/>
    </w:p>
    <w:p>
      <w:pPr>
        <w:pStyle w:val="864"/>
        <w:spacing w:line="480" w:lineRule="exact"/>
        <w:rPr>
          <w:rFonts w:hint="eastAsia"/>
        </w:rPr>
      </w:pPr>
      <w:r>
        <w:rPr>
          <w:rFonts w:hint="eastAsia"/>
        </w:rPr>
        <w:t xml:space="preserve">（3）经采购人允许，供应商可为考察目的进入采购人的项目现场，但供应商不得因此使采购人承担有关的责任和蒙受损失。供应商应承担考察现场的责任和风险。</w:t>
      </w:r>
      <w:r>
        <w:rPr>
          <w:rFonts w:hint="eastAsia"/>
        </w:rPr>
      </w:r>
      <w:r/>
    </w:p>
    <w:p>
      <w:pPr>
        <w:pStyle w:val="864"/>
        <w:spacing w:line="480" w:lineRule="exact"/>
        <w:rPr>
          <w:rFonts w:hint="eastAsia"/>
        </w:rPr>
      </w:pPr>
      <w:r>
        <w:rPr>
          <w:rFonts w:hint="eastAsia"/>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rPr>
          <w:rFonts w:hint="eastAsia"/>
        </w:rPr>
      </w:r>
      <w:r/>
    </w:p>
    <w:p>
      <w:pPr>
        <w:pStyle w:val="864"/>
        <w:spacing w:line="480" w:lineRule="exact"/>
        <w:rPr>
          <w:rFonts w:hint="eastAsia"/>
        </w:rPr>
      </w:pPr>
      <w:r>
        <w:rPr>
          <w:rFonts w:hint="eastAsia"/>
        </w:rPr>
        <w:t xml:space="preserve">（5）由于未进行现场考察造成的任何问题由供应商自行承担。</w:t>
      </w:r>
      <w:r>
        <w:rPr>
          <w:rFonts w:hint="eastAsia"/>
        </w:rPr>
      </w:r>
      <w:r/>
    </w:p>
    <w:p>
      <w:pPr>
        <w:pStyle w:val="864"/>
        <w:spacing w:line="480" w:lineRule="exact"/>
        <w:rPr>
          <w:rFonts w:hint="eastAsia"/>
        </w:rPr>
      </w:pPr>
      <w:r>
        <w:rPr>
          <w:rFonts w:hint="eastAsia"/>
        </w:rPr>
        <w:t xml:space="preserve">1.10法律适用</w:t>
      </w:r>
      <w:r>
        <w:rPr>
          <w:rFonts w:hint="eastAsia"/>
        </w:rPr>
      </w:r>
      <w:r/>
    </w:p>
    <w:p>
      <w:pPr>
        <w:pStyle w:val="864"/>
        <w:spacing w:line="480" w:lineRule="exact"/>
        <w:rPr>
          <w:rFonts w:hint="eastAsia"/>
        </w:rPr>
      </w:pPr>
      <w:r>
        <w:rPr>
          <w:rFonts w:hint="eastAsia"/>
        </w:rPr>
        <w:t xml:space="preserve">本次招标活动及因本次招标产生的合同受中华人民共和国有关的法律法规制约和保护。</w:t>
      </w:r>
      <w:r>
        <w:rPr>
          <w:rFonts w:hint="eastAsia"/>
        </w:rPr>
      </w:r>
      <w:r/>
    </w:p>
    <w:p>
      <w:pPr>
        <w:pStyle w:val="864"/>
        <w:spacing w:line="480" w:lineRule="exact"/>
        <w:rPr>
          <w:rFonts w:hint="eastAsia"/>
        </w:rPr>
      </w:pPr>
      <w:r>
        <w:rPr>
          <w:rFonts w:hint="eastAsia"/>
        </w:rPr>
        <w:t xml:space="preserve">2招标文件的说明</w:t>
      </w:r>
      <w:r>
        <w:rPr>
          <w:rFonts w:hint="eastAsia"/>
        </w:rPr>
      </w:r>
      <w:r/>
    </w:p>
    <w:p>
      <w:pPr>
        <w:pStyle w:val="864"/>
        <w:spacing w:line="480" w:lineRule="exact"/>
        <w:rPr>
          <w:rFonts w:hint="eastAsia"/>
        </w:rPr>
      </w:pPr>
      <w:r>
        <w:rPr>
          <w:rFonts w:hint="eastAsia"/>
        </w:rPr>
        <w:t xml:space="preserve">2.1招标文件的获取</w:t>
      </w:r>
      <w:r>
        <w:rPr>
          <w:rFonts w:hint="eastAsia"/>
        </w:rPr>
      </w:r>
      <w:r/>
    </w:p>
    <w:p>
      <w:pPr>
        <w:pStyle w:val="864"/>
        <w:spacing w:line="480" w:lineRule="exact"/>
        <w:rPr>
          <w:rFonts w:hint="eastAsia"/>
        </w:rPr>
      </w:pPr>
      <w:r>
        <w:rPr>
          <w:rFonts w:hint="eastAsia"/>
        </w:rPr>
        <w:t xml:space="preserve">见第一章招标公告</w:t>
      </w:r>
      <w:r>
        <w:rPr>
          <w:rFonts w:hint="eastAsia"/>
        </w:rPr>
      </w:r>
      <w:r/>
    </w:p>
    <w:p>
      <w:pPr>
        <w:pStyle w:val="864"/>
        <w:spacing w:line="480" w:lineRule="exact"/>
        <w:rPr>
          <w:rFonts w:hint="eastAsia"/>
        </w:rPr>
      </w:pPr>
      <w:r>
        <w:rPr>
          <w:rFonts w:hint="eastAsia"/>
        </w:rPr>
        <w:t xml:space="preserve">2.2招标文件的询问</w:t>
      </w:r>
      <w:r>
        <w:rPr>
          <w:rFonts w:hint="eastAsia"/>
        </w:rPr>
      </w:r>
      <w:r/>
    </w:p>
    <w:p>
      <w:pPr>
        <w:pStyle w:val="864"/>
        <w:spacing w:line="480" w:lineRule="exact"/>
        <w:rPr>
          <w:rFonts w:hint="eastAsia"/>
        </w:rPr>
      </w:pPr>
      <w:r>
        <w:rPr>
          <w:rFonts w:hint="eastAsia"/>
        </w:rPr>
        <w:t xml:space="preserve">投标人在收到招标文件后，若有问题需要询问，应于下载招标文件后，可通过公告中的联系方式及时提出，采购人或采购代理机构将予以解答。</w:t>
      </w:r>
      <w:r>
        <w:rPr>
          <w:rFonts w:hint="eastAsia"/>
        </w:rPr>
      </w:r>
      <w:r/>
    </w:p>
    <w:p>
      <w:pPr>
        <w:pStyle w:val="864"/>
        <w:spacing w:line="480" w:lineRule="exact"/>
        <w:rPr>
          <w:rFonts w:hint="eastAsia"/>
        </w:rPr>
      </w:pPr>
      <w:r>
        <w:rPr>
          <w:rFonts w:hint="eastAsia"/>
        </w:rPr>
        <w:t xml:space="preserve">2.3招标文件的澄清或修改</w:t>
      </w:r>
      <w:r>
        <w:rPr>
          <w:rFonts w:hint="eastAsia"/>
        </w:rPr>
      </w:r>
      <w:r/>
    </w:p>
    <w:p>
      <w:pPr>
        <w:pStyle w:val="864"/>
        <w:spacing w:line="480" w:lineRule="exact"/>
        <w:rPr>
          <w:rFonts w:hint="eastAsia"/>
        </w:rPr>
      </w:pPr>
      <w:r>
        <w:rPr>
          <w:rFonts w:hint="eastAsia"/>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rPr>
          <w:rFonts w:hint="eastAsia"/>
        </w:rPr>
      </w:r>
      <w:r/>
    </w:p>
    <w:p>
      <w:pPr>
        <w:pStyle w:val="864"/>
        <w:spacing w:line="480" w:lineRule="exact"/>
        <w:rPr>
          <w:rFonts w:hint="eastAsia"/>
        </w:rPr>
      </w:pPr>
      <w:r>
        <w:rPr>
          <w:rFonts w:hint="eastAsia"/>
        </w:rPr>
        <w:t xml:space="preserve">（2）为保证投标人有足够时间修正投标文件，或出于其他合理原因，采购代理机构可依法顺延投标截止时间和开标时间。</w:t>
      </w:r>
      <w:r>
        <w:rPr>
          <w:rFonts w:hint="eastAsia"/>
        </w:rPr>
      </w:r>
      <w:r/>
    </w:p>
    <w:p>
      <w:pPr>
        <w:pStyle w:val="864"/>
        <w:spacing w:line="480" w:lineRule="exact"/>
        <w:rPr>
          <w:rFonts w:hint="eastAsia"/>
        </w:rPr>
      </w:pPr>
      <w:r>
        <w:rPr>
          <w:rFonts w:hint="eastAsia"/>
        </w:rPr>
        <w:t xml:space="preserve">（3）投标人应及时关注政府采购信息发布媒体上发布的更正（补充）公告，同时在“苏采云”系统中下载更正（补充）资料，如有遗漏（包括但不限于文件未下载或下载不完整），可能无法解密投标（响应）文件，由此所造成的投标失败或损失由投标供应商自行负责。</w:t>
      </w:r>
      <w:r>
        <w:rPr>
          <w:rFonts w:hint="eastAsia"/>
        </w:rPr>
      </w:r>
      <w:r/>
    </w:p>
    <w:p>
      <w:pPr>
        <w:pStyle w:val="864"/>
        <w:spacing w:line="480" w:lineRule="exact"/>
        <w:rPr>
          <w:rFonts w:hint="eastAsia"/>
        </w:rPr>
      </w:pPr>
      <w:r>
        <w:rPr>
          <w:rFonts w:hint="eastAsia"/>
        </w:rPr>
        <w:t xml:space="preserve">2.4招标文件的约束力</w:t>
      </w:r>
      <w:r>
        <w:rPr>
          <w:rFonts w:hint="eastAsia"/>
        </w:rPr>
      </w:r>
      <w:r/>
    </w:p>
    <w:p>
      <w:pPr>
        <w:pStyle w:val="864"/>
        <w:spacing w:line="480" w:lineRule="exact"/>
        <w:rPr>
          <w:rFonts w:hint="eastAsia"/>
        </w:rPr>
      </w:pPr>
      <w:r>
        <w:rPr>
          <w:rFonts w:hint="eastAsia"/>
        </w:rPr>
        <w:t xml:space="preserve">（1）投标人一旦参加本项目采购活动，即被认为接受了本招标文件的规定和约束。</w:t>
      </w:r>
      <w:r>
        <w:rPr>
          <w:rFonts w:hint="eastAsia"/>
        </w:rPr>
      </w:r>
      <w:r/>
    </w:p>
    <w:p>
      <w:pPr>
        <w:pStyle w:val="864"/>
        <w:spacing w:line="480" w:lineRule="exact"/>
        <w:rPr>
          <w:rFonts w:hint="eastAsia"/>
        </w:rPr>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rPr>
          <w:rFonts w:hint="eastAsia"/>
        </w:rPr>
      </w:r>
      <w:r/>
    </w:p>
    <w:p>
      <w:pPr>
        <w:pStyle w:val="864"/>
        <w:spacing w:line="480" w:lineRule="exact"/>
        <w:rPr>
          <w:rFonts w:hint="eastAsia"/>
        </w:rPr>
      </w:pPr>
      <w:r>
        <w:rPr>
          <w:rFonts w:hint="eastAsia"/>
        </w:rPr>
        <w:t xml:space="preserve">3投标文件的说明</w:t>
      </w:r>
      <w:r>
        <w:rPr>
          <w:rFonts w:hint="eastAsia"/>
        </w:rPr>
      </w:r>
      <w:r/>
    </w:p>
    <w:p>
      <w:pPr>
        <w:pStyle w:val="864"/>
        <w:spacing w:line="480" w:lineRule="exact"/>
        <w:rPr>
          <w:rFonts w:hint="eastAsia"/>
        </w:rPr>
      </w:pPr>
      <w:r>
        <w:rPr>
          <w:rFonts w:hint="eastAsia"/>
        </w:rPr>
        <w:t xml:space="preserve">投标人应详细阅读招标文件的全部内容，不按招标文件的要求提供的投标文件和资料，其风险由投标人自行承担，并根据有关条款规定，可能导致投标无效。</w:t>
      </w:r>
      <w:r>
        <w:rPr>
          <w:rFonts w:hint="eastAsia"/>
        </w:rPr>
      </w:r>
      <w:r/>
    </w:p>
    <w:p>
      <w:pPr>
        <w:pStyle w:val="864"/>
        <w:spacing w:line="480" w:lineRule="exact"/>
      </w:pPr>
      <w:r>
        <w:rPr>
          <w:rFonts w:hint="eastAsia"/>
        </w:rPr>
        <w:t xml:space="preserve">3.1电子投标文件的组成</w:t>
      </w:r>
      <w:r/>
    </w:p>
    <w:p>
      <w:pPr>
        <w:pStyle w:val="864"/>
        <w:ind w:firstLine="210"/>
        <w:spacing w:after="120" w:line="360" w:lineRule="auto"/>
        <w:rPr>
          <w:rFonts w:ascii="Calibri" w:hAnsi="Calibri"/>
          <w:szCs w:val="22"/>
        </w:rPr>
      </w:pPr>
      <w:r>
        <w:rPr>
          <w:rFonts w:hint="eastAsia"/>
          <w:szCs w:val="22"/>
        </w:rPr>
        <w:t xml:space="preserve">1</w:t>
      </w:r>
      <w:r>
        <w:rPr>
          <w:rFonts w:ascii="Calibri" w:hAnsi="Calibri"/>
          <w:szCs w:val="22"/>
        </w:rPr>
        <w:t xml:space="preserve">、</w:t>
      </w:r>
      <w:r>
        <w:rPr>
          <w:rFonts w:hint="eastAsia" w:ascii="Calibri" w:hAnsi="Calibri"/>
          <w:szCs w:val="22"/>
        </w:rPr>
        <w:t xml:space="preserve">资格审查材料</w:t>
      </w:r>
      <w:r>
        <w:rPr>
          <w:rFonts w:ascii="Calibri" w:hAnsi="Calibri"/>
          <w:szCs w:val="22"/>
        </w:rPr>
      </w:r>
      <w:r/>
    </w:p>
    <w:p>
      <w:pPr>
        <w:pStyle w:val="864"/>
        <w:ind w:firstLine="420"/>
        <w:spacing w:line="360" w:lineRule="auto"/>
        <w:widowControl/>
        <w:rPr>
          <w:rFonts w:ascii="Calibri" w:hAnsi="Calibri"/>
          <w:szCs w:val="22"/>
        </w:rPr>
      </w:pPr>
      <w:r>
        <w:rPr>
          <w:rFonts w:hint="eastAsia" w:ascii="Calibri" w:hAnsi="Calibri"/>
          <w:szCs w:val="22"/>
        </w:rPr>
        <w:t xml:space="preserve">（1）</w:t>
      </w:r>
      <w:r>
        <w:rPr>
          <w:rFonts w:hint="eastAsia" w:ascii="宋体" w:hAnsi="宋体"/>
          <w:szCs w:val="21"/>
        </w:rPr>
        <w:t xml:space="preserve">具有独立承担民事责任的能力：</w:t>
      </w:r>
      <w:r>
        <w:rPr>
          <w:rFonts w:ascii="Calibri" w:hAnsi="Calibri"/>
          <w:szCs w:val="22"/>
        </w:rPr>
        <w:t xml:space="preserve">法人或者其他组织的营业执照等证明文件，自然人的身份证明；</w:t>
      </w:r>
      <w:r>
        <w:rPr>
          <w:rFonts w:ascii="Calibri" w:hAnsi="Calibri"/>
          <w:szCs w:val="22"/>
        </w:rPr>
      </w:r>
      <w:r/>
    </w:p>
    <w:p>
      <w:pPr>
        <w:pStyle w:val="864"/>
        <w:ind w:firstLine="420"/>
        <w:spacing w:line="360" w:lineRule="auto"/>
        <w:widowControl/>
        <w:rPr>
          <w:rFonts w:ascii="Calibri" w:hAnsi="Calibri"/>
          <w:szCs w:val="22"/>
          <w:highlight w:val="none"/>
        </w:rPr>
      </w:pPr>
      <w:r>
        <w:rPr>
          <w:rFonts w:hint="eastAsia" w:ascii="Calibri" w:hAnsi="Calibri"/>
          <w:szCs w:val="22"/>
        </w:rPr>
        <w:t xml:space="preserve">（2）具有良好的商业信誉和健全的财务会计制度证明：</w:t>
      </w:r>
      <w:r>
        <w:rPr>
          <w:rFonts w:hint="eastAsia" w:ascii="Calibri" w:hAnsi="Calibri"/>
          <w:szCs w:val="22"/>
          <w:highlight w:val="none"/>
        </w:rPr>
        <w:t xml:space="preserve">包括但不限于</w:t>
      </w:r>
      <w:r>
        <w:rPr>
          <w:rFonts w:hint="eastAsia" w:ascii="Calibri" w:hAnsi="Calibri"/>
          <w:szCs w:val="22"/>
          <w:highlight w:val="none"/>
          <w:lang w:val="en-US" w:eastAsia="zh-CN"/>
        </w:rPr>
        <w:t xml:space="preserve">2024年或2025年经审计</w:t>
      </w:r>
      <w:r>
        <w:rPr>
          <w:rFonts w:hint="eastAsia" w:ascii="Calibri" w:hAnsi="Calibri"/>
          <w:szCs w:val="22"/>
          <w:highlight w:val="none"/>
        </w:rPr>
        <w:t xml:space="preserve">的财务报告，其他组织、自然人及成立未满一年的法人应提供基本开户银行出具的资信证明；</w:t>
      </w:r>
      <w:r>
        <w:rPr>
          <w:rFonts w:ascii="Calibri" w:hAnsi="Calibri"/>
          <w:szCs w:val="22"/>
          <w:highlight w:val="none"/>
        </w:rPr>
      </w:r>
      <w:r/>
    </w:p>
    <w:p>
      <w:pPr>
        <w:pStyle w:val="864"/>
        <w:ind w:firstLine="420"/>
        <w:spacing w:line="360" w:lineRule="auto"/>
        <w:widowControl/>
        <w:rPr>
          <w:rFonts w:ascii="Calibri" w:hAnsi="Calibri"/>
          <w:szCs w:val="22"/>
          <w:highlight w:val="none"/>
        </w:rPr>
      </w:pPr>
      <w:r>
        <w:rPr>
          <w:rFonts w:hint="eastAsia" w:ascii="Calibri" w:hAnsi="Calibri"/>
          <w:szCs w:val="22"/>
          <w:highlight w:val="none"/>
        </w:rPr>
        <w:t xml:space="preserve">（3）</w:t>
      </w:r>
      <w:r>
        <w:rPr>
          <w:rFonts w:ascii="Calibri" w:hAnsi="Calibri"/>
          <w:szCs w:val="22"/>
          <w:highlight w:val="none"/>
        </w:rPr>
        <w:t xml:space="preserve">具备履行合同所必备的设备和专业技术能力的证明材料</w:t>
      </w:r>
      <w:r>
        <w:rPr>
          <w:rFonts w:hint="eastAsia" w:ascii="Calibri" w:hAnsi="Calibri"/>
          <w:szCs w:val="22"/>
          <w:highlight w:val="none"/>
        </w:rPr>
        <w:t xml:space="preserve">或承诺函</w:t>
      </w:r>
      <w:r>
        <w:rPr>
          <w:rFonts w:ascii="Calibri" w:hAnsi="Calibri"/>
          <w:szCs w:val="22"/>
          <w:highlight w:val="none"/>
        </w:rPr>
        <w:t xml:space="preserve">。企业法人性质的政府采购供应商应在经工商管理部门核准登记注册的经营范围内参与经营活动；</w:t>
      </w:r>
      <w:r>
        <w:rPr>
          <w:rFonts w:ascii="Calibri" w:hAnsi="Calibri"/>
          <w:szCs w:val="22"/>
          <w:highlight w:val="none"/>
        </w:rPr>
      </w:r>
      <w:r/>
    </w:p>
    <w:p>
      <w:pPr>
        <w:pStyle w:val="864"/>
        <w:ind w:firstLine="420"/>
        <w:spacing w:line="360" w:lineRule="auto"/>
        <w:widowControl/>
        <w:rPr>
          <w:rFonts w:ascii="Calibri" w:hAnsi="Calibri"/>
          <w:szCs w:val="22"/>
        </w:rPr>
      </w:pPr>
      <w:r>
        <w:rPr>
          <w:rFonts w:hint="eastAsia" w:ascii="Calibri" w:hAnsi="Calibri"/>
          <w:szCs w:val="22"/>
          <w:highlight w:val="none"/>
        </w:rPr>
        <w:t xml:space="preserve">（4）</w:t>
      </w:r>
      <w:r>
        <w:rPr>
          <w:rFonts w:hint="eastAsia" w:ascii="宋体" w:hAnsi="宋体"/>
          <w:szCs w:val="21"/>
          <w:highlight w:val="none"/>
        </w:rPr>
        <w:t xml:space="preserve">有依法缴纳税收和社会保障资金的良好记录：提供</w:t>
      </w:r>
      <w:r>
        <w:rPr>
          <w:rFonts w:hint="eastAsia" w:ascii="Calibri" w:hAnsi="Calibri"/>
          <w:szCs w:val="22"/>
          <w:highlight w:val="none"/>
          <w:lang w:val="en-US" w:eastAsia="zh-CN"/>
        </w:rPr>
        <w:t xml:space="preserve">投标截止时间当月或上月</w:t>
      </w:r>
      <w:r>
        <w:rPr>
          <w:rFonts w:hint="eastAsia" w:ascii="Calibri" w:hAnsi="Calibri"/>
          <w:szCs w:val="22"/>
          <w:highlight w:val="none"/>
        </w:rPr>
        <w:t xml:space="preserve">的依法缴纳税收和社会保障资金的证明材料；依法免</w:t>
      </w:r>
      <w:r>
        <w:rPr>
          <w:rFonts w:hint="eastAsia" w:ascii="Calibri" w:hAnsi="Calibri"/>
          <w:szCs w:val="22"/>
        </w:rPr>
        <w:t xml:space="preserve">税或依法免缴社会保障资金的供应商，应提供相应证明材料</w:t>
      </w:r>
      <w:r>
        <w:rPr>
          <w:rFonts w:ascii="Calibri" w:hAnsi="Calibri"/>
          <w:szCs w:val="22"/>
        </w:rPr>
        <w:t xml:space="preserve">；</w:t>
      </w:r>
      <w:r>
        <w:rPr>
          <w:rFonts w:ascii="Calibri" w:hAnsi="Calibri"/>
          <w:szCs w:val="22"/>
        </w:rPr>
      </w:r>
      <w:r/>
    </w:p>
    <w:p>
      <w:pPr>
        <w:pStyle w:val="864"/>
        <w:ind w:firstLine="420"/>
        <w:spacing w:line="360" w:lineRule="auto"/>
        <w:widowControl/>
        <w:rPr>
          <w:rFonts w:ascii="Calibri" w:hAnsi="Calibri"/>
          <w:szCs w:val="22"/>
        </w:rPr>
      </w:pPr>
      <w:r>
        <w:rPr>
          <w:rFonts w:hint="eastAsia" w:ascii="Calibri" w:hAnsi="Calibri"/>
          <w:szCs w:val="22"/>
        </w:rPr>
        <w:t xml:space="preserve">（5）</w:t>
      </w:r>
      <w:r>
        <w:rPr>
          <w:rFonts w:ascii="Calibri" w:hAnsi="Calibri"/>
          <w:szCs w:val="22"/>
        </w:rPr>
        <w:t xml:space="preserve">参加政府采购活动前三年内在经营活动中没有重大违法记录的书面声明函（格式自拟）</w:t>
      </w:r>
      <w:r>
        <w:rPr>
          <w:rFonts w:hint="eastAsia" w:ascii="Calibri" w:hAnsi="Calibri"/>
          <w:szCs w:val="22"/>
        </w:rPr>
        <w:t xml:space="preserve">；</w:t>
      </w:r>
      <w:r>
        <w:rPr>
          <w:rFonts w:ascii="Calibri" w:hAnsi="Calibri"/>
          <w:szCs w:val="22"/>
        </w:rPr>
      </w:r>
      <w:r/>
    </w:p>
    <w:p>
      <w:pPr>
        <w:pStyle w:val="864"/>
        <w:ind w:firstLine="420"/>
        <w:spacing w:line="360" w:lineRule="auto"/>
        <w:widowControl/>
        <w:rPr>
          <w:rFonts w:ascii="Calibri" w:hAnsi="Calibri"/>
          <w:szCs w:val="22"/>
        </w:rPr>
      </w:pPr>
      <w:r>
        <w:rPr>
          <w:rFonts w:hint="eastAsia" w:ascii="Calibri" w:hAnsi="Calibri"/>
          <w:szCs w:val="22"/>
        </w:rPr>
        <w:t xml:space="preserve">（6）有效期内的《食品经营许可证》</w:t>
      </w:r>
      <w:r>
        <w:rPr>
          <w:rFonts w:hint="eastAsia" w:ascii="宋体" w:hAnsi="宋体" w:eastAsia="宋体" w:cs="宋体"/>
          <w:szCs w:val="21"/>
        </w:rPr>
        <w:t xml:space="preserve">或《食品生产许可证》</w:t>
      </w:r>
      <w:r>
        <w:rPr>
          <w:rFonts w:hint="eastAsia" w:ascii="Calibri" w:hAnsi="Calibri"/>
          <w:szCs w:val="22"/>
        </w:rPr>
        <w:t xml:space="preserve">；</w:t>
      </w:r>
      <w:r>
        <w:rPr>
          <w:rFonts w:ascii="Calibri" w:hAnsi="Calibri"/>
          <w:szCs w:val="22"/>
        </w:rPr>
      </w:r>
      <w:r/>
    </w:p>
    <w:p>
      <w:pPr>
        <w:pStyle w:val="864"/>
        <w:ind w:firstLine="420"/>
        <w:spacing w:line="360" w:lineRule="auto"/>
        <w:widowControl/>
        <w:rPr>
          <w:rFonts w:ascii="Calibri" w:hAnsi="Calibri"/>
          <w:szCs w:val="22"/>
        </w:rPr>
      </w:pPr>
      <w:r>
        <w:rPr>
          <w:rFonts w:hint="eastAsia" w:ascii="Calibri" w:hAnsi="Calibri"/>
          <w:szCs w:val="22"/>
        </w:rPr>
        <w:t xml:space="preserve">（7）中小企业声明函（格式见附件）或 残疾人福利性单位声明函（详见格式文件）或 省级以上监狱管理局、戒毒管理局（含新疆生产建设兵团）出具的属于监狱企业的证明文件。</w:t>
      </w:r>
      <w:r>
        <w:rPr>
          <w:rFonts w:ascii="Calibri" w:hAnsi="Calibri"/>
          <w:szCs w:val="22"/>
        </w:rPr>
      </w:r>
      <w:r/>
    </w:p>
    <w:p>
      <w:pPr>
        <w:pStyle w:val="864"/>
        <w:ind w:left="420"/>
        <w:spacing w:after="120"/>
        <w:rPr>
          <w:rFonts w:ascii="Calibri" w:hAnsi="Calibri"/>
          <w:szCs w:val="22"/>
        </w:rPr>
      </w:pPr>
      <w:r>
        <w:rPr>
          <w:rFonts w:hint="eastAsia" w:ascii="Calibri" w:hAnsi="Calibri"/>
          <w:szCs w:val="22"/>
        </w:rPr>
        <w:t xml:space="preserve">注：上述为资格审查材料，提供不全或者未按要求提供，视为资格审查不通过。</w:t>
      </w:r>
      <w:r>
        <w:rPr>
          <w:rFonts w:ascii="Calibri" w:hAnsi="Calibri"/>
          <w:szCs w:val="22"/>
        </w:rPr>
      </w:r>
      <w:r/>
    </w:p>
    <w:p>
      <w:pPr>
        <w:pStyle w:val="864"/>
        <w:ind w:firstLine="210"/>
        <w:spacing w:after="120"/>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符合性审查材料</w:t>
      </w:r>
      <w:r>
        <w:rPr>
          <w:rFonts w:ascii="宋体" w:hAnsi="宋体"/>
          <w:szCs w:val="21"/>
        </w:rPr>
      </w:r>
      <w:r/>
    </w:p>
    <w:p>
      <w:pPr>
        <w:pStyle w:val="864"/>
        <w:ind w:firstLine="420"/>
        <w:spacing w:line="360" w:lineRule="auto"/>
        <w:widowControl/>
        <w:rPr>
          <w:rFonts w:ascii="宋体" w:hAnsi="宋体"/>
          <w:szCs w:val="21"/>
        </w:rPr>
      </w:pPr>
      <w:r>
        <w:rPr>
          <w:rFonts w:hint="eastAsia" w:ascii="宋体" w:hAnsi="宋体"/>
          <w:szCs w:val="21"/>
        </w:rPr>
        <w:t xml:space="preserve">（1）投标函；</w:t>
      </w:r>
      <w:r>
        <w:rPr>
          <w:rFonts w:ascii="宋体" w:hAnsi="宋体"/>
          <w:szCs w:val="21"/>
        </w:rPr>
      </w:r>
      <w:r/>
    </w:p>
    <w:p>
      <w:pPr>
        <w:pStyle w:val="864"/>
        <w:ind w:firstLine="315"/>
        <w:spacing w:line="360" w:lineRule="auto"/>
        <w:widowControl/>
        <w:rPr>
          <w:rFonts w:ascii="宋体" w:hAnsi="宋体"/>
          <w:szCs w:val="21"/>
        </w:rPr>
      </w:pPr>
      <w:r>
        <w:rPr>
          <w:rFonts w:hint="eastAsia" w:ascii="宋体" w:hAnsi="宋体"/>
          <w:szCs w:val="21"/>
        </w:rPr>
        <w:t xml:space="preserve"> （2）关于资格文件的声明函</w:t>
      </w:r>
      <w:r>
        <w:rPr>
          <w:rFonts w:ascii="宋体" w:hAnsi="宋体"/>
          <w:szCs w:val="21"/>
        </w:rPr>
        <w:t xml:space="preserve">；</w:t>
      </w:r>
      <w:r>
        <w:rPr>
          <w:rFonts w:ascii="宋体" w:hAnsi="宋体"/>
          <w:szCs w:val="21"/>
        </w:rPr>
      </w:r>
      <w:r/>
    </w:p>
    <w:p>
      <w:pPr>
        <w:pStyle w:val="864"/>
        <w:ind w:firstLine="420"/>
        <w:spacing w:line="360" w:lineRule="auto"/>
        <w:widowControl/>
        <w:rPr>
          <w:rFonts w:ascii="宋体" w:hAnsi="宋体"/>
          <w:szCs w:val="21"/>
        </w:rPr>
      </w:pPr>
      <w:r>
        <w:rPr>
          <w:rFonts w:hint="eastAsia" w:ascii="宋体" w:hAnsi="宋体"/>
          <w:szCs w:val="21"/>
        </w:rPr>
        <w:t xml:space="preserve">（3）开标一览表(统一格式，用于唱标)</w:t>
      </w:r>
      <w:r>
        <w:rPr>
          <w:rFonts w:ascii="宋体" w:hAnsi="宋体"/>
          <w:szCs w:val="21"/>
        </w:rPr>
        <w:t xml:space="preserve">； </w:t>
      </w:r>
      <w:r>
        <w:rPr>
          <w:rFonts w:ascii="宋体" w:hAnsi="宋体"/>
          <w:szCs w:val="21"/>
        </w:rPr>
      </w:r>
      <w:r/>
    </w:p>
    <w:p>
      <w:pPr>
        <w:pStyle w:val="864"/>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报价分析表（统一格式，见附件；供应商若未按附件格式提供此项，视为无效响应）</w:t>
      </w:r>
      <w:r>
        <w:rPr>
          <w:rFonts w:hint="eastAsia" w:ascii="宋体" w:hAnsi="宋体" w:eastAsia="宋体" w:cs="Times New Roman"/>
          <w:szCs w:val="21"/>
        </w:rPr>
      </w:r>
      <w:r/>
    </w:p>
    <w:p>
      <w:pPr>
        <w:pStyle w:val="864"/>
        <w:ind w:firstLine="420"/>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）法定代表人身份证复印件；</w:t>
      </w:r>
      <w:r>
        <w:rPr>
          <w:rFonts w:hint="eastAsia" w:ascii="宋体" w:hAnsi="宋体" w:eastAsia="宋体" w:cs="Times New Roman"/>
          <w:szCs w:val="21"/>
        </w:rPr>
      </w:r>
      <w:r/>
    </w:p>
    <w:p>
      <w:pPr>
        <w:pStyle w:val="864"/>
        <w:ind w:firstLine="420"/>
        <w:spacing w:line="360" w:lineRule="auto"/>
        <w:widowControl/>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6</w:t>
      </w:r>
      <w:r>
        <w:rPr>
          <w:rFonts w:hint="eastAsia" w:ascii="宋体" w:hAnsi="宋体"/>
          <w:szCs w:val="21"/>
        </w:rPr>
        <w:t xml:space="preserve">）</w:t>
      </w:r>
      <w:r>
        <w:rPr>
          <w:rFonts w:ascii="宋体" w:hAnsi="宋体"/>
          <w:szCs w:val="21"/>
        </w:rPr>
        <w:t xml:space="preserve">法定代表人授权委托书、委托代理人身份证复印件（如为委托）；</w:t>
      </w:r>
      <w:r>
        <w:rPr>
          <w:rFonts w:ascii="宋体" w:hAnsi="宋体"/>
          <w:szCs w:val="21"/>
        </w:rPr>
      </w:r>
      <w:r/>
    </w:p>
    <w:p>
      <w:pPr>
        <w:pStyle w:val="864"/>
        <w:ind w:firstLine="420"/>
        <w:spacing w:line="360" w:lineRule="auto"/>
        <w:widowControl/>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）服务要求偏离表；</w:t>
      </w:r>
      <w:r>
        <w:rPr>
          <w:rFonts w:hint="eastAsia" w:ascii="宋体" w:hAnsi="宋体"/>
          <w:szCs w:val="21"/>
        </w:rPr>
      </w:r>
      <w:r/>
    </w:p>
    <w:p>
      <w:pPr>
        <w:pStyle w:val="864"/>
        <w:ind w:firstLine="420"/>
        <w:spacing w:line="360" w:lineRule="auto"/>
        <w:widowControl/>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）商务条款偏离表</w:t>
      </w:r>
      <w:r>
        <w:rPr>
          <w:rFonts w:ascii="宋体" w:hAnsi="宋体"/>
          <w:szCs w:val="21"/>
        </w:rPr>
        <w:t xml:space="preserve">；</w:t>
      </w:r>
      <w:r>
        <w:rPr>
          <w:rFonts w:ascii="宋体" w:hAnsi="宋体"/>
          <w:szCs w:val="21"/>
        </w:rPr>
      </w:r>
      <w:r/>
    </w:p>
    <w:p>
      <w:pPr>
        <w:pStyle w:val="864"/>
        <w:ind w:firstLine="420"/>
        <w:spacing w:line="360" w:lineRule="auto"/>
        <w:widowControl/>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eastAsia="zh-CN"/>
        </w:rPr>
        <w:t xml:space="preserve">拟投入本项目人员一览表</w:t>
      </w:r>
      <w:r>
        <w:rPr>
          <w:rFonts w:hint="eastAsia" w:ascii="宋体" w:hAnsi="宋体"/>
          <w:szCs w:val="21"/>
        </w:rPr>
        <w:t xml:space="preserve">；</w:t>
      </w:r>
      <w:r>
        <w:rPr>
          <w:rFonts w:ascii="宋体" w:hAnsi="宋体"/>
          <w:szCs w:val="21"/>
        </w:rPr>
      </w:r>
      <w:r/>
    </w:p>
    <w:p>
      <w:pPr>
        <w:pStyle w:val="864"/>
        <w:ind w:firstLine="420"/>
        <w:spacing w:line="360" w:lineRule="auto"/>
        <w:widowControl/>
        <w:rPr>
          <w:rFonts w:hint="eastAsia" w:ascii="宋体" w:hAnsi="宋体" w:eastAsia="宋体"/>
          <w:szCs w:val="21"/>
          <w:lang w:eastAsia="zh-CN"/>
        </w:rPr>
      </w:pPr>
      <w:r>
        <w:rPr>
          <w:rFonts w:hint="eastAsia" w:ascii="宋体" w:hAnsi="宋体"/>
          <w:szCs w:val="21"/>
        </w:rPr>
        <w:t xml:space="preserve">（</w:t>
      </w:r>
      <w:r>
        <w:rPr>
          <w:rFonts w:hint="eastAsia" w:ascii="宋体" w:hAnsi="宋体"/>
          <w:szCs w:val="21"/>
          <w:lang w:val="en-US" w:eastAsia="zh-CN"/>
        </w:rPr>
        <w:t xml:space="preserve">10</w:t>
      </w:r>
      <w:r>
        <w:rPr>
          <w:rFonts w:hint="eastAsia" w:ascii="宋体" w:hAnsi="宋体"/>
          <w:szCs w:val="21"/>
        </w:rPr>
        <w:t xml:space="preserve">）供应商情况表</w:t>
      </w:r>
      <w:r>
        <w:rPr>
          <w:rFonts w:hint="eastAsia" w:ascii="宋体" w:hAnsi="宋体"/>
          <w:szCs w:val="21"/>
          <w:lang w:eastAsia="zh-CN"/>
        </w:rPr>
        <w:t xml:space="preserve">；</w:t>
      </w:r>
      <w:r>
        <w:rPr>
          <w:rFonts w:hint="eastAsia" w:ascii="宋体" w:hAnsi="宋体" w:eastAsia="宋体"/>
          <w:szCs w:val="21"/>
          <w:lang w:eastAsia="zh-CN"/>
        </w:rPr>
      </w:r>
      <w:r/>
    </w:p>
    <w:p>
      <w:pPr>
        <w:pStyle w:val="864"/>
        <w:ind w:firstLine="420"/>
        <w:spacing w:line="360" w:lineRule="auto"/>
        <w:widowControl/>
        <w:rPr>
          <w:rFonts w:hint="eastAsia" w:ascii="宋体" w:hAnsi="宋体" w:eastAsia="宋体"/>
          <w:szCs w:val="21"/>
          <w:lang w:eastAsia="zh-CN"/>
        </w:rPr>
      </w:pPr>
      <w:r>
        <w:rPr>
          <w:rFonts w:hint="eastAsia" w:ascii="宋体" w:hAnsi="宋体"/>
          <w:szCs w:val="21"/>
        </w:rPr>
        <w:t xml:space="preserve">（</w:t>
      </w:r>
      <w:r>
        <w:rPr>
          <w:rFonts w:hint="eastAsia" w:ascii="宋体" w:hAnsi="宋体"/>
          <w:szCs w:val="21"/>
          <w:lang w:val="en-US" w:eastAsia="zh-CN"/>
        </w:rPr>
        <w:t xml:space="preserve">11</w:t>
      </w:r>
      <w:r>
        <w:rPr>
          <w:rFonts w:hint="eastAsia" w:ascii="宋体" w:hAnsi="宋体"/>
          <w:szCs w:val="21"/>
        </w:rPr>
        <w:t xml:space="preserve">）投标（响应）保证承诺书</w:t>
      </w:r>
      <w:r>
        <w:rPr>
          <w:rFonts w:hint="eastAsia" w:ascii="宋体" w:hAnsi="宋体"/>
          <w:szCs w:val="21"/>
          <w:lang w:eastAsia="zh-CN"/>
        </w:rPr>
        <w:t xml:space="preserve">；</w:t>
      </w:r>
      <w:r>
        <w:rPr>
          <w:rFonts w:hint="eastAsia" w:ascii="宋体" w:hAnsi="宋体" w:eastAsia="宋体"/>
          <w:szCs w:val="21"/>
          <w:lang w:eastAsia="zh-CN"/>
        </w:rPr>
      </w:r>
      <w:r/>
    </w:p>
    <w:p>
      <w:pPr>
        <w:pStyle w:val="864"/>
        <w:ind w:firstLine="420"/>
        <w:spacing w:line="360" w:lineRule="auto"/>
        <w:widowControl/>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2</w:t>
      </w:r>
      <w:r>
        <w:rPr>
          <w:rFonts w:hint="eastAsia" w:ascii="宋体" w:hAnsi="宋体"/>
          <w:szCs w:val="21"/>
        </w:rPr>
        <w:t xml:space="preserve">）投标人与其他单位存在控股、管理关系情况表</w:t>
      </w:r>
      <w:r>
        <w:rPr>
          <w:rFonts w:ascii="宋体" w:hAnsi="宋体"/>
          <w:szCs w:val="21"/>
        </w:rPr>
        <w:t xml:space="preserve">；</w:t>
      </w:r>
      <w:r>
        <w:rPr>
          <w:rFonts w:ascii="宋体" w:hAnsi="宋体"/>
          <w:szCs w:val="21"/>
        </w:rPr>
      </w:r>
      <w:r/>
    </w:p>
    <w:p>
      <w:pPr>
        <w:pStyle w:val="864"/>
        <w:ind w:left="420"/>
        <w:spacing w:after="120"/>
        <w:rPr>
          <w:rFonts w:ascii="Calibri" w:hAnsi="Calibri"/>
          <w:szCs w:val="22"/>
        </w:rPr>
      </w:pPr>
      <w:r>
        <w:rPr>
          <w:rFonts w:hint="eastAsia" w:ascii="Calibri" w:hAnsi="Calibri"/>
          <w:szCs w:val="22"/>
        </w:rPr>
        <w:t xml:space="preserve">注：上述为符合性审查材料，提供不全视为未实质性响应采购文件，符合性审查不通过。</w:t>
      </w:r>
      <w:r>
        <w:rPr>
          <w:rFonts w:ascii="Calibri" w:hAnsi="Calibri"/>
          <w:szCs w:val="22"/>
        </w:rPr>
      </w:r>
      <w:r/>
    </w:p>
    <w:p>
      <w:pPr>
        <w:pStyle w:val="864"/>
        <w:ind w:firstLine="420"/>
        <w:spacing w:after="120"/>
        <w:rPr>
          <w:szCs w:val="22"/>
        </w:rPr>
      </w:pPr>
      <w:r>
        <w:rPr>
          <w:rFonts w:hint="eastAsia"/>
          <w:szCs w:val="22"/>
        </w:rPr>
        <w:t xml:space="preserve">3</w:t>
      </w:r>
      <w:r>
        <w:rPr>
          <w:rFonts w:ascii="Calibri" w:hAnsi="Calibri"/>
          <w:szCs w:val="22"/>
        </w:rPr>
        <w:t xml:space="preserve">、</w:t>
      </w:r>
      <w:r>
        <w:rPr>
          <w:rFonts w:hint="eastAsia" w:ascii="Calibri" w:hAnsi="Calibri"/>
          <w:szCs w:val="22"/>
        </w:rPr>
        <w:t xml:space="preserve">综合评审材料及其他材料</w:t>
      </w:r>
      <w:r>
        <w:rPr>
          <w:szCs w:val="22"/>
        </w:rPr>
      </w:r>
      <w:r/>
    </w:p>
    <w:p>
      <w:pPr>
        <w:pStyle w:val="864"/>
        <w:ind w:firstLine="420"/>
        <w:spacing w:line="360" w:lineRule="auto"/>
        <w:widowControl/>
        <w:rPr>
          <w:rFonts w:ascii="Calibri" w:hAnsi="Calibri"/>
          <w:szCs w:val="22"/>
        </w:rPr>
      </w:pPr>
      <w:r>
        <w:rPr>
          <w:rFonts w:hint="eastAsia" w:ascii="Calibri" w:hAnsi="Calibri"/>
          <w:szCs w:val="22"/>
        </w:rPr>
        <w:t xml:space="preserve">（1）针对本项目的详细</w:t>
      </w:r>
      <w:r>
        <w:rPr>
          <w:rFonts w:ascii="Calibri" w:hAnsi="Calibri"/>
          <w:szCs w:val="22"/>
        </w:rPr>
        <w:t xml:space="preserve">服务方案；</w:t>
      </w:r>
      <w:r>
        <w:rPr>
          <w:rFonts w:ascii="Calibri" w:hAnsi="Calibri"/>
          <w:szCs w:val="22"/>
        </w:rPr>
      </w:r>
      <w:r/>
    </w:p>
    <w:p>
      <w:pPr>
        <w:pStyle w:val="864"/>
        <w:ind w:firstLine="420"/>
        <w:spacing w:line="360" w:lineRule="auto"/>
        <w:widowControl/>
        <w:rPr>
          <w:rFonts w:ascii="Calibri" w:hAnsi="Calibri"/>
          <w:szCs w:val="22"/>
        </w:rPr>
      </w:pPr>
      <w:r>
        <w:rPr>
          <w:rFonts w:hint="eastAsia" w:ascii="Calibri" w:hAnsi="Calibri"/>
          <w:szCs w:val="22"/>
        </w:rPr>
        <w:t xml:space="preserve">（2）企业类似业绩一览表（如有）</w:t>
      </w:r>
      <w:r>
        <w:rPr>
          <w:rFonts w:ascii="Calibri" w:hAnsi="Calibri"/>
          <w:szCs w:val="22"/>
        </w:rPr>
        <w:t xml:space="preserve">；</w:t>
      </w:r>
      <w:r>
        <w:rPr>
          <w:rFonts w:ascii="Calibri" w:hAnsi="Calibri"/>
          <w:szCs w:val="22"/>
        </w:rPr>
      </w:r>
      <w:r/>
    </w:p>
    <w:p>
      <w:pPr>
        <w:pStyle w:val="864"/>
        <w:ind w:firstLine="420"/>
        <w:spacing w:line="360" w:lineRule="auto"/>
        <w:widowControl/>
        <w:rPr>
          <w:rFonts w:ascii="Calibri" w:hAnsi="Calibri"/>
          <w:szCs w:val="22"/>
        </w:rPr>
      </w:pPr>
      <w:r>
        <w:rPr>
          <w:rFonts w:hint="eastAsia" w:ascii="Calibri" w:hAnsi="Calibri"/>
          <w:szCs w:val="22"/>
        </w:rPr>
        <w:t xml:space="preserve">（3）</w:t>
      </w:r>
      <w:r>
        <w:rPr>
          <w:rFonts w:ascii="Calibri" w:hAnsi="Calibri"/>
          <w:szCs w:val="22"/>
        </w:rPr>
        <w:t xml:space="preserve">采购需求及评分标准中所涉及到的其他证明材料。</w:t>
      </w:r>
      <w:r>
        <w:rPr>
          <w:rFonts w:ascii="Calibri" w:hAnsi="Calibri"/>
          <w:szCs w:val="22"/>
        </w:rPr>
      </w:r>
      <w:r/>
    </w:p>
    <w:p>
      <w:pPr>
        <w:pStyle w:val="864"/>
        <w:ind w:firstLine="420"/>
        <w:spacing w:line="400" w:lineRule="exact"/>
        <w:rPr>
          <w:rFonts w:ascii="宋体" w:hAnsi="Calibri"/>
          <w:szCs w:val="22"/>
        </w:rPr>
      </w:pPr>
      <w:r>
        <w:rPr>
          <w:rFonts w:hint="eastAsia" w:ascii="宋体" w:hAnsi="宋体"/>
          <w:szCs w:val="22"/>
        </w:rPr>
        <w:t xml:space="preserve">注：</w:t>
      </w:r>
      <w:r>
        <w:rPr>
          <w:rFonts w:hint="eastAsia" w:ascii="宋体" w:hAnsi="宋体"/>
          <w:b/>
          <w:szCs w:val="22"/>
        </w:rPr>
        <w:t xml:space="preserve">（1）投标单位中标后须提供三份与电子投标文件内容一致的纸质投标文件给代理机构用于项目归档（装订成册）。</w:t>
      </w:r>
      <w:r>
        <w:rPr>
          <w:rFonts w:ascii="宋体" w:hAnsi="Calibri"/>
          <w:szCs w:val="22"/>
        </w:rPr>
      </w:r>
      <w:r/>
    </w:p>
    <w:p>
      <w:pPr>
        <w:pStyle w:val="864"/>
        <w:spacing w:line="480" w:lineRule="exact"/>
        <w:rPr>
          <w:rFonts w:hint="eastAsia"/>
          <w:b/>
        </w:rPr>
      </w:pPr>
      <w:r>
        <w:rPr>
          <w:b/>
        </w:rPr>
        <w:br w:type="page" w:clear="all"/>
      </w:r>
      <w:r>
        <w:rPr>
          <w:rFonts w:hint="eastAsia"/>
          <w:b/>
        </w:rPr>
      </w:r>
      <w:r/>
    </w:p>
    <w:p>
      <w:pPr>
        <w:pStyle w:val="864"/>
        <w:spacing w:line="480" w:lineRule="exact"/>
        <w:rPr>
          <w:rFonts w:hint="eastAsia"/>
        </w:rPr>
      </w:pPr>
      <w:r>
        <w:rPr>
          <w:rFonts w:hint="eastAsia"/>
          <w:b/>
          <w:bCs/>
        </w:rPr>
        <w:t xml:space="preserve">（2）企业报价折扣证明处请重复上传一遍“中小企</w:t>
      </w:r>
      <w:r>
        <w:rPr>
          <w:rFonts w:hint="eastAsia"/>
          <w:b/>
        </w:rPr>
        <w:t xml:space="preserve">业声明函（格式见第三章）或残疾人福利性单位声明函（格式见第三章）或监狱企业证明</w:t>
      </w:r>
      <w:r>
        <w:t xml:space="preserve">”</w:t>
      </w:r>
      <w:r>
        <w:rPr>
          <w:rFonts w:hint="eastAsia"/>
        </w:rPr>
        <w:t xml:space="preserve">。(</w:t>
      </w:r>
      <w:r>
        <w:rPr>
          <w:rFonts w:hint="eastAsia"/>
          <w:b/>
          <w:bCs/>
        </w:rPr>
        <w:t xml:space="preserve">本项目专门面向中小企业采购。</w:t>
      </w:r>
      <w:r>
        <w:rPr>
          <w:rFonts w:hint="eastAsia"/>
        </w:rPr>
        <w:t xml:space="preserve">专门面向中小企业的项目，必须提供该项资料，否则资格审查不通过；非专门面向中小企业的项目如提供该项材料，将按照评定成交标准享受价格评审优惠政策。)</w:t>
      </w:r>
      <w:r>
        <w:rPr>
          <w:rFonts w:hint="eastAsia"/>
        </w:rPr>
      </w:r>
      <w:r/>
    </w:p>
    <w:p>
      <w:pPr>
        <w:pStyle w:val="864"/>
        <w:spacing w:line="480" w:lineRule="exact"/>
        <w:rPr>
          <w:rFonts w:hint="eastAsia"/>
        </w:rPr>
      </w:pPr>
      <w:r>
        <w:rPr>
          <w:rFonts w:hint="eastAsia"/>
        </w:rPr>
        <w:t xml:space="preserve">（3）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rPr>
      </w:r>
      <w:r/>
    </w:p>
    <w:p>
      <w:pPr>
        <w:pStyle w:val="864"/>
        <w:spacing w:line="480" w:lineRule="exact"/>
        <w:rPr>
          <w:rFonts w:hint="eastAsia"/>
        </w:rPr>
      </w:pPr>
      <w:r>
        <w:rPr>
          <w:rFonts w:hint="eastAsia"/>
        </w:rPr>
        <w:t xml:space="preserve">投标人必须保证全部投标资料的真实性，如有虚假或对招标文件所要求说明的情况故意隐瞒或虚报，视为不实质性响应招标文件，投标无效。</w:t>
      </w:r>
      <w:r>
        <w:rPr>
          <w:rFonts w:hint="eastAsia"/>
        </w:rPr>
      </w:r>
      <w:r/>
    </w:p>
    <w:p>
      <w:pPr>
        <w:pStyle w:val="864"/>
        <w:spacing w:line="480" w:lineRule="exact"/>
        <w:rPr>
          <w:rFonts w:hint="eastAsia"/>
        </w:rPr>
      </w:pPr>
      <w:r>
        <w:rPr>
          <w:rFonts w:hint="eastAsia"/>
        </w:rPr>
        <w:t xml:space="preserve">如投标人投标文件中某些条款不响应招标文件提出的全部服务内容与要求，须在偏离表中逐条列出，未列出的视同响应。</w:t>
      </w:r>
      <w:r>
        <w:rPr>
          <w:rFonts w:hint="eastAsia"/>
        </w:rPr>
      </w:r>
      <w:r/>
    </w:p>
    <w:p>
      <w:pPr>
        <w:pStyle w:val="864"/>
        <w:spacing w:line="480" w:lineRule="exact"/>
        <w:rPr>
          <w:rFonts w:hint="eastAsia"/>
        </w:rPr>
      </w:pPr>
      <w:r>
        <w:rPr>
          <w:rFonts w:hint="eastAsia"/>
        </w:rPr>
        <w:t xml:space="preserve">3.2投标报价</w:t>
      </w:r>
      <w:r>
        <w:rPr>
          <w:rFonts w:hint="eastAsia"/>
        </w:rPr>
      </w:r>
      <w:r/>
    </w:p>
    <w:p>
      <w:pPr>
        <w:pStyle w:val="864"/>
        <w:spacing w:line="480" w:lineRule="exact"/>
        <w:rPr>
          <w:rFonts w:hint="eastAsia"/>
        </w:rPr>
      </w:pPr>
      <w:r>
        <w:rPr>
          <w:rFonts w:hint="eastAsia"/>
        </w:rPr>
        <w:t xml:space="preserve">3.2.1投标报价应包括完成本招标项目全部内容的一切费用，除非合同条款中另有规定，投标人所报价格在合同实施期间不因市场变化因素而变动。</w:t>
      </w:r>
      <w:r>
        <w:rPr>
          <w:rFonts w:hint="eastAsia"/>
        </w:rPr>
      </w:r>
      <w:r/>
    </w:p>
    <w:p>
      <w:pPr>
        <w:pStyle w:val="864"/>
        <w:spacing w:line="480" w:lineRule="exact"/>
        <w:rPr>
          <w:rFonts w:hint="eastAsia"/>
        </w:rPr>
      </w:pPr>
      <w:r>
        <w:rPr>
          <w:rFonts w:hint="eastAsia"/>
        </w:rPr>
        <w:t xml:space="preserve">3.2.2如果招标文件要求分标段投标的，则投标人可以根据自身经营许可范围，选择投标其中部分或者全部标段，但各标段应分别计算填写单价和总价。</w:t>
      </w:r>
      <w:r>
        <w:rPr>
          <w:rFonts w:hint="eastAsia"/>
        </w:rPr>
      </w:r>
      <w:r/>
    </w:p>
    <w:p>
      <w:pPr>
        <w:pStyle w:val="864"/>
        <w:spacing w:line="480" w:lineRule="exact"/>
        <w:rPr>
          <w:rFonts w:hint="eastAsia"/>
        </w:rPr>
      </w:pPr>
      <w:r>
        <w:rPr>
          <w:rFonts w:hint="eastAsia"/>
        </w:rPr>
        <w:t xml:space="preserve">3.2.3投标人应对招标文件内所要采购的全部内容进行报价，只对其中部分内容报价的，投标无效。</w:t>
      </w:r>
      <w:r>
        <w:rPr>
          <w:rFonts w:hint="eastAsia"/>
        </w:rPr>
      </w:r>
      <w:r/>
    </w:p>
    <w:p>
      <w:pPr>
        <w:pStyle w:val="864"/>
        <w:spacing w:line="480" w:lineRule="exact"/>
        <w:rPr>
          <w:rFonts w:hint="eastAsia"/>
        </w:rPr>
      </w:pPr>
      <w:r>
        <w:rPr>
          <w:rFonts w:hint="eastAsia"/>
        </w:rPr>
        <w:t xml:space="preserve">3.2.4一项投标内容只允许一个报价，任何有选择性投标报价的，其投标无效。</w:t>
      </w:r>
      <w:r>
        <w:rPr>
          <w:rFonts w:hint="eastAsia"/>
        </w:rPr>
      </w:r>
      <w:r/>
    </w:p>
    <w:p>
      <w:pPr>
        <w:pStyle w:val="864"/>
        <w:spacing w:line="480" w:lineRule="exact"/>
        <w:rPr>
          <w:rFonts w:hint="eastAsia"/>
        </w:rPr>
      </w:pPr>
      <w:r>
        <w:rPr>
          <w:rFonts w:hint="eastAsia"/>
        </w:rPr>
        <w:t xml:space="preserve">3.2.5投标报价超过招标文件中规定的预算金额或者最高限价的，或者各标的物的单价超过该项预算单价的（针对采购文件标明预算单价的项目），其投标无效。</w:t>
      </w:r>
      <w:r>
        <w:rPr>
          <w:rFonts w:hint="eastAsia"/>
        </w:rPr>
      </w:r>
      <w:r/>
    </w:p>
    <w:p>
      <w:pPr>
        <w:pStyle w:val="864"/>
        <w:spacing w:line="480" w:lineRule="exact"/>
        <w:rPr>
          <w:rFonts w:hint="eastAsia"/>
        </w:rPr>
      </w:pPr>
      <w:r>
        <w:rPr>
          <w:rFonts w:hint="eastAsia"/>
        </w:rPr>
        <w:t xml:space="preserve">3.2.6投标文件报价中的单价和总价全部采用人民币表示，除非另有规定。</w:t>
      </w:r>
      <w:r>
        <w:rPr>
          <w:rFonts w:hint="eastAsia"/>
        </w:rPr>
      </w:r>
      <w:r/>
    </w:p>
    <w:p>
      <w:pPr>
        <w:pStyle w:val="864"/>
        <w:spacing w:line="480" w:lineRule="exact"/>
        <w:rPr>
          <w:rFonts w:hint="eastAsia"/>
        </w:rPr>
      </w:pPr>
      <w:r>
        <w:rPr>
          <w:rFonts w:hint="eastAsia"/>
        </w:rPr>
        <w:t xml:space="preserve">3.3投标保证金：无</w:t>
      </w:r>
      <w:r>
        <w:rPr>
          <w:rFonts w:hint="eastAsia"/>
        </w:rPr>
      </w:r>
      <w:r/>
    </w:p>
    <w:p>
      <w:pPr>
        <w:pStyle w:val="864"/>
        <w:spacing w:line="480" w:lineRule="exact"/>
        <w:rPr>
          <w:rFonts w:hint="eastAsia"/>
        </w:rPr>
      </w:pPr>
      <w:r>
        <w:rPr>
          <w:rFonts w:hint="eastAsia"/>
        </w:rPr>
        <w:t xml:space="preserve">3.4投标文件的有效期</w:t>
      </w:r>
      <w:r>
        <w:rPr>
          <w:rFonts w:hint="eastAsia"/>
        </w:rPr>
      </w:r>
      <w:r/>
    </w:p>
    <w:p>
      <w:pPr>
        <w:pStyle w:val="864"/>
        <w:spacing w:line="480" w:lineRule="exact"/>
        <w:rPr>
          <w:rFonts w:hint="eastAsia"/>
        </w:rPr>
      </w:pPr>
      <w:r>
        <w:rPr>
          <w:rFonts w:hint="eastAsia"/>
          <w:color w:val="000000"/>
          <w:highlight w:val="none"/>
        </w:rPr>
        <w:t xml:space="preserve">本项目投标有效期为90天</w:t>
      </w:r>
      <w:r>
        <w:rPr>
          <w:rFonts w:hint="eastAsia"/>
        </w:rPr>
        <w:t xml:space="preserve">。投标文件中承诺的投标有效期应当不少于招标文件中载明的投标有效期，否则投标无效。特殊情况下需要延长投标有效期的，招标人应以书面形式通知所有投标人延长投标有效期，投标人应书面答复，同意延长的不得要求或被允许修改其投标文件；拒绝延长的，其投标失效。</w:t>
      </w:r>
      <w:r>
        <w:rPr>
          <w:rFonts w:hint="eastAsia"/>
        </w:rPr>
      </w:r>
      <w:r/>
    </w:p>
    <w:p>
      <w:pPr>
        <w:pStyle w:val="864"/>
        <w:spacing w:line="480" w:lineRule="exact"/>
        <w:rPr>
          <w:rFonts w:hint="eastAsia"/>
        </w:rPr>
      </w:pPr>
      <w:r>
        <w:rPr>
          <w:rFonts w:hint="eastAsia"/>
        </w:rPr>
        <w:t xml:space="preserve">3.5电子投标文件的编制与递交</w:t>
      </w:r>
      <w:r>
        <w:rPr>
          <w:rFonts w:hint="eastAsia"/>
        </w:rPr>
      </w:r>
      <w:r/>
    </w:p>
    <w:p>
      <w:pPr>
        <w:pStyle w:val="864"/>
        <w:spacing w:line="480" w:lineRule="exact"/>
        <w:rPr>
          <w:rFonts w:hint="eastAsia"/>
        </w:rPr>
      </w:pPr>
      <w:r>
        <w:rPr>
          <w:rFonts w:hint="eastAsia"/>
        </w:rPr>
        <w:t xml:space="preserve">3.5.1电子投标（响应）文件制作：本项目为网上招投标项目，请投标人插入CA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hint="eastAsia"/>
        </w:rPr>
      </w:r>
      <w:r/>
    </w:p>
    <w:p>
      <w:pPr>
        <w:pStyle w:val="864"/>
        <w:spacing w:line="480" w:lineRule="exact"/>
        <w:rPr>
          <w:rFonts w:hint="eastAsia"/>
        </w:rPr>
      </w:pPr>
      <w:r>
        <w:rPr>
          <w:rFonts w:hint="eastAsia"/>
        </w:rPr>
        <w:t xml:space="preserve">3.5.2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rPr>
      </w:r>
      <w:r/>
    </w:p>
    <w:p>
      <w:pPr>
        <w:pStyle w:val="864"/>
        <w:spacing w:line="480" w:lineRule="exact"/>
        <w:rPr>
          <w:rFonts w:hint="eastAsia"/>
        </w:rPr>
      </w:pPr>
      <w:r>
        <w:rPr>
          <w:rFonts w:hint="eastAsia"/>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rPr>
      </w:r>
      <w:r/>
    </w:p>
    <w:p>
      <w:pPr>
        <w:pStyle w:val="864"/>
        <w:spacing w:line="480" w:lineRule="exact"/>
        <w:rPr>
          <w:rFonts w:hint="eastAsia"/>
        </w:rPr>
      </w:pPr>
      <w:r>
        <w:rPr>
          <w:rFonts w:hint="eastAsia"/>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rPr>
      </w:r>
      <w:r/>
    </w:p>
    <w:p>
      <w:pPr>
        <w:pStyle w:val="864"/>
        <w:spacing w:line="480" w:lineRule="exact"/>
        <w:rPr>
          <w:rFonts w:hint="eastAsia"/>
        </w:rPr>
      </w:pPr>
      <w:r>
        <w:rPr>
          <w:rFonts w:hint="eastAsia"/>
        </w:rPr>
        <w:t xml:space="preserve">3.5.3投标文件未按照招标文件要求加盖CA电子公章的，投标无效。</w:t>
      </w:r>
      <w:r>
        <w:rPr>
          <w:rFonts w:hint="eastAsia"/>
        </w:rPr>
      </w:r>
      <w:r/>
    </w:p>
    <w:p>
      <w:pPr>
        <w:pStyle w:val="864"/>
        <w:spacing w:line="480" w:lineRule="exact"/>
        <w:rPr>
          <w:rFonts w:hint="eastAsia"/>
        </w:rPr>
      </w:pPr>
      <w:r>
        <w:rPr>
          <w:rFonts w:hint="eastAsia"/>
        </w:rPr>
        <w:t xml:space="preserve">3.5.4联合体投标：如招标（采购）公告中允许联合体投标，联合体投标的投标（响应）文件制作上传操作如下：</w:t>
      </w:r>
      <w:r>
        <w:rPr>
          <w:rFonts w:hint="eastAsia"/>
        </w:rPr>
      </w:r>
      <w:r/>
    </w:p>
    <w:p>
      <w:pPr>
        <w:pStyle w:val="864"/>
        <w:spacing w:line="480" w:lineRule="exact"/>
        <w:rPr>
          <w:rFonts w:hint="eastAsia"/>
        </w:rPr>
      </w:pPr>
      <w:r>
        <w:rPr>
          <w:rFonts w:hint="eastAsia"/>
        </w:rPr>
        <w:t xml:space="preserve">第一步：在投标（响应）文件中上传联合体投标协议书。</w:t>
      </w:r>
      <w:r>
        <w:rPr>
          <w:rFonts w:hint="eastAsia"/>
        </w:rPr>
      </w:r>
      <w:r/>
    </w:p>
    <w:p>
      <w:pPr>
        <w:pStyle w:val="864"/>
        <w:spacing w:line="480" w:lineRule="exact"/>
        <w:rPr>
          <w:rFonts w:hint="eastAsia"/>
        </w:rPr>
      </w:pPr>
      <w:r>
        <w:rPr>
          <w:rFonts w:hint="eastAsia"/>
        </w:rPr>
        <w:t xml:space="preserve">第二步；在投标（响应）文件中，由联合体中的牵头人制作投标（响应）文件。</w:t>
      </w:r>
      <w:r>
        <w:rPr>
          <w:rFonts w:hint="eastAsia"/>
        </w:rPr>
      </w:r>
      <w:r/>
    </w:p>
    <w:p>
      <w:pPr>
        <w:pStyle w:val="864"/>
        <w:spacing w:line="480" w:lineRule="exact"/>
        <w:rPr>
          <w:rFonts w:hint="eastAsia"/>
        </w:rPr>
      </w:pPr>
      <w:r>
        <w:rPr>
          <w:rFonts w:hint="eastAsia"/>
        </w:rPr>
        <w:t xml:space="preserve">3.5.5如投标（响应）文件制作机器码信息一致，视为不同投标供应商使用同一台电脑编制投标（响应）文件，投标（响应）无效。</w:t>
      </w:r>
      <w:r>
        <w:rPr>
          <w:rFonts w:hint="eastAsia"/>
        </w:rPr>
      </w:r>
      <w:r/>
    </w:p>
    <w:p>
      <w:pPr>
        <w:pStyle w:val="864"/>
        <w:spacing w:line="480" w:lineRule="exact"/>
        <w:rPr>
          <w:rFonts w:hint="eastAsia"/>
        </w:rPr>
      </w:pPr>
      <w:r>
        <w:rPr>
          <w:rFonts w:hint="eastAsia"/>
        </w:rPr>
        <w:t xml:space="preserve">3.6技术支持</w:t>
      </w:r>
      <w:r>
        <w:rPr>
          <w:rFonts w:hint="eastAsia"/>
        </w:rPr>
      </w:r>
      <w:r/>
    </w:p>
    <w:p>
      <w:pPr>
        <w:pStyle w:val="864"/>
        <w:spacing w:line="480" w:lineRule="exact"/>
        <w:rPr>
          <w:rFonts w:hint="eastAsia"/>
        </w:rPr>
      </w:pPr>
      <w:r>
        <w:rPr>
          <w:rFonts w:hint="eastAsia"/>
        </w:rPr>
        <w:t xml:space="preserve">3.6.1CA技术咨询服务电话：400-608-6099</w:t>
      </w:r>
      <w:r>
        <w:rPr>
          <w:rFonts w:hint="eastAsia"/>
        </w:rPr>
      </w:r>
      <w:r/>
    </w:p>
    <w:p>
      <w:pPr>
        <w:pStyle w:val="864"/>
        <w:spacing w:line="480" w:lineRule="exact"/>
        <w:rPr>
          <w:rFonts w:hint="eastAsia"/>
        </w:rPr>
      </w:pPr>
      <w:r>
        <w:rPr>
          <w:rFonts w:hint="eastAsia"/>
        </w:rPr>
        <w:t xml:space="preserve">电子签章技术咨询服务电话：15380932027、15371015030 、13675197356、 13675197221 </w:t>
      </w:r>
      <w:r>
        <w:rPr>
          <w:rFonts w:hint="eastAsia"/>
        </w:rPr>
      </w:r>
      <w:r/>
    </w:p>
    <w:p>
      <w:pPr>
        <w:pStyle w:val="864"/>
        <w:spacing w:line="480" w:lineRule="exact"/>
        <w:rPr>
          <w:rFonts w:hint="eastAsia"/>
        </w:rPr>
      </w:pPr>
      <w:r>
        <w:rPr>
          <w:rFonts w:hint="eastAsia"/>
        </w:rPr>
        <w:t xml:space="preserve">“苏采云”平台技术咨询电话：0512-69820854、0519-86722802、13914088964、18261002950</w:t>
      </w:r>
      <w:r>
        <w:rPr>
          <w:rFonts w:hint="eastAsia"/>
        </w:rPr>
      </w:r>
      <w:r/>
    </w:p>
    <w:p>
      <w:pPr>
        <w:pStyle w:val="864"/>
        <w:spacing w:line="480" w:lineRule="exact"/>
        <w:rPr>
          <w:rFonts w:hint="eastAsia"/>
        </w:rPr>
      </w:pPr>
      <w:r>
        <w:rPr>
          <w:rFonts w:hint="eastAsia"/>
        </w:rPr>
        <w:t xml:space="preserve">3.7投标文件的修改和撤回</w:t>
      </w:r>
      <w:r>
        <w:rPr>
          <w:rFonts w:hint="eastAsia"/>
        </w:rPr>
      </w:r>
      <w:r/>
    </w:p>
    <w:p>
      <w:pPr>
        <w:pStyle w:val="864"/>
        <w:spacing w:line="480" w:lineRule="exact"/>
        <w:rPr>
          <w:rFonts w:hint="eastAsia"/>
        </w:rPr>
      </w:pPr>
      <w:r>
        <w:rPr>
          <w:rFonts w:hint="eastAsia"/>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rPr>
      </w:r>
      <w:r/>
    </w:p>
    <w:p>
      <w:pPr>
        <w:pStyle w:val="864"/>
        <w:spacing w:line="480" w:lineRule="exact"/>
        <w:rPr>
          <w:rFonts w:hint="eastAsia"/>
        </w:rPr>
      </w:pPr>
      <w:r>
        <w:rPr>
          <w:rFonts w:hint="eastAsia"/>
        </w:rPr>
        <w:t xml:space="preserve">4开标和评标</w:t>
      </w:r>
      <w:r>
        <w:rPr>
          <w:rFonts w:hint="eastAsia"/>
        </w:rPr>
      </w:r>
      <w:r/>
    </w:p>
    <w:p>
      <w:pPr>
        <w:pStyle w:val="864"/>
        <w:spacing w:line="480" w:lineRule="exact"/>
        <w:rPr>
          <w:rFonts w:hint="eastAsia"/>
        </w:rPr>
      </w:pPr>
      <w:r>
        <w:rPr>
          <w:rFonts w:hint="eastAsia"/>
        </w:rPr>
        <w:t xml:space="preserve">4.1开标</w:t>
      </w:r>
      <w:r>
        <w:rPr>
          <w:rFonts w:hint="eastAsia"/>
        </w:rPr>
      </w:r>
      <w:r/>
    </w:p>
    <w:p>
      <w:pPr>
        <w:pStyle w:val="864"/>
        <w:spacing w:line="480" w:lineRule="exact"/>
        <w:rPr>
          <w:rFonts w:hint="eastAsia"/>
        </w:rPr>
      </w:pPr>
      <w:r>
        <w:rPr>
          <w:rFonts w:hint="eastAsia"/>
        </w:rPr>
        <w:t xml:space="preserve">4.1.1本项目为不见面开标（开启）项目，开标阶段供应商在【解密环节】必须使用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hint="eastAsia"/>
        </w:rPr>
      </w:r>
      <w:r/>
    </w:p>
    <w:p>
      <w:pPr>
        <w:pStyle w:val="864"/>
        <w:spacing w:line="480" w:lineRule="exact"/>
        <w:rPr>
          <w:rFonts w:hint="eastAsia"/>
        </w:rPr>
      </w:pPr>
      <w:r>
        <w:rPr>
          <w:rFonts w:hint="eastAsia"/>
        </w:rPr>
        <w:t xml:space="preserve">4.1.2线上参加（观看）开标（开启）会方式：登录“苏采云”系统，点击“开标大厅”，选择对应项目，点击进入不见面开标系统。</w:t>
      </w:r>
      <w:r>
        <w:rPr>
          <w:rFonts w:hint="eastAsia"/>
        </w:rPr>
      </w:r>
      <w:r/>
    </w:p>
    <w:p>
      <w:pPr>
        <w:pStyle w:val="864"/>
        <w:spacing w:line="480" w:lineRule="exact"/>
        <w:rPr>
          <w:rFonts w:hint="eastAsia"/>
        </w:rPr>
      </w:pPr>
      <w:r>
        <w:rPr>
          <w:rFonts w:hint="eastAsia"/>
        </w:rPr>
        <w:t xml:space="preserve">4.1.3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hint="eastAsia"/>
        </w:rPr>
      </w:r>
      <w:r/>
    </w:p>
    <w:p>
      <w:pPr>
        <w:pStyle w:val="864"/>
        <w:spacing w:line="480" w:lineRule="exact"/>
        <w:rPr>
          <w:rFonts w:hint="eastAsia"/>
        </w:rPr>
      </w:pPr>
      <w:r>
        <w:rPr>
          <w:rFonts w:hint="eastAsia"/>
        </w:rPr>
        <w:t xml:space="preserve">4.1.4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hint="eastAsia"/>
        </w:rPr>
      </w:r>
      <w:r/>
    </w:p>
    <w:p>
      <w:pPr>
        <w:pStyle w:val="864"/>
        <w:spacing w:line="480" w:lineRule="exact"/>
        <w:rPr>
          <w:rFonts w:hint="eastAsia"/>
        </w:rPr>
      </w:pPr>
      <w:r>
        <w:rPr>
          <w:rFonts w:hint="eastAsia"/>
        </w:rPr>
        <w:t xml:space="preserve">4.1.5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rPr>
      </w:r>
      <w:r/>
    </w:p>
    <w:p>
      <w:pPr>
        <w:pStyle w:val="864"/>
        <w:spacing w:line="480" w:lineRule="exact"/>
        <w:rPr>
          <w:rFonts w:hint="eastAsia"/>
        </w:rPr>
      </w:pPr>
      <w:r>
        <w:rPr>
          <w:rFonts w:hint="eastAsia"/>
        </w:rPr>
        <w:t xml:space="preserve">4.1.6投标人在“苏采云”系统规定的时间内未成功解密电子投标文件的，投标无效。</w:t>
      </w:r>
      <w:r>
        <w:rPr>
          <w:rFonts w:hint="eastAsia"/>
        </w:rPr>
      </w:r>
      <w:r/>
    </w:p>
    <w:p>
      <w:pPr>
        <w:pStyle w:val="864"/>
        <w:spacing w:line="480" w:lineRule="exact"/>
        <w:rPr>
          <w:rFonts w:hint="eastAsia"/>
        </w:rPr>
      </w:pPr>
      <w:r>
        <w:rPr>
          <w:rFonts w:hint="eastAsia"/>
        </w:rPr>
        <w:t xml:space="preserve">4.1.7投标人电脑环境最低要求：谷歌浏览器，版本可直接网上下载最新版本即可。如需收听现场语音需配置放音设备，如视频直播、互动交流使用异常，请刷新网页，如仍无法解决，请联系技术支持。</w:t>
      </w:r>
      <w:r>
        <w:rPr>
          <w:rFonts w:hint="eastAsia"/>
        </w:rPr>
      </w:r>
      <w:r/>
    </w:p>
    <w:p>
      <w:pPr>
        <w:pStyle w:val="864"/>
        <w:spacing w:line="480" w:lineRule="exact"/>
        <w:rPr>
          <w:rFonts w:hint="eastAsia"/>
        </w:rPr>
      </w:pPr>
      <w:r>
        <w:rPr>
          <w:rFonts w:hint="eastAsia"/>
        </w:rPr>
        <w:t xml:space="preserve">4.1.8开标大厅系统出现故障、断电断网等特殊情形导致无法直播时，交易中心将通过微信直播对外公布相关情况，供应商可登录微信直播平台（微信-发现-直播-搜索视频号“园小易直播”）观看现场实况。</w:t>
      </w:r>
      <w:r>
        <w:rPr>
          <w:rFonts w:hint="eastAsia"/>
        </w:rPr>
      </w:r>
      <w:r/>
    </w:p>
    <w:p>
      <w:pPr>
        <w:pStyle w:val="864"/>
        <w:spacing w:line="480" w:lineRule="exact"/>
        <w:rPr>
          <w:rFonts w:hint="eastAsia"/>
        </w:rPr>
      </w:pPr>
      <w:r>
        <w:rPr>
          <w:rFonts w:hint="eastAsia"/>
        </w:rPr>
        <w:t xml:space="preserve">4.1.9至投标文件提交截止时间，递交投标文件的投标人不足三家的，不得开标。</w:t>
      </w:r>
      <w:r>
        <w:rPr>
          <w:rFonts w:hint="eastAsia"/>
        </w:rPr>
      </w:r>
      <w:r/>
    </w:p>
    <w:p>
      <w:pPr>
        <w:pStyle w:val="864"/>
        <w:spacing w:line="480" w:lineRule="exact"/>
        <w:rPr>
          <w:rFonts w:hint="eastAsia"/>
        </w:rPr>
      </w:pPr>
      <w:r>
        <w:rPr>
          <w:rFonts w:hint="eastAsia"/>
        </w:rPr>
        <w:t xml:space="preserve">4.1.10开标在招标文件规定的时间、地点进行，由采购人或采购代理机构主持，邀请投标人参加（观看），评标委员会成员不得参加开标活动。</w:t>
      </w:r>
      <w:r>
        <w:rPr>
          <w:rFonts w:hint="eastAsia"/>
        </w:rPr>
      </w:r>
      <w:r/>
    </w:p>
    <w:p>
      <w:pPr>
        <w:pStyle w:val="864"/>
        <w:spacing w:line="480" w:lineRule="exact"/>
        <w:rPr>
          <w:rFonts w:hint="eastAsia"/>
        </w:rPr>
      </w:pPr>
      <w:r>
        <w:rPr>
          <w:rFonts w:hint="eastAsia"/>
        </w:rPr>
        <w:t xml:space="preserve">4.2资格审查</w:t>
      </w:r>
      <w:r>
        <w:rPr>
          <w:rFonts w:hint="eastAsia"/>
        </w:rPr>
      </w:r>
      <w:r/>
    </w:p>
    <w:p>
      <w:pPr>
        <w:pStyle w:val="864"/>
        <w:spacing w:line="480" w:lineRule="exact"/>
        <w:rPr>
          <w:rFonts w:hint="eastAsia"/>
        </w:rPr>
      </w:pPr>
      <w:r>
        <w:rPr>
          <w:rFonts w:hint="eastAsia"/>
        </w:rPr>
        <w:t xml:space="preserve">4.2.1开标结束后，采购人应当依法对投标人的资格进行审查，未通过资格审查的投标无效。</w:t>
      </w:r>
      <w:r>
        <w:rPr>
          <w:rFonts w:hint="eastAsia"/>
        </w:rPr>
      </w:r>
      <w:r/>
    </w:p>
    <w:p>
      <w:pPr>
        <w:pStyle w:val="864"/>
        <w:spacing w:line="400" w:lineRule="exact"/>
        <w:rPr>
          <w:rFonts w:hint="eastAsia" w:ascii="宋体" w:hAnsi="宋体"/>
          <w:bCs/>
          <w:color w:val="000000"/>
          <w:szCs w:val="21"/>
          <w:lang w:val="zh-CN"/>
        </w:rPr>
      </w:pPr>
      <w:r>
        <w:rPr>
          <w:rFonts w:hint="eastAsia"/>
        </w:rPr>
        <w:t xml:space="preserve">4.2.2信用查询：根据政府采购法及相关法律法规，以及苏州市财政局《关于印发苏州市市级政府采购信用记录查询和使用工作试行办法的通知》（苏财购（2017）11号）文件的规定，采购人、采购代理机构对供应商进行信用查询。</w:t>
      </w:r>
      <w:r>
        <w:rPr>
          <w:rFonts w:hint="eastAsia" w:ascii="宋体" w:hAnsi="宋体"/>
          <w:bCs/>
          <w:color w:val="000000"/>
          <w:szCs w:val="21"/>
          <w:lang w:val="zh-CN"/>
        </w:rPr>
      </w:r>
      <w:r/>
    </w:p>
    <w:p>
      <w:pPr>
        <w:pStyle w:val="864"/>
        <w:spacing w:line="480" w:lineRule="exact"/>
        <w:rPr>
          <w:rFonts w:hint="eastAsia"/>
        </w:rPr>
      </w:pPr>
      <w:r>
        <w:rPr>
          <w:rFonts w:hint="eastAsia"/>
        </w:rPr>
        <w:t xml:space="preserve">4.2.2.1查询时间：投标文件提交截止时间。</w:t>
      </w:r>
      <w:r>
        <w:rPr>
          <w:rFonts w:hint="eastAsia"/>
        </w:rPr>
      </w:r>
      <w:r/>
    </w:p>
    <w:p>
      <w:pPr>
        <w:pStyle w:val="864"/>
        <w:spacing w:line="480" w:lineRule="exact"/>
        <w:rPr>
          <w:rFonts w:hint="eastAsia"/>
        </w:rPr>
      </w:pPr>
      <w:r>
        <w:rPr>
          <w:rFonts w:hint="eastAsia"/>
        </w:rPr>
        <w:t xml:space="preserve">4.2.2.2查询渠道：</w:t>
      </w:r>
      <w:r>
        <w:rPr>
          <w:rFonts w:hint="eastAsia" w:ascii="宋体" w:hAnsi="宋体" w:eastAsia="宋体"/>
          <w:color w:val="000000"/>
          <w:sz w:val="24"/>
        </w:rPr>
        <w:t xml:space="preserve">“</w:t>
      </w:r>
      <w:r>
        <w:rPr>
          <w:rFonts w:hint="eastAsia" w:ascii="Times New Roman" w:hAnsi="Times New Roman" w:eastAsia="宋体" w:cs="Times New Roman"/>
        </w:rPr>
        <w:t xml:space="preserve">苏采云”系统平台。</w:t>
      </w:r>
      <w:r>
        <w:rPr>
          <w:rFonts w:hint="eastAsia"/>
        </w:rPr>
      </w:r>
      <w:r/>
    </w:p>
    <w:p>
      <w:pPr>
        <w:pStyle w:val="864"/>
        <w:spacing w:line="480" w:lineRule="exact"/>
        <w:rPr>
          <w:rFonts w:hint="eastAsia"/>
        </w:rPr>
      </w:pPr>
      <w:r>
        <w:rPr>
          <w:rFonts w:hint="eastAsia"/>
        </w:rPr>
        <w:t xml:space="preserve">4.2.2.3查询证据留存方式：对存在失信信息的供应商，评审小组应填写《苏州市级政府采购供应商失信信息确认函》，由失信供应商签名（章）确认。采购代理机构工作人员应登陆到来源网站页面进行复核并打印，作为证据留存。</w:t>
      </w:r>
      <w:r>
        <w:rPr>
          <w:rFonts w:hint="eastAsia"/>
        </w:rPr>
      </w:r>
      <w:r/>
    </w:p>
    <w:p>
      <w:pPr>
        <w:pStyle w:val="864"/>
        <w:spacing w:line="480" w:lineRule="exact"/>
        <w:rPr>
          <w:rFonts w:hint="eastAsia"/>
        </w:rPr>
      </w:pPr>
      <w:r>
        <w:rPr>
          <w:rFonts w:hint="eastAsia"/>
        </w:rPr>
        <w:t xml:space="preserve">4.2.2.4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rFonts w:hint="eastAsia"/>
        </w:rPr>
      </w:r>
      <w:r/>
    </w:p>
    <w:p>
      <w:pPr>
        <w:pStyle w:val="864"/>
        <w:spacing w:line="480" w:lineRule="exact"/>
        <w:rPr>
          <w:rFonts w:hint="eastAsia"/>
        </w:rPr>
      </w:pPr>
      <w:r>
        <w:rPr>
          <w:rFonts w:hint="eastAsia"/>
        </w:rPr>
        <w:t xml:space="preserve">（一）政府采购严重违法记录，即供应商被全国各级财政部门列入“政府采购严重违法失信行为记录名单”，且在处罚有效期内的。</w:t>
      </w:r>
      <w:r>
        <w:rPr>
          <w:rFonts w:hint="eastAsia"/>
        </w:rPr>
      </w:r>
      <w:r/>
    </w:p>
    <w:p>
      <w:pPr>
        <w:pStyle w:val="864"/>
        <w:spacing w:line="480" w:lineRule="exact"/>
        <w:rPr>
          <w:rFonts w:hint="eastAsia"/>
        </w:rPr>
      </w:pPr>
      <w:r>
        <w:rPr>
          <w:rFonts w:hint="eastAsia"/>
        </w:rPr>
        <w:t xml:space="preserve">（二）财政部门与法院、工商、税务等部门联合惩戒的失信信息，包括：</w:t>
      </w:r>
      <w:r>
        <w:rPr>
          <w:rFonts w:hint="eastAsia"/>
        </w:rPr>
      </w:r>
      <w:r/>
    </w:p>
    <w:p>
      <w:pPr>
        <w:pStyle w:val="864"/>
        <w:spacing w:line="480" w:lineRule="exact"/>
        <w:rPr>
          <w:rFonts w:hint="eastAsia"/>
        </w:rPr>
      </w:pPr>
      <w:r>
        <w:rPr>
          <w:rFonts w:hint="eastAsia"/>
        </w:rPr>
        <w:t xml:space="preserve">（1）被列入失信被执行人名单；</w:t>
      </w:r>
      <w:r>
        <w:rPr>
          <w:rFonts w:hint="eastAsia"/>
        </w:rPr>
      </w:r>
      <w:r/>
    </w:p>
    <w:p>
      <w:pPr>
        <w:pStyle w:val="864"/>
        <w:spacing w:line="480" w:lineRule="exact"/>
        <w:rPr>
          <w:rFonts w:hint="eastAsia"/>
        </w:rPr>
      </w:pPr>
      <w:r>
        <w:rPr>
          <w:rFonts w:hint="eastAsia"/>
        </w:rPr>
        <w:t xml:space="preserve">（2）被列入重大税收违法案件当事人名单；</w:t>
      </w:r>
      <w:r>
        <w:rPr>
          <w:rFonts w:hint="eastAsia"/>
        </w:rPr>
      </w:r>
      <w:r/>
    </w:p>
    <w:p>
      <w:pPr>
        <w:pStyle w:val="864"/>
        <w:spacing w:line="480" w:lineRule="exact"/>
        <w:rPr>
          <w:rFonts w:hint="eastAsia"/>
        </w:rPr>
      </w:pPr>
      <w:r>
        <w:rPr>
          <w:rFonts w:hint="eastAsia"/>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rPr>
      </w:r>
      <w:r/>
    </w:p>
    <w:p>
      <w:pPr>
        <w:pStyle w:val="864"/>
        <w:spacing w:line="480" w:lineRule="exact"/>
        <w:rPr>
          <w:rFonts w:hint="eastAsia"/>
        </w:rPr>
      </w:pPr>
      <w:r>
        <w:rPr>
          <w:rFonts w:hint="eastAsia"/>
        </w:rPr>
        <w:t xml:space="preserve">4.2.2.5接受联合体的项目，两个以上的自然人、法人或者其他组织组成一个联合体，以一个投标人的身份共同参加政府采购活动的，联合体成员其中一名成员存在失信信息的，视同联合体存在失信信息。</w:t>
      </w:r>
      <w:r>
        <w:rPr>
          <w:rFonts w:hint="eastAsia"/>
        </w:rPr>
      </w:r>
      <w:r/>
    </w:p>
    <w:p>
      <w:pPr>
        <w:pStyle w:val="864"/>
        <w:spacing w:line="480" w:lineRule="exact"/>
        <w:rPr>
          <w:rFonts w:hint="eastAsia"/>
        </w:rPr>
      </w:pPr>
      <w:r>
        <w:rPr>
          <w:rFonts w:hint="eastAsia"/>
        </w:rPr>
        <w:t xml:space="preserve">4.3评标委员会</w:t>
      </w:r>
      <w:r>
        <w:rPr>
          <w:rFonts w:hint="eastAsia"/>
        </w:rPr>
      </w:r>
      <w:r/>
    </w:p>
    <w:p>
      <w:pPr>
        <w:pStyle w:val="864"/>
        <w:spacing w:line="480" w:lineRule="exact"/>
        <w:rPr>
          <w:rFonts w:hint="eastAsia"/>
        </w:rPr>
      </w:pPr>
      <w:r>
        <w:rPr>
          <w:rFonts w:hint="eastAsia"/>
        </w:rPr>
        <w:t xml:space="preserve">4.3.1采购人或采购代理机构负责组织评标工作，评标委员会由采购人代表和评审专家组成，且人员构成符合政府采购有关规定，评标委员会负责具体评标事务，并独立履行职责。</w:t>
      </w:r>
      <w:r>
        <w:rPr>
          <w:rFonts w:hint="eastAsia"/>
        </w:rPr>
      </w:r>
      <w:r/>
    </w:p>
    <w:p>
      <w:pPr>
        <w:pStyle w:val="864"/>
        <w:spacing w:line="480" w:lineRule="exact"/>
        <w:rPr>
          <w:rFonts w:hint="eastAsia"/>
        </w:rPr>
      </w:pPr>
      <w:r>
        <w:rPr>
          <w:rFonts w:hint="eastAsia"/>
        </w:rPr>
        <w:t xml:space="preserve">4.3.2评审专家与参加采购活动的投标人存在下列利害关系之一的,应当回避:</w:t>
      </w:r>
      <w:r>
        <w:rPr>
          <w:rFonts w:hint="eastAsia"/>
        </w:rPr>
      </w:r>
      <w:r/>
    </w:p>
    <w:p>
      <w:pPr>
        <w:pStyle w:val="864"/>
        <w:spacing w:line="480" w:lineRule="exact"/>
        <w:rPr>
          <w:rFonts w:hint="eastAsia"/>
        </w:rPr>
      </w:pPr>
      <w:r>
        <w:rPr>
          <w:rFonts w:hint="eastAsia"/>
        </w:rPr>
        <w:t xml:space="preserve">(一)参加采购活动前三年内,与投标人存在劳动关系,或者担任过投标人的董事、监事,或者是投标人的控股股东或实际控制人;</w:t>
      </w:r>
      <w:r>
        <w:rPr>
          <w:rFonts w:hint="eastAsia"/>
        </w:rPr>
      </w:r>
      <w:r/>
    </w:p>
    <w:p>
      <w:pPr>
        <w:pStyle w:val="864"/>
        <w:spacing w:line="480" w:lineRule="exact"/>
        <w:rPr>
          <w:rFonts w:hint="eastAsia"/>
        </w:rPr>
      </w:pPr>
      <w:r>
        <w:rPr>
          <w:rFonts w:hint="eastAsia"/>
        </w:rPr>
        <w:t xml:space="preserve">(二)与投标人的法定代表人或者负责人有夫妻、直系血亲、三代以内旁系血亲或者近姻亲关系;</w:t>
      </w:r>
      <w:r>
        <w:rPr>
          <w:rFonts w:hint="eastAsia"/>
        </w:rPr>
      </w:r>
      <w:r/>
    </w:p>
    <w:p>
      <w:pPr>
        <w:pStyle w:val="864"/>
        <w:spacing w:line="480" w:lineRule="exact"/>
        <w:rPr>
          <w:rFonts w:hint="eastAsia"/>
        </w:rPr>
      </w:pPr>
      <w:r>
        <w:rPr>
          <w:rFonts w:hint="eastAsia"/>
        </w:rPr>
        <w:t xml:space="preserve">(三)与投标人有其他可能影响政府采购活动公平、公正进行的关系。</w:t>
      </w:r>
      <w:r>
        <w:rPr>
          <w:rFonts w:hint="eastAsia"/>
        </w:rPr>
      </w:r>
      <w:r/>
    </w:p>
    <w:p>
      <w:pPr>
        <w:pStyle w:val="864"/>
        <w:spacing w:line="480" w:lineRule="exact"/>
        <w:rPr>
          <w:rFonts w:hint="eastAsia"/>
        </w:rPr>
      </w:pPr>
      <w:r>
        <w:rPr>
          <w:rFonts w:hint="eastAsia"/>
        </w:rPr>
        <w:t xml:space="preserve">评审专家发现本人与参加采购活动的投标人有利害关系的,应当主动提出回避。采购人或者采购代理机构发现评审专家与参加采购活动的投标人有利害关系的,应当要求其回避。</w:t>
      </w:r>
      <w:r>
        <w:rPr>
          <w:rFonts w:hint="eastAsia"/>
        </w:rPr>
      </w:r>
      <w:r/>
    </w:p>
    <w:p>
      <w:pPr>
        <w:pStyle w:val="864"/>
        <w:spacing w:line="480" w:lineRule="exact"/>
        <w:rPr>
          <w:rFonts w:hint="eastAsia"/>
        </w:rPr>
      </w:pPr>
      <w:r>
        <w:rPr>
          <w:rFonts w:hint="eastAsia"/>
        </w:rPr>
        <w:t xml:space="preserve">4.3.3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rPr>
          <w:rFonts w:hint="eastAsia"/>
        </w:rPr>
      </w:r>
      <w:r/>
    </w:p>
    <w:p>
      <w:pPr>
        <w:pStyle w:val="864"/>
        <w:spacing w:line="480" w:lineRule="exact"/>
        <w:rPr>
          <w:rFonts w:hint="eastAsia"/>
        </w:rPr>
      </w:pPr>
      <w:r>
        <w:rPr>
          <w:rFonts w:hint="eastAsia"/>
        </w:rPr>
        <w:t xml:space="preserve">4.3.4评标委员会成员应当按照客观、公正、审慎的原则，根据采购文件规定的评审程序、评审方法和评审标准进行独立评审。</w:t>
      </w:r>
      <w:r>
        <w:rPr>
          <w:rFonts w:hint="eastAsia"/>
        </w:rPr>
      </w:r>
      <w:r/>
    </w:p>
    <w:p>
      <w:pPr>
        <w:pStyle w:val="864"/>
        <w:spacing w:line="480" w:lineRule="exact"/>
        <w:rPr>
          <w:rFonts w:hint="eastAsia"/>
        </w:rPr>
      </w:pPr>
      <w:r>
        <w:rPr>
          <w:rFonts w:hint="eastAsia"/>
        </w:rPr>
        <w:t xml:space="preserve">4.4评标</w:t>
      </w:r>
      <w:r>
        <w:rPr>
          <w:rFonts w:hint="eastAsia"/>
        </w:rPr>
      </w:r>
      <w:r/>
    </w:p>
    <w:p>
      <w:pPr>
        <w:pStyle w:val="864"/>
        <w:spacing w:line="480" w:lineRule="exact"/>
        <w:rPr>
          <w:rFonts w:hint="eastAsia"/>
        </w:rPr>
      </w:pPr>
      <w:r>
        <w:rPr>
          <w:rFonts w:hint="eastAsia"/>
        </w:rPr>
        <w:t xml:space="preserve">4.4.1符合性审查</w:t>
      </w:r>
      <w:r>
        <w:rPr>
          <w:rFonts w:hint="eastAsia"/>
        </w:rPr>
      </w:r>
      <w:r/>
    </w:p>
    <w:p>
      <w:pPr>
        <w:pStyle w:val="864"/>
        <w:spacing w:line="480" w:lineRule="exact"/>
        <w:rPr>
          <w:rFonts w:hint="eastAsia"/>
        </w:rPr>
      </w:pPr>
      <w:r>
        <w:rPr>
          <w:rFonts w:hint="eastAsia"/>
        </w:rPr>
        <w:t xml:space="preserve">评标委员会应当对符合资格的投标人的投标文件进行符合性审查，以确定其是否满足招标文件的实质性要求。未满足本项目实质性要求的认定为无效投标。</w:t>
      </w:r>
      <w:r>
        <w:rPr>
          <w:rFonts w:hint="eastAsia"/>
        </w:rPr>
      </w:r>
      <w:r/>
    </w:p>
    <w:p>
      <w:pPr>
        <w:pStyle w:val="864"/>
        <w:spacing w:line="480" w:lineRule="exact"/>
        <w:rPr>
          <w:rFonts w:hint="eastAsia"/>
        </w:rPr>
      </w:pPr>
      <w:r>
        <w:rPr>
          <w:rFonts w:hint="eastAsia"/>
        </w:rPr>
        <w:t xml:space="preserve">4.4.2投标文件的比较和评价</w:t>
      </w:r>
      <w:r>
        <w:rPr>
          <w:rFonts w:hint="eastAsia"/>
        </w:rPr>
      </w:r>
      <w:r/>
    </w:p>
    <w:p>
      <w:pPr>
        <w:pStyle w:val="864"/>
        <w:spacing w:line="480" w:lineRule="exact"/>
        <w:rPr>
          <w:rFonts w:hint="eastAsia"/>
        </w:rPr>
      </w:pPr>
      <w:r>
        <w:rPr>
          <w:rFonts w:hint="eastAsia"/>
        </w:rPr>
        <w:t xml:space="preserve">4.4.2.1评标委员会应当按照招标文件中规定的评标方法和标准，对符合性审查合格的投标文件进行商务和技术评估，综合比较与评价。</w:t>
      </w:r>
      <w:r>
        <w:rPr>
          <w:rFonts w:hint="eastAsia"/>
        </w:rPr>
      </w:r>
      <w:r/>
    </w:p>
    <w:p>
      <w:pPr>
        <w:pStyle w:val="864"/>
        <w:spacing w:line="480" w:lineRule="exact"/>
        <w:rPr>
          <w:rFonts w:hint="eastAsia"/>
        </w:rPr>
      </w:pPr>
      <w:r>
        <w:rPr>
          <w:rFonts w:hint="eastAsia"/>
        </w:rPr>
        <w:t xml:space="preserve">4.4.2.2本项目采用综合评分法，即指投标文件满足招标文件全部实质性要求，且按照评审因素的量化指标评审得分最高的投标人为排名第一的中标候选人的评标方法。评标办法和标准见第六章。</w:t>
      </w:r>
      <w:r>
        <w:rPr>
          <w:rFonts w:hint="eastAsia"/>
        </w:rPr>
      </w:r>
      <w:r/>
    </w:p>
    <w:p>
      <w:pPr>
        <w:pStyle w:val="864"/>
        <w:spacing w:line="480" w:lineRule="exact"/>
        <w:rPr>
          <w:rFonts w:hint="eastAsia"/>
        </w:rPr>
      </w:pPr>
      <w:r>
        <w:rPr>
          <w:rFonts w:hint="eastAsia"/>
        </w:rPr>
        <w:t xml:space="preserve">4.4.2.3价格修正</w:t>
      </w:r>
      <w:r>
        <w:rPr>
          <w:rFonts w:hint="eastAsia"/>
        </w:rPr>
      </w:r>
      <w:r/>
    </w:p>
    <w:p>
      <w:pPr>
        <w:pStyle w:val="864"/>
        <w:spacing w:line="480" w:lineRule="exact"/>
        <w:rPr>
          <w:rFonts w:hint="eastAsia"/>
        </w:rPr>
      </w:pPr>
      <w:r>
        <w:rPr>
          <w:rFonts w:hint="eastAsia"/>
        </w:rPr>
        <w:t xml:space="preserve">投标文件报价出现前后不一致的，除招标文件另有规定外，按下列规定修正：</w:t>
      </w:r>
      <w:r>
        <w:rPr>
          <w:rFonts w:hint="eastAsia"/>
        </w:rPr>
      </w:r>
      <w:r/>
    </w:p>
    <w:p>
      <w:pPr>
        <w:pStyle w:val="864"/>
        <w:spacing w:line="480" w:lineRule="exact"/>
        <w:rPr>
          <w:rFonts w:hint="eastAsia"/>
        </w:rPr>
      </w:pPr>
      <w:r>
        <w:rPr>
          <w:rFonts w:hint="eastAsia"/>
        </w:rPr>
        <w:t xml:space="preserve">（一）投标文件中开标一览表（报价表）内容与投标文件中相应内容不一致的，以开标一览表（报价表）为准；</w:t>
      </w:r>
      <w:r>
        <w:rPr>
          <w:rFonts w:hint="eastAsia"/>
        </w:rPr>
      </w:r>
      <w:r/>
    </w:p>
    <w:p>
      <w:pPr>
        <w:pStyle w:val="864"/>
        <w:spacing w:line="480" w:lineRule="exact"/>
        <w:rPr>
          <w:rFonts w:hint="eastAsia"/>
        </w:rPr>
      </w:pPr>
      <w:r>
        <w:rPr>
          <w:rFonts w:hint="eastAsia"/>
        </w:rPr>
        <w:t xml:space="preserve">（二）大写金额和小写金额不一致的，以大写金额为准；</w:t>
      </w:r>
      <w:r>
        <w:rPr>
          <w:rFonts w:hint="eastAsia"/>
        </w:rPr>
      </w:r>
      <w:r/>
    </w:p>
    <w:p>
      <w:pPr>
        <w:pStyle w:val="864"/>
        <w:spacing w:line="480" w:lineRule="exact"/>
        <w:rPr>
          <w:rFonts w:hint="eastAsia"/>
        </w:rPr>
      </w:pPr>
      <w:r>
        <w:rPr>
          <w:rFonts w:hint="eastAsia"/>
        </w:rPr>
        <w:t xml:space="preserve">（三）单价金额小数点或者百分比有明显错位的，以开标一览表的总价为准，并修改单价；</w:t>
      </w:r>
      <w:r>
        <w:rPr>
          <w:rFonts w:hint="eastAsia"/>
        </w:rPr>
      </w:r>
      <w:r/>
    </w:p>
    <w:p>
      <w:pPr>
        <w:pStyle w:val="864"/>
        <w:spacing w:line="480" w:lineRule="exact"/>
        <w:rPr>
          <w:rFonts w:hint="eastAsia"/>
        </w:rPr>
      </w:pPr>
      <w:r>
        <w:rPr>
          <w:rFonts w:hint="eastAsia"/>
        </w:rPr>
        <w:t xml:space="preserve">（四）总价金额与按单价汇总金额不一致的，以单价金额计算结果为准。</w:t>
      </w:r>
      <w:r>
        <w:rPr>
          <w:rFonts w:hint="eastAsia"/>
        </w:rPr>
      </w:r>
      <w:r/>
    </w:p>
    <w:p>
      <w:pPr>
        <w:pStyle w:val="864"/>
        <w:spacing w:line="480" w:lineRule="exact"/>
        <w:rPr>
          <w:rFonts w:hint="eastAsia"/>
        </w:rPr>
      </w:pPr>
      <w:r>
        <w:rPr>
          <w:rFonts w:hint="eastAsia"/>
        </w:rPr>
        <w:t xml:space="preserve">同时出现两种以上不一致的，按照前款规定的顺序修正。</w:t>
      </w:r>
      <w:r>
        <w:rPr>
          <w:rFonts w:hint="eastAsia"/>
        </w:rPr>
      </w:r>
      <w:r/>
    </w:p>
    <w:p>
      <w:pPr>
        <w:pStyle w:val="864"/>
        <w:spacing w:line="480" w:lineRule="exact"/>
        <w:rPr>
          <w:rFonts w:hint="eastAsia"/>
        </w:rPr>
      </w:pPr>
      <w:r>
        <w:rPr>
          <w:rFonts w:hint="eastAsia"/>
        </w:rPr>
        <w:t xml:space="preserve">修正后的报价按照《中华人民共和国财政部令第87号》第五十一条第二款的规定经投标人确认后产生约束力，投标人不确认的，其投标无效。</w:t>
      </w:r>
      <w:r>
        <w:rPr>
          <w:rFonts w:hint="eastAsia"/>
        </w:rPr>
      </w:r>
      <w:r/>
    </w:p>
    <w:p>
      <w:pPr>
        <w:pStyle w:val="864"/>
        <w:spacing w:line="480" w:lineRule="exact"/>
        <w:rPr>
          <w:rFonts w:hint="eastAsia"/>
        </w:rPr>
      </w:pPr>
      <w:r>
        <w:rPr>
          <w:rFonts w:hint="eastAsia"/>
        </w:rPr>
        <w:t xml:space="preserve">4.4.2.4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将其作为无效投标处理。</w:t>
      </w:r>
      <w:r>
        <w:rPr>
          <w:rFonts w:hint="eastAsia"/>
        </w:rPr>
      </w:r>
      <w:r/>
    </w:p>
    <w:p>
      <w:pPr>
        <w:pStyle w:val="864"/>
        <w:spacing w:line="480" w:lineRule="exact"/>
        <w:rPr>
          <w:rFonts w:hint="eastAsia"/>
        </w:rPr>
      </w:pPr>
      <w:r>
        <w:rPr>
          <w:rFonts w:hint="eastAsia"/>
        </w:rPr>
        <w:t xml:space="preserve">4.4.3投标的澄清</w:t>
      </w:r>
      <w:r>
        <w:rPr>
          <w:rFonts w:hint="eastAsia"/>
        </w:rPr>
      </w:r>
      <w:r/>
    </w:p>
    <w:p>
      <w:pPr>
        <w:pStyle w:val="864"/>
        <w:spacing w:line="480" w:lineRule="exact"/>
        <w:rPr>
          <w:rFonts w:hint="eastAsia"/>
        </w:rPr>
      </w:pPr>
      <w:r>
        <w:rPr>
          <w:rFonts w:hint="eastAsia"/>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rPr>
      </w:r>
      <w:r/>
    </w:p>
    <w:p>
      <w:pPr>
        <w:pStyle w:val="864"/>
        <w:spacing w:line="480" w:lineRule="exact"/>
        <w:rPr>
          <w:rFonts w:hint="eastAsia"/>
        </w:rPr>
      </w:pPr>
      <w:r>
        <w:rPr>
          <w:rFonts w:hint="eastAsia"/>
        </w:rPr>
        <w:t xml:space="preserve">4.4.3.1本项目采用线上澄清。</w:t>
      </w:r>
      <w:r>
        <w:rPr>
          <w:rFonts w:hint="eastAsia"/>
        </w:rPr>
      </w:r>
      <w:r/>
    </w:p>
    <w:p>
      <w:pPr>
        <w:pStyle w:val="864"/>
        <w:spacing w:line="480" w:lineRule="exact"/>
        <w:rPr>
          <w:rFonts w:hint="eastAsia"/>
        </w:rPr>
      </w:pPr>
      <w:r>
        <w:rPr>
          <w:rFonts w:hint="eastAsia"/>
        </w:rPr>
        <w:t xml:space="preserve">4.4.3.2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投标文件的补充部分，具体操作方式见《操作手册》。未加盖CA电子公章的澄清无效。</w:t>
      </w:r>
      <w:r>
        <w:rPr>
          <w:rFonts w:hint="eastAsia"/>
        </w:rPr>
      </w:r>
      <w:r/>
    </w:p>
    <w:p>
      <w:pPr>
        <w:pStyle w:val="864"/>
        <w:spacing w:line="480" w:lineRule="exact"/>
        <w:rPr>
          <w:rFonts w:hint="eastAsia"/>
        </w:rPr>
      </w:pPr>
      <w:r>
        <w:rPr>
          <w:rFonts w:hint="eastAsia"/>
        </w:rPr>
        <w:t xml:space="preserve">4.4.3.3接到澄清、说明和更正要求的供应商如未按规定做出澄清、说明和更正，其风险由供应商自行承担。</w:t>
      </w:r>
      <w:r>
        <w:rPr>
          <w:rFonts w:hint="eastAsia"/>
        </w:rPr>
      </w:r>
      <w:r/>
    </w:p>
    <w:p>
      <w:pPr>
        <w:pStyle w:val="864"/>
        <w:spacing w:line="480" w:lineRule="exact"/>
        <w:rPr>
          <w:rFonts w:hint="eastAsia"/>
        </w:rPr>
      </w:pPr>
      <w:r>
        <w:rPr>
          <w:rFonts w:hint="eastAsia"/>
        </w:rPr>
        <w:t xml:space="preserve">5废标</w:t>
      </w:r>
      <w:r>
        <w:rPr>
          <w:rFonts w:hint="eastAsia"/>
        </w:rPr>
      </w:r>
      <w:r/>
    </w:p>
    <w:p>
      <w:pPr>
        <w:pStyle w:val="864"/>
        <w:spacing w:line="480" w:lineRule="exact"/>
        <w:rPr>
          <w:rFonts w:hint="eastAsia"/>
        </w:rPr>
      </w:pPr>
      <w:r>
        <w:rPr>
          <w:rFonts w:hint="eastAsia"/>
        </w:rPr>
        <w:t xml:space="preserve">出现下列情形之一的，应予废标：</w:t>
      </w:r>
      <w:r>
        <w:rPr>
          <w:rFonts w:hint="eastAsia"/>
        </w:rPr>
      </w:r>
      <w:r/>
    </w:p>
    <w:p>
      <w:pPr>
        <w:pStyle w:val="864"/>
        <w:spacing w:line="480" w:lineRule="exact"/>
        <w:rPr>
          <w:rFonts w:hint="eastAsia"/>
        </w:rPr>
      </w:pPr>
      <w:r>
        <w:rPr>
          <w:rFonts w:hint="eastAsia"/>
        </w:rPr>
        <w:t xml:space="preserve">（一）符合专业条件的投标人或者对招标文件作实质响应的投标人不足三家的；</w:t>
      </w:r>
      <w:r>
        <w:rPr>
          <w:rFonts w:hint="eastAsia"/>
        </w:rPr>
      </w:r>
      <w:r/>
    </w:p>
    <w:p>
      <w:pPr>
        <w:pStyle w:val="864"/>
        <w:spacing w:line="480" w:lineRule="exact"/>
        <w:rPr>
          <w:rFonts w:hint="eastAsia"/>
        </w:rPr>
      </w:pPr>
      <w:r>
        <w:rPr>
          <w:rFonts w:hint="eastAsia"/>
        </w:rPr>
        <w:t xml:space="preserve">（二）出现影响采购公正的违法、违规行为的；</w:t>
      </w:r>
      <w:r>
        <w:rPr>
          <w:rFonts w:hint="eastAsia"/>
        </w:rPr>
      </w:r>
      <w:r/>
    </w:p>
    <w:p>
      <w:pPr>
        <w:pStyle w:val="864"/>
        <w:spacing w:line="480" w:lineRule="exact"/>
        <w:rPr>
          <w:rFonts w:hint="eastAsia"/>
        </w:rPr>
      </w:pPr>
      <w:r>
        <w:rPr>
          <w:rFonts w:hint="eastAsia"/>
        </w:rPr>
        <w:t xml:space="preserve">（三）投标人的报价均超过了采购预算，采购人不能支付的；</w:t>
      </w:r>
      <w:r>
        <w:rPr>
          <w:rFonts w:hint="eastAsia"/>
        </w:rPr>
      </w:r>
      <w:r/>
    </w:p>
    <w:p>
      <w:pPr>
        <w:pStyle w:val="864"/>
        <w:spacing w:line="480" w:lineRule="exact"/>
        <w:rPr>
          <w:rFonts w:hint="eastAsia"/>
        </w:rPr>
      </w:pPr>
      <w:r>
        <w:rPr>
          <w:rFonts w:hint="eastAsia"/>
        </w:rPr>
        <w:t xml:space="preserve">（四）因重大变故，采购任务取消的。</w:t>
      </w:r>
      <w:r>
        <w:rPr>
          <w:rFonts w:hint="eastAsia"/>
        </w:rPr>
      </w:r>
      <w:r/>
    </w:p>
    <w:p>
      <w:pPr>
        <w:pStyle w:val="864"/>
        <w:spacing w:line="480" w:lineRule="exact"/>
        <w:rPr>
          <w:rFonts w:hint="eastAsia"/>
        </w:rPr>
      </w:pPr>
      <w:r>
        <w:rPr>
          <w:rFonts w:hint="eastAsia"/>
        </w:rPr>
        <w:t xml:space="preserve">废标后，采购人应当将废标理由通知所有投标人。</w:t>
      </w:r>
      <w:r>
        <w:rPr>
          <w:rFonts w:hint="eastAsia"/>
        </w:rPr>
      </w:r>
      <w:r/>
    </w:p>
    <w:p>
      <w:pPr>
        <w:pStyle w:val="864"/>
        <w:spacing w:line="480" w:lineRule="exact"/>
        <w:rPr>
          <w:rFonts w:hint="eastAsia"/>
        </w:rPr>
      </w:pPr>
      <w:r>
        <w:rPr>
          <w:rFonts w:hint="eastAsia"/>
        </w:rPr>
        <w:t xml:space="preserve">6中标</w:t>
      </w:r>
      <w:r>
        <w:rPr>
          <w:rFonts w:hint="eastAsia"/>
        </w:rPr>
      </w:r>
      <w:r/>
    </w:p>
    <w:p>
      <w:pPr>
        <w:pStyle w:val="864"/>
        <w:spacing w:line="480" w:lineRule="exact"/>
        <w:rPr>
          <w:rFonts w:hint="eastAsia"/>
        </w:rPr>
      </w:pPr>
      <w:r>
        <w:rPr>
          <w:rFonts w:hint="eastAsia"/>
        </w:rPr>
        <w:t xml:space="preserve">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rPr>
      </w:r>
      <w:r/>
    </w:p>
    <w:p>
      <w:pPr>
        <w:pStyle w:val="864"/>
        <w:spacing w:line="480" w:lineRule="exact"/>
        <w:rPr>
          <w:rFonts w:hint="eastAsia"/>
        </w:rPr>
      </w:pPr>
      <w:r>
        <w:rPr>
          <w:rFonts w:hint="eastAsia"/>
        </w:rPr>
        <w:t xml:space="preserve">6.2评标委员会在确定的中标候选人名单中按顺序确定中标人，中标候选人并列的，按照招标文件规定的方式确定中标人；招标文件未规定的，采取随机抽取的方式确定。</w:t>
      </w:r>
      <w:r>
        <w:rPr>
          <w:rFonts w:hint="eastAsia"/>
        </w:rPr>
      </w:r>
      <w:r/>
    </w:p>
    <w:p>
      <w:pPr>
        <w:pStyle w:val="864"/>
        <w:spacing w:line="480" w:lineRule="exact"/>
        <w:rPr>
          <w:rFonts w:hint="eastAsia"/>
        </w:rPr>
      </w:pPr>
      <w:r>
        <w:rPr>
          <w:rFonts w:hint="eastAsia"/>
        </w:rPr>
        <w:t xml:space="preserve">6.3采购人或者采购代理机构应当自中标人确定之日起2个工作日内将中标人在政府采购信息媒体上发布中标公告，中标公告期限为1个工作日。</w:t>
      </w:r>
      <w:r>
        <w:rPr>
          <w:rFonts w:hint="eastAsia"/>
        </w:rPr>
      </w:r>
      <w:r/>
    </w:p>
    <w:p>
      <w:pPr>
        <w:pStyle w:val="864"/>
        <w:spacing w:line="480" w:lineRule="exact"/>
        <w:rPr>
          <w:rFonts w:hint="eastAsia"/>
        </w:rPr>
      </w:pPr>
      <w:r>
        <w:rPr>
          <w:rFonts w:hint="eastAsia"/>
        </w:rPr>
        <w:t xml:space="preserve">6.4在公告中标结果的同时，采购人或者采购代理机构应当向中标人发出中标通知书（中标通知书将在“苏采云”系统中发出，中标通知书发出之日视为中标供应商领取之日），请中标人在中标结果公告届满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投标人，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rPr>
          <w:rFonts w:hint="eastAsia"/>
        </w:rPr>
      </w:r>
      <w:r/>
    </w:p>
    <w:p>
      <w:pPr>
        <w:pStyle w:val="864"/>
        <w:spacing w:line="480" w:lineRule="exact"/>
        <w:rPr>
          <w:rFonts w:hint="eastAsia"/>
        </w:rPr>
      </w:pPr>
      <w:r>
        <w:rPr>
          <w:rFonts w:hint="eastAsia"/>
        </w:rPr>
        <w:t xml:space="preserve">6.5中标通知书发出后，采购人不得违法改变中标结果，中标人无正当理由不得放弃中标。</w:t>
      </w:r>
      <w:r>
        <w:rPr>
          <w:rFonts w:hint="eastAsia"/>
        </w:rPr>
      </w:r>
      <w:r/>
    </w:p>
    <w:p>
      <w:pPr>
        <w:pStyle w:val="864"/>
        <w:spacing w:line="480" w:lineRule="exact"/>
        <w:rPr>
          <w:rFonts w:hint="eastAsia"/>
          <w:highlight w:val="none"/>
        </w:rPr>
      </w:pPr>
      <w:r>
        <w:rPr>
          <w:rFonts w:hint="eastAsia"/>
          <w:highlight w:val="none"/>
        </w:rPr>
        <w:t xml:space="preserve">7履约保证金</w:t>
      </w:r>
      <w:r>
        <w:rPr>
          <w:rFonts w:hint="eastAsia"/>
          <w:highlight w:val="none"/>
        </w:rPr>
      </w:r>
      <w:r/>
    </w:p>
    <w:p>
      <w:pPr>
        <w:pStyle w:val="864"/>
        <w:spacing w:line="480" w:lineRule="exact"/>
        <w:rPr>
          <w:rFonts w:hint="eastAsia"/>
          <w:highlight w:val="none"/>
        </w:rPr>
      </w:pPr>
      <w:r>
        <w:rPr>
          <w:rFonts w:hint="eastAsia"/>
          <w:highlight w:val="none"/>
        </w:rPr>
        <w:t xml:space="preserve">7.1</w:t>
      </w:r>
      <w:r>
        <w:rPr>
          <w:rFonts w:hint="eastAsia"/>
          <w:highlight w:val="none"/>
          <w:lang w:val="en-US" w:eastAsia="zh-CN"/>
        </w:rPr>
        <w:t xml:space="preserve">按照前附表的规定执行</w:t>
      </w:r>
      <w:r>
        <w:rPr>
          <w:rFonts w:hint="eastAsia"/>
          <w:highlight w:val="none"/>
        </w:rPr>
        <w:t xml:space="preserve">。 </w:t>
      </w:r>
      <w:r>
        <w:rPr>
          <w:rFonts w:hint="eastAsia"/>
          <w:highlight w:val="none"/>
        </w:rPr>
      </w:r>
      <w:r/>
    </w:p>
    <w:p>
      <w:pPr>
        <w:pStyle w:val="864"/>
        <w:spacing w:line="480" w:lineRule="exact"/>
        <w:rPr>
          <w:rFonts w:hint="eastAsia"/>
        </w:rPr>
      </w:pPr>
      <w:r>
        <w:rPr>
          <w:rFonts w:hint="eastAsia"/>
        </w:rPr>
        <w:t xml:space="preserve">8合同</w:t>
      </w:r>
      <w:r>
        <w:rPr>
          <w:rFonts w:hint="eastAsia"/>
        </w:rPr>
      </w:r>
      <w:r/>
    </w:p>
    <w:p>
      <w:pPr>
        <w:pStyle w:val="864"/>
        <w:spacing w:line="480" w:lineRule="exact"/>
        <w:rPr>
          <w:rFonts w:hint="eastAsia"/>
        </w:rPr>
      </w:pPr>
      <w:r>
        <w:rPr>
          <w:rFonts w:hint="eastAsia"/>
        </w:rPr>
        <w:t xml:space="preserve">8.1采购人原则上应当自中标通知书发出之日起15日内（最迟30日内），按照招标文件及投标文件规定与中标人签订政府采购合同。</w:t>
      </w:r>
      <w:r>
        <w:rPr>
          <w:rFonts w:hint="eastAsia"/>
        </w:rPr>
      </w:r>
      <w:r/>
    </w:p>
    <w:p>
      <w:pPr>
        <w:pStyle w:val="864"/>
        <w:spacing w:line="480" w:lineRule="exact"/>
        <w:rPr>
          <w:rFonts w:hint="eastAsia"/>
        </w:rPr>
      </w:pPr>
      <w:r>
        <w:rPr>
          <w:rFonts w:hint="eastAsia"/>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hint="eastAsia"/>
        </w:rPr>
      </w:r>
      <w:r/>
    </w:p>
    <w:p>
      <w:pPr>
        <w:pStyle w:val="864"/>
        <w:spacing w:line="480" w:lineRule="exact"/>
        <w:rPr>
          <w:rFonts w:hint="eastAsia"/>
          <w:highlight w:val="none"/>
        </w:rPr>
      </w:pPr>
      <w:r>
        <w:rPr>
          <w:rFonts w:hint="eastAsia"/>
          <w:highlight w:val="none"/>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rPr>
          <w:rFonts w:hint="eastAsia"/>
          <w:highlight w:val="none"/>
        </w:rPr>
      </w:r>
      <w:r/>
    </w:p>
    <w:p>
      <w:pPr>
        <w:pStyle w:val="864"/>
        <w:spacing w:line="480" w:lineRule="exact"/>
        <w:rPr>
          <w:rFonts w:hint="eastAsia"/>
        </w:rPr>
      </w:pPr>
      <w:r>
        <w:rPr>
          <w:rFonts w:hint="eastAsia"/>
        </w:rPr>
        <w:t xml:space="preserve">8.4本项目将根据政府采购法及相关法规，以及招标文件的服务要求，对供应商进行履约验收，确认验收合格的，将出具《政府采购履约验收书》。《政府采购履约验收书》、合同是申请支付政府采购合同价款的必备资料。</w:t>
      </w:r>
      <w:r>
        <w:rPr>
          <w:rFonts w:hint="eastAsia"/>
        </w:rPr>
      </w:r>
      <w:r/>
    </w:p>
    <w:p>
      <w:pPr>
        <w:pStyle w:val="864"/>
        <w:spacing w:line="480" w:lineRule="exact"/>
        <w:rPr>
          <w:rFonts w:hint="eastAsia"/>
        </w:rPr>
      </w:pPr>
      <w:r>
        <w:rPr>
          <w:rFonts w:hint="eastAsia"/>
        </w:rPr>
        <w:t xml:space="preserve">9质疑</w:t>
      </w:r>
      <w:r>
        <w:rPr>
          <w:rFonts w:hint="eastAsia"/>
        </w:rPr>
      </w:r>
      <w:r/>
    </w:p>
    <w:p>
      <w:pPr>
        <w:pStyle w:val="864"/>
        <w:spacing w:line="480" w:lineRule="exact"/>
        <w:rPr>
          <w:rFonts w:hint="eastAsia"/>
        </w:rPr>
      </w:pPr>
      <w:r>
        <w:rPr>
          <w:rFonts w:hint="eastAsia"/>
        </w:rPr>
        <w:t xml:space="preserve">9.1质疑及答复遵守《政府采购质疑和投诉办法》（中华人民共和国财政部令第94号）规定。</w:t>
      </w:r>
      <w:r>
        <w:rPr>
          <w:rFonts w:hint="eastAsia"/>
        </w:rPr>
      </w:r>
      <w:r/>
    </w:p>
    <w:p>
      <w:pPr>
        <w:pStyle w:val="864"/>
        <w:spacing w:line="480" w:lineRule="exact"/>
        <w:rPr>
          <w:rFonts w:hint="eastAsia"/>
        </w:rPr>
      </w:pPr>
      <w:r>
        <w:rPr>
          <w:rFonts w:hint="eastAsia"/>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rPr>
          <w:rFonts w:hint="eastAsia"/>
        </w:rPr>
      </w:r>
      <w:r/>
    </w:p>
    <w:p>
      <w:pPr>
        <w:pStyle w:val="864"/>
        <w:spacing w:line="480" w:lineRule="exact"/>
        <w:rPr>
          <w:rFonts w:hint="eastAsia"/>
        </w:rPr>
      </w:pPr>
      <w:r>
        <w:rPr>
          <w:rFonts w:hint="eastAsia"/>
        </w:rPr>
        <w:t xml:space="preserve">①对可以质疑的采购文件提出质疑的，为收到采购文件之日或者采购文件公告期限届满之日；</w:t>
      </w:r>
      <w:r>
        <w:rPr>
          <w:rFonts w:hint="eastAsia"/>
        </w:rPr>
      </w:r>
      <w:r/>
    </w:p>
    <w:p>
      <w:pPr>
        <w:pStyle w:val="864"/>
        <w:spacing w:line="480" w:lineRule="exact"/>
        <w:rPr>
          <w:rFonts w:hint="eastAsia"/>
        </w:rPr>
      </w:pPr>
      <w:r>
        <w:rPr>
          <w:rFonts w:hint="eastAsia"/>
        </w:rPr>
        <w:t xml:space="preserve">②对采购过程提出质疑的，为各采购程序环节结束之日；</w:t>
      </w:r>
      <w:r>
        <w:rPr>
          <w:rFonts w:hint="eastAsia"/>
        </w:rPr>
      </w:r>
      <w:r/>
    </w:p>
    <w:p>
      <w:pPr>
        <w:pStyle w:val="864"/>
        <w:spacing w:line="480" w:lineRule="exact"/>
        <w:rPr>
          <w:rFonts w:hint="eastAsia"/>
        </w:rPr>
      </w:pPr>
      <w:r>
        <w:rPr>
          <w:rFonts w:hint="eastAsia"/>
        </w:rPr>
        <w:t xml:space="preserve">③对中标或者成交结果提出质疑的，为中标或者成交结果公告期限届满之日。</w:t>
      </w:r>
      <w:r>
        <w:rPr>
          <w:rFonts w:hint="eastAsia"/>
        </w:rPr>
      </w:r>
      <w:r/>
    </w:p>
    <w:p>
      <w:pPr>
        <w:pStyle w:val="864"/>
        <w:spacing w:line="480" w:lineRule="exact"/>
        <w:rPr>
          <w:rFonts w:hint="eastAsia"/>
        </w:rPr>
      </w:pPr>
      <w:r>
        <w:rPr>
          <w:rFonts w:hint="eastAsia"/>
        </w:rPr>
        <w:t xml:space="preserve">9.3供应商应当在法定质疑期内一次性提出针对同一采购程序环节的质疑。供应商如在法定期限内对同一采购程序环节提出多次质疑的，</w:t>
      </w:r>
      <w:r>
        <w:rPr>
          <w:rFonts w:hint="eastAsia"/>
          <w:lang w:val="en-US" w:eastAsia="zh-CN"/>
        </w:rPr>
        <w:t xml:space="preserve">招标代理机构</w:t>
      </w:r>
      <w:r>
        <w:rPr>
          <w:rFonts w:hint="eastAsia"/>
        </w:rPr>
        <w:t xml:space="preserve">、采购人将只对供应商第一次质疑作出答复。</w:t>
      </w:r>
      <w:r>
        <w:rPr>
          <w:rFonts w:hint="eastAsia"/>
        </w:rPr>
      </w:r>
      <w:r/>
    </w:p>
    <w:p>
      <w:pPr>
        <w:pStyle w:val="864"/>
        <w:spacing w:line="480" w:lineRule="exact"/>
        <w:rPr>
          <w:rFonts w:hint="eastAsia"/>
        </w:rPr>
      </w:pPr>
      <w:r>
        <w:rPr>
          <w:rFonts w:hint="eastAsia"/>
        </w:rPr>
        <w:t xml:space="preserve">9.4提出质疑的供应商应当是参与所质疑项目采购活动的供应商，未依照采购公告要求获取采购文件的供应商，视为未参与该项政府采购活动，不具备对该政府采购项目提出质疑的法定权利。</w:t>
      </w:r>
      <w:r>
        <w:rPr>
          <w:rFonts w:hint="eastAsia"/>
        </w:rPr>
      </w:r>
      <w:r/>
    </w:p>
    <w:p>
      <w:pPr>
        <w:pStyle w:val="864"/>
        <w:spacing w:line="480" w:lineRule="exact"/>
        <w:rPr>
          <w:rFonts w:hint="eastAsia"/>
        </w:rPr>
      </w:pPr>
      <w:r>
        <w:rPr>
          <w:rFonts w:hint="eastAsia"/>
        </w:rPr>
        <w:t xml:space="preserve">对采购文件内容质疑时，需提供在“苏采云”系统中下载本项目招标文件的《投标供应商确认函》，未提供的视为未依照采购公告要求获取招标文件的供应商，不具备对该政府采购项目提出质疑的法定权利。</w:t>
      </w:r>
      <w:r>
        <w:rPr>
          <w:rFonts w:hint="eastAsia"/>
        </w:rPr>
      </w:r>
      <w:r/>
    </w:p>
    <w:p>
      <w:pPr>
        <w:pStyle w:val="864"/>
        <w:spacing w:line="480" w:lineRule="exact"/>
        <w:rPr>
          <w:rFonts w:hint="eastAsia"/>
        </w:rPr>
      </w:pPr>
      <w:r>
        <w:rPr>
          <w:rFonts w:hint="eastAsia"/>
        </w:rPr>
        <w:t xml:space="preserve">9.5供应商（含潜在供应商）对采购人式、采购需求（及采购需求中列明的供应商实质性响应条件）、评分标准、公开招标项目资格审查结果、合同文本的询问、质疑请向代理机构提出，由代理机构负责答复。</w:t>
      </w:r>
      <w:r>
        <w:rPr>
          <w:rFonts w:hint="eastAsia"/>
        </w:rPr>
      </w:r>
      <w:r/>
    </w:p>
    <w:p>
      <w:pPr>
        <w:pStyle w:val="864"/>
        <w:spacing w:line="480" w:lineRule="exact"/>
        <w:tabs>
          <w:tab w:val="left" w:pos="0" w:leader="none"/>
          <w:tab w:val="left" w:pos="960" w:leader="none"/>
        </w:tabs>
        <w:rPr>
          <w:rFonts w:ascii="宋体" w:hAnsi="宋体"/>
          <w:bCs/>
          <w:szCs w:val="21"/>
        </w:rPr>
      </w:pPr>
      <w:r>
        <w:rPr>
          <w:rFonts w:hint="eastAsia" w:ascii="宋体" w:hAnsi="宋体"/>
          <w:bCs/>
          <w:szCs w:val="21"/>
        </w:rPr>
        <w:t xml:space="preserve">质疑联系人：焦秀丽</w:t>
      </w:r>
      <w:r>
        <w:rPr>
          <w:rFonts w:ascii="宋体" w:hAnsi="宋体"/>
          <w:bCs/>
          <w:szCs w:val="21"/>
        </w:rPr>
      </w:r>
      <w:r/>
    </w:p>
    <w:p>
      <w:pPr>
        <w:pStyle w:val="864"/>
        <w:spacing w:line="480" w:lineRule="exact"/>
        <w:tabs>
          <w:tab w:val="left" w:pos="0" w:leader="none"/>
          <w:tab w:val="left" w:pos="960" w:leader="none"/>
        </w:tabs>
        <w:rPr>
          <w:rFonts w:ascii="宋体" w:hAnsi="宋体"/>
          <w:bCs/>
          <w:szCs w:val="21"/>
        </w:rPr>
      </w:pPr>
      <w:r>
        <w:rPr>
          <w:rFonts w:hint="eastAsia" w:ascii="宋体" w:hAnsi="宋体"/>
          <w:bCs/>
          <w:szCs w:val="21"/>
        </w:rPr>
        <w:t xml:space="preserve">联系电话：0512-69157588-828</w:t>
      </w:r>
      <w:r>
        <w:rPr>
          <w:rFonts w:ascii="宋体" w:hAnsi="宋体"/>
          <w:bCs/>
          <w:szCs w:val="21"/>
        </w:rPr>
      </w:r>
      <w:r/>
    </w:p>
    <w:p>
      <w:pPr>
        <w:pStyle w:val="864"/>
        <w:spacing w:line="480" w:lineRule="exact"/>
        <w:tabs>
          <w:tab w:val="left" w:pos="0" w:leader="none"/>
          <w:tab w:val="left" w:pos="960" w:leader="none"/>
        </w:tabs>
        <w:rPr>
          <w:rFonts w:ascii="宋体" w:hAnsi="宋体"/>
          <w:bCs/>
          <w:szCs w:val="21"/>
        </w:rPr>
      </w:pPr>
      <w:r>
        <w:rPr>
          <w:rFonts w:hint="eastAsia" w:ascii="宋体" w:hAnsi="宋体"/>
          <w:bCs/>
          <w:szCs w:val="21"/>
        </w:rPr>
        <w:t xml:space="preserve">通讯地址：苏州市东吴北路221号惠康新地7楼 苏州市永诚建设咨询有限公司</w:t>
      </w:r>
      <w:r>
        <w:rPr>
          <w:rFonts w:ascii="宋体" w:hAnsi="宋体"/>
          <w:bCs/>
          <w:szCs w:val="21"/>
        </w:rPr>
      </w:r>
      <w:r/>
    </w:p>
    <w:p>
      <w:pPr>
        <w:pStyle w:val="864"/>
        <w:spacing w:line="480" w:lineRule="exact"/>
        <w:rPr>
          <w:rFonts w:hint="eastAsia"/>
        </w:rPr>
      </w:pPr>
      <w:r>
        <w:rPr>
          <w:rFonts w:hint="eastAsia"/>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rPr>
          <w:rFonts w:hint="eastAsia"/>
        </w:rPr>
      </w:r>
      <w:r/>
    </w:p>
    <w:p>
      <w:pPr>
        <w:pStyle w:val="864"/>
        <w:spacing w:line="480" w:lineRule="exact"/>
        <w:rPr>
          <w:rFonts w:hint="eastAsia"/>
        </w:rPr>
      </w:pPr>
      <w:r>
        <w:rPr>
          <w:rFonts w:hint="eastAsia"/>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rPr>
      </w:r>
      <w:r/>
    </w:p>
    <w:p>
      <w:pPr>
        <w:pStyle w:val="864"/>
        <w:spacing w:line="480" w:lineRule="exact"/>
        <w:rPr>
          <w:rFonts w:hint="eastAsia"/>
        </w:rPr>
      </w:pPr>
      <w:r>
        <w:rPr>
          <w:rFonts w:hint="eastAsia"/>
        </w:rPr>
        <w:t xml:space="preserve">10其他事项</w:t>
      </w:r>
      <w:r>
        <w:rPr>
          <w:rFonts w:hint="eastAsia"/>
        </w:rPr>
      </w:r>
      <w:r/>
    </w:p>
    <w:p>
      <w:pPr>
        <w:pStyle w:val="864"/>
        <w:spacing w:line="480" w:lineRule="exact"/>
      </w:pPr>
      <w:r>
        <w:rPr>
          <w:rFonts w:hint="eastAsia"/>
        </w:rPr>
        <w:t xml:space="preserve">未尽事宜按《中华人民共和国政府采购法》及其他有关法律法规文件的规定执行。</w:t>
      </w:r>
      <w:r/>
    </w:p>
    <w:p>
      <w:pPr>
        <w:pStyle w:val="864"/>
        <w:spacing w:line="480" w:lineRule="exact"/>
        <w:tabs>
          <w:tab w:val="left" w:pos="1180" w:leader="none"/>
        </w:tabs>
        <w:rPr>
          <w:rFonts w:hint="eastAsia"/>
          <w:szCs w:val="22"/>
          <w:lang w:bidi="ar"/>
        </w:rPr>
      </w:pPr>
      <w:r>
        <w:rPr>
          <w:rFonts w:hint="eastAsia"/>
          <w:szCs w:val="22"/>
          <w:lang w:bidi="ar"/>
        </w:rPr>
      </w:r>
      <w:r/>
    </w:p>
    <w:p>
      <w:pPr>
        <w:pStyle w:val="864"/>
        <w:spacing w:line="480" w:lineRule="exact"/>
        <w:rPr>
          <w:rFonts w:hint="eastAsia"/>
        </w:rPr>
      </w:pPr>
      <w:r>
        <w:rPr>
          <w:rFonts w:hint="eastAsia"/>
        </w:rPr>
      </w:r>
      <w:r/>
    </w:p>
    <w:p>
      <w:pPr>
        <w:pStyle w:val="864"/>
        <w:ind w:firstLine="3654"/>
        <w:keepLines/>
        <w:keepNext/>
        <w:spacing w:before="340" w:after="330" w:line="480" w:lineRule="exact"/>
        <w:rPr>
          <w:rFonts w:cs="宋体"/>
          <w:b/>
          <w:color w:val="000000"/>
          <w:sz w:val="28"/>
          <w:szCs w:val="28"/>
          <w:lang w:bidi="ar"/>
        </w:rPr>
        <w:outlineLvl w:val="0"/>
      </w:pPr>
      <w:r/>
      <w:bookmarkStart w:id="14" w:name="_Toc8957"/>
      <w:r>
        <w:rPr>
          <w:rFonts w:cs="宋体"/>
          <w:b/>
          <w:color w:val="000000"/>
          <w:sz w:val="28"/>
          <w:szCs w:val="28"/>
          <w:lang w:bidi="ar"/>
        </w:rPr>
        <w:br w:type="page" w:clear="all"/>
      </w:r>
      <w:r>
        <w:rPr>
          <w:rFonts w:hint="eastAsia" w:cs="宋体"/>
          <w:b/>
          <w:color w:val="000000"/>
          <w:sz w:val="28"/>
          <w:szCs w:val="28"/>
          <w:lang w:bidi="ar"/>
        </w:rPr>
        <w:t xml:space="preserve">第三章投标文件格式</w:t>
      </w:r>
      <w:bookmarkEnd w:id="6"/>
      <w:r/>
      <w:bookmarkEnd w:id="14"/>
      <w:r>
        <w:rPr>
          <w:rFonts w:cs="宋体"/>
          <w:b/>
          <w:color w:val="000000"/>
          <w:sz w:val="28"/>
          <w:szCs w:val="28"/>
          <w:lang w:bidi="ar"/>
        </w:rPr>
      </w:r>
      <w:r/>
    </w:p>
    <w:p>
      <w:pPr>
        <w:pStyle w:val="864"/>
        <w:spacing w:line="480" w:lineRule="exact"/>
        <w:rPr>
          <w:rFonts w:hint="eastAsia" w:cs="宋体"/>
          <w:szCs w:val="22"/>
          <w:lang w:bidi="ar"/>
        </w:rPr>
      </w:pPr>
      <w:r>
        <w:rPr>
          <w:rFonts w:hint="eastAsia" w:cs="宋体"/>
          <w:szCs w:val="22"/>
          <w:lang w:bidi="ar"/>
        </w:rPr>
      </w:r>
      <w:r/>
    </w:p>
    <w:p>
      <w:pPr>
        <w:pStyle w:val="864"/>
        <w:spacing w:line="480" w:lineRule="exact"/>
      </w:pPr>
      <w:r>
        <w:rPr>
          <w:rFonts w:hint="eastAsia" w:cs="宋体"/>
          <w:szCs w:val="22"/>
          <w:lang w:bidi="ar"/>
        </w:rPr>
        <w:t xml:space="preserve">说明：</w:t>
      </w:r>
      <w:r/>
    </w:p>
    <w:p>
      <w:pPr>
        <w:pStyle w:val="864"/>
        <w:spacing w:line="480" w:lineRule="exact"/>
      </w:pPr>
      <w:r>
        <w:rPr>
          <w:rFonts w:hint="eastAsia" w:cs="宋体"/>
          <w:szCs w:val="22"/>
          <w:lang w:bidi="ar"/>
        </w:rPr>
        <w:t xml:space="preserve">对本章所有的投标书格式</w:t>
      </w:r>
      <w:r>
        <w:rPr>
          <w:rFonts w:hint="eastAsia" w:cs="宋体"/>
          <w:szCs w:val="22"/>
          <w:lang w:eastAsia="zh-CN" w:bidi="ar"/>
        </w:rPr>
        <w:t xml:space="preserve">（</w:t>
      </w:r>
      <w:r>
        <w:rPr>
          <w:rFonts w:hint="eastAsia" w:cs="宋体"/>
          <w:szCs w:val="22"/>
          <w:lang w:val="en-US" w:eastAsia="zh-CN" w:bidi="ar"/>
        </w:rPr>
        <w:t xml:space="preserve">招标文件有特殊规定的除外）</w:t>
      </w:r>
      <w:r>
        <w:rPr>
          <w:rFonts w:hint="eastAsia" w:cs="宋体"/>
          <w:szCs w:val="22"/>
          <w:lang w:bidi="ar"/>
        </w:rPr>
        <w:t xml:space="preserve">，投标人可根据自身情况进行补充和修改，但补充和修改不得造成与本格式内容有实质性的违背。</w:t>
      </w:r>
      <w:r/>
    </w:p>
    <w:p>
      <w:pPr>
        <w:pStyle w:val="864"/>
        <w:spacing w:line="480" w:lineRule="exact"/>
      </w:pPr>
      <w:r/>
      <w:r/>
    </w:p>
    <w:p>
      <w:pPr>
        <w:pStyle w:val="864"/>
        <w:ind w:firstLine="3570"/>
        <w:jc w:val="left"/>
        <w:spacing w:line="480" w:lineRule="exact"/>
        <w:rPr>
          <w:szCs w:val="22"/>
          <w:lang w:bidi="ar"/>
        </w:rPr>
      </w:pPr>
      <w:r>
        <w:rPr>
          <w:szCs w:val="22"/>
          <w:lang w:bidi="ar"/>
        </w:rPr>
      </w:r>
      <w:r/>
    </w:p>
    <w:p>
      <w:pPr>
        <w:pStyle w:val="864"/>
        <w:spacing w:line="480" w:lineRule="exact"/>
      </w:pPr>
      <w:r>
        <w:rPr>
          <w:rFonts w:cs="宋体"/>
          <w:szCs w:val="22"/>
          <w:lang w:bidi="ar"/>
        </w:rPr>
        <w:br w:type="page" w:clear="all"/>
      </w:r>
      <w:r>
        <w:rPr>
          <w:rFonts w:hint="eastAsia" w:cs="宋体"/>
          <w:szCs w:val="22"/>
          <w:lang w:bidi="ar"/>
        </w:rPr>
        <w:t xml:space="preserve">格式</w:t>
      </w:r>
      <w:r>
        <w:rPr>
          <w:szCs w:val="22"/>
          <w:lang w:bidi="ar"/>
        </w:rPr>
        <w:t xml:space="preserve">1</w:t>
      </w:r>
      <w:r>
        <w:rPr>
          <w:rFonts w:hint="eastAsia" w:cs="宋体"/>
          <w:szCs w:val="22"/>
          <w:lang w:bidi="ar"/>
        </w:rPr>
        <w:t xml:space="preserve">、投标函</w:t>
      </w:r>
      <w:r/>
    </w:p>
    <w:p>
      <w:pPr>
        <w:pStyle w:val="864"/>
        <w:jc w:val="center"/>
        <w:spacing w:line="480" w:lineRule="exact"/>
        <w:rPr>
          <w:rFonts w:cs="宋体"/>
          <w:szCs w:val="22"/>
          <w:lang w:bidi="ar"/>
        </w:rPr>
      </w:pPr>
      <w:r>
        <w:rPr>
          <w:rFonts w:cs="宋体"/>
          <w:szCs w:val="22"/>
          <w:lang w:bidi="ar"/>
        </w:rPr>
      </w:r>
      <w:r/>
    </w:p>
    <w:p>
      <w:pPr>
        <w:pStyle w:val="864"/>
        <w:jc w:val="center"/>
        <w:spacing w:line="480" w:lineRule="exact"/>
      </w:pPr>
      <w:r>
        <w:rPr>
          <w:rFonts w:hint="eastAsia" w:cs="宋体"/>
          <w:szCs w:val="22"/>
          <w:lang w:bidi="ar"/>
        </w:rPr>
        <w:t xml:space="preserve">投标函</w:t>
      </w:r>
      <w:r/>
    </w:p>
    <w:p>
      <w:pPr>
        <w:pStyle w:val="864"/>
        <w:ind w:firstLine="420"/>
        <w:spacing w:line="480" w:lineRule="exact"/>
        <w:rPr>
          <w:u w:val="single"/>
        </w:rPr>
      </w:pPr>
      <w:r>
        <w:rPr>
          <w:rFonts w:hint="eastAsia" w:cs="宋体"/>
          <w:szCs w:val="22"/>
          <w:u w:val="single"/>
          <w:lang w:bidi="ar"/>
        </w:rPr>
        <w:t xml:space="preserve">苏州市永诚建设咨询有限公司：</w:t>
      </w:r>
      <w:r>
        <w:rPr>
          <w:u w:val="single"/>
        </w:rPr>
      </w:r>
      <w:r/>
    </w:p>
    <w:p>
      <w:pPr>
        <w:pStyle w:val="864"/>
        <w:ind w:firstLine="424"/>
        <w:spacing w:line="480" w:lineRule="exact"/>
        <w:rPr>
          <w:rFonts w:hint="eastAsia" w:ascii="宋体" w:hAnsi="宋体"/>
          <w:szCs w:val="21"/>
        </w:rPr>
      </w:pPr>
      <w:r>
        <w:rPr>
          <w:rFonts w:hint="eastAsia" w:ascii="宋体" w:hAnsi="宋体"/>
          <w:szCs w:val="21"/>
        </w:rPr>
        <w:t xml:space="preserve">我方收到贵公司 </w:t>
      </w:r>
      <w:r>
        <w:rPr>
          <w:rFonts w:hint="eastAsia" w:ascii="宋体" w:hAnsi="宋体"/>
          <w:szCs w:val="21"/>
          <w:u w:val="single"/>
        </w:rPr>
        <w:t xml:space="preserve">                 </w:t>
      </w:r>
      <w:r>
        <w:rPr>
          <w:rFonts w:hint="eastAsia" w:ascii="宋体" w:hAnsi="宋体"/>
          <w:szCs w:val="21"/>
        </w:rPr>
        <w:t xml:space="preserve">号招标文件，经仔细阅读和研究，我方决定参加投标。并向贵公司承诺：</w:t>
      </w:r>
      <w:r>
        <w:rPr>
          <w:rFonts w:hint="eastAsia" w:ascii="宋体" w:hAnsi="宋体"/>
          <w:szCs w:val="21"/>
        </w:rPr>
      </w:r>
      <w:r/>
    </w:p>
    <w:p>
      <w:pPr>
        <w:pStyle w:val="864"/>
        <w:ind w:firstLine="424"/>
        <w:spacing w:line="480" w:lineRule="exact"/>
        <w:rPr>
          <w:rFonts w:hint="eastAsia" w:ascii="宋体" w:hAnsi="宋体" w:eastAsia="宋体" w:cs="Times New Roman"/>
          <w:szCs w:val="21"/>
        </w:rPr>
      </w:pPr>
      <w:r>
        <w:rPr>
          <w:rFonts w:hint="eastAsia" w:ascii="宋体" w:hAnsi="宋体" w:eastAsia="宋体" w:cs="Times New Roman"/>
          <w:szCs w:val="21"/>
        </w:rPr>
        <w:t xml:space="preserve">1、我们愿意按照招标文件的一切要求实施，报价包括但不限于服务期内完成服务所需的人工、包装、仓储、运至最终目的地的运输、饲料采购费、保险、检测验收、中标服务费、售后服务相关劳务支出等，以及供应商利润、税金、政策性文件规定及合同包含的所有风险、责任等所有相关费用。</w:t>
      </w:r>
      <w:r>
        <w:rPr>
          <w:rFonts w:hint="eastAsia" w:ascii="宋体" w:hAnsi="宋体" w:eastAsia="宋体" w:cs="Times New Roman"/>
          <w:szCs w:val="21"/>
        </w:rPr>
      </w:r>
      <w:r/>
    </w:p>
    <w:p>
      <w:pPr>
        <w:pStyle w:val="864"/>
        <w:ind w:firstLine="424"/>
        <w:spacing w:line="480" w:lineRule="exact"/>
        <w:rPr>
          <w:rFonts w:hint="eastAsia" w:ascii="宋体" w:hAnsi="宋体"/>
          <w:szCs w:val="21"/>
        </w:rPr>
      </w:pPr>
      <w:r>
        <w:rPr>
          <w:rFonts w:hint="eastAsia" w:ascii="宋体" w:hAnsi="宋体"/>
          <w:szCs w:val="21"/>
        </w:rPr>
        <w:t xml:space="preserve">2、如果我方的投标书被接受，我方将严格履行招标文件中规定的每一项要求，严格履行合同的责任和义务，保证按期、按质履行合同，完成合同内容所规定的全部</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4"/>
        <w:ind w:firstLine="424"/>
        <w:spacing w:line="480" w:lineRule="exact"/>
        <w:rPr>
          <w:rFonts w:hint="eastAsia" w:ascii="宋体" w:hAnsi="宋体"/>
          <w:szCs w:val="21"/>
        </w:rPr>
      </w:pPr>
      <w:r>
        <w:rPr>
          <w:rFonts w:hint="eastAsia" w:ascii="宋体" w:hAnsi="宋体"/>
          <w:szCs w:val="21"/>
        </w:rPr>
        <w:t xml:space="preserve">3、我方同意按招标文件中的规定，本投标书的有效期限为开标后90天。</w:t>
      </w:r>
      <w:r>
        <w:rPr>
          <w:rFonts w:hint="eastAsia" w:ascii="宋体" w:hAnsi="宋体"/>
          <w:szCs w:val="21"/>
        </w:rPr>
      </w:r>
      <w:r/>
    </w:p>
    <w:p>
      <w:pPr>
        <w:pStyle w:val="864"/>
        <w:ind w:firstLine="424"/>
        <w:spacing w:line="480" w:lineRule="exact"/>
        <w:rPr>
          <w:rFonts w:hint="eastAsia" w:ascii="宋体" w:hAnsi="宋体"/>
          <w:szCs w:val="21"/>
        </w:rPr>
      </w:pPr>
      <w:r>
        <w:rPr>
          <w:rFonts w:hint="eastAsia" w:ascii="宋体" w:hAnsi="宋体"/>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szCs w:val="21"/>
        </w:rPr>
      </w:r>
      <w:r/>
    </w:p>
    <w:p>
      <w:pPr>
        <w:pStyle w:val="864"/>
        <w:ind w:firstLine="424"/>
        <w:spacing w:line="480" w:lineRule="exact"/>
        <w:rPr>
          <w:rFonts w:hint="eastAsia" w:ascii="宋体" w:hAnsi="宋体"/>
          <w:szCs w:val="21"/>
        </w:rPr>
      </w:pPr>
      <w:r>
        <w:rPr>
          <w:rFonts w:hint="eastAsia" w:ascii="宋体" w:hAnsi="宋体"/>
          <w:szCs w:val="21"/>
        </w:rPr>
        <w:t xml:space="preserve">5、我方愿意遵守招标公告及招标文件中所列的收费标准。</w:t>
      </w:r>
      <w:r>
        <w:rPr>
          <w:rFonts w:hint="eastAsia" w:ascii="宋体" w:hAnsi="宋体"/>
          <w:szCs w:val="21"/>
        </w:rPr>
      </w:r>
      <w:r/>
    </w:p>
    <w:p>
      <w:pPr>
        <w:pStyle w:val="864"/>
        <w:ind w:firstLine="424"/>
        <w:spacing w:line="480" w:lineRule="exact"/>
        <w:rPr>
          <w:rFonts w:hint="eastAsia" w:ascii="宋体" w:hAnsi="宋体"/>
          <w:szCs w:val="21"/>
        </w:rPr>
      </w:pPr>
      <w:r>
        <w:rPr>
          <w:rFonts w:hint="eastAsia" w:ascii="宋体" w:hAnsi="宋体"/>
          <w:szCs w:val="21"/>
        </w:rPr>
        <w:t xml:space="preserve">6、我方承诺该项投标在开标后的全过程中保持有效，不作任何更改和变动。我方同意中标后若不履行投标文件的内容要求和各项承诺及义务的即被视为违约，我方的中标资格将被取消。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szCs w:val="21"/>
        </w:rPr>
      </w:r>
      <w:r/>
    </w:p>
    <w:p>
      <w:pPr>
        <w:pStyle w:val="864"/>
        <w:ind w:firstLine="424"/>
        <w:spacing w:line="480" w:lineRule="exact"/>
        <w:rPr>
          <w:rFonts w:hint="eastAsia" w:ascii="宋体" w:hAnsi="宋体"/>
          <w:szCs w:val="21"/>
        </w:rPr>
      </w:pPr>
      <w:r>
        <w:rPr>
          <w:rFonts w:hint="eastAsia" w:ascii="宋体" w:hAnsi="宋体"/>
          <w:szCs w:val="21"/>
        </w:rPr>
        <w:t xml:space="preserve">7、我方承诺在参加政府采购活动前三年内，在经营活动中没有重大违法记录。</w:t>
      </w:r>
      <w:r>
        <w:rPr>
          <w:rFonts w:hint="eastAsia" w:ascii="宋体" w:hAnsi="宋体"/>
          <w:szCs w:val="21"/>
        </w:rPr>
      </w:r>
      <w:r/>
    </w:p>
    <w:p>
      <w:pPr>
        <w:pStyle w:val="864"/>
        <w:ind w:firstLine="424"/>
        <w:spacing w:line="480" w:lineRule="exact"/>
        <w:rPr>
          <w:rFonts w:hint="eastAsia" w:ascii="宋体" w:hAnsi="宋体"/>
          <w:szCs w:val="21"/>
        </w:rPr>
      </w:pPr>
      <w:r>
        <w:rPr>
          <w:rFonts w:hint="eastAsia" w:ascii="宋体" w:hAnsi="宋体"/>
          <w:szCs w:val="21"/>
        </w:rPr>
        <w:t xml:space="preserve">8、如果我方中标，我方愿意按招标文件规定支付中标服务费。</w:t>
      </w:r>
      <w:r>
        <w:rPr>
          <w:rFonts w:hint="eastAsia" w:ascii="宋体" w:hAnsi="宋体"/>
          <w:szCs w:val="21"/>
        </w:rPr>
      </w:r>
      <w:r/>
    </w:p>
    <w:p>
      <w:pPr>
        <w:pStyle w:val="864"/>
        <w:ind w:firstLine="424"/>
        <w:spacing w:line="480" w:lineRule="exact"/>
        <w:rPr>
          <w:rFonts w:hint="eastAsia" w:ascii="宋体" w:hAnsi="宋体"/>
          <w:szCs w:val="21"/>
        </w:rPr>
      </w:pPr>
      <w:r>
        <w:rPr>
          <w:rFonts w:hint="eastAsia" w:ascii="宋体" w:hAnsi="宋体"/>
          <w:szCs w:val="21"/>
        </w:rPr>
        <w:t xml:space="preserve">9、我方承诺所聘用人员在合同期间发生的一切安全问题，均由我方自行负责，与招标</w:t>
      </w:r>
      <w:r>
        <w:rPr>
          <w:rFonts w:hint="eastAsia" w:ascii="宋体" w:hAnsi="宋体"/>
          <w:szCs w:val="21"/>
          <w:lang w:val="en-US" w:eastAsia="zh-CN"/>
        </w:rPr>
        <w:t xml:space="preserve">人</w:t>
      </w:r>
      <w:r>
        <w:rPr>
          <w:rFonts w:hint="eastAsia" w:ascii="宋体" w:hAnsi="宋体"/>
          <w:szCs w:val="21"/>
        </w:rPr>
        <w:t xml:space="preserve">无关。</w:t>
      </w:r>
      <w:r>
        <w:rPr>
          <w:rFonts w:hint="eastAsia" w:ascii="宋体" w:hAnsi="宋体"/>
          <w:szCs w:val="21"/>
        </w:rPr>
      </w:r>
      <w:r/>
    </w:p>
    <w:p>
      <w:pPr>
        <w:pStyle w:val="864"/>
        <w:ind w:firstLine="424"/>
        <w:spacing w:line="480" w:lineRule="exact"/>
        <w:rPr>
          <w:rFonts w:ascii="宋体" w:hAnsi="宋体"/>
          <w:szCs w:val="21"/>
        </w:rPr>
      </w:pPr>
      <w:r>
        <w:rPr>
          <w:rFonts w:hint="eastAsia" w:ascii="宋体" w:hAnsi="宋体"/>
          <w:szCs w:val="21"/>
        </w:rPr>
        <w:t xml:space="preserve">所有有关标书的函电，可按下列地址联系：</w:t>
      </w:r>
      <w:r>
        <w:rPr>
          <w:rFonts w:ascii="宋体" w:hAnsi="宋体"/>
          <w:szCs w:val="21"/>
        </w:rPr>
      </w:r>
      <w:r/>
    </w:p>
    <w:p>
      <w:pPr>
        <w:pStyle w:val="864"/>
        <w:ind w:left="1" w:firstLine="525"/>
        <w:spacing w:line="480" w:lineRule="exact"/>
        <w:tabs>
          <w:tab w:val="left" w:pos="360" w:leader="none"/>
        </w:tabs>
        <w:rPr>
          <w:rFonts w:ascii="宋体" w:hAnsi="宋体"/>
          <w:bCs/>
          <w:szCs w:val="21"/>
        </w:rPr>
      </w:pPr>
      <w:r>
        <w:rPr>
          <w:rFonts w:ascii="宋体" w:hAnsi="宋体"/>
          <w:bCs/>
          <w:szCs w:val="21"/>
        </w:rPr>
      </w:r>
      <w:r/>
    </w:p>
    <w:p>
      <w:pPr>
        <w:pStyle w:val="864"/>
        <w:ind w:left="1" w:firstLine="525"/>
        <w:spacing w:line="480" w:lineRule="exact"/>
        <w:tabs>
          <w:tab w:val="left" w:pos="360" w:leader="none"/>
        </w:tabs>
        <w:rPr>
          <w:rFonts w:ascii="宋体" w:hAnsi="宋体"/>
          <w:bCs/>
          <w:szCs w:val="21"/>
        </w:rPr>
      </w:pPr>
      <w:r>
        <w:rPr>
          <w:rFonts w:hint="eastAsia" w:ascii="宋体" w:hAnsi="宋体"/>
          <w:bCs/>
          <w:szCs w:val="21"/>
        </w:rPr>
        <w:t xml:space="preserve">联系人：              联系电话：               电子邮箱：</w:t>
      </w:r>
      <w:r>
        <w:rPr>
          <w:rFonts w:ascii="宋体" w:hAnsi="宋体"/>
          <w:bCs/>
          <w:szCs w:val="21"/>
        </w:rPr>
      </w:r>
      <w:r/>
    </w:p>
    <w:p>
      <w:pPr>
        <w:pStyle w:val="864"/>
        <w:ind w:left="1" w:firstLine="525"/>
        <w:spacing w:line="480" w:lineRule="exact"/>
        <w:tabs>
          <w:tab w:val="left" w:pos="360" w:leader="none"/>
        </w:tabs>
        <w:rPr>
          <w:rFonts w:ascii="宋体" w:hAnsi="宋体"/>
          <w:bCs/>
          <w:szCs w:val="21"/>
        </w:rPr>
      </w:pPr>
      <w:r>
        <w:rPr>
          <w:rFonts w:hint="eastAsia" w:ascii="宋体" w:hAnsi="宋体"/>
          <w:bCs/>
          <w:szCs w:val="21"/>
        </w:rPr>
        <w:t xml:space="preserve">地址：                                         邮政编码：</w:t>
      </w:r>
      <w:r>
        <w:rPr>
          <w:rFonts w:ascii="宋体" w:hAnsi="宋体"/>
          <w:bCs/>
          <w:szCs w:val="21"/>
        </w:rPr>
      </w:r>
      <w:r/>
    </w:p>
    <w:p>
      <w:pPr>
        <w:pStyle w:val="864"/>
        <w:ind w:firstLine="6090"/>
        <w:jc w:val="right"/>
        <w:spacing w:line="480" w:lineRule="exact"/>
        <w:rPr>
          <w:rFonts w:ascii="宋体" w:hAnsi="宋体" w:cs="宋体"/>
          <w:szCs w:val="21"/>
        </w:rPr>
      </w:pPr>
      <w:r>
        <w:rPr>
          <w:rFonts w:ascii="宋体" w:hAnsi="宋体" w:cs="宋体"/>
          <w:szCs w:val="21"/>
        </w:rPr>
      </w:r>
      <w:r/>
    </w:p>
    <w:p>
      <w:pPr>
        <w:pStyle w:val="864"/>
        <w:ind w:right="840"/>
        <w:spacing w:line="480" w:lineRule="exact"/>
        <w:rPr>
          <w:rFonts w:hint="eastAsia" w:ascii="宋体" w:hAnsi="宋体" w:cs="宋体"/>
          <w:szCs w:val="21"/>
        </w:rPr>
      </w:pPr>
      <w:r/>
      <w:bookmarkStart w:id="15" w:name="_Hlk157962510"/>
      <w:r>
        <w:rPr>
          <w:rFonts w:hint="eastAsia" w:ascii="宋体" w:hAnsi="宋体" w:cs="宋体"/>
          <w:szCs w:val="21"/>
        </w:rPr>
      </w:r>
      <w:r/>
    </w:p>
    <w:p>
      <w:pPr>
        <w:pStyle w:val="864"/>
        <w:ind w:firstLine="420"/>
        <w:spacing w:line="480" w:lineRule="exact"/>
        <w:rPr>
          <w:rFonts w:hint="eastAsia" w:cs="宋体"/>
          <w:szCs w:val="22"/>
          <w:lang w:bidi="ar"/>
        </w:rPr>
      </w:pPr>
      <w:r>
        <w:rPr>
          <w:rFonts w:hint="eastAsia" w:cs="宋体"/>
          <w:szCs w:val="22"/>
          <w:lang w:bidi="ar"/>
        </w:rPr>
        <w:t xml:space="preserve">供应商：（单位盖章）</w:t>
      </w:r>
      <w:r>
        <w:rPr>
          <w:rFonts w:hint="eastAsia" w:cs="宋体"/>
          <w:szCs w:val="22"/>
          <w:lang w:bidi="ar"/>
        </w:rPr>
      </w:r>
      <w:r/>
    </w:p>
    <w:p>
      <w:pPr>
        <w:pStyle w:val="864"/>
        <w:ind w:firstLine="420"/>
        <w:spacing w:line="480" w:lineRule="exact"/>
      </w:pPr>
      <w:r>
        <w:rPr>
          <w:rFonts w:hint="eastAsia" w:cs="宋体"/>
          <w:szCs w:val="22"/>
          <w:lang w:bidi="ar"/>
        </w:rPr>
        <w:t xml:space="preserve">法定代表人或代理人：（签字或盖章）</w:t>
      </w:r>
      <w:r>
        <w:rPr>
          <w:rFonts w:hint="eastAsia" w:ascii="宋体" w:hAnsi="宋体"/>
          <w:szCs w:val="21"/>
        </w:rPr>
        <w:t xml:space="preserve">                                    </w:t>
      </w:r>
      <w:r/>
    </w:p>
    <w:p>
      <w:pPr>
        <w:pStyle w:val="864"/>
        <w:ind w:right="840" w:firstLine="420"/>
        <w:spacing w:line="480" w:lineRule="exact"/>
        <w:tabs>
          <w:tab w:val="left" w:pos="360" w:leader="none"/>
        </w:tabs>
        <w:rPr>
          <w:rFonts w:ascii="宋体" w:hAnsi="宋体"/>
          <w:bCs/>
          <w:szCs w:val="21"/>
        </w:rPr>
      </w:pPr>
      <w:r>
        <w:rPr>
          <w:rFonts w:hint="eastAsia" w:ascii="宋体" w:hAnsi="宋体" w:cs="宋体"/>
          <w:szCs w:val="21"/>
        </w:rPr>
        <w:t xml:space="preserve">日期：　　　　年　　  月　　  日</w:t>
      </w:r>
      <w:bookmarkEnd w:id="15"/>
      <w:r>
        <w:rPr>
          <w:rFonts w:ascii="宋体" w:hAnsi="宋体"/>
          <w:bCs/>
          <w:szCs w:val="21"/>
        </w:rPr>
      </w:r>
      <w:r/>
    </w:p>
    <w:p>
      <w:pPr>
        <w:pStyle w:val="864"/>
        <w:spacing w:line="480" w:lineRule="exact"/>
        <w:rPr>
          <w:rFonts w:hint="eastAsia" w:cs="宋体"/>
          <w:szCs w:val="22"/>
          <w:lang w:bidi="ar"/>
        </w:rPr>
      </w:pPr>
      <w:r>
        <w:rPr>
          <w:rFonts w:hint="eastAsia" w:cs="宋体"/>
          <w:szCs w:val="22"/>
          <w:lang w:bidi="ar"/>
        </w:rPr>
      </w:r>
      <w:r/>
    </w:p>
    <w:p>
      <w:pPr>
        <w:pStyle w:val="864"/>
        <w:spacing w:line="480" w:lineRule="exact"/>
      </w:pPr>
      <w:r>
        <w:rPr>
          <w:rFonts w:cs="宋体"/>
          <w:szCs w:val="22"/>
          <w:lang w:bidi="ar"/>
        </w:rPr>
        <w:br w:type="page" w:clear="all"/>
      </w:r>
      <w:r>
        <w:rPr>
          <w:rFonts w:hint="eastAsia" w:cs="宋体"/>
          <w:szCs w:val="22"/>
          <w:lang w:bidi="ar"/>
        </w:rPr>
        <w:t xml:space="preserve">格式</w:t>
      </w:r>
      <w:r>
        <w:rPr>
          <w:szCs w:val="22"/>
          <w:lang w:bidi="ar"/>
        </w:rPr>
        <w:t xml:space="preserve">2</w:t>
      </w:r>
      <w:r>
        <w:rPr>
          <w:rFonts w:hint="eastAsia" w:cs="宋体"/>
          <w:szCs w:val="22"/>
          <w:lang w:bidi="ar"/>
        </w:rPr>
        <w:t xml:space="preserve">、法定代表人授权委托书</w:t>
      </w:r>
      <w:r/>
    </w:p>
    <w:p>
      <w:pPr>
        <w:pStyle w:val="864"/>
        <w:jc w:val="center"/>
        <w:spacing w:line="480" w:lineRule="exact"/>
      </w:pPr>
      <w:r/>
      <w:r/>
    </w:p>
    <w:p>
      <w:pPr>
        <w:pStyle w:val="864"/>
        <w:jc w:val="center"/>
        <w:spacing w:line="480" w:lineRule="exact"/>
        <w:rPr>
          <w:rFonts w:cs="宋体"/>
          <w:szCs w:val="22"/>
          <w:lang w:bidi="ar"/>
        </w:rPr>
      </w:pPr>
      <w:r>
        <w:rPr>
          <w:rFonts w:hint="eastAsia" w:cs="宋体"/>
          <w:szCs w:val="22"/>
          <w:lang w:bidi="ar"/>
        </w:rPr>
        <w:t xml:space="preserve">法人授权委托书</w:t>
      </w:r>
      <w:r>
        <w:rPr>
          <w:rFonts w:cs="宋体"/>
          <w:szCs w:val="22"/>
          <w:lang w:bidi="ar"/>
        </w:rPr>
      </w:r>
      <w:r/>
    </w:p>
    <w:p>
      <w:pPr>
        <w:pStyle w:val="864"/>
        <w:spacing w:line="480" w:lineRule="exact"/>
      </w:pPr>
      <w:r/>
      <w:r/>
    </w:p>
    <w:p>
      <w:pPr>
        <w:pStyle w:val="864"/>
        <w:ind w:firstLine="420"/>
        <w:spacing w:line="480" w:lineRule="exact"/>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        （供应商名称）</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         （被授权人的姓名）</w:t>
      </w:r>
      <w:r>
        <w:rPr>
          <w:rFonts w:hint="eastAsia" w:ascii="宋体" w:hAnsi="宋体"/>
          <w:szCs w:val="21"/>
        </w:rPr>
        <w:t xml:space="preserve">为我方授权代表（即代理人），参加 </w:t>
      </w:r>
      <w:r>
        <w:rPr>
          <w:rFonts w:hint="eastAsia" w:ascii="宋体" w:hAnsi="宋体"/>
          <w:szCs w:val="21"/>
          <w:u w:val="single"/>
        </w:rPr>
        <w:t xml:space="preserve">苏州市永诚建设咨询有限公司 </w:t>
      </w:r>
      <w:r>
        <w:rPr>
          <w:rFonts w:hint="eastAsia" w:ascii="宋体" w:hAnsi="宋体"/>
          <w:szCs w:val="21"/>
        </w:rPr>
        <w:t xml:space="preserve">组织实施的编号为</w:t>
      </w:r>
      <w:r>
        <w:rPr>
          <w:rFonts w:hint="eastAsia" w:ascii="宋体" w:hAnsi="宋体"/>
          <w:szCs w:val="21"/>
          <w:u w:val="single"/>
        </w:rPr>
        <w:t xml:space="preserve">          （采购编号）</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rPr>
          <w:rFonts w:ascii="宋体" w:hAnsi="宋体"/>
          <w:szCs w:val="21"/>
        </w:rPr>
      </w:r>
      <w:r/>
    </w:p>
    <w:p>
      <w:pPr>
        <w:pStyle w:val="864"/>
        <w:ind w:firstLine="420"/>
        <w:spacing w:line="480" w:lineRule="exact"/>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ascii="宋体" w:hAnsi="宋体"/>
          <w:szCs w:val="21"/>
        </w:rPr>
      </w:r>
      <w:r/>
    </w:p>
    <w:p>
      <w:pPr>
        <w:pStyle w:val="864"/>
        <w:ind w:firstLine="420"/>
        <w:spacing w:line="480" w:lineRule="exact"/>
        <w:rPr>
          <w:rFonts w:ascii="宋体" w:hAnsi="宋体"/>
          <w:szCs w:val="21"/>
        </w:rPr>
      </w:pPr>
      <w:r>
        <w:rPr>
          <w:rFonts w:hint="eastAsia" w:ascii="宋体" w:hAnsi="宋体"/>
          <w:szCs w:val="21"/>
        </w:rPr>
        <w:t xml:space="preserve">本授权委托书有效期自委托书作出之日起至本项目合同履行完毕之日止。</w:t>
      </w:r>
      <w:r>
        <w:rPr>
          <w:rFonts w:ascii="宋体" w:hAnsi="宋体"/>
          <w:szCs w:val="21"/>
        </w:rPr>
      </w:r>
      <w:r/>
    </w:p>
    <w:p>
      <w:pPr>
        <w:pStyle w:val="864"/>
        <w:ind w:firstLine="420"/>
        <w:spacing w:line="480" w:lineRule="exact"/>
        <w:rPr>
          <w:rFonts w:ascii="宋体" w:hAnsi="宋体"/>
          <w:szCs w:val="21"/>
        </w:rPr>
      </w:pPr>
      <w:r>
        <w:rPr>
          <w:rFonts w:hint="eastAsia" w:ascii="宋体" w:hAnsi="宋体"/>
          <w:szCs w:val="21"/>
        </w:rPr>
        <w:t xml:space="preserve">代理人无转委托权。</w:t>
      </w:r>
      <w:r>
        <w:rPr>
          <w:rFonts w:ascii="宋体" w:hAnsi="宋体"/>
          <w:szCs w:val="21"/>
        </w:rPr>
      </w:r>
      <w:r/>
    </w:p>
    <w:p>
      <w:pPr>
        <w:pStyle w:val="864"/>
        <w:ind w:firstLine="420"/>
        <w:spacing w:line="480" w:lineRule="exact"/>
        <w:rPr>
          <w:rFonts w:ascii="宋体" w:hAnsi="宋体"/>
          <w:szCs w:val="21"/>
        </w:rPr>
      </w:pPr>
      <w:r>
        <w:rPr>
          <w:rFonts w:hint="eastAsia" w:ascii="宋体" w:hAnsi="宋体"/>
          <w:szCs w:val="21"/>
        </w:rPr>
        <w:t xml:space="preserve">被授权人身份证号：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864"/>
        <w:ind w:firstLine="420"/>
        <w:spacing w:line="480" w:lineRule="exact"/>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rPr>
          <w:rFonts w:ascii="宋体" w:hAnsi="宋体"/>
          <w:szCs w:val="21"/>
        </w:rPr>
      </w:r>
      <w:r/>
    </w:p>
    <w:p>
      <w:pPr>
        <w:pStyle w:val="864"/>
        <w:ind w:firstLine="420"/>
        <w:spacing w:line="480" w:lineRule="exact"/>
        <w:rPr>
          <w:rFonts w:ascii="宋体" w:hAnsi="宋体"/>
          <w:szCs w:val="21"/>
        </w:rPr>
      </w:pPr>
      <w:r>
        <w:rPr>
          <w:rFonts w:ascii="宋体" w:hAnsi="宋体"/>
          <w:szCs w:val="21"/>
        </w:rPr>
      </w:r>
      <w:r/>
    </w:p>
    <w:p>
      <w:pPr>
        <w:pStyle w:val="864"/>
        <w:ind w:firstLine="420"/>
        <w:spacing w:line="480" w:lineRule="exact"/>
        <w:rPr>
          <w:rFonts w:hint="eastAsia" w:cs="宋体"/>
          <w:szCs w:val="22"/>
          <w:lang w:bidi="ar"/>
        </w:rPr>
      </w:pPr>
      <w:r>
        <w:rPr>
          <w:rFonts w:hint="eastAsia" w:cs="宋体"/>
          <w:szCs w:val="22"/>
          <w:lang w:bidi="ar"/>
        </w:rPr>
        <w:t xml:space="preserve">供应商：（单位盖章）</w:t>
      </w:r>
      <w:r>
        <w:rPr>
          <w:rFonts w:hint="eastAsia" w:cs="宋体"/>
          <w:szCs w:val="22"/>
          <w:lang w:bidi="ar"/>
        </w:rPr>
      </w:r>
      <w:r/>
    </w:p>
    <w:p>
      <w:pPr>
        <w:pStyle w:val="864"/>
        <w:ind w:firstLine="420"/>
        <w:spacing w:line="480" w:lineRule="exact"/>
        <w:rPr>
          <w:rFonts w:hint="eastAsia" w:ascii="宋体" w:hAnsi="宋体"/>
          <w:szCs w:val="21"/>
        </w:rPr>
      </w:pPr>
      <w:r>
        <w:rPr>
          <w:rFonts w:hint="eastAsia" w:cs="宋体"/>
          <w:szCs w:val="22"/>
          <w:lang w:bidi="ar"/>
        </w:rPr>
        <w:t xml:space="preserve">法定代表人：（签字或签章）</w:t>
      </w:r>
      <w:r>
        <w:rPr>
          <w:rFonts w:hint="eastAsia" w:ascii="宋体" w:hAnsi="宋体"/>
          <w:szCs w:val="21"/>
        </w:rPr>
        <w:t xml:space="preserve">  </w:t>
      </w:r>
      <w:r>
        <w:rPr>
          <w:rFonts w:hint="eastAsia" w:ascii="宋体" w:hAnsi="宋体"/>
          <w:szCs w:val="21"/>
        </w:rPr>
      </w:r>
      <w:r/>
    </w:p>
    <w:p>
      <w:pPr>
        <w:pStyle w:val="864"/>
        <w:ind w:firstLine="420"/>
        <w:spacing w:line="480" w:lineRule="exact"/>
      </w:pPr>
      <w:r>
        <w:rPr>
          <w:rFonts w:hint="eastAsia" w:cs="宋体"/>
          <w:szCs w:val="22"/>
          <w:lang w:bidi="ar"/>
        </w:rPr>
        <w:t xml:space="preserve">代理人：（签字或签章）</w:t>
      </w:r>
      <w:r>
        <w:rPr>
          <w:rFonts w:hint="eastAsia" w:ascii="宋体" w:hAnsi="宋体"/>
          <w:szCs w:val="21"/>
        </w:rPr>
        <w:t xml:space="preserve">                                   </w:t>
      </w:r>
      <w:r/>
    </w:p>
    <w:p>
      <w:pPr>
        <w:pStyle w:val="864"/>
        <w:ind w:right="840" w:firstLine="420"/>
        <w:spacing w:line="480" w:lineRule="exact"/>
        <w:tabs>
          <w:tab w:val="left" w:pos="360" w:leader="none"/>
        </w:tabs>
        <w:rPr>
          <w:rFonts w:hint="eastAsia" w:ascii="宋体" w:hAnsi="宋体" w:cs="宋体"/>
          <w:szCs w:val="21"/>
        </w:rPr>
      </w:pPr>
      <w:r>
        <w:rPr>
          <w:rFonts w:hint="eastAsia" w:ascii="宋体" w:hAnsi="宋体" w:cs="宋体"/>
          <w:szCs w:val="21"/>
        </w:rPr>
        <w:t xml:space="preserve">日期：　　　　年　</w:t>
      </w:r>
      <w:r>
        <w:rPr>
          <w:rFonts w:hint="eastAsia" w:ascii="宋体" w:hAnsi="宋体" w:cs="宋体"/>
          <w:szCs w:val="21"/>
          <w:lang w:val="en-US" w:eastAsia="zh-CN"/>
        </w:rPr>
        <w:t xml:space="preserve"> </w:t>
      </w:r>
      <w:r>
        <w:rPr>
          <w:rFonts w:hint="eastAsia" w:ascii="宋体" w:hAnsi="宋体" w:cs="宋体"/>
          <w:szCs w:val="21"/>
        </w:rPr>
        <w:t xml:space="preserve"> 月　</w:t>
      </w:r>
      <w:r>
        <w:rPr>
          <w:rFonts w:hint="eastAsia" w:ascii="宋体" w:hAnsi="宋体" w:cs="宋体"/>
          <w:szCs w:val="21"/>
          <w:lang w:val="en-US" w:eastAsia="zh-CN"/>
        </w:rPr>
        <w:t xml:space="preserve"> </w:t>
      </w:r>
      <w:r>
        <w:rPr>
          <w:rFonts w:hint="eastAsia" w:ascii="宋体" w:hAnsi="宋体" w:cs="宋体"/>
          <w:szCs w:val="21"/>
        </w:rPr>
        <w:t xml:space="preserve">日</w:t>
      </w:r>
      <w:r>
        <w:rPr>
          <w:rFonts w:hint="eastAsia" w:ascii="宋体" w:hAnsi="宋体" w:cs="宋体"/>
          <w:szCs w:val="21"/>
        </w:rPr>
      </w:r>
      <w:r/>
    </w:p>
    <w:p>
      <w:pPr>
        <w:pStyle w:val="864"/>
        <w:ind w:right="840" w:firstLine="420"/>
        <w:spacing w:line="480" w:lineRule="exact"/>
        <w:tabs>
          <w:tab w:val="left" w:pos="360" w:leader="none"/>
        </w:tabs>
        <w:rPr>
          <w:rFonts w:ascii="宋体" w:hAnsi="宋体"/>
          <w:bCs/>
          <w:szCs w:val="21"/>
        </w:rPr>
      </w:pPr>
      <w:r>
        <w:rPr>
          <w:rFonts w:ascii="宋体" w:hAnsi="宋体"/>
          <w:bCs/>
          <w:szCs w:val="21"/>
        </w:rPr>
      </w:r>
      <w:r/>
    </w:p>
    <w:p>
      <w:pPr>
        <w:pStyle w:val="864"/>
        <w:jc w:val="left"/>
        <w:spacing w:line="480" w:lineRule="exact"/>
      </w:pPr>
      <w:r>
        <w:rPr>
          <w:szCs w:val="22"/>
          <w:lang w:bidi="ar"/>
        </w:rPr>
        <w:t xml:space="preserve">   </w:t>
      </w:r>
      <w:r>
        <w:rPr>
          <w:rFonts w:hint="eastAsia" w:cs="宋体"/>
          <w:szCs w:val="22"/>
          <w:lang w:bidi="ar"/>
        </w:rPr>
        <w:t xml:space="preserve">附：授权代表的身份证正反面复印件（要求：真实、有效、清晰）</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040"/>
      </w:tblGrid>
      <w:tr>
        <w:trPr>
          <w:trHeight w:val="2544"/>
        </w:trPr>
        <w:tc>
          <w:tcPr>
            <w:tcMar>
              <w:left w:w="105" w:type="dxa"/>
              <w:right w:w="105" w:type="dxa"/>
            </w:tcMar>
            <w:tcW w:w="8040" w:type="dxa"/>
            <w:vAlign w:val="center"/>
            <w:textDirection w:val="lrTb"/>
            <w:noWrap w:val="false"/>
          </w:tcPr>
          <w:p>
            <w:pPr>
              <w:pStyle w:val="864"/>
              <w:spacing w:line="480" w:lineRule="exact"/>
              <w:rPr>
                <w:rFonts w:cs="Times New Roman"/>
              </w:rPr>
            </w:pPr>
            <w:r>
              <w:rPr>
                <w:rFonts w:cs="Times New Roman"/>
                <w:szCs w:val="22"/>
                <w:lang w:bidi="ar"/>
              </w:rPr>
              <w:t xml:space="preserve"> </w:t>
            </w:r>
            <w:r>
              <w:rPr>
                <w:rFonts w:cs="Times New Roman"/>
              </w:rPr>
            </w:r>
            <w:r/>
          </w:p>
          <w:p>
            <w:pPr>
              <w:pStyle w:val="864"/>
              <w:spacing w:line="480" w:lineRule="exact"/>
              <w:rPr>
                <w:rFonts w:cs="Times New Roman"/>
              </w:rPr>
            </w:pPr>
            <w:r>
              <w:rPr>
                <w:rFonts w:cs="Times New Roman"/>
              </w:rPr>
              <w:t xml:space="preserve"> </w:t>
            </w:r>
            <w:r>
              <w:rPr>
                <w:rFonts w:cs="Times New Roman"/>
              </w:rPr>
            </w:r>
            <w:r/>
          </w:p>
        </w:tc>
      </w:tr>
    </w:tbl>
    <w:p>
      <w:pPr>
        <w:pStyle w:val="864"/>
        <w:spacing w:line="480" w:lineRule="exact"/>
        <w:rPr>
          <w:rFonts w:hint="eastAsia"/>
          <w:szCs w:val="22"/>
          <w:lang w:bidi="ar"/>
        </w:rPr>
      </w:pPr>
      <w:r>
        <w:rPr>
          <w:rFonts w:hint="eastAsia"/>
          <w:szCs w:val="22"/>
          <w:lang w:bidi="ar"/>
        </w:rPr>
      </w:r>
      <w:r/>
    </w:p>
    <w:p>
      <w:pPr>
        <w:pStyle w:val="864"/>
        <w:spacing w:line="480" w:lineRule="exact"/>
        <w:rPr>
          <w:rFonts w:hint="eastAsia"/>
          <w:szCs w:val="22"/>
          <w:lang w:bidi="ar"/>
        </w:rPr>
      </w:pPr>
      <w:r>
        <w:rPr>
          <w:rFonts w:hint="eastAsia"/>
          <w:szCs w:val="22"/>
          <w:lang w:bidi="ar"/>
        </w:rPr>
        <w:t xml:space="preserve">备注：供应商如有授权委托，必须提供该法人授权委托书及代理人身份证，否则投标无效；</w:t>
      </w:r>
      <w:r>
        <w:rPr>
          <w:rFonts w:hint="eastAsia"/>
          <w:szCs w:val="22"/>
          <w:lang w:bidi="ar"/>
        </w:rPr>
      </w:r>
      <w:r/>
    </w:p>
    <w:p>
      <w:pPr>
        <w:pStyle w:val="864"/>
        <w:spacing w:line="480" w:lineRule="exact"/>
        <w:rPr>
          <w:rFonts w:eastAsia="宋体"/>
          <w:lang w:val="en-US" w:eastAsia="zh-CN"/>
        </w:rPr>
      </w:pPr>
      <w:r>
        <w:rPr>
          <w:rFonts w:hint="eastAsia"/>
          <w:szCs w:val="22"/>
          <w:lang w:bidi="ar"/>
        </w:rPr>
        <w:t xml:space="preserve">供应商无授权委托的情况下，必须提供法定代表人身份证，否则投标无效。</w:t>
      </w:r>
      <w:r>
        <w:rPr>
          <w:szCs w:val="22"/>
          <w:lang w:bidi="ar"/>
        </w:rPr>
        <w:br w:type="page" w:clear="all"/>
      </w:r>
      <w:r>
        <w:rPr>
          <w:rFonts w:hint="eastAsia" w:cs="宋体"/>
          <w:szCs w:val="22"/>
          <w:lang w:bidi="ar"/>
        </w:rPr>
        <w:t xml:space="preserve">格式</w:t>
      </w:r>
      <w:r>
        <w:rPr>
          <w:szCs w:val="22"/>
          <w:lang w:bidi="ar"/>
        </w:rPr>
        <w:t xml:space="preserve">3</w:t>
      </w:r>
      <w:r>
        <w:rPr>
          <w:rFonts w:hint="eastAsia" w:cs="宋体"/>
          <w:szCs w:val="22"/>
          <w:lang w:bidi="ar"/>
        </w:rPr>
        <w:t xml:space="preserve">、开标一览表</w:t>
      </w:r>
      <w:r>
        <w:rPr>
          <w:rFonts w:hint="eastAsia" w:cs="宋体"/>
          <w:szCs w:val="22"/>
          <w:lang w:eastAsia="zh-CN" w:bidi="ar"/>
        </w:rPr>
        <w:t xml:space="preserve">、</w:t>
      </w:r>
      <w:r>
        <w:rPr>
          <w:rFonts w:hint="eastAsia" w:cs="宋体"/>
          <w:szCs w:val="22"/>
          <w:lang w:val="en-US" w:eastAsia="zh-CN" w:bidi="ar"/>
        </w:rPr>
        <w:t xml:space="preserve">报价分析表</w:t>
      </w:r>
      <w:r>
        <w:rPr>
          <w:rFonts w:eastAsia="宋体"/>
          <w:lang w:val="en-US" w:eastAsia="zh-CN"/>
        </w:rPr>
      </w:r>
      <w:r/>
    </w:p>
    <w:p>
      <w:pPr>
        <w:pStyle w:val="864"/>
        <w:jc w:val="center"/>
        <w:spacing w:line="480" w:lineRule="exact"/>
      </w:pPr>
      <w:r>
        <w:rPr>
          <w:rFonts w:hint="eastAsia" w:cs="宋体"/>
          <w:szCs w:val="22"/>
          <w:lang w:eastAsia="zh-CN" w:bidi="ar"/>
        </w:rPr>
        <w:t xml:space="preserve">（</w:t>
      </w:r>
      <w:r>
        <w:rPr>
          <w:rFonts w:hint="eastAsia" w:cs="宋体"/>
          <w:szCs w:val="22"/>
          <w:lang w:val="en-US" w:eastAsia="zh-CN" w:bidi="ar"/>
        </w:rPr>
        <w:t xml:space="preserve">一）</w:t>
      </w:r>
      <w:r>
        <w:rPr>
          <w:rFonts w:hint="eastAsia" w:cs="宋体"/>
          <w:szCs w:val="22"/>
          <w:lang w:bidi="ar"/>
        </w:rPr>
        <w:t xml:space="preserve">开标一览表</w:t>
      </w:r>
      <w:r/>
    </w:p>
    <w:tbl>
      <w:tblPr>
        <w:tblpPr w:horzAnchor="page" w:tblpX="1096" w:vertAnchor="text" w:tblpY="456" w:leftFromText="180" w:topFromText="0" w:rightFromText="180" w:bottomFromText="0"/>
        <w:tblW w:w="10057"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2535"/>
        <w:gridCol w:w="2985"/>
        <w:gridCol w:w="2210"/>
        <w:gridCol w:w="1617"/>
      </w:tblGrid>
      <w:tr>
        <w:trPr>
          <w:trHeight w:val="833"/>
        </w:trPr>
        <w:tc>
          <w:tcPr>
            <w:tcW w:w="710" w:type="dxa"/>
            <w:vAlign w:val="center"/>
            <w:textDirection w:val="lrTb"/>
            <w:noWrap w:val="false"/>
          </w:tcPr>
          <w:p>
            <w:pPr>
              <w:pStyle w:val="864"/>
              <w:rPr>
                <w:rFonts w:cs="Times New Roman"/>
              </w:rPr>
              <w:framePr w:vAnchor="text" w:hAnchor="page" w:x="1096" w:y="456"/>
            </w:pPr>
            <w:r/>
            <w:bookmarkStart w:id="16" w:name="_Hlk69938415"/>
            <w:r>
              <w:rPr>
                <w:rFonts w:hint="eastAsia" w:cs="宋体"/>
              </w:rPr>
              <w:t xml:space="preserve">序号</w:t>
            </w:r>
            <w:r>
              <w:rPr>
                <w:rFonts w:cs="Times New Roman"/>
              </w:rPr>
            </w:r>
            <w:r/>
          </w:p>
        </w:tc>
        <w:tc>
          <w:tcPr>
            <w:tcW w:w="2535" w:type="dxa"/>
            <w:vAlign w:val="center"/>
            <w:textDirection w:val="lrTb"/>
            <w:noWrap w:val="false"/>
          </w:tcPr>
          <w:p>
            <w:pPr>
              <w:pStyle w:val="864"/>
              <w:rPr>
                <w:rFonts w:cs="Times New Roman"/>
              </w:rPr>
              <w:framePr w:vAnchor="text" w:hAnchor="page" w:x="1096" w:y="456"/>
            </w:pPr>
            <w:r>
              <w:rPr>
                <w:rFonts w:hint="eastAsia" w:cs="宋体"/>
              </w:rPr>
              <w:t xml:space="preserve">项目名称</w:t>
            </w:r>
            <w:r>
              <w:rPr>
                <w:rFonts w:cs="Times New Roman"/>
              </w:rPr>
            </w:r>
            <w:r/>
          </w:p>
        </w:tc>
        <w:tc>
          <w:tcPr>
            <w:tcW w:w="2985" w:type="dxa"/>
            <w:vAlign w:val="center"/>
            <w:textDirection w:val="lrTb"/>
            <w:noWrap w:val="false"/>
          </w:tcPr>
          <w:p>
            <w:pPr>
              <w:pStyle w:val="864"/>
              <w:jc w:val="center"/>
              <w:rPr>
                <w:rFonts w:ascii="宋体" w:hAnsi="宋体" w:eastAsia="宋体" w:cs="Times New Roman"/>
                <w:color w:val="000000"/>
                <w:szCs w:val="21"/>
                <w:lang w:val="en-US" w:eastAsia="zh-CN"/>
              </w:rPr>
              <w:framePr w:vAnchor="text" w:hAnchor="page" w:x="1096" w:y="456"/>
            </w:pPr>
            <w:r>
              <w:rPr>
                <w:rFonts w:hint="eastAsia" w:ascii="宋体" w:hAnsi="宋体" w:cs="Times New Roman"/>
                <w:color w:val="000000"/>
                <w:szCs w:val="21"/>
                <w:lang w:val="en-US" w:eastAsia="zh-CN"/>
              </w:rPr>
              <w:t xml:space="preserve">投标总报价（含税）</w:t>
            </w:r>
            <w:r>
              <w:rPr>
                <w:rFonts w:ascii="宋体" w:hAnsi="宋体" w:eastAsia="宋体" w:cs="Times New Roman"/>
                <w:color w:val="000000"/>
                <w:szCs w:val="21"/>
                <w:lang w:val="en-US" w:eastAsia="zh-CN"/>
              </w:rPr>
            </w:r>
            <w:r/>
          </w:p>
        </w:tc>
        <w:tc>
          <w:tcPr>
            <w:tcW w:w="2210" w:type="dxa"/>
            <w:vAlign w:val="center"/>
            <w:textDirection w:val="lrTb"/>
            <w:noWrap w:val="false"/>
          </w:tcPr>
          <w:p>
            <w:pPr>
              <w:pStyle w:val="864"/>
              <w:jc w:val="center"/>
              <w:rPr>
                <w:rFonts w:ascii="宋体" w:hAnsi="宋体" w:cs="Times New Roman"/>
                <w:color w:val="000000"/>
                <w:szCs w:val="21"/>
              </w:rPr>
              <w:framePr w:vAnchor="text" w:hAnchor="page" w:x="1096" w:y="456"/>
            </w:pPr>
            <w:r>
              <w:rPr>
                <w:rFonts w:hint="eastAsia" w:ascii="宋体" w:hAnsi="宋体" w:cs="宋体"/>
                <w:sz w:val="21"/>
                <w:szCs w:val="21"/>
                <w:highlight w:val="none"/>
              </w:rPr>
              <w:t xml:space="preserve">合同履行期限</w:t>
            </w:r>
            <w:r>
              <w:rPr>
                <w:rFonts w:ascii="宋体" w:hAnsi="宋体" w:cs="Times New Roman"/>
                <w:color w:val="000000"/>
                <w:szCs w:val="21"/>
              </w:rPr>
            </w:r>
            <w:r/>
          </w:p>
        </w:tc>
        <w:tc>
          <w:tcPr>
            <w:tcW w:w="1617" w:type="dxa"/>
            <w:vAlign w:val="center"/>
            <w:textDirection w:val="lrTb"/>
            <w:noWrap w:val="false"/>
          </w:tcPr>
          <w:p>
            <w:pPr>
              <w:pStyle w:val="864"/>
              <w:jc w:val="center"/>
              <w:rPr>
                <w:rFonts w:ascii="宋体" w:hAnsi="宋体" w:cs="Times New Roman"/>
                <w:color w:val="000000"/>
                <w:szCs w:val="21"/>
              </w:rPr>
              <w:framePr w:vAnchor="text" w:hAnchor="page" w:x="1096" w:y="456"/>
            </w:pPr>
            <w:r>
              <w:rPr>
                <w:rFonts w:hint="eastAsia" w:ascii="宋体" w:hAnsi="宋体" w:cs="Times New Roman"/>
                <w:color w:val="000000"/>
                <w:szCs w:val="21"/>
              </w:rPr>
              <w:t xml:space="preserve">备注</w:t>
            </w:r>
            <w:r>
              <w:rPr>
                <w:rFonts w:ascii="宋体" w:hAnsi="宋体" w:cs="Times New Roman"/>
                <w:color w:val="000000"/>
                <w:szCs w:val="21"/>
              </w:rPr>
            </w:r>
            <w:r/>
          </w:p>
        </w:tc>
      </w:tr>
      <w:tr>
        <w:trPr>
          <w:trHeight w:val="2679"/>
        </w:trPr>
        <w:tc>
          <w:tcPr>
            <w:tcW w:w="710" w:type="dxa"/>
            <w:vAlign w:val="center"/>
            <w:textDirection w:val="lrTb"/>
            <w:noWrap w:val="false"/>
          </w:tcPr>
          <w:p>
            <w:pPr>
              <w:pStyle w:val="864"/>
              <w:rPr>
                <w:rFonts w:cs="Times New Roman"/>
              </w:rPr>
              <w:framePr w:vAnchor="text" w:hAnchor="page" w:x="1096" w:y="456"/>
            </w:pPr>
            <w:r>
              <w:rPr>
                <w:rFonts w:cs="Times New Roman"/>
              </w:rPr>
              <w:t xml:space="preserve">1</w:t>
            </w:r>
            <w:r>
              <w:rPr>
                <w:rFonts w:cs="Times New Roman"/>
              </w:rPr>
            </w:r>
            <w:r/>
          </w:p>
        </w:tc>
        <w:tc>
          <w:tcPr>
            <w:tcW w:w="2535" w:type="dxa"/>
            <w:vAlign w:val="center"/>
            <w:textDirection w:val="lrTb"/>
            <w:noWrap w:val="false"/>
          </w:tcPr>
          <w:p>
            <w:pPr>
              <w:pStyle w:val="864"/>
              <w:rPr>
                <w:rFonts w:hint="eastAsia" w:eastAsia="宋体" w:cs="Times New Roman"/>
                <w:lang w:eastAsia="zh-CN"/>
              </w:rPr>
              <w:framePr w:vAnchor="text" w:hAnchor="page" w:x="1096" w:y="456"/>
            </w:pPr>
            <w:r>
              <w:rPr>
                <w:rFonts w:hint="eastAsia" w:cs="宋体"/>
                <w:lang w:eastAsia="zh-CN"/>
              </w:rPr>
              <w:t xml:space="preserve">野生动物饲料</w:t>
            </w:r>
            <w:r>
              <w:rPr>
                <w:rFonts w:hint="eastAsia" w:eastAsia="宋体" w:cs="Times New Roman"/>
                <w:lang w:eastAsia="zh-CN"/>
              </w:rPr>
            </w:r>
            <w:r/>
          </w:p>
        </w:tc>
        <w:tc>
          <w:tcPr>
            <w:tcW w:w="2985" w:type="dxa"/>
            <w:vAlign w:val="center"/>
            <w:textDirection w:val="lrTb"/>
            <w:noWrap w:val="false"/>
          </w:tcPr>
          <w:p>
            <w:pPr>
              <w:pStyle w:val="864"/>
              <w:spacing w:after="280"/>
              <w:widowControl/>
              <w:rPr>
                <w:rFonts w:hint="eastAsia" w:ascii="宋体" w:hAnsi="宋体" w:cs="宋体"/>
                <w:sz w:val="21"/>
                <w:szCs w:val="21"/>
                <w:highlight w:val="none"/>
                <w:lang w:bidi="ar"/>
              </w:rPr>
              <w:framePr w:vAnchor="text" w:hAnchor="page" w:x="1096" w:y="456"/>
            </w:pPr>
            <w:r>
              <w:rPr>
                <w:rFonts w:hint="eastAsia" w:ascii="宋体" w:hAnsi="宋体" w:cs="宋体"/>
                <w:sz w:val="21"/>
                <w:szCs w:val="21"/>
                <w:highlight w:val="none"/>
                <w:lang w:bidi="ar"/>
              </w:rPr>
              <w:t xml:space="preserve">大写：_____________</w:t>
            </w:r>
            <w:r>
              <w:rPr>
                <w:rFonts w:hint="eastAsia" w:ascii="宋体" w:hAnsi="宋体" w:cs="宋体"/>
                <w:sz w:val="21"/>
                <w:szCs w:val="21"/>
                <w:highlight w:val="none"/>
                <w:lang w:bidi="ar"/>
              </w:rPr>
            </w:r>
            <w:r/>
          </w:p>
          <w:p>
            <w:pPr>
              <w:pStyle w:val="864"/>
              <w:jc w:val="both"/>
              <w:rPr>
                <w:rFonts w:ascii="宋体" w:hAnsi="宋体" w:cs="Times New Roman"/>
                <w:color w:val="000000"/>
                <w:szCs w:val="21"/>
              </w:rPr>
              <w:framePr w:vAnchor="text" w:hAnchor="page" w:x="1096" w:y="456"/>
            </w:pPr>
            <w:r>
              <w:rPr>
                <w:rFonts w:hint="eastAsia" w:ascii="宋体" w:hAnsi="宋体" w:cs="宋体"/>
                <w:sz w:val="21"/>
                <w:szCs w:val="21"/>
                <w:highlight w:val="none"/>
                <w:lang w:bidi="ar"/>
              </w:rPr>
              <w:t xml:space="preserve">小写：_____________</w:t>
            </w:r>
            <w:r>
              <w:rPr>
                <w:rFonts w:ascii="宋体" w:hAnsi="宋体" w:cs="Times New Roman"/>
                <w:color w:val="000000"/>
                <w:szCs w:val="21"/>
              </w:rPr>
            </w:r>
            <w:r/>
          </w:p>
        </w:tc>
        <w:tc>
          <w:tcPr>
            <w:tcW w:w="2210" w:type="dxa"/>
            <w:vAlign w:val="center"/>
            <w:textDirection w:val="lrTb"/>
            <w:noWrap w:val="false"/>
          </w:tcPr>
          <w:p>
            <w:pPr>
              <w:pStyle w:val="864"/>
              <w:jc w:val="center"/>
              <w:rPr>
                <w:rFonts w:ascii="宋体" w:hAnsi="宋体" w:cs="Times New Roman"/>
                <w:color w:val="000000"/>
                <w:szCs w:val="21"/>
              </w:rPr>
              <w:framePr w:vAnchor="text" w:hAnchor="page" w:x="1096" w:y="456"/>
            </w:pPr>
            <w:r>
              <w:rPr>
                <w:rFonts w:hint="eastAsia" w:ascii="宋体" w:hAnsi="宋体" w:eastAsia="宋体" w:cs="宋体"/>
                <w:szCs w:val="21"/>
              </w:rPr>
              <w:t xml:space="preserve">2026年4月1日至2027年3月31日</w:t>
            </w:r>
            <w:r>
              <w:rPr>
                <w:rFonts w:ascii="宋体" w:hAnsi="宋体" w:cs="Times New Roman"/>
                <w:color w:val="000000"/>
                <w:szCs w:val="21"/>
              </w:rPr>
            </w:r>
            <w:r/>
          </w:p>
        </w:tc>
        <w:tc>
          <w:tcPr>
            <w:tcW w:w="1617" w:type="dxa"/>
            <w:vAlign w:val="center"/>
            <w:textDirection w:val="lrTb"/>
            <w:noWrap w:val="false"/>
          </w:tcPr>
          <w:p>
            <w:pPr>
              <w:pStyle w:val="864"/>
              <w:rPr>
                <w:rFonts w:ascii="宋体" w:hAnsi="宋体" w:cs="Times New Roman"/>
                <w:color w:val="000000"/>
                <w:szCs w:val="21"/>
                <w:highlight w:val="yellow"/>
              </w:rPr>
              <w:framePr w:vAnchor="text" w:hAnchor="page" w:x="1096" w:y="456"/>
            </w:pPr>
            <w:r>
              <w:rPr>
                <w:rFonts w:ascii="宋体" w:hAnsi="宋体" w:cs="Times New Roman"/>
                <w:color w:val="000000"/>
                <w:szCs w:val="21"/>
                <w:highlight w:val="yellow"/>
              </w:rPr>
            </w:r>
            <w:r/>
          </w:p>
        </w:tc>
      </w:tr>
    </w:tbl>
    <w:p>
      <w:pPr>
        <w:pStyle w:val="864"/>
        <w:spacing w:line="480" w:lineRule="exact"/>
        <w:rPr>
          <w:rFonts w:hint="eastAsia" w:cs="宋体"/>
          <w:szCs w:val="22"/>
          <w:lang w:bidi="ar"/>
        </w:rPr>
      </w:pPr>
      <w:r/>
      <w:bookmarkEnd w:id="16"/>
      <w:r>
        <w:rPr>
          <w:rFonts w:hint="eastAsia" w:cs="宋体"/>
          <w:szCs w:val="22"/>
          <w:lang w:bidi="ar"/>
        </w:rPr>
      </w:r>
      <w:r/>
    </w:p>
    <w:p>
      <w:pPr>
        <w:pStyle w:val="864"/>
        <w:numPr>
          <w:ilvl w:val="0"/>
          <w:numId w:val="1"/>
        </w:numPr>
        <w:ind w:left="208" w:firstLine="422"/>
        <w:spacing w:line="360" w:lineRule="auto"/>
        <w:rPr>
          <w:rFonts w:hint="eastAsia" w:ascii="宋体" w:hAnsi="宋体" w:cs="宋体"/>
          <w:b/>
          <w:szCs w:val="24"/>
          <w:highlight w:val="none"/>
        </w:rPr>
      </w:pPr>
      <w:r>
        <w:rPr>
          <w:rFonts w:hint="eastAsia" w:ascii="宋体" w:hAnsi="宋体" w:cs="宋体"/>
          <w:b/>
          <w:szCs w:val="24"/>
          <w:highlight w:val="none"/>
        </w:rPr>
        <w:t xml:space="preserve">本表中的报价为综合报价，报价包括但不限于所供全部货物和服务所需的人工、包装、仓储、运至最终目的地的运输、饲料采购费、保险、检测验收、中标服务费、售后服务相关劳务支出等，以及供应商利润、税金、政策性文件规定及合同包含的所有风险、责任等所有相关费用。</w:t>
      </w:r>
      <w:r>
        <w:rPr>
          <w:rFonts w:hint="eastAsia" w:ascii="宋体" w:hAnsi="宋体" w:cs="宋体"/>
          <w:b/>
          <w:szCs w:val="24"/>
          <w:highlight w:val="none"/>
        </w:rPr>
      </w:r>
      <w:r/>
    </w:p>
    <w:p>
      <w:pPr>
        <w:pStyle w:val="864"/>
        <w:numPr>
          <w:ilvl w:val="0"/>
          <w:numId w:val="1"/>
        </w:numPr>
        <w:ind w:left="208" w:firstLine="422"/>
        <w:spacing w:line="360" w:lineRule="auto"/>
        <w:rPr>
          <w:rFonts w:hint="eastAsia" w:ascii="宋体" w:hAnsi="宋体" w:cs="宋体"/>
          <w:b/>
          <w:szCs w:val="24"/>
          <w:highlight w:val="none"/>
        </w:rPr>
      </w:pPr>
      <w:r>
        <w:rPr>
          <w:rFonts w:hint="eastAsia" w:ascii="宋体" w:hAnsi="宋体" w:cs="宋体"/>
          <w:b/>
          <w:szCs w:val="24"/>
          <w:highlight w:val="none"/>
          <w:lang w:val="en-US" w:eastAsia="zh-CN"/>
        </w:rPr>
        <w:t xml:space="preserve">供应商应充分考虑价格波动等市场因素并结合自身情况进行综合单价和总价报价，投标单价低于或等</w:t>
      </w:r>
      <w:r>
        <w:rPr>
          <w:rFonts w:hint="eastAsia" w:ascii="宋体" w:hAnsi="宋体" w:eastAsia="宋体" w:cs="宋体"/>
          <w:b/>
          <w:szCs w:val="24"/>
          <w:highlight w:val="none"/>
          <w:lang w:val="en-US" w:eastAsia="zh-CN"/>
        </w:rPr>
        <w:t xml:space="preserve">于单价最高限价、</w:t>
      </w:r>
      <w:r>
        <w:rPr>
          <w:rFonts w:hint="eastAsia" w:ascii="宋体" w:hAnsi="宋体" w:cs="宋体"/>
          <w:b/>
          <w:szCs w:val="24"/>
          <w:highlight w:val="none"/>
          <w:lang w:val="en-US" w:eastAsia="zh-CN"/>
        </w:rPr>
        <w:t xml:space="preserve">投标总报价低于或者等于</w:t>
      </w:r>
      <w:r>
        <w:rPr>
          <w:rFonts w:hint="eastAsia" w:ascii="宋体" w:hAnsi="宋体" w:eastAsia="宋体" w:cs="宋体"/>
          <w:b/>
          <w:szCs w:val="24"/>
          <w:highlight w:val="none"/>
          <w:lang w:val="en-US" w:eastAsia="zh-CN"/>
        </w:rPr>
        <w:t xml:space="preserve">5041038.23元的为有效报价；否则为无效报价，无效报价的投标文件不参与评审，也不得标。</w:t>
      </w:r>
      <w:r>
        <w:rPr>
          <w:rFonts w:hint="eastAsia" w:ascii="宋体" w:hAnsi="宋体" w:cs="宋体"/>
          <w:b/>
          <w:szCs w:val="24"/>
          <w:highlight w:val="none"/>
        </w:r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rPr>
          <w:rFonts w:hint="eastAsia" w:cs="宋体"/>
          <w:szCs w:val="22"/>
          <w:lang w:bidi="ar"/>
        </w:rPr>
      </w:pPr>
      <w:r>
        <w:rPr>
          <w:rFonts w:hint="eastAsia" w:cs="宋体"/>
          <w:szCs w:val="22"/>
          <w:lang w:bidi="ar"/>
        </w:rPr>
        <w:t xml:space="preserve">日期：  </w:t>
      </w:r>
      <w:r>
        <w:rPr>
          <w:rFonts w:hint="eastAsia" w:cs="宋体"/>
          <w:szCs w:val="22"/>
          <w:lang w:val="en-US" w:eastAsia="zh-CN" w:bidi="ar"/>
        </w:rPr>
        <w:t xml:space="preserve">   </w:t>
      </w:r>
      <w:r>
        <w:rPr>
          <w:rFonts w:hint="eastAsia" w:cs="宋体"/>
          <w:szCs w:val="22"/>
          <w:lang w:bidi="ar"/>
        </w:rPr>
        <w:t xml:space="preserve"> 年   月   日</w:t>
      </w:r>
      <w:r>
        <w:rPr>
          <w:rFonts w:hint="eastAsia" w:cs="宋体"/>
          <w:szCs w:val="22"/>
          <w:lang w:bidi="ar"/>
        </w:rPr>
      </w:r>
      <w:r/>
    </w:p>
    <w:p>
      <w:pPr>
        <w:pStyle w:val="864"/>
        <w:jc w:val="center"/>
        <w:spacing w:line="480" w:lineRule="exact"/>
        <w:rPr>
          <w:rFonts w:hint="eastAsia" w:ascii="宋体" w:hAnsi="宋体" w:cs="宋体"/>
          <w:sz w:val="24"/>
          <w:highlight w:val="none"/>
        </w:rPr>
      </w:pPr>
      <w:r>
        <w:rPr>
          <w:rFonts w:hint="eastAsia" w:cs="宋体"/>
          <w:szCs w:val="22"/>
          <w:lang w:bidi="ar"/>
        </w:rPr>
        <w:br w:type="page" w:clear="all"/>
      </w:r>
      <w:r>
        <w:rPr>
          <w:rFonts w:hint="eastAsia" w:ascii="Times New Roman" w:hAnsi="Times New Roman" w:eastAsia="宋体" w:cs="宋体"/>
          <w:szCs w:val="22"/>
          <w:lang w:eastAsia="zh-CN" w:bidi="ar"/>
        </w:rPr>
        <w:t xml:space="preserve">（二）报价分析表</w:t>
      </w:r>
      <w:r>
        <w:rPr>
          <w:rFonts w:hint="eastAsia" w:ascii="宋体" w:hAnsi="宋体" w:cs="宋体"/>
          <w:sz w:val="24"/>
          <w:highlight w:val="none"/>
        </w:rPr>
      </w:r>
      <w:r/>
    </w:p>
    <w:p>
      <w:pPr>
        <w:pStyle w:val="864"/>
        <w:spacing w:line="480" w:lineRule="exact"/>
        <w:rPr>
          <w:rFonts w:hint="eastAsia" w:ascii="宋体" w:hAnsi="宋体" w:eastAsia="宋体" w:cs="宋体"/>
          <w:sz w:val="21"/>
          <w:szCs w:val="21"/>
        </w:rPr>
      </w:pPr>
      <w:r>
        <w:rPr>
          <w:rFonts w:hint="eastAsia" w:ascii="宋体" w:hAnsi="宋体" w:eastAsia="宋体" w:cs="宋体"/>
          <w:sz w:val="21"/>
          <w:szCs w:val="21"/>
        </w:rPr>
      </w:r>
      <w:r/>
    </w:p>
    <w:tbl>
      <w:tblPr>
        <w:tblW w:w="9627" w:type="dxa"/>
        <w:tblInd w:w="-108" w:type="dxa"/>
        <w:tblLayout w:type="fixed"/>
        <w:tblCellMar>
          <w:left w:w="108" w:type="dxa"/>
          <w:top w:w="0" w:type="dxa"/>
          <w:right w:w="108" w:type="dxa"/>
          <w:bottom w:w="0" w:type="dxa"/>
        </w:tblCellMar>
        <w:tblLook w:val="04A0" w:firstRow="1" w:lastRow="0" w:firstColumn="1" w:lastColumn="0" w:noHBand="0" w:noVBand="1"/>
      </w:tblPr>
      <w:tblGrid>
        <w:gridCol w:w="885"/>
        <w:gridCol w:w="1934"/>
        <w:gridCol w:w="674"/>
        <w:gridCol w:w="1480"/>
        <w:gridCol w:w="1221"/>
        <w:gridCol w:w="1480"/>
        <w:gridCol w:w="1953"/>
      </w:tblGrid>
      <w:tr>
        <w:trPr>
          <w:trHeight w:val="54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rPr>
                <w:rFonts w:hint="eastAsia" w:ascii="宋体" w:hAnsi="宋体" w:eastAsia="宋体" w:cs="宋体"/>
                <w:bCs/>
                <w:color w:val="000000"/>
                <w:sz w:val="21"/>
                <w:szCs w:val="21"/>
              </w:rPr>
            </w:r>
            <w:r/>
          </w:p>
        </w:tc>
        <w:tc>
          <w:tcPr>
            <w:tcBorders>
              <w:top w:val="single" w:color="000000" w:sz="4" w:space="0"/>
              <w:left w:val="none" w:color="000000" w:sz="4" w:space="0"/>
              <w:bottom w:val="none" w:color="000000" w:sz="4" w:space="0"/>
              <w:right w:val="single" w:color="000000" w:sz="4" w:space="0"/>
            </w:tcBorders>
            <w:tcW w:w="193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饲料种类</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投标单价（元）</w:t>
            </w:r>
            <w:r>
              <w:rPr>
                <w:rFonts w:ascii="宋体" w:hAnsi="宋体" w:eastAsia="宋体" w:cs="宋体"/>
                <w:bCs/>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合价（元）</w:t>
            </w:r>
            <w:r>
              <w:rPr>
                <w:rFonts w:ascii="宋体" w:hAnsi="宋体" w:eastAsia="宋体" w:cs="宋体"/>
                <w:bCs/>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规格或要求</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新鲜牛后腿肉</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44,556.60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冷冻牛霖</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21,464.81</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冷冻带脖鸡架</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21,440.00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冷冻肉兔</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10,778.00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42"/>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新鲜猪排</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8,513.00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整块，不切小</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lang w:eastAsia="zh-CN"/>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新鲜羊肉</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3,434.20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三黄鸡</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8,160.00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每只3-4斤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猪后腿肉</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465.00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包菜</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12,100.00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大白菜</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鸡毛菜</w:t>
            </w:r>
            <w:r>
              <w:rPr>
                <w:rFonts w:hint="eastAsia" w:ascii="宋体" w:hAnsi="宋体" w:eastAsia="宋体" w:cs="宋体"/>
                <w:bCs/>
                <w:color w:val="000000"/>
                <w:sz w:val="21"/>
                <w:szCs w:val="21"/>
              </w:rPr>
            </w:r>
            <w:r/>
          </w:p>
        </w:tc>
        <w:tc>
          <w:tcPr>
            <w:tcBorders>
              <w:top w:val="none" w:color="000000" w:sz="4" w:space="0"/>
              <w:left w:val="none" w:color="000000" w:sz="4" w:space="0"/>
              <w:bottom w:val="non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13,400.00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612"/>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红薯</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干净无泥，单个0.7-1斤左右</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南瓜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val="false"/>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单个约8斤</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胡萝卜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24,000.00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单根150g-350g，长度不超过20cm，粗细不超过4.5cm</w:t>
            </w:r>
            <w:r>
              <w:rPr>
                <w:rFonts w:hint="eastAsia" w:ascii="宋体" w:hAnsi="宋体" w:eastAsia="宋体" w:cs="宋体"/>
                <w:bCs/>
                <w:color w:val="000000"/>
                <w:sz w:val="21"/>
                <w:szCs w:val="21"/>
              </w:rPr>
            </w:r>
            <w:r/>
          </w:p>
        </w:tc>
      </w:tr>
      <w:tr>
        <w:trPr>
          <w:trHeight w:val="1021"/>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黄瓜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6,800.00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val="false"/>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单根长度25-30cm</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12,200.00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去皮水果玉米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3,600.00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单根350-400g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西红柿</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3,800.00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单个150-200g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圣女果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洋葱</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红洋葱</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油麦菜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苦瓜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丝瓜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24</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红薯叶</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7,000.00</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茄子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大蒜头</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白心火龙果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单果500-550g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梨</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9,200.00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单果约350g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猕猴桃</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苹果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40,840.00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单果直径75-80mm</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葡萄</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西瓜</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14,000.00</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香蕉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6,437.80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单根150-200g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柚子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草莓</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芒果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135.00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菠萝</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210.00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哈密瓜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单个约5斤</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甜瓜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桃子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樱桃</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highlight w:val="none"/>
              </w:rPr>
              <w:t xml:space="preserve">42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黄桃</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水蜜桃</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黑布林</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橘子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石榴</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柿子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160.00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西梅</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青提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金桔</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蓝莓</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盒</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125g/盒</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鲜山楂</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highlight w:val="none"/>
              </w:rPr>
              <w:t xml:space="preserve">53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菠萝蜜肉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橙子</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500.00</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甘蔗</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根</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230.00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单根长度不少于2.5米</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莴笋叶</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干净，无杂物</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西芹</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1,100.00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519"/>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青圆椒</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西蓝花</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毛豆夹</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土豆</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藕</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茼蒿</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扁蒲</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9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鲜活小鲫鱼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每条长度6-8cm</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鲜活鲫鱼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5,500.00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每条200-250g（宰杀前）</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鲜活草鱼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每条约7斤（宰杀前）</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鲜活泥鳅</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70</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基围虾</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鲜活，1斤约30-35只</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龙虾</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鲜活，单只4-6钱</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黄豆</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黑豆</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玉米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12,550.00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碎米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稻谷</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3,500.00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13,800.00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香瓜子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生，大</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花生米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2,800.00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生，白皮</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花生</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生，带壳</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bCs/>
                <w:color w:val="000000"/>
                <w:sz w:val="21"/>
                <w:szCs w:val="21"/>
                <w:highlight w:val="none"/>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火麻仁</w:t>
            </w:r>
            <w:r>
              <w:rPr>
                <w:rFonts w:hint="eastAsia" w:ascii="宋体" w:hAnsi="宋体" w:eastAsia="宋体" w:cs="宋体"/>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斤</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600.00</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442"/>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highlight w:val="none"/>
              </w:rPr>
              <w:t xml:space="preserve">83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麸皮</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白馒头</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白砂糖</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500g/袋</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500g/袋</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纯牛奶</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箱</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250mlx24盒/箱</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鸡蛋</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6,400.00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鸡颗粒饲料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鹅颗粒饲料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中鸡饲料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羊草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吨</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苜蓿草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吨</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草食动物颗粒料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吨</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长颈鹿专用颗粒料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2,600.00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96</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树叶</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斤</w:t>
            </w:r>
            <w:r>
              <w:rPr>
                <w:rFonts w:hint="eastAsia" w:ascii="宋体" w:hAnsi="宋体" w:eastAsia="宋体" w:cs="宋体"/>
                <w:bCs/>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208,196.00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yellow"/>
                <w:lang w:val="en-US" w:eastAsia="zh-CN"/>
              </w:rPr>
              <w:suppressLineNumbers w:val="0"/>
            </w:pPr>
            <w:r>
              <w:rPr>
                <w:rFonts w:hint="eastAsia" w:ascii="宋体" w:hAnsi="宋体" w:eastAsia="宋体" w:cs="宋体"/>
                <w:bCs/>
                <w:color w:val="000000"/>
                <w:sz w:val="21"/>
                <w:szCs w:val="21"/>
                <w:highlight w:val="yellow"/>
                <w:lang w:val="en-US" w:eastAsia="zh-C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yellow"/>
              </w:rPr>
            </w:pPr>
            <w:r>
              <w:rPr>
                <w:rFonts w:hint="eastAsia" w:ascii="宋体" w:hAnsi="宋体" w:eastAsia="宋体" w:cs="宋体"/>
                <w:bCs/>
                <w:color w:val="000000"/>
                <w:sz w:val="21"/>
                <w:szCs w:val="21"/>
                <w:highlight w:val="yellow"/>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97</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竹叶</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斤</w:t>
            </w:r>
            <w:r>
              <w:rPr>
                <w:rFonts w:hint="eastAsia" w:ascii="宋体" w:hAnsi="宋体" w:eastAsia="宋体" w:cs="宋体"/>
                <w:bCs/>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24,000.00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ascii="宋体" w:hAnsi="宋体" w:eastAsia="宋体" w:cs="宋体"/>
                <w:bCs/>
                <w:color w:val="000000"/>
                <w:sz w:val="21"/>
                <w:szCs w:val="21"/>
                <w:highlight w:val="yellow"/>
                <w:lang w:val="en-US"/>
              </w:rPr>
              <w:suppressLineNumbers w:val="0"/>
            </w:pPr>
            <w:r>
              <w:rPr>
                <w:rFonts w:ascii="宋体" w:hAnsi="宋体" w:eastAsia="宋体" w:cs="宋体"/>
                <w:bCs/>
                <w:color w:val="000000"/>
                <w:sz w:val="21"/>
                <w:szCs w:val="21"/>
                <w:highlight w:val="yellow"/>
                <w:lang w:val="en-US"/>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yellow"/>
              </w:rPr>
            </w:pPr>
            <w:r>
              <w:rPr>
                <w:rFonts w:hint="eastAsia" w:ascii="宋体" w:hAnsi="宋体" w:eastAsia="宋体" w:cs="宋体"/>
                <w:bCs/>
                <w:color w:val="000000"/>
                <w:sz w:val="21"/>
                <w:szCs w:val="21"/>
                <w:highlight w:val="yellow"/>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98</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芭蕉杆</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颗</w:t>
            </w:r>
            <w:r>
              <w:rPr>
                <w:rFonts w:hint="eastAsia" w:ascii="宋体" w:hAnsi="宋体" w:eastAsia="宋体" w:cs="宋体"/>
                <w:bCs/>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151.00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ascii="宋体" w:hAnsi="宋体" w:eastAsia="宋体" w:cs="宋体"/>
                <w:bCs/>
                <w:color w:val="000000"/>
                <w:sz w:val="21"/>
                <w:szCs w:val="21"/>
                <w:highlight w:val="yellow"/>
                <w:lang w:val="en-US"/>
              </w:rPr>
              <w:suppressLineNumbers w:val="0"/>
            </w:pPr>
            <w:r>
              <w:rPr>
                <w:rFonts w:ascii="宋体" w:hAnsi="宋体" w:eastAsia="宋体" w:cs="宋体"/>
                <w:bCs/>
                <w:color w:val="000000"/>
                <w:sz w:val="21"/>
                <w:szCs w:val="21"/>
                <w:highlight w:val="yellow"/>
                <w:lang w:val="en-US"/>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yellow"/>
              </w:rPr>
            </w:pPr>
            <w:r>
              <w:rPr>
                <w:rFonts w:hint="eastAsia" w:ascii="宋体" w:hAnsi="宋体" w:eastAsia="宋体" w:cs="宋体"/>
                <w:bCs/>
                <w:color w:val="000000"/>
                <w:sz w:val="21"/>
                <w:szCs w:val="21"/>
                <w:highlight w:val="yellow"/>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highlight w:val="none"/>
              </w:rPr>
              <w:t xml:space="preserve">99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去皮去骨花鲢鱼肉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1,080.00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活兔</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180.00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活乳鼠</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1,500.00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金丝熊</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冻乳鼠</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面包虫</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大麦虫</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鹦鹉凡尔赛奶粉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罐</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每罐3kg</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鹦鹉凡尔赛饲料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盒</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每盒700g</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小熊猫颗粒料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包</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每包50斤</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虾皮</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冰块</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块</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790.00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每块100斤</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白萝卜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192.00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大青菜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燕麦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荞麦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加纳利子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冬枣</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马蹄</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龙眼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荔枝</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西葫芦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柠檬</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去壳栗子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07"/>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冬枣</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铁棍山药</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90.00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9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贝贝南瓜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30.00</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61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yellow"/>
              </w:rPr>
            </w:pPr>
            <w:r>
              <w:rPr>
                <w:rFonts w:hint="eastAsia" w:ascii="宋体" w:hAnsi="宋体" w:eastAsia="宋体" w:cs="宋体"/>
                <w:bCs/>
                <w:color w:val="000000"/>
                <w:sz w:val="21"/>
                <w:szCs w:val="21"/>
              </w:rPr>
              <w:t xml:space="preserve">126</w:t>
            </w:r>
            <w:r>
              <w:rPr>
                <w:rFonts w:hint="eastAsia" w:ascii="宋体" w:hAnsi="宋体" w:eastAsia="宋体" w:cs="宋体"/>
                <w:bCs/>
                <w:color w:val="000000"/>
                <w:sz w:val="21"/>
                <w:szCs w:val="21"/>
                <w:highlight w:val="yellow"/>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安吉竹叶</w:t>
            </w:r>
            <w:r>
              <w:rPr>
                <w:rFonts w:hint="eastAsia" w:ascii="宋体" w:hAnsi="宋体" w:eastAsia="宋体" w:cs="宋体"/>
                <w:bCs/>
                <w:color w:val="000000"/>
                <w:sz w:val="21"/>
                <w:szCs w:val="21"/>
                <w:highlight w:val="none"/>
              </w:rPr>
            </w:r>
            <w:r/>
          </w:p>
        </w:tc>
        <w:tc>
          <w:tcPr>
            <w:gridSpan w:val="3"/>
            <w:tcBorders>
              <w:top w:val="none" w:color="000000" w:sz="4" w:space="0"/>
              <w:left w:val="single" w:color="000000" w:sz="4" w:space="0"/>
              <w:bottom w:val="single" w:color="000000" w:sz="4" w:space="0"/>
              <w:right w:val="single" w:color="000000" w:sz="4" w:space="0"/>
            </w:tcBorders>
            <w:tcW w:w="3375" w:type="dxa"/>
            <w:vAlign w:val="center"/>
            <w:textDirection w:val="lrTb"/>
            <w:noWrap w:val="false"/>
          </w:tcPr>
          <w:p>
            <w:pPr>
              <w:pStyle w:val="86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每3天配送一次，</w:t>
            </w:r>
            <w:r>
              <w:rPr>
                <w:rFonts w:hint="eastAsia" w:ascii="宋体" w:hAnsi="宋体" w:eastAsia="宋体" w:cs="宋体"/>
                <w:bCs/>
                <w:color w:val="000000"/>
                <w:sz w:val="21"/>
                <w:szCs w:val="21"/>
                <w:highlight w:val="none"/>
                <w:lang w:val="en-US" w:eastAsia="zh-CN"/>
              </w:rPr>
              <w:t xml:space="preserve">每次配送180斤，单次</w:t>
            </w:r>
            <w:r>
              <w:rPr>
                <w:rFonts w:hint="eastAsia" w:ascii="宋体" w:hAnsi="宋体" w:eastAsia="宋体" w:cs="宋体"/>
                <w:bCs/>
                <w:color w:val="000000"/>
                <w:sz w:val="21"/>
                <w:szCs w:val="21"/>
                <w:highlight w:val="none"/>
              </w:rPr>
              <w:t xml:space="preserve">配送费1200元，竹叶1.8元/斤。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1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127</w:t>
            </w:r>
            <w:r>
              <w:rPr>
                <w:rFonts w:ascii="宋体" w:hAnsi="宋体" w:eastAsia="宋体" w:cs="宋体"/>
                <w:bCs/>
                <w:color w:val="000000"/>
                <w:sz w:val="21"/>
                <w:szCs w:val="21"/>
                <w:highlight w:val="none"/>
                <w:lang w:val="en-US" w:eastAsia="zh-CN"/>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零星采购</w:t>
            </w:r>
            <w:r>
              <w:rPr>
                <w:rFonts w:hint="eastAsia" w:ascii="宋体" w:hAnsi="宋体" w:eastAsia="宋体" w:cs="宋体"/>
                <w:bCs/>
                <w:color w:val="000000"/>
                <w:sz w:val="21"/>
                <w:szCs w:val="21"/>
                <w:highlight w:val="none"/>
              </w:rPr>
            </w:r>
            <w:r/>
          </w:p>
        </w:tc>
        <w:tc>
          <w:tcPr>
            <w:gridSpan w:val="3"/>
            <w:tcBorders>
              <w:top w:val="none" w:color="000000" w:sz="4" w:space="0"/>
              <w:left w:val="single" w:color="000000" w:sz="4" w:space="0"/>
              <w:bottom w:val="single" w:color="000000" w:sz="4" w:space="0"/>
              <w:right w:val="single" w:color="000000" w:sz="4" w:space="0"/>
            </w:tcBorders>
            <w:tcW w:w="3375" w:type="dxa"/>
            <w:vAlign w:val="center"/>
            <w:textDirection w:val="lrTb"/>
            <w:noWrap w:val="false"/>
          </w:tcPr>
          <w:p>
            <w:pPr>
              <w:pStyle w:val="86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鲜草采购总价</w:t>
            </w:r>
            <w:r>
              <w:rPr>
                <w:rFonts w:hint="eastAsia" w:ascii="宋体" w:hAnsi="宋体" w:eastAsia="宋体" w:cs="宋体"/>
                <w:bCs/>
                <w:color w:val="000000"/>
                <w:sz w:val="21"/>
                <w:szCs w:val="21"/>
                <w:highlight w:val="none"/>
              </w:rPr>
              <w:t xml:space="preserve">约</w:t>
            </w:r>
            <w:r>
              <w:rPr>
                <w:rFonts w:hint="eastAsia" w:ascii="宋体" w:hAnsi="宋体" w:eastAsia="宋体" w:cs="宋体"/>
                <w:bCs/>
                <w:color w:val="000000"/>
                <w:sz w:val="21"/>
                <w:szCs w:val="21"/>
                <w:highlight w:val="none"/>
              </w:rPr>
              <w:t xml:space="preserve">9.6万（单次配送450kg,800元/次，合计配送120次）、吐司、茨菇、酸奶、鹌鹑蛋、石粉、纸皮核桃、无核红枣、狗奶粉、米粉、盐砖、猴颗粒料、龟粮等不确定用量的饲料及突发情况新增的饲料。</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300000</w:t>
            </w:r>
            <w:r>
              <w:rPr>
                <w:rFonts w:ascii="宋体" w:hAnsi="宋体" w:eastAsia="宋体" w:cs="宋体"/>
                <w:bCs/>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此报价为固定报价，投标供应商无需下浮。</w:t>
            </w:r>
            <w:r>
              <w:rPr>
                <w:rFonts w:hint="eastAsia" w:ascii="宋体" w:hAnsi="宋体" w:cs="宋体"/>
                <w:sz w:val="21"/>
                <w:szCs w:val="21"/>
                <w:highlight w:val="none"/>
                <w:lang w:val="en-US" w:eastAsia="zh-CN"/>
              </w:rPr>
            </w:r>
            <w:r/>
          </w:p>
        </w:tc>
      </w:tr>
      <w:tr>
        <w:trPr>
          <w:trHeight w:val="804"/>
        </w:trPr>
        <w:tc>
          <w:tcPr>
            <w:gridSpan w:val="2"/>
            <w:tcBorders>
              <w:top w:val="none" w:color="000000" w:sz="4" w:space="0"/>
              <w:left w:val="single" w:color="000000" w:sz="4" w:space="0"/>
              <w:bottom w:val="single" w:color="000000" w:sz="4" w:space="0"/>
              <w:right w:val="none" w:color="000000" w:sz="4" w:space="0"/>
            </w:tcBorders>
            <w:tcW w:w="2819" w:type="dxa"/>
            <w:vAlign w:val="center"/>
            <w:textDirection w:val="lrTb"/>
            <w:noWrap/>
          </w:tcPr>
          <w:p>
            <w:pPr>
              <w:pStyle w:val="864"/>
              <w:jc w:val="left"/>
              <w:widowControl/>
              <w:tabs>
                <w:tab w:val="left" w:pos="631"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ab/>
            </w:r>
            <w:r>
              <w:rPr>
                <w:rFonts w:hint="eastAsia" w:ascii="宋体" w:hAnsi="宋体" w:eastAsia="宋体" w:cs="宋体"/>
                <w:bCs/>
                <w:color w:val="000000"/>
                <w:sz w:val="21"/>
                <w:szCs w:val="21"/>
                <w:highlight w:val="none"/>
                <w:lang w:val="en-US" w:eastAsia="zh-CN"/>
              </w:rPr>
              <w:t xml:space="preserve">合计金额（元）</w:t>
            </w:r>
            <w:r>
              <w:rPr>
                <w:rFonts w:ascii="宋体" w:hAnsi="宋体" w:eastAsia="宋体" w:cs="宋体"/>
                <w:bCs/>
                <w:color w:val="000000"/>
                <w:sz w:val="21"/>
                <w:szCs w:val="21"/>
                <w:highlight w:val="none"/>
                <w:lang w:val="en-US" w:eastAsia="zh-CN"/>
              </w:rPr>
            </w:r>
            <w:r/>
          </w:p>
        </w:tc>
        <w:tc>
          <w:tcPr>
            <w:gridSpan w:val="5"/>
            <w:tcBorders>
              <w:top w:val="none" w:color="000000" w:sz="4" w:space="0"/>
              <w:left w:val="single" w:color="000000" w:sz="4" w:space="0"/>
              <w:bottom w:val="single" w:color="000000" w:sz="4" w:space="0"/>
              <w:right w:val="single" w:color="000000" w:sz="4" w:space="0"/>
            </w:tcBorders>
            <w:tcW w:w="6808" w:type="dxa"/>
            <w:vAlign w:val="center"/>
            <w:textDirection w:val="lrTb"/>
            <w:noWrap w:val="false"/>
          </w:tcPr>
          <w:p>
            <w:pPr>
              <w:pStyle w:val="864"/>
              <w:jc w:val="left"/>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大写：</w:t>
            </w:r>
            <w:r>
              <w:rPr>
                <w:rFonts w:hint="eastAsia" w:ascii="宋体" w:hAnsi="宋体" w:cs="宋体"/>
                <w:sz w:val="21"/>
                <w:szCs w:val="21"/>
                <w:highlight w:val="none"/>
                <w:lang w:val="en-US" w:eastAsia="zh-CN"/>
              </w:rPr>
            </w:r>
            <w:r/>
          </w:p>
          <w:p>
            <w:pPr>
              <w:pStyle w:val="864"/>
              <w:jc w:val="left"/>
              <w:widowControl/>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小写：</w:t>
            </w:r>
            <w:r>
              <w:rPr>
                <w:rFonts w:ascii="宋体" w:hAnsi="宋体" w:cs="宋体"/>
                <w:sz w:val="21"/>
                <w:szCs w:val="21"/>
                <w:highlight w:val="none"/>
                <w:lang w:val="en-US" w:eastAsia="zh-CN"/>
              </w:rPr>
            </w:r>
            <w:r/>
          </w:p>
        </w:tc>
      </w:tr>
    </w:tbl>
    <w:p>
      <w:pPr>
        <w:pStyle w:val="864"/>
        <w:spacing w:line="480" w:lineRule="exact"/>
      </w:pPr>
      <w:r/>
      <w:r/>
    </w:p>
    <w:p>
      <w:pPr>
        <w:pStyle w:val="864"/>
        <w:numPr>
          <w:ilvl w:val="0"/>
          <w:numId w:val="0"/>
        </w:numPr>
        <w:spacing w:line="360" w:lineRule="auto"/>
        <w:rPr>
          <w:rFonts w:hint="eastAsia" w:ascii="宋体" w:hAnsi="宋体" w:eastAsia="宋体" w:cs="宋体"/>
          <w:b/>
          <w:szCs w:val="24"/>
          <w:highlight w:val="none"/>
          <w:lang w:val="en-US" w:eastAsia="zh-CN"/>
        </w:rPr>
      </w:pPr>
      <w:r>
        <w:rPr>
          <w:rFonts w:hint="eastAsia" w:ascii="宋体" w:hAnsi="宋体" w:eastAsia="宋体" w:cs="宋体"/>
          <w:b/>
          <w:szCs w:val="24"/>
          <w:highlight w:val="none"/>
          <w:lang w:val="en-US" w:eastAsia="zh-CN"/>
        </w:rPr>
        <w:t xml:space="preserve">注：1.</w:t>
      </w:r>
      <w:r>
        <w:rPr>
          <w:rFonts w:hint="eastAsia" w:ascii="宋体" w:hAnsi="宋体" w:cs="宋体"/>
          <w:b/>
          <w:szCs w:val="24"/>
          <w:highlight w:val="none"/>
        </w:rPr>
        <w:t xml:space="preserve">本表中的报价为综合报价，报价包括但不限于所供全部货物和服务所需的人工、包装、仓储、运至最终目的地的运输、饲料采购费、保险、检测验收、中标服务费、售后服务相关劳务支出等，以及供应商利润、税金、政策性文件规定及合同包含的所有风险、责任等所有相关费用。</w:t>
      </w:r>
      <w:r>
        <w:rPr>
          <w:rFonts w:hint="eastAsia" w:ascii="宋体" w:hAnsi="宋体" w:eastAsia="宋体" w:cs="宋体"/>
          <w:b/>
          <w:szCs w:val="24"/>
          <w:highlight w:val="none"/>
          <w:lang w:val="en-US" w:eastAsia="zh-CN"/>
        </w:rPr>
      </w:r>
      <w:r/>
    </w:p>
    <w:p>
      <w:pPr>
        <w:pStyle w:val="864"/>
        <w:numPr>
          <w:ilvl w:val="0"/>
          <w:numId w:val="0"/>
        </w:numPr>
        <w:spacing w:line="360" w:lineRule="auto"/>
        <w:rPr>
          <w:rFonts w:hint="eastAsia" w:ascii="宋体" w:hAnsi="宋体" w:eastAsia="宋体" w:cs="宋体"/>
          <w:b/>
          <w:szCs w:val="24"/>
          <w:highlight w:val="none"/>
          <w:lang w:val="en-US" w:eastAsia="zh-CN"/>
        </w:rPr>
      </w:pPr>
      <w:r>
        <w:rPr>
          <w:rFonts w:hint="eastAsia" w:ascii="宋体" w:hAnsi="宋体" w:eastAsia="宋体" w:cs="宋体"/>
          <w:b/>
          <w:szCs w:val="24"/>
          <w:highlight w:val="none"/>
          <w:lang w:val="en-US" w:eastAsia="zh-CN"/>
        </w:rPr>
        <w:t xml:space="preserve">2.供</w:t>
      </w:r>
      <w:r>
        <w:rPr>
          <w:rFonts w:hint="eastAsia" w:ascii="宋体" w:hAnsi="宋体" w:cs="宋体"/>
          <w:b/>
          <w:szCs w:val="24"/>
          <w:highlight w:val="none"/>
          <w:lang w:val="en-US" w:eastAsia="zh-CN"/>
        </w:rPr>
        <w:t xml:space="preserve">应商应充分考虑价格波动等市场因素并结合自身情况进行综合单价和总价报价，投标单价低于或等</w:t>
      </w:r>
      <w:r>
        <w:rPr>
          <w:rFonts w:hint="eastAsia" w:ascii="宋体" w:hAnsi="宋体" w:eastAsia="宋体" w:cs="宋体"/>
          <w:b/>
          <w:szCs w:val="24"/>
          <w:highlight w:val="none"/>
          <w:lang w:val="en-US" w:eastAsia="zh-CN"/>
        </w:rPr>
        <w:t xml:space="preserve">于单价最高限价的、</w:t>
      </w:r>
      <w:r>
        <w:rPr>
          <w:rFonts w:hint="eastAsia" w:ascii="宋体" w:hAnsi="宋体" w:cs="宋体"/>
          <w:b/>
          <w:szCs w:val="24"/>
          <w:highlight w:val="none"/>
          <w:lang w:val="en-US" w:eastAsia="zh-CN"/>
        </w:rPr>
        <w:t xml:space="preserve">投标总报价低于或者等于</w:t>
      </w:r>
      <w:r>
        <w:rPr>
          <w:rFonts w:hint="eastAsia" w:ascii="宋体" w:hAnsi="宋体" w:eastAsia="宋体" w:cs="宋体"/>
          <w:b/>
          <w:szCs w:val="24"/>
          <w:highlight w:val="none"/>
          <w:lang w:val="en-US" w:eastAsia="zh-CN"/>
        </w:rPr>
        <w:t xml:space="preserve">5041038.23元的为有效报价；否则为无效报价，无效报价的投标文件不参与评审，也不得标。</w:t>
      </w:r>
      <w:r>
        <w:rPr>
          <w:rFonts w:hint="eastAsia" w:ascii="宋体" w:hAnsi="宋体" w:eastAsia="宋体" w:cs="宋体"/>
          <w:b/>
          <w:szCs w:val="24"/>
          <w:highlight w:val="none"/>
          <w:lang w:val="en-US" w:eastAsia="zh-CN"/>
        </w:rPr>
      </w:r>
      <w:r/>
    </w:p>
    <w:p>
      <w:pPr>
        <w:pStyle w:val="864"/>
        <w:numPr>
          <w:ilvl w:val="0"/>
          <w:numId w:val="0"/>
        </w:numPr>
        <w:spacing w:line="360" w:lineRule="auto"/>
        <w:rPr>
          <w:rFonts w:ascii="宋体" w:hAnsi="宋体" w:eastAsia="宋体" w:cs="宋体"/>
          <w:b/>
          <w:szCs w:val="24"/>
          <w:highlight w:val="none"/>
          <w:lang w:val="en-US" w:eastAsia="zh-CN"/>
        </w:rPr>
      </w:pPr>
      <w:r>
        <w:rPr>
          <w:rFonts w:hint="eastAsia" w:ascii="宋体" w:hAnsi="宋体" w:eastAsia="宋体" w:cs="宋体"/>
          <w:b/>
          <w:szCs w:val="24"/>
          <w:highlight w:val="none"/>
          <w:lang w:val="en-US" w:eastAsia="zh-CN"/>
        </w:rPr>
        <w:t xml:space="preserve">3.报价分析表中的“总计金额”应于开标一览表的“投标总报价”保持一致，否则以开标一览表中的</w:t>
      </w:r>
      <w:r>
        <w:rPr>
          <w:rFonts w:hint="eastAsia" w:ascii="宋体" w:hAnsi="宋体" w:eastAsia="宋体" w:cs="宋体"/>
          <w:b/>
          <w:szCs w:val="24"/>
          <w:highlight w:val="none"/>
          <w:lang w:val="en-US" w:eastAsia="zh-CN"/>
        </w:rPr>
        <w:t xml:space="preserve">“投标总报价”为准。</w:t>
      </w:r>
      <w:r>
        <w:rPr>
          <w:rFonts w:ascii="宋体" w:hAnsi="宋体" w:eastAsia="宋体" w:cs="宋体"/>
          <w:b/>
          <w:szCs w:val="24"/>
          <w:highlight w:val="none"/>
          <w:lang w:val="en-US" w:eastAsia="zh-CN"/>
        </w:rPr>
      </w:r>
      <w:r/>
    </w:p>
    <w:p>
      <w:pPr>
        <w:pStyle w:val="864"/>
        <w:spacing w:line="480" w:lineRule="exact"/>
      </w:p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rPr>
          <w:rFonts w:hint="eastAsia" w:cs="宋体"/>
          <w:szCs w:val="22"/>
          <w:lang w:bidi="ar"/>
        </w:rPr>
      </w:pPr>
      <w:r>
        <w:rPr>
          <w:rFonts w:hint="eastAsia" w:cs="宋体"/>
          <w:szCs w:val="22"/>
          <w:lang w:bidi="ar"/>
        </w:rPr>
        <w:t xml:space="preserve">日期：  </w:t>
      </w:r>
      <w:r>
        <w:rPr>
          <w:rFonts w:hint="eastAsia" w:cs="宋体"/>
          <w:szCs w:val="22"/>
          <w:lang w:val="en-US" w:eastAsia="zh-CN" w:bidi="ar"/>
        </w:rPr>
        <w:t xml:space="preserve">   </w:t>
      </w:r>
      <w:r>
        <w:rPr>
          <w:rFonts w:hint="eastAsia" w:cs="宋体"/>
          <w:szCs w:val="22"/>
          <w:lang w:bidi="ar"/>
        </w:rPr>
        <w:t xml:space="preserve"> 年   月   日</w:t>
      </w:r>
      <w:r>
        <w:rPr>
          <w:rFonts w:hint="eastAsia" w:cs="宋体"/>
          <w:szCs w:val="22"/>
          <w:lang w:bidi="ar"/>
        </w:rPr>
      </w:r>
      <w:r/>
    </w:p>
    <w:p>
      <w:pPr>
        <w:pStyle w:val="864"/>
        <w:spacing w:line="480" w:lineRule="exact"/>
      </w:pPr>
      <w:r/>
      <w:r/>
    </w:p>
    <w:p>
      <w:pPr>
        <w:pStyle w:val="864"/>
        <w:spacing w:line="480" w:lineRule="exact"/>
        <w:rPr>
          <w:rFonts w:hint="eastAsia"/>
        </w:rPr>
      </w:pPr>
      <w:r>
        <w:rPr>
          <w:rFonts w:hint="eastAsia"/>
        </w:rPr>
      </w:r>
      <w:r/>
    </w:p>
    <w:p>
      <w:pPr>
        <w:pStyle w:val="864"/>
        <w:spacing w:line="480" w:lineRule="exact"/>
        <w:rPr>
          <w:rFonts w:hint="eastAsia"/>
        </w:rPr>
      </w:pPr>
      <w:r>
        <w:rPr>
          <w:rFonts w:hint="eastAsia"/>
        </w:rPr>
      </w:r>
      <w:r/>
    </w:p>
    <w:p>
      <w:pPr>
        <w:pStyle w:val="864"/>
        <w:spacing w:line="480" w:lineRule="exact"/>
        <w:rPr>
          <w:rStyle w:val="893"/>
          <w:rFonts w:hint="eastAsia"/>
          <w:b/>
          <w:bCs/>
        </w:rPr>
      </w:pPr>
      <w:r>
        <w:rPr>
          <w:rStyle w:val="893"/>
          <w:rFonts w:hint="eastAsia"/>
          <w:b/>
          <w:bCs/>
        </w:rPr>
      </w:r>
      <w:r/>
    </w:p>
    <w:p>
      <w:pPr>
        <w:pStyle w:val="864"/>
        <w:jc w:val="left"/>
        <w:spacing w:line="360" w:lineRule="auto"/>
        <w:widowControl/>
        <w:rPr>
          <w:rFonts w:hint="eastAsia" w:cs="宋体"/>
          <w:szCs w:val="22"/>
          <w:lang w:bidi="ar"/>
        </w:rPr>
      </w:pPr>
      <w:r/>
      <w:bookmarkStart w:id="17" w:name="_Toc97191720"/>
      <w:r>
        <w:rPr>
          <w:rFonts w:hint="eastAsia" w:cs="宋体"/>
          <w:szCs w:val="22"/>
          <w:lang w:bidi="ar"/>
        </w:rPr>
      </w:r>
      <w:r/>
    </w:p>
    <w:p>
      <w:pPr>
        <w:pStyle w:val="864"/>
        <w:jc w:val="left"/>
        <w:spacing w:line="360" w:lineRule="auto"/>
        <w:widowControl/>
        <w:rPr>
          <w:rFonts w:hint="eastAsia" w:cs="宋体"/>
          <w:szCs w:val="22"/>
          <w:lang w:bidi="ar"/>
        </w:rPr>
      </w:pPr>
      <w:r>
        <w:rPr>
          <w:rFonts w:hint="eastAsia" w:cs="宋体"/>
          <w:szCs w:val="22"/>
          <w:lang w:bidi="ar"/>
        </w:rPr>
      </w:r>
      <w:r/>
    </w:p>
    <w:p>
      <w:pPr>
        <w:pStyle w:val="864"/>
        <w:jc w:val="left"/>
        <w:spacing w:line="360" w:lineRule="auto"/>
        <w:widowControl/>
        <w:rPr>
          <w:rFonts w:hint="eastAsia" w:cs="宋体"/>
          <w:szCs w:val="22"/>
          <w:lang w:bidi="ar"/>
        </w:rPr>
      </w:pPr>
      <w:r>
        <w:rPr>
          <w:rFonts w:hint="eastAsia" w:cs="宋体"/>
          <w:szCs w:val="22"/>
          <w:lang w:bidi="ar"/>
        </w:rPr>
      </w:r>
      <w:r/>
    </w:p>
    <w:p>
      <w:pPr>
        <w:pStyle w:val="864"/>
        <w:jc w:val="left"/>
        <w:spacing w:line="360" w:lineRule="auto"/>
        <w:widowControl/>
        <w:rPr>
          <w:rFonts w:hint="eastAsia" w:cs="宋体"/>
          <w:szCs w:val="22"/>
          <w:lang w:bidi="ar"/>
        </w:rPr>
      </w:pPr>
      <w:r>
        <w:rPr>
          <w:rFonts w:hint="eastAsia" w:cs="宋体"/>
          <w:szCs w:val="22"/>
          <w:lang w:bidi="ar"/>
        </w:rPr>
      </w:r>
      <w:r/>
    </w:p>
    <w:p>
      <w:pPr>
        <w:pStyle w:val="864"/>
        <w:jc w:val="left"/>
        <w:spacing w:line="360" w:lineRule="auto"/>
        <w:widowControl/>
        <w:rPr>
          <w:rFonts w:hint="eastAsia" w:cs="宋体"/>
          <w:szCs w:val="22"/>
          <w:lang w:bidi="ar"/>
        </w:rPr>
      </w:pPr>
      <w:r>
        <w:rPr>
          <w:rFonts w:hint="eastAsia" w:cs="宋体"/>
          <w:szCs w:val="22"/>
          <w:lang w:bidi="ar"/>
        </w:rPr>
      </w:r>
      <w:r/>
    </w:p>
    <w:p>
      <w:pPr>
        <w:pStyle w:val="864"/>
        <w:jc w:val="left"/>
        <w:spacing w:line="360" w:lineRule="auto"/>
        <w:widowControl/>
        <w:rPr>
          <w:rFonts w:hint="eastAsia" w:cs="宋体"/>
          <w:szCs w:val="22"/>
          <w:lang w:bidi="ar"/>
        </w:rPr>
      </w:pPr>
      <w:r>
        <w:rPr>
          <w:rFonts w:hint="eastAsia" w:cs="宋体"/>
          <w:szCs w:val="22"/>
          <w:lang w:bidi="ar"/>
        </w:rPr>
      </w:r>
      <w:r/>
    </w:p>
    <w:p>
      <w:pPr>
        <w:pStyle w:val="864"/>
        <w:jc w:val="left"/>
        <w:spacing w:line="360" w:lineRule="auto"/>
        <w:widowControl/>
        <w:rPr>
          <w:rFonts w:hint="eastAsia" w:cs="宋体"/>
          <w:szCs w:val="22"/>
          <w:lang w:bidi="ar"/>
        </w:rPr>
      </w:pPr>
      <w:r>
        <w:rPr>
          <w:rFonts w:hint="eastAsia" w:cs="宋体"/>
          <w:szCs w:val="22"/>
          <w:lang w:bidi="ar"/>
        </w:rPr>
      </w:r>
      <w:r/>
    </w:p>
    <w:p>
      <w:pPr>
        <w:jc w:val="left"/>
        <w:spacing w:line="360" w:lineRule="auto"/>
        <w:widowControl/>
        <w:rPr>
          <w:rFonts w:cs="宋体"/>
          <w:lang w:bidi="ar"/>
        </w:rPr>
      </w:pPr>
      <w:r>
        <w:rPr>
          <w:rFonts w:cs="宋体"/>
          <w:szCs w:val="22"/>
          <w:highlight w:val="none"/>
          <w:lang w:bidi="ar"/>
        </w:rPr>
      </w:r>
      <w:r>
        <w:rPr>
          <w:rFonts w:cs="宋体"/>
          <w:szCs w:val="22"/>
          <w:highlight w:val="none"/>
          <w:lang w:bidi="ar"/>
        </w:rPr>
      </w:r>
    </w:p>
    <w:p>
      <w:pPr>
        <w:jc w:val="left"/>
        <w:spacing w:line="360" w:lineRule="auto"/>
        <w:widowControl/>
        <w:rPr>
          <w:rFonts w:cs="宋体"/>
          <w:highlight w:val="none"/>
          <w:lang w:bidi="ar"/>
        </w:rPr>
      </w:pPr>
      <w:r>
        <w:rPr>
          <w:rFonts w:cs="宋体"/>
          <w:szCs w:val="22"/>
          <w:highlight w:val="none"/>
          <w:lang w:bidi="ar"/>
        </w:rPr>
      </w:r>
      <w:r>
        <w:rPr>
          <w:rFonts w:cs="宋体"/>
          <w:szCs w:val="22"/>
          <w:highlight w:val="none"/>
          <w:lang w:bidi="ar"/>
        </w:rPr>
      </w:r>
    </w:p>
    <w:p>
      <w:pPr>
        <w:jc w:val="left"/>
        <w:spacing w:line="360" w:lineRule="auto"/>
        <w:widowControl/>
        <w:rPr>
          <w:rFonts w:cs="宋体"/>
          <w:highlight w:val="none"/>
          <w:lang w:bidi="ar"/>
        </w:rPr>
      </w:pPr>
      <w:r>
        <w:rPr>
          <w:rFonts w:cs="宋体"/>
          <w:szCs w:val="22"/>
          <w:highlight w:val="none"/>
          <w:lang w:bidi="ar"/>
        </w:rPr>
      </w:r>
      <w:r>
        <w:rPr>
          <w:rFonts w:cs="宋体"/>
          <w:szCs w:val="22"/>
          <w:highlight w:val="none"/>
          <w:lang w:bidi="ar"/>
        </w:rPr>
      </w:r>
    </w:p>
    <w:p>
      <w:pPr>
        <w:jc w:val="left"/>
        <w:spacing w:line="360" w:lineRule="auto"/>
        <w:widowControl/>
        <w:rPr>
          <w:rFonts w:cs="宋体"/>
          <w:highlight w:val="none"/>
          <w:lang w:bidi="ar"/>
        </w:rPr>
      </w:pPr>
      <w:r>
        <w:rPr>
          <w:rFonts w:cs="宋体"/>
          <w:szCs w:val="22"/>
          <w:highlight w:val="none"/>
          <w:lang w:bidi="ar"/>
        </w:rPr>
      </w:r>
      <w:r>
        <w:rPr>
          <w:rFonts w:cs="宋体"/>
          <w:szCs w:val="22"/>
          <w:highlight w:val="none"/>
          <w:lang w:bidi="ar"/>
        </w:rPr>
      </w:r>
    </w:p>
    <w:p>
      <w:pPr>
        <w:jc w:val="left"/>
        <w:spacing w:line="360" w:lineRule="auto"/>
        <w:widowControl/>
        <w:rPr>
          <w:rFonts w:cs="宋体"/>
          <w:highlight w:val="none"/>
          <w:lang w:bidi="ar"/>
        </w:rPr>
      </w:pPr>
      <w:r>
        <w:rPr>
          <w:rFonts w:cs="宋体"/>
          <w:szCs w:val="22"/>
          <w:highlight w:val="none"/>
          <w:lang w:bidi="ar"/>
        </w:rPr>
      </w:r>
      <w:r>
        <w:rPr>
          <w:rFonts w:cs="宋体"/>
          <w:szCs w:val="22"/>
          <w:highlight w:val="none"/>
          <w:lang w:bidi="ar"/>
        </w:rPr>
      </w:r>
    </w:p>
    <w:p>
      <w:pPr>
        <w:jc w:val="left"/>
        <w:spacing w:line="360" w:lineRule="auto"/>
        <w:widowControl/>
        <w:rPr>
          <w:rFonts w:cs="宋体"/>
          <w:highlight w:val="none"/>
          <w:lang w:bidi="ar"/>
        </w:rPr>
      </w:pPr>
      <w:r>
        <w:rPr>
          <w:rFonts w:cs="宋体"/>
          <w:szCs w:val="22"/>
          <w:highlight w:val="none"/>
          <w:lang w:bidi="ar"/>
        </w:rPr>
      </w:r>
      <w:r>
        <w:rPr>
          <w:rFonts w:cs="宋体"/>
          <w:szCs w:val="22"/>
          <w:highlight w:val="none"/>
          <w:lang w:bidi="ar"/>
        </w:rPr>
      </w:r>
    </w:p>
    <w:p>
      <w:pPr>
        <w:pStyle w:val="864"/>
        <w:jc w:val="left"/>
        <w:spacing w:line="360" w:lineRule="auto"/>
        <w:widowControl/>
        <w:rPr>
          <w:rFonts w:cs="宋体"/>
          <w:highlight w:val="none"/>
          <w:lang w:bidi="ar"/>
        </w:rPr>
      </w:pPr>
      <w:r>
        <w:rPr>
          <w:rFonts w:hint="eastAsia" w:cs="宋体"/>
          <w:szCs w:val="22"/>
          <w:lang w:bidi="ar"/>
        </w:rPr>
        <w:t xml:space="preserve">格式4、</w:t>
      </w:r>
      <w:bookmarkEnd w:id="17"/>
      <w:r/>
      <w:bookmarkStart w:id="18" w:name="_Toc97191721"/>
      <w:r>
        <w:rPr>
          <w:rFonts w:cs="宋体"/>
          <w:szCs w:val="22"/>
          <w:lang w:bidi="ar"/>
        </w:rPr>
        <w:t xml:space="preserve">服务要求偏离表</w:t>
      </w:r>
      <w:r>
        <w:rPr>
          <w:rFonts w:cs="宋体"/>
          <w:szCs w:val="22"/>
          <w:lang w:bidi="ar"/>
        </w:rPr>
      </w:r>
      <w:r/>
    </w:p>
    <w:p>
      <w:pPr>
        <w:pStyle w:val="864"/>
        <w:jc w:val="center"/>
        <w:spacing w:line="360" w:lineRule="auto"/>
        <w:widowControl/>
        <w:rPr>
          <w:rFonts w:hint="eastAsia" w:ascii="宋体" w:hAnsi="宋体"/>
          <w:b/>
          <w:szCs w:val="22"/>
        </w:rPr>
      </w:pPr>
      <w:r>
        <w:rPr>
          <w:rFonts w:hint="eastAsia" w:ascii="宋体" w:hAnsi="宋体"/>
          <w:b/>
          <w:szCs w:val="22"/>
        </w:rPr>
      </w:r>
      <w:r/>
    </w:p>
    <w:p>
      <w:pPr>
        <w:pStyle w:val="864"/>
        <w:jc w:val="center"/>
        <w:spacing w:line="360" w:lineRule="auto"/>
        <w:widowControl/>
        <w:rPr>
          <w:rFonts w:ascii="宋体" w:hAnsi="宋体"/>
          <w:szCs w:val="22"/>
        </w:rPr>
      </w:pPr>
      <w:r>
        <w:rPr>
          <w:rFonts w:ascii="宋体" w:hAnsi="宋体"/>
          <w:szCs w:val="22"/>
        </w:rPr>
        <w:t xml:space="preserve">服务要求偏离表</w:t>
      </w:r>
      <w:r>
        <w:rPr>
          <w:rFonts w:ascii="宋体" w:hAnsi="宋体"/>
          <w:szCs w:val="22"/>
        </w:rPr>
      </w:r>
      <w:r/>
    </w:p>
    <w:p>
      <w:pPr>
        <w:pStyle w:val="864"/>
        <w:jc w:val="center"/>
        <w:spacing w:line="360" w:lineRule="auto"/>
        <w:widowControl/>
        <w:rPr>
          <w:rFonts w:ascii="宋体" w:hAnsi="宋体"/>
          <w:szCs w:val="22"/>
        </w:rPr>
      </w:pPr>
      <w:r>
        <w:rPr>
          <w:rFonts w:ascii="宋体" w:hAnsi="宋体"/>
          <w:szCs w:val="22"/>
        </w:rPr>
      </w:r>
      <w:r/>
    </w:p>
    <w:tbl>
      <w:tblPr>
        <w:tblW w:w="879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tblGrid>
      <w:tr>
        <w:trPr>
          <w:trHeight w:val="609"/>
        </w:trPr>
        <w:tc>
          <w:tcPr>
            <w:tcW w:w="958" w:type="dxa"/>
            <w:vAlign w:val="center"/>
            <w:textDirection w:val="lrTb"/>
            <w:noWrap w:val="false"/>
          </w:tcPr>
          <w:p>
            <w:pPr>
              <w:pStyle w:val="864"/>
              <w:jc w:val="center"/>
              <w:widowControl/>
              <w:rPr>
                <w:rFonts w:ascii="宋体" w:hAnsi="宋体"/>
                <w:sz w:val="20"/>
                <w:szCs w:val="22"/>
              </w:rPr>
            </w:pPr>
            <w:r>
              <w:rPr>
                <w:rFonts w:ascii="宋体" w:hAnsi="宋体"/>
                <w:szCs w:val="22"/>
              </w:rPr>
              <w:t xml:space="preserve">序号</w:t>
            </w:r>
            <w:r>
              <w:rPr>
                <w:rFonts w:ascii="宋体" w:hAnsi="宋体"/>
                <w:sz w:val="20"/>
                <w:szCs w:val="22"/>
              </w:rPr>
            </w:r>
            <w:r/>
          </w:p>
        </w:tc>
        <w:tc>
          <w:tcPr>
            <w:tcW w:w="1683" w:type="dxa"/>
            <w:vAlign w:val="center"/>
            <w:textDirection w:val="lrTb"/>
            <w:noWrap w:val="false"/>
          </w:tcPr>
          <w:p>
            <w:pPr>
              <w:pStyle w:val="864"/>
              <w:jc w:val="center"/>
              <w:spacing w:line="360" w:lineRule="auto"/>
              <w:widowControl/>
              <w:rPr>
                <w:rFonts w:ascii="宋体" w:hAnsi="宋体"/>
                <w:szCs w:val="22"/>
              </w:rPr>
            </w:pPr>
            <w:r>
              <w:rPr>
                <w:rFonts w:ascii="宋体" w:hAnsi="宋体"/>
                <w:szCs w:val="22"/>
              </w:rPr>
              <w:t xml:space="preserve">项目</w:t>
            </w:r>
            <w:r>
              <w:rPr>
                <w:rFonts w:ascii="宋体" w:hAnsi="宋体"/>
                <w:szCs w:val="22"/>
              </w:rPr>
            </w:r>
            <w:r/>
          </w:p>
        </w:tc>
        <w:tc>
          <w:tcPr>
            <w:tcW w:w="2051" w:type="dxa"/>
            <w:vAlign w:val="center"/>
            <w:textDirection w:val="lrTb"/>
            <w:noWrap w:val="false"/>
          </w:tcPr>
          <w:p>
            <w:pPr>
              <w:pStyle w:val="864"/>
              <w:jc w:val="center"/>
              <w:spacing w:line="360" w:lineRule="auto"/>
              <w:widowControl/>
              <w:rPr>
                <w:rFonts w:ascii="宋体" w:hAnsi="宋体"/>
                <w:szCs w:val="22"/>
              </w:rPr>
            </w:pPr>
            <w:r>
              <w:rPr>
                <w:rFonts w:hint="eastAsia" w:ascii="宋体" w:hAnsi="宋体"/>
                <w:szCs w:val="22"/>
                <w:lang w:val="en-US" w:eastAsia="zh-CN"/>
              </w:rPr>
              <w:t xml:space="preserve">招标</w:t>
            </w:r>
            <w:r>
              <w:rPr>
                <w:rFonts w:ascii="宋体" w:hAnsi="宋体"/>
                <w:szCs w:val="22"/>
              </w:rPr>
              <w:t xml:space="preserve">要求</w:t>
            </w:r>
            <w:r>
              <w:rPr>
                <w:rFonts w:ascii="宋体" w:hAnsi="宋体"/>
                <w:szCs w:val="22"/>
              </w:rPr>
            </w:r>
            <w:r/>
          </w:p>
        </w:tc>
        <w:tc>
          <w:tcPr>
            <w:tcW w:w="2052" w:type="dxa"/>
            <w:vAlign w:val="center"/>
            <w:textDirection w:val="lrTb"/>
            <w:noWrap w:val="false"/>
          </w:tcPr>
          <w:p>
            <w:pPr>
              <w:pStyle w:val="864"/>
              <w:jc w:val="center"/>
              <w:spacing w:line="360" w:lineRule="auto"/>
              <w:widowControl/>
              <w:rPr>
                <w:rFonts w:ascii="宋体" w:hAnsi="宋体"/>
                <w:szCs w:val="22"/>
              </w:rPr>
            </w:pPr>
            <w:r>
              <w:rPr>
                <w:rFonts w:ascii="宋体" w:hAnsi="宋体"/>
                <w:szCs w:val="22"/>
              </w:rPr>
              <w:t xml:space="preserve">响应情况</w:t>
            </w:r>
            <w:r>
              <w:rPr>
                <w:rFonts w:ascii="宋体" w:hAnsi="宋体"/>
                <w:szCs w:val="22"/>
              </w:rPr>
            </w:r>
            <w:r/>
          </w:p>
        </w:tc>
        <w:tc>
          <w:tcPr>
            <w:tcW w:w="2052" w:type="dxa"/>
            <w:vAlign w:val="center"/>
            <w:textDirection w:val="lrTb"/>
            <w:noWrap w:val="false"/>
          </w:tcPr>
          <w:p>
            <w:pPr>
              <w:pStyle w:val="864"/>
              <w:jc w:val="center"/>
              <w:spacing w:line="360" w:lineRule="auto"/>
              <w:widowControl/>
              <w:rPr>
                <w:rFonts w:ascii="宋体" w:hAnsi="宋体"/>
                <w:szCs w:val="22"/>
              </w:rPr>
            </w:pPr>
            <w:r>
              <w:rPr>
                <w:rFonts w:ascii="宋体" w:hAnsi="宋体"/>
                <w:szCs w:val="22"/>
              </w:rPr>
              <w:t xml:space="preserve">偏离说明</w:t>
            </w:r>
            <w:r>
              <w:rPr>
                <w:rFonts w:ascii="宋体" w:hAnsi="宋体"/>
                <w:szCs w:val="22"/>
              </w:rPr>
            </w:r>
            <w:r/>
          </w:p>
        </w:tc>
      </w:tr>
      <w:tr>
        <w:trPr/>
        <w:tc>
          <w:tcPr>
            <w:tcW w:w="958" w:type="dxa"/>
            <w:vAlign w:val="center"/>
            <w:textDirection w:val="lrTb"/>
            <w:noWrap w:val="false"/>
          </w:tcPr>
          <w:p>
            <w:pPr>
              <w:pStyle w:val="864"/>
              <w:jc w:val="center"/>
              <w:widowControl/>
              <w:rPr>
                <w:rFonts w:ascii="宋体" w:hAnsi="宋体"/>
                <w:sz w:val="20"/>
                <w:szCs w:val="22"/>
              </w:rPr>
            </w:pPr>
            <w:r>
              <w:rPr>
                <w:rFonts w:ascii="宋体" w:hAnsi="宋体"/>
                <w:szCs w:val="22"/>
              </w:rPr>
              <w:t xml:space="preserve">1</w:t>
            </w:r>
            <w:r>
              <w:rPr>
                <w:rFonts w:ascii="宋体" w:hAnsi="宋体"/>
                <w:sz w:val="20"/>
                <w:szCs w:val="22"/>
              </w:rPr>
            </w:r>
            <w:r/>
          </w:p>
        </w:tc>
        <w:tc>
          <w:tcPr>
            <w:tcW w:w="1683"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1"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r>
      <w:tr>
        <w:trPr/>
        <w:tc>
          <w:tcPr>
            <w:tcW w:w="958" w:type="dxa"/>
            <w:vAlign w:val="center"/>
            <w:textDirection w:val="lrTb"/>
            <w:noWrap w:val="false"/>
          </w:tcPr>
          <w:p>
            <w:pPr>
              <w:pStyle w:val="864"/>
              <w:jc w:val="center"/>
              <w:widowControl/>
              <w:rPr>
                <w:rFonts w:ascii="宋体" w:hAnsi="宋体"/>
                <w:sz w:val="20"/>
                <w:szCs w:val="22"/>
              </w:rPr>
            </w:pPr>
            <w:r>
              <w:rPr>
                <w:rFonts w:ascii="宋体" w:hAnsi="宋体"/>
                <w:szCs w:val="22"/>
              </w:rPr>
              <w:t xml:space="preserve">2</w:t>
            </w:r>
            <w:r>
              <w:rPr>
                <w:rFonts w:ascii="宋体" w:hAnsi="宋体"/>
                <w:sz w:val="20"/>
                <w:szCs w:val="22"/>
              </w:rPr>
            </w:r>
            <w:r/>
          </w:p>
        </w:tc>
        <w:tc>
          <w:tcPr>
            <w:tcW w:w="1683"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1"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r>
      <w:tr>
        <w:trPr/>
        <w:tc>
          <w:tcPr>
            <w:tcW w:w="958" w:type="dxa"/>
            <w:vAlign w:val="center"/>
            <w:textDirection w:val="lrTb"/>
            <w:noWrap w:val="false"/>
          </w:tcPr>
          <w:p>
            <w:pPr>
              <w:pStyle w:val="864"/>
              <w:jc w:val="center"/>
              <w:widowControl/>
              <w:rPr>
                <w:rFonts w:ascii="宋体" w:hAnsi="宋体"/>
                <w:sz w:val="20"/>
                <w:szCs w:val="22"/>
              </w:rPr>
            </w:pPr>
            <w:r>
              <w:rPr>
                <w:rFonts w:ascii="宋体" w:hAnsi="宋体"/>
                <w:szCs w:val="22"/>
              </w:rPr>
              <w:t xml:space="preserve">3</w:t>
            </w:r>
            <w:r>
              <w:rPr>
                <w:rFonts w:ascii="宋体" w:hAnsi="宋体"/>
                <w:sz w:val="20"/>
                <w:szCs w:val="22"/>
              </w:rPr>
            </w:r>
            <w:r/>
          </w:p>
        </w:tc>
        <w:tc>
          <w:tcPr>
            <w:tcW w:w="1683"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1"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r>
      <w:tr>
        <w:trPr/>
        <w:tc>
          <w:tcPr>
            <w:tcW w:w="958" w:type="dxa"/>
            <w:vAlign w:val="center"/>
            <w:textDirection w:val="lrTb"/>
            <w:noWrap w:val="false"/>
          </w:tcPr>
          <w:p>
            <w:pPr>
              <w:pStyle w:val="864"/>
              <w:jc w:val="center"/>
              <w:widowControl/>
              <w:rPr>
                <w:rFonts w:ascii="宋体" w:hAnsi="宋体"/>
                <w:sz w:val="20"/>
                <w:szCs w:val="22"/>
              </w:rPr>
            </w:pPr>
            <w:r>
              <w:rPr>
                <w:rFonts w:ascii="宋体" w:hAnsi="宋体"/>
                <w:szCs w:val="22"/>
              </w:rPr>
              <w:t xml:space="preserve">4</w:t>
            </w:r>
            <w:r>
              <w:rPr>
                <w:rFonts w:ascii="宋体" w:hAnsi="宋体"/>
                <w:sz w:val="20"/>
                <w:szCs w:val="22"/>
              </w:rPr>
            </w:r>
            <w:r/>
          </w:p>
        </w:tc>
        <w:tc>
          <w:tcPr>
            <w:tcW w:w="1683"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1"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r>
      <w:tr>
        <w:trPr/>
        <w:tc>
          <w:tcPr>
            <w:tcW w:w="958" w:type="dxa"/>
            <w:vAlign w:val="center"/>
            <w:textDirection w:val="lrTb"/>
            <w:noWrap w:val="false"/>
          </w:tcPr>
          <w:p>
            <w:pPr>
              <w:pStyle w:val="864"/>
              <w:jc w:val="center"/>
              <w:widowControl/>
              <w:rPr>
                <w:rFonts w:ascii="宋体" w:hAnsi="宋体"/>
                <w:sz w:val="20"/>
                <w:szCs w:val="22"/>
              </w:rPr>
            </w:pPr>
            <w:r>
              <w:rPr>
                <w:rFonts w:ascii="宋体" w:hAnsi="宋体"/>
                <w:szCs w:val="22"/>
              </w:rPr>
              <w:t xml:space="preserve">5</w:t>
            </w:r>
            <w:r>
              <w:rPr>
                <w:rFonts w:ascii="宋体" w:hAnsi="宋体"/>
                <w:sz w:val="20"/>
                <w:szCs w:val="22"/>
              </w:rPr>
            </w:r>
            <w:r/>
          </w:p>
        </w:tc>
        <w:tc>
          <w:tcPr>
            <w:tcW w:w="1683"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1"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c>
          <w:tcPr>
            <w:tcW w:w="2052" w:type="dxa"/>
            <w:vAlign w:val="top"/>
            <w:textDirection w:val="lrTb"/>
            <w:noWrap w:val="false"/>
          </w:tcPr>
          <w:p>
            <w:pPr>
              <w:pStyle w:val="864"/>
              <w:jc w:val="center"/>
              <w:spacing w:line="360" w:lineRule="auto"/>
              <w:widowControl/>
              <w:rPr>
                <w:rFonts w:ascii="宋体" w:hAnsi="宋体"/>
                <w:szCs w:val="22"/>
              </w:rPr>
            </w:pPr>
            <w:r>
              <w:rPr>
                <w:rFonts w:ascii="宋体" w:hAnsi="宋体"/>
                <w:szCs w:val="22"/>
              </w:rPr>
            </w:r>
            <w:r/>
          </w:p>
        </w:tc>
      </w:tr>
    </w:tbl>
    <w:p>
      <w:pPr>
        <w:pStyle w:val="864"/>
        <w:spacing w:line="360" w:lineRule="auto"/>
        <w:widowControl/>
        <w:rPr>
          <w:rFonts w:hint="eastAsia" w:ascii="宋体" w:hAnsi="宋体" w:cs="宋体"/>
          <w:szCs w:val="21"/>
        </w:rPr>
      </w:pPr>
      <w:r>
        <w:rPr>
          <w:rFonts w:hint="eastAsia" w:ascii="宋体" w:hAnsi="宋体" w:cs="宋体"/>
          <w:szCs w:val="21"/>
        </w:rPr>
      </w:r>
      <w:r/>
    </w:p>
    <w:p>
      <w:pPr>
        <w:pStyle w:val="864"/>
        <w:spacing w:line="360" w:lineRule="auto"/>
        <w:widowControl/>
        <w:rPr>
          <w:rFonts w:ascii="Calibri" w:hAnsi="Calibri" w:cs="Calibri"/>
          <w:szCs w:val="21"/>
        </w:rPr>
      </w:pPr>
      <w:r>
        <w:rPr>
          <w:rFonts w:hint="eastAsia" w:ascii="宋体" w:hAnsi="宋体" w:cs="宋体"/>
          <w:szCs w:val="21"/>
        </w:rPr>
        <w:t xml:space="preserve">注：供应商的投标文件关于服务要求的条款与招标文件规定的有偏离的，应在此表中说明。未在上表中说明的，将被认为完全响应招标文件的规定。</w:t>
      </w:r>
      <w:r>
        <w:rPr>
          <w:rFonts w:ascii="Calibri" w:hAnsi="Calibri" w:cs="Calibri"/>
          <w:szCs w:val="21"/>
        </w:rPr>
      </w:r>
      <w:r/>
    </w:p>
    <w:p>
      <w:pPr>
        <w:pStyle w:val="864"/>
        <w:jc w:val="left"/>
        <w:spacing w:line="400" w:lineRule="exact"/>
        <w:widowControl/>
        <w:rPr>
          <w:rFonts w:hint="eastAsia" w:ascii="宋体" w:hAnsi="宋体"/>
          <w:szCs w:val="22"/>
        </w:rPr>
      </w:pPr>
      <w:r>
        <w:rPr>
          <w:rFonts w:hint="eastAsia" w:ascii="宋体" w:hAnsi="宋体"/>
          <w:szCs w:val="22"/>
        </w:r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   年   月   日</w:t>
      </w:r>
      <w:r/>
    </w:p>
    <w:p>
      <w:pPr>
        <w:pStyle w:val="864"/>
        <w:jc w:val="left"/>
        <w:spacing w:line="400" w:lineRule="exact"/>
        <w:widowControl/>
        <w:rPr>
          <w:rFonts w:ascii="宋体" w:hAnsi="宋体"/>
          <w:b/>
          <w:szCs w:val="22"/>
        </w:rPr>
      </w:pPr>
      <w:r>
        <w:rPr>
          <w:rFonts w:ascii="宋体" w:hAnsi="宋体"/>
          <w:b/>
          <w:szCs w:val="22"/>
        </w:rPr>
      </w:r>
      <w:r/>
    </w:p>
    <w:p>
      <w:pPr>
        <w:pStyle w:val="864"/>
        <w:jc w:val="left"/>
        <w:spacing w:line="360" w:lineRule="auto"/>
        <w:widowControl/>
        <w:rPr>
          <w:rFonts w:cs="宋体"/>
          <w:szCs w:val="22"/>
          <w:lang w:bidi="ar"/>
        </w:rPr>
      </w:pPr>
      <w:r>
        <w:rPr>
          <w:rFonts w:ascii="Calibri" w:hAnsi="Calibri"/>
          <w:b/>
          <w:szCs w:val="21"/>
        </w:rPr>
        <w:br w:type="page" w:clear="all"/>
      </w:r>
      <w:r>
        <w:rPr>
          <w:rFonts w:hint="eastAsia" w:cs="宋体"/>
          <w:szCs w:val="22"/>
          <w:lang w:bidi="ar"/>
        </w:rPr>
        <w:t xml:space="preserve">格式5、商务条款偏离表</w:t>
      </w:r>
      <w:r>
        <w:rPr>
          <w:rFonts w:cs="宋体"/>
          <w:szCs w:val="22"/>
          <w:lang w:bidi="ar"/>
        </w:rPr>
      </w:r>
      <w:r/>
    </w:p>
    <w:p>
      <w:pPr>
        <w:pStyle w:val="864"/>
        <w:jc w:val="center"/>
        <w:spacing w:line="360" w:lineRule="auto"/>
        <w:widowControl/>
        <w:rPr>
          <w:rFonts w:hint="eastAsia" w:ascii="Calibri" w:hAnsi="Calibri"/>
          <w:b/>
          <w:szCs w:val="21"/>
        </w:rPr>
      </w:pPr>
      <w:r>
        <w:rPr>
          <w:rFonts w:hint="eastAsia" w:ascii="Calibri" w:hAnsi="Calibri"/>
          <w:b/>
          <w:szCs w:val="21"/>
        </w:rPr>
      </w:r>
      <w:r/>
    </w:p>
    <w:p>
      <w:pPr>
        <w:pStyle w:val="864"/>
        <w:jc w:val="center"/>
        <w:spacing w:line="360" w:lineRule="auto"/>
        <w:widowControl/>
        <w:rPr>
          <w:rFonts w:ascii="Calibri" w:hAnsi="Calibri"/>
          <w:szCs w:val="21"/>
        </w:rPr>
      </w:pPr>
      <w:r>
        <w:rPr>
          <w:rFonts w:hint="eastAsia" w:ascii="Calibri" w:hAnsi="Calibri"/>
          <w:szCs w:val="21"/>
        </w:rPr>
        <w:t xml:space="preserve">商务条款偏离表</w:t>
      </w:r>
      <w:r>
        <w:rPr>
          <w:rFonts w:ascii="Calibri" w:hAnsi="Calibri"/>
          <w:szCs w:val="21"/>
        </w:rPr>
      </w:r>
      <w:r/>
    </w:p>
    <w:p>
      <w:pPr>
        <w:pStyle w:val="864"/>
        <w:spacing w:line="360" w:lineRule="auto"/>
        <w:widowControl/>
        <w:rPr>
          <w:rFonts w:ascii="Calibri" w:hAnsi="Calibri" w:cs="宋体"/>
          <w:szCs w:val="21"/>
        </w:rPr>
      </w:pPr>
      <w:r>
        <w:rPr>
          <w:rFonts w:hint="eastAsia" w:ascii="Calibri" w:hAnsi="Calibri" w:cs="宋体"/>
          <w:szCs w:val="21"/>
        </w:rPr>
        <w:t xml:space="preserve">供应商：             采购编号∶</w:t>
      </w:r>
      <w:r>
        <w:rPr>
          <w:rFonts w:ascii="Calibri" w:hAnsi="Calibri" w:cs="宋体"/>
          <w:szCs w:val="21"/>
        </w:rPr>
      </w:r>
      <w:r/>
    </w:p>
    <w:tbl>
      <w:tblPr>
        <w:tblW w:w="10049"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67"/>
        <w:gridCol w:w="2126"/>
        <w:gridCol w:w="1578"/>
      </w:tblGrid>
      <w:tr>
        <w:trPr>
          <w:cantSplit/>
          <w:trHeight w:val="567"/>
          <w:tblHeader/>
        </w:trPr>
        <w:tc>
          <w:tcPr>
            <w:tcW w:w="730" w:type="dxa"/>
            <w:vAlign w:val="center"/>
            <w:textDirection w:val="lrTb"/>
            <w:noWrap w:val="false"/>
          </w:tcPr>
          <w:p>
            <w:pPr>
              <w:pStyle w:val="864"/>
              <w:jc w:val="center"/>
              <w:widowControl/>
              <w:rPr>
                <w:bCs/>
                <w:szCs w:val="21"/>
              </w:rPr>
            </w:pPr>
            <w:r>
              <w:rPr>
                <w:rFonts w:hint="eastAsia"/>
                <w:bCs/>
                <w:szCs w:val="21"/>
              </w:rPr>
              <w:t xml:space="preserve">序号</w:t>
            </w:r>
            <w:r>
              <w:rPr>
                <w:bCs/>
                <w:szCs w:val="21"/>
              </w:rPr>
            </w:r>
            <w:r/>
          </w:p>
        </w:tc>
        <w:tc>
          <w:tcPr>
            <w:tcW w:w="2948" w:type="dxa"/>
            <w:vAlign w:val="center"/>
            <w:textDirection w:val="lrTb"/>
            <w:noWrap w:val="false"/>
          </w:tcPr>
          <w:p>
            <w:pPr>
              <w:pStyle w:val="864"/>
              <w:jc w:val="center"/>
              <w:widowControl/>
              <w:rPr>
                <w:bCs/>
                <w:szCs w:val="21"/>
              </w:rPr>
            </w:pPr>
            <w:r>
              <w:rPr>
                <w:rFonts w:hint="eastAsia"/>
                <w:bCs/>
                <w:szCs w:val="21"/>
                <w:lang w:val="en-US" w:eastAsia="zh-CN"/>
              </w:rPr>
              <w:t xml:space="preserve">招标</w:t>
            </w:r>
            <w:r>
              <w:rPr>
                <w:rFonts w:hint="eastAsia"/>
                <w:bCs/>
                <w:szCs w:val="21"/>
              </w:rPr>
              <w:t xml:space="preserve">文件要求</w:t>
            </w:r>
            <w:r>
              <w:rPr>
                <w:bCs/>
                <w:szCs w:val="21"/>
              </w:rPr>
            </w:r>
            <w:r/>
          </w:p>
        </w:tc>
        <w:tc>
          <w:tcPr>
            <w:tcW w:w="2667" w:type="dxa"/>
            <w:vAlign w:val="center"/>
            <w:textDirection w:val="lrTb"/>
            <w:noWrap w:val="false"/>
          </w:tcPr>
          <w:p>
            <w:pPr>
              <w:pStyle w:val="864"/>
              <w:jc w:val="center"/>
              <w:widowControl/>
              <w:rPr>
                <w:bCs/>
                <w:szCs w:val="21"/>
              </w:rPr>
            </w:pPr>
            <w:r>
              <w:rPr>
                <w:rFonts w:hint="eastAsia"/>
                <w:bCs/>
                <w:szCs w:val="21"/>
              </w:rPr>
              <w:t xml:space="preserve">投标响应</w:t>
            </w:r>
            <w:r>
              <w:rPr>
                <w:bCs/>
                <w:szCs w:val="21"/>
              </w:rPr>
            </w:r>
            <w:r/>
          </w:p>
        </w:tc>
        <w:tc>
          <w:tcPr>
            <w:tcW w:w="2126" w:type="dxa"/>
            <w:vAlign w:val="center"/>
            <w:textDirection w:val="lrTb"/>
            <w:noWrap w:val="false"/>
          </w:tcPr>
          <w:p>
            <w:pPr>
              <w:pStyle w:val="864"/>
              <w:jc w:val="center"/>
              <w:widowControl/>
              <w:rPr>
                <w:bCs/>
                <w:szCs w:val="21"/>
              </w:rPr>
            </w:pPr>
            <w:r>
              <w:rPr>
                <w:rFonts w:hint="eastAsia"/>
                <w:bCs/>
                <w:szCs w:val="21"/>
              </w:rPr>
              <w:t xml:space="preserve">偏离说明</w:t>
            </w:r>
            <w:r>
              <w:rPr>
                <w:bCs/>
                <w:szCs w:val="21"/>
              </w:rPr>
            </w:r>
            <w:r/>
          </w:p>
        </w:tc>
        <w:tc>
          <w:tcPr>
            <w:tcW w:w="1578" w:type="dxa"/>
            <w:vAlign w:val="center"/>
            <w:textDirection w:val="lrTb"/>
            <w:noWrap w:val="false"/>
          </w:tcPr>
          <w:p>
            <w:pPr>
              <w:pStyle w:val="864"/>
              <w:jc w:val="center"/>
              <w:widowControl/>
              <w:rPr>
                <w:bCs/>
                <w:szCs w:val="21"/>
              </w:rPr>
            </w:pPr>
            <w:r>
              <w:rPr>
                <w:rFonts w:hint="eastAsia"/>
                <w:bCs/>
                <w:szCs w:val="21"/>
              </w:rPr>
              <w:t xml:space="preserve">备注</w:t>
            </w:r>
            <w:r>
              <w:rPr>
                <w:bCs/>
                <w:szCs w:val="21"/>
              </w:rPr>
            </w:r>
            <w:r/>
          </w:p>
        </w:tc>
      </w:tr>
      <w:tr>
        <w:trPr>
          <w:cantSplit/>
          <w:trHeight w:val="567"/>
        </w:trPr>
        <w:tc>
          <w:tcPr>
            <w:tcW w:w="730" w:type="dxa"/>
            <w:vAlign w:val="center"/>
            <w:textDirection w:val="lrTb"/>
            <w:noWrap w:val="false"/>
          </w:tcPr>
          <w:p>
            <w:pPr>
              <w:pStyle w:val="864"/>
              <w:jc w:val="center"/>
              <w:widowControl/>
              <w:rPr>
                <w:bCs/>
                <w:szCs w:val="21"/>
              </w:rPr>
            </w:pPr>
            <w:r>
              <w:rPr>
                <w:rFonts w:hint="eastAsia"/>
                <w:bCs/>
                <w:szCs w:val="21"/>
              </w:rPr>
              <w:t xml:space="preserve">1</w:t>
            </w:r>
            <w:r>
              <w:rPr>
                <w:bCs/>
                <w:szCs w:val="21"/>
              </w:rPr>
            </w:r>
            <w:r/>
          </w:p>
        </w:tc>
        <w:tc>
          <w:tcPr>
            <w:tcW w:w="2948" w:type="dxa"/>
            <w:vAlign w:val="center"/>
            <w:textDirection w:val="lrTb"/>
            <w:noWrap w:val="false"/>
          </w:tcPr>
          <w:p>
            <w:pPr>
              <w:pStyle w:val="864"/>
              <w:jc w:val="center"/>
              <w:spacing w:line="480" w:lineRule="exact"/>
              <w:widowControl/>
              <w:rPr>
                <w:szCs w:val="21"/>
              </w:rPr>
            </w:pPr>
            <w:r>
              <w:rPr>
                <w:szCs w:val="21"/>
              </w:rPr>
            </w:r>
            <w:r/>
          </w:p>
        </w:tc>
        <w:tc>
          <w:tcPr>
            <w:tcW w:w="2667" w:type="dxa"/>
            <w:vAlign w:val="center"/>
            <w:textDirection w:val="lrTb"/>
            <w:noWrap w:val="false"/>
          </w:tcPr>
          <w:p>
            <w:pPr>
              <w:pStyle w:val="864"/>
              <w:jc w:val="center"/>
              <w:widowControl/>
              <w:rPr>
                <w:szCs w:val="21"/>
              </w:rPr>
            </w:pPr>
            <w:r>
              <w:rPr>
                <w:szCs w:val="21"/>
              </w:rPr>
            </w:r>
            <w:r/>
          </w:p>
        </w:tc>
        <w:tc>
          <w:tcPr>
            <w:tcW w:w="2126" w:type="dxa"/>
            <w:vAlign w:val="center"/>
            <w:textDirection w:val="lrTb"/>
            <w:noWrap w:val="false"/>
          </w:tcPr>
          <w:p>
            <w:pPr>
              <w:pStyle w:val="864"/>
              <w:jc w:val="center"/>
              <w:widowControl/>
              <w:rPr>
                <w:szCs w:val="21"/>
              </w:rPr>
            </w:pPr>
            <w:r>
              <w:rPr>
                <w:szCs w:val="21"/>
              </w:rPr>
            </w:r>
            <w:r/>
          </w:p>
        </w:tc>
        <w:tc>
          <w:tcPr>
            <w:tcW w:w="1578" w:type="dxa"/>
            <w:vAlign w:val="center"/>
            <w:textDirection w:val="lrTb"/>
            <w:noWrap w:val="false"/>
          </w:tcPr>
          <w:p>
            <w:pPr>
              <w:pStyle w:val="864"/>
              <w:jc w:val="center"/>
              <w:widowControl/>
              <w:rPr>
                <w:szCs w:val="21"/>
              </w:rPr>
            </w:pPr>
            <w:r>
              <w:rPr>
                <w:szCs w:val="21"/>
              </w:rPr>
            </w:r>
            <w:r/>
          </w:p>
        </w:tc>
      </w:tr>
      <w:tr>
        <w:trPr>
          <w:cantSplit/>
          <w:trHeight w:val="567"/>
        </w:trPr>
        <w:tc>
          <w:tcPr>
            <w:tcW w:w="730" w:type="dxa"/>
            <w:vAlign w:val="center"/>
            <w:textDirection w:val="lrTb"/>
            <w:noWrap w:val="false"/>
          </w:tcPr>
          <w:p>
            <w:pPr>
              <w:pStyle w:val="864"/>
              <w:jc w:val="center"/>
              <w:widowControl/>
              <w:rPr>
                <w:bCs/>
                <w:szCs w:val="21"/>
              </w:rPr>
            </w:pPr>
            <w:r>
              <w:rPr>
                <w:rFonts w:hint="eastAsia"/>
                <w:bCs/>
                <w:szCs w:val="21"/>
              </w:rPr>
              <w:t xml:space="preserve">2</w:t>
            </w:r>
            <w:r>
              <w:rPr>
                <w:bCs/>
                <w:szCs w:val="21"/>
              </w:rPr>
            </w:r>
            <w:r/>
          </w:p>
        </w:tc>
        <w:tc>
          <w:tcPr>
            <w:tcW w:w="2948" w:type="dxa"/>
            <w:vAlign w:val="center"/>
            <w:textDirection w:val="lrTb"/>
            <w:noWrap w:val="false"/>
          </w:tcPr>
          <w:p>
            <w:pPr>
              <w:pStyle w:val="864"/>
              <w:jc w:val="center"/>
              <w:spacing w:line="480" w:lineRule="exact"/>
              <w:widowControl/>
              <w:rPr>
                <w:szCs w:val="21"/>
              </w:rPr>
            </w:pPr>
            <w:r>
              <w:rPr>
                <w:szCs w:val="21"/>
              </w:rPr>
            </w:r>
            <w:r/>
          </w:p>
        </w:tc>
        <w:tc>
          <w:tcPr>
            <w:tcW w:w="2667" w:type="dxa"/>
            <w:vAlign w:val="center"/>
            <w:textDirection w:val="lrTb"/>
            <w:noWrap w:val="false"/>
          </w:tcPr>
          <w:p>
            <w:pPr>
              <w:pStyle w:val="864"/>
              <w:jc w:val="center"/>
              <w:widowControl/>
              <w:rPr>
                <w:szCs w:val="21"/>
              </w:rPr>
            </w:pPr>
            <w:r>
              <w:rPr>
                <w:szCs w:val="21"/>
              </w:rPr>
            </w:r>
            <w:r/>
          </w:p>
        </w:tc>
        <w:tc>
          <w:tcPr>
            <w:tcW w:w="2126" w:type="dxa"/>
            <w:vAlign w:val="center"/>
            <w:textDirection w:val="lrTb"/>
            <w:noWrap w:val="false"/>
          </w:tcPr>
          <w:p>
            <w:pPr>
              <w:pStyle w:val="864"/>
              <w:jc w:val="center"/>
              <w:widowControl/>
              <w:rPr>
                <w:szCs w:val="21"/>
              </w:rPr>
            </w:pPr>
            <w:r>
              <w:rPr>
                <w:szCs w:val="21"/>
              </w:rPr>
            </w:r>
            <w:r/>
          </w:p>
        </w:tc>
        <w:tc>
          <w:tcPr>
            <w:tcW w:w="1578" w:type="dxa"/>
            <w:vAlign w:val="center"/>
            <w:textDirection w:val="lrTb"/>
            <w:noWrap w:val="false"/>
          </w:tcPr>
          <w:p>
            <w:pPr>
              <w:pStyle w:val="864"/>
              <w:jc w:val="center"/>
              <w:widowControl/>
              <w:rPr>
                <w:szCs w:val="21"/>
              </w:rPr>
            </w:pPr>
            <w:r>
              <w:rPr>
                <w:szCs w:val="21"/>
              </w:rPr>
            </w:r>
            <w:r/>
          </w:p>
        </w:tc>
      </w:tr>
      <w:tr>
        <w:trPr>
          <w:cantSplit/>
          <w:trHeight w:val="567"/>
        </w:trPr>
        <w:tc>
          <w:tcPr>
            <w:tcW w:w="730" w:type="dxa"/>
            <w:vAlign w:val="center"/>
            <w:textDirection w:val="lrTb"/>
            <w:noWrap w:val="false"/>
          </w:tcPr>
          <w:p>
            <w:pPr>
              <w:pStyle w:val="864"/>
              <w:jc w:val="center"/>
              <w:widowControl/>
              <w:rPr>
                <w:bCs/>
                <w:szCs w:val="21"/>
              </w:rPr>
            </w:pPr>
            <w:r>
              <w:rPr>
                <w:rFonts w:hint="eastAsia"/>
                <w:bCs/>
                <w:szCs w:val="21"/>
              </w:rPr>
              <w:t xml:space="preserve">3</w:t>
            </w:r>
            <w:r>
              <w:rPr>
                <w:bCs/>
                <w:szCs w:val="21"/>
              </w:rPr>
            </w:r>
            <w:r/>
          </w:p>
        </w:tc>
        <w:tc>
          <w:tcPr>
            <w:tcW w:w="2948" w:type="dxa"/>
            <w:vAlign w:val="center"/>
            <w:textDirection w:val="lrTb"/>
            <w:noWrap w:val="false"/>
          </w:tcPr>
          <w:p>
            <w:pPr>
              <w:pStyle w:val="864"/>
              <w:jc w:val="center"/>
              <w:spacing w:line="480" w:lineRule="exact"/>
              <w:widowControl/>
              <w:rPr>
                <w:szCs w:val="21"/>
              </w:rPr>
            </w:pPr>
            <w:r>
              <w:rPr>
                <w:szCs w:val="21"/>
              </w:rPr>
            </w:r>
            <w:r/>
          </w:p>
        </w:tc>
        <w:tc>
          <w:tcPr>
            <w:tcW w:w="2667" w:type="dxa"/>
            <w:vAlign w:val="center"/>
            <w:textDirection w:val="lrTb"/>
            <w:noWrap w:val="false"/>
          </w:tcPr>
          <w:p>
            <w:pPr>
              <w:pStyle w:val="864"/>
              <w:jc w:val="center"/>
              <w:widowControl/>
              <w:rPr>
                <w:szCs w:val="21"/>
              </w:rPr>
            </w:pPr>
            <w:r>
              <w:rPr>
                <w:szCs w:val="21"/>
              </w:rPr>
            </w:r>
            <w:r/>
          </w:p>
        </w:tc>
        <w:tc>
          <w:tcPr>
            <w:tcW w:w="2126" w:type="dxa"/>
            <w:vAlign w:val="center"/>
            <w:textDirection w:val="lrTb"/>
            <w:noWrap w:val="false"/>
          </w:tcPr>
          <w:p>
            <w:pPr>
              <w:pStyle w:val="864"/>
              <w:jc w:val="center"/>
              <w:widowControl/>
              <w:rPr>
                <w:szCs w:val="21"/>
              </w:rPr>
            </w:pPr>
            <w:r>
              <w:rPr>
                <w:szCs w:val="21"/>
              </w:rPr>
            </w:r>
            <w:r/>
          </w:p>
        </w:tc>
        <w:tc>
          <w:tcPr>
            <w:tcW w:w="1578" w:type="dxa"/>
            <w:vAlign w:val="center"/>
            <w:textDirection w:val="lrTb"/>
            <w:noWrap w:val="false"/>
          </w:tcPr>
          <w:p>
            <w:pPr>
              <w:pStyle w:val="864"/>
              <w:jc w:val="center"/>
              <w:widowControl/>
              <w:rPr>
                <w:szCs w:val="21"/>
              </w:rPr>
            </w:pPr>
            <w:r>
              <w:rPr>
                <w:szCs w:val="21"/>
              </w:rPr>
            </w:r>
            <w:r/>
          </w:p>
        </w:tc>
      </w:tr>
      <w:tr>
        <w:trPr>
          <w:cantSplit/>
          <w:trHeight w:val="567"/>
        </w:trPr>
        <w:tc>
          <w:tcPr>
            <w:tcW w:w="730" w:type="dxa"/>
            <w:vAlign w:val="center"/>
            <w:textDirection w:val="lrTb"/>
            <w:noWrap w:val="false"/>
          </w:tcPr>
          <w:p>
            <w:pPr>
              <w:pStyle w:val="864"/>
              <w:jc w:val="center"/>
              <w:widowControl/>
              <w:rPr>
                <w:bCs/>
                <w:szCs w:val="21"/>
              </w:rPr>
            </w:pPr>
            <w:r>
              <w:rPr>
                <w:rFonts w:hint="eastAsia"/>
                <w:bCs/>
                <w:szCs w:val="21"/>
              </w:rPr>
              <w:t xml:space="preserve">4</w:t>
            </w:r>
            <w:r>
              <w:rPr>
                <w:bCs/>
                <w:szCs w:val="21"/>
              </w:rPr>
            </w:r>
            <w:r/>
          </w:p>
        </w:tc>
        <w:tc>
          <w:tcPr>
            <w:tcW w:w="2948" w:type="dxa"/>
            <w:vAlign w:val="center"/>
            <w:textDirection w:val="lrTb"/>
            <w:noWrap w:val="false"/>
          </w:tcPr>
          <w:p>
            <w:pPr>
              <w:pStyle w:val="864"/>
              <w:jc w:val="center"/>
              <w:widowControl/>
              <w:rPr>
                <w:rFonts w:cs="仿宋_GB2312"/>
                <w:szCs w:val="21"/>
                <w:lang w:val="zh-CN"/>
              </w:rPr>
            </w:pPr>
            <w:r>
              <w:rPr>
                <w:rFonts w:cs="仿宋_GB2312"/>
                <w:szCs w:val="21"/>
                <w:lang w:val="zh-CN"/>
              </w:rPr>
            </w:r>
            <w:r/>
          </w:p>
        </w:tc>
        <w:tc>
          <w:tcPr>
            <w:tcW w:w="2667" w:type="dxa"/>
            <w:vAlign w:val="center"/>
            <w:textDirection w:val="lrTb"/>
            <w:noWrap w:val="false"/>
          </w:tcPr>
          <w:p>
            <w:pPr>
              <w:pStyle w:val="864"/>
              <w:jc w:val="center"/>
              <w:widowControl/>
              <w:rPr>
                <w:szCs w:val="21"/>
              </w:rPr>
            </w:pPr>
            <w:r>
              <w:rPr>
                <w:szCs w:val="21"/>
              </w:rPr>
            </w:r>
            <w:r/>
          </w:p>
        </w:tc>
        <w:tc>
          <w:tcPr>
            <w:tcW w:w="2126" w:type="dxa"/>
            <w:vAlign w:val="center"/>
            <w:textDirection w:val="lrTb"/>
            <w:noWrap w:val="false"/>
          </w:tcPr>
          <w:p>
            <w:pPr>
              <w:pStyle w:val="864"/>
              <w:jc w:val="center"/>
              <w:widowControl/>
              <w:rPr>
                <w:szCs w:val="21"/>
              </w:rPr>
            </w:pPr>
            <w:r>
              <w:rPr>
                <w:szCs w:val="21"/>
              </w:rPr>
            </w:r>
            <w:r/>
          </w:p>
        </w:tc>
        <w:tc>
          <w:tcPr>
            <w:tcW w:w="1578" w:type="dxa"/>
            <w:vAlign w:val="center"/>
            <w:textDirection w:val="lrTb"/>
            <w:noWrap w:val="false"/>
          </w:tcPr>
          <w:p>
            <w:pPr>
              <w:pStyle w:val="864"/>
              <w:jc w:val="center"/>
              <w:widowControl/>
              <w:rPr>
                <w:szCs w:val="21"/>
              </w:rPr>
            </w:pPr>
            <w:r>
              <w:rPr>
                <w:szCs w:val="21"/>
              </w:rPr>
            </w:r>
            <w:r/>
          </w:p>
        </w:tc>
      </w:tr>
      <w:tr>
        <w:trPr>
          <w:cantSplit/>
          <w:trHeight w:val="567"/>
        </w:trPr>
        <w:tc>
          <w:tcPr>
            <w:tcW w:w="730" w:type="dxa"/>
            <w:vAlign w:val="center"/>
            <w:textDirection w:val="lrTb"/>
            <w:noWrap w:val="false"/>
          </w:tcPr>
          <w:p>
            <w:pPr>
              <w:pStyle w:val="864"/>
              <w:jc w:val="center"/>
              <w:widowControl/>
              <w:rPr>
                <w:bCs/>
                <w:szCs w:val="21"/>
              </w:rPr>
            </w:pPr>
            <w:r>
              <w:rPr>
                <w:rFonts w:hint="eastAsia"/>
                <w:bCs/>
                <w:szCs w:val="21"/>
              </w:rPr>
              <w:t xml:space="preserve">…</w:t>
            </w:r>
            <w:r>
              <w:rPr>
                <w:bCs/>
                <w:szCs w:val="21"/>
              </w:rPr>
            </w:r>
            <w:r/>
          </w:p>
        </w:tc>
        <w:tc>
          <w:tcPr>
            <w:tcW w:w="2948" w:type="dxa"/>
            <w:vAlign w:val="center"/>
            <w:textDirection w:val="lrTb"/>
            <w:noWrap w:val="false"/>
          </w:tcPr>
          <w:p>
            <w:pPr>
              <w:pStyle w:val="864"/>
              <w:jc w:val="center"/>
              <w:widowControl/>
              <w:rPr>
                <w:bCs/>
                <w:szCs w:val="21"/>
              </w:rPr>
            </w:pPr>
            <w:r>
              <w:rPr>
                <w:rFonts w:hint="eastAsia"/>
                <w:bCs/>
                <w:szCs w:val="21"/>
              </w:rPr>
              <w:t xml:space="preserve">…</w:t>
            </w:r>
            <w:r>
              <w:rPr>
                <w:bCs/>
                <w:szCs w:val="21"/>
              </w:rPr>
            </w:r>
            <w:r/>
          </w:p>
        </w:tc>
        <w:tc>
          <w:tcPr>
            <w:tcW w:w="2667" w:type="dxa"/>
            <w:vAlign w:val="center"/>
            <w:textDirection w:val="lrTb"/>
            <w:noWrap w:val="false"/>
          </w:tcPr>
          <w:p>
            <w:pPr>
              <w:pStyle w:val="864"/>
              <w:jc w:val="center"/>
              <w:widowControl/>
              <w:rPr>
                <w:szCs w:val="21"/>
              </w:rPr>
            </w:pPr>
            <w:r>
              <w:rPr>
                <w:szCs w:val="21"/>
              </w:rPr>
            </w:r>
            <w:r/>
          </w:p>
        </w:tc>
        <w:tc>
          <w:tcPr>
            <w:tcW w:w="2126" w:type="dxa"/>
            <w:vAlign w:val="center"/>
            <w:textDirection w:val="lrTb"/>
            <w:noWrap w:val="false"/>
          </w:tcPr>
          <w:p>
            <w:pPr>
              <w:pStyle w:val="864"/>
              <w:jc w:val="center"/>
              <w:widowControl/>
              <w:rPr>
                <w:szCs w:val="21"/>
              </w:rPr>
            </w:pPr>
            <w:r>
              <w:rPr>
                <w:szCs w:val="21"/>
              </w:rPr>
            </w:r>
            <w:r/>
          </w:p>
        </w:tc>
        <w:tc>
          <w:tcPr>
            <w:tcW w:w="1578" w:type="dxa"/>
            <w:vAlign w:val="center"/>
            <w:textDirection w:val="lrTb"/>
            <w:noWrap w:val="false"/>
          </w:tcPr>
          <w:p>
            <w:pPr>
              <w:pStyle w:val="864"/>
              <w:jc w:val="center"/>
              <w:widowControl/>
              <w:rPr>
                <w:szCs w:val="21"/>
              </w:rPr>
            </w:pPr>
            <w:r>
              <w:rPr>
                <w:szCs w:val="21"/>
              </w:rPr>
            </w:r>
            <w:r/>
          </w:p>
        </w:tc>
      </w:tr>
    </w:tbl>
    <w:p>
      <w:pPr>
        <w:pStyle w:val="864"/>
        <w:spacing w:line="360" w:lineRule="auto"/>
        <w:widowControl/>
        <w:rPr>
          <w:rFonts w:ascii="Calibri" w:hAnsi="Calibri" w:cs="Calibri"/>
          <w:szCs w:val="21"/>
        </w:rPr>
      </w:pPr>
      <w:r>
        <w:rPr>
          <w:rFonts w:hint="eastAsia" w:ascii="Calibri" w:hAnsi="Calibri"/>
          <w:b/>
          <w:szCs w:val="21"/>
        </w:rPr>
        <w:t xml:space="preserve">注：</w:t>
      </w:r>
      <w:r>
        <w:rPr>
          <w:rFonts w:hint="eastAsia" w:ascii="宋体" w:hAnsi="宋体" w:cs="宋体"/>
          <w:szCs w:val="21"/>
        </w:rPr>
        <w:t xml:space="preserve">供应商的投标文件商务条款与招标文件规定的有偏离的，应在此表中说明。未在上表中说明的，将被认为完全响应招标文件的规定。</w:t>
      </w:r>
      <w:r>
        <w:rPr>
          <w:rFonts w:ascii="Calibri" w:hAnsi="Calibri" w:cs="Calibri"/>
          <w:szCs w:val="21"/>
        </w:rPr>
      </w:r>
      <w:r/>
    </w:p>
    <w:p>
      <w:pPr>
        <w:pStyle w:val="864"/>
        <w:spacing w:line="480" w:lineRule="exact"/>
        <w:rPr>
          <w:rFonts w:ascii="宋体" w:hAnsi="宋体"/>
          <w:b/>
          <w:szCs w:val="21"/>
        </w:rPr>
      </w:pPr>
      <w:r>
        <w:rPr>
          <w:rFonts w:ascii="宋体" w:hAnsi="宋体"/>
          <w:b/>
          <w:szCs w:val="21"/>
        </w:r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   年   月   日</w:t>
      </w:r>
      <w:r/>
    </w:p>
    <w:p>
      <w:pPr>
        <w:pStyle w:val="864"/>
        <w:spacing w:line="480" w:lineRule="exact"/>
        <w:rPr>
          <w:rFonts w:hint="eastAsia" w:cs="宋体"/>
          <w:szCs w:val="22"/>
          <w:lang w:bidi="ar"/>
        </w:rPr>
      </w:pPr>
      <w:r>
        <w:rPr>
          <w:rFonts w:hint="eastAsia" w:cs="宋体"/>
          <w:szCs w:val="22"/>
          <w:lang w:bidi="ar"/>
        </w:rPr>
      </w:r>
      <w:r/>
    </w:p>
    <w:p>
      <w:pPr>
        <w:pStyle w:val="864"/>
        <w:jc w:val="left"/>
        <w:spacing w:line="360" w:lineRule="auto"/>
        <w:widowControl/>
        <w:rPr>
          <w:rFonts w:eastAsia="楷体_GB2312"/>
          <w:b/>
          <w:sz w:val="24"/>
          <w:szCs w:val="20"/>
        </w:rPr>
      </w:pPr>
      <w:r>
        <w:rPr>
          <w:rFonts w:cs="宋体"/>
          <w:szCs w:val="22"/>
          <w:lang w:bidi="ar"/>
        </w:rPr>
        <w:br w:type="page" w:clear="all"/>
      </w:r>
      <w:r>
        <w:rPr>
          <w:rFonts w:hint="eastAsia" w:cs="宋体"/>
          <w:szCs w:val="22"/>
          <w:lang w:bidi="ar"/>
        </w:rPr>
        <w:t xml:space="preserve">格式</w:t>
      </w:r>
      <w:r>
        <w:rPr>
          <w:rFonts w:cs="宋体"/>
          <w:szCs w:val="22"/>
          <w:lang w:bidi="ar"/>
        </w:rPr>
        <w:t xml:space="preserve">6</w:t>
      </w:r>
      <w:r>
        <w:rPr>
          <w:rFonts w:hint="eastAsia" w:cs="宋体"/>
          <w:szCs w:val="22"/>
          <w:lang w:bidi="ar"/>
        </w:rPr>
        <w:t xml:space="preserve">、</w:t>
      </w:r>
      <w:bookmarkEnd w:id="18"/>
      <w:r>
        <w:rPr>
          <w:rFonts w:hint="eastAsia" w:ascii="宋体" w:hAnsi="宋体" w:eastAsia="宋体" w:cs="Times New Roman"/>
          <w:szCs w:val="21"/>
        </w:rPr>
        <w:t xml:space="preserve">拟投入</w:t>
      </w:r>
      <w:r>
        <w:rPr>
          <w:rFonts w:hint="eastAsia" w:ascii="宋体" w:hAnsi="宋体" w:eastAsia="宋体" w:cs="Times New Roman"/>
          <w:szCs w:val="21"/>
          <w:lang w:val="zh-TW"/>
        </w:rPr>
        <w:t xml:space="preserve">本项目</w:t>
      </w:r>
      <w:r>
        <w:rPr>
          <w:rFonts w:hint="eastAsia" w:ascii="宋体" w:hAnsi="宋体" w:eastAsia="宋体" w:cs="Times New Roman"/>
          <w:szCs w:val="21"/>
          <w:lang w:val="zh-TW" w:eastAsia="zh-TW"/>
        </w:rPr>
        <w:t xml:space="preserve">人员一览表</w:t>
      </w:r>
      <w:r>
        <w:rPr>
          <w:rFonts w:eastAsia="楷体_GB2312"/>
          <w:b/>
          <w:sz w:val="24"/>
          <w:szCs w:val="20"/>
        </w:rPr>
      </w:r>
      <w:r/>
    </w:p>
    <w:p>
      <w:pPr>
        <w:pStyle w:val="864"/>
        <w:jc w:val="center"/>
        <w:spacing w:line="360" w:lineRule="auto"/>
        <w:rPr>
          <w:rFonts w:hint="eastAsia" w:ascii="宋体" w:hAnsi="宋体"/>
          <w:szCs w:val="21"/>
        </w:rPr>
      </w:pPr>
      <w:r>
        <w:rPr>
          <w:rFonts w:hint="eastAsia" w:ascii="宋体" w:hAnsi="宋体" w:eastAsia="宋体" w:cs="Times New Roman"/>
          <w:szCs w:val="21"/>
        </w:rPr>
        <w:t xml:space="preserve">拟投入</w:t>
      </w:r>
      <w:r>
        <w:rPr>
          <w:rFonts w:hint="eastAsia" w:ascii="宋体" w:hAnsi="宋体" w:eastAsia="宋体" w:cs="Times New Roman"/>
          <w:szCs w:val="21"/>
          <w:lang w:val="zh-TW"/>
        </w:rPr>
        <w:t xml:space="preserve">本项目</w:t>
      </w:r>
      <w:r>
        <w:rPr>
          <w:rFonts w:hint="eastAsia" w:ascii="宋体" w:hAnsi="宋体" w:eastAsia="宋体" w:cs="Times New Roman"/>
          <w:szCs w:val="21"/>
          <w:lang w:val="zh-TW" w:eastAsia="zh-TW"/>
        </w:rPr>
        <w:t xml:space="preserve">人员一览表</w:t>
      </w:r>
      <w:r>
        <w:rPr>
          <w:rFonts w:hint="eastAsia" w:ascii="宋体" w:hAnsi="宋体"/>
          <w:szCs w:val="21"/>
        </w:rPr>
      </w:r>
      <w:r/>
    </w:p>
    <w:tbl>
      <w:tblPr>
        <w:tblW w:w="849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1134"/>
        <w:gridCol w:w="709"/>
        <w:gridCol w:w="992"/>
        <w:gridCol w:w="851"/>
        <w:gridCol w:w="1369"/>
        <w:gridCol w:w="1490"/>
      </w:tblGrid>
      <w:tr>
        <w:trPr>
          <w:trHeight w:val="851"/>
        </w:trPr>
        <w:tc>
          <w:tcPr>
            <w:tcW w:w="610" w:type="dxa"/>
            <w:vAlign w:val="center"/>
            <w:textDirection w:val="lrTb"/>
            <w:noWrap w:val="false"/>
          </w:tcPr>
          <w:p>
            <w:pPr>
              <w:pStyle w:val="864"/>
              <w:jc w:val="center"/>
              <w:widowControl/>
              <w:rPr>
                <w:szCs w:val="21"/>
              </w:rPr>
            </w:pPr>
            <w:r>
              <w:rPr>
                <w:rFonts w:hint="eastAsia"/>
                <w:szCs w:val="21"/>
              </w:rPr>
              <w:t xml:space="preserve">序号</w:t>
            </w:r>
            <w:r>
              <w:rPr>
                <w:szCs w:val="21"/>
              </w:rPr>
            </w:r>
            <w:r/>
          </w:p>
        </w:tc>
        <w:tc>
          <w:tcPr>
            <w:tcW w:w="1341" w:type="dxa"/>
            <w:vAlign w:val="center"/>
            <w:textDirection w:val="lrTb"/>
            <w:noWrap w:val="false"/>
          </w:tcPr>
          <w:p>
            <w:pPr>
              <w:pStyle w:val="864"/>
              <w:jc w:val="center"/>
              <w:widowControl/>
              <w:rPr>
                <w:szCs w:val="21"/>
              </w:rPr>
            </w:pPr>
            <w:r>
              <w:rPr>
                <w:rFonts w:hint="eastAsia"/>
                <w:szCs w:val="21"/>
              </w:rPr>
              <w:t xml:space="preserve">项目组所任职务</w:t>
            </w:r>
            <w:r>
              <w:rPr>
                <w:szCs w:val="21"/>
              </w:rPr>
            </w:r>
            <w:r/>
          </w:p>
        </w:tc>
        <w:tc>
          <w:tcPr>
            <w:tcW w:w="1134" w:type="dxa"/>
            <w:vAlign w:val="center"/>
            <w:textDirection w:val="lrTb"/>
            <w:noWrap w:val="false"/>
          </w:tcPr>
          <w:p>
            <w:pPr>
              <w:pStyle w:val="864"/>
              <w:jc w:val="center"/>
              <w:widowControl/>
              <w:rPr>
                <w:szCs w:val="21"/>
              </w:rPr>
            </w:pPr>
            <w:r>
              <w:rPr>
                <w:rFonts w:hint="eastAsia"/>
                <w:szCs w:val="21"/>
              </w:rPr>
              <w:t xml:space="preserve">姓名</w:t>
            </w:r>
            <w:r>
              <w:rPr>
                <w:szCs w:val="21"/>
              </w:rPr>
            </w:r>
            <w:r/>
          </w:p>
        </w:tc>
        <w:tc>
          <w:tcPr>
            <w:tcW w:w="709" w:type="dxa"/>
            <w:vAlign w:val="center"/>
            <w:textDirection w:val="lrTb"/>
            <w:noWrap w:val="false"/>
          </w:tcPr>
          <w:p>
            <w:pPr>
              <w:pStyle w:val="864"/>
              <w:jc w:val="center"/>
              <w:widowControl/>
              <w:rPr>
                <w:szCs w:val="21"/>
              </w:rPr>
            </w:pPr>
            <w:r>
              <w:rPr>
                <w:rFonts w:hint="eastAsia"/>
                <w:szCs w:val="21"/>
              </w:rPr>
              <w:t xml:space="preserve">性别</w:t>
            </w:r>
            <w:r>
              <w:rPr>
                <w:szCs w:val="21"/>
              </w:rPr>
            </w:r>
            <w:r/>
          </w:p>
        </w:tc>
        <w:tc>
          <w:tcPr>
            <w:tcW w:w="992" w:type="dxa"/>
            <w:vAlign w:val="center"/>
            <w:textDirection w:val="lrTb"/>
            <w:noWrap w:val="false"/>
          </w:tcPr>
          <w:p>
            <w:pPr>
              <w:pStyle w:val="864"/>
              <w:jc w:val="center"/>
              <w:widowControl/>
              <w:rPr>
                <w:szCs w:val="21"/>
              </w:rPr>
            </w:pPr>
            <w:r>
              <w:rPr>
                <w:rFonts w:hint="eastAsia"/>
                <w:szCs w:val="21"/>
              </w:rPr>
              <w:t xml:space="preserve">年龄</w:t>
            </w:r>
            <w:r>
              <w:rPr>
                <w:szCs w:val="21"/>
              </w:rPr>
            </w:r>
            <w:r/>
          </w:p>
        </w:tc>
        <w:tc>
          <w:tcPr>
            <w:tcW w:w="851" w:type="dxa"/>
            <w:vAlign w:val="center"/>
            <w:textDirection w:val="lrTb"/>
            <w:noWrap w:val="false"/>
          </w:tcPr>
          <w:p>
            <w:pPr>
              <w:pStyle w:val="864"/>
              <w:jc w:val="center"/>
              <w:spacing w:line="400" w:lineRule="exact"/>
              <w:rPr>
                <w:rFonts w:ascii="宋体" w:hAnsi="宋体" w:cs="宋体"/>
                <w:szCs w:val="21"/>
              </w:rPr>
            </w:pPr>
            <w:r>
              <w:rPr>
                <w:rFonts w:hint="eastAsia" w:ascii="宋体" w:hAnsi="宋体" w:cs="宋体"/>
                <w:szCs w:val="21"/>
              </w:rPr>
              <w:t xml:space="preserve">学历</w:t>
            </w:r>
            <w:r>
              <w:rPr>
                <w:rFonts w:ascii="宋体" w:hAnsi="宋体" w:cs="宋体"/>
                <w:szCs w:val="21"/>
              </w:rPr>
            </w:r>
            <w:r/>
          </w:p>
        </w:tc>
        <w:tc>
          <w:tcPr>
            <w:tcW w:w="1369" w:type="dxa"/>
            <w:vAlign w:val="center"/>
            <w:textDirection w:val="lrTb"/>
            <w:noWrap w:val="false"/>
          </w:tcPr>
          <w:p>
            <w:pPr>
              <w:pStyle w:val="864"/>
              <w:jc w:val="center"/>
              <w:spacing w:line="400" w:lineRule="exact"/>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1490" w:type="dxa"/>
            <w:vAlign w:val="center"/>
            <w:textDirection w:val="lrTb"/>
            <w:noWrap w:val="false"/>
          </w:tcPr>
          <w:p>
            <w:pPr>
              <w:pStyle w:val="864"/>
              <w:jc w:val="center"/>
              <w:spacing w:line="400" w:lineRule="exact"/>
              <w:rPr>
                <w:rFonts w:ascii="宋体" w:hAnsi="宋体" w:cs="宋体"/>
                <w:szCs w:val="21"/>
              </w:rPr>
            </w:pPr>
            <w:r>
              <w:rPr>
                <w:rFonts w:hint="eastAsia" w:ascii="宋体" w:hAnsi="宋体" w:cs="宋体"/>
                <w:szCs w:val="21"/>
              </w:rPr>
              <w:t xml:space="preserve">专业/资格</w:t>
            </w:r>
            <w:r>
              <w:rPr>
                <w:rFonts w:ascii="宋体" w:hAnsi="宋体" w:cs="宋体"/>
                <w:szCs w:val="21"/>
              </w:rPr>
            </w:r>
            <w:r/>
          </w:p>
        </w:tc>
      </w:tr>
      <w:tr>
        <w:trPr>
          <w:trHeight w:val="567"/>
        </w:trPr>
        <w:tc>
          <w:tcPr>
            <w:tcW w:w="610" w:type="dxa"/>
            <w:vAlign w:val="center"/>
            <w:textDirection w:val="lrTb"/>
            <w:noWrap w:val="false"/>
          </w:tcPr>
          <w:p>
            <w:pPr>
              <w:pStyle w:val="864"/>
              <w:jc w:val="center"/>
              <w:widowControl/>
              <w:rPr>
                <w:szCs w:val="21"/>
              </w:rPr>
            </w:pPr>
            <w:r>
              <w:rPr>
                <w:rFonts w:hint="eastAsia"/>
                <w:szCs w:val="21"/>
              </w:rPr>
              <w:t xml:space="preserve">1</w:t>
            </w:r>
            <w:r>
              <w:rPr>
                <w:szCs w:val="21"/>
              </w:rPr>
            </w:r>
            <w:r/>
          </w:p>
        </w:tc>
        <w:tc>
          <w:tcPr>
            <w:tcW w:w="1341" w:type="dxa"/>
            <w:vAlign w:val="center"/>
            <w:textDirection w:val="lrTb"/>
            <w:noWrap w:val="false"/>
          </w:tcPr>
          <w:p>
            <w:pPr>
              <w:pStyle w:val="864"/>
              <w:jc w:val="center"/>
              <w:spacing w:line="400" w:lineRule="exact"/>
              <w:rPr>
                <w:rFonts w:ascii="宋体" w:hAnsi="宋体" w:cs="宋体"/>
                <w:szCs w:val="21"/>
              </w:rPr>
            </w:pPr>
            <w:r>
              <w:rPr>
                <w:rFonts w:ascii="宋体" w:hAnsi="宋体" w:cs="宋体"/>
                <w:szCs w:val="21"/>
              </w:rPr>
            </w:r>
            <w:r/>
          </w:p>
        </w:tc>
        <w:tc>
          <w:tcPr>
            <w:tcW w:w="1134" w:type="dxa"/>
            <w:vAlign w:val="center"/>
            <w:textDirection w:val="lrTb"/>
            <w:noWrap w:val="false"/>
          </w:tcPr>
          <w:p>
            <w:pPr>
              <w:pStyle w:val="864"/>
              <w:jc w:val="center"/>
              <w:widowControl/>
              <w:rPr>
                <w:szCs w:val="21"/>
              </w:rPr>
            </w:pPr>
            <w:r>
              <w:rPr>
                <w:szCs w:val="21"/>
              </w:rPr>
            </w:r>
            <w:r/>
          </w:p>
        </w:tc>
        <w:tc>
          <w:tcPr>
            <w:tcW w:w="709" w:type="dxa"/>
            <w:vAlign w:val="center"/>
            <w:textDirection w:val="lrTb"/>
            <w:noWrap w:val="false"/>
          </w:tcPr>
          <w:p>
            <w:pPr>
              <w:pStyle w:val="864"/>
              <w:jc w:val="center"/>
              <w:widowControl/>
              <w:rPr>
                <w:szCs w:val="21"/>
              </w:rPr>
            </w:pPr>
            <w:r>
              <w:rPr>
                <w:szCs w:val="21"/>
              </w:rPr>
            </w:r>
            <w:r/>
          </w:p>
        </w:tc>
        <w:tc>
          <w:tcPr>
            <w:tcW w:w="992" w:type="dxa"/>
            <w:vAlign w:val="center"/>
            <w:textDirection w:val="lrTb"/>
            <w:noWrap w:val="false"/>
          </w:tcPr>
          <w:p>
            <w:pPr>
              <w:pStyle w:val="864"/>
              <w:jc w:val="center"/>
              <w:widowControl/>
              <w:rPr>
                <w:szCs w:val="21"/>
              </w:rPr>
            </w:pPr>
            <w:r>
              <w:rPr>
                <w:szCs w:val="21"/>
              </w:rPr>
            </w:r>
            <w:r/>
          </w:p>
        </w:tc>
        <w:tc>
          <w:tcPr>
            <w:tcW w:w="851" w:type="dxa"/>
            <w:vAlign w:val="center"/>
            <w:textDirection w:val="lrTb"/>
            <w:noWrap w:val="false"/>
          </w:tcPr>
          <w:p>
            <w:pPr>
              <w:pStyle w:val="864"/>
              <w:jc w:val="center"/>
              <w:widowControl/>
              <w:rPr>
                <w:szCs w:val="21"/>
              </w:rPr>
            </w:pPr>
            <w:r>
              <w:rPr>
                <w:szCs w:val="21"/>
              </w:rPr>
            </w:r>
            <w:r/>
          </w:p>
        </w:tc>
        <w:tc>
          <w:tcPr>
            <w:tcW w:w="1369" w:type="dxa"/>
            <w:vAlign w:val="center"/>
            <w:textDirection w:val="lrTb"/>
            <w:noWrap w:val="false"/>
          </w:tcPr>
          <w:p>
            <w:pPr>
              <w:pStyle w:val="864"/>
              <w:jc w:val="center"/>
              <w:widowControl/>
              <w:rPr>
                <w:szCs w:val="21"/>
              </w:rPr>
            </w:pPr>
            <w:r>
              <w:rPr>
                <w:szCs w:val="21"/>
              </w:rPr>
            </w:r>
            <w:r/>
          </w:p>
        </w:tc>
        <w:tc>
          <w:tcPr>
            <w:tcW w:w="1490" w:type="dxa"/>
            <w:vAlign w:val="center"/>
            <w:textDirection w:val="lrTb"/>
            <w:noWrap w:val="false"/>
          </w:tcPr>
          <w:p>
            <w:pPr>
              <w:pStyle w:val="864"/>
              <w:jc w:val="center"/>
              <w:widowControl/>
              <w:rPr>
                <w:szCs w:val="21"/>
              </w:rPr>
            </w:pPr>
            <w:r>
              <w:rPr>
                <w:szCs w:val="21"/>
              </w:rPr>
            </w:r>
            <w:r/>
          </w:p>
        </w:tc>
      </w:tr>
      <w:tr>
        <w:trPr>
          <w:trHeight w:val="567"/>
        </w:trPr>
        <w:tc>
          <w:tcPr>
            <w:tcW w:w="610" w:type="dxa"/>
            <w:vAlign w:val="center"/>
            <w:textDirection w:val="lrTb"/>
            <w:noWrap w:val="false"/>
          </w:tcPr>
          <w:p>
            <w:pPr>
              <w:pStyle w:val="864"/>
              <w:jc w:val="center"/>
              <w:widowControl/>
              <w:rPr>
                <w:szCs w:val="21"/>
              </w:rPr>
            </w:pPr>
            <w:r>
              <w:rPr>
                <w:rFonts w:hint="eastAsia"/>
                <w:szCs w:val="21"/>
              </w:rPr>
              <w:t xml:space="preserve">2</w:t>
            </w:r>
            <w:r>
              <w:rPr>
                <w:szCs w:val="21"/>
              </w:rPr>
            </w:r>
            <w:r/>
          </w:p>
        </w:tc>
        <w:tc>
          <w:tcPr>
            <w:tcW w:w="1341" w:type="dxa"/>
            <w:vAlign w:val="center"/>
            <w:textDirection w:val="lrTb"/>
            <w:noWrap w:val="false"/>
          </w:tcPr>
          <w:p>
            <w:pPr>
              <w:pStyle w:val="864"/>
              <w:jc w:val="center"/>
              <w:spacing w:line="400" w:lineRule="exact"/>
              <w:rPr>
                <w:rFonts w:ascii="宋体" w:hAnsi="宋体" w:cs="宋体"/>
                <w:szCs w:val="21"/>
              </w:rPr>
            </w:pPr>
            <w:r>
              <w:rPr>
                <w:rFonts w:ascii="宋体" w:hAnsi="宋体" w:cs="宋体"/>
                <w:szCs w:val="21"/>
              </w:rPr>
            </w:r>
            <w:r/>
          </w:p>
        </w:tc>
        <w:tc>
          <w:tcPr>
            <w:tcW w:w="1134" w:type="dxa"/>
            <w:vAlign w:val="center"/>
            <w:textDirection w:val="lrTb"/>
            <w:noWrap w:val="false"/>
          </w:tcPr>
          <w:p>
            <w:pPr>
              <w:pStyle w:val="864"/>
              <w:jc w:val="center"/>
              <w:widowControl/>
              <w:rPr>
                <w:szCs w:val="21"/>
              </w:rPr>
            </w:pPr>
            <w:r>
              <w:rPr>
                <w:szCs w:val="21"/>
              </w:rPr>
            </w:r>
            <w:r/>
          </w:p>
        </w:tc>
        <w:tc>
          <w:tcPr>
            <w:tcW w:w="709" w:type="dxa"/>
            <w:vAlign w:val="center"/>
            <w:textDirection w:val="lrTb"/>
            <w:noWrap w:val="false"/>
          </w:tcPr>
          <w:p>
            <w:pPr>
              <w:pStyle w:val="864"/>
              <w:jc w:val="center"/>
              <w:widowControl/>
              <w:rPr>
                <w:szCs w:val="21"/>
              </w:rPr>
            </w:pPr>
            <w:r>
              <w:rPr>
                <w:szCs w:val="21"/>
              </w:rPr>
            </w:r>
            <w:r/>
          </w:p>
        </w:tc>
        <w:tc>
          <w:tcPr>
            <w:tcW w:w="992" w:type="dxa"/>
            <w:vAlign w:val="center"/>
            <w:textDirection w:val="lrTb"/>
            <w:noWrap w:val="false"/>
          </w:tcPr>
          <w:p>
            <w:pPr>
              <w:pStyle w:val="864"/>
              <w:jc w:val="center"/>
              <w:widowControl/>
              <w:rPr>
                <w:szCs w:val="21"/>
              </w:rPr>
            </w:pPr>
            <w:r>
              <w:rPr>
                <w:szCs w:val="21"/>
              </w:rPr>
            </w:r>
            <w:r/>
          </w:p>
        </w:tc>
        <w:tc>
          <w:tcPr>
            <w:tcW w:w="851" w:type="dxa"/>
            <w:vAlign w:val="center"/>
            <w:textDirection w:val="lrTb"/>
            <w:noWrap w:val="false"/>
          </w:tcPr>
          <w:p>
            <w:pPr>
              <w:pStyle w:val="864"/>
              <w:jc w:val="center"/>
              <w:widowControl/>
              <w:rPr>
                <w:szCs w:val="21"/>
              </w:rPr>
            </w:pPr>
            <w:r>
              <w:rPr>
                <w:szCs w:val="21"/>
              </w:rPr>
            </w:r>
            <w:r/>
          </w:p>
        </w:tc>
        <w:tc>
          <w:tcPr>
            <w:tcW w:w="1369" w:type="dxa"/>
            <w:vAlign w:val="center"/>
            <w:textDirection w:val="lrTb"/>
            <w:noWrap w:val="false"/>
          </w:tcPr>
          <w:p>
            <w:pPr>
              <w:pStyle w:val="864"/>
              <w:jc w:val="center"/>
              <w:widowControl/>
              <w:rPr>
                <w:szCs w:val="21"/>
              </w:rPr>
            </w:pPr>
            <w:r>
              <w:rPr>
                <w:szCs w:val="21"/>
              </w:rPr>
            </w:r>
            <w:r/>
          </w:p>
        </w:tc>
        <w:tc>
          <w:tcPr>
            <w:tcW w:w="1490" w:type="dxa"/>
            <w:vAlign w:val="center"/>
            <w:textDirection w:val="lrTb"/>
            <w:noWrap w:val="false"/>
          </w:tcPr>
          <w:p>
            <w:pPr>
              <w:pStyle w:val="864"/>
              <w:jc w:val="center"/>
              <w:widowControl/>
              <w:rPr>
                <w:szCs w:val="21"/>
              </w:rPr>
            </w:pPr>
            <w:r>
              <w:rPr>
                <w:szCs w:val="21"/>
              </w:rPr>
            </w:r>
            <w:r/>
          </w:p>
        </w:tc>
      </w:tr>
      <w:tr>
        <w:trPr>
          <w:trHeight w:val="567"/>
        </w:trPr>
        <w:tc>
          <w:tcPr>
            <w:tcW w:w="610" w:type="dxa"/>
            <w:vAlign w:val="center"/>
            <w:textDirection w:val="lrTb"/>
            <w:noWrap w:val="false"/>
          </w:tcPr>
          <w:p>
            <w:pPr>
              <w:pStyle w:val="864"/>
              <w:jc w:val="center"/>
              <w:widowControl/>
              <w:rPr>
                <w:szCs w:val="21"/>
              </w:rPr>
            </w:pPr>
            <w:r>
              <w:rPr>
                <w:rFonts w:hint="eastAsia"/>
                <w:szCs w:val="21"/>
              </w:rPr>
              <w:t xml:space="preserve">3</w:t>
            </w:r>
            <w:r>
              <w:rPr>
                <w:szCs w:val="21"/>
              </w:rPr>
            </w:r>
            <w:r/>
          </w:p>
        </w:tc>
        <w:tc>
          <w:tcPr>
            <w:tcW w:w="1341" w:type="dxa"/>
            <w:vAlign w:val="center"/>
            <w:textDirection w:val="lrTb"/>
            <w:noWrap w:val="false"/>
          </w:tcPr>
          <w:p>
            <w:pPr>
              <w:pStyle w:val="864"/>
              <w:jc w:val="center"/>
              <w:widowControl/>
              <w:rPr>
                <w:szCs w:val="21"/>
              </w:rPr>
            </w:pPr>
            <w:r>
              <w:rPr>
                <w:szCs w:val="21"/>
              </w:rPr>
            </w:r>
            <w:r/>
          </w:p>
        </w:tc>
        <w:tc>
          <w:tcPr>
            <w:tcW w:w="1134" w:type="dxa"/>
            <w:vAlign w:val="center"/>
            <w:textDirection w:val="lrTb"/>
            <w:noWrap w:val="false"/>
          </w:tcPr>
          <w:p>
            <w:pPr>
              <w:pStyle w:val="864"/>
              <w:jc w:val="center"/>
              <w:widowControl/>
              <w:rPr>
                <w:szCs w:val="21"/>
              </w:rPr>
            </w:pPr>
            <w:r>
              <w:rPr>
                <w:szCs w:val="21"/>
              </w:rPr>
            </w:r>
            <w:r/>
          </w:p>
        </w:tc>
        <w:tc>
          <w:tcPr>
            <w:tcW w:w="709" w:type="dxa"/>
            <w:vAlign w:val="center"/>
            <w:textDirection w:val="lrTb"/>
            <w:noWrap w:val="false"/>
          </w:tcPr>
          <w:p>
            <w:pPr>
              <w:pStyle w:val="864"/>
              <w:jc w:val="center"/>
              <w:widowControl/>
              <w:rPr>
                <w:szCs w:val="21"/>
              </w:rPr>
            </w:pPr>
            <w:r>
              <w:rPr>
                <w:szCs w:val="21"/>
              </w:rPr>
            </w:r>
            <w:r/>
          </w:p>
        </w:tc>
        <w:tc>
          <w:tcPr>
            <w:tcW w:w="992" w:type="dxa"/>
            <w:vAlign w:val="center"/>
            <w:textDirection w:val="lrTb"/>
            <w:noWrap w:val="false"/>
          </w:tcPr>
          <w:p>
            <w:pPr>
              <w:pStyle w:val="864"/>
              <w:jc w:val="center"/>
              <w:widowControl/>
              <w:rPr>
                <w:szCs w:val="21"/>
              </w:rPr>
            </w:pPr>
            <w:r>
              <w:rPr>
                <w:szCs w:val="21"/>
              </w:rPr>
            </w:r>
            <w:r/>
          </w:p>
        </w:tc>
        <w:tc>
          <w:tcPr>
            <w:tcW w:w="851" w:type="dxa"/>
            <w:vAlign w:val="center"/>
            <w:textDirection w:val="lrTb"/>
            <w:noWrap w:val="false"/>
          </w:tcPr>
          <w:p>
            <w:pPr>
              <w:pStyle w:val="864"/>
              <w:jc w:val="center"/>
              <w:widowControl/>
              <w:rPr>
                <w:szCs w:val="21"/>
              </w:rPr>
            </w:pPr>
            <w:r>
              <w:rPr>
                <w:szCs w:val="21"/>
              </w:rPr>
            </w:r>
            <w:r/>
          </w:p>
        </w:tc>
        <w:tc>
          <w:tcPr>
            <w:tcW w:w="1369" w:type="dxa"/>
            <w:vAlign w:val="center"/>
            <w:textDirection w:val="lrTb"/>
            <w:noWrap w:val="false"/>
          </w:tcPr>
          <w:p>
            <w:pPr>
              <w:pStyle w:val="864"/>
              <w:jc w:val="center"/>
              <w:widowControl/>
              <w:rPr>
                <w:szCs w:val="21"/>
              </w:rPr>
            </w:pPr>
            <w:r>
              <w:rPr>
                <w:szCs w:val="21"/>
              </w:rPr>
            </w:r>
            <w:r/>
          </w:p>
        </w:tc>
        <w:tc>
          <w:tcPr>
            <w:tcW w:w="1490" w:type="dxa"/>
            <w:vAlign w:val="center"/>
            <w:textDirection w:val="lrTb"/>
            <w:noWrap w:val="false"/>
          </w:tcPr>
          <w:p>
            <w:pPr>
              <w:pStyle w:val="864"/>
              <w:jc w:val="center"/>
              <w:widowControl/>
              <w:rPr>
                <w:szCs w:val="21"/>
              </w:rPr>
            </w:pPr>
            <w:r>
              <w:rPr>
                <w:szCs w:val="21"/>
              </w:rPr>
            </w:r>
            <w:r/>
          </w:p>
        </w:tc>
      </w:tr>
      <w:tr>
        <w:trPr>
          <w:trHeight w:val="567"/>
        </w:trPr>
        <w:tc>
          <w:tcPr>
            <w:tcW w:w="610" w:type="dxa"/>
            <w:vAlign w:val="center"/>
            <w:textDirection w:val="lrTb"/>
            <w:noWrap w:val="false"/>
          </w:tcPr>
          <w:p>
            <w:pPr>
              <w:pStyle w:val="864"/>
              <w:jc w:val="center"/>
              <w:widowControl/>
              <w:rPr>
                <w:szCs w:val="21"/>
              </w:rPr>
            </w:pPr>
            <w:r>
              <w:rPr>
                <w:rFonts w:hint="eastAsia"/>
                <w:szCs w:val="21"/>
              </w:rPr>
              <w:t xml:space="preserve">4</w:t>
            </w:r>
            <w:r>
              <w:rPr>
                <w:szCs w:val="21"/>
              </w:rPr>
            </w:r>
            <w:r/>
          </w:p>
        </w:tc>
        <w:tc>
          <w:tcPr>
            <w:tcW w:w="1341" w:type="dxa"/>
            <w:vAlign w:val="center"/>
            <w:textDirection w:val="lrTb"/>
            <w:noWrap w:val="false"/>
          </w:tcPr>
          <w:p>
            <w:pPr>
              <w:pStyle w:val="864"/>
              <w:jc w:val="center"/>
              <w:widowControl/>
              <w:rPr>
                <w:szCs w:val="21"/>
              </w:rPr>
            </w:pPr>
            <w:r>
              <w:rPr>
                <w:szCs w:val="21"/>
              </w:rPr>
            </w:r>
            <w:r/>
          </w:p>
        </w:tc>
        <w:tc>
          <w:tcPr>
            <w:tcW w:w="1134" w:type="dxa"/>
            <w:vAlign w:val="center"/>
            <w:textDirection w:val="lrTb"/>
            <w:noWrap w:val="false"/>
          </w:tcPr>
          <w:p>
            <w:pPr>
              <w:pStyle w:val="864"/>
              <w:jc w:val="center"/>
              <w:widowControl/>
              <w:rPr>
                <w:szCs w:val="21"/>
              </w:rPr>
            </w:pPr>
            <w:r>
              <w:rPr>
                <w:szCs w:val="21"/>
              </w:rPr>
            </w:r>
            <w:r/>
          </w:p>
        </w:tc>
        <w:tc>
          <w:tcPr>
            <w:tcW w:w="709" w:type="dxa"/>
            <w:vAlign w:val="center"/>
            <w:textDirection w:val="lrTb"/>
            <w:noWrap w:val="false"/>
          </w:tcPr>
          <w:p>
            <w:pPr>
              <w:pStyle w:val="864"/>
              <w:jc w:val="center"/>
              <w:widowControl/>
              <w:rPr>
                <w:szCs w:val="21"/>
              </w:rPr>
            </w:pPr>
            <w:r>
              <w:rPr>
                <w:szCs w:val="21"/>
              </w:rPr>
            </w:r>
            <w:r/>
          </w:p>
        </w:tc>
        <w:tc>
          <w:tcPr>
            <w:tcW w:w="992" w:type="dxa"/>
            <w:vAlign w:val="center"/>
            <w:textDirection w:val="lrTb"/>
            <w:noWrap w:val="false"/>
          </w:tcPr>
          <w:p>
            <w:pPr>
              <w:pStyle w:val="864"/>
              <w:jc w:val="center"/>
              <w:widowControl/>
              <w:rPr>
                <w:szCs w:val="21"/>
              </w:rPr>
            </w:pPr>
            <w:r>
              <w:rPr>
                <w:szCs w:val="21"/>
              </w:rPr>
            </w:r>
            <w:r/>
          </w:p>
        </w:tc>
        <w:tc>
          <w:tcPr>
            <w:tcW w:w="851" w:type="dxa"/>
            <w:vAlign w:val="center"/>
            <w:textDirection w:val="lrTb"/>
            <w:noWrap w:val="false"/>
          </w:tcPr>
          <w:p>
            <w:pPr>
              <w:pStyle w:val="864"/>
              <w:jc w:val="center"/>
              <w:widowControl/>
              <w:rPr>
                <w:szCs w:val="21"/>
              </w:rPr>
            </w:pPr>
            <w:r>
              <w:rPr>
                <w:szCs w:val="21"/>
              </w:rPr>
            </w:r>
            <w:r/>
          </w:p>
        </w:tc>
        <w:tc>
          <w:tcPr>
            <w:tcW w:w="1369" w:type="dxa"/>
            <w:vAlign w:val="center"/>
            <w:textDirection w:val="lrTb"/>
            <w:noWrap w:val="false"/>
          </w:tcPr>
          <w:p>
            <w:pPr>
              <w:pStyle w:val="864"/>
              <w:jc w:val="center"/>
              <w:widowControl/>
              <w:rPr>
                <w:szCs w:val="21"/>
              </w:rPr>
            </w:pPr>
            <w:r>
              <w:rPr>
                <w:szCs w:val="21"/>
              </w:rPr>
            </w:r>
            <w:r/>
          </w:p>
        </w:tc>
        <w:tc>
          <w:tcPr>
            <w:tcW w:w="1490" w:type="dxa"/>
            <w:vAlign w:val="center"/>
            <w:textDirection w:val="lrTb"/>
            <w:noWrap w:val="false"/>
          </w:tcPr>
          <w:p>
            <w:pPr>
              <w:pStyle w:val="864"/>
              <w:jc w:val="center"/>
              <w:widowControl/>
              <w:rPr>
                <w:szCs w:val="21"/>
              </w:rPr>
            </w:pPr>
            <w:r>
              <w:rPr>
                <w:szCs w:val="21"/>
              </w:rPr>
            </w:r>
            <w:r/>
          </w:p>
        </w:tc>
      </w:tr>
      <w:tr>
        <w:trPr>
          <w:trHeight w:val="567"/>
        </w:trPr>
        <w:tc>
          <w:tcPr>
            <w:tcW w:w="610" w:type="dxa"/>
            <w:vAlign w:val="center"/>
            <w:textDirection w:val="lrTb"/>
            <w:noWrap w:val="false"/>
          </w:tcPr>
          <w:p>
            <w:pPr>
              <w:pStyle w:val="864"/>
              <w:jc w:val="center"/>
              <w:widowControl/>
              <w:rPr>
                <w:szCs w:val="21"/>
              </w:rPr>
            </w:pPr>
            <w:r>
              <w:rPr>
                <w:rFonts w:hint="eastAsia"/>
                <w:szCs w:val="21"/>
              </w:rPr>
              <w:t xml:space="preserve">5</w:t>
            </w:r>
            <w:r>
              <w:rPr>
                <w:szCs w:val="21"/>
              </w:rPr>
            </w:r>
            <w:r/>
          </w:p>
        </w:tc>
        <w:tc>
          <w:tcPr>
            <w:tcW w:w="1341" w:type="dxa"/>
            <w:vAlign w:val="center"/>
            <w:textDirection w:val="lrTb"/>
            <w:noWrap w:val="false"/>
          </w:tcPr>
          <w:p>
            <w:pPr>
              <w:pStyle w:val="864"/>
              <w:jc w:val="center"/>
              <w:widowControl/>
              <w:rPr>
                <w:szCs w:val="21"/>
              </w:rPr>
            </w:pPr>
            <w:r>
              <w:rPr>
                <w:szCs w:val="21"/>
              </w:rPr>
            </w:r>
            <w:r/>
          </w:p>
        </w:tc>
        <w:tc>
          <w:tcPr>
            <w:tcW w:w="1134" w:type="dxa"/>
            <w:vAlign w:val="center"/>
            <w:textDirection w:val="lrTb"/>
            <w:noWrap w:val="false"/>
          </w:tcPr>
          <w:p>
            <w:pPr>
              <w:pStyle w:val="864"/>
              <w:jc w:val="center"/>
              <w:widowControl/>
              <w:rPr>
                <w:szCs w:val="21"/>
              </w:rPr>
            </w:pPr>
            <w:r>
              <w:rPr>
                <w:szCs w:val="21"/>
              </w:rPr>
            </w:r>
            <w:r/>
          </w:p>
        </w:tc>
        <w:tc>
          <w:tcPr>
            <w:tcW w:w="709" w:type="dxa"/>
            <w:vAlign w:val="center"/>
            <w:textDirection w:val="lrTb"/>
            <w:noWrap w:val="false"/>
          </w:tcPr>
          <w:p>
            <w:pPr>
              <w:pStyle w:val="864"/>
              <w:jc w:val="center"/>
              <w:widowControl/>
              <w:rPr>
                <w:szCs w:val="21"/>
              </w:rPr>
            </w:pPr>
            <w:r>
              <w:rPr>
                <w:szCs w:val="21"/>
              </w:rPr>
            </w:r>
            <w:r/>
          </w:p>
        </w:tc>
        <w:tc>
          <w:tcPr>
            <w:tcW w:w="992" w:type="dxa"/>
            <w:vAlign w:val="center"/>
            <w:textDirection w:val="lrTb"/>
            <w:noWrap w:val="false"/>
          </w:tcPr>
          <w:p>
            <w:pPr>
              <w:pStyle w:val="864"/>
              <w:jc w:val="center"/>
              <w:widowControl/>
              <w:rPr>
                <w:szCs w:val="21"/>
              </w:rPr>
            </w:pPr>
            <w:r>
              <w:rPr>
                <w:szCs w:val="21"/>
              </w:rPr>
            </w:r>
            <w:r/>
          </w:p>
        </w:tc>
        <w:tc>
          <w:tcPr>
            <w:tcW w:w="851" w:type="dxa"/>
            <w:vAlign w:val="center"/>
            <w:textDirection w:val="lrTb"/>
            <w:noWrap w:val="false"/>
          </w:tcPr>
          <w:p>
            <w:pPr>
              <w:pStyle w:val="864"/>
              <w:jc w:val="center"/>
              <w:widowControl/>
              <w:rPr>
                <w:szCs w:val="21"/>
              </w:rPr>
            </w:pPr>
            <w:r>
              <w:rPr>
                <w:szCs w:val="21"/>
              </w:rPr>
            </w:r>
            <w:r/>
          </w:p>
        </w:tc>
        <w:tc>
          <w:tcPr>
            <w:tcW w:w="1369" w:type="dxa"/>
            <w:vAlign w:val="center"/>
            <w:textDirection w:val="lrTb"/>
            <w:noWrap w:val="false"/>
          </w:tcPr>
          <w:p>
            <w:pPr>
              <w:pStyle w:val="864"/>
              <w:jc w:val="center"/>
              <w:widowControl/>
              <w:rPr>
                <w:szCs w:val="21"/>
              </w:rPr>
            </w:pPr>
            <w:r>
              <w:rPr>
                <w:szCs w:val="21"/>
              </w:rPr>
            </w:r>
            <w:r/>
          </w:p>
        </w:tc>
        <w:tc>
          <w:tcPr>
            <w:tcW w:w="1490" w:type="dxa"/>
            <w:vAlign w:val="center"/>
            <w:textDirection w:val="lrTb"/>
            <w:noWrap w:val="false"/>
          </w:tcPr>
          <w:p>
            <w:pPr>
              <w:pStyle w:val="864"/>
              <w:jc w:val="center"/>
              <w:widowControl/>
              <w:rPr>
                <w:szCs w:val="21"/>
              </w:rPr>
            </w:pPr>
            <w:r>
              <w:rPr>
                <w:szCs w:val="21"/>
              </w:rPr>
            </w:r>
            <w:r/>
          </w:p>
        </w:tc>
      </w:tr>
      <w:tr>
        <w:trPr>
          <w:trHeight w:val="567"/>
        </w:trPr>
        <w:tc>
          <w:tcPr>
            <w:tcW w:w="610" w:type="dxa"/>
            <w:vAlign w:val="center"/>
            <w:textDirection w:val="lrTb"/>
            <w:noWrap w:val="false"/>
          </w:tcPr>
          <w:p>
            <w:pPr>
              <w:pStyle w:val="864"/>
              <w:jc w:val="center"/>
              <w:widowControl/>
              <w:rPr>
                <w:szCs w:val="21"/>
              </w:rPr>
            </w:pPr>
            <w:r>
              <w:rPr>
                <w:rFonts w:hint="eastAsia"/>
                <w:szCs w:val="21"/>
              </w:rPr>
              <w:t xml:space="preserve">6</w:t>
            </w:r>
            <w:r>
              <w:rPr>
                <w:szCs w:val="21"/>
              </w:rPr>
            </w:r>
            <w:r/>
          </w:p>
        </w:tc>
        <w:tc>
          <w:tcPr>
            <w:tcW w:w="1341" w:type="dxa"/>
            <w:vAlign w:val="center"/>
            <w:textDirection w:val="lrTb"/>
            <w:noWrap w:val="false"/>
          </w:tcPr>
          <w:p>
            <w:pPr>
              <w:pStyle w:val="864"/>
              <w:jc w:val="center"/>
              <w:widowControl/>
              <w:rPr>
                <w:szCs w:val="21"/>
              </w:rPr>
            </w:pPr>
            <w:r>
              <w:rPr>
                <w:szCs w:val="21"/>
              </w:rPr>
            </w:r>
            <w:r/>
          </w:p>
        </w:tc>
        <w:tc>
          <w:tcPr>
            <w:tcW w:w="1134" w:type="dxa"/>
            <w:vAlign w:val="center"/>
            <w:textDirection w:val="lrTb"/>
            <w:noWrap w:val="false"/>
          </w:tcPr>
          <w:p>
            <w:pPr>
              <w:pStyle w:val="864"/>
              <w:jc w:val="center"/>
              <w:widowControl/>
              <w:rPr>
                <w:szCs w:val="21"/>
              </w:rPr>
            </w:pPr>
            <w:r>
              <w:rPr>
                <w:szCs w:val="21"/>
              </w:rPr>
            </w:r>
            <w:r/>
          </w:p>
        </w:tc>
        <w:tc>
          <w:tcPr>
            <w:tcW w:w="709" w:type="dxa"/>
            <w:vAlign w:val="center"/>
            <w:textDirection w:val="lrTb"/>
            <w:noWrap w:val="false"/>
          </w:tcPr>
          <w:p>
            <w:pPr>
              <w:pStyle w:val="864"/>
              <w:jc w:val="center"/>
              <w:widowControl/>
              <w:rPr>
                <w:szCs w:val="21"/>
              </w:rPr>
            </w:pPr>
            <w:r>
              <w:rPr>
                <w:szCs w:val="21"/>
              </w:rPr>
            </w:r>
            <w:r/>
          </w:p>
        </w:tc>
        <w:tc>
          <w:tcPr>
            <w:tcW w:w="992" w:type="dxa"/>
            <w:vAlign w:val="center"/>
            <w:textDirection w:val="lrTb"/>
            <w:noWrap w:val="false"/>
          </w:tcPr>
          <w:p>
            <w:pPr>
              <w:pStyle w:val="864"/>
              <w:jc w:val="center"/>
              <w:widowControl/>
              <w:rPr>
                <w:szCs w:val="21"/>
              </w:rPr>
            </w:pPr>
            <w:r>
              <w:rPr>
                <w:szCs w:val="21"/>
              </w:rPr>
            </w:r>
            <w:r/>
          </w:p>
        </w:tc>
        <w:tc>
          <w:tcPr>
            <w:tcW w:w="851" w:type="dxa"/>
            <w:vAlign w:val="center"/>
            <w:textDirection w:val="lrTb"/>
            <w:noWrap w:val="false"/>
          </w:tcPr>
          <w:p>
            <w:pPr>
              <w:pStyle w:val="864"/>
              <w:jc w:val="center"/>
              <w:widowControl/>
              <w:rPr>
                <w:szCs w:val="21"/>
              </w:rPr>
            </w:pPr>
            <w:r>
              <w:rPr>
                <w:szCs w:val="21"/>
              </w:rPr>
            </w:r>
            <w:r/>
          </w:p>
        </w:tc>
        <w:tc>
          <w:tcPr>
            <w:tcW w:w="1369" w:type="dxa"/>
            <w:vAlign w:val="center"/>
            <w:textDirection w:val="lrTb"/>
            <w:noWrap w:val="false"/>
          </w:tcPr>
          <w:p>
            <w:pPr>
              <w:pStyle w:val="864"/>
              <w:jc w:val="center"/>
              <w:widowControl/>
              <w:rPr>
                <w:szCs w:val="21"/>
              </w:rPr>
            </w:pPr>
            <w:r>
              <w:rPr>
                <w:szCs w:val="21"/>
              </w:rPr>
            </w:r>
            <w:r/>
          </w:p>
        </w:tc>
        <w:tc>
          <w:tcPr>
            <w:tcW w:w="1490" w:type="dxa"/>
            <w:vAlign w:val="center"/>
            <w:textDirection w:val="lrTb"/>
            <w:noWrap w:val="false"/>
          </w:tcPr>
          <w:p>
            <w:pPr>
              <w:pStyle w:val="864"/>
              <w:jc w:val="center"/>
              <w:widowControl/>
              <w:rPr>
                <w:szCs w:val="21"/>
              </w:rPr>
            </w:pPr>
            <w:r>
              <w:rPr>
                <w:szCs w:val="21"/>
              </w:rPr>
            </w:r>
            <w:r/>
          </w:p>
        </w:tc>
      </w:tr>
      <w:tr>
        <w:trPr>
          <w:trHeight w:val="567"/>
        </w:trPr>
        <w:tc>
          <w:tcPr>
            <w:tcW w:w="610" w:type="dxa"/>
            <w:vAlign w:val="center"/>
            <w:textDirection w:val="lrTb"/>
            <w:noWrap w:val="false"/>
          </w:tcPr>
          <w:p>
            <w:pPr>
              <w:pStyle w:val="864"/>
              <w:jc w:val="center"/>
              <w:widowControl/>
              <w:rPr>
                <w:szCs w:val="21"/>
              </w:rPr>
            </w:pPr>
            <w:r>
              <w:rPr>
                <w:rFonts w:hint="eastAsia"/>
                <w:szCs w:val="21"/>
              </w:rPr>
              <w:t xml:space="preserve">…</w:t>
            </w:r>
            <w:r>
              <w:rPr>
                <w:szCs w:val="21"/>
              </w:rPr>
            </w:r>
            <w:r/>
          </w:p>
        </w:tc>
        <w:tc>
          <w:tcPr>
            <w:tcW w:w="1341" w:type="dxa"/>
            <w:vAlign w:val="center"/>
            <w:textDirection w:val="lrTb"/>
            <w:noWrap w:val="false"/>
          </w:tcPr>
          <w:p>
            <w:pPr>
              <w:pStyle w:val="864"/>
              <w:jc w:val="center"/>
              <w:widowControl/>
              <w:rPr>
                <w:szCs w:val="21"/>
              </w:rPr>
            </w:pPr>
            <w:r>
              <w:rPr>
                <w:szCs w:val="21"/>
              </w:rPr>
            </w:r>
            <w:r/>
          </w:p>
        </w:tc>
        <w:tc>
          <w:tcPr>
            <w:tcW w:w="1134" w:type="dxa"/>
            <w:vAlign w:val="center"/>
            <w:textDirection w:val="lrTb"/>
            <w:noWrap w:val="false"/>
          </w:tcPr>
          <w:p>
            <w:pPr>
              <w:pStyle w:val="864"/>
              <w:jc w:val="center"/>
              <w:widowControl/>
              <w:rPr>
                <w:szCs w:val="21"/>
              </w:rPr>
            </w:pPr>
            <w:r>
              <w:rPr>
                <w:szCs w:val="21"/>
              </w:rPr>
            </w:r>
            <w:r/>
          </w:p>
        </w:tc>
        <w:tc>
          <w:tcPr>
            <w:tcW w:w="709" w:type="dxa"/>
            <w:vAlign w:val="center"/>
            <w:textDirection w:val="lrTb"/>
            <w:noWrap w:val="false"/>
          </w:tcPr>
          <w:p>
            <w:pPr>
              <w:pStyle w:val="864"/>
              <w:jc w:val="center"/>
              <w:widowControl/>
              <w:rPr>
                <w:szCs w:val="21"/>
              </w:rPr>
            </w:pPr>
            <w:r>
              <w:rPr>
                <w:szCs w:val="21"/>
              </w:rPr>
            </w:r>
            <w:r/>
          </w:p>
        </w:tc>
        <w:tc>
          <w:tcPr>
            <w:tcW w:w="992" w:type="dxa"/>
            <w:vAlign w:val="center"/>
            <w:textDirection w:val="lrTb"/>
            <w:noWrap w:val="false"/>
          </w:tcPr>
          <w:p>
            <w:pPr>
              <w:pStyle w:val="864"/>
              <w:jc w:val="center"/>
              <w:widowControl/>
              <w:rPr>
                <w:szCs w:val="21"/>
              </w:rPr>
            </w:pPr>
            <w:r>
              <w:rPr>
                <w:szCs w:val="21"/>
              </w:rPr>
            </w:r>
            <w:r/>
          </w:p>
        </w:tc>
        <w:tc>
          <w:tcPr>
            <w:tcW w:w="851" w:type="dxa"/>
            <w:vAlign w:val="center"/>
            <w:textDirection w:val="lrTb"/>
            <w:noWrap w:val="false"/>
          </w:tcPr>
          <w:p>
            <w:pPr>
              <w:pStyle w:val="864"/>
              <w:jc w:val="center"/>
              <w:widowControl/>
              <w:rPr>
                <w:szCs w:val="21"/>
              </w:rPr>
            </w:pPr>
            <w:r>
              <w:rPr>
                <w:szCs w:val="21"/>
              </w:rPr>
            </w:r>
            <w:r/>
          </w:p>
        </w:tc>
        <w:tc>
          <w:tcPr>
            <w:tcW w:w="1369" w:type="dxa"/>
            <w:vAlign w:val="center"/>
            <w:textDirection w:val="lrTb"/>
            <w:noWrap w:val="false"/>
          </w:tcPr>
          <w:p>
            <w:pPr>
              <w:pStyle w:val="864"/>
              <w:jc w:val="center"/>
              <w:widowControl/>
              <w:rPr>
                <w:szCs w:val="21"/>
              </w:rPr>
            </w:pPr>
            <w:r>
              <w:rPr>
                <w:szCs w:val="21"/>
              </w:rPr>
            </w:r>
            <w:r/>
          </w:p>
        </w:tc>
        <w:tc>
          <w:tcPr>
            <w:tcW w:w="1490" w:type="dxa"/>
            <w:vAlign w:val="center"/>
            <w:textDirection w:val="lrTb"/>
            <w:noWrap w:val="false"/>
          </w:tcPr>
          <w:p>
            <w:pPr>
              <w:pStyle w:val="864"/>
              <w:jc w:val="center"/>
              <w:widowControl/>
              <w:rPr>
                <w:szCs w:val="21"/>
              </w:rPr>
            </w:pPr>
            <w:r>
              <w:rPr>
                <w:szCs w:val="21"/>
              </w:rPr>
            </w:r>
            <w:r/>
          </w:p>
        </w:tc>
      </w:tr>
    </w:tbl>
    <w:p>
      <w:pPr>
        <w:pStyle w:val="864"/>
        <w:spacing w:line="360" w:lineRule="auto"/>
        <w:rPr>
          <w:rFonts w:ascii="宋体" w:hAnsi="宋体"/>
          <w:szCs w:val="21"/>
        </w:rPr>
      </w:pPr>
      <w:r>
        <w:rPr>
          <w:rFonts w:ascii="宋体" w:hAnsi="宋体"/>
          <w:szCs w:val="21"/>
        </w:r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   年   月   日</w:t>
      </w:r>
      <w:r/>
    </w:p>
    <w:p>
      <w:pPr>
        <w:pStyle w:val="864"/>
        <w:jc w:val="left"/>
        <w:widowControl/>
        <w:rPr>
          <w:rFonts w:ascii="宋体" w:hAnsi="宋体"/>
          <w:b/>
          <w:szCs w:val="22"/>
          <w:lang w:val="zh-CN"/>
        </w:rPr>
      </w:pPr>
      <w:r>
        <w:rPr>
          <w:rFonts w:ascii="宋体" w:hAnsi="宋体"/>
          <w:b/>
          <w:szCs w:val="22"/>
          <w:lang w:val="zh-CN"/>
        </w:rPr>
        <w:br w:type="page" w:clear="all"/>
      </w:r>
      <w:r>
        <w:rPr>
          <w:rFonts w:ascii="宋体" w:hAnsi="宋体"/>
          <w:b/>
          <w:szCs w:val="22"/>
          <w:lang w:val="zh-CN"/>
        </w:rPr>
      </w:r>
      <w:r/>
    </w:p>
    <w:p>
      <w:pPr>
        <w:pStyle w:val="864"/>
        <w:jc w:val="left"/>
        <w:spacing w:line="360" w:lineRule="auto"/>
        <w:widowControl/>
        <w:rPr>
          <w:rFonts w:cs="宋体"/>
          <w:szCs w:val="22"/>
          <w:lang w:bidi="ar"/>
        </w:rPr>
      </w:pPr>
      <w:r>
        <w:rPr>
          <w:rFonts w:hint="eastAsia" w:cs="宋体"/>
          <w:szCs w:val="22"/>
          <w:lang w:bidi="ar"/>
        </w:rPr>
        <w:t xml:space="preserve">格式</w:t>
      </w:r>
      <w:r>
        <w:rPr>
          <w:rFonts w:cs="宋体"/>
          <w:szCs w:val="22"/>
          <w:lang w:bidi="ar"/>
        </w:rPr>
        <w:t xml:space="preserve">7</w:t>
      </w:r>
      <w:r>
        <w:rPr>
          <w:rFonts w:hint="eastAsia" w:cs="宋体"/>
          <w:szCs w:val="22"/>
          <w:lang w:bidi="ar"/>
        </w:rPr>
        <w:t xml:space="preserve">、企业类似业绩一览表</w:t>
      </w:r>
      <w:r>
        <w:rPr>
          <w:rFonts w:cs="宋体"/>
          <w:szCs w:val="22"/>
          <w:lang w:bidi="ar"/>
        </w:rPr>
      </w:r>
      <w:r/>
    </w:p>
    <w:p>
      <w:pPr>
        <w:pStyle w:val="864"/>
        <w:jc w:val="center"/>
        <w:spacing w:line="360" w:lineRule="auto"/>
        <w:widowControl/>
        <w:rPr>
          <w:rFonts w:ascii="Calibri" w:hAnsi="Calibri"/>
          <w:sz w:val="20"/>
          <w:szCs w:val="21"/>
        </w:rPr>
      </w:pPr>
      <w:r>
        <w:rPr>
          <w:rFonts w:hint="eastAsia" w:ascii="Calibri" w:hAnsi="Calibri"/>
          <w:szCs w:val="21"/>
        </w:rPr>
        <w:t xml:space="preserve">企业类似业绩一览表（如有）</w:t>
      </w:r>
      <w:r>
        <w:rPr>
          <w:rFonts w:ascii="Calibri" w:hAnsi="Calibri"/>
          <w:sz w:val="20"/>
          <w:szCs w:val="21"/>
        </w:rPr>
      </w:r>
      <w:r/>
    </w:p>
    <w:tbl>
      <w:tblPr>
        <w:tblW w:w="903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45"/>
        <w:gridCol w:w="1428"/>
        <w:gridCol w:w="1458"/>
        <w:gridCol w:w="2106"/>
        <w:gridCol w:w="1866"/>
      </w:tblGrid>
      <w:tr>
        <w:trPr/>
        <w:tc>
          <w:tcPr>
            <w:tcW w:w="828" w:type="dxa"/>
            <w:vAlign w:val="center"/>
            <w:textDirection w:val="lrTb"/>
            <w:noWrap w:val="false"/>
          </w:tcPr>
          <w:p>
            <w:pPr>
              <w:pStyle w:val="864"/>
              <w:jc w:val="center"/>
              <w:widowControl/>
              <w:rPr>
                <w:sz w:val="20"/>
                <w:szCs w:val="21"/>
              </w:rPr>
            </w:pPr>
            <w:r>
              <w:rPr>
                <w:rFonts w:hint="eastAsia"/>
                <w:szCs w:val="21"/>
              </w:rPr>
              <w:t xml:space="preserve">序号</w:t>
            </w:r>
            <w:r>
              <w:rPr>
                <w:sz w:val="20"/>
                <w:szCs w:val="21"/>
              </w:rPr>
            </w:r>
            <w:r/>
          </w:p>
        </w:tc>
        <w:tc>
          <w:tcPr>
            <w:tcW w:w="1345" w:type="dxa"/>
            <w:vAlign w:val="center"/>
            <w:textDirection w:val="lrTb"/>
            <w:noWrap w:val="false"/>
          </w:tcPr>
          <w:p>
            <w:pPr>
              <w:pStyle w:val="864"/>
              <w:jc w:val="center"/>
              <w:widowControl/>
              <w:rPr>
                <w:sz w:val="20"/>
                <w:szCs w:val="21"/>
              </w:rPr>
            </w:pPr>
            <w:r>
              <w:rPr>
                <w:rFonts w:hint="eastAsia"/>
                <w:szCs w:val="21"/>
              </w:rPr>
              <w:t xml:space="preserve">项目名称</w:t>
            </w:r>
            <w:r>
              <w:rPr>
                <w:sz w:val="20"/>
                <w:szCs w:val="21"/>
              </w:rPr>
            </w:r>
            <w:r/>
          </w:p>
        </w:tc>
        <w:tc>
          <w:tcPr>
            <w:tcW w:w="1428" w:type="dxa"/>
            <w:vAlign w:val="center"/>
            <w:textDirection w:val="lrTb"/>
            <w:noWrap w:val="false"/>
          </w:tcPr>
          <w:p>
            <w:pPr>
              <w:pStyle w:val="864"/>
              <w:jc w:val="center"/>
              <w:spacing w:line="360" w:lineRule="auto"/>
              <w:widowControl/>
              <w:tabs>
                <w:tab w:val="left" w:pos="6252" w:leader="none"/>
              </w:tabs>
              <w:rPr>
                <w:sz w:val="20"/>
                <w:szCs w:val="21"/>
              </w:rPr>
            </w:pPr>
            <w:r>
              <w:rPr>
                <w:rFonts w:hint="eastAsia"/>
                <w:szCs w:val="21"/>
              </w:rPr>
              <w:t xml:space="preserve">项目时间</w:t>
            </w:r>
            <w:r>
              <w:rPr>
                <w:sz w:val="20"/>
                <w:szCs w:val="21"/>
              </w:rPr>
            </w:r>
            <w:r/>
          </w:p>
        </w:tc>
        <w:tc>
          <w:tcPr>
            <w:tcW w:w="1458" w:type="dxa"/>
            <w:vAlign w:val="center"/>
            <w:textDirection w:val="lrTb"/>
            <w:noWrap w:val="false"/>
          </w:tcPr>
          <w:p>
            <w:pPr>
              <w:pStyle w:val="864"/>
              <w:jc w:val="center"/>
              <w:spacing w:line="360" w:lineRule="auto"/>
              <w:widowControl/>
              <w:tabs>
                <w:tab w:val="left" w:pos="6252" w:leader="none"/>
              </w:tabs>
              <w:rPr>
                <w:sz w:val="20"/>
                <w:szCs w:val="21"/>
              </w:rPr>
            </w:pPr>
            <w:r>
              <w:rPr>
                <w:rFonts w:hint="eastAsia"/>
                <w:szCs w:val="21"/>
              </w:rPr>
              <w:t xml:space="preserve">合同金额</w:t>
            </w:r>
            <w:r>
              <w:rPr>
                <w:sz w:val="20"/>
                <w:szCs w:val="21"/>
              </w:rPr>
            </w:r>
            <w:r/>
          </w:p>
          <w:p>
            <w:pPr>
              <w:pStyle w:val="864"/>
              <w:jc w:val="center"/>
              <w:spacing w:line="360" w:lineRule="auto"/>
              <w:widowControl/>
              <w:tabs>
                <w:tab w:val="left" w:pos="6252" w:leader="none"/>
              </w:tabs>
              <w:rPr>
                <w:sz w:val="20"/>
                <w:szCs w:val="21"/>
              </w:rPr>
            </w:pPr>
            <w:r>
              <w:rPr>
                <w:rFonts w:hint="eastAsia"/>
                <w:szCs w:val="21"/>
              </w:rPr>
              <w:t xml:space="preserve">（人民币）</w:t>
            </w:r>
            <w:r>
              <w:rPr>
                <w:sz w:val="20"/>
                <w:szCs w:val="21"/>
              </w:rPr>
            </w:r>
            <w:r/>
          </w:p>
        </w:tc>
        <w:tc>
          <w:tcPr>
            <w:tcW w:w="2106" w:type="dxa"/>
            <w:vAlign w:val="center"/>
            <w:textDirection w:val="lrTb"/>
            <w:noWrap w:val="false"/>
          </w:tcPr>
          <w:p>
            <w:pPr>
              <w:pStyle w:val="864"/>
              <w:jc w:val="center"/>
              <w:spacing w:line="360" w:lineRule="auto"/>
              <w:widowControl/>
              <w:tabs>
                <w:tab w:val="left" w:pos="6252" w:leader="none"/>
              </w:tabs>
              <w:rPr>
                <w:sz w:val="20"/>
                <w:szCs w:val="21"/>
              </w:rPr>
            </w:pPr>
            <w:r>
              <w:rPr>
                <w:rFonts w:hint="eastAsia"/>
                <w:szCs w:val="21"/>
              </w:rPr>
              <w:t xml:space="preserve">业主单位</w:t>
            </w:r>
            <w:r>
              <w:rPr>
                <w:sz w:val="20"/>
                <w:szCs w:val="21"/>
              </w:rPr>
            </w:r>
            <w:r/>
          </w:p>
        </w:tc>
        <w:tc>
          <w:tcPr>
            <w:tcW w:w="1866" w:type="dxa"/>
            <w:vAlign w:val="center"/>
            <w:textDirection w:val="lrTb"/>
            <w:noWrap w:val="false"/>
          </w:tcPr>
          <w:p>
            <w:pPr>
              <w:pStyle w:val="864"/>
              <w:jc w:val="center"/>
              <w:widowControl/>
              <w:rPr>
                <w:sz w:val="20"/>
                <w:szCs w:val="21"/>
              </w:rPr>
            </w:pPr>
            <w:r>
              <w:rPr>
                <w:rFonts w:hint="eastAsia"/>
                <w:szCs w:val="21"/>
              </w:rPr>
              <w:t xml:space="preserve">备注</w:t>
            </w:r>
            <w:r>
              <w:rPr>
                <w:sz w:val="20"/>
                <w:szCs w:val="21"/>
              </w:rPr>
            </w:r>
            <w:r/>
          </w:p>
        </w:tc>
      </w:tr>
      <w:tr>
        <w:trPr/>
        <w:tc>
          <w:tcPr>
            <w:tcW w:w="828" w:type="dxa"/>
            <w:vAlign w:val="center"/>
            <w:textDirection w:val="lrTb"/>
            <w:noWrap w:val="false"/>
          </w:tcPr>
          <w:p>
            <w:pPr>
              <w:pStyle w:val="864"/>
              <w:jc w:val="center"/>
              <w:widowControl/>
              <w:rPr>
                <w:sz w:val="20"/>
                <w:szCs w:val="21"/>
              </w:rPr>
            </w:pPr>
            <w:r>
              <w:rPr>
                <w:rFonts w:hint="eastAsia"/>
                <w:szCs w:val="21"/>
              </w:rPr>
              <w:t xml:space="preserve">1</w:t>
            </w:r>
            <w:r>
              <w:rPr>
                <w:sz w:val="20"/>
                <w:szCs w:val="21"/>
              </w:rPr>
            </w:r>
            <w:r/>
          </w:p>
        </w:tc>
        <w:tc>
          <w:tcPr>
            <w:tcW w:w="1345" w:type="dxa"/>
            <w:vAlign w:val="center"/>
            <w:textDirection w:val="lrTb"/>
            <w:noWrap w:val="false"/>
          </w:tcPr>
          <w:p>
            <w:pPr>
              <w:pStyle w:val="864"/>
              <w:jc w:val="center"/>
              <w:widowControl/>
              <w:rPr>
                <w:sz w:val="20"/>
                <w:szCs w:val="21"/>
              </w:rPr>
            </w:pPr>
            <w:r>
              <w:rPr>
                <w:sz w:val="20"/>
                <w:szCs w:val="21"/>
              </w:rPr>
            </w:r>
            <w:r/>
          </w:p>
        </w:tc>
        <w:tc>
          <w:tcPr>
            <w:tcW w:w="1428" w:type="dxa"/>
            <w:vAlign w:val="top"/>
            <w:textDirection w:val="lrTb"/>
            <w:noWrap w:val="false"/>
          </w:tcPr>
          <w:p>
            <w:pPr>
              <w:pStyle w:val="864"/>
              <w:jc w:val="center"/>
              <w:widowControl/>
              <w:rPr>
                <w:sz w:val="20"/>
                <w:szCs w:val="21"/>
              </w:rPr>
            </w:pPr>
            <w:r>
              <w:rPr>
                <w:sz w:val="20"/>
                <w:szCs w:val="21"/>
              </w:rPr>
            </w:r>
            <w:r/>
          </w:p>
        </w:tc>
        <w:tc>
          <w:tcPr>
            <w:tcW w:w="1458" w:type="dxa"/>
            <w:vAlign w:val="center"/>
            <w:textDirection w:val="lrTb"/>
            <w:noWrap w:val="false"/>
          </w:tcPr>
          <w:p>
            <w:pPr>
              <w:pStyle w:val="864"/>
              <w:jc w:val="center"/>
              <w:widowControl/>
              <w:rPr>
                <w:sz w:val="20"/>
                <w:szCs w:val="21"/>
              </w:rPr>
            </w:pPr>
            <w:r>
              <w:rPr>
                <w:sz w:val="20"/>
                <w:szCs w:val="21"/>
              </w:rPr>
            </w:r>
            <w:r/>
          </w:p>
        </w:tc>
        <w:tc>
          <w:tcPr>
            <w:tcW w:w="2106" w:type="dxa"/>
            <w:vAlign w:val="center"/>
            <w:textDirection w:val="lrTb"/>
            <w:noWrap w:val="false"/>
          </w:tcPr>
          <w:p>
            <w:pPr>
              <w:pStyle w:val="864"/>
              <w:jc w:val="center"/>
              <w:widowControl/>
              <w:rPr>
                <w:sz w:val="20"/>
                <w:szCs w:val="21"/>
              </w:rPr>
            </w:pPr>
            <w:r>
              <w:rPr>
                <w:sz w:val="20"/>
                <w:szCs w:val="21"/>
              </w:rPr>
            </w:r>
            <w:r/>
          </w:p>
        </w:tc>
        <w:tc>
          <w:tcPr>
            <w:tcW w:w="1866" w:type="dxa"/>
            <w:vAlign w:val="center"/>
            <w:textDirection w:val="lrTb"/>
            <w:noWrap w:val="false"/>
          </w:tcPr>
          <w:p>
            <w:pPr>
              <w:pStyle w:val="864"/>
              <w:jc w:val="center"/>
              <w:widowControl/>
              <w:rPr>
                <w:sz w:val="20"/>
                <w:szCs w:val="21"/>
              </w:rPr>
            </w:pPr>
            <w:r>
              <w:rPr>
                <w:sz w:val="20"/>
                <w:szCs w:val="21"/>
              </w:rPr>
            </w:r>
            <w:r/>
          </w:p>
        </w:tc>
      </w:tr>
      <w:tr>
        <w:trPr/>
        <w:tc>
          <w:tcPr>
            <w:tcW w:w="828" w:type="dxa"/>
            <w:vAlign w:val="center"/>
            <w:textDirection w:val="lrTb"/>
            <w:noWrap w:val="false"/>
          </w:tcPr>
          <w:p>
            <w:pPr>
              <w:pStyle w:val="864"/>
              <w:jc w:val="center"/>
              <w:widowControl/>
              <w:rPr>
                <w:sz w:val="20"/>
                <w:szCs w:val="21"/>
              </w:rPr>
            </w:pPr>
            <w:r>
              <w:rPr>
                <w:rFonts w:hint="eastAsia"/>
                <w:szCs w:val="21"/>
              </w:rPr>
              <w:t xml:space="preserve">2</w:t>
            </w:r>
            <w:r>
              <w:rPr>
                <w:sz w:val="20"/>
                <w:szCs w:val="21"/>
              </w:rPr>
            </w:r>
            <w:r/>
          </w:p>
        </w:tc>
        <w:tc>
          <w:tcPr>
            <w:tcW w:w="1345" w:type="dxa"/>
            <w:vAlign w:val="center"/>
            <w:textDirection w:val="lrTb"/>
            <w:noWrap w:val="false"/>
          </w:tcPr>
          <w:p>
            <w:pPr>
              <w:pStyle w:val="864"/>
              <w:jc w:val="center"/>
              <w:widowControl/>
              <w:rPr>
                <w:sz w:val="20"/>
                <w:szCs w:val="21"/>
              </w:rPr>
            </w:pPr>
            <w:r>
              <w:rPr>
                <w:sz w:val="20"/>
                <w:szCs w:val="21"/>
              </w:rPr>
            </w:r>
            <w:r/>
          </w:p>
        </w:tc>
        <w:tc>
          <w:tcPr>
            <w:tcW w:w="1428" w:type="dxa"/>
            <w:vAlign w:val="top"/>
            <w:textDirection w:val="lrTb"/>
            <w:noWrap w:val="false"/>
          </w:tcPr>
          <w:p>
            <w:pPr>
              <w:pStyle w:val="864"/>
              <w:jc w:val="center"/>
              <w:widowControl/>
              <w:rPr>
                <w:sz w:val="20"/>
                <w:szCs w:val="21"/>
              </w:rPr>
            </w:pPr>
            <w:r>
              <w:rPr>
                <w:sz w:val="20"/>
                <w:szCs w:val="21"/>
              </w:rPr>
            </w:r>
            <w:r/>
          </w:p>
        </w:tc>
        <w:tc>
          <w:tcPr>
            <w:tcW w:w="1458" w:type="dxa"/>
            <w:vAlign w:val="center"/>
            <w:textDirection w:val="lrTb"/>
            <w:noWrap w:val="false"/>
          </w:tcPr>
          <w:p>
            <w:pPr>
              <w:pStyle w:val="864"/>
              <w:jc w:val="center"/>
              <w:widowControl/>
              <w:rPr>
                <w:sz w:val="20"/>
                <w:szCs w:val="21"/>
              </w:rPr>
            </w:pPr>
            <w:r>
              <w:rPr>
                <w:sz w:val="20"/>
                <w:szCs w:val="21"/>
              </w:rPr>
            </w:r>
            <w:r/>
          </w:p>
        </w:tc>
        <w:tc>
          <w:tcPr>
            <w:tcW w:w="2106" w:type="dxa"/>
            <w:vAlign w:val="center"/>
            <w:textDirection w:val="lrTb"/>
            <w:noWrap w:val="false"/>
          </w:tcPr>
          <w:p>
            <w:pPr>
              <w:pStyle w:val="864"/>
              <w:jc w:val="center"/>
              <w:widowControl/>
              <w:rPr>
                <w:sz w:val="20"/>
                <w:szCs w:val="21"/>
              </w:rPr>
            </w:pPr>
            <w:r>
              <w:rPr>
                <w:sz w:val="20"/>
                <w:szCs w:val="21"/>
              </w:rPr>
            </w:r>
            <w:r/>
          </w:p>
        </w:tc>
        <w:tc>
          <w:tcPr>
            <w:tcW w:w="1866" w:type="dxa"/>
            <w:vAlign w:val="center"/>
            <w:textDirection w:val="lrTb"/>
            <w:noWrap w:val="false"/>
          </w:tcPr>
          <w:p>
            <w:pPr>
              <w:pStyle w:val="864"/>
              <w:jc w:val="center"/>
              <w:widowControl/>
              <w:rPr>
                <w:sz w:val="20"/>
                <w:szCs w:val="21"/>
              </w:rPr>
            </w:pPr>
            <w:r>
              <w:rPr>
                <w:sz w:val="20"/>
                <w:szCs w:val="21"/>
              </w:rPr>
            </w:r>
            <w:r/>
          </w:p>
        </w:tc>
      </w:tr>
      <w:tr>
        <w:trPr/>
        <w:tc>
          <w:tcPr>
            <w:tcW w:w="828" w:type="dxa"/>
            <w:vAlign w:val="center"/>
            <w:textDirection w:val="lrTb"/>
            <w:noWrap w:val="false"/>
          </w:tcPr>
          <w:p>
            <w:pPr>
              <w:pStyle w:val="864"/>
              <w:jc w:val="center"/>
              <w:widowControl/>
              <w:rPr>
                <w:sz w:val="20"/>
                <w:szCs w:val="21"/>
              </w:rPr>
            </w:pPr>
            <w:r>
              <w:rPr>
                <w:rFonts w:hint="eastAsia"/>
                <w:szCs w:val="21"/>
              </w:rPr>
              <w:t xml:space="preserve">3</w:t>
            </w:r>
            <w:r>
              <w:rPr>
                <w:sz w:val="20"/>
                <w:szCs w:val="21"/>
              </w:rPr>
            </w:r>
            <w:r/>
          </w:p>
        </w:tc>
        <w:tc>
          <w:tcPr>
            <w:tcW w:w="1345" w:type="dxa"/>
            <w:vAlign w:val="center"/>
            <w:textDirection w:val="lrTb"/>
            <w:noWrap w:val="false"/>
          </w:tcPr>
          <w:p>
            <w:pPr>
              <w:pStyle w:val="864"/>
              <w:jc w:val="center"/>
              <w:widowControl/>
              <w:rPr>
                <w:sz w:val="20"/>
                <w:szCs w:val="21"/>
              </w:rPr>
            </w:pPr>
            <w:r>
              <w:rPr>
                <w:sz w:val="20"/>
                <w:szCs w:val="21"/>
              </w:rPr>
            </w:r>
            <w:r/>
          </w:p>
        </w:tc>
        <w:tc>
          <w:tcPr>
            <w:tcW w:w="1428" w:type="dxa"/>
            <w:vAlign w:val="top"/>
            <w:textDirection w:val="lrTb"/>
            <w:noWrap w:val="false"/>
          </w:tcPr>
          <w:p>
            <w:pPr>
              <w:pStyle w:val="864"/>
              <w:jc w:val="center"/>
              <w:widowControl/>
              <w:rPr>
                <w:sz w:val="20"/>
                <w:szCs w:val="21"/>
              </w:rPr>
            </w:pPr>
            <w:r>
              <w:rPr>
                <w:sz w:val="20"/>
                <w:szCs w:val="21"/>
              </w:rPr>
            </w:r>
            <w:r/>
          </w:p>
        </w:tc>
        <w:tc>
          <w:tcPr>
            <w:tcW w:w="1458" w:type="dxa"/>
            <w:vAlign w:val="center"/>
            <w:textDirection w:val="lrTb"/>
            <w:noWrap w:val="false"/>
          </w:tcPr>
          <w:p>
            <w:pPr>
              <w:pStyle w:val="864"/>
              <w:jc w:val="center"/>
              <w:widowControl/>
              <w:rPr>
                <w:sz w:val="20"/>
                <w:szCs w:val="21"/>
              </w:rPr>
            </w:pPr>
            <w:r>
              <w:rPr>
                <w:sz w:val="20"/>
                <w:szCs w:val="21"/>
              </w:rPr>
            </w:r>
            <w:r/>
          </w:p>
        </w:tc>
        <w:tc>
          <w:tcPr>
            <w:tcW w:w="2106" w:type="dxa"/>
            <w:vAlign w:val="center"/>
            <w:textDirection w:val="lrTb"/>
            <w:noWrap w:val="false"/>
          </w:tcPr>
          <w:p>
            <w:pPr>
              <w:pStyle w:val="864"/>
              <w:jc w:val="center"/>
              <w:widowControl/>
              <w:rPr>
                <w:sz w:val="20"/>
                <w:szCs w:val="21"/>
              </w:rPr>
            </w:pPr>
            <w:r>
              <w:rPr>
                <w:sz w:val="20"/>
                <w:szCs w:val="21"/>
              </w:rPr>
            </w:r>
            <w:r/>
          </w:p>
        </w:tc>
        <w:tc>
          <w:tcPr>
            <w:tcW w:w="1866" w:type="dxa"/>
            <w:vAlign w:val="center"/>
            <w:textDirection w:val="lrTb"/>
            <w:noWrap w:val="false"/>
          </w:tcPr>
          <w:p>
            <w:pPr>
              <w:pStyle w:val="864"/>
              <w:jc w:val="center"/>
              <w:widowControl/>
              <w:rPr>
                <w:sz w:val="20"/>
                <w:szCs w:val="21"/>
              </w:rPr>
            </w:pPr>
            <w:r>
              <w:rPr>
                <w:sz w:val="20"/>
                <w:szCs w:val="21"/>
              </w:rPr>
            </w:r>
            <w:r/>
          </w:p>
        </w:tc>
      </w:tr>
      <w:tr>
        <w:trPr/>
        <w:tc>
          <w:tcPr>
            <w:tcW w:w="828" w:type="dxa"/>
            <w:vAlign w:val="center"/>
            <w:textDirection w:val="lrTb"/>
            <w:noWrap w:val="false"/>
          </w:tcPr>
          <w:p>
            <w:pPr>
              <w:pStyle w:val="864"/>
              <w:jc w:val="center"/>
              <w:widowControl/>
              <w:rPr>
                <w:sz w:val="20"/>
                <w:szCs w:val="21"/>
              </w:rPr>
            </w:pPr>
            <w:r>
              <w:rPr>
                <w:rFonts w:hint="eastAsia"/>
                <w:szCs w:val="21"/>
              </w:rPr>
              <w:t xml:space="preserve">4</w:t>
            </w:r>
            <w:r>
              <w:rPr>
                <w:sz w:val="20"/>
                <w:szCs w:val="21"/>
              </w:rPr>
            </w:r>
            <w:r/>
          </w:p>
        </w:tc>
        <w:tc>
          <w:tcPr>
            <w:tcW w:w="1345" w:type="dxa"/>
            <w:vAlign w:val="center"/>
            <w:textDirection w:val="lrTb"/>
            <w:noWrap w:val="false"/>
          </w:tcPr>
          <w:p>
            <w:pPr>
              <w:pStyle w:val="864"/>
              <w:jc w:val="center"/>
              <w:widowControl/>
              <w:rPr>
                <w:sz w:val="20"/>
                <w:szCs w:val="21"/>
              </w:rPr>
            </w:pPr>
            <w:r>
              <w:rPr>
                <w:sz w:val="20"/>
                <w:szCs w:val="21"/>
              </w:rPr>
            </w:r>
            <w:r/>
          </w:p>
        </w:tc>
        <w:tc>
          <w:tcPr>
            <w:tcW w:w="1428" w:type="dxa"/>
            <w:vAlign w:val="top"/>
            <w:textDirection w:val="lrTb"/>
            <w:noWrap w:val="false"/>
          </w:tcPr>
          <w:p>
            <w:pPr>
              <w:pStyle w:val="864"/>
              <w:jc w:val="center"/>
              <w:widowControl/>
              <w:rPr>
                <w:sz w:val="20"/>
                <w:szCs w:val="21"/>
              </w:rPr>
            </w:pPr>
            <w:r>
              <w:rPr>
                <w:sz w:val="20"/>
                <w:szCs w:val="21"/>
              </w:rPr>
            </w:r>
            <w:r/>
          </w:p>
        </w:tc>
        <w:tc>
          <w:tcPr>
            <w:tcW w:w="1458" w:type="dxa"/>
            <w:vAlign w:val="center"/>
            <w:textDirection w:val="lrTb"/>
            <w:noWrap w:val="false"/>
          </w:tcPr>
          <w:p>
            <w:pPr>
              <w:pStyle w:val="864"/>
              <w:jc w:val="center"/>
              <w:widowControl/>
              <w:rPr>
                <w:sz w:val="20"/>
                <w:szCs w:val="21"/>
              </w:rPr>
            </w:pPr>
            <w:r>
              <w:rPr>
                <w:sz w:val="20"/>
                <w:szCs w:val="21"/>
              </w:rPr>
            </w:r>
            <w:r/>
          </w:p>
        </w:tc>
        <w:tc>
          <w:tcPr>
            <w:tcW w:w="2106" w:type="dxa"/>
            <w:vAlign w:val="center"/>
            <w:textDirection w:val="lrTb"/>
            <w:noWrap w:val="false"/>
          </w:tcPr>
          <w:p>
            <w:pPr>
              <w:pStyle w:val="864"/>
              <w:jc w:val="center"/>
              <w:widowControl/>
              <w:rPr>
                <w:sz w:val="20"/>
                <w:szCs w:val="21"/>
              </w:rPr>
            </w:pPr>
            <w:r>
              <w:rPr>
                <w:sz w:val="20"/>
                <w:szCs w:val="21"/>
              </w:rPr>
            </w:r>
            <w:r/>
          </w:p>
        </w:tc>
        <w:tc>
          <w:tcPr>
            <w:tcW w:w="1866" w:type="dxa"/>
            <w:vAlign w:val="center"/>
            <w:textDirection w:val="lrTb"/>
            <w:noWrap w:val="false"/>
          </w:tcPr>
          <w:p>
            <w:pPr>
              <w:pStyle w:val="864"/>
              <w:jc w:val="center"/>
              <w:widowControl/>
              <w:rPr>
                <w:sz w:val="20"/>
                <w:szCs w:val="21"/>
              </w:rPr>
            </w:pPr>
            <w:r>
              <w:rPr>
                <w:sz w:val="20"/>
                <w:szCs w:val="21"/>
              </w:rPr>
            </w:r>
            <w:r/>
          </w:p>
        </w:tc>
      </w:tr>
      <w:tr>
        <w:trPr/>
        <w:tc>
          <w:tcPr>
            <w:tcW w:w="828" w:type="dxa"/>
            <w:vAlign w:val="center"/>
            <w:textDirection w:val="lrTb"/>
            <w:noWrap w:val="false"/>
          </w:tcPr>
          <w:p>
            <w:pPr>
              <w:pStyle w:val="864"/>
              <w:jc w:val="center"/>
              <w:widowControl/>
              <w:rPr>
                <w:sz w:val="20"/>
                <w:szCs w:val="21"/>
              </w:rPr>
            </w:pPr>
            <w:r>
              <w:rPr>
                <w:rFonts w:hint="eastAsia"/>
                <w:szCs w:val="21"/>
              </w:rPr>
              <w:t xml:space="preserve">5</w:t>
            </w:r>
            <w:r>
              <w:rPr>
                <w:sz w:val="20"/>
                <w:szCs w:val="21"/>
              </w:rPr>
            </w:r>
            <w:r/>
          </w:p>
        </w:tc>
        <w:tc>
          <w:tcPr>
            <w:tcW w:w="1345" w:type="dxa"/>
            <w:vAlign w:val="center"/>
            <w:textDirection w:val="lrTb"/>
            <w:noWrap w:val="false"/>
          </w:tcPr>
          <w:p>
            <w:pPr>
              <w:pStyle w:val="864"/>
              <w:jc w:val="center"/>
              <w:widowControl/>
              <w:rPr>
                <w:sz w:val="20"/>
                <w:szCs w:val="21"/>
              </w:rPr>
            </w:pPr>
            <w:r>
              <w:rPr>
                <w:sz w:val="20"/>
                <w:szCs w:val="21"/>
              </w:rPr>
            </w:r>
            <w:r/>
          </w:p>
        </w:tc>
        <w:tc>
          <w:tcPr>
            <w:tcW w:w="1428" w:type="dxa"/>
            <w:vAlign w:val="top"/>
            <w:textDirection w:val="lrTb"/>
            <w:noWrap w:val="false"/>
          </w:tcPr>
          <w:p>
            <w:pPr>
              <w:pStyle w:val="864"/>
              <w:jc w:val="center"/>
              <w:widowControl/>
              <w:rPr>
                <w:sz w:val="20"/>
                <w:szCs w:val="21"/>
              </w:rPr>
            </w:pPr>
            <w:r>
              <w:rPr>
                <w:sz w:val="20"/>
                <w:szCs w:val="21"/>
              </w:rPr>
            </w:r>
            <w:r/>
          </w:p>
        </w:tc>
        <w:tc>
          <w:tcPr>
            <w:tcW w:w="1458" w:type="dxa"/>
            <w:vAlign w:val="center"/>
            <w:textDirection w:val="lrTb"/>
            <w:noWrap w:val="false"/>
          </w:tcPr>
          <w:p>
            <w:pPr>
              <w:pStyle w:val="864"/>
              <w:jc w:val="center"/>
              <w:widowControl/>
              <w:rPr>
                <w:sz w:val="20"/>
                <w:szCs w:val="21"/>
              </w:rPr>
            </w:pPr>
            <w:r>
              <w:rPr>
                <w:sz w:val="20"/>
                <w:szCs w:val="21"/>
              </w:rPr>
            </w:r>
            <w:r/>
          </w:p>
        </w:tc>
        <w:tc>
          <w:tcPr>
            <w:tcW w:w="2106" w:type="dxa"/>
            <w:vAlign w:val="center"/>
            <w:textDirection w:val="lrTb"/>
            <w:noWrap w:val="false"/>
          </w:tcPr>
          <w:p>
            <w:pPr>
              <w:pStyle w:val="864"/>
              <w:jc w:val="center"/>
              <w:widowControl/>
              <w:rPr>
                <w:sz w:val="20"/>
                <w:szCs w:val="21"/>
              </w:rPr>
            </w:pPr>
            <w:r>
              <w:rPr>
                <w:sz w:val="20"/>
                <w:szCs w:val="21"/>
              </w:rPr>
            </w:r>
            <w:r/>
          </w:p>
        </w:tc>
        <w:tc>
          <w:tcPr>
            <w:tcW w:w="1866" w:type="dxa"/>
            <w:vAlign w:val="center"/>
            <w:textDirection w:val="lrTb"/>
            <w:noWrap w:val="false"/>
          </w:tcPr>
          <w:p>
            <w:pPr>
              <w:pStyle w:val="864"/>
              <w:jc w:val="center"/>
              <w:widowControl/>
              <w:rPr>
                <w:sz w:val="20"/>
                <w:szCs w:val="21"/>
              </w:rPr>
            </w:pPr>
            <w:r>
              <w:rPr>
                <w:sz w:val="20"/>
                <w:szCs w:val="21"/>
              </w:rPr>
            </w:r>
            <w:r/>
          </w:p>
        </w:tc>
      </w:tr>
      <w:tr>
        <w:trPr/>
        <w:tc>
          <w:tcPr>
            <w:tcW w:w="828" w:type="dxa"/>
            <w:vAlign w:val="center"/>
            <w:textDirection w:val="lrTb"/>
            <w:noWrap w:val="false"/>
          </w:tcPr>
          <w:p>
            <w:pPr>
              <w:pStyle w:val="864"/>
              <w:jc w:val="center"/>
              <w:widowControl/>
              <w:rPr>
                <w:sz w:val="20"/>
                <w:szCs w:val="21"/>
              </w:rPr>
            </w:pPr>
            <w:r>
              <w:rPr>
                <w:rFonts w:hint="eastAsia"/>
                <w:szCs w:val="21"/>
              </w:rPr>
              <w:t xml:space="preserve">6</w:t>
            </w:r>
            <w:r>
              <w:rPr>
                <w:sz w:val="20"/>
                <w:szCs w:val="21"/>
              </w:rPr>
            </w:r>
            <w:r/>
          </w:p>
        </w:tc>
        <w:tc>
          <w:tcPr>
            <w:tcW w:w="1345" w:type="dxa"/>
            <w:vAlign w:val="center"/>
            <w:textDirection w:val="lrTb"/>
            <w:noWrap w:val="false"/>
          </w:tcPr>
          <w:p>
            <w:pPr>
              <w:pStyle w:val="864"/>
              <w:jc w:val="center"/>
              <w:widowControl/>
              <w:rPr>
                <w:sz w:val="20"/>
                <w:szCs w:val="21"/>
              </w:rPr>
            </w:pPr>
            <w:r>
              <w:rPr>
                <w:sz w:val="20"/>
                <w:szCs w:val="21"/>
              </w:rPr>
            </w:r>
            <w:r/>
          </w:p>
        </w:tc>
        <w:tc>
          <w:tcPr>
            <w:tcW w:w="1428" w:type="dxa"/>
            <w:vAlign w:val="top"/>
            <w:textDirection w:val="lrTb"/>
            <w:noWrap w:val="false"/>
          </w:tcPr>
          <w:p>
            <w:pPr>
              <w:pStyle w:val="864"/>
              <w:jc w:val="center"/>
              <w:widowControl/>
              <w:rPr>
                <w:sz w:val="20"/>
                <w:szCs w:val="21"/>
              </w:rPr>
            </w:pPr>
            <w:r>
              <w:rPr>
                <w:sz w:val="20"/>
                <w:szCs w:val="21"/>
              </w:rPr>
            </w:r>
            <w:r/>
          </w:p>
        </w:tc>
        <w:tc>
          <w:tcPr>
            <w:tcW w:w="1458" w:type="dxa"/>
            <w:vAlign w:val="center"/>
            <w:textDirection w:val="lrTb"/>
            <w:noWrap w:val="false"/>
          </w:tcPr>
          <w:p>
            <w:pPr>
              <w:pStyle w:val="864"/>
              <w:jc w:val="center"/>
              <w:widowControl/>
              <w:rPr>
                <w:sz w:val="20"/>
                <w:szCs w:val="21"/>
              </w:rPr>
            </w:pPr>
            <w:r>
              <w:rPr>
                <w:sz w:val="20"/>
                <w:szCs w:val="21"/>
              </w:rPr>
            </w:r>
            <w:r/>
          </w:p>
        </w:tc>
        <w:tc>
          <w:tcPr>
            <w:tcW w:w="2106" w:type="dxa"/>
            <w:vAlign w:val="center"/>
            <w:textDirection w:val="lrTb"/>
            <w:noWrap w:val="false"/>
          </w:tcPr>
          <w:p>
            <w:pPr>
              <w:pStyle w:val="864"/>
              <w:jc w:val="center"/>
              <w:widowControl/>
              <w:rPr>
                <w:sz w:val="20"/>
                <w:szCs w:val="21"/>
              </w:rPr>
            </w:pPr>
            <w:r>
              <w:rPr>
                <w:sz w:val="20"/>
                <w:szCs w:val="21"/>
              </w:rPr>
            </w:r>
            <w:r/>
          </w:p>
        </w:tc>
        <w:tc>
          <w:tcPr>
            <w:tcW w:w="1866" w:type="dxa"/>
            <w:vAlign w:val="center"/>
            <w:textDirection w:val="lrTb"/>
            <w:noWrap w:val="false"/>
          </w:tcPr>
          <w:p>
            <w:pPr>
              <w:pStyle w:val="864"/>
              <w:jc w:val="center"/>
              <w:widowControl/>
              <w:rPr>
                <w:sz w:val="20"/>
                <w:szCs w:val="21"/>
              </w:rPr>
            </w:pPr>
            <w:r>
              <w:rPr>
                <w:sz w:val="20"/>
                <w:szCs w:val="21"/>
              </w:rPr>
            </w:r>
            <w:r/>
          </w:p>
        </w:tc>
      </w:tr>
      <w:tr>
        <w:trPr/>
        <w:tc>
          <w:tcPr>
            <w:tcW w:w="828" w:type="dxa"/>
            <w:vAlign w:val="center"/>
            <w:textDirection w:val="lrTb"/>
            <w:noWrap w:val="false"/>
          </w:tcPr>
          <w:p>
            <w:pPr>
              <w:pStyle w:val="864"/>
              <w:jc w:val="center"/>
              <w:widowControl/>
              <w:rPr>
                <w:sz w:val="20"/>
                <w:szCs w:val="21"/>
              </w:rPr>
            </w:pPr>
            <w:r>
              <w:rPr>
                <w:sz w:val="20"/>
                <w:szCs w:val="21"/>
              </w:rPr>
            </w:r>
            <w:r/>
          </w:p>
        </w:tc>
        <w:tc>
          <w:tcPr>
            <w:tcW w:w="1345" w:type="dxa"/>
            <w:vAlign w:val="center"/>
            <w:textDirection w:val="lrTb"/>
            <w:noWrap w:val="false"/>
          </w:tcPr>
          <w:p>
            <w:pPr>
              <w:pStyle w:val="864"/>
              <w:jc w:val="center"/>
              <w:widowControl/>
              <w:rPr>
                <w:sz w:val="20"/>
                <w:szCs w:val="21"/>
              </w:rPr>
            </w:pPr>
            <w:r>
              <w:rPr>
                <w:sz w:val="20"/>
                <w:szCs w:val="21"/>
              </w:rPr>
            </w:r>
            <w:r/>
          </w:p>
        </w:tc>
        <w:tc>
          <w:tcPr>
            <w:tcW w:w="1428" w:type="dxa"/>
            <w:vAlign w:val="top"/>
            <w:textDirection w:val="lrTb"/>
            <w:noWrap w:val="false"/>
          </w:tcPr>
          <w:p>
            <w:pPr>
              <w:pStyle w:val="864"/>
              <w:jc w:val="center"/>
              <w:widowControl/>
              <w:rPr>
                <w:sz w:val="20"/>
                <w:szCs w:val="21"/>
              </w:rPr>
            </w:pPr>
            <w:r>
              <w:rPr>
                <w:sz w:val="20"/>
                <w:szCs w:val="21"/>
              </w:rPr>
            </w:r>
            <w:r/>
          </w:p>
        </w:tc>
        <w:tc>
          <w:tcPr>
            <w:tcW w:w="1458" w:type="dxa"/>
            <w:vAlign w:val="center"/>
            <w:textDirection w:val="lrTb"/>
            <w:noWrap w:val="false"/>
          </w:tcPr>
          <w:p>
            <w:pPr>
              <w:pStyle w:val="864"/>
              <w:jc w:val="center"/>
              <w:widowControl/>
              <w:rPr>
                <w:sz w:val="20"/>
                <w:szCs w:val="21"/>
              </w:rPr>
            </w:pPr>
            <w:r>
              <w:rPr>
                <w:sz w:val="20"/>
                <w:szCs w:val="21"/>
              </w:rPr>
            </w:r>
            <w:r/>
          </w:p>
        </w:tc>
        <w:tc>
          <w:tcPr>
            <w:tcW w:w="2106" w:type="dxa"/>
            <w:vAlign w:val="center"/>
            <w:textDirection w:val="lrTb"/>
            <w:noWrap w:val="false"/>
          </w:tcPr>
          <w:p>
            <w:pPr>
              <w:pStyle w:val="864"/>
              <w:jc w:val="center"/>
              <w:widowControl/>
              <w:rPr>
                <w:sz w:val="20"/>
                <w:szCs w:val="21"/>
              </w:rPr>
            </w:pPr>
            <w:r>
              <w:rPr>
                <w:sz w:val="20"/>
                <w:szCs w:val="21"/>
              </w:rPr>
            </w:r>
            <w:r/>
          </w:p>
        </w:tc>
        <w:tc>
          <w:tcPr>
            <w:tcW w:w="1866" w:type="dxa"/>
            <w:vAlign w:val="center"/>
            <w:textDirection w:val="lrTb"/>
            <w:noWrap w:val="false"/>
          </w:tcPr>
          <w:p>
            <w:pPr>
              <w:pStyle w:val="864"/>
              <w:jc w:val="center"/>
              <w:widowControl/>
              <w:rPr>
                <w:sz w:val="20"/>
                <w:szCs w:val="21"/>
              </w:rPr>
            </w:pPr>
            <w:r>
              <w:rPr>
                <w:sz w:val="20"/>
                <w:szCs w:val="21"/>
              </w:rPr>
            </w:r>
            <w:r/>
          </w:p>
        </w:tc>
      </w:tr>
      <w:tr>
        <w:trPr/>
        <w:tc>
          <w:tcPr>
            <w:tcW w:w="828" w:type="dxa"/>
            <w:vAlign w:val="center"/>
            <w:textDirection w:val="lrTb"/>
            <w:noWrap w:val="false"/>
          </w:tcPr>
          <w:p>
            <w:pPr>
              <w:pStyle w:val="864"/>
              <w:jc w:val="center"/>
              <w:widowControl/>
              <w:rPr>
                <w:sz w:val="20"/>
                <w:szCs w:val="21"/>
              </w:rPr>
            </w:pPr>
            <w:r>
              <w:rPr>
                <w:sz w:val="20"/>
                <w:szCs w:val="21"/>
              </w:rPr>
            </w:r>
            <w:r/>
          </w:p>
        </w:tc>
        <w:tc>
          <w:tcPr>
            <w:tcW w:w="1345" w:type="dxa"/>
            <w:vAlign w:val="center"/>
            <w:textDirection w:val="lrTb"/>
            <w:noWrap w:val="false"/>
          </w:tcPr>
          <w:p>
            <w:pPr>
              <w:pStyle w:val="864"/>
              <w:jc w:val="center"/>
              <w:widowControl/>
              <w:rPr>
                <w:sz w:val="20"/>
                <w:szCs w:val="21"/>
              </w:rPr>
            </w:pPr>
            <w:r>
              <w:rPr>
                <w:sz w:val="20"/>
                <w:szCs w:val="21"/>
              </w:rPr>
            </w:r>
            <w:r/>
          </w:p>
        </w:tc>
        <w:tc>
          <w:tcPr>
            <w:tcW w:w="1428" w:type="dxa"/>
            <w:vAlign w:val="top"/>
            <w:textDirection w:val="lrTb"/>
            <w:noWrap w:val="false"/>
          </w:tcPr>
          <w:p>
            <w:pPr>
              <w:pStyle w:val="864"/>
              <w:jc w:val="center"/>
              <w:widowControl/>
              <w:rPr>
                <w:sz w:val="20"/>
                <w:szCs w:val="21"/>
              </w:rPr>
            </w:pPr>
            <w:r>
              <w:rPr>
                <w:sz w:val="20"/>
                <w:szCs w:val="21"/>
              </w:rPr>
            </w:r>
            <w:r/>
          </w:p>
        </w:tc>
        <w:tc>
          <w:tcPr>
            <w:tcW w:w="1458" w:type="dxa"/>
            <w:vAlign w:val="center"/>
            <w:textDirection w:val="lrTb"/>
            <w:noWrap w:val="false"/>
          </w:tcPr>
          <w:p>
            <w:pPr>
              <w:pStyle w:val="864"/>
              <w:jc w:val="center"/>
              <w:widowControl/>
              <w:rPr>
                <w:sz w:val="20"/>
                <w:szCs w:val="21"/>
              </w:rPr>
            </w:pPr>
            <w:r>
              <w:rPr>
                <w:sz w:val="20"/>
                <w:szCs w:val="21"/>
              </w:rPr>
            </w:r>
            <w:r/>
          </w:p>
        </w:tc>
        <w:tc>
          <w:tcPr>
            <w:tcW w:w="2106" w:type="dxa"/>
            <w:vAlign w:val="center"/>
            <w:textDirection w:val="lrTb"/>
            <w:noWrap w:val="false"/>
          </w:tcPr>
          <w:p>
            <w:pPr>
              <w:pStyle w:val="864"/>
              <w:jc w:val="center"/>
              <w:widowControl/>
              <w:rPr>
                <w:sz w:val="20"/>
                <w:szCs w:val="21"/>
              </w:rPr>
            </w:pPr>
            <w:r>
              <w:rPr>
                <w:sz w:val="20"/>
                <w:szCs w:val="21"/>
              </w:rPr>
            </w:r>
            <w:r/>
          </w:p>
        </w:tc>
        <w:tc>
          <w:tcPr>
            <w:tcW w:w="1866" w:type="dxa"/>
            <w:vAlign w:val="center"/>
            <w:textDirection w:val="lrTb"/>
            <w:noWrap w:val="false"/>
          </w:tcPr>
          <w:p>
            <w:pPr>
              <w:pStyle w:val="864"/>
              <w:jc w:val="center"/>
              <w:widowControl/>
              <w:rPr>
                <w:sz w:val="20"/>
                <w:szCs w:val="21"/>
              </w:rPr>
            </w:pPr>
            <w:r>
              <w:rPr>
                <w:sz w:val="20"/>
                <w:szCs w:val="21"/>
              </w:rPr>
            </w:r>
            <w:r/>
          </w:p>
        </w:tc>
      </w:tr>
      <w:tr>
        <w:trPr/>
        <w:tc>
          <w:tcPr>
            <w:tcW w:w="828" w:type="dxa"/>
            <w:vAlign w:val="center"/>
            <w:textDirection w:val="lrTb"/>
            <w:noWrap w:val="false"/>
          </w:tcPr>
          <w:p>
            <w:pPr>
              <w:pStyle w:val="864"/>
              <w:jc w:val="center"/>
              <w:widowControl/>
              <w:rPr>
                <w:sz w:val="20"/>
                <w:szCs w:val="21"/>
              </w:rPr>
            </w:pPr>
            <w:r>
              <w:rPr>
                <w:sz w:val="20"/>
                <w:szCs w:val="21"/>
              </w:rPr>
            </w:r>
            <w:r/>
          </w:p>
        </w:tc>
        <w:tc>
          <w:tcPr>
            <w:tcW w:w="1345" w:type="dxa"/>
            <w:vAlign w:val="center"/>
            <w:textDirection w:val="lrTb"/>
            <w:noWrap w:val="false"/>
          </w:tcPr>
          <w:p>
            <w:pPr>
              <w:pStyle w:val="864"/>
              <w:jc w:val="center"/>
              <w:widowControl/>
              <w:rPr>
                <w:sz w:val="20"/>
                <w:szCs w:val="21"/>
              </w:rPr>
            </w:pPr>
            <w:r>
              <w:rPr>
                <w:sz w:val="20"/>
                <w:szCs w:val="21"/>
              </w:rPr>
            </w:r>
            <w:r/>
          </w:p>
        </w:tc>
        <w:tc>
          <w:tcPr>
            <w:tcW w:w="1428" w:type="dxa"/>
            <w:vAlign w:val="top"/>
            <w:textDirection w:val="lrTb"/>
            <w:noWrap w:val="false"/>
          </w:tcPr>
          <w:p>
            <w:pPr>
              <w:pStyle w:val="864"/>
              <w:jc w:val="center"/>
              <w:widowControl/>
              <w:rPr>
                <w:sz w:val="20"/>
                <w:szCs w:val="21"/>
              </w:rPr>
            </w:pPr>
            <w:r>
              <w:rPr>
                <w:sz w:val="20"/>
                <w:szCs w:val="21"/>
              </w:rPr>
            </w:r>
            <w:r/>
          </w:p>
        </w:tc>
        <w:tc>
          <w:tcPr>
            <w:tcW w:w="1458" w:type="dxa"/>
            <w:vAlign w:val="center"/>
            <w:textDirection w:val="lrTb"/>
            <w:noWrap w:val="false"/>
          </w:tcPr>
          <w:p>
            <w:pPr>
              <w:pStyle w:val="864"/>
              <w:jc w:val="center"/>
              <w:widowControl/>
              <w:rPr>
                <w:sz w:val="20"/>
                <w:szCs w:val="21"/>
              </w:rPr>
            </w:pPr>
            <w:r>
              <w:rPr>
                <w:sz w:val="20"/>
                <w:szCs w:val="21"/>
              </w:rPr>
            </w:r>
            <w:r/>
          </w:p>
        </w:tc>
        <w:tc>
          <w:tcPr>
            <w:tcW w:w="2106" w:type="dxa"/>
            <w:vAlign w:val="center"/>
            <w:textDirection w:val="lrTb"/>
            <w:noWrap w:val="false"/>
          </w:tcPr>
          <w:p>
            <w:pPr>
              <w:pStyle w:val="864"/>
              <w:jc w:val="center"/>
              <w:widowControl/>
              <w:rPr>
                <w:sz w:val="20"/>
                <w:szCs w:val="21"/>
              </w:rPr>
            </w:pPr>
            <w:r>
              <w:rPr>
                <w:sz w:val="20"/>
                <w:szCs w:val="21"/>
              </w:rPr>
            </w:r>
            <w:r/>
          </w:p>
        </w:tc>
        <w:tc>
          <w:tcPr>
            <w:tcW w:w="1866" w:type="dxa"/>
            <w:vAlign w:val="center"/>
            <w:textDirection w:val="lrTb"/>
            <w:noWrap w:val="false"/>
          </w:tcPr>
          <w:p>
            <w:pPr>
              <w:pStyle w:val="864"/>
              <w:jc w:val="center"/>
              <w:widowControl/>
              <w:rPr>
                <w:sz w:val="20"/>
                <w:szCs w:val="21"/>
              </w:rPr>
            </w:pPr>
            <w:r>
              <w:rPr>
                <w:sz w:val="20"/>
                <w:szCs w:val="21"/>
              </w:rPr>
            </w:r>
            <w:r/>
          </w:p>
        </w:tc>
      </w:tr>
    </w:tbl>
    <w:p>
      <w:pPr>
        <w:pStyle w:val="864"/>
        <w:spacing w:line="360" w:lineRule="auto"/>
        <w:widowControl/>
        <w:rPr>
          <w:rFonts w:ascii="宋体" w:hAnsi="宋体"/>
          <w:sz w:val="24"/>
          <w:szCs w:val="22"/>
        </w:rPr>
      </w:pPr>
      <w:r>
        <w:rPr>
          <w:rFonts w:ascii="宋体" w:hAnsi="宋体"/>
          <w:sz w:val="24"/>
          <w:szCs w:val="22"/>
        </w:r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   年   月   日</w:t>
      </w:r>
      <w:r/>
    </w:p>
    <w:p>
      <w:pPr>
        <w:pStyle w:val="864"/>
        <w:spacing w:line="360" w:lineRule="auto"/>
        <w:widowControl/>
        <w:rPr>
          <w:rFonts w:ascii="宋体" w:hAnsi="宋体"/>
          <w:szCs w:val="21"/>
        </w:rPr>
      </w:pPr>
      <w:r>
        <w:rPr>
          <w:rFonts w:ascii="宋体" w:hAnsi="宋体"/>
          <w:szCs w:val="21"/>
        </w:rPr>
      </w:r>
      <w:r/>
    </w:p>
    <w:p>
      <w:pPr>
        <w:pStyle w:val="864"/>
        <w:jc w:val="left"/>
        <w:widowControl/>
        <w:rPr>
          <w:rFonts w:ascii="宋体" w:hAnsi="宋体"/>
          <w:sz w:val="24"/>
          <w:szCs w:val="20"/>
        </w:rPr>
      </w:pPr>
      <w:r>
        <w:rPr>
          <w:rFonts w:ascii="宋体" w:hAnsi="宋体"/>
          <w:szCs w:val="22"/>
        </w:rPr>
        <w:br w:type="page" w:clear="all"/>
      </w:r>
      <w:r>
        <w:rPr>
          <w:rFonts w:ascii="宋体" w:hAnsi="宋体"/>
          <w:sz w:val="24"/>
          <w:szCs w:val="20"/>
        </w:rPr>
      </w:r>
      <w:r/>
    </w:p>
    <w:p>
      <w:pPr>
        <w:pStyle w:val="864"/>
        <w:spacing w:line="480" w:lineRule="exact"/>
      </w:pPr>
      <w:r>
        <w:rPr>
          <w:rFonts w:hint="eastAsia" w:cs="宋体"/>
          <w:szCs w:val="22"/>
          <w:lang w:bidi="ar"/>
        </w:rPr>
        <w:t xml:space="preserve">格式</w:t>
      </w:r>
      <w:r>
        <w:rPr>
          <w:rFonts w:hint="eastAsia"/>
          <w:szCs w:val="22"/>
          <w:lang w:bidi="ar"/>
        </w:rPr>
        <w:t xml:space="preserve">8</w:t>
      </w:r>
      <w:r>
        <w:rPr>
          <w:rFonts w:hint="eastAsia" w:cs="宋体"/>
          <w:szCs w:val="22"/>
          <w:lang w:bidi="ar"/>
        </w:rPr>
        <w:t xml:space="preserve">、其他证明文件</w:t>
      </w:r>
      <w:r>
        <w:rPr>
          <w:szCs w:val="22"/>
          <w:lang w:bidi="ar"/>
        </w:rPr>
        <w:tab/>
      </w:r>
      <w:r/>
    </w:p>
    <w:p>
      <w:pPr>
        <w:pStyle w:val="864"/>
        <w:spacing w:line="480" w:lineRule="exact"/>
      </w:pPr>
      <w:r/>
      <w:r/>
    </w:p>
    <w:p>
      <w:pPr>
        <w:pStyle w:val="864"/>
        <w:spacing w:line="480" w:lineRule="exact"/>
      </w:pPr>
      <w:r>
        <w:rPr>
          <w:rFonts w:hint="eastAsia"/>
          <w:szCs w:val="22"/>
          <w:lang w:bidi="ar"/>
        </w:rPr>
        <w:t xml:space="preserve">（1）</w:t>
      </w:r>
      <w:r>
        <w:rPr>
          <w:rFonts w:hint="eastAsia" w:cs="宋体"/>
          <w:szCs w:val="22"/>
          <w:lang w:bidi="ar"/>
        </w:rPr>
        <w:t xml:space="preserve">关于资格文件的声明函</w:t>
      </w:r>
      <w:r/>
    </w:p>
    <w:p>
      <w:pPr>
        <w:pStyle w:val="864"/>
        <w:spacing w:line="480" w:lineRule="exact"/>
      </w:pPr>
      <w:r/>
      <w:r/>
    </w:p>
    <w:p>
      <w:pPr>
        <w:pStyle w:val="864"/>
        <w:ind w:firstLine="3570"/>
        <w:spacing w:line="480" w:lineRule="exact"/>
      </w:pPr>
      <w:r>
        <w:rPr>
          <w:rFonts w:hint="eastAsia" w:cs="宋体"/>
          <w:szCs w:val="22"/>
          <w:lang w:bidi="ar"/>
        </w:rPr>
        <w:t xml:space="preserve">关于资格文件的声明函</w:t>
      </w:r>
      <w:r/>
    </w:p>
    <w:p>
      <w:pPr>
        <w:pStyle w:val="864"/>
        <w:spacing w:line="480" w:lineRule="exact"/>
      </w:pPr>
      <w:r/>
      <w:r/>
    </w:p>
    <w:p>
      <w:pPr>
        <w:pStyle w:val="864"/>
        <w:spacing w:line="480" w:lineRule="exact"/>
      </w:pPr>
      <w:r/>
      <w:r/>
    </w:p>
    <w:p>
      <w:pPr>
        <w:pStyle w:val="864"/>
        <w:spacing w:line="480" w:lineRule="exact"/>
      </w:pPr>
      <w:r>
        <w:rPr>
          <w:rFonts w:hint="eastAsia" w:cs="宋体"/>
          <w:szCs w:val="22"/>
          <w:lang w:bidi="ar"/>
        </w:rPr>
        <w:t xml:space="preserve">苏州市永诚建设咨询有限公司：</w:t>
      </w:r>
      <w:r/>
    </w:p>
    <w:p>
      <w:pPr>
        <w:pStyle w:val="864"/>
        <w:spacing w:line="480" w:lineRule="exact"/>
      </w:pPr>
      <w:r>
        <w:rPr>
          <w:rFonts w:hint="eastAsia" w:cs="宋体"/>
          <w:szCs w:val="22"/>
          <w:lang w:bidi="ar"/>
        </w:rPr>
        <w:t xml:space="preserve">本公司愿就由贵公司组织实施的编号为</w:t>
      </w:r>
      <w:r>
        <w:rPr>
          <w:rFonts w:hint="eastAsia"/>
          <w:szCs w:val="22"/>
          <w:u w:val="single"/>
          <w:lang w:bidi="ar"/>
        </w:rPr>
        <w:t xml:space="preserve">                  </w:t>
      </w:r>
      <w:r>
        <w:rPr>
          <w:rFonts w:hint="eastAsia" w:cs="宋体"/>
          <w:szCs w:val="22"/>
          <w:lang w:bidi="ar"/>
        </w:rPr>
        <w:t xml:space="preserve">号的招标活动进行投标。本公司所提交的投标文件中所有关于投标资格的文件、证明和陈述均是真实的、准确的。若与真实情况不符，本公司愿意承担由此而产生的一切后果。</w:t>
      </w:r>
      <w:r/>
    </w:p>
    <w:p>
      <w:pPr>
        <w:pStyle w:val="864"/>
        <w:spacing w:line="480" w:lineRule="exact"/>
      </w:p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64"/>
        <w:spacing w:line="480" w:lineRule="exact"/>
        <w:rPr>
          <w:rFonts w:hint="eastAsia"/>
        </w:rPr>
      </w:pPr>
      <w:r>
        <w:rPr>
          <w:rFonts w:hint="eastAsia"/>
        </w:rPr>
      </w:r>
      <w:r/>
    </w:p>
    <w:p>
      <w:pPr>
        <w:pStyle w:val="864"/>
        <w:spacing w:line="480" w:lineRule="exact"/>
      </w:pPr>
      <w:r>
        <w:rPr>
          <w:szCs w:val="22"/>
          <w:lang w:bidi="ar"/>
        </w:rPr>
        <w:br w:type="page" w:clear="all"/>
      </w:r>
      <w:r>
        <w:rPr>
          <w:rFonts w:hint="eastAsia"/>
          <w:szCs w:val="22"/>
          <w:lang w:bidi="ar"/>
        </w:rPr>
        <w:t xml:space="preserve">（2）</w:t>
      </w:r>
      <w:r>
        <w:rPr>
          <w:rFonts w:hint="eastAsia" w:cs="宋体"/>
          <w:szCs w:val="22"/>
          <w:lang w:bidi="ar"/>
        </w:rPr>
        <w:t xml:space="preserve">供应商情况表</w:t>
      </w:r>
      <w:r/>
    </w:p>
    <w:p>
      <w:pPr>
        <w:pStyle w:val="864"/>
        <w:spacing w:line="480" w:lineRule="exact"/>
      </w:pPr>
      <w:r>
        <w:rPr>
          <w:szCs w:val="22"/>
          <w:lang w:bidi="ar"/>
        </w:rPr>
        <w:t xml:space="preserve"> </w:t>
      </w:r>
      <w:r>
        <w:rPr>
          <w:rFonts w:hint="eastAsia"/>
          <w:szCs w:val="22"/>
          <w:lang w:bidi="ar"/>
        </w:rPr>
        <w:t xml:space="preserve">                               </w:t>
      </w:r>
      <w:r>
        <w:rPr>
          <w:rFonts w:hint="eastAsia" w:cs="宋体"/>
          <w:szCs w:val="22"/>
          <w:lang w:bidi="ar"/>
        </w:rPr>
        <w:t xml:space="preserve">供应商情况表</w:t>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1702"/>
        <w:gridCol w:w="141"/>
        <w:gridCol w:w="994"/>
        <w:gridCol w:w="141"/>
        <w:gridCol w:w="1549"/>
        <w:gridCol w:w="1705"/>
      </w:tblGrid>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法定代表人</w:t>
            </w:r>
            <w:r>
              <w:rPr>
                <w:rFonts w:cs="Times New Roman"/>
              </w:rPr>
            </w:r>
            <w:r/>
          </w:p>
        </w:tc>
        <w:tc>
          <w:tcPr>
            <w:tcW w:w="1702" w:type="dxa"/>
            <w:vAlign w:val="center"/>
            <w:textDirection w:val="lrTb"/>
            <w:noWrap w:val="false"/>
          </w:tcPr>
          <w:p>
            <w:pPr>
              <w:pStyle w:val="864"/>
              <w:spacing w:line="480" w:lineRule="exact"/>
              <w:rPr>
                <w:rFonts w:cs="Times New Roman"/>
              </w:rPr>
            </w:pPr>
            <w:r>
              <w:rPr>
                <w:rFonts w:cs="Times New Roman"/>
              </w:rPr>
            </w:r>
            <w:r/>
          </w:p>
        </w:tc>
        <w:tc>
          <w:tcPr>
            <w:gridSpan w:val="2"/>
            <w:tcW w:w="1135" w:type="dxa"/>
            <w:vAlign w:val="center"/>
            <w:textDirection w:val="lrTb"/>
            <w:noWrap w:val="false"/>
          </w:tcPr>
          <w:p>
            <w:pPr>
              <w:pStyle w:val="864"/>
              <w:spacing w:line="480" w:lineRule="exact"/>
              <w:rPr>
                <w:rFonts w:cs="Times New Roman"/>
              </w:rPr>
            </w:pPr>
            <w:r>
              <w:rPr>
                <w:rFonts w:hint="eastAsia" w:cs="宋体"/>
              </w:rPr>
              <w:t xml:space="preserve">成立日期</w:t>
            </w:r>
            <w:r>
              <w:rPr>
                <w:rFonts w:cs="Times New Roman"/>
              </w:rPr>
            </w:r>
            <w:r/>
          </w:p>
        </w:tc>
        <w:tc>
          <w:tcPr>
            <w:gridSpan w:val="3"/>
            <w:tcW w:w="3395" w:type="dxa"/>
            <w:vAlign w:val="center"/>
            <w:textDirection w:val="lrTb"/>
            <w:noWrap w:val="false"/>
          </w:tcPr>
          <w:p>
            <w:pPr>
              <w:pStyle w:val="864"/>
              <w:spacing w:line="480" w:lineRule="exact"/>
              <w:rPr>
                <w:rFonts w:cs="Times New Roman"/>
              </w:rPr>
            </w:pP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企业地址</w:t>
            </w:r>
            <w:r>
              <w:rPr>
                <w:rFonts w:cs="Times New Roman"/>
              </w:rPr>
            </w:r>
            <w:r/>
          </w:p>
        </w:tc>
        <w:tc>
          <w:tcPr>
            <w:tcW w:w="1702" w:type="dxa"/>
            <w:vAlign w:val="center"/>
            <w:textDirection w:val="lrTb"/>
            <w:noWrap w:val="false"/>
          </w:tcPr>
          <w:p>
            <w:pPr>
              <w:pStyle w:val="864"/>
              <w:spacing w:line="480" w:lineRule="exact"/>
              <w:rPr>
                <w:rFonts w:cs="Times New Roman"/>
              </w:rPr>
            </w:pPr>
            <w:r>
              <w:rPr>
                <w:rFonts w:cs="Times New Roman"/>
              </w:rPr>
            </w:r>
            <w:r/>
          </w:p>
        </w:tc>
        <w:tc>
          <w:tcPr>
            <w:gridSpan w:val="2"/>
            <w:tcW w:w="1135" w:type="dxa"/>
            <w:vAlign w:val="center"/>
            <w:textDirection w:val="lrTb"/>
            <w:noWrap w:val="false"/>
          </w:tcPr>
          <w:p>
            <w:pPr>
              <w:pStyle w:val="864"/>
              <w:spacing w:line="480" w:lineRule="exact"/>
              <w:rPr>
                <w:rFonts w:cs="Times New Roman"/>
              </w:rPr>
            </w:pPr>
            <w:r>
              <w:rPr>
                <w:rFonts w:hint="eastAsia" w:cs="宋体"/>
              </w:rPr>
              <w:t xml:space="preserve">注册资本</w:t>
            </w:r>
            <w:r>
              <w:rPr>
                <w:rFonts w:cs="Times New Roman"/>
              </w:rPr>
            </w:r>
            <w:r/>
          </w:p>
        </w:tc>
        <w:tc>
          <w:tcPr>
            <w:gridSpan w:val="3"/>
            <w:tcW w:w="3395" w:type="dxa"/>
            <w:vAlign w:val="center"/>
            <w:textDirection w:val="lrTb"/>
            <w:noWrap w:val="false"/>
          </w:tcPr>
          <w:p>
            <w:pPr>
              <w:pStyle w:val="864"/>
              <w:spacing w:line="480" w:lineRule="exact"/>
              <w:rPr>
                <w:rFonts w:cs="Times New Roman"/>
              </w:rPr>
            </w:pPr>
            <w:r>
              <w:rPr>
                <w:rFonts w:hint="eastAsia" w:cs="宋体"/>
              </w:rPr>
              <w:t xml:space="preserve">万元</w:t>
            </w: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经营范围</w:t>
            </w:r>
            <w:r>
              <w:rPr>
                <w:rFonts w:cs="Times New Roman"/>
              </w:rPr>
            </w:r>
            <w:r/>
          </w:p>
        </w:tc>
        <w:tc>
          <w:tcPr>
            <w:gridSpan w:val="6"/>
            <w:tcW w:w="6232" w:type="dxa"/>
            <w:vAlign w:val="center"/>
            <w:textDirection w:val="lrTb"/>
            <w:noWrap w:val="false"/>
          </w:tcPr>
          <w:p>
            <w:pPr>
              <w:pStyle w:val="864"/>
              <w:spacing w:line="480" w:lineRule="exact"/>
              <w:rPr>
                <w:rFonts w:cs="Times New Roman"/>
              </w:rPr>
            </w:pP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职工人数</w:t>
            </w:r>
            <w:r>
              <w:rPr>
                <w:rFonts w:cs="Times New Roman"/>
              </w:rPr>
            </w:r>
            <w:r/>
          </w:p>
        </w:tc>
        <w:tc>
          <w:tcPr>
            <w:gridSpan w:val="2"/>
            <w:tcW w:w="1843" w:type="dxa"/>
            <w:vAlign w:val="center"/>
            <w:textDirection w:val="lrTb"/>
            <w:noWrap w:val="false"/>
          </w:tcPr>
          <w:p>
            <w:pPr>
              <w:pStyle w:val="864"/>
              <w:spacing w:line="480" w:lineRule="exact"/>
              <w:rPr>
                <w:rFonts w:cs="Times New Roman"/>
              </w:rPr>
            </w:pPr>
            <w:r>
              <w:rPr>
                <w:rFonts w:cs="Times New Roman"/>
              </w:rPr>
            </w:r>
            <w:r/>
          </w:p>
        </w:tc>
        <w:tc>
          <w:tcPr>
            <w:gridSpan w:val="3"/>
            <w:tcW w:w="2684" w:type="dxa"/>
            <w:vAlign w:val="center"/>
            <w:textDirection w:val="lrTb"/>
            <w:noWrap w:val="false"/>
          </w:tcPr>
          <w:p>
            <w:pPr>
              <w:pStyle w:val="864"/>
              <w:spacing w:line="480" w:lineRule="exact"/>
              <w:rPr>
                <w:rFonts w:cs="Times New Roman"/>
              </w:rPr>
            </w:pPr>
            <w:r>
              <w:rPr>
                <w:rFonts w:hint="eastAsia" w:cs="宋体"/>
              </w:rPr>
              <w:t xml:space="preserve">其中：有中高级以上职称的人数</w:t>
            </w:r>
            <w:r>
              <w:rPr>
                <w:rFonts w:cs="Times New Roman"/>
              </w:rPr>
            </w:r>
            <w:r/>
          </w:p>
        </w:tc>
        <w:tc>
          <w:tcPr>
            <w:tcW w:w="1705" w:type="dxa"/>
            <w:vAlign w:val="center"/>
            <w:textDirection w:val="lrTb"/>
            <w:noWrap w:val="false"/>
          </w:tcPr>
          <w:p>
            <w:pPr>
              <w:pStyle w:val="864"/>
              <w:spacing w:line="480" w:lineRule="exact"/>
              <w:rPr>
                <w:rFonts w:cs="Times New Roman"/>
              </w:rPr>
            </w:pP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资产总计</w:t>
            </w:r>
            <w:r>
              <w:rPr>
                <w:rFonts w:cs="Times New Roman"/>
              </w:rPr>
            </w:r>
            <w:r/>
          </w:p>
        </w:tc>
        <w:tc>
          <w:tcPr>
            <w:gridSpan w:val="2"/>
            <w:tcW w:w="1843" w:type="dxa"/>
            <w:vAlign w:val="center"/>
            <w:textDirection w:val="lrTb"/>
            <w:noWrap w:val="false"/>
          </w:tcPr>
          <w:p>
            <w:pPr>
              <w:pStyle w:val="864"/>
              <w:spacing w:line="480" w:lineRule="exact"/>
              <w:rPr>
                <w:rFonts w:cs="Times New Roman"/>
              </w:rPr>
            </w:pPr>
            <w:r>
              <w:rPr>
                <w:rFonts w:hint="eastAsia" w:cs="宋体"/>
              </w:rPr>
              <w:t xml:space="preserve">万元</w:t>
            </w:r>
            <w:r>
              <w:rPr>
                <w:rFonts w:cs="Times New Roman"/>
              </w:rPr>
            </w:r>
            <w:r/>
          </w:p>
        </w:tc>
        <w:tc>
          <w:tcPr>
            <w:gridSpan w:val="2"/>
            <w:tcW w:w="1135" w:type="dxa"/>
            <w:vAlign w:val="center"/>
            <w:textDirection w:val="lrTb"/>
            <w:noWrap w:val="false"/>
          </w:tcPr>
          <w:p>
            <w:pPr>
              <w:pStyle w:val="864"/>
              <w:spacing w:line="480" w:lineRule="exact"/>
              <w:rPr>
                <w:rFonts w:cs="Times New Roman"/>
              </w:rPr>
            </w:pPr>
            <w:r>
              <w:rPr>
                <w:rFonts w:hint="eastAsia" w:cs="宋体"/>
              </w:rPr>
              <w:t xml:space="preserve">净资产</w:t>
            </w:r>
            <w:r>
              <w:rPr>
                <w:rFonts w:cs="Times New Roman"/>
              </w:rPr>
            </w:r>
            <w:r/>
          </w:p>
        </w:tc>
        <w:tc>
          <w:tcPr>
            <w:gridSpan w:val="2"/>
            <w:tcW w:w="3254" w:type="dxa"/>
            <w:vAlign w:val="center"/>
            <w:textDirection w:val="lrTb"/>
            <w:noWrap w:val="false"/>
          </w:tcPr>
          <w:p>
            <w:pPr>
              <w:pStyle w:val="864"/>
              <w:spacing w:line="480" w:lineRule="exact"/>
              <w:rPr>
                <w:rFonts w:cs="Times New Roman"/>
              </w:rPr>
            </w:pPr>
            <w:r>
              <w:rPr>
                <w:rFonts w:hint="eastAsia" w:cs="宋体"/>
              </w:rPr>
              <w:t xml:space="preserve">万元</w:t>
            </w: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股东权益</w:t>
            </w:r>
            <w:r>
              <w:rPr>
                <w:rFonts w:cs="Times New Roman"/>
              </w:rPr>
            </w:r>
            <w:r/>
          </w:p>
        </w:tc>
        <w:tc>
          <w:tcPr>
            <w:gridSpan w:val="2"/>
            <w:tcW w:w="1843" w:type="dxa"/>
            <w:vAlign w:val="center"/>
            <w:textDirection w:val="lrTb"/>
            <w:noWrap w:val="false"/>
          </w:tcPr>
          <w:p>
            <w:pPr>
              <w:pStyle w:val="864"/>
              <w:spacing w:line="480" w:lineRule="exact"/>
              <w:rPr>
                <w:rFonts w:cs="Times New Roman"/>
              </w:rPr>
            </w:pPr>
            <w:r>
              <w:rPr>
                <w:rFonts w:hint="eastAsia" w:cs="宋体"/>
              </w:rPr>
              <w:t xml:space="preserve">万元</w:t>
            </w:r>
            <w:r>
              <w:rPr>
                <w:rFonts w:cs="Times New Roman"/>
              </w:rPr>
            </w:r>
            <w:r/>
          </w:p>
        </w:tc>
        <w:tc>
          <w:tcPr>
            <w:gridSpan w:val="2"/>
            <w:tcW w:w="1135" w:type="dxa"/>
            <w:vAlign w:val="center"/>
            <w:textDirection w:val="lrTb"/>
            <w:noWrap w:val="false"/>
          </w:tcPr>
          <w:p>
            <w:pPr>
              <w:pStyle w:val="864"/>
              <w:spacing w:line="480" w:lineRule="exact"/>
              <w:rPr>
                <w:rFonts w:cs="Times New Roman"/>
              </w:rPr>
            </w:pPr>
            <w:r>
              <w:rPr>
                <w:rFonts w:hint="eastAsia" w:cs="宋体"/>
              </w:rPr>
              <w:t xml:space="preserve">销售收入</w:t>
            </w:r>
            <w:r>
              <w:rPr>
                <w:rFonts w:cs="Times New Roman"/>
              </w:rPr>
            </w:r>
            <w:r/>
          </w:p>
        </w:tc>
        <w:tc>
          <w:tcPr>
            <w:gridSpan w:val="2"/>
            <w:tcW w:w="3254" w:type="dxa"/>
            <w:vAlign w:val="center"/>
            <w:textDirection w:val="lrTb"/>
            <w:noWrap w:val="false"/>
          </w:tcPr>
          <w:p>
            <w:pPr>
              <w:pStyle w:val="864"/>
              <w:spacing w:line="480" w:lineRule="exact"/>
              <w:rPr>
                <w:rFonts w:cs="Times New Roman"/>
              </w:rPr>
            </w:pPr>
            <w:r>
              <w:rPr>
                <w:rFonts w:cs="Times New Roman"/>
              </w:rPr>
              <w:t xml:space="preserve">202</w:t>
            </w:r>
            <w:r>
              <w:rPr>
                <w:rFonts w:hint="eastAsia" w:cs="Times New Roman"/>
                <w:lang w:val="en-US" w:eastAsia="zh-CN"/>
              </w:rPr>
              <w:t xml:space="preserve">5</w:t>
            </w:r>
            <w:r>
              <w:rPr>
                <w:rFonts w:hint="eastAsia" w:cs="宋体"/>
              </w:rPr>
              <w:t xml:space="preserve">年</w:t>
            </w:r>
            <w:r>
              <w:rPr>
                <w:rFonts w:cs="Times New Roman"/>
              </w:rPr>
              <w:t xml:space="preserve">     </w:t>
            </w:r>
            <w:r>
              <w:rPr>
                <w:rFonts w:hint="eastAsia" w:cs="宋体"/>
              </w:rPr>
              <w:t xml:space="preserve">万元</w:t>
            </w: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实现利润</w:t>
            </w:r>
            <w:r>
              <w:rPr>
                <w:rFonts w:cs="Times New Roman"/>
              </w:rPr>
            </w:r>
            <w:r/>
          </w:p>
        </w:tc>
        <w:tc>
          <w:tcPr>
            <w:gridSpan w:val="2"/>
            <w:tcW w:w="1843" w:type="dxa"/>
            <w:vAlign w:val="center"/>
            <w:textDirection w:val="lrTb"/>
            <w:noWrap w:val="false"/>
          </w:tcPr>
          <w:p>
            <w:pPr>
              <w:pStyle w:val="864"/>
              <w:spacing w:line="480" w:lineRule="exact"/>
              <w:rPr>
                <w:rFonts w:cs="Times New Roman"/>
              </w:rPr>
            </w:pPr>
            <w:r>
              <w:rPr>
                <w:rFonts w:cs="Times New Roman"/>
              </w:rPr>
              <w:t xml:space="preserve">202</w:t>
            </w:r>
            <w:r>
              <w:rPr>
                <w:rFonts w:hint="eastAsia" w:cs="Times New Roman"/>
                <w:lang w:val="en-US" w:eastAsia="zh-CN"/>
              </w:rPr>
              <w:t xml:space="preserve">5</w:t>
            </w:r>
            <w:r>
              <w:rPr>
                <w:rFonts w:hint="eastAsia" w:cs="宋体"/>
              </w:rPr>
              <w:t xml:space="preserve">年</w:t>
            </w:r>
            <w:r>
              <w:rPr>
                <w:rFonts w:cs="Times New Roman"/>
              </w:rPr>
              <w:t xml:space="preserve">     </w:t>
            </w:r>
            <w:r>
              <w:rPr>
                <w:rFonts w:hint="eastAsia" w:cs="宋体"/>
              </w:rPr>
              <w:t xml:space="preserve">万元</w:t>
            </w:r>
            <w:r>
              <w:rPr>
                <w:rFonts w:cs="Times New Roman"/>
              </w:rPr>
            </w:r>
            <w:r/>
          </w:p>
        </w:tc>
        <w:tc>
          <w:tcPr>
            <w:gridSpan w:val="2"/>
            <w:tcW w:w="1135" w:type="dxa"/>
            <w:vAlign w:val="center"/>
            <w:textDirection w:val="lrTb"/>
            <w:noWrap w:val="false"/>
          </w:tcPr>
          <w:p>
            <w:pPr>
              <w:pStyle w:val="864"/>
              <w:spacing w:line="480" w:lineRule="exact"/>
              <w:rPr>
                <w:rFonts w:cs="Times New Roman"/>
              </w:rPr>
            </w:pPr>
            <w:r>
              <w:rPr>
                <w:rFonts w:cs="Times New Roman"/>
              </w:rPr>
            </w:r>
            <w:r/>
          </w:p>
        </w:tc>
        <w:tc>
          <w:tcPr>
            <w:gridSpan w:val="2"/>
            <w:tcW w:w="3254" w:type="dxa"/>
            <w:vAlign w:val="center"/>
            <w:textDirection w:val="lrTb"/>
            <w:noWrap w:val="false"/>
          </w:tcPr>
          <w:p>
            <w:pPr>
              <w:pStyle w:val="864"/>
              <w:spacing w:line="480" w:lineRule="exact"/>
              <w:rPr>
                <w:rFonts w:cs="Times New Roman"/>
              </w:rPr>
            </w:pP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营业面积（含厂房面积）</w:t>
            </w:r>
            <w:r>
              <w:rPr>
                <w:rFonts w:cs="Times New Roman"/>
              </w:rPr>
            </w:r>
            <w:r/>
          </w:p>
        </w:tc>
        <w:tc>
          <w:tcPr>
            <w:gridSpan w:val="2"/>
            <w:tcW w:w="1843" w:type="dxa"/>
            <w:vAlign w:val="center"/>
            <w:textDirection w:val="lrTb"/>
            <w:noWrap w:val="false"/>
          </w:tcPr>
          <w:p>
            <w:pPr>
              <w:pStyle w:val="864"/>
              <w:spacing w:line="480" w:lineRule="exact"/>
              <w:rPr>
                <w:rFonts w:cs="Times New Roman"/>
              </w:rPr>
            </w:pPr>
            <w:r>
              <w:rPr>
                <w:rFonts w:hint="eastAsia" w:cs="宋体"/>
              </w:rPr>
              <w:t xml:space="preserve">平方米</w:t>
            </w:r>
            <w:r>
              <w:rPr>
                <w:rFonts w:cs="Times New Roman"/>
              </w:rPr>
            </w:r>
            <w:r/>
          </w:p>
        </w:tc>
        <w:tc>
          <w:tcPr>
            <w:gridSpan w:val="2"/>
            <w:tcW w:w="1135" w:type="dxa"/>
            <w:vAlign w:val="center"/>
            <w:textDirection w:val="lrTb"/>
            <w:noWrap w:val="false"/>
          </w:tcPr>
          <w:p>
            <w:pPr>
              <w:pStyle w:val="864"/>
              <w:spacing w:line="480" w:lineRule="exact"/>
              <w:rPr>
                <w:rFonts w:cs="Times New Roman"/>
              </w:rPr>
            </w:pPr>
            <w:r>
              <w:rPr>
                <w:rFonts w:hint="eastAsia" w:cs="宋体"/>
              </w:rPr>
              <w:t xml:space="preserve">其中：</w:t>
            </w:r>
            <w:r>
              <w:rPr>
                <w:rFonts w:cs="Times New Roman"/>
              </w:rPr>
            </w:r>
            <w:r/>
          </w:p>
        </w:tc>
        <w:tc>
          <w:tcPr>
            <w:gridSpan w:val="2"/>
            <w:tcW w:w="3254" w:type="dxa"/>
            <w:vAlign w:val="center"/>
            <w:textDirection w:val="lrTb"/>
            <w:noWrap w:val="false"/>
          </w:tcPr>
          <w:p>
            <w:pPr>
              <w:pStyle w:val="864"/>
              <w:spacing w:line="480" w:lineRule="exact"/>
              <w:rPr>
                <w:rFonts w:cs="Times New Roman"/>
              </w:rPr>
            </w:pPr>
            <w:r>
              <w:rPr>
                <w:rFonts w:hint="eastAsia" w:cs="宋体"/>
                <w:szCs w:val="22"/>
                <w:lang w:bidi="ar"/>
              </w:rPr>
              <w:t xml:space="preserve">自有面积平方米</w:t>
            </w:r>
            <w:r>
              <w:rPr>
                <w:rFonts w:cs="Times New Roman"/>
              </w:rPr>
            </w:r>
            <w:r/>
          </w:p>
          <w:p>
            <w:pPr>
              <w:pStyle w:val="864"/>
              <w:spacing w:line="480" w:lineRule="exact"/>
              <w:rPr>
                <w:rFonts w:cs="Times New Roman"/>
              </w:rPr>
            </w:pPr>
            <w:r>
              <w:rPr>
                <w:rFonts w:hint="eastAsia" w:cs="宋体"/>
              </w:rPr>
              <w:t xml:space="preserve">承租面积平方米</w:t>
            </w: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单位简历及内设机构情况</w:t>
            </w:r>
            <w:r>
              <w:rPr>
                <w:rFonts w:cs="Times New Roman"/>
              </w:rPr>
            </w:r>
            <w:r/>
          </w:p>
        </w:tc>
        <w:tc>
          <w:tcPr>
            <w:gridSpan w:val="6"/>
            <w:tcW w:w="6232" w:type="dxa"/>
            <w:vAlign w:val="center"/>
            <w:textDirection w:val="lrTb"/>
            <w:noWrap w:val="false"/>
          </w:tcPr>
          <w:p>
            <w:pPr>
              <w:pStyle w:val="864"/>
              <w:spacing w:line="480" w:lineRule="exact"/>
              <w:rPr>
                <w:rFonts w:cs="Times New Roman"/>
              </w:rPr>
            </w:pP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单位优势及特长</w:t>
            </w:r>
            <w:r>
              <w:rPr>
                <w:rFonts w:cs="Times New Roman"/>
              </w:rPr>
            </w:r>
            <w:r/>
          </w:p>
        </w:tc>
        <w:tc>
          <w:tcPr>
            <w:gridSpan w:val="6"/>
            <w:tcW w:w="6232" w:type="dxa"/>
            <w:vAlign w:val="center"/>
            <w:textDirection w:val="lrTb"/>
            <w:noWrap w:val="false"/>
          </w:tcPr>
          <w:p>
            <w:pPr>
              <w:pStyle w:val="864"/>
              <w:spacing w:line="480" w:lineRule="exact"/>
              <w:rPr>
                <w:rFonts w:cs="Times New Roman"/>
              </w:rPr>
            </w:pP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近三年来完成或正在履行的重大合同情况</w:t>
            </w:r>
            <w:r>
              <w:rPr>
                <w:rFonts w:cs="Times New Roman"/>
              </w:rPr>
            </w:r>
            <w:r/>
          </w:p>
        </w:tc>
        <w:tc>
          <w:tcPr>
            <w:gridSpan w:val="6"/>
            <w:tcW w:w="6232" w:type="dxa"/>
            <w:vAlign w:val="center"/>
            <w:textDirection w:val="lrTb"/>
            <w:noWrap w:val="false"/>
          </w:tcPr>
          <w:p>
            <w:pPr>
              <w:pStyle w:val="864"/>
              <w:spacing w:line="480" w:lineRule="exact"/>
              <w:rPr>
                <w:rFonts w:cs="Times New Roman"/>
              </w:rPr>
            </w:pPr>
            <w:r>
              <w:rPr>
                <w:rFonts w:cs="Times New Roman"/>
              </w:rPr>
            </w:r>
            <w:r/>
          </w:p>
        </w:tc>
      </w:tr>
      <w:tr>
        <w:trPr>
          <w:trHeight w:val="454"/>
        </w:trPr>
        <w:tc>
          <w:tcPr>
            <w:tcW w:w="3119" w:type="dxa"/>
            <w:vAlign w:val="center"/>
            <w:textDirection w:val="lrTb"/>
            <w:noWrap w:val="false"/>
          </w:tcPr>
          <w:p>
            <w:pPr>
              <w:pStyle w:val="864"/>
              <w:spacing w:line="480" w:lineRule="exact"/>
              <w:rPr>
                <w:rFonts w:cs="Times New Roman"/>
              </w:rPr>
            </w:pPr>
            <w:r>
              <w:rPr>
                <w:rFonts w:hint="eastAsia" w:cs="宋体"/>
              </w:rPr>
              <w:t xml:space="preserve">最近</w:t>
            </w:r>
            <w:r>
              <w:rPr>
                <w:rFonts w:cs="Times New Roman"/>
              </w:rPr>
              <w:t xml:space="preserve">2</w:t>
            </w:r>
            <w:r>
              <w:rPr>
                <w:rFonts w:hint="eastAsia" w:cs="宋体"/>
              </w:rPr>
              <w:t xml:space="preserve">年内在经营过程中受到何种奖励或处分</w:t>
            </w:r>
            <w:r>
              <w:rPr>
                <w:rFonts w:cs="Times New Roman"/>
              </w:rPr>
            </w:r>
            <w:r/>
          </w:p>
        </w:tc>
        <w:tc>
          <w:tcPr>
            <w:gridSpan w:val="6"/>
            <w:tcW w:w="6232" w:type="dxa"/>
            <w:vAlign w:val="center"/>
            <w:textDirection w:val="lrTb"/>
            <w:noWrap w:val="false"/>
          </w:tcPr>
          <w:p>
            <w:pPr>
              <w:pStyle w:val="864"/>
              <w:spacing w:line="480" w:lineRule="exact"/>
              <w:rPr>
                <w:rFonts w:cs="Times New Roman"/>
              </w:rPr>
            </w:pPr>
            <w:r>
              <w:rPr>
                <w:rFonts w:hint="eastAsia" w:cs="宋体"/>
              </w:rPr>
              <w:t xml:space="preserve">（包括财政、工商、税务、物价、技监部门稽查情况和结果）</w:t>
            </w:r>
            <w:r>
              <w:rPr>
                <w:rFonts w:cs="Times New Roman"/>
              </w:rPr>
            </w:r>
            <w:r/>
          </w:p>
        </w:tc>
      </w:tr>
      <w:tr>
        <w:trPr>
          <w:trHeight w:val="954"/>
        </w:trPr>
        <w:tc>
          <w:tcPr>
            <w:tcW w:w="3119" w:type="dxa"/>
            <w:vAlign w:val="center"/>
            <w:textDirection w:val="lrTb"/>
            <w:noWrap w:val="false"/>
          </w:tcPr>
          <w:p>
            <w:pPr>
              <w:pStyle w:val="864"/>
              <w:spacing w:line="480" w:lineRule="exact"/>
              <w:rPr>
                <w:rFonts w:cs="Times New Roman"/>
              </w:rPr>
            </w:pPr>
            <w:r>
              <w:rPr>
                <w:rFonts w:hint="eastAsia" w:cs="宋体"/>
              </w:rPr>
              <w:t xml:space="preserve">最近</w:t>
            </w:r>
            <w:r>
              <w:rPr>
                <w:rFonts w:cs="Times New Roman"/>
              </w:rPr>
              <w:t xml:space="preserve">3</w:t>
            </w:r>
            <w:r>
              <w:rPr>
                <w:rFonts w:hint="eastAsia" w:cs="宋体"/>
              </w:rPr>
              <w:t xml:space="preserve">年内有无因售假、售劣或是其他原因被消费者投诉或起诉的情况及说明</w:t>
            </w:r>
            <w:r>
              <w:rPr>
                <w:rFonts w:cs="Times New Roman"/>
              </w:rPr>
            </w:r>
            <w:r/>
          </w:p>
        </w:tc>
        <w:tc>
          <w:tcPr>
            <w:gridSpan w:val="6"/>
            <w:tcW w:w="6232" w:type="dxa"/>
            <w:vAlign w:val="center"/>
            <w:textDirection w:val="lrTb"/>
            <w:noWrap w:val="false"/>
          </w:tcPr>
          <w:p>
            <w:pPr>
              <w:pStyle w:val="864"/>
              <w:spacing w:line="480" w:lineRule="exact"/>
              <w:rPr>
                <w:rFonts w:cs="Times New Roman"/>
              </w:rPr>
            </w:pPr>
            <w:r>
              <w:rPr>
                <w:rFonts w:hint="eastAsia" w:cs="宋体"/>
              </w:rPr>
              <w:t xml:space="preserve">（包括解决方式和结果）</w:t>
            </w:r>
            <w:r>
              <w:rPr>
                <w:rFonts w:cs="Times New Roman"/>
              </w:rPr>
            </w:r>
            <w:r/>
          </w:p>
        </w:tc>
      </w:tr>
      <w:tr>
        <w:trPr>
          <w:trHeight w:val="723"/>
        </w:trPr>
        <w:tc>
          <w:tcPr>
            <w:tcW w:w="3119" w:type="dxa"/>
            <w:vAlign w:val="center"/>
            <w:textDirection w:val="lrTb"/>
            <w:noWrap w:val="false"/>
          </w:tcPr>
          <w:p>
            <w:pPr>
              <w:pStyle w:val="864"/>
              <w:spacing w:line="480" w:lineRule="exact"/>
              <w:rPr>
                <w:rFonts w:cs="Times New Roman"/>
              </w:rPr>
            </w:pPr>
            <w:r>
              <w:rPr>
                <w:rFonts w:hint="eastAsia" w:cs="宋体"/>
              </w:rPr>
              <w:t xml:space="preserve">最近</w:t>
            </w:r>
            <w:r>
              <w:rPr>
                <w:rFonts w:cs="Times New Roman"/>
              </w:rPr>
              <w:t xml:space="preserve">3</w:t>
            </w:r>
            <w:r>
              <w:rPr>
                <w:rFonts w:hint="eastAsia" w:cs="宋体"/>
              </w:rPr>
              <w:t xml:space="preserve">年内主要负责人有无因经济犯罪被司法机关追究的情况及说明</w:t>
            </w:r>
            <w:r>
              <w:rPr>
                <w:rFonts w:cs="Times New Roman"/>
              </w:rPr>
            </w:r>
            <w:r/>
          </w:p>
        </w:tc>
        <w:tc>
          <w:tcPr>
            <w:gridSpan w:val="6"/>
            <w:tcW w:w="6232" w:type="dxa"/>
            <w:vAlign w:val="center"/>
            <w:textDirection w:val="lrTb"/>
            <w:noWrap w:val="false"/>
          </w:tcPr>
          <w:p>
            <w:pPr>
              <w:pStyle w:val="864"/>
              <w:spacing w:line="480" w:lineRule="exact"/>
              <w:rPr>
                <w:rFonts w:cs="Times New Roman"/>
              </w:rPr>
            </w:pPr>
            <w:r>
              <w:rPr>
                <w:rFonts w:cs="Times New Roman"/>
              </w:rPr>
            </w:r>
            <w:r/>
          </w:p>
        </w:tc>
      </w:tr>
      <w:tr>
        <w:trPr>
          <w:trHeight w:val="546"/>
        </w:trPr>
        <w:tc>
          <w:tcPr>
            <w:tcW w:w="3119" w:type="dxa"/>
            <w:vAlign w:val="center"/>
            <w:textDirection w:val="lrTb"/>
            <w:noWrap w:val="false"/>
          </w:tcPr>
          <w:p>
            <w:pPr>
              <w:pStyle w:val="864"/>
              <w:spacing w:line="480" w:lineRule="exact"/>
              <w:rPr>
                <w:rFonts w:cs="Times New Roman"/>
              </w:rPr>
            </w:pPr>
            <w:r>
              <w:rPr>
                <w:rFonts w:hint="eastAsia" w:cs="宋体"/>
              </w:rPr>
              <w:t xml:space="preserve">获得技术认证的工程师及简介</w:t>
            </w:r>
            <w:r>
              <w:rPr>
                <w:rFonts w:cs="Times New Roman"/>
              </w:rPr>
            </w:r>
            <w:r/>
          </w:p>
        </w:tc>
        <w:tc>
          <w:tcPr>
            <w:gridSpan w:val="6"/>
            <w:tcW w:w="6232" w:type="dxa"/>
            <w:vAlign w:val="center"/>
            <w:textDirection w:val="lrTb"/>
            <w:noWrap w:val="false"/>
          </w:tcPr>
          <w:p>
            <w:pPr>
              <w:pStyle w:val="864"/>
              <w:spacing w:line="480" w:lineRule="exact"/>
              <w:rPr>
                <w:rFonts w:cs="Times New Roman"/>
              </w:rPr>
            </w:pPr>
            <w:r>
              <w:rPr>
                <w:rFonts w:cs="Times New Roman"/>
              </w:rPr>
            </w:r>
            <w:r/>
          </w:p>
        </w:tc>
      </w:tr>
      <w:tr>
        <w:trPr>
          <w:trHeight w:val="552"/>
        </w:trPr>
        <w:tc>
          <w:tcPr>
            <w:tcW w:w="3119" w:type="dxa"/>
            <w:vAlign w:val="center"/>
            <w:textDirection w:val="lrTb"/>
            <w:noWrap w:val="false"/>
          </w:tcPr>
          <w:p>
            <w:pPr>
              <w:pStyle w:val="864"/>
              <w:spacing w:line="480" w:lineRule="exact"/>
              <w:rPr>
                <w:rFonts w:cs="Times New Roman"/>
              </w:rPr>
            </w:pPr>
            <w:r>
              <w:rPr>
                <w:rFonts w:hint="eastAsia" w:cs="宋体"/>
              </w:rPr>
              <w:t xml:space="preserve">其他需要说明的情况</w:t>
            </w:r>
            <w:r>
              <w:rPr>
                <w:rFonts w:cs="Times New Roman"/>
              </w:rPr>
            </w:r>
            <w:r/>
          </w:p>
        </w:tc>
        <w:tc>
          <w:tcPr>
            <w:gridSpan w:val="6"/>
            <w:tcW w:w="6232" w:type="dxa"/>
            <w:vAlign w:val="center"/>
            <w:textDirection w:val="lrTb"/>
            <w:noWrap w:val="false"/>
          </w:tcPr>
          <w:p>
            <w:pPr>
              <w:pStyle w:val="864"/>
              <w:spacing w:line="480" w:lineRule="exact"/>
              <w:rPr>
                <w:rFonts w:cs="Times New Roman"/>
              </w:rPr>
            </w:pPr>
            <w:r>
              <w:rPr>
                <w:rFonts w:cs="Times New Roman"/>
              </w:rPr>
            </w:r>
            <w:r/>
          </w:p>
        </w:tc>
      </w:tr>
    </w:tbl>
    <w:p>
      <w:pPr>
        <w:pStyle w:val="864"/>
        <w:spacing w:line="480" w:lineRule="exact"/>
      </w:p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日期：</w:t>
      </w:r>
      <w:r>
        <w:rPr>
          <w:szCs w:val="22"/>
          <w:lang w:bidi="ar"/>
        </w:rPr>
        <w:t xml:space="preserve">    </w:t>
      </w:r>
      <w:r>
        <w:rPr>
          <w:rFonts w:hint="eastAsia" w:cs="宋体"/>
          <w:szCs w:val="22"/>
          <w:lang w:bidi="ar"/>
        </w:rPr>
        <w:t xml:space="preserve">年</w:t>
      </w:r>
      <w:r>
        <w:rPr>
          <w:szCs w:val="22"/>
          <w:lang w:bidi="ar"/>
        </w:rPr>
        <w:t xml:space="preserve"> </w:t>
      </w:r>
      <w:r>
        <w:rPr>
          <w:rFonts w:hint="eastAsia"/>
          <w:szCs w:val="22"/>
          <w:lang w:bidi="ar"/>
        </w:rPr>
        <w:t xml:space="preserve"> </w:t>
      </w:r>
      <w:r>
        <w:rPr>
          <w:szCs w:val="22"/>
          <w:lang w:bidi="ar"/>
        </w:rPr>
        <w:t xml:space="preserve"> </w:t>
      </w:r>
      <w:r>
        <w:rPr>
          <w:rFonts w:hint="eastAsia" w:cs="宋体"/>
          <w:szCs w:val="22"/>
          <w:lang w:bidi="ar"/>
        </w:rPr>
        <w:t xml:space="preserve">月</w:t>
      </w:r>
      <w:r>
        <w:rPr>
          <w:szCs w:val="22"/>
          <w:lang w:bidi="ar"/>
        </w:rPr>
        <w:t xml:space="preserve">   </w:t>
      </w:r>
      <w:r>
        <w:rPr>
          <w:rFonts w:hint="eastAsia" w:cs="宋体"/>
          <w:szCs w:val="22"/>
          <w:lang w:bidi="ar"/>
        </w:rPr>
        <w:t xml:space="preserve">日</w:t>
      </w:r>
      <w:r/>
    </w:p>
    <w:p>
      <w:pPr>
        <w:pStyle w:val="864"/>
        <w:spacing w:line="480" w:lineRule="exact"/>
      </w:pPr>
      <w:r/>
      <w:r/>
    </w:p>
    <w:p>
      <w:pPr>
        <w:pStyle w:val="864"/>
        <w:widowControl/>
        <w:rPr>
          <w:rFonts w:ascii="宋体" w:hAnsi="宋体"/>
          <w:sz w:val="20"/>
          <w:szCs w:val="22"/>
        </w:rPr>
      </w:pPr>
      <w:r>
        <w:rPr>
          <w:rFonts w:hint="eastAsia" w:cs="宋体"/>
          <w:szCs w:val="22"/>
          <w:lang w:bidi="ar"/>
        </w:rPr>
        <w:t xml:space="preserve">（</w:t>
      </w:r>
      <w:r>
        <w:rPr>
          <w:szCs w:val="22"/>
          <w:lang w:bidi="ar"/>
        </w:rPr>
        <w:t xml:space="preserve">3</w:t>
      </w:r>
      <w:r>
        <w:rPr>
          <w:rFonts w:hint="eastAsia" w:cs="宋体"/>
          <w:szCs w:val="22"/>
          <w:lang w:bidi="ar"/>
        </w:rPr>
        <w:t xml:space="preserve">）</w:t>
      </w:r>
      <w:r>
        <w:rPr>
          <w:rFonts w:ascii="宋体" w:hAnsi="宋体"/>
          <w:szCs w:val="22"/>
        </w:rPr>
        <w:t xml:space="preserve">中小企业声明函</w:t>
      </w:r>
      <w:r>
        <w:rPr>
          <w:rFonts w:ascii="宋体" w:hAnsi="宋体"/>
          <w:sz w:val="20"/>
          <w:szCs w:val="22"/>
        </w:rPr>
      </w:r>
      <w:r/>
    </w:p>
    <w:p>
      <w:pPr>
        <w:pStyle w:val="864"/>
        <w:jc w:val="center"/>
        <w:spacing w:line="360" w:lineRule="auto"/>
        <w:widowControl/>
        <w:rPr>
          <w:rFonts w:ascii="宋体" w:hAnsi="宋体" w:cs="宋体"/>
          <w:sz w:val="20"/>
          <w:szCs w:val="21"/>
        </w:rPr>
      </w:pPr>
      <w:r>
        <w:rPr>
          <w:rFonts w:hint="eastAsia" w:ascii="宋体" w:hAnsi="宋体" w:cs="宋体"/>
          <w:szCs w:val="21"/>
        </w:rPr>
        <w:t xml:space="preserve">中小企业声明函（服务）</w:t>
      </w:r>
      <w:r>
        <w:rPr>
          <w:rFonts w:ascii="宋体" w:hAnsi="宋体" w:cs="宋体"/>
          <w:sz w:val="20"/>
          <w:szCs w:val="21"/>
        </w:rPr>
      </w:r>
      <w:r/>
    </w:p>
    <w:p>
      <w:pPr>
        <w:pStyle w:val="864"/>
        <w:ind w:firstLine="420"/>
        <w:jc w:val="left"/>
        <w:spacing w:line="360" w:lineRule="auto"/>
        <w:widowControl/>
        <w:rPr>
          <w:rFonts w:ascii="宋体" w:hAnsi="宋体" w:cs="宋体"/>
          <w:sz w:val="20"/>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w:t>
      </w:r>
      <w:r>
        <w:rPr>
          <w:rFonts w:hint="eastAsia" w:ascii="宋体" w:hAnsi="宋体" w:cs="宋体"/>
          <w:szCs w:val="21"/>
          <w:lang w:val="en-US" w:eastAsia="zh-CN"/>
        </w:rPr>
        <w:t xml:space="preserve">货物和</w:t>
      </w:r>
      <w:r>
        <w:rPr>
          <w:rFonts w:hint="eastAsia" w:ascii="宋体" w:hAnsi="宋体" w:cs="宋体"/>
          <w:szCs w:val="21"/>
        </w:rPr>
        <w:t xml:space="preserve">服务全部由符合政策要求的中小企业承接。相关企业（含联合体中的中小企业、签订分包意向协议的中小企业）的具体情况如下：</w:t>
      </w:r>
      <w:r>
        <w:rPr>
          <w:rFonts w:ascii="宋体" w:hAnsi="宋体" w:cs="宋体"/>
          <w:sz w:val="20"/>
          <w:szCs w:val="21"/>
        </w:rPr>
      </w:r>
      <w:r/>
    </w:p>
    <w:p>
      <w:pPr>
        <w:pStyle w:val="864"/>
        <w:ind w:firstLine="420"/>
        <w:jc w:val="left"/>
        <w:spacing w:line="360" w:lineRule="auto"/>
        <w:widowControl/>
        <w:rPr>
          <w:rFonts w:ascii="宋体" w:hAnsi="宋体" w:cs="宋体"/>
          <w:szCs w:val="21"/>
        </w:rPr>
      </w:pP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其他未列明行业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 </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864"/>
        <w:ind w:firstLine="420"/>
        <w:jc w:val="left"/>
        <w:spacing w:line="360" w:lineRule="auto"/>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以上企业，不属于大企业的分支机构，不存在控股股东为大企业的情形，也不存在与大企业的负责人为同一人的情形。本企业对上述声明内容的真实性负责。如有虚假，将依法承担相应责任。</w:t>
      </w:r>
      <w:r>
        <w:rPr>
          <w:rFonts w:ascii="宋体" w:hAnsi="宋体" w:cs="宋体"/>
          <w:szCs w:val="21"/>
        </w:rPr>
      </w:r>
      <w:r/>
    </w:p>
    <w:p>
      <w:pPr>
        <w:pStyle w:val="864"/>
        <w:spacing w:line="480" w:lineRule="exact"/>
      </w:p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   年   月   日</w:t>
      </w:r>
      <w:r/>
    </w:p>
    <w:p>
      <w:pPr>
        <w:pStyle w:val="864"/>
        <w:spacing w:line="480" w:lineRule="exact"/>
      </w:pPr>
      <w:r/>
      <w:r/>
    </w:p>
    <w:p>
      <w:pPr>
        <w:pStyle w:val="864"/>
        <w:spacing w:before="156" w:line="480" w:lineRule="exact"/>
        <w:rPr>
          <w:rFonts w:ascii="宋体" w:hAnsi="宋体"/>
          <w:b/>
          <w:szCs w:val="21"/>
        </w:rPr>
      </w:pPr>
      <w:r>
        <w:rPr>
          <w:rFonts w:hint="eastAsia" w:ascii="宋体" w:hAnsi="宋体"/>
          <w:b/>
          <w:szCs w:val="21"/>
        </w:rPr>
        <w:t xml:space="preserve">附：中小企业划型标准规定（工信部联企业〔2011〕300号）</w:t>
      </w:r>
      <w:r>
        <w:rPr>
          <w:rFonts w:ascii="宋体" w:hAnsi="宋体"/>
          <w:b/>
          <w:szCs w:val="21"/>
        </w:rPr>
      </w:r>
      <w:r/>
    </w:p>
    <w:p>
      <w:pPr>
        <w:pStyle w:val="864"/>
        <w:ind w:firstLine="422"/>
        <w:spacing w:before="156" w:line="4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864"/>
        <w:spacing w:before="156" w:line="480" w:lineRule="exact"/>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864"/>
        <w:ind w:firstLine="422"/>
        <w:spacing w:before="156" w:line="4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r>
        <w:rPr>
          <w:rFonts w:ascii="宋体" w:hAnsi="宋体"/>
          <w:szCs w:val="21"/>
        </w:rPr>
      </w:r>
      <w:r/>
    </w:p>
    <w:p>
      <w:pPr>
        <w:pStyle w:val="864"/>
        <w:spacing w:line="360" w:lineRule="auto"/>
        <w:widowControl/>
        <w:rPr>
          <w:rFonts w:ascii="Calibri" w:hAnsi="Calibri" w:cs="宋体"/>
          <w:sz w:val="20"/>
          <w:szCs w:val="22"/>
        </w:rPr>
      </w:pPr>
      <w:r>
        <w:rPr>
          <w:szCs w:val="22"/>
          <w:lang w:bidi="ar"/>
        </w:rPr>
        <w:br w:type="page" w:clear="all"/>
      </w:r>
      <w:r>
        <w:rPr>
          <w:rFonts w:hint="eastAsia" w:cs="宋体"/>
          <w:szCs w:val="22"/>
          <w:lang w:bidi="ar"/>
        </w:rPr>
        <w:t xml:space="preserve">（</w:t>
      </w:r>
      <w:r>
        <w:rPr>
          <w:szCs w:val="22"/>
          <w:lang w:bidi="ar"/>
        </w:rPr>
        <w:t xml:space="preserve">4</w:t>
      </w:r>
      <w:r>
        <w:rPr>
          <w:rFonts w:hint="eastAsia" w:cs="宋体"/>
          <w:szCs w:val="22"/>
          <w:lang w:bidi="ar"/>
        </w:rPr>
        <w:t xml:space="preserve">）</w:t>
      </w:r>
      <w:r>
        <w:rPr>
          <w:rFonts w:hint="eastAsia" w:ascii="宋体" w:hAnsi="宋体"/>
          <w:szCs w:val="22"/>
        </w:rPr>
        <w:t xml:space="preserve">残疾人福利性单位声明函</w:t>
      </w:r>
      <w:r>
        <w:rPr>
          <w:rFonts w:ascii="Calibri" w:hAnsi="Calibri" w:cs="宋体"/>
          <w:sz w:val="20"/>
          <w:szCs w:val="22"/>
        </w:rPr>
      </w:r>
      <w:r/>
    </w:p>
    <w:p>
      <w:pPr>
        <w:pStyle w:val="864"/>
        <w:jc w:val="center"/>
        <w:spacing w:line="360" w:lineRule="auto"/>
        <w:widowControl/>
        <w:rPr>
          <w:rFonts w:ascii="Calibri" w:hAnsi="Calibri" w:cs="宋体"/>
          <w:sz w:val="20"/>
          <w:szCs w:val="22"/>
        </w:rPr>
      </w:pPr>
      <w:r>
        <w:rPr>
          <w:rFonts w:hint="eastAsia" w:ascii="Calibri" w:hAnsi="Calibri" w:cs="宋体"/>
          <w:szCs w:val="22"/>
        </w:rPr>
        <w:t xml:space="preserve">残疾人福利性单位声明函</w:t>
      </w:r>
      <w:r>
        <w:rPr>
          <w:rFonts w:ascii="Calibri" w:hAnsi="Calibri" w:cs="宋体"/>
          <w:sz w:val="20"/>
          <w:szCs w:val="22"/>
        </w:rPr>
      </w:r>
      <w:r/>
    </w:p>
    <w:p>
      <w:pPr>
        <w:pStyle w:val="864"/>
        <w:spacing w:line="400" w:lineRule="exact"/>
        <w:widowControl/>
        <w:rPr>
          <w:rFonts w:ascii="宋体" w:hAnsi="宋体"/>
          <w:sz w:val="20"/>
          <w:szCs w:val="22"/>
          <w:lang w:val="zh-CN"/>
        </w:rPr>
      </w:pPr>
      <w:r>
        <w:rPr>
          <w:rFonts w:ascii="宋体" w:hAnsi="宋体"/>
          <w:sz w:val="20"/>
          <w:szCs w:val="22"/>
          <w:lang w:val="zh-CN"/>
        </w:rPr>
      </w:r>
      <w:r/>
    </w:p>
    <w:p>
      <w:pPr>
        <w:pStyle w:val="864"/>
        <w:ind w:firstLine="420"/>
        <w:spacing w:line="360" w:lineRule="auto"/>
        <w:widowControl/>
        <w:rPr>
          <w:rFonts w:ascii="宋体" w:hAnsi="宋体"/>
          <w:sz w:val="20"/>
          <w:szCs w:val="22"/>
          <w:lang w:val="zh-CN"/>
        </w:rPr>
      </w:pPr>
      <w:r>
        <w:rPr>
          <w:rFonts w:hint="eastAsia" w:ascii="宋体" w:hAnsi="宋体"/>
          <w:szCs w:val="22"/>
          <w:lang w:val="zh-CN"/>
        </w:rPr>
        <w:t xml:space="preserve">本单位郑重声明，根据《财政部民政部中国残疾人联合会关于促进残疾人就业政府采购政策的通知》（财库〔2017〕1</w:t>
      </w:r>
      <w:r>
        <w:rPr>
          <w:rFonts w:hint="eastAsia" w:ascii="宋体" w:hAnsi="宋体" w:eastAsia="宋体" w:cs="Times New Roman"/>
          <w:szCs w:val="22"/>
          <w:lang w:val="zh-CN"/>
        </w:rPr>
        <w:t xml:space="preserve">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z w:val="20"/>
          <w:szCs w:val="22"/>
          <w:lang w:val="zh-CN"/>
        </w:rPr>
      </w:r>
      <w:r/>
    </w:p>
    <w:p>
      <w:pPr>
        <w:pStyle w:val="864"/>
        <w:ind w:firstLine="420"/>
        <w:spacing w:line="360" w:lineRule="auto"/>
        <w:widowControl/>
        <w:rPr>
          <w:rFonts w:ascii="宋体" w:hAnsi="宋体"/>
          <w:sz w:val="20"/>
          <w:szCs w:val="22"/>
          <w:lang w:val="zh-CN"/>
        </w:rPr>
      </w:pPr>
      <w:r>
        <w:rPr>
          <w:rFonts w:hint="eastAsia" w:ascii="宋体" w:hAnsi="宋体"/>
          <w:szCs w:val="22"/>
          <w:lang w:val="zh-CN"/>
        </w:rPr>
        <w:t xml:space="preserve">本单位对上述声明的真实性负责。如有虚假，将依法承担相应责任。</w:t>
      </w:r>
      <w:r>
        <w:rPr>
          <w:rFonts w:ascii="宋体" w:hAnsi="宋体"/>
          <w:sz w:val="20"/>
          <w:szCs w:val="22"/>
          <w:lang w:val="zh-CN"/>
        </w:rPr>
      </w:r>
      <w:r/>
    </w:p>
    <w:p>
      <w:pPr>
        <w:pStyle w:val="864"/>
        <w:spacing w:line="360" w:lineRule="auto"/>
        <w:widowControl/>
        <w:rPr>
          <w:rFonts w:ascii="宋体" w:hAnsi="宋体"/>
          <w:sz w:val="20"/>
          <w:szCs w:val="22"/>
          <w:lang w:val="zh-CN"/>
        </w:rPr>
      </w:pPr>
      <w:r>
        <w:rPr>
          <w:rFonts w:ascii="宋体" w:hAnsi="宋体"/>
          <w:sz w:val="20"/>
          <w:szCs w:val="22"/>
          <w:lang w:val="zh-CN"/>
        </w:r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   年   月   日</w:t>
      </w:r>
      <w:r/>
    </w:p>
    <w:p>
      <w:pPr>
        <w:pStyle w:val="864"/>
        <w:spacing w:line="480" w:lineRule="exact"/>
        <w:rPr>
          <w:rFonts w:cs="宋体"/>
          <w:szCs w:val="22"/>
          <w:lang w:bidi="ar"/>
        </w:rPr>
      </w:pPr>
      <w:r>
        <w:rPr>
          <w:rFonts w:cs="宋体"/>
          <w:szCs w:val="22"/>
          <w:lang w:bidi="ar"/>
        </w:rPr>
      </w:r>
      <w:r/>
    </w:p>
    <w:p>
      <w:pPr>
        <w:pStyle w:val="864"/>
        <w:spacing w:line="400" w:lineRule="exact"/>
        <w:widowControl/>
        <w:rPr>
          <w:rFonts w:ascii="宋体" w:hAnsi="宋体"/>
          <w:b/>
          <w:szCs w:val="22"/>
        </w:rPr>
      </w:pPr>
      <w:r>
        <w:rPr>
          <w:rFonts w:cs="宋体"/>
          <w:szCs w:val="22"/>
          <w:lang w:bidi="ar"/>
        </w:rPr>
        <w:br w:type="page" w:clear="all"/>
      </w:r>
      <w:r>
        <w:rPr>
          <w:rFonts w:hint="eastAsia" w:ascii="宋体" w:hAnsi="宋体" w:cs="宋体"/>
          <w:szCs w:val="21"/>
        </w:rPr>
        <w:t xml:space="preserve">（5）投标（响应）保证承诺书</w:t>
      </w:r>
      <w:r>
        <w:rPr>
          <w:rFonts w:ascii="宋体" w:hAnsi="宋体"/>
          <w:b/>
          <w:szCs w:val="22"/>
        </w:rPr>
      </w:r>
      <w:r/>
    </w:p>
    <w:p>
      <w:pPr>
        <w:pStyle w:val="864"/>
        <w:jc w:val="center"/>
        <w:spacing w:line="360" w:lineRule="auto"/>
        <w:shd w:val="clear" w:color="auto" w:fill="ffffff"/>
        <w:widowControl/>
        <w:rPr>
          <w:rFonts w:ascii="宋体" w:hAnsi="宋体" w:cs="宋体"/>
          <w:szCs w:val="21"/>
        </w:rPr>
      </w:pPr>
      <w:r>
        <w:rPr>
          <w:rFonts w:hint="eastAsia" w:ascii="宋体" w:hAnsi="宋体" w:cs="宋体"/>
          <w:szCs w:val="21"/>
        </w:rPr>
        <w:t xml:space="preserve">投标（响应）保证承诺书</w:t>
      </w:r>
      <w:r>
        <w:rPr>
          <w:rFonts w:ascii="宋体" w:hAnsi="宋体" w:cs="宋体"/>
          <w:szCs w:val="21"/>
        </w:rPr>
      </w:r>
      <w:r/>
    </w:p>
    <w:p>
      <w:pPr>
        <w:pStyle w:val="864"/>
        <w:ind w:firstLine="420"/>
        <w:jc w:val="center"/>
        <w:spacing w:line="360" w:lineRule="auto"/>
        <w:shd w:val="clear" w:color="auto" w:fill="ffffff"/>
        <w:widowControl/>
        <w:rPr>
          <w:rFonts w:ascii="Helvetica" w:hAnsi="Helvetica" w:cs="宋体"/>
          <w:szCs w:val="21"/>
        </w:rPr>
      </w:pPr>
      <w:r>
        <w:rPr>
          <w:rFonts w:ascii="Helvetica" w:hAnsi="Helvetica" w:cs="宋体"/>
          <w:szCs w:val="21"/>
        </w:rPr>
      </w:r>
      <w:r/>
    </w:p>
    <w:p>
      <w:pPr>
        <w:pStyle w:val="864"/>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致：（采购代理机构名称）</w:t>
      </w:r>
      <w:r>
        <w:rPr>
          <w:rFonts w:ascii="Helvetica" w:hAnsi="Helvetica" w:cs="宋体"/>
          <w:szCs w:val="21"/>
        </w:rPr>
      </w:r>
      <w:r/>
    </w:p>
    <w:p>
      <w:pPr>
        <w:pStyle w:val="864"/>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w:t>
      </w:r>
      <w:r>
        <w:rPr>
          <w:rFonts w:hint="eastAsia" w:ascii="宋体" w:hAnsi="宋体" w:cs="宋体"/>
          <w:szCs w:val="21"/>
        </w:rPr>
        <w:t xml:space="preserve">（采购编号及项目名称）的投标（响应）,并做出如下承诺：</w:t>
      </w:r>
      <w:r>
        <w:rPr>
          <w:rFonts w:ascii="Helvetica" w:hAnsi="Helvetica" w:cs="宋体"/>
          <w:szCs w:val="21"/>
        </w:rPr>
      </w:r>
      <w:r/>
    </w:p>
    <w:p>
      <w:pPr>
        <w:pStyle w:val="864"/>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一、除不可抗力外，我单位如果发生以下行为，将在行为发生的10个工作日内，向贵方（或采购人）支付本采购文件公布的预算金额的2%作为违约赔偿金（数量不确定的单价采购须约定具体金额）。</w:t>
      </w:r>
      <w:r>
        <w:rPr>
          <w:rFonts w:ascii="Helvetica" w:hAnsi="Helvetica" w:cs="宋体"/>
          <w:szCs w:val="21"/>
        </w:rPr>
      </w:r>
      <w:r/>
    </w:p>
    <w:p>
      <w:pPr>
        <w:pStyle w:val="864"/>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1.自投标（响应）截止时间至本项目发布中标（成交）公告为止，撤销投标（响应）；</w:t>
      </w:r>
      <w:r>
        <w:rPr>
          <w:rFonts w:ascii="Helvetica" w:hAnsi="Helvetica" w:cs="宋体"/>
          <w:szCs w:val="21"/>
        </w:rPr>
      </w:r>
      <w:r/>
    </w:p>
    <w:p>
      <w:pPr>
        <w:pStyle w:val="864"/>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2.中标（成交）后不依法与采购人签订合同；</w:t>
      </w:r>
      <w:r>
        <w:rPr>
          <w:rFonts w:ascii="Helvetica" w:hAnsi="Helvetica" w:cs="宋体"/>
          <w:szCs w:val="21"/>
        </w:rPr>
      </w:r>
      <w:r/>
    </w:p>
    <w:p>
      <w:pPr>
        <w:pStyle w:val="864"/>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3.中标（成交）后不按本采购文件规定向采购人提交履约保证金；</w:t>
      </w:r>
      <w:r>
        <w:rPr>
          <w:rFonts w:ascii="Helvetica" w:hAnsi="Helvetica" w:cs="宋体"/>
          <w:szCs w:val="21"/>
        </w:rPr>
      </w:r>
      <w:r/>
    </w:p>
    <w:p>
      <w:pPr>
        <w:pStyle w:val="864"/>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4.中标（成交）后不按本采购文件规定向贵方缴纳采购代理费。</w:t>
      </w:r>
      <w:r>
        <w:rPr>
          <w:rFonts w:ascii="Helvetica" w:hAnsi="Helvetica" w:cs="宋体"/>
          <w:szCs w:val="21"/>
        </w:rPr>
      </w:r>
      <w:r/>
    </w:p>
    <w:p>
      <w:pPr>
        <w:pStyle w:val="864"/>
        <w:ind w:firstLine="420"/>
        <w:jc w:val="left"/>
        <w:spacing w:line="360" w:lineRule="auto"/>
        <w:shd w:val="clear" w:color="auto" w:fill="ffffff"/>
        <w:widowControl/>
        <w:rPr>
          <w:rFonts w:ascii="Helvetica" w:hAnsi="Helvetica" w:cs="宋体"/>
          <w:szCs w:val="21"/>
        </w:rPr>
      </w:pPr>
      <w:r>
        <w:rPr>
          <w:rFonts w:hint="eastAsia" w:ascii="宋体" w:hAnsi="宋体" w:cs="宋体"/>
          <w:szCs w:val="21"/>
        </w:rPr>
        <w:t xml:space="preserve">二、我单位知晓上述行为的法律后果，承认本承诺书作为贵方（或采购人）要求我单位履行违约赔偿义务的依据作用。</w:t>
      </w:r>
      <w:r>
        <w:rPr>
          <w:rFonts w:ascii="Helvetica" w:hAnsi="Helvetica" w:cs="宋体"/>
          <w:szCs w:val="21"/>
        </w:rPr>
      </w:r>
      <w:r/>
    </w:p>
    <w:p>
      <w:pPr>
        <w:pStyle w:val="864"/>
        <w:jc w:val="left"/>
        <w:spacing w:line="360" w:lineRule="auto"/>
        <w:shd w:val="clear" w:color="auto" w:fill="ffffff"/>
        <w:widowControl/>
        <w:rPr>
          <w:rFonts w:ascii="宋体" w:hAnsi="宋体"/>
          <w:szCs w:val="22"/>
          <w:lang w:val="zh-CN"/>
        </w:rPr>
      </w:pPr>
      <w:r>
        <w:rPr>
          <w:rFonts w:ascii="宋体" w:hAnsi="宋体"/>
          <w:szCs w:val="22"/>
          <w:lang w:val="zh-CN"/>
        </w:rPr>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   年   月   日</w:t>
      </w:r>
      <w:r/>
    </w:p>
    <w:p>
      <w:pPr>
        <w:pStyle w:val="864"/>
        <w:jc w:val="left"/>
        <w:spacing w:line="360" w:lineRule="auto"/>
        <w:shd w:val="clear" w:color="auto" w:fill="ffffff"/>
        <w:widowControl/>
        <w:rPr>
          <w:rFonts w:ascii="宋体" w:hAnsi="宋体"/>
          <w:szCs w:val="22"/>
          <w:lang w:val="zh-CN"/>
        </w:rPr>
      </w:pPr>
      <w:r>
        <w:rPr>
          <w:rFonts w:ascii="宋体" w:hAnsi="宋体"/>
          <w:szCs w:val="22"/>
          <w:lang w:val="zh-CN"/>
        </w:rPr>
      </w:r>
      <w:r/>
    </w:p>
    <w:p>
      <w:pPr>
        <w:pStyle w:val="864"/>
        <w:spacing w:line="480" w:lineRule="exact"/>
      </w:pPr>
      <w:r/>
      <w:r/>
    </w:p>
    <w:p>
      <w:pPr>
        <w:pStyle w:val="864"/>
        <w:spacing w:line="480" w:lineRule="exact"/>
      </w:pPr>
      <w:r>
        <w:rPr>
          <w:rFonts w:ascii="宋体" w:hAnsi="宋体"/>
          <w:szCs w:val="22"/>
          <w:lang w:val="zh-CN"/>
        </w:rPr>
        <w:br w:type="page" w:clear="all"/>
      </w:r>
      <w:r/>
    </w:p>
    <w:p>
      <w:pPr>
        <w:pStyle w:val="864"/>
        <w:spacing w:line="480" w:lineRule="exact"/>
        <w:rPr>
          <w:rFonts w:hint="eastAsia"/>
        </w:rPr>
      </w:pPr>
      <w:r>
        <w:rPr>
          <w:rFonts w:hint="eastAsia"/>
        </w:rPr>
      </w:r>
      <w:r/>
    </w:p>
    <w:p>
      <w:pPr>
        <w:pStyle w:val="864"/>
        <w:spacing w:line="480" w:lineRule="exact"/>
        <w:rPr>
          <w:rFonts w:hint="eastAsia" w:cs="宋体"/>
          <w:szCs w:val="22"/>
          <w:lang w:bidi="ar"/>
        </w:rPr>
      </w:pPr>
      <w:r>
        <w:rPr>
          <w:rFonts w:hint="eastAsia" w:cs="宋体"/>
          <w:szCs w:val="22"/>
          <w:lang w:bidi="ar"/>
        </w:rPr>
        <w:t xml:space="preserve">格式</w:t>
      </w:r>
      <w:r>
        <w:rPr>
          <w:rFonts w:hint="eastAsia"/>
          <w:szCs w:val="22"/>
          <w:lang w:bidi="ar"/>
        </w:rPr>
        <w:t xml:space="preserve">9</w:t>
      </w:r>
      <w:r>
        <w:rPr>
          <w:rFonts w:hint="eastAsia" w:cs="宋体"/>
          <w:szCs w:val="22"/>
          <w:lang w:bidi="ar"/>
        </w:rPr>
        <w:t xml:space="preserve">、</w:t>
      </w:r>
      <w:r>
        <w:rPr>
          <w:szCs w:val="22"/>
          <w:lang w:bidi="ar"/>
        </w:rPr>
        <w:t xml:space="preserve"> </w:t>
      </w:r>
      <w:r>
        <w:rPr>
          <w:rFonts w:hint="eastAsia" w:cs="宋体"/>
          <w:szCs w:val="22"/>
          <w:lang w:bidi="ar"/>
        </w:rPr>
        <w:t xml:space="preserve">具备履行合同所必需设备和专业技术能力证明材料声明函</w:t>
      </w:r>
      <w:r>
        <w:rPr>
          <w:rFonts w:hint="eastAsia" w:cs="宋体"/>
          <w:szCs w:val="22"/>
          <w:lang w:bidi="ar"/>
        </w:rPr>
      </w:r>
      <w:r/>
    </w:p>
    <w:p>
      <w:pPr>
        <w:pStyle w:val="864"/>
        <w:spacing w:line="480" w:lineRule="exact"/>
      </w:pPr>
      <w:r/>
      <w:r/>
    </w:p>
    <w:p>
      <w:pPr>
        <w:pStyle w:val="864"/>
        <w:jc w:val="center"/>
        <w:spacing w:line="480" w:lineRule="exact"/>
      </w:pPr>
      <w:r>
        <w:rPr>
          <w:rFonts w:hint="eastAsia" w:cs="宋体"/>
          <w:szCs w:val="22"/>
          <w:lang w:bidi="ar"/>
        </w:rPr>
        <w:t xml:space="preserve">具备履行合同所必需设备和专业技术能力证明材料声明函</w:t>
      </w:r>
      <w:r/>
    </w:p>
    <w:p>
      <w:pPr>
        <w:pStyle w:val="864"/>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64"/>
        <w:spacing w:line="480" w:lineRule="exact"/>
      </w:pPr>
      <w:r>
        <w:rPr>
          <w:rFonts w:hint="eastAsia" w:cs="宋体"/>
          <w:szCs w:val="22"/>
          <w:lang w:bidi="ar"/>
        </w:rPr>
        <w:t xml:space="preserve">我方具备履行合同所必需的设备和专业技术能力，并对本声明承诺的真实性负责，否则产生不利后果由我方承担责任。</w:t>
      </w:r>
      <w:r/>
    </w:p>
    <w:p>
      <w:pPr>
        <w:pStyle w:val="864"/>
        <w:spacing w:line="480" w:lineRule="exact"/>
      </w:pPr>
      <w:r>
        <w:rPr>
          <w:rFonts w:hint="eastAsia" w:cs="宋体"/>
          <w:szCs w:val="22"/>
          <w:lang w:bidi="ar"/>
        </w:rPr>
        <w:t xml:space="preserve">特此声明。</w:t>
      </w:r>
      <w:r/>
    </w:p>
    <w:p>
      <w:pPr>
        <w:pStyle w:val="864"/>
        <w:spacing w:line="480" w:lineRule="exact"/>
      </w:pPr>
      <w:r>
        <w:rPr>
          <w:szCs w:val="22"/>
          <w:lang w:bidi="ar"/>
        </w:rPr>
        <w:t xml:space="preserve"> </w:t>
      </w:r>
      <w:r/>
    </w:p>
    <w:p>
      <w:pPr>
        <w:pStyle w:val="864"/>
        <w:spacing w:line="480" w:lineRule="exact"/>
      </w:pPr>
      <w:r>
        <w:rPr>
          <w:szCs w:val="22"/>
          <w:lang w:bidi="ar"/>
        </w:rPr>
        <w:t xml:space="preserve">  </w:t>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   年   月   日</w:t>
      </w:r>
      <w:r/>
    </w:p>
    <w:p>
      <w:pPr>
        <w:pStyle w:val="864"/>
        <w:spacing w:line="480" w:lineRule="exact"/>
      </w:pPr>
      <w:r/>
      <w:r/>
    </w:p>
    <w:p>
      <w:pPr>
        <w:pStyle w:val="864"/>
        <w:spacing w:line="480" w:lineRule="exact"/>
        <w:rPr>
          <w:rFonts w:hint="eastAsia" w:cs="宋体"/>
          <w:szCs w:val="22"/>
          <w:lang w:bidi="ar"/>
        </w:rPr>
      </w:pPr>
      <w:r>
        <w:rPr>
          <w:rFonts w:hint="eastAsia" w:cs="宋体"/>
          <w:szCs w:val="22"/>
          <w:lang w:bidi="ar"/>
        </w:rPr>
      </w:r>
      <w:r/>
    </w:p>
    <w:p>
      <w:pPr>
        <w:pStyle w:val="864"/>
        <w:spacing w:line="480" w:lineRule="exact"/>
      </w:pPr>
      <w:r>
        <w:rPr>
          <w:rFonts w:cs="宋体"/>
          <w:szCs w:val="22"/>
          <w:lang w:bidi="ar"/>
        </w:rPr>
        <w:br w:type="page" w:clear="all"/>
      </w:r>
      <w:r>
        <w:rPr>
          <w:rFonts w:hint="eastAsia" w:cs="宋体"/>
          <w:szCs w:val="22"/>
          <w:lang w:bidi="ar"/>
        </w:rPr>
        <w:t xml:space="preserve">格式</w:t>
      </w:r>
      <w:r>
        <w:rPr>
          <w:rFonts w:hint="eastAsia"/>
          <w:szCs w:val="22"/>
          <w:lang w:bidi="ar"/>
        </w:rPr>
        <w:t xml:space="preserve">10</w:t>
      </w:r>
      <w:r>
        <w:rPr>
          <w:rFonts w:hint="eastAsia" w:cs="宋体"/>
          <w:szCs w:val="22"/>
          <w:lang w:bidi="ar"/>
        </w:rPr>
        <w:t xml:space="preserve">、参加采购活动前三年内在经营活动中没有重大违法记录书面声明</w:t>
      </w:r>
      <w:r/>
    </w:p>
    <w:p>
      <w:pPr>
        <w:pStyle w:val="864"/>
        <w:spacing w:line="480" w:lineRule="exact"/>
      </w:pPr>
      <w:r/>
      <w:r/>
    </w:p>
    <w:p>
      <w:pPr>
        <w:pStyle w:val="864"/>
        <w:ind w:firstLine="1260"/>
        <w:spacing w:line="480" w:lineRule="exact"/>
      </w:pPr>
      <w:r>
        <w:rPr>
          <w:rFonts w:hint="eastAsia" w:cs="宋体"/>
          <w:szCs w:val="22"/>
          <w:lang w:bidi="ar"/>
        </w:rPr>
        <w:t xml:space="preserve">参加采购活动前三年内在经营活动中没有重大违法记录书面声明</w:t>
      </w:r>
      <w:r/>
    </w:p>
    <w:p>
      <w:pPr>
        <w:pStyle w:val="864"/>
        <w:spacing w:line="480" w:lineRule="exact"/>
      </w:pPr>
      <w:r>
        <w:rPr>
          <w:rFonts w:hint="eastAsia" w:cs="宋体"/>
          <w:szCs w:val="22"/>
          <w:lang w:bidi="ar"/>
        </w:rPr>
        <w:t xml:space="preserve">致：</w:t>
      </w:r>
      <w:r>
        <w:rPr>
          <w:szCs w:val="22"/>
          <w:lang w:bidi="ar"/>
        </w:rPr>
        <w:t xml:space="preserve"> </w:t>
      </w:r>
      <w:r>
        <w:rPr>
          <w:szCs w:val="22"/>
          <w:u w:val="single"/>
          <w:lang w:bidi="ar"/>
        </w:rPr>
        <w:t xml:space="preserve"> </w:t>
      </w:r>
      <w:bookmarkStart w:id="19" w:name="_Hlk180960057"/>
      <w:r>
        <w:rPr>
          <w:szCs w:val="22"/>
          <w:u w:val="single"/>
          <w:lang w:bidi="ar"/>
        </w:rPr>
        <w:t xml:space="preserve">                           </w:t>
      </w:r>
      <w:r>
        <w:rPr>
          <w:szCs w:val="22"/>
          <w:lang w:bidi="ar"/>
        </w:rPr>
        <w:t xml:space="preserve"> (</w:t>
      </w:r>
      <w:r>
        <w:rPr>
          <w:rFonts w:hint="eastAsia" w:cs="宋体"/>
          <w:szCs w:val="22"/>
          <w:lang w:bidi="ar"/>
        </w:rPr>
        <w:t xml:space="preserve">采购人或采购代理机构</w:t>
      </w:r>
      <w:r>
        <w:rPr>
          <w:szCs w:val="22"/>
          <w:lang w:bidi="ar"/>
        </w:rPr>
        <w:t xml:space="preserve">) </w:t>
      </w:r>
      <w:r/>
    </w:p>
    <w:p>
      <w:pPr>
        <w:pStyle w:val="864"/>
        <w:spacing w:line="480" w:lineRule="exact"/>
      </w:pPr>
      <w:r/>
      <w:bookmarkEnd w:id="19"/>
      <w:r>
        <w:rPr>
          <w:rFonts w:hint="eastAsia" w:cs="宋体"/>
          <w:szCs w:val="22"/>
          <w:lang w:bidi="ar"/>
        </w:rPr>
        <w:t xml:space="preserve">参加采购活动前三年内，我方在经营活动中没有重大违法记录。</w:t>
      </w:r>
      <w:r/>
    </w:p>
    <w:p>
      <w:pPr>
        <w:pStyle w:val="864"/>
        <w:spacing w:line="480" w:lineRule="exact"/>
      </w:pPr>
      <w:r>
        <w:rPr>
          <w:rFonts w:hint="eastAsia" w:cs="宋体"/>
          <w:szCs w:val="22"/>
          <w:lang w:bidi="ar"/>
        </w:rPr>
        <w:t xml:space="preserve">特此声明。</w:t>
      </w:r>
      <w:r/>
    </w:p>
    <w:p>
      <w:pPr>
        <w:pStyle w:val="864"/>
        <w:spacing w:line="480" w:lineRule="exact"/>
      </w:pPr>
      <w:r>
        <w:rPr>
          <w:rFonts w:hint="eastAsia" w:cs="宋体"/>
          <w:szCs w:val="22"/>
          <w:lang w:bidi="ar"/>
        </w:rPr>
        <w:t xml:space="preserve">★注意：</w:t>
      </w:r>
      <w:r/>
    </w:p>
    <w:p>
      <w:pPr>
        <w:pStyle w:val="864"/>
        <w:spacing w:line="480" w:lineRule="exact"/>
      </w:pPr>
      <w:r>
        <w:rPr>
          <w:szCs w:val="22"/>
          <w:lang w:bidi="ar"/>
        </w:rPr>
        <w:t xml:space="preserve">1.</w:t>
      </w:r>
      <w:r>
        <w:rPr>
          <w:rFonts w:hint="eastAsia" w:cs="宋体"/>
          <w:szCs w:val="22"/>
          <w:lang w:bidi="ar"/>
        </w:rPr>
        <w:t xml:space="preserve">“重大违法记录”指供应商因违法经营受到刑事处罚或责令停产停业、吊销许可证或执照、较大数额罚款等行政处罚。</w:t>
      </w:r>
      <w:r/>
    </w:p>
    <w:p>
      <w:pPr>
        <w:pStyle w:val="864"/>
        <w:spacing w:line="480" w:lineRule="exact"/>
      </w:pPr>
      <w:r>
        <w:rPr>
          <w:szCs w:val="22"/>
          <w:lang w:bidi="ar"/>
        </w:rPr>
        <w:t xml:space="preserve">2.</w:t>
      </w:r>
      <w:r>
        <w:rPr>
          <w:rFonts w:hint="eastAsia" w:cs="宋体"/>
          <w:szCs w:val="22"/>
          <w:lang w:bidi="ar"/>
        </w:rPr>
        <w:t xml:space="preserve">请供应商根据实际情况进行声明，若声明不真实，视为提供虚假材料。</w:t>
      </w:r>
      <w:r/>
    </w:p>
    <w:p>
      <w:pPr>
        <w:pStyle w:val="864"/>
        <w:spacing w:line="480" w:lineRule="exact"/>
      </w:pPr>
      <w:r>
        <w:rPr>
          <w:szCs w:val="22"/>
          <w:lang w:bidi="ar"/>
        </w:rPr>
        <w:t xml:space="preserve">3.</w:t>
      </w:r>
      <w:r>
        <w:rPr>
          <w:rFonts w:hint="eastAsia" w:cs="宋体"/>
          <w:szCs w:val="22"/>
          <w:lang w:bidi="ar"/>
        </w:rPr>
        <w:t xml:space="preserve">对于接受联合体形式的投标且供应商是联合体的，则联合体各成员都应当提交本资格证明文件。</w:t>
      </w:r>
      <w:r/>
    </w:p>
    <w:p>
      <w:pPr>
        <w:pStyle w:val="864"/>
        <w:spacing w:line="480" w:lineRule="exact"/>
      </w:pPr>
      <w:r>
        <w:rPr>
          <w:szCs w:val="22"/>
          <w:lang w:bidi="ar"/>
        </w:rPr>
        <w:t xml:space="preserve"> </w:t>
      </w:r>
      <w:r/>
    </w:p>
    <w:p>
      <w:pPr>
        <w:pStyle w:val="864"/>
        <w:spacing w:line="480" w:lineRule="exact"/>
      </w:pPr>
      <w:r>
        <w:rPr>
          <w:rFonts w:hint="eastAsia" w:cs="宋体"/>
          <w:szCs w:val="22"/>
          <w:lang w:bidi="ar"/>
        </w:rPr>
        <w:t xml:space="preserve">供应商：（单位盖章）</w:t>
      </w:r>
      <w:r/>
    </w:p>
    <w:p>
      <w:pPr>
        <w:pStyle w:val="864"/>
        <w:spacing w:line="480" w:lineRule="exact"/>
      </w:pPr>
      <w:r>
        <w:rPr>
          <w:rFonts w:hint="eastAsia" w:cs="宋体"/>
          <w:szCs w:val="22"/>
          <w:lang w:bidi="ar"/>
        </w:rPr>
        <w:t xml:space="preserve">法定代表人或代理人：（签字或签章）</w:t>
      </w:r>
      <w:r/>
    </w:p>
    <w:p>
      <w:pPr>
        <w:pStyle w:val="864"/>
        <w:spacing w:line="480" w:lineRule="exact"/>
      </w:pPr>
      <w:r>
        <w:rPr>
          <w:rFonts w:hint="eastAsia" w:cs="宋体"/>
          <w:szCs w:val="22"/>
          <w:lang w:bidi="ar"/>
        </w:rPr>
        <w:t xml:space="preserve">日期：   年   月   日</w:t>
      </w:r>
      <w:r/>
    </w:p>
    <w:p>
      <w:pPr>
        <w:pStyle w:val="864"/>
        <w:spacing w:line="480" w:lineRule="exact"/>
      </w:pPr>
      <w:r/>
      <w:r/>
    </w:p>
    <w:p>
      <w:pPr>
        <w:pStyle w:val="864"/>
        <w:spacing w:line="480" w:lineRule="exact"/>
        <w:rPr>
          <w:rFonts w:hint="eastAsia"/>
        </w:rPr>
      </w:pPr>
      <w:r>
        <w:rPr>
          <w:rFonts w:hint="eastAsia"/>
        </w:rPr>
      </w:r>
      <w:r/>
    </w:p>
    <w:p>
      <w:pPr>
        <w:pStyle w:val="864"/>
        <w:keepLines/>
        <w:keepNext/>
        <w:spacing w:before="340" w:after="330" w:line="480" w:lineRule="exact"/>
        <w:rPr>
          <w:rFonts w:cs="宋体"/>
          <w:b/>
          <w:color w:val="000000"/>
          <w:sz w:val="28"/>
          <w:szCs w:val="28"/>
          <w:lang w:bidi="ar"/>
        </w:rPr>
        <w:outlineLvl w:val="0"/>
      </w:pPr>
      <w:r/>
      <w:bookmarkEnd w:id="7"/>
      <w:r/>
      <w:bookmarkStart w:id="20" w:name="_Toc7813"/>
      <w:r>
        <w:rPr>
          <w:rFonts w:cs="宋体"/>
          <w:b/>
          <w:color w:val="000000"/>
          <w:sz w:val="28"/>
          <w:szCs w:val="28"/>
          <w:lang w:bidi="ar"/>
        </w:rPr>
      </w:r>
      <w:r/>
    </w:p>
    <w:p>
      <w:pPr>
        <w:pStyle w:val="864"/>
        <w:keepLines/>
        <w:keepNext/>
        <w:spacing w:before="340" w:after="330" w:line="480" w:lineRule="exact"/>
        <w:rPr>
          <w:rFonts w:hint="eastAsia" w:cs="宋体"/>
          <w:b/>
          <w:color w:val="000000"/>
          <w:sz w:val="28"/>
          <w:szCs w:val="28"/>
          <w:lang w:bidi="ar"/>
        </w:rPr>
        <w:outlineLvl w:val="0"/>
      </w:pPr>
      <w:r>
        <w:rPr>
          <w:rFonts w:hint="eastAsia" w:cs="宋体"/>
          <w:b/>
          <w:color w:val="000000"/>
          <w:sz w:val="28"/>
          <w:szCs w:val="28"/>
          <w:lang w:bidi="ar"/>
        </w:rPr>
      </w:r>
      <w:r/>
    </w:p>
    <w:p>
      <w:pPr>
        <w:pStyle w:val="864"/>
        <w:ind w:firstLine="3654"/>
        <w:keepLines/>
        <w:keepNext/>
        <w:spacing w:before="340" w:after="330" w:line="480" w:lineRule="exact"/>
        <w:rPr>
          <w:rFonts w:cs="宋体"/>
          <w:b/>
          <w:color w:val="000000"/>
          <w:sz w:val="28"/>
          <w:szCs w:val="28"/>
          <w:lang w:bidi="ar"/>
        </w:rPr>
        <w:outlineLvl w:val="0"/>
      </w:pPr>
      <w:r>
        <w:rPr>
          <w:rFonts w:cs="宋体"/>
          <w:b/>
          <w:color w:val="000000"/>
          <w:sz w:val="28"/>
          <w:szCs w:val="28"/>
          <w:lang w:bidi="ar"/>
        </w:rPr>
        <w:br w:type="page" w:clear="all"/>
      </w:r>
      <w:r>
        <w:rPr>
          <w:rFonts w:hint="eastAsia" w:cs="宋体"/>
          <w:b/>
          <w:color w:val="000000"/>
          <w:sz w:val="28"/>
          <w:szCs w:val="28"/>
          <w:lang w:bidi="ar"/>
        </w:rPr>
        <w:t xml:space="preserve">第四章</w:t>
      </w:r>
      <w:r>
        <w:rPr>
          <w:rFonts w:cs="宋体"/>
          <w:b/>
          <w:color w:val="000000"/>
          <w:sz w:val="28"/>
          <w:szCs w:val="28"/>
          <w:lang w:bidi="ar"/>
        </w:rPr>
        <w:t xml:space="preserve"> </w:t>
      </w:r>
      <w:r>
        <w:rPr>
          <w:rFonts w:hint="eastAsia" w:cs="宋体"/>
          <w:b/>
          <w:color w:val="000000"/>
          <w:sz w:val="28"/>
          <w:szCs w:val="28"/>
          <w:lang w:bidi="ar"/>
        </w:rPr>
        <w:t xml:space="preserve">招标书</w:t>
      </w:r>
      <w:bookmarkEnd w:id="8"/>
      <w:r/>
      <w:bookmarkEnd w:id="20"/>
      <w:r>
        <w:rPr>
          <w:rFonts w:cs="宋体"/>
          <w:b/>
          <w:color w:val="000000"/>
          <w:sz w:val="28"/>
          <w:szCs w:val="28"/>
          <w:lang w:bidi="ar"/>
        </w:rPr>
      </w:r>
      <w:r/>
    </w:p>
    <w:p>
      <w:pPr>
        <w:pStyle w:val="864"/>
        <w:ind w:firstLine="420"/>
        <w:spacing w:line="360" w:lineRule="auto"/>
        <w:rPr>
          <w:rFonts w:hint="eastAsia" w:ascii="宋体" w:hAnsi="宋体" w:cs="宋体"/>
          <w:color w:val="000000"/>
          <w:sz w:val="20"/>
          <w:szCs w:val="22"/>
        </w:rPr>
      </w:pPr>
      <w:r>
        <w:rPr>
          <w:rFonts w:hint="eastAsia" w:ascii="宋体" w:hAnsi="宋体" w:cs="宋体"/>
          <w:color w:val="000000"/>
          <w:szCs w:val="22"/>
          <w:lang w:bidi="ar"/>
        </w:rPr>
        <w:t xml:space="preserve">苏州市永诚建设咨询有限公司受</w:t>
      </w:r>
      <w:r>
        <w:rPr>
          <w:rFonts w:hint="eastAsia" w:ascii="宋体" w:hAnsi="宋体" w:cs="宋体"/>
          <w:color w:val="000000"/>
          <w:szCs w:val="22"/>
          <w:lang w:eastAsia="zh-CN" w:bidi="ar"/>
        </w:rPr>
        <w:t xml:space="preserve">苏州市石湖景区管理处（华南虎苏州培育基地）</w:t>
      </w:r>
      <w:r>
        <w:rPr>
          <w:rFonts w:hint="eastAsia" w:ascii="宋体" w:hAnsi="宋体" w:cs="宋体"/>
          <w:color w:val="000000"/>
          <w:szCs w:val="22"/>
          <w:lang w:bidi="ar"/>
        </w:rPr>
        <w:t xml:space="preserve">的委托，就其所需要招标的</w:t>
      </w:r>
      <w:r>
        <w:rPr>
          <w:rFonts w:hint="eastAsia" w:ascii="宋体" w:hAnsi="宋体" w:cs="宋体"/>
          <w:color w:val="000000"/>
          <w:szCs w:val="22"/>
          <w:lang w:eastAsia="zh-CN" w:bidi="ar"/>
        </w:rPr>
        <w:t xml:space="preserve">野生动物饲料</w:t>
      </w:r>
      <w:r>
        <w:rPr>
          <w:rFonts w:hint="eastAsia" w:ascii="宋体" w:hAnsi="宋体" w:cs="宋体"/>
          <w:color w:val="000000"/>
          <w:szCs w:val="22"/>
          <w:lang w:bidi="ar"/>
        </w:rPr>
        <w:t xml:space="preserve">在国内组织公开招标。欢迎符合招标文件资格条件的供应商前来投标。</w:t>
      </w:r>
      <w:r>
        <w:rPr>
          <w:rFonts w:hint="eastAsia" w:ascii="宋体" w:hAnsi="宋体" w:cs="宋体"/>
          <w:color w:val="000000"/>
          <w:sz w:val="20"/>
          <w:szCs w:val="22"/>
        </w:rPr>
      </w:r>
      <w:r/>
    </w:p>
    <w:p>
      <w:pPr>
        <w:pStyle w:val="864"/>
        <w:ind w:firstLine="420"/>
        <w:spacing w:line="360" w:lineRule="auto"/>
        <w:tabs>
          <w:tab w:val="left" w:pos="540" w:leader="none"/>
          <w:tab w:val="left" w:pos="567" w:leader="none"/>
        </w:tabs>
        <w:rPr>
          <w:rFonts w:hint="eastAsia" w:ascii="宋体" w:hAnsi="宋体" w:eastAsia="宋体" w:cs="宋体"/>
          <w:color w:val="000000"/>
          <w:szCs w:val="22"/>
          <w:lang w:eastAsia="zh-CN" w:bidi="ar"/>
        </w:rPr>
      </w:pPr>
      <w:r>
        <w:rPr>
          <w:rFonts w:hint="eastAsia" w:ascii="宋体" w:hAnsi="宋体" w:cs="宋体"/>
          <w:color w:val="000000"/>
          <w:szCs w:val="22"/>
          <w:lang w:bidi="ar"/>
        </w:rPr>
        <w:t xml:space="preserve">一、项目编号：</w:t>
      </w:r>
      <w:r>
        <w:rPr>
          <w:rFonts w:hint="eastAsia" w:ascii="宋体" w:hAnsi="宋体" w:cs="宋体"/>
          <w:color w:val="000000"/>
          <w:szCs w:val="22"/>
          <w:lang w:eastAsia="zh-CN" w:bidi="ar"/>
        </w:rPr>
        <w:t xml:space="preserve">JSZC-320500-CCCC-G2026-0008</w:t>
      </w:r>
      <w:r>
        <w:rPr>
          <w:rFonts w:hint="eastAsia" w:ascii="宋体" w:hAnsi="宋体" w:eastAsia="宋体" w:cs="宋体"/>
          <w:color w:val="000000"/>
          <w:szCs w:val="22"/>
          <w:lang w:eastAsia="zh-CN" w:bidi="ar"/>
        </w:rPr>
      </w:r>
      <w:r/>
    </w:p>
    <w:p>
      <w:pPr>
        <w:pStyle w:val="864"/>
        <w:ind w:firstLine="420"/>
        <w:spacing w:line="360" w:lineRule="auto"/>
        <w:tabs>
          <w:tab w:val="left" w:pos="540" w:leader="none"/>
          <w:tab w:val="left" w:pos="567" w:leader="none"/>
        </w:tabs>
        <w:rPr>
          <w:rFonts w:hint="eastAsia" w:ascii="宋体" w:hAnsi="宋体" w:eastAsia="宋体" w:cs="宋体"/>
          <w:color w:val="000000"/>
          <w:szCs w:val="22"/>
          <w:lang w:eastAsia="zh-CN" w:bidi="ar"/>
        </w:rPr>
      </w:pPr>
      <w:r>
        <w:rPr>
          <w:rFonts w:hint="eastAsia" w:ascii="宋体" w:hAnsi="宋体" w:cs="宋体"/>
          <w:color w:val="000000"/>
          <w:szCs w:val="22"/>
          <w:lang w:bidi="ar"/>
        </w:rPr>
        <w:t xml:space="preserve">二、项目名称：</w:t>
      </w:r>
      <w:r>
        <w:rPr>
          <w:rFonts w:hint="eastAsia" w:ascii="宋体" w:hAnsi="宋体" w:cs="宋体"/>
          <w:color w:val="000000"/>
          <w:szCs w:val="22"/>
          <w:lang w:eastAsia="zh-CN" w:bidi="ar"/>
        </w:rPr>
        <w:t xml:space="preserve">野生动物饲料</w:t>
      </w:r>
      <w:r>
        <w:rPr>
          <w:rFonts w:hint="eastAsia" w:ascii="宋体" w:hAnsi="宋体" w:eastAsia="宋体" w:cs="宋体"/>
          <w:color w:val="000000"/>
          <w:szCs w:val="22"/>
          <w:lang w:eastAsia="zh-CN" w:bidi="ar"/>
        </w:rPr>
      </w:r>
      <w:r/>
    </w:p>
    <w:p>
      <w:pPr>
        <w:pStyle w:val="864"/>
        <w:ind w:firstLine="420"/>
        <w:spacing w:line="360" w:lineRule="auto"/>
        <w:widowControl/>
        <w:tabs>
          <w:tab w:val="left" w:pos="540" w:leader="none"/>
          <w:tab w:val="left" w:pos="567" w:leader="none"/>
        </w:tabs>
        <w:rPr>
          <w:rFonts w:hint="eastAsia" w:ascii="Calibri" w:hAnsi="Calibri" w:eastAsia="宋体"/>
          <w:highlight w:val="none"/>
          <w:lang w:eastAsia="zh-CN"/>
        </w:rPr>
      </w:pPr>
      <w:r>
        <w:rPr>
          <w:rFonts w:hint="eastAsia" w:ascii="宋体" w:hAnsi="宋体" w:cs="宋体"/>
          <w:color w:val="000000"/>
          <w:szCs w:val="22"/>
          <w:lang w:bidi="ar"/>
        </w:rPr>
        <w:t xml:space="preserve">三、</w:t>
      </w:r>
      <w:r>
        <w:rPr>
          <w:rFonts w:hint="eastAsia" w:ascii="Calibri" w:hAnsi="Calibri" w:cs="宋体"/>
          <w:szCs w:val="22"/>
          <w:lang w:bidi="ar"/>
        </w:rPr>
        <w:t xml:space="preserve">预算金额（元）：</w:t>
      </w:r>
      <w:r>
        <w:rPr>
          <w:rFonts w:hint="eastAsia" w:ascii="Calibri" w:hAnsi="Calibri" w:cs="宋体"/>
          <w:szCs w:val="22"/>
          <w:highlight w:val="none"/>
          <w:lang w:bidi="ar"/>
        </w:rPr>
        <w:t xml:space="preserve">人民币</w:t>
      </w:r>
      <w:r>
        <w:rPr>
          <w:rFonts w:hint="eastAsia" w:ascii="Calibri" w:hAnsi="Calibri" w:cs="宋体"/>
          <w:szCs w:val="22"/>
          <w:highlight w:val="none"/>
          <w:lang w:eastAsia="zh-CN" w:bidi="ar"/>
        </w:rPr>
        <w:t xml:space="preserve">伍佰零肆万壹仟零叁拾捌元贰角叁分（￥5041038.23元）</w:t>
      </w:r>
      <w:r>
        <w:rPr>
          <w:rFonts w:hint="eastAsia" w:ascii="Calibri" w:hAnsi="Calibri" w:eastAsia="宋体"/>
          <w:highlight w:val="none"/>
          <w:lang w:eastAsia="zh-CN"/>
        </w:rPr>
      </w:r>
      <w:r/>
    </w:p>
    <w:p>
      <w:pPr>
        <w:pStyle w:val="864"/>
        <w:ind w:firstLine="420"/>
        <w:spacing w:line="360" w:lineRule="auto"/>
        <w:widowControl/>
        <w:tabs>
          <w:tab w:val="left" w:pos="540" w:leader="none"/>
          <w:tab w:val="left" w:pos="567" w:leader="none"/>
        </w:tabs>
        <w:rPr>
          <w:rFonts w:ascii="宋体" w:hAnsi="宋体" w:cs="宋体"/>
          <w:color w:val="000000"/>
          <w:szCs w:val="22"/>
          <w:lang w:bidi="ar"/>
        </w:rPr>
      </w:pPr>
      <w:r>
        <w:rPr>
          <w:rFonts w:hint="eastAsia" w:ascii="宋体" w:hAnsi="宋体" w:cs="宋体"/>
          <w:color w:val="000000"/>
          <w:szCs w:val="22"/>
          <w:lang w:bidi="ar"/>
        </w:rPr>
        <w:t xml:space="preserve">四、</w:t>
      </w:r>
      <w:r>
        <w:rPr>
          <w:rFonts w:hint="eastAsia" w:ascii="宋体" w:hAnsi="宋体" w:cs="宋体"/>
          <w:color w:val="000000"/>
          <w:szCs w:val="22"/>
          <w:lang w:val="en-US" w:eastAsia="zh-CN" w:bidi="ar"/>
        </w:rPr>
        <w:t xml:space="preserve">招标内容</w:t>
      </w:r>
      <w:r>
        <w:rPr>
          <w:rFonts w:hint="eastAsia" w:ascii="宋体" w:hAnsi="宋体" w:cs="宋体"/>
          <w:color w:val="000000"/>
          <w:szCs w:val="22"/>
          <w:lang w:bidi="ar"/>
        </w:rPr>
        <w:t xml:space="preserve">：</w:t>
      </w:r>
      <w:r>
        <w:rPr>
          <w:rFonts w:ascii="宋体" w:hAnsi="宋体" w:cs="宋体"/>
          <w:color w:val="000000"/>
          <w:szCs w:val="22"/>
          <w:lang w:bidi="ar"/>
        </w:rPr>
      </w:r>
      <w:r/>
    </w:p>
    <w:p>
      <w:pPr>
        <w:pStyle w:val="864"/>
        <w:ind w:firstLine="420"/>
        <w:spacing w:line="360" w:lineRule="auto"/>
        <w:widowControl/>
        <w:tabs>
          <w:tab w:val="left" w:pos="540" w:leader="none"/>
          <w:tab w:val="left" w:pos="567" w:leader="none"/>
        </w:tabs>
        <w:rPr>
          <w:rFonts w:hint="eastAsia" w:ascii="宋体" w:hAnsi="宋体" w:cs="宋体"/>
          <w:color w:val="000000"/>
          <w:szCs w:val="22"/>
          <w:lang w:val="en-US" w:eastAsia="zh-CN" w:bidi="ar"/>
        </w:rPr>
      </w:pPr>
      <w:r/>
      <w:bookmarkStart w:id="21" w:name="_Hlk77405072"/>
      <w:r>
        <w:rPr>
          <w:rFonts w:hint="eastAsia" w:ascii="宋体" w:hAnsi="宋体" w:cs="宋体"/>
          <w:color w:val="000000"/>
          <w:szCs w:val="22"/>
          <w:lang w:eastAsia="zh-CN" w:bidi="ar"/>
        </w:rPr>
        <w:t xml:space="preserve">（</w:t>
      </w:r>
      <w:r>
        <w:rPr>
          <w:rFonts w:hint="eastAsia" w:ascii="宋体" w:hAnsi="宋体" w:cs="宋体"/>
          <w:color w:val="000000"/>
          <w:szCs w:val="22"/>
          <w:lang w:val="en-US" w:eastAsia="zh-CN" w:bidi="ar"/>
        </w:rPr>
        <w:t xml:space="preserve">一）项目概况：</w:t>
      </w:r>
      <w:r>
        <w:rPr>
          <w:rFonts w:hint="eastAsia" w:ascii="宋体" w:hAnsi="宋体" w:cs="宋体"/>
          <w:color w:val="000000"/>
          <w:szCs w:val="22"/>
          <w:lang w:val="en-US" w:eastAsia="zh-CN" w:bidi="ar"/>
        </w:rPr>
      </w:r>
      <w:r/>
    </w:p>
    <w:p>
      <w:pPr>
        <w:pStyle w:val="864"/>
        <w:ind w:firstLine="420"/>
        <w:jc w:val="left"/>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野生动物饲料项目主要内容为购置全园野生动物饲料，包括肉禽类、蔬果水产类、草干、草食动物颗粒料和饲料原材料（树叶、鲜草、杂粮）等饲料，保障动物的健康生活与繁育需求，确保各项常规饲养管理工作有序、稳定运转。项目实施周期从2026年4月1日至2027年3月31日，为期12个月</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864"/>
        <w:numPr>
          <w:ilvl w:val="0"/>
          <w:numId w:val="0"/>
        </w:numPr>
        <w:ind w:firstLine="420"/>
        <w:jc w:val="left"/>
        <w:spacing w:line="360" w:lineRule="auto"/>
        <w:shd w:val="clear" w:color="auto" w:fill="ffffff"/>
        <w:widowControl/>
        <w:rPr>
          <w:rFonts w:hint="eastAsia" w:ascii="宋体" w:hAnsi="宋体" w:eastAsia="宋体" w:cs="宋体"/>
          <w:szCs w:val="21"/>
          <w:lang w:val="en-US" w:eastAsia="zh-CN"/>
        </w:rPr>
      </w:pPr>
      <w:r>
        <w:rPr>
          <w:rFonts w:hint="eastAsia" w:ascii="宋体" w:hAnsi="宋体" w:eastAsia="宋体" w:cs="宋体"/>
          <w:szCs w:val="21"/>
          <w:lang w:val="zh-TW"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val="zh-TW" w:eastAsia="zh-TW"/>
        </w:rPr>
        <w:t xml:space="preserve">服务地点：</w:t>
      </w:r>
      <w:r>
        <w:rPr>
          <w:rFonts w:hint="eastAsia" w:ascii="宋体" w:hAnsi="宋体" w:eastAsia="宋体" w:cs="宋体"/>
          <w:szCs w:val="21"/>
        </w:rPr>
        <w:t xml:space="preserve">苏州市虎丘区上方山南麓</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具体以采购人实际需求为准）</w:t>
      </w:r>
      <w:r>
        <w:rPr>
          <w:rFonts w:hint="eastAsia" w:ascii="宋体" w:hAnsi="宋体" w:eastAsia="宋体" w:cs="宋体"/>
          <w:szCs w:val="21"/>
          <w:lang w:val="en-US" w:eastAsia="zh-CN"/>
        </w:rPr>
      </w:r>
      <w:r/>
    </w:p>
    <w:p>
      <w:pPr>
        <w:pStyle w:val="864"/>
        <w:numPr>
          <w:ilvl w:val="0"/>
          <w:numId w:val="2"/>
        </w:numPr>
        <w:ind w:left="315" w:firstLine="0"/>
        <w:jc w:val="left"/>
        <w:spacing w:line="360" w:lineRule="auto"/>
        <w:shd w:val="clear" w:color="auto" w:fill="ffffff"/>
        <w:widowControl/>
        <w:rPr>
          <w:rFonts w:ascii="宋体" w:hAnsi="宋体" w:eastAsia="宋体" w:cs="宋体"/>
          <w:color w:val="000000"/>
          <w:szCs w:val="22"/>
          <w:lang w:val="en-US" w:eastAsia="zh-CN" w:bidi="ar"/>
        </w:rPr>
      </w:pPr>
      <w:r>
        <w:rPr>
          <w:rFonts w:hint="eastAsia" w:ascii="宋体" w:hAnsi="宋体" w:eastAsia="宋体" w:cs="宋体"/>
          <w:color w:val="000000"/>
          <w:szCs w:val="22"/>
          <w:lang w:val="zh-TW" w:eastAsia="zh-CN" w:bidi="ar"/>
        </w:rPr>
        <w:t xml:space="preserve">采购饲料清单：</w:t>
      </w:r>
      <w:r>
        <w:rPr>
          <w:rFonts w:hint="eastAsia" w:ascii="宋体" w:hAnsi="宋体" w:eastAsia="宋体" w:cs="宋体"/>
          <w:color w:val="000000"/>
          <w:szCs w:val="22"/>
          <w:lang w:val="en-US" w:eastAsia="zh-CN" w:bidi="ar"/>
        </w:rPr>
        <w:t xml:space="preserve">  </w:t>
      </w:r>
      <w:r>
        <w:rPr>
          <w:rFonts w:ascii="宋体" w:hAnsi="宋体" w:eastAsia="宋体" w:cs="宋体"/>
          <w:color w:val="000000"/>
          <w:szCs w:val="22"/>
          <w:lang w:val="en-US" w:eastAsia="zh-CN" w:bidi="ar"/>
        </w:rPr>
      </w:r>
      <w:r/>
    </w:p>
    <w:tbl>
      <w:tblPr>
        <w:tblW w:w="9627" w:type="dxa"/>
        <w:tblInd w:w="-108" w:type="dxa"/>
        <w:tblLayout w:type="fixed"/>
        <w:tblCellMar>
          <w:left w:w="108" w:type="dxa"/>
          <w:top w:w="0" w:type="dxa"/>
          <w:right w:w="108" w:type="dxa"/>
          <w:bottom w:w="0" w:type="dxa"/>
        </w:tblCellMar>
        <w:tblLook w:val="04A0" w:firstRow="1" w:lastRow="0" w:firstColumn="1" w:lastColumn="0" w:noHBand="0" w:noVBand="1"/>
      </w:tblPr>
      <w:tblGrid>
        <w:gridCol w:w="885"/>
        <w:gridCol w:w="1934"/>
        <w:gridCol w:w="674"/>
        <w:gridCol w:w="1480"/>
        <w:gridCol w:w="1316"/>
        <w:gridCol w:w="1385"/>
        <w:gridCol w:w="1953"/>
      </w:tblGrid>
      <w:tr>
        <w:trPr>
          <w:trHeight w:val="54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rPr>
                <w:rFonts w:hint="eastAsia" w:ascii="宋体" w:hAnsi="宋体" w:eastAsia="宋体" w:cs="宋体"/>
                <w:bCs/>
                <w:color w:val="000000"/>
                <w:sz w:val="21"/>
                <w:szCs w:val="21"/>
              </w:rPr>
            </w:r>
            <w:r/>
          </w:p>
        </w:tc>
        <w:tc>
          <w:tcPr>
            <w:tcBorders>
              <w:top w:val="single" w:color="000000" w:sz="4" w:space="0"/>
              <w:left w:val="none" w:color="000000" w:sz="4" w:space="0"/>
              <w:bottom w:val="none" w:color="000000" w:sz="4" w:space="0"/>
              <w:right w:val="single" w:color="000000" w:sz="4" w:space="0"/>
            </w:tcBorders>
            <w:tcW w:w="193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饲料种类</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widowControl/>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单价最高限价（元）</w:t>
            </w:r>
            <w:r>
              <w:rPr>
                <w:rFonts w:ascii="宋体" w:hAnsi="宋体" w:eastAsia="宋体" w:cs="宋体"/>
                <w:bCs/>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合价最高限价（元）</w:t>
            </w:r>
            <w:r>
              <w:rPr>
                <w:rFonts w:ascii="宋体" w:hAnsi="宋体" w:eastAsia="宋体" w:cs="宋体"/>
                <w:bCs/>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规格或要求</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新鲜牛后腿肉</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44,556.60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36.90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冷冻牛霖</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21,464.81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32.60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冷冻带脖鸡架</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21,440.00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2.80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冷冻肉兔</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10,778.00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17.00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新鲜猪排</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8,513.00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17.00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整块，不切小</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新鲜羊肉</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3,434.20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31.60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三黄鸡</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8,160.00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10.96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每只3-4斤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猪后腿肉</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465.00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包菜</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1.06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大白菜</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1.39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鸡毛菜</w:t>
            </w:r>
            <w:r>
              <w:rPr>
                <w:rFonts w:hint="eastAsia" w:ascii="宋体" w:hAnsi="宋体" w:eastAsia="宋体" w:cs="宋体"/>
                <w:bCs/>
                <w:color w:val="000000"/>
                <w:sz w:val="21"/>
                <w:szCs w:val="21"/>
              </w:rPr>
            </w:r>
            <w:r/>
          </w:p>
        </w:tc>
        <w:tc>
          <w:tcPr>
            <w:tcBorders>
              <w:top w:val="none" w:color="000000" w:sz="4" w:space="0"/>
              <w:left w:val="none" w:color="000000" w:sz="4" w:space="0"/>
              <w:bottom w:val="non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13,400.00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3.50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12</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红薯</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2.50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干净无泥，单个0.7-1斤左右</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南瓜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2.32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val="false"/>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单个约8斤</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胡萝卜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24,000.00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2.20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单根150g-350g，长度不超过20cm，粗细不超过4.5cm</w:t>
            </w:r>
            <w:r>
              <w:rPr>
                <w:rFonts w:hint="eastAsia" w:ascii="宋体" w:hAnsi="宋体" w:eastAsia="宋体" w:cs="宋体"/>
                <w:bCs/>
                <w:color w:val="000000"/>
                <w:sz w:val="21"/>
                <w:szCs w:val="21"/>
              </w:rPr>
            </w:r>
            <w:r/>
          </w:p>
        </w:tc>
      </w:tr>
      <w:tr>
        <w:trPr>
          <w:trHeight w:val="1021"/>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黄瓜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val="false"/>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单根长度25-30cm</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3.22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去皮水果玉米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3,600.00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2.50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单根350-400g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西红柿</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3.70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单个150-200g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圣女果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洋葱</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红洋葱</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油麦菜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3.89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22</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苦瓜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丝瓜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24</w:t>
            </w:r>
            <w:r>
              <w:rPr>
                <w:rFonts w:hint="eastAsia" w:ascii="宋体" w:hAnsi="宋体" w:eastAsia="宋体" w:cs="宋体"/>
                <w:bCs/>
                <w:color w:val="000000"/>
                <w:sz w:val="21"/>
                <w:szCs w:val="21"/>
                <w:lang w:val="en-US" w:eastAsia="zh-CN" w:bidi="ar-SA"/>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红薯叶</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7,000.00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茄子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大蒜头</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白心火龙果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1,600.00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5.50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单果500-550g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梨</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单果约350g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29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猕猴桃</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苹果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40,840.00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4.35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单果直径75-80mm</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葡萄</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370.00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7.43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32</w:t>
            </w:r>
            <w:r>
              <w:rPr>
                <w:rFonts w:hint="eastAsia" w:ascii="宋体" w:hAnsi="宋体" w:eastAsia="宋体" w:cs="宋体"/>
                <w:bCs/>
                <w:color w:val="000000"/>
                <w:sz w:val="21"/>
                <w:szCs w:val="21"/>
                <w:lang w:val="en-US" w:eastAsia="zh-CN" w:bidi="ar-SA"/>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西瓜</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14,000.00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香蕉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6,437.80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3.62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单根150-200g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柚子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3.98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草莓</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芒果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菠萝</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210.00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哈密瓜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3.84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单个约5斤</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39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甜瓜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40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桃子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41</w:t>
            </w:r>
            <w:r>
              <w:rPr>
                <w:rFonts w:hint="eastAsia" w:ascii="宋体" w:hAnsi="宋体" w:eastAsia="宋体" w:cs="宋体"/>
                <w:bCs/>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樱桃</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10.00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24.00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highlight w:val="none"/>
              </w:rPr>
              <w:t xml:space="preserve">42</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黄桃</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6.80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43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水蜜桃</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44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黑布林</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9.71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45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橘子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46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石榴</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47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柿子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160.00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48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西梅</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49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青提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16.00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50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金桔</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51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蓝莓</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盒</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125g/盒</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52</w:t>
            </w:r>
            <w:r>
              <w:rPr>
                <w:rFonts w:hint="eastAsia" w:ascii="宋体" w:hAnsi="宋体" w:eastAsia="宋体" w:cs="宋体"/>
                <w:bCs/>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鲜山楂</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30.00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6.00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highlight w:val="none"/>
              </w:rPr>
              <w:t xml:space="preserve">53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菠萝蜜肉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54</w:t>
            </w:r>
            <w:r>
              <w:rPr>
                <w:rFonts w:hint="eastAsia" w:ascii="宋体" w:hAnsi="宋体" w:eastAsia="宋体" w:cs="宋体"/>
                <w:bCs/>
                <w:color w:val="000000"/>
                <w:sz w:val="21"/>
                <w:szCs w:val="21"/>
                <w:lang w:val="en-US" w:eastAsia="zh-CN" w:bidi="ar-SA"/>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橙子</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55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甘蔗</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根</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单根长度不少于2.5米</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56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14.00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57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莴笋叶</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2.36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干净，无杂物</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58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西芹</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3.93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59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青圆椒</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西蓝花</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4.34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毛豆夹</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4.75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62</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土豆</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2.86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藕</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5.95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茼蒿</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4.50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扁蒲</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4.40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鲜活小鲫鱼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14.28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每条长度6-8cm</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鲜活鲫鱼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11.46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每条200-250g（宰杀前）</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鲜活草鱼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7.54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每条约7斤（宰杀前）</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69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鲜活泥鳅</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70</w:t>
            </w:r>
            <w:r>
              <w:rPr>
                <w:rFonts w:hint="eastAsia" w:ascii="宋体" w:hAnsi="宋体" w:eastAsia="宋体" w:cs="宋体"/>
                <w:bCs/>
                <w:color w:val="000000"/>
                <w:sz w:val="21"/>
                <w:szCs w:val="21"/>
                <w:lang w:val="en-US" w:eastAsia="zh-CN" w:bidi="ar-SA"/>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基围虾</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24.00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鲜活，1斤约30-35只</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龙虾</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鲜活，单只4-6钱</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72</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黄豆</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4.29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黑豆</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6.49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玉米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12,550.00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3.13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碎米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2.50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2.58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稻谷</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2.40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2.40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79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香瓜子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生，大</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80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花生米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生，白皮</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81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花生</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6.71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生，带壳</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82</w:t>
            </w: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火麻仁</w:t>
            </w:r>
            <w:r>
              <w:rPr>
                <w:rFonts w:hint="eastAsia" w:ascii="宋体" w:hAnsi="宋体" w:eastAsia="宋体" w:cs="宋体"/>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斤</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600.00 </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10.00 </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highlight w:val="none"/>
              </w:rPr>
              <w:t xml:space="preserve">83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麸皮</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1.80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84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白馒头</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0.60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85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白砂糖</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500g/袋</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86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500g/袋</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87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纯牛奶</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箱</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250mlx24盒/箱</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88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鸡蛋</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6,400.00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4.01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89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鸡颗粒饲料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3.70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90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鹅颗粒饲料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3.50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91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中鸡饲料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3.59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92</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羊草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吨</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2,070.00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93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苜蓿草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吨</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4,320.00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94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草食动物颗粒料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吨</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95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长颈鹿专用颗粒料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2,600.00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3.50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96</w:t>
            </w:r>
            <w:r>
              <w:rPr>
                <w:rFonts w:hint="eastAsia" w:ascii="宋体" w:hAnsi="宋体" w:eastAsia="宋体" w:cs="宋体"/>
                <w:bCs/>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树叶</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208,196.00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1.00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right"/>
              <w:keepLines w:val="0"/>
              <w:keepNext w:val="0"/>
              <w:widowControl/>
              <w:rPr>
                <w:rFonts w:ascii="宋体" w:hAnsi="宋体" w:eastAsia="宋体" w:cs="宋体"/>
                <w:bCs/>
                <w:color w:val="000000"/>
                <w:sz w:val="21"/>
                <w:szCs w:val="21"/>
                <w:highlight w:val="green"/>
                <w:lang w:val="en-US" w:eastAsia="zh-CN"/>
              </w:rPr>
              <w:suppressLineNumbers w:val="0"/>
            </w:pPr>
            <w:r>
              <w:rPr>
                <w:rFonts w:ascii="宋体" w:hAnsi="宋体" w:eastAsia="宋体" w:cs="宋体"/>
                <w:bCs/>
                <w:color w:val="000000"/>
                <w:sz w:val="21"/>
                <w:szCs w:val="21"/>
                <w:highlight w:val="green"/>
                <w:lang w:val="en-US" w:eastAsia="zh-C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97</w:t>
            </w:r>
            <w:r>
              <w:rPr>
                <w:rFonts w:hint="eastAsia" w:ascii="宋体" w:hAnsi="宋体" w:eastAsia="宋体" w:cs="宋体"/>
                <w:bCs/>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竹叶</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24,000.00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1.80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right"/>
              <w:keepLines w:val="0"/>
              <w:keepNext w:val="0"/>
              <w:widowControl/>
              <w:rPr>
                <w:rFonts w:ascii="宋体" w:hAnsi="宋体" w:eastAsia="宋体" w:cs="宋体"/>
                <w:bCs/>
                <w:color w:val="000000"/>
                <w:sz w:val="21"/>
                <w:szCs w:val="21"/>
                <w:highlight w:val="green"/>
                <w:lang w:val="en-US"/>
              </w:rPr>
              <w:suppressLineNumbers w:val="0"/>
            </w:pPr>
            <w:r>
              <w:rPr>
                <w:rFonts w:ascii="宋体" w:hAnsi="宋体" w:eastAsia="宋体" w:cs="宋体"/>
                <w:bCs/>
                <w:color w:val="000000"/>
                <w:sz w:val="21"/>
                <w:szCs w:val="21"/>
                <w:highlight w:val="green"/>
                <w:lang w:val="en-US"/>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rPr>
              <w:t xml:space="preserve">98</w:t>
            </w:r>
            <w:r>
              <w:rPr>
                <w:rFonts w:hint="eastAsia" w:ascii="宋体" w:hAnsi="宋体" w:eastAsia="宋体" w:cs="宋体"/>
                <w:bCs/>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芭蕉杆</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颗</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151.00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4.00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right"/>
              <w:keepLines w:val="0"/>
              <w:keepNext w:val="0"/>
              <w:widowControl/>
              <w:rPr>
                <w:rFonts w:ascii="宋体" w:hAnsi="宋体" w:eastAsia="宋体" w:cs="宋体"/>
                <w:bCs/>
                <w:color w:val="000000"/>
                <w:sz w:val="21"/>
                <w:szCs w:val="21"/>
                <w:highlight w:val="green"/>
                <w:lang w:val="en-US"/>
              </w:rPr>
              <w:suppressLineNumbers w:val="0"/>
            </w:pPr>
            <w:r>
              <w:rPr>
                <w:rFonts w:ascii="宋体" w:hAnsi="宋体" w:eastAsia="宋体" w:cs="宋体"/>
                <w:bCs/>
                <w:color w:val="000000"/>
                <w:sz w:val="21"/>
                <w:szCs w:val="21"/>
                <w:highlight w:val="green"/>
                <w:lang w:val="en-US"/>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highlight w:val="none"/>
              </w:rPr>
              <w:t xml:space="preserve">99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去皮去骨花鲢鱼肉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活兔</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活乳鼠</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9.69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102</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金丝熊</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18.00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冻乳鼠</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面包虫</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大麦虫</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53.71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鹦鹉凡尔赛奶粉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罐</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每罐3kg</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鹦鹉凡尔赛饲料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盒</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每盒700g</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小熊猫颗粒料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包</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335.00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每包50斤</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109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虾皮</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18.00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冰块</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块</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790.00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每块100斤</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白萝卜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192.00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1.58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112</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大青菜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3.62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燕麦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荞麦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加纳利子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116</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冬枣</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117</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马蹄</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118</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龙眼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119</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荔枝</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120</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西葫芦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121</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柠檬</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9.24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27"/>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122</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去壳栗子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123</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冬枣</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124</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铁棍山药</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6.47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rPr>
              <w:t xml:space="preserve">125</w:t>
            </w:r>
            <w:r>
              <w:rPr>
                <w:rFonts w:hint="eastAsia" w:ascii="宋体" w:hAnsi="宋体" w:eastAsia="宋体" w:cs="宋体"/>
                <w:bCs/>
                <w:color w:val="000000"/>
                <w:sz w:val="21"/>
                <w:szCs w:val="21"/>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贝贝南瓜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16"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385"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61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yellow"/>
                <w:lang w:val="en-US" w:eastAsia="zh-CN" w:bidi="ar-SA"/>
              </w:rPr>
            </w:pPr>
            <w:r>
              <w:rPr>
                <w:rFonts w:hint="eastAsia" w:ascii="宋体" w:hAnsi="宋体" w:eastAsia="宋体" w:cs="宋体"/>
                <w:bCs/>
                <w:color w:val="000000"/>
                <w:sz w:val="21"/>
                <w:szCs w:val="21"/>
              </w:rPr>
              <w:t xml:space="preserve">126</w:t>
            </w:r>
            <w:r>
              <w:rPr>
                <w:rFonts w:hint="eastAsia" w:ascii="宋体" w:hAnsi="宋体" w:eastAsia="宋体" w:cs="宋体"/>
                <w:bCs/>
                <w:color w:val="000000"/>
                <w:sz w:val="21"/>
                <w:szCs w:val="21"/>
                <w:highlight w:val="yellow"/>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安吉竹叶</w:t>
            </w:r>
            <w:r>
              <w:rPr>
                <w:rFonts w:hint="eastAsia" w:ascii="宋体" w:hAnsi="宋体" w:eastAsia="宋体" w:cs="宋体"/>
                <w:bCs/>
                <w:color w:val="000000"/>
                <w:sz w:val="21"/>
                <w:szCs w:val="21"/>
                <w:highlight w:val="none"/>
              </w:rPr>
            </w:r>
            <w:r/>
          </w:p>
        </w:tc>
        <w:tc>
          <w:tcPr>
            <w:gridSpan w:val="3"/>
            <w:tcBorders>
              <w:top w:val="none" w:color="000000" w:sz="4" w:space="0"/>
              <w:left w:val="single" w:color="000000" w:sz="4" w:space="0"/>
              <w:bottom w:val="single" w:color="000000" w:sz="4" w:space="0"/>
              <w:right w:val="single" w:color="000000" w:sz="4" w:space="0"/>
            </w:tcBorders>
            <w:tcW w:w="3470" w:type="dxa"/>
            <w:vAlign w:val="center"/>
            <w:textDirection w:val="lrTb"/>
            <w:noWrap w:val="false"/>
          </w:tcPr>
          <w:p>
            <w:pPr>
              <w:pStyle w:val="86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每3天配送一次，</w:t>
            </w:r>
            <w:r>
              <w:rPr>
                <w:rFonts w:hint="eastAsia" w:ascii="宋体" w:hAnsi="宋体" w:eastAsia="宋体" w:cs="宋体"/>
                <w:bCs/>
                <w:color w:val="000000"/>
                <w:sz w:val="21"/>
                <w:szCs w:val="21"/>
                <w:highlight w:val="none"/>
                <w:lang w:val="en-US" w:eastAsia="zh-CN"/>
              </w:rPr>
              <w:t xml:space="preserve">每次配送180斤，单次</w:t>
            </w:r>
            <w:r>
              <w:rPr>
                <w:rFonts w:hint="eastAsia" w:ascii="宋体" w:hAnsi="宋体" w:eastAsia="宋体" w:cs="宋体"/>
                <w:bCs/>
                <w:color w:val="000000"/>
                <w:sz w:val="21"/>
                <w:szCs w:val="21"/>
                <w:highlight w:val="none"/>
              </w:rPr>
              <w:t xml:space="preserve">配送费1200元，竹叶1.8元/斤。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185000</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1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ascii="宋体" w:hAnsi="宋体" w:eastAsia="宋体" w:cs="宋体"/>
                <w:bCs/>
                <w:color w:val="000000"/>
                <w:sz w:val="21"/>
                <w:szCs w:val="21"/>
                <w:highlight w:val="yellow"/>
                <w:lang w:val="en-US" w:eastAsia="zh-CN" w:bidi="ar-SA"/>
              </w:rPr>
            </w:pPr>
            <w:r>
              <w:rPr>
                <w:rFonts w:hint="eastAsia" w:ascii="宋体" w:hAnsi="宋体" w:eastAsia="宋体" w:cs="宋体"/>
                <w:bCs/>
                <w:color w:val="000000"/>
                <w:sz w:val="21"/>
                <w:szCs w:val="21"/>
                <w:highlight w:val="none"/>
              </w:rPr>
              <w:t xml:space="preserve">127</w:t>
            </w:r>
            <w:r>
              <w:rPr>
                <w:rFonts w:ascii="宋体" w:hAnsi="宋体" w:eastAsia="宋体" w:cs="宋体"/>
                <w:bCs/>
                <w:color w:val="000000"/>
                <w:sz w:val="21"/>
                <w:szCs w:val="21"/>
                <w:highlight w:val="yellow"/>
                <w:lang w:val="en-US" w:eastAsia="zh-CN" w:bidi="ar-SA"/>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零星采购</w:t>
            </w:r>
            <w:r>
              <w:rPr>
                <w:rFonts w:hint="eastAsia" w:ascii="宋体" w:hAnsi="宋体" w:eastAsia="宋体" w:cs="宋体"/>
                <w:bCs/>
                <w:color w:val="000000"/>
                <w:sz w:val="21"/>
                <w:szCs w:val="21"/>
                <w:highlight w:val="none"/>
              </w:rPr>
            </w:r>
            <w:r/>
          </w:p>
        </w:tc>
        <w:tc>
          <w:tcPr>
            <w:gridSpan w:val="3"/>
            <w:tcBorders>
              <w:top w:val="none" w:color="000000" w:sz="4" w:space="0"/>
              <w:left w:val="single" w:color="000000" w:sz="4" w:space="0"/>
              <w:bottom w:val="single" w:color="000000" w:sz="4" w:space="0"/>
              <w:right w:val="single" w:color="000000" w:sz="4" w:space="0"/>
            </w:tcBorders>
            <w:tcW w:w="3470" w:type="dxa"/>
            <w:vAlign w:val="center"/>
            <w:textDirection w:val="lrTb"/>
            <w:noWrap w:val="false"/>
          </w:tcPr>
          <w:p>
            <w:pPr>
              <w:pStyle w:val="86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鲜草采购总价约9.6万（单次配送450kg,800元/次，合计配送120次）、吐司、茨菇、酸奶、鹌鹑蛋、石粉、纸皮核桃、无核红枣、狗奶粉、米粉、盐砖、猴颗粒料、龟粮等不确定用量的饲料及突发情况新增的饲料。</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tcPr>
          <w:p>
            <w:pPr>
              <w:pStyle w:val="864"/>
              <w:jc w:val="center"/>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300000</w:t>
            </w:r>
            <w:r>
              <w:rPr>
                <w:rFonts w:ascii="宋体" w:hAnsi="宋体" w:eastAsia="宋体" w:cs="宋体"/>
                <w:bCs/>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此报价为固定报价，投标供应商无需下浮。</w:t>
            </w:r>
            <w:r>
              <w:rPr>
                <w:rFonts w:hint="eastAsia" w:ascii="宋体" w:hAnsi="宋体" w:cs="宋体"/>
                <w:sz w:val="21"/>
                <w:szCs w:val="21"/>
                <w:highlight w:val="none"/>
                <w:lang w:val="en-US" w:eastAsia="zh-CN"/>
              </w:rPr>
            </w:r>
            <w:r/>
          </w:p>
        </w:tc>
      </w:tr>
    </w:tbl>
    <w:p>
      <w:pPr>
        <w:pStyle w:val="864"/>
        <w:spacing w:line="360" w:lineRule="auto"/>
        <w:rPr>
          <w:rFonts w:ascii="宋体" w:hAnsi="宋体" w:cs="宋体"/>
          <w:b/>
          <w:color w:val="000000"/>
          <w:sz w:val="21"/>
          <w:szCs w:val="21"/>
          <w:highlight w:val="none"/>
          <w:lang w:val="zh-TW"/>
        </w:rPr>
      </w:pPr>
      <w:r>
        <w:rPr>
          <w:rFonts w:hint="eastAsia" w:ascii="宋体" w:hAnsi="宋体" w:cs="宋体"/>
          <w:b/>
          <w:color w:val="000000"/>
          <w:sz w:val="21"/>
          <w:szCs w:val="21"/>
          <w:highlight w:val="none"/>
          <w:lang w:val="zh-TW"/>
        </w:rPr>
        <w:t xml:space="preserve">注：以上采购饲料种类仅供参考，具体以采购人的实际需求为准。</w:t>
      </w:r>
      <w:r>
        <w:rPr>
          <w:rFonts w:ascii="宋体" w:hAnsi="宋体" w:cs="宋体"/>
          <w:b/>
          <w:color w:val="000000"/>
          <w:sz w:val="21"/>
          <w:szCs w:val="21"/>
          <w:highlight w:val="none"/>
          <w:lang w:val="zh-TW"/>
        </w:rPr>
      </w:r>
      <w:r/>
    </w:p>
    <w:p>
      <w:pPr>
        <w:pStyle w:val="864"/>
        <w:ind w:firstLine="420"/>
        <w:spacing w:line="360" w:lineRule="auto"/>
        <w:widowControl/>
        <w:tabs>
          <w:tab w:val="left" w:pos="540" w:leader="none"/>
          <w:tab w:val="left" w:pos="567" w:leader="none"/>
        </w:tabs>
        <w:rPr>
          <w:rFonts w:hint="eastAsia" w:ascii="宋体" w:hAnsi="宋体" w:eastAsia="宋体" w:cs="宋体"/>
          <w:color w:val="000000"/>
          <w:szCs w:val="22"/>
          <w:lang w:val="en-US" w:eastAsia="zh-CN" w:bidi="ar"/>
        </w:rPr>
      </w:pPr>
      <w:r>
        <w:rPr>
          <w:rFonts w:hint="eastAsia" w:ascii="宋体" w:hAnsi="宋体" w:eastAsia="宋体" w:cs="宋体"/>
          <w:color w:val="000000"/>
          <w:szCs w:val="22"/>
          <w:lang w:val="en-US" w:eastAsia="zh-CN" w:bidi="ar"/>
        </w:rPr>
        <w:t xml:space="preserve">五、饲料质量及标准</w:t>
      </w:r>
      <w:r>
        <w:rPr>
          <w:rFonts w:hint="eastAsia" w:ascii="宋体" w:hAnsi="宋体" w:eastAsia="宋体" w:cs="宋体"/>
          <w:color w:val="000000"/>
          <w:szCs w:val="22"/>
          <w:lang w:val="en-US" w:eastAsia="zh-CN" w:bidi="ar"/>
        </w:rPr>
      </w:r>
      <w:r/>
    </w:p>
    <w:p>
      <w:pPr>
        <w:pStyle w:val="901"/>
        <w:ind w:firstLine="640"/>
        <w:jc w:val="left"/>
        <w:spacing w:line="560" w:lineRule="exact"/>
        <w:tabs>
          <w:tab w:val="left" w:pos="3060" w:leader="none"/>
        </w:tabs>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（一）肉禽类饲料</w:t>
      </w:r>
      <w:r>
        <w:rPr>
          <w:rFonts w:hint="eastAsia" w:ascii="宋体" w:hAnsi="宋体" w:eastAsia="宋体" w:cs="宋体"/>
          <w:b/>
          <w:bCs w:val="0"/>
          <w:color w:val="000000"/>
          <w:sz w:val="21"/>
          <w:szCs w:val="21"/>
        </w:rPr>
      </w:r>
      <w:r/>
    </w:p>
    <w:p>
      <w:pPr>
        <w:pStyle w:val="864"/>
        <w:ind w:firstLine="422"/>
        <w:jc w:val="left"/>
        <w:spacing w:line="560" w:lineRule="exact"/>
        <w:tabs>
          <w:tab w:val="left" w:pos="3060" w:leader="none"/>
        </w:tabs>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新鲜牛后腿肉</w:t>
      </w:r>
      <w:r>
        <w:rPr>
          <w:rFonts w:hint="eastAsia" w:ascii="宋体" w:hAnsi="宋体" w:eastAsia="宋体" w:cs="宋体"/>
          <w:b/>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供货方提供的牛肉部位为去骨牛后腿肉，非经冰冻过，保证新鲜。所供肉品应保持较好的外观和质量等级，严禁注水肉。新鲜牛后腿肉必须肉色鲜红，肉质弹性好，指压后凹陷立即恢复。外表微干或有风干膜，触摸不粘手，切面有光泽、微湿润，极少渗出物，脂肪白色或乳白色。具有浓郁的牛肉气味，无异味、无霉烂变质。严禁携带寄生虫，不带油、内脏和杂碎，肉边整齐、无碎骨。</w:t>
      </w:r>
      <w:r>
        <w:rPr>
          <w:rFonts w:hint="eastAsia" w:ascii="宋体" w:hAnsi="宋体" w:eastAsia="宋体" w:cs="宋体"/>
          <w:sz w:val="21"/>
          <w:szCs w:val="21"/>
        </w:rPr>
      </w:r>
      <w:r/>
    </w:p>
    <w:p>
      <w:pPr>
        <w:pStyle w:val="864"/>
        <w:ind w:firstLine="422"/>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冷冻肉品</w:t>
      </w:r>
      <w:r>
        <w:rPr>
          <w:rFonts w:hint="eastAsia" w:ascii="宋体" w:hAnsi="宋体" w:eastAsia="宋体" w:cs="宋体"/>
          <w:b/>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供货方提供的冷冻肉品，产品非病死畜禽制品，无变质、无异味、无腐败、无杂质，无反复冻融，供货方货物送到指定地点时，货物剩余保质期天数不得少于保质期总天数的一半。包装袋须为食品级包装袋，复合包装材料应符合GB9683和有关标准规定的要求，其他包装材料和容器必须符合相应国家标准和有关规定。</w:t>
      </w:r>
      <w:r>
        <w:rPr>
          <w:rFonts w:hint="eastAsia" w:ascii="宋体" w:hAnsi="宋体" w:eastAsia="宋体" w:cs="宋体"/>
          <w:sz w:val="21"/>
          <w:szCs w:val="21"/>
        </w:rPr>
      </w:r>
      <w:r/>
    </w:p>
    <w:p>
      <w:pPr>
        <w:pStyle w:val="864"/>
        <w:ind w:firstLine="422"/>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新鲜猪排</w:t>
      </w:r>
      <w:r>
        <w:rPr>
          <w:rFonts w:hint="eastAsia" w:ascii="宋体" w:hAnsi="宋体" w:eastAsia="宋体" w:cs="宋体"/>
          <w:b/>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供货方提供的新鲜猪排，肉质有弹性，整体色泽光滑，微湿润且不粘手，切面红色，手指轻按凹陷地方马上恢复，修去外露脂肪。无淤血、无伤斑、无注水、无寄生虫；无炎症病变、杂质和外露筋膜。</w:t>
      </w:r>
      <w:r>
        <w:rPr>
          <w:rFonts w:hint="eastAsia" w:ascii="宋体" w:hAnsi="宋体" w:eastAsia="宋体" w:cs="宋体"/>
          <w:sz w:val="21"/>
          <w:szCs w:val="21"/>
        </w:rPr>
      </w:r>
      <w:r/>
    </w:p>
    <w:p>
      <w:pPr>
        <w:pStyle w:val="864"/>
        <w:ind w:firstLine="422"/>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其他要求</w:t>
      </w:r>
      <w:r>
        <w:rPr>
          <w:rFonts w:hint="eastAsia" w:ascii="宋体" w:hAnsi="宋体" w:eastAsia="宋体" w:cs="宋体"/>
          <w:b/>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（1）产品须符合国家相关标准及国家食品卫生法规规定的标准。如遇国家修改标准，自新标准施行之日起采用新标准。</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（2）原料肉必须来自非疫区，经兽医卫生检验合格，在运输过程中未被污染；无水、无胶、无淤血、新鲜、无病害。</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3）原料肉需提供《动物检疫合格证》原件或复印件1份。所有肉品色泽、组织状态、粘度、气味和杂质等感官指标和挥发性盐基氮、汞等理化指标、微生物指标、药残和瘦肉精必须符合国家对肉品的相关质量标准，并符合国家《中华人民共和国食品安全法》。</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（4）不新鲜、污秽不洁、混有异物等存在严重质量问题的肉品，必须无条件退货，如给采购方造成损失的，应按照合同进行赔偿。</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（5）供货方提供的肉品饲料均可溯源。</w:t>
      </w:r>
      <w:r>
        <w:rPr>
          <w:rFonts w:hint="eastAsia" w:ascii="宋体" w:hAnsi="宋体" w:eastAsia="宋体" w:cs="宋体"/>
          <w:sz w:val="21"/>
          <w:szCs w:val="21"/>
        </w:rPr>
      </w:r>
      <w:r/>
    </w:p>
    <w:p>
      <w:pPr>
        <w:pStyle w:val="864"/>
        <w:ind w:firstLine="422"/>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标准</w:t>
      </w:r>
      <w:r>
        <w:rPr>
          <w:rFonts w:hint="eastAsia" w:ascii="宋体" w:hAnsi="宋体" w:eastAsia="宋体" w:cs="宋体"/>
          <w:b/>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供货方所供肉品饲料应符合下列食品类相关标准及规程：</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（1）《畜禽肉水分限量》（GB18394-2020）</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（2）《牛肉等级规格》（NY/T676-2010）</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（3）《猪肉等级规格》（NY/T1759-2009）</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（4）《食品安全国家标准鲜（冻）畜、禽产品》（GB2707-2016）</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（5）《畜禽屠宰卫生检疫规范》（NY467-2001）</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（6）《食品安全国家标准食品中41种兽药最大残留限量》（GB31650.1-2022） </w:t>
      </w:r>
      <w:r>
        <w:rPr>
          <w:rFonts w:hint="eastAsia" w:ascii="宋体" w:hAnsi="宋体" w:eastAsia="宋体" w:cs="宋体"/>
          <w:sz w:val="21"/>
          <w:szCs w:val="21"/>
        </w:rPr>
      </w:r>
      <w:r/>
    </w:p>
    <w:p>
      <w:pPr>
        <w:pStyle w:val="864"/>
        <w:ind w:firstLine="422"/>
        <w:spacing w:line="560" w:lineRule="exact"/>
        <w:rPr>
          <w:rFonts w:hint="eastAsia" w:ascii="宋体" w:hAnsi="宋体" w:eastAsia="宋体" w:cs="宋体"/>
          <w:b/>
          <w:bCs w:val="0"/>
          <w:color w:val="000000"/>
          <w:sz w:val="21"/>
          <w:szCs w:val="21"/>
          <w:lang w:val="en-US" w:eastAsia="zh-CN"/>
        </w:rPr>
      </w:pPr>
      <w:r>
        <w:rPr>
          <w:rFonts w:hint="eastAsia" w:ascii="宋体" w:hAnsi="宋体" w:eastAsia="宋体" w:cs="宋体"/>
          <w:b/>
          <w:bCs w:val="0"/>
          <w:color w:val="000000"/>
          <w:sz w:val="21"/>
          <w:szCs w:val="21"/>
          <w:lang w:val="en-US" w:eastAsia="zh-CN"/>
        </w:rPr>
        <w:t xml:space="preserve">注：上述标准文件如有更新，按最新的参照标准执行。</w:t>
      </w:r>
      <w:r>
        <w:rPr>
          <w:rFonts w:hint="eastAsia" w:ascii="宋体" w:hAnsi="宋体" w:eastAsia="宋体" w:cs="宋体"/>
          <w:b/>
          <w:bCs w:val="0"/>
          <w:color w:val="000000"/>
          <w:sz w:val="21"/>
          <w:szCs w:val="21"/>
          <w:lang w:val="en-US" w:eastAsia="zh-CN"/>
        </w:rPr>
      </w:r>
      <w:r/>
    </w:p>
    <w:p>
      <w:pPr>
        <w:pStyle w:val="864"/>
        <w:ind w:firstLine="422"/>
        <w:spacing w:line="560" w:lineRule="exact"/>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（二）蔬果鱼虾杂粮类等饲料</w:t>
      </w:r>
      <w:r>
        <w:rPr>
          <w:rFonts w:hint="eastAsia" w:ascii="宋体" w:hAnsi="宋体" w:eastAsia="宋体" w:cs="宋体"/>
          <w:b/>
          <w:bCs w:val="0"/>
          <w:color w:val="000000"/>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产品须符合相关国家标准及国家食品卫生法规规定的标准。遇国家修改标准，自新标准施行之日起采用新标准。</w:t>
      </w:r>
      <w:r>
        <w:rPr>
          <w:rFonts w:hint="eastAsia" w:ascii="宋体" w:hAnsi="宋体" w:eastAsia="宋体" w:cs="宋体"/>
          <w:sz w:val="21"/>
          <w:szCs w:val="21"/>
        </w:rPr>
      </w:r>
      <w:r/>
    </w:p>
    <w:p>
      <w:pPr>
        <w:pStyle w:val="864"/>
        <w:ind w:firstLine="422"/>
        <w:jc w:val="left"/>
        <w:spacing w:line="560" w:lineRule="exact"/>
        <w:tabs>
          <w:tab w:val="left" w:pos="3060" w:leader="none"/>
        </w:tabs>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蔬菜水果类</w:t>
      </w:r>
      <w:r>
        <w:rPr>
          <w:rFonts w:hint="eastAsia" w:ascii="宋体" w:hAnsi="宋体" w:eastAsia="宋体" w:cs="宋体"/>
          <w:b/>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（1）形状、机械伤：蔬果形状完整未软化，大小适中，曲线协调，无明显的机械伤，相同新鲜条件下无外力造成的伤害。如挤伤、压伤、碰伤、切口、裂伤等。</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（2）水分、新鲜度：蔬果无冻伤、无异常的外部水分，冷藏取出后的冷凝水除外，无过分萎蔫、皱皮，新鲜清洁无腐烂变质；无异味，无死斑块。</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（3）色泽、硬度：蔬果色泽正常无变色，有光泽、色泽鲜艳，果型饱满、结实、无空心。</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（4）病虫害：无虫害、虫嗑、无残虫卵。</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（5）成熟度：充分发育，达到适当的成熟度，未过熟未腐</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烂，带柄蔬</w:t>
      </w:r>
      <w:r>
        <w:rPr>
          <w:rFonts w:hint="eastAsia" w:ascii="宋体" w:hAnsi="宋体" w:eastAsia="宋体" w:cs="宋体"/>
          <w:sz w:val="21"/>
          <w:szCs w:val="21"/>
          <w:highlight w:val="none"/>
        </w:rPr>
        <w:t xml:space="preserve">果，</w:t>
      </w:r>
      <w:r>
        <w:rPr>
          <w:rFonts w:hint="eastAsia" w:ascii="宋体" w:hAnsi="宋体" w:eastAsia="宋体" w:cs="宋体"/>
          <w:sz w:val="21"/>
          <w:szCs w:val="21"/>
          <w:highlight w:val="none"/>
          <w:lang w:val="en-US" w:eastAsia="zh-CN"/>
        </w:rPr>
        <w:t xml:space="preserve">柄长</w:t>
      </w:r>
      <w:r>
        <w:rPr>
          <w:rFonts w:hint="eastAsia" w:ascii="宋体" w:hAnsi="宋体" w:eastAsia="宋体" w:cs="宋体"/>
          <w:sz w:val="21"/>
          <w:szCs w:val="21"/>
          <w:highlight w:val="none"/>
        </w:rPr>
        <w:t xml:space="preserve">不</w:t>
      </w:r>
      <w:r>
        <w:rPr>
          <w:rFonts w:hint="eastAsia" w:ascii="宋体" w:hAnsi="宋体" w:eastAsia="宋体" w:cs="宋体"/>
          <w:sz w:val="21"/>
          <w:szCs w:val="21"/>
        </w:rPr>
        <w:t xml:space="preserve">能超过1cm。</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（6）污染：无污染、无带泥，无运输造成的污染。</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（7）包装：应有包装，完整干净。</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（8）所有蔬果农残检测均合格，无农药残留。</w:t>
      </w:r>
      <w:r>
        <w:rPr>
          <w:rFonts w:hint="eastAsia" w:ascii="宋体" w:hAnsi="宋体" w:eastAsia="宋体" w:cs="宋体"/>
          <w:sz w:val="21"/>
          <w:szCs w:val="21"/>
        </w:rPr>
      </w:r>
      <w:r/>
    </w:p>
    <w:p>
      <w:pPr>
        <w:pStyle w:val="864"/>
        <w:ind w:firstLine="422"/>
        <w:jc w:val="left"/>
        <w:spacing w:line="560" w:lineRule="exact"/>
        <w:widowControl/>
        <w:rPr>
          <w:rFonts w:hint="eastAsia" w:ascii="宋体" w:hAnsi="宋体" w:eastAsia="宋体" w:cs="宋体"/>
          <w:b/>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鱼虾类</w:t>
      </w:r>
      <w:r>
        <w:rPr>
          <w:rFonts w:hint="eastAsia" w:ascii="宋体" w:hAnsi="宋体" w:eastAsia="宋体" w:cs="宋体"/>
          <w:b/>
          <w:sz w:val="21"/>
          <w:szCs w:val="21"/>
        </w:rPr>
      </w:r>
      <w:r/>
    </w:p>
    <w:p>
      <w:pPr>
        <w:pStyle w:val="864"/>
        <w:ind w:firstLine="420"/>
        <w:jc w:val="left"/>
        <w:spacing w:line="560" w:lineRule="exact"/>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（1）鱼、泥鳅等，</w:t>
      </w:r>
      <w:r>
        <w:rPr>
          <w:rFonts w:hint="eastAsia" w:ascii="宋体" w:hAnsi="宋体" w:eastAsia="宋体" w:cs="宋体"/>
          <w:sz w:val="21"/>
          <w:szCs w:val="21"/>
        </w:rPr>
        <w:t xml:space="preserve">鲜活无死亡，无异味、无变质，严禁携带寄生虫。鲜鱼类要求体表黏液透明、有光泽，气味正常，鱼鳃紧闭色泽鲜红或粉红，</w:t>
      </w:r>
      <w:r>
        <w:rPr>
          <w:rFonts w:hint="eastAsia" w:ascii="宋体" w:hAnsi="宋体" w:eastAsia="宋体" w:cs="宋体"/>
          <w:sz w:val="21"/>
          <w:szCs w:val="21"/>
          <w:shd w:val="clear" w:color="auto" w:fill="ffffff"/>
        </w:rPr>
        <w:t xml:space="preserve">鳃丝清晰，</w:t>
      </w:r>
      <w:r>
        <w:rPr>
          <w:rFonts w:hint="eastAsia" w:ascii="宋体" w:hAnsi="宋体" w:eastAsia="宋体" w:cs="宋体"/>
          <w:sz w:val="21"/>
          <w:szCs w:val="21"/>
        </w:rPr>
        <w:t xml:space="preserve">揭开鳃盖可嗅到新鲜鱼所特有的气味，眼角膜光亮透明，眼球饱满，腹部发白正常无膨胀，鱼鳞</w:t>
      </w:r>
      <w:r>
        <w:rPr>
          <w:rFonts w:hint="eastAsia" w:ascii="宋体" w:hAnsi="宋体" w:eastAsia="宋体" w:cs="宋体"/>
          <w:sz w:val="21"/>
          <w:szCs w:val="21"/>
          <w:shd w:val="clear" w:color="auto" w:fill="ffffff"/>
        </w:rPr>
        <w:t xml:space="preserve">紧贴</w:t>
      </w:r>
      <w:r>
        <w:rPr>
          <w:rFonts w:hint="eastAsia" w:ascii="宋体" w:hAnsi="宋体" w:eastAsia="宋体" w:cs="宋体"/>
          <w:sz w:val="21"/>
          <w:szCs w:val="21"/>
        </w:rPr>
        <w:t xml:space="preserve">完整，闪光滑润，不易脱落，手持鱼体头尾下垂，鱼体肌肉有弹性，不易压出凹陷或凹陷能迅速复平，肌肉呈现正常颜色。</w:t>
      </w:r>
      <w:r>
        <w:rPr>
          <w:rFonts w:hint="eastAsia" w:ascii="宋体" w:hAnsi="宋体" w:eastAsia="宋体" w:cs="宋体"/>
          <w:sz w:val="21"/>
          <w:szCs w:val="21"/>
        </w:rPr>
      </w:r>
      <w:r/>
    </w:p>
    <w:p>
      <w:pPr>
        <w:pStyle w:val="864"/>
        <w:ind w:firstLine="420"/>
        <w:jc w:val="left"/>
        <w:spacing w:line="560" w:lineRule="exact"/>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（2）虾，</w:t>
      </w:r>
      <w:r>
        <w:rPr>
          <w:rFonts w:hint="eastAsia" w:ascii="宋体" w:hAnsi="宋体" w:eastAsia="宋体" w:cs="宋体"/>
          <w:sz w:val="21"/>
          <w:szCs w:val="21"/>
        </w:rPr>
        <w:t xml:space="preserve">新鲜，头尾完整，</w:t>
      </w:r>
      <w:r>
        <w:rPr>
          <w:rFonts w:hint="eastAsia" w:ascii="宋体" w:hAnsi="宋体" w:eastAsia="宋体" w:cs="宋体"/>
          <w:sz w:val="21"/>
          <w:szCs w:val="21"/>
          <w:shd w:val="clear" w:color="auto" w:fill="ffffff"/>
        </w:rPr>
        <w:t xml:space="preserve">头胸节与腹节连接处紧密，虾体组织完好，充盈饱满，膨胀而富弹力，</w:t>
      </w:r>
      <w:r>
        <w:rPr>
          <w:rFonts w:hint="eastAsia" w:ascii="宋体" w:hAnsi="宋体" w:eastAsia="宋体" w:cs="宋体"/>
          <w:sz w:val="21"/>
          <w:szCs w:val="21"/>
        </w:rPr>
        <w:t xml:space="preserve">有一定弯曲度。</w:t>
      </w:r>
      <w:r>
        <w:rPr>
          <w:rFonts w:hint="eastAsia" w:ascii="宋体" w:hAnsi="宋体" w:eastAsia="宋体" w:cs="宋体"/>
          <w:sz w:val="21"/>
          <w:szCs w:val="21"/>
          <w:shd w:val="clear" w:color="auto" w:fill="ffffff"/>
        </w:rPr>
        <w:t xml:space="preserve">虾体外表洁净，</w:t>
      </w:r>
      <w:r>
        <w:rPr>
          <w:rFonts w:hint="eastAsia" w:ascii="宋体" w:hAnsi="宋体" w:eastAsia="宋体" w:cs="宋体"/>
          <w:sz w:val="21"/>
          <w:szCs w:val="21"/>
        </w:rPr>
        <w:t xml:space="preserve">呈青白色，半透明不发红，外壳有光泽，稍湿润</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r>
      <w:r/>
    </w:p>
    <w:p>
      <w:pPr>
        <w:pStyle w:val="864"/>
        <w:ind w:firstLine="422"/>
        <w:jc w:val="left"/>
        <w:spacing w:line="56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3</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杂粮副食品类</w:t>
      </w:r>
      <w:r>
        <w:rPr>
          <w:rFonts w:hint="eastAsia" w:ascii="宋体" w:hAnsi="宋体" w:eastAsia="宋体" w:cs="宋体"/>
          <w:b/>
          <w:bCs/>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rPr>
        <w:t xml:space="preserve">谷物、豆类等杂粮色泽正常，颗粒饱满、完整，无虫害及霉变，无可见外来杂质，气味正常，无酸败及其他异味。</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（2）产品无发霉、无变质、无变味、不掺杂、不掺假、不掺水，</w:t>
      </w:r>
      <w:r>
        <w:rPr>
          <w:rFonts w:hint="eastAsia" w:ascii="宋体" w:hAnsi="宋体" w:eastAsia="宋体" w:cs="宋体"/>
          <w:sz w:val="21"/>
          <w:szCs w:val="21"/>
        </w:rPr>
        <w:t xml:space="preserve">干制品要求干燥不回潮，干果果形完整。</w:t>
      </w:r>
      <w:r>
        <w:rPr>
          <w:rFonts w:hint="eastAsia" w:ascii="宋体" w:hAnsi="宋体" w:eastAsia="宋体" w:cs="宋体"/>
          <w:sz w:val="21"/>
          <w:szCs w:val="21"/>
        </w:rPr>
      </w:r>
      <w:r/>
    </w:p>
    <w:p>
      <w:pPr>
        <w:pStyle w:val="864"/>
        <w:ind w:firstLine="420"/>
        <w:spacing w:line="560" w:lineRule="exact"/>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rPr>
          <w:rFonts w:hint="eastAsia" w:ascii="宋体" w:hAnsi="宋体" w:eastAsia="宋体" w:cs="宋体"/>
          <w:sz w:val="21"/>
          <w:szCs w:val="21"/>
        </w:rPr>
        <w:t xml:space="preserve">加工食品需符合相关质量标准，</w:t>
      </w:r>
      <w:r>
        <w:rPr>
          <w:rFonts w:hint="eastAsia" w:ascii="宋体" w:hAnsi="宋体" w:eastAsia="宋体" w:cs="宋体"/>
          <w:sz w:val="21"/>
          <w:szCs w:val="21"/>
          <w:shd w:val="clear" w:color="auto" w:fill="ffffff"/>
        </w:rPr>
        <w:t xml:space="preserve">产品包装应该有产品名称、厂名、厂址或出产地等，应有产品质量合格证明。</w:t>
      </w:r>
      <w:r>
        <w:rPr>
          <w:rFonts w:hint="eastAsia" w:ascii="宋体" w:hAnsi="宋体" w:eastAsia="宋体" w:cs="宋体"/>
          <w:sz w:val="21"/>
          <w:szCs w:val="21"/>
          <w:shd w:val="clear" w:color="auto" w:fill="ffffff"/>
        </w:rPr>
      </w:r>
      <w:r/>
    </w:p>
    <w:p>
      <w:pPr>
        <w:pStyle w:val="864"/>
        <w:ind w:firstLine="527"/>
        <w:spacing w:line="560" w:lineRule="exact"/>
        <w:rPr>
          <w:rFonts w:hint="eastAsia"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部分</w:t>
      </w:r>
      <w:r>
        <w:rPr>
          <w:rFonts w:hint="eastAsia" w:ascii="宋体" w:hAnsi="宋体" w:eastAsia="宋体" w:cs="宋体"/>
          <w:b/>
          <w:sz w:val="21"/>
          <w:szCs w:val="21"/>
        </w:rPr>
        <w:t xml:space="preserve">蔬果鱼虾杂粮类饲料质量要求</w:t>
      </w:r>
      <w:r>
        <w:rPr>
          <w:rFonts w:hint="eastAsia" w:ascii="宋体" w:hAnsi="宋体" w:eastAsia="宋体" w:cs="宋体"/>
          <w:b/>
          <w:sz w:val="21"/>
          <w:szCs w:val="21"/>
        </w:rPr>
      </w:r>
      <w:r/>
    </w:p>
    <w:tbl>
      <w:tblPr>
        <w:tblW w:w="84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8"/>
        <w:gridCol w:w="990"/>
        <w:gridCol w:w="2689"/>
        <w:gridCol w:w="4043"/>
      </w:tblGrid>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图片</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质量要求</w:t>
            </w:r>
            <w:r>
              <w:rPr>
                <w:rFonts w:hint="eastAsia" w:ascii="宋体" w:hAnsi="宋体" w:eastAsia="宋体" w:cs="宋体"/>
                <w:sz w:val="21"/>
                <w:szCs w:val="21"/>
              </w:rPr>
            </w:r>
            <w:r/>
          </w:p>
        </w:tc>
      </w:tr>
      <w:tr>
        <w:trPr>
          <w:trHeight w:val="158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包菜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80986" cy="90570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180986" cy="9057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0pt;height:71.3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外叶淡绿色，内叶淡黄色，叶肥厚脆嫩，棵株大完整，包心坚实紧密无发芽，断面洁白完整，无黄叶、虫蛀、萎蔫、雨淋水浸。</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南瓜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42987" cy="86740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342987" cy="867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5.7pt;height:68.3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颜色金黄或橙黄，瓜形周正，肉金黄紧密、粉甜、表面硬实；无斑疤、破裂、虫洞、软烂、畸形。</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胡萝卜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28242" cy="78176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428242" cy="781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2.5pt;height:61.6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新鲜、水分足，允许有短叶及轻微裂口，单只重不低于150克不高于350克；无腐烂、发黏、裂口过大、表面发蔫、空芯、泥土过多。</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黄瓜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10246" cy="82934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10246" cy="8293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1.0pt;height:65.3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黄瓜青绿、瓜身细短、绿直均匀瓜把小，顶花带刺，有白霜或光泽，无压伤、腐烂、断裂色黄、皮皱、肉白或空心。</w:t>
            </w:r>
            <w:r>
              <w:rPr>
                <w:rFonts w:hint="eastAsia" w:ascii="宋体" w:hAnsi="宋体" w:eastAsia="宋体" w:cs="宋体"/>
                <w:sz w:val="21"/>
                <w:szCs w:val="21"/>
              </w:rPr>
            </w:r>
            <w:r/>
          </w:p>
        </w:tc>
      </w:tr>
      <w:tr>
        <w:trPr>
          <w:trHeight w:val="19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生菜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04925" cy="113361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04925" cy="1133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8pt;height:89.3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外表清洁碧绿，不含任何可见的杂质，外观鲜嫩、不脱水；无机械伤、无腐烂、无黄叶烂心、无锈斑、不开花、不掺水，无病虫害造成的损伤，无害虫、基部切口整齐、无泥土；不可单棵植株过小。</w:t>
            </w:r>
            <w:r>
              <w:rPr>
                <w:rFonts w:hint="eastAsia" w:ascii="宋体" w:hAnsi="宋体" w:eastAsia="宋体" w:cs="宋体"/>
                <w:sz w:val="21"/>
                <w:szCs w:val="21"/>
              </w:rPr>
            </w:r>
            <w:r/>
          </w:p>
        </w:tc>
      </w:tr>
      <w:tr>
        <w:trPr>
          <w:trHeight w:val="166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去皮水果玉米</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"https://image.so.com/i?q=%E9%B2%9C%E7%8E%89%E7%B1%B3%E5%9B%BE%E7%89%87&amp;listsrc=sobox&amp;listsign=ae89befcfd9448ad2e3b837d5e598e8f&amp;src=360pic_strong" \t "_blank" </w:instrText>
            </w:r>
            <w:r>
              <w:rPr>
                <w:rFonts w:hint="eastAsia" w:ascii="宋体" w:hAnsi="宋体" w:eastAsia="宋体" w:cs="宋体"/>
                <w:sz w:val="21"/>
                <w:szCs w:val="21"/>
              </w:rPr>
              <w:fldChar w:fldCharType="separate"/>
            </w:r>
            <w:r>
              <w:rPr>
                <w:rFonts w:hint="eastAsia" w:ascii="宋体" w:hAnsi="宋体" w:eastAsia="宋体" w:cs="宋体"/>
                <w:color w:val="1024ee"/>
                <w:sz w:val="21"/>
                <w:szCs w:val="21"/>
              </w:rPr>
              <mc:AlternateContent>
                <mc:Choice Requires="wpg">
                  <w:drawing>
                    <wp:inline xmlns:wp="http://schemas.openxmlformats.org/drawingml/2006/wordprocessingDrawing" distT="0" distB="0" distL="0" distR="0">
                      <wp:extent cx="847192" cy="104756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47192" cy="1047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6.7pt;height:82.5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黄色或金黄色，色泽新鲜一致，不打水，干爽，籽粒饱满；无霉变、无虫蛀及异味。</w:t>
            </w:r>
            <w:r>
              <w:rPr>
                <w:rFonts w:hint="eastAsia" w:ascii="宋体" w:hAnsi="宋体" w:eastAsia="宋体" w:cs="宋体"/>
                <w:sz w:val="21"/>
                <w:szCs w:val="21"/>
              </w:rPr>
            </w:r>
            <w:r/>
          </w:p>
        </w:tc>
      </w:tr>
      <w:tr>
        <w:trPr>
          <w:trHeight w:val="178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西红柿</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"https://image.so.com/i?q=%E8%A5%BF%E7%BA%A2%E6%9F%BF%E5%9B%BE%E7%89%87&amp;listsrc=sobox&amp;listsign=099f5a8814a60d9d05ab6628d78b26e5&amp;src=360pic_strong" \t "_blank" </w:instrText>
            </w:r>
            <w:r>
              <w:rPr>
                <w:rFonts w:hint="eastAsia" w:ascii="宋体" w:hAnsi="宋体" w:eastAsia="宋体" w:cs="宋体"/>
                <w:sz w:val="21"/>
                <w:szCs w:val="21"/>
              </w:rPr>
              <w:fldChar w:fldCharType="separate"/>
            </w:r>
            <w:r>
              <w:rPr>
                <w:rFonts w:hint="eastAsia" w:ascii="宋体" w:hAnsi="宋体" w:eastAsia="宋体" w:cs="宋体"/>
                <w:color w:val="1024ee"/>
                <w:sz w:val="21"/>
                <w:szCs w:val="21"/>
              </w:rPr>
              <mc:AlternateContent>
                <mc:Choice Requires="wpg">
                  <w:drawing>
                    <wp:inline xmlns:wp="http://schemas.openxmlformats.org/drawingml/2006/wordprocessingDrawing" distT="0" distB="0" distL="0" distR="0">
                      <wp:extent cx="1114567" cy="101841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14567" cy="10184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7.8pt;height:80.2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颜色粉色偏红、硬果、果实圆，果面发亮，着色均匀一致，果脐小；无裂果、无机械伤、无过软、无开裂、无腐烂、无过度偏小、规格匀称。</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洋葱</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020680" cy="952017"/>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20680" cy="9520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0.4pt;height:75.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鳞片颜色粉白、紫白或黄白，鳞片肥厚完整无损，抱合紧密，球茎干度适中，有一定硬度；无腐烂、干枯、过软、裂开、发芽、泥土。</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油麦菜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"https://image.so.com/i?q=%E6%B2%B9%E9%BA%A6%E8%8F%9C%E5%9B%BE%E7%89%87&amp;listsrc=sobox&amp;listsign=8c97919a34afcfdde921a80a17c5f7f5&amp;src=360pic_strong" \t "_blank" </w:instrText>
            </w:r>
            <w:r>
              <w:rPr>
                <w:rFonts w:hint="eastAsia" w:ascii="宋体" w:hAnsi="宋体" w:eastAsia="宋体" w:cs="宋体"/>
                <w:sz w:val="21"/>
                <w:szCs w:val="21"/>
              </w:rPr>
              <w:fldChar w:fldCharType="separate"/>
            </w:r>
            <w:r>
              <w:rPr>
                <w:rFonts w:hint="eastAsia" w:ascii="宋体" w:hAnsi="宋体" w:eastAsia="宋体" w:cs="宋体"/>
                <w:color w:val="1024ee"/>
                <w:sz w:val="21"/>
                <w:szCs w:val="21"/>
              </w:rPr>
              <mc:AlternateContent>
                <mc:Choice Requires="wpg">
                  <w:drawing>
                    <wp:inline xmlns:wp="http://schemas.openxmlformats.org/drawingml/2006/wordprocessingDrawing" distT="0" distB="0" distL="0" distR="0">
                      <wp:extent cx="1076435" cy="11053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76435" cy="1105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4.8pt;height:87.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外表清洁碧绿，不含任何可见的杂质，外观鲜嫩、不脱水；无机械伤、无腐烂、无黄叶烂心、无锈斑、不开花、不掺水，无病虫害造成的损伤，无害虫、基部切口整齐、无泥土；不可单棵植株过小。</w:t>
            </w:r>
            <w:r>
              <w:rPr>
                <w:rFonts w:hint="eastAsia" w:ascii="宋体" w:hAnsi="宋体" w:eastAsia="宋体" w:cs="宋体"/>
                <w:sz w:val="21"/>
                <w:szCs w:val="21"/>
              </w:rPr>
            </w:r>
            <w:r/>
          </w:p>
        </w:tc>
      </w:tr>
      <w:tr>
        <w:trPr>
          <w:trHeight w:val="169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茄子</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68293" cy="914256"/>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68293" cy="9142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9.9pt;height:72.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色正（紫）、形正（棒形、卵形、灯泡型）；表面光滑有光泽，有弹性不软；无压伤、虫蛀、烂斑、皮皱。</w:t>
            </w:r>
            <w:r>
              <w:rPr>
                <w:rFonts w:hint="eastAsia" w:ascii="宋体" w:hAnsi="宋体" w:eastAsia="宋体" w:cs="宋体"/>
                <w:sz w:val="21"/>
                <w:szCs w:val="21"/>
              </w:rPr>
            </w:r>
            <w:r/>
          </w:p>
        </w:tc>
      </w:tr>
      <w:tr>
        <w:trPr>
          <w:trHeight w:val="155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白心火龙果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47991" cy="90434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47991" cy="9043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4.0pt;height:71.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果皮光滑、着色均匀、有光泽、无机械伤、无腐烂、无异味、无病虫害、无软塌，无皱缩，大小均匀。</w:t>
            </w:r>
            <w:r>
              <w:rPr>
                <w:rFonts w:hint="eastAsia" w:ascii="宋体" w:hAnsi="宋体" w:eastAsia="宋体" w:cs="宋体"/>
                <w:sz w:val="21"/>
                <w:szCs w:val="21"/>
              </w:rPr>
            </w:r>
            <w:r/>
          </w:p>
        </w:tc>
      </w:tr>
      <w:tr>
        <w:trPr>
          <w:trHeight w:val="196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梨</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019941" cy="1019941"/>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019941" cy="10199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0.3pt;height:80.3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具有品种或品牌特征、大小均匀、无腐烂、无机械外伤、表面洁净、无异味、新鲜多汁。</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猕猴桃</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47978" cy="120967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447978"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4.0pt;height:95.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表面有棕色的绒毛，形状均匀大小整齐，果身较硬或稍有柔软。</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苹果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00150" cy="120015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00150"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4.5pt;height:94.5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具有相似品种或品牌特征，果面洁净，无机械伤、无腐烂、无异味、无黑心、无病虫害。</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葡萄</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553337" cy="1009193"/>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553337" cy="1009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2.3pt;height:79.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果粒大且圆、结实饱满，果粒表面有霜，果梗青绿且与果粒边接牢固，整串籽紧凑。</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香蕉</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96060" cy="1000394"/>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496060" cy="10003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7.8pt;height:78.8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果实丰满，果形端正，梳柄完整，色泽光亮；皮色青黄，果面光滑，无病黑斑，无虫疤，无霉菌、无创伤；果肉稍硬，果皮可剥或易剥。</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17</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柚类</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41120" cy="112335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341120" cy="11233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5.6pt;height:88.5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颜色黄色或青黄色，表皮粗糙，果体颈部较短、似梨状，果身较硬、有弹性、分量重、无外伤、挤压。</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18</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芒果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75740" cy="1009015"/>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47574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6.2pt;height:79.5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具有该品种固有的特征。果实应无缺陷，但允许有不影响产品总体外观、质量、贮存性的很轻微的表面疵点、果实硬实富有弹性者为佳；不可过硬或过软。</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19</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桃子</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514716" cy="96204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514716" cy="96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9.3pt;height:75.8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呈球形，表面裹着一层短短的绒毛，青里泛白，果体硬、不易剥离，无挤压伤。</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鲜活小鲫鱼</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62774" cy="1171308"/>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362774" cy="11713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07.3pt;height:92.2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center"/>
            <w:textDirection w:val="lrTb"/>
            <w:noWrap w:val="false"/>
          </w:tcPr>
          <w:p>
            <w:pPr>
              <w:pStyle w:val="86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体表黏液透明、色有光泽，气味正常，眼角膜光亮透明，眼球饱满，腹部发白正常无膨胀，鱼鳞</w:t>
            </w:r>
            <w:r>
              <w:rPr>
                <w:rFonts w:hint="eastAsia" w:ascii="宋体" w:hAnsi="宋体" w:eastAsia="宋体" w:cs="宋体"/>
                <w:sz w:val="21"/>
                <w:szCs w:val="21"/>
                <w:shd w:val="clear" w:color="auto" w:fill="ffffff"/>
              </w:rPr>
              <w:t xml:space="preserve">紧贴</w:t>
            </w:r>
            <w:r>
              <w:rPr>
                <w:rFonts w:hint="eastAsia" w:ascii="宋体" w:hAnsi="宋体" w:eastAsia="宋体" w:cs="宋体"/>
                <w:sz w:val="21"/>
                <w:szCs w:val="21"/>
              </w:rPr>
              <w:t xml:space="preserve">完整，</w:t>
            </w:r>
            <w:r>
              <w:rPr>
                <w:rFonts w:hint="eastAsia" w:ascii="宋体" w:hAnsi="宋体" w:eastAsia="宋体" w:cs="宋体"/>
                <w:color w:val="000000"/>
                <w:sz w:val="21"/>
                <w:szCs w:val="21"/>
              </w:rPr>
              <w:t xml:space="preserve">体态正常，活动力强，</w:t>
            </w:r>
            <w:r>
              <w:rPr>
                <w:rFonts w:hint="eastAsia" w:ascii="宋体" w:hAnsi="宋体" w:eastAsia="宋体" w:cs="宋体"/>
                <w:sz w:val="21"/>
                <w:szCs w:val="21"/>
              </w:rPr>
              <w:t xml:space="preserve">长度8至12cm。</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21</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泥鳅</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506931" cy="107451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506931" cy="1074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8.7pt;height:84.6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center"/>
            <w:textDirection w:val="lrTb"/>
            <w:noWrap w:val="false"/>
          </w:tcPr>
          <w:p>
            <w:pPr>
              <w:pStyle w:val="864"/>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新鲜活泥鳅，眼睛凸起，澄清有光泽，活动力强，口鳃紧闭，鳃片呈鲜红色或红色，表面有透明黏液且具有光泽，体态均匀正常。</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22</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虾</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14323" cy="933022"/>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14323" cy="933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3.5pt;height:73.5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center"/>
            <w:textDirection w:val="lrTb"/>
            <w:noWrap w:val="false"/>
          </w:tcPr>
          <w:p>
            <w:pPr>
              <w:pStyle w:val="864"/>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头尾完整，</w:t>
            </w:r>
            <w:r>
              <w:rPr>
                <w:rFonts w:hint="eastAsia" w:ascii="宋体" w:hAnsi="宋体" w:eastAsia="宋体" w:cs="宋体"/>
                <w:sz w:val="21"/>
                <w:szCs w:val="21"/>
                <w:shd w:val="clear" w:color="auto" w:fill="ffffff"/>
              </w:rPr>
              <w:t xml:space="preserve">头胸节与腹节连接处紧密，虾体组织完好，充盈饱满，膨胀而富弹力，</w:t>
            </w:r>
            <w:r>
              <w:rPr>
                <w:rFonts w:hint="eastAsia" w:ascii="宋体" w:hAnsi="宋体" w:eastAsia="宋体" w:cs="宋体"/>
                <w:sz w:val="21"/>
                <w:szCs w:val="21"/>
              </w:rPr>
              <w:t xml:space="preserve">有一定弯曲度。</w:t>
            </w:r>
            <w:r>
              <w:rPr>
                <w:rFonts w:hint="eastAsia" w:ascii="宋体" w:hAnsi="宋体" w:eastAsia="宋体" w:cs="宋体"/>
                <w:sz w:val="21"/>
                <w:szCs w:val="21"/>
                <w:shd w:val="clear" w:color="auto" w:fill="ffffff"/>
              </w:rPr>
              <w:t xml:space="preserve">虾体外表洁净，</w:t>
            </w:r>
            <w:r>
              <w:rPr>
                <w:rFonts w:hint="eastAsia" w:ascii="宋体" w:hAnsi="宋体" w:eastAsia="宋体" w:cs="宋体"/>
                <w:sz w:val="21"/>
                <w:szCs w:val="21"/>
              </w:rPr>
              <w:t xml:space="preserve">呈青白色，半透明不发红，外壳有光泽，稍湿润</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23</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稻谷</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28115" cy="1163193"/>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228115" cy="1163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6.7pt;height:91.6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带壳稻粒，色泽正常，谷粒饱满完整，无霉变、受潮、生虫等。</w:t>
            </w:r>
            <w:r>
              <w:rPr>
                <w:rFonts w:hint="eastAsia" w:ascii="宋体" w:hAnsi="宋体" w:eastAsia="宋体" w:cs="宋体"/>
                <w:sz w:val="21"/>
                <w:szCs w:val="21"/>
              </w:rPr>
            </w:r>
            <w:r/>
          </w:p>
        </w:tc>
      </w:tr>
      <w:tr>
        <w:trPr>
          <w:trHeight w:val="194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24</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鸡蛋</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504302" cy="109349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504302" cy="1093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18.4pt;height:86.1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蛋壳清洁、坚固、无破损，呈自然蛋壳色；对光观察，透光度好，蛋白清晰；气味正常，无腐败变质。</w:t>
            </w:r>
            <w:r>
              <w:rPr>
                <w:rFonts w:hint="eastAsia" w:ascii="宋体" w:hAnsi="宋体" w:eastAsia="宋体" w:cs="宋体"/>
                <w:sz w:val="21"/>
                <w:szCs w:val="21"/>
              </w:rPr>
            </w:r>
            <w:r/>
          </w:p>
        </w:tc>
      </w:tr>
    </w:tbl>
    <w:p>
      <w:pPr>
        <w:pStyle w:val="901"/>
        <w:ind w:firstLine="640"/>
        <w:jc w:val="left"/>
        <w:spacing w:line="560" w:lineRule="exact"/>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（三）羊草</w:t>
      </w:r>
      <w:r>
        <w:rPr>
          <w:rFonts w:hint="eastAsia" w:ascii="宋体" w:hAnsi="宋体" w:eastAsia="宋体" w:cs="宋体"/>
          <w:bCs/>
          <w:color w:val="000000"/>
          <w:sz w:val="21"/>
          <w:szCs w:val="21"/>
        </w:rPr>
      </w:r>
      <w:r/>
    </w:p>
    <w:p>
      <w:pPr>
        <w:pStyle w:val="864"/>
        <w:ind w:firstLine="420"/>
        <w:jc w:val="left"/>
        <w:spacing w:line="560" w:lineRule="exact"/>
        <w:tabs>
          <w:tab w:val="left" w:pos="1156" w:leader="none"/>
        </w:tabs>
        <w:rPr>
          <w:rFonts w:hint="eastAsia" w:ascii="宋体" w:hAnsi="宋体" w:eastAsia="宋体" w:cs="宋体"/>
          <w:sz w:val="21"/>
          <w:szCs w:val="21"/>
        </w:rPr>
      </w:pPr>
      <w:r>
        <w:rPr>
          <w:rFonts w:hint="eastAsia" w:ascii="宋体" w:hAnsi="宋体" w:eastAsia="宋体" w:cs="宋体"/>
          <w:sz w:val="21"/>
          <w:szCs w:val="21"/>
        </w:rPr>
        <w:t xml:space="preserve">羊草必须是当年度新草，有草香味，色泽呈自然的淡绿色，</w:t>
      </w:r>
      <w:r>
        <w:rPr>
          <w:rFonts w:hint="eastAsia" w:ascii="宋体" w:hAnsi="宋体" w:eastAsia="宋体" w:cs="宋体"/>
          <w:spacing w:val="-12"/>
          <w:sz w:val="21"/>
          <w:szCs w:val="21"/>
        </w:rPr>
        <w:t xml:space="preserve">色泽新鲜度基本一致。</w:t>
      </w:r>
      <w:r>
        <w:rPr>
          <w:rFonts w:hint="eastAsia" w:ascii="宋体" w:hAnsi="宋体" w:eastAsia="宋体" w:cs="宋体"/>
          <w:sz w:val="21"/>
          <w:szCs w:val="21"/>
        </w:rPr>
        <w:t xml:space="preserve">水分小于等于14%，杂草率小于等于5%，干燥无发霉无结块，草干无发酵、无变质、无打到雪、无泡过雨水。</w:t>
      </w:r>
      <w:r>
        <w:rPr>
          <w:rFonts w:hint="eastAsia" w:ascii="宋体" w:hAnsi="宋体" w:eastAsia="宋体" w:cs="宋体"/>
          <w:sz w:val="21"/>
          <w:szCs w:val="21"/>
        </w:rPr>
        <w:t xml:space="preserve">产品须符合行业规定的有关标准。</w:t>
      </w:r>
      <w:r>
        <w:rPr>
          <w:rFonts w:hint="eastAsia" w:ascii="宋体" w:hAnsi="宋体" w:eastAsia="宋体" w:cs="宋体"/>
          <w:sz w:val="21"/>
          <w:szCs w:val="21"/>
        </w:rPr>
      </w:r>
      <w:r/>
    </w:p>
    <w:p>
      <w:pPr>
        <w:pStyle w:val="901"/>
        <w:ind w:firstLine="640"/>
        <w:jc w:val="left"/>
        <w:spacing w:line="560" w:lineRule="exact"/>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（四）苜蓿草</w:t>
      </w:r>
      <w:r>
        <w:rPr>
          <w:rFonts w:hint="eastAsia" w:ascii="宋体" w:hAnsi="宋体" w:eastAsia="宋体" w:cs="宋体"/>
          <w:bCs/>
          <w:color w:val="000000"/>
          <w:sz w:val="21"/>
          <w:szCs w:val="21"/>
        </w:rPr>
      </w:r>
      <w:r/>
    </w:p>
    <w:p>
      <w:pPr>
        <w:pStyle w:val="864"/>
        <w:ind w:firstLine="420"/>
        <w:jc w:val="left"/>
        <w:spacing w:line="560" w:lineRule="exact"/>
        <w:tabs>
          <w:tab w:val="left" w:pos="998" w:leader="none"/>
        </w:tabs>
        <w:rPr>
          <w:rFonts w:hint="eastAsia" w:ascii="宋体" w:hAnsi="宋体" w:eastAsia="宋体" w:cs="宋体"/>
          <w:sz w:val="21"/>
          <w:szCs w:val="21"/>
        </w:rPr>
      </w:pPr>
      <w:r>
        <w:rPr>
          <w:rFonts w:hint="eastAsia" w:ascii="宋体" w:hAnsi="宋体" w:eastAsia="宋体" w:cs="宋体"/>
          <w:bCs/>
          <w:sz w:val="21"/>
          <w:szCs w:val="21"/>
        </w:rPr>
        <w:t xml:space="preserve">苜蓿粗蛋白≥18%，</w:t>
      </w:r>
      <w:r>
        <w:rPr>
          <w:rFonts w:hint="eastAsia" w:ascii="宋体" w:hAnsi="宋体" w:eastAsia="宋体" w:cs="宋体"/>
          <w:spacing w:val="-5"/>
          <w:sz w:val="21"/>
          <w:szCs w:val="21"/>
        </w:rPr>
        <w:t xml:space="preserve">相对饲喂价值</w:t>
      </w:r>
      <w:r>
        <w:rPr>
          <w:rFonts w:hint="eastAsia" w:ascii="宋体" w:hAnsi="宋体" w:eastAsia="宋体" w:cs="宋体"/>
          <w:bCs/>
          <w:sz w:val="21"/>
          <w:szCs w:val="21"/>
        </w:rPr>
        <w:t xml:space="preserve">RFV≥150%，水分≤12%</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64"/>
        <w:jc w:val="left"/>
        <w:spacing w:line="560" w:lineRule="exact"/>
        <w:tabs>
          <w:tab w:val="left" w:pos="1367" w:leader="none"/>
        </w:tabs>
        <w:rPr>
          <w:rFonts w:hint="eastAsia" w:ascii="宋体" w:hAnsi="宋体" w:eastAsia="宋体" w:cs="宋体"/>
          <w:sz w:val="21"/>
          <w:szCs w:val="21"/>
        </w:rPr>
      </w:pPr>
      <w:r>
        <w:rPr>
          <w:rFonts w:hint="eastAsia" w:ascii="宋体" w:hAnsi="宋体" w:eastAsia="宋体" w:cs="宋体"/>
          <w:sz w:val="21"/>
          <w:szCs w:val="21"/>
        </w:rPr>
        <w:t xml:space="preserve">干燥无发霉无结块，</w:t>
      </w:r>
      <w:r>
        <w:rPr>
          <w:rFonts w:hint="eastAsia" w:ascii="宋体" w:hAnsi="宋体" w:eastAsia="宋体" w:cs="宋体"/>
          <w:spacing w:val="-4"/>
          <w:sz w:val="21"/>
          <w:szCs w:val="21"/>
        </w:rPr>
        <w:t xml:space="preserve">无变质</w:t>
      </w:r>
      <w:r>
        <w:rPr>
          <w:rFonts w:hint="eastAsia" w:ascii="宋体" w:hAnsi="宋体" w:eastAsia="宋体" w:cs="宋体"/>
          <w:sz w:val="21"/>
          <w:szCs w:val="21"/>
        </w:rPr>
        <w:t xml:space="preserve">无掺假。</w:t>
      </w:r>
      <w:r>
        <w:rPr>
          <w:rFonts w:hint="eastAsia" w:ascii="宋体" w:hAnsi="宋体" w:eastAsia="宋体" w:cs="宋体"/>
          <w:sz w:val="21"/>
          <w:szCs w:val="21"/>
        </w:rPr>
      </w:r>
      <w:r/>
    </w:p>
    <w:p>
      <w:pPr>
        <w:pStyle w:val="901"/>
        <w:ind w:firstLine="640"/>
        <w:jc w:val="left"/>
        <w:spacing w:line="560" w:lineRule="exact"/>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（五）草食动物颗粒料</w:t>
      </w:r>
      <w:r>
        <w:rPr>
          <w:rFonts w:hint="eastAsia" w:ascii="宋体" w:hAnsi="宋体" w:eastAsia="宋体" w:cs="宋体"/>
          <w:bCs/>
          <w:color w:val="000000"/>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呈圆柱形颗粒状，长度直径尺寸合适，颗粒完整，无发酵，无霉变；成分包含玉米、豆粕、鱼粉等；粗蛋白≥20.45％，水分</w:t>
      </w:r>
      <w:r>
        <w:rPr>
          <w:rFonts w:hint="eastAsia" w:ascii="宋体" w:hAnsi="宋体" w:eastAsia="宋体" w:cs="宋体"/>
          <w:bCs/>
          <w:sz w:val="21"/>
          <w:szCs w:val="21"/>
        </w:rPr>
        <w:t xml:space="preserve">≤12%</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01"/>
        <w:ind w:firstLine="640"/>
        <w:jc w:val="left"/>
        <w:spacing w:line="560" w:lineRule="exact"/>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（六）长颈鹿专用颗粒料</w:t>
      </w:r>
      <w:r>
        <w:rPr>
          <w:rFonts w:hint="eastAsia" w:ascii="宋体" w:hAnsi="宋体" w:eastAsia="宋体" w:cs="宋体"/>
          <w:bCs/>
          <w:color w:val="000000"/>
          <w:sz w:val="21"/>
          <w:szCs w:val="21"/>
        </w:rPr>
      </w:r>
      <w:r/>
    </w:p>
    <w:p>
      <w:pPr>
        <w:pStyle w:val="864"/>
        <w:ind w:firstLine="420"/>
        <w:spacing w:line="560" w:lineRule="exact"/>
        <w:rPr>
          <w:rFonts w:hint="eastAsia" w:ascii="宋体" w:hAnsi="宋体" w:eastAsia="宋体" w:cs="宋体"/>
          <w:sz w:val="21"/>
          <w:szCs w:val="21"/>
        </w:rPr>
      </w:pPr>
      <w:r>
        <w:rPr>
          <w:rFonts w:hint="eastAsia" w:ascii="宋体" w:hAnsi="宋体" w:eastAsia="宋体" w:cs="宋体"/>
          <w:sz w:val="21"/>
          <w:szCs w:val="21"/>
        </w:rPr>
        <w:t xml:space="preserve">呈圆柱形颗粒状，长度直径尺寸合适，颗粒完整，无发酵，无霉变；成分包含苜蓿干草粉、麦麸、豆粕等；粗蛋白≥12％，水分</w:t>
      </w:r>
      <w:r>
        <w:rPr>
          <w:rFonts w:hint="eastAsia" w:ascii="宋体" w:hAnsi="宋体" w:eastAsia="宋体" w:cs="宋体"/>
          <w:bCs/>
          <w:sz w:val="21"/>
          <w:szCs w:val="21"/>
        </w:rPr>
        <w:t xml:space="preserve">≤12%</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01"/>
        <w:ind w:firstLine="315"/>
        <w:jc w:val="left"/>
        <w:spacing w:line="560" w:lineRule="exact"/>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（七）树叶、竹叶和芭蕉杆</w:t>
      </w:r>
      <w:r>
        <w:rPr>
          <w:rFonts w:hint="eastAsia" w:ascii="宋体" w:hAnsi="宋体" w:eastAsia="宋体" w:cs="宋体"/>
          <w:bCs/>
          <w:color w:val="000000"/>
          <w:sz w:val="21"/>
          <w:szCs w:val="21"/>
        </w:rPr>
      </w:r>
      <w:r/>
    </w:p>
    <w:p>
      <w:pPr>
        <w:pStyle w:val="864"/>
        <w:ind w:firstLine="525"/>
        <w:spacing w:line="560" w:lineRule="exac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rPr>
        <w:t xml:space="preserve">树叶连枝连叶，不能混有很粗的树干。长颈鹿树叶需要悬挂因此需大分叉树枝；金丝猴和东非黑白疣猴树叶采食量目标70%。</w:t>
      </w:r>
      <w:r>
        <w:rPr>
          <w:rFonts w:hint="eastAsia" w:ascii="宋体" w:hAnsi="宋体" w:eastAsia="宋体" w:cs="宋体"/>
          <w:sz w:val="21"/>
          <w:szCs w:val="21"/>
        </w:rPr>
      </w:r>
      <w:r/>
    </w:p>
    <w:p>
      <w:pPr>
        <w:pStyle w:val="864"/>
        <w:ind w:firstLine="525"/>
        <w:spacing w:line="560" w:lineRule="exact"/>
        <w:rPr>
          <w:rFonts w:hint="eastAsia" w:ascii="宋体" w:hAnsi="宋体" w:eastAsia="宋体" w:cs="宋体"/>
          <w:sz w:val="21"/>
          <w:szCs w:val="21"/>
        </w:rPr>
      </w:pPr>
      <w:r>
        <w:rPr>
          <w:rFonts w:hint="eastAsia" w:ascii="宋体" w:hAnsi="宋体" w:eastAsia="宋体" w:cs="宋体"/>
          <w:sz w:val="21"/>
          <w:szCs w:val="21"/>
        </w:rPr>
        <w:t xml:space="preserve">2.饲料要求鲜嫩，无农药、无灰尘污染，来源稳定、生长环境安全，当天采摘当天配送。</w:t>
      </w:r>
      <w:r>
        <w:rPr>
          <w:rFonts w:hint="eastAsia" w:ascii="宋体" w:hAnsi="宋体" w:eastAsia="宋体" w:cs="宋体"/>
          <w:sz w:val="21"/>
          <w:szCs w:val="21"/>
        </w:rPr>
      </w:r>
      <w:r/>
    </w:p>
    <w:p>
      <w:pPr>
        <w:pStyle w:val="864"/>
        <w:ind w:firstLine="315"/>
        <w:spacing w:line="560" w:lineRule="exact"/>
        <w:rPr>
          <w:rFonts w:hint="eastAsia" w:ascii="宋体" w:hAnsi="宋体" w:eastAsia="宋体" w:cs="宋体"/>
          <w:sz w:val="21"/>
          <w:szCs w:val="21"/>
        </w:rPr>
      </w:pPr>
      <w:r>
        <w:rPr>
          <w:rFonts w:hint="eastAsia" w:ascii="宋体" w:hAnsi="宋体" w:eastAsia="宋体" w:cs="宋体"/>
          <w:bCs/>
          <w:color w:val="000000"/>
          <w:sz w:val="21"/>
          <w:szCs w:val="21"/>
        </w:rPr>
        <w:t xml:space="preserve">（八）零星采购</w:t>
      </w:r>
      <w:r>
        <w:rPr>
          <w:rFonts w:hint="eastAsia" w:ascii="宋体" w:hAnsi="宋体" w:eastAsia="宋体" w:cs="宋体"/>
          <w:sz w:val="21"/>
          <w:szCs w:val="21"/>
        </w:rPr>
      </w:r>
      <w:r/>
    </w:p>
    <w:p>
      <w:pPr>
        <w:pStyle w:val="864"/>
        <w:ind w:firstLine="315"/>
        <w:spacing w:line="560" w:lineRule="exact"/>
        <w:rPr>
          <w:rFonts w:hint="eastAsia" w:ascii="宋体" w:hAnsi="宋体" w:eastAsia="宋体" w:cs="宋体"/>
          <w:sz w:val="21"/>
          <w:szCs w:val="21"/>
        </w:rPr>
      </w:pPr>
      <w:r>
        <w:rPr>
          <w:rFonts w:hint="eastAsia" w:ascii="宋体" w:hAnsi="宋体" w:eastAsia="宋体" w:cs="宋体"/>
          <w:sz w:val="21"/>
          <w:szCs w:val="21"/>
        </w:rPr>
        <w:t xml:space="preserve">按实际需求采购的饲料</w:t>
      </w:r>
      <w:r>
        <w:rPr>
          <w:rFonts w:hint="eastAsia" w:ascii="宋体" w:hAnsi="宋体" w:eastAsia="宋体" w:cs="宋体"/>
          <w:sz w:val="21"/>
          <w:szCs w:val="21"/>
        </w:rPr>
        <w:t xml:space="preserve">产品必须符合国家或行业规定的有关标准。</w:t>
      </w:r>
      <w:r>
        <w:rPr>
          <w:rFonts w:hint="eastAsia" w:ascii="宋体" w:hAnsi="宋体" w:eastAsia="宋体" w:cs="宋体"/>
          <w:sz w:val="21"/>
          <w:szCs w:val="21"/>
        </w:rPr>
      </w:r>
      <w:r/>
    </w:p>
    <w:p>
      <w:pPr>
        <w:pStyle w:val="864"/>
        <w:numPr>
          <w:ilvl w:val="0"/>
          <w:numId w:val="3"/>
        </w:numPr>
        <w:ind w:firstLine="420"/>
        <w:spacing w:line="360" w:lineRule="auto"/>
        <w:widowControl/>
        <w:tabs>
          <w:tab w:val="left" w:pos="540" w:leader="none"/>
          <w:tab w:val="left" w:pos="567" w:leader="none"/>
        </w:tabs>
        <w:rPr>
          <w:rFonts w:hint="eastAsia" w:ascii="宋体" w:hAnsi="宋体" w:eastAsia="宋体" w:cs="宋体"/>
          <w:color w:val="000000"/>
          <w:szCs w:val="22"/>
          <w:lang w:val="en-US" w:eastAsia="zh-CN" w:bidi="ar"/>
        </w:rPr>
      </w:pPr>
      <w:r>
        <w:rPr>
          <w:rFonts w:hint="eastAsia" w:ascii="宋体" w:hAnsi="宋体" w:eastAsia="宋体" w:cs="宋体"/>
          <w:color w:val="000000"/>
          <w:szCs w:val="22"/>
          <w:lang w:val="en-US" w:eastAsia="zh-CN" w:bidi="ar"/>
        </w:rPr>
        <w:t xml:space="preserve">供货要求：</w:t>
      </w:r>
      <w:r>
        <w:rPr>
          <w:rFonts w:hint="eastAsia" w:ascii="宋体" w:hAnsi="宋体" w:eastAsia="宋体" w:cs="宋体"/>
          <w:color w:val="000000"/>
          <w:szCs w:val="22"/>
          <w:lang w:val="en-US" w:eastAsia="zh-CN" w:bidi="ar"/>
        </w:rPr>
      </w:r>
      <w:r/>
    </w:p>
    <w:p>
      <w:pPr>
        <w:pStyle w:val="864"/>
        <w:ind w:firstLine="336"/>
        <w:jc w:val="left"/>
        <w:spacing w:line="360" w:lineRule="auto"/>
        <w:tabs>
          <w:tab w:val="left" w:pos="3060" w:leader="none"/>
        </w:tabs>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中标单位</w:t>
      </w:r>
      <w:r>
        <w:rPr>
          <w:rFonts w:hint="eastAsia" w:ascii="宋体" w:hAnsi="宋体" w:cs="宋体"/>
          <w:bCs/>
          <w:color w:val="000000"/>
          <w:sz w:val="21"/>
          <w:szCs w:val="21"/>
          <w:highlight w:val="none"/>
        </w:rPr>
        <w:t xml:space="preserve">负责每天上午8：</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0前按订货要求准时将新鲜肉品和蔬果鱼虾类等饲料送到动物园管理办公室饲料中心（无节假日）；新鲜牛后腿肉和新鲜猪排每周配送6天；冷冻肉品类饲料</w:t>
      </w:r>
      <w:r>
        <w:rPr>
          <w:rFonts w:hint="eastAsia" w:ascii="宋体" w:hAnsi="宋体" w:cs="宋体"/>
          <w:bCs/>
          <w:color w:val="000000"/>
          <w:sz w:val="21"/>
          <w:szCs w:val="21"/>
          <w:highlight w:val="none"/>
        </w:rPr>
        <w:t xml:space="preserve">根据采购需求配送</w:t>
      </w:r>
      <w:r>
        <w:rPr>
          <w:rFonts w:hint="eastAsia" w:ascii="宋体" w:hAnsi="宋体" w:cs="宋体"/>
          <w:bCs/>
          <w:color w:val="000000"/>
          <w:sz w:val="21"/>
          <w:szCs w:val="21"/>
          <w:highlight w:val="none"/>
        </w:rPr>
        <w:t xml:space="preserve">；</w:t>
      </w:r>
      <w:r>
        <w:rPr>
          <w:rFonts w:hint="eastAsia" w:ascii="宋体" w:hAnsi="宋体" w:cs="宋体"/>
          <w:bCs/>
          <w:color w:val="000000"/>
          <w:sz w:val="21"/>
          <w:szCs w:val="21"/>
          <w:highlight w:val="none"/>
          <w:lang w:val="en-US" w:eastAsia="zh-CN"/>
        </w:rPr>
        <w:t xml:space="preserve">具体</w:t>
      </w:r>
      <w:r>
        <w:rPr>
          <w:rFonts w:hint="eastAsia" w:ascii="宋体" w:hAnsi="宋体" w:cs="宋体"/>
          <w:bCs/>
          <w:color w:val="000000"/>
          <w:sz w:val="21"/>
          <w:szCs w:val="21"/>
          <w:highlight w:val="none"/>
        </w:rPr>
        <w:t xml:space="preserve">以动物园管理办公室通知为准。杂粮副食品类等饲料根据动物园管理办公室采购需求配送；羊草根据采购需求每年配送</w:t>
      </w:r>
      <w:r>
        <w:rPr>
          <w:rFonts w:hint="eastAsia" w:ascii="宋体" w:hAnsi="宋体" w:cs="宋体"/>
          <w:bCs/>
          <w:color w:val="000000"/>
          <w:sz w:val="21"/>
          <w:szCs w:val="21"/>
          <w:highlight w:val="none"/>
          <w:lang w:val="en-US" w:eastAsia="zh-CN"/>
        </w:rPr>
        <w:t xml:space="preserve">2-3</w:t>
      </w:r>
      <w:r>
        <w:rPr>
          <w:rFonts w:hint="eastAsia" w:ascii="宋体" w:hAnsi="宋体" w:cs="宋体"/>
          <w:bCs/>
          <w:color w:val="000000"/>
          <w:sz w:val="21"/>
          <w:szCs w:val="21"/>
          <w:highlight w:val="none"/>
        </w:rPr>
        <w:t xml:space="preserve">次；草食动物颗粒料和长颈鹿专用颗粒料根据采购需求配送；树叶</w:t>
      </w:r>
      <w:r>
        <w:rPr>
          <w:rFonts w:hint="eastAsia" w:ascii="宋体" w:hAnsi="宋体" w:cs="宋体"/>
          <w:bCs/>
          <w:color w:val="000000"/>
          <w:sz w:val="21"/>
          <w:szCs w:val="21"/>
          <w:highlight w:val="none"/>
          <w:lang w:val="en-US" w:eastAsia="zh-CN"/>
        </w:rPr>
        <w:t xml:space="preserve">每天配送一</w:t>
      </w:r>
      <w:r>
        <w:rPr>
          <w:rFonts w:hint="eastAsia" w:ascii="宋体" w:hAnsi="宋体" w:cs="宋体"/>
          <w:bCs/>
          <w:color w:val="000000"/>
          <w:sz w:val="21"/>
          <w:szCs w:val="21"/>
          <w:highlight w:val="none"/>
        </w:rPr>
        <w:t xml:space="preserve">次；零星采购饲料的种类、数量和时间不完全确定，</w:t>
      </w:r>
      <w:r>
        <w:rPr>
          <w:rFonts w:hint="eastAsia" w:ascii="宋体" w:hAnsi="宋体" w:cs="宋体"/>
          <w:bCs/>
          <w:color w:val="000000"/>
          <w:sz w:val="21"/>
          <w:szCs w:val="21"/>
          <w:highlight w:val="none"/>
          <w:lang w:val="en-US" w:eastAsia="zh-CN"/>
        </w:rPr>
        <w:t xml:space="preserve">中标单位</w:t>
      </w:r>
      <w:r>
        <w:rPr>
          <w:rFonts w:hint="eastAsia" w:ascii="宋体" w:hAnsi="宋体" w:cs="宋体"/>
          <w:bCs/>
          <w:color w:val="000000"/>
          <w:sz w:val="21"/>
          <w:szCs w:val="21"/>
          <w:highlight w:val="none"/>
        </w:rPr>
        <w:t xml:space="preserve">须根据采购人实际订货要求按需按时配送。</w:t>
      </w:r>
      <w:r>
        <w:rPr>
          <w:rFonts w:hint="eastAsia" w:ascii="宋体" w:hAnsi="宋体" w:cs="宋体"/>
          <w:bCs/>
          <w:color w:val="000000"/>
          <w:sz w:val="21"/>
          <w:szCs w:val="21"/>
          <w:highlight w:val="none"/>
        </w:rPr>
      </w:r>
      <w:r/>
    </w:p>
    <w:p>
      <w:pPr>
        <w:pStyle w:val="864"/>
        <w:ind w:firstLine="336"/>
        <w:jc w:val="left"/>
        <w:spacing w:line="360" w:lineRule="auto"/>
        <w:tabs>
          <w:tab w:val="left" w:pos="3060" w:leader="none"/>
        </w:tabs>
        <w:rPr>
          <w:rFonts w:hint="eastAsia" w:ascii="宋体" w:hAnsi="宋体" w:cs="宋体"/>
          <w:bCs/>
          <w:color w:val="000000"/>
          <w:sz w:val="21"/>
          <w:szCs w:val="21"/>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中标单位</w:t>
      </w:r>
      <w:r>
        <w:rPr>
          <w:rFonts w:hint="eastAsia" w:ascii="宋体" w:hAnsi="宋体" w:cs="宋体"/>
          <w:bCs/>
          <w:color w:val="000000"/>
          <w:sz w:val="21"/>
          <w:szCs w:val="21"/>
          <w:highlight w:val="none"/>
        </w:rPr>
        <w:t xml:space="preserve">须按采</w:t>
      </w:r>
      <w:r>
        <w:rPr>
          <w:rFonts w:hint="eastAsia" w:ascii="宋体" w:hAnsi="宋体" w:cs="宋体"/>
          <w:bCs/>
          <w:color w:val="000000"/>
          <w:sz w:val="21"/>
          <w:szCs w:val="21"/>
        </w:rPr>
        <w:t xml:space="preserve">购人要求将采购物资进行分包、单独包装、加工直至达到采购人要求,否则采购人有权拒收，由此产生的费用由</w:t>
      </w:r>
      <w:r>
        <w:rPr>
          <w:rFonts w:hint="eastAsia" w:ascii="宋体" w:hAnsi="宋体" w:cs="宋体"/>
          <w:bCs/>
          <w:color w:val="000000"/>
          <w:sz w:val="21"/>
          <w:szCs w:val="21"/>
          <w:lang w:val="en-US" w:eastAsia="zh-CN"/>
        </w:rPr>
        <w:t xml:space="preserve">中标单位</w:t>
      </w:r>
      <w:r>
        <w:rPr>
          <w:rFonts w:hint="eastAsia" w:ascii="宋体" w:hAnsi="宋体" w:cs="宋体"/>
          <w:bCs/>
          <w:color w:val="000000"/>
          <w:sz w:val="21"/>
          <w:szCs w:val="21"/>
        </w:rPr>
        <w:t xml:space="preserve">承担。</w:t>
      </w:r>
      <w:r>
        <w:rPr>
          <w:rFonts w:hint="eastAsia" w:ascii="宋体" w:hAnsi="宋体" w:cs="宋体"/>
          <w:bCs/>
          <w:color w:val="000000"/>
          <w:sz w:val="21"/>
          <w:szCs w:val="21"/>
        </w:rPr>
      </w:r>
      <w:r/>
    </w:p>
    <w:p>
      <w:pPr>
        <w:pStyle w:val="864"/>
        <w:ind w:firstLine="336"/>
        <w:jc w:val="left"/>
        <w:spacing w:line="360" w:lineRule="auto"/>
        <w:tabs>
          <w:tab w:val="left" w:pos="3060" w:leader="none"/>
        </w:tabs>
        <w:rPr>
          <w:rFonts w:hint="eastAsia" w:ascii="宋体" w:hAnsi="宋体" w:cs="宋体"/>
          <w:bCs/>
          <w:color w:val="000000"/>
          <w:sz w:val="21"/>
          <w:szCs w:val="21"/>
        </w:rPr>
      </w:pPr>
      <w:r>
        <w:rPr>
          <w:rFonts w:hint="eastAsia" w:ascii="宋体" w:hAnsi="宋体" w:cs="宋体"/>
          <w:bCs/>
          <w:color w:val="000000"/>
          <w:sz w:val="21"/>
          <w:szCs w:val="21"/>
        </w:rPr>
        <w:t xml:space="preserve">3</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饲料必须符合食品卫生要求及国家有关标准，如无标准，按行业规范。采购生产、经营证明文件齐备，明确产品来源，并具有检验合格证明。严禁提供超过保质期限的产品。采购饲料不得存放在有毒有害的容器内;包装饲料必须符合国家规范，饲料包装上必须使用原产地标识，应注明制造商名称和厂址、饲料名称和重（容）量、生产日期和保质期限以及规格和QS认证书等。</w:t>
      </w:r>
      <w:r>
        <w:rPr>
          <w:rFonts w:hint="eastAsia" w:ascii="宋体" w:hAnsi="宋体" w:cs="宋体"/>
          <w:bCs/>
          <w:color w:val="000000"/>
          <w:sz w:val="21"/>
          <w:szCs w:val="21"/>
        </w:rPr>
      </w:r>
      <w:r/>
    </w:p>
    <w:p>
      <w:pPr>
        <w:pStyle w:val="864"/>
        <w:ind w:firstLine="336"/>
        <w:jc w:val="left"/>
        <w:spacing w:line="360" w:lineRule="auto"/>
        <w:tabs>
          <w:tab w:val="left" w:pos="3060" w:leader="none"/>
        </w:tabs>
        <w:rPr>
          <w:rFonts w:hint="eastAsia" w:ascii="宋体" w:hAnsi="宋体" w:cs="宋体"/>
          <w:bCs/>
          <w:color w:val="000000"/>
          <w:sz w:val="21"/>
          <w:szCs w:val="21"/>
        </w:rPr>
      </w:pPr>
      <w:r>
        <w:rPr>
          <w:rFonts w:hint="eastAsia" w:ascii="宋体" w:hAnsi="宋体" w:cs="宋体"/>
          <w:bCs/>
          <w:color w:val="000000"/>
          <w:sz w:val="21"/>
          <w:szCs w:val="21"/>
        </w:rPr>
        <w:t xml:space="preserve">4</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新鲜肉品蔬果鱼虾类饲料运输必须采用封闭的、有低温保鲜设备并符合国家卫生、动物防疫条件的运载工具，并且要保持清洁，运输车辆在使用前需全车消毒，车厢内无不良气味、异味。运输冷冻肉品饲料的车辆箱体必须保持在－18℃或更低的温度，厢体在装载前必须预冷到－10℃或更低的温度。饲料运输整个过程应科学合理，运输车辆保持性能稳定，符合规定的温度要求。</w:t>
      </w:r>
      <w:r>
        <w:rPr>
          <w:rFonts w:hint="eastAsia" w:ascii="宋体" w:hAnsi="宋体" w:cs="宋体"/>
          <w:bCs/>
          <w:color w:val="000000"/>
          <w:sz w:val="21"/>
          <w:szCs w:val="21"/>
        </w:rPr>
      </w:r>
      <w:r/>
    </w:p>
    <w:p>
      <w:pPr>
        <w:pStyle w:val="864"/>
        <w:ind w:firstLine="336"/>
        <w:jc w:val="left"/>
        <w:spacing w:line="360" w:lineRule="auto"/>
        <w:tabs>
          <w:tab w:val="left" w:pos="3060" w:leader="none"/>
        </w:tabs>
        <w:rPr>
          <w:rFonts w:hint="eastAsia" w:ascii="宋体" w:hAnsi="宋体" w:cs="宋体"/>
          <w:bCs/>
          <w:color w:val="000000"/>
          <w:sz w:val="21"/>
          <w:szCs w:val="21"/>
        </w:rPr>
      </w:pPr>
      <w:r>
        <w:rPr>
          <w:rFonts w:hint="eastAsia" w:ascii="宋体" w:hAnsi="宋体" w:cs="宋体"/>
          <w:bCs/>
          <w:color w:val="000000"/>
          <w:sz w:val="21"/>
          <w:szCs w:val="21"/>
        </w:rPr>
        <w:t xml:space="preserve">5、按批次配送的饲料（冷冻肉品、苹果等）在使用过程中一旦发现质量问题，剩余饲料整批退回。</w:t>
      </w:r>
      <w:r>
        <w:rPr>
          <w:rFonts w:hint="eastAsia" w:ascii="宋体" w:hAnsi="宋体" w:cs="宋体"/>
          <w:bCs/>
          <w:color w:val="000000"/>
          <w:sz w:val="21"/>
          <w:szCs w:val="21"/>
        </w:rPr>
      </w:r>
      <w:r/>
    </w:p>
    <w:p>
      <w:pPr>
        <w:pStyle w:val="864"/>
        <w:ind w:firstLine="336"/>
        <w:jc w:val="left"/>
        <w:spacing w:line="360" w:lineRule="auto"/>
        <w:tabs>
          <w:tab w:val="left" w:pos="3060" w:leader="none"/>
        </w:tabs>
        <w:rPr>
          <w:rFonts w:hint="eastAsia" w:ascii="宋体" w:hAnsi="宋体" w:cs="宋体"/>
          <w:bCs/>
          <w:color w:val="000000"/>
          <w:sz w:val="21"/>
          <w:szCs w:val="21"/>
        </w:rPr>
      </w:pPr>
      <w:r>
        <w:rPr>
          <w:rFonts w:hint="eastAsia" w:ascii="宋体" w:hAnsi="宋体" w:cs="宋体"/>
          <w:bCs/>
          <w:color w:val="000000"/>
          <w:sz w:val="21"/>
          <w:szCs w:val="21"/>
        </w:rPr>
        <w:t xml:space="preserve">6</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运输饲料的车辆应加装 GPS 定位或其它跟踪管理系统和温度自动记录系统，运输全程实施监控，记录归档保存。</w:t>
      </w:r>
      <w:r>
        <w:rPr>
          <w:rFonts w:hint="eastAsia" w:ascii="宋体" w:hAnsi="宋体" w:cs="宋体"/>
          <w:bCs/>
          <w:color w:val="000000"/>
          <w:sz w:val="21"/>
          <w:szCs w:val="21"/>
        </w:rPr>
      </w:r>
      <w:r/>
    </w:p>
    <w:p>
      <w:pPr>
        <w:pStyle w:val="864"/>
        <w:ind w:firstLine="336"/>
        <w:jc w:val="left"/>
        <w:spacing w:line="360" w:lineRule="auto"/>
        <w:tabs>
          <w:tab w:val="left" w:pos="3060" w:leader="none"/>
        </w:tabs>
        <w:rPr>
          <w:rFonts w:hint="eastAsia" w:ascii="宋体" w:hAnsi="宋体" w:cs="宋体"/>
          <w:bCs/>
          <w:color w:val="000000"/>
          <w:sz w:val="21"/>
          <w:szCs w:val="21"/>
        </w:rPr>
      </w:pPr>
      <w:r>
        <w:rPr>
          <w:rFonts w:hint="eastAsia" w:ascii="宋体" w:hAnsi="宋体" w:cs="宋体"/>
          <w:bCs/>
          <w:color w:val="000000"/>
          <w:sz w:val="21"/>
          <w:szCs w:val="21"/>
        </w:rPr>
        <w:t xml:space="preserve">7</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lang w:val="en-US" w:eastAsia="zh-CN"/>
        </w:rPr>
        <w:t xml:space="preserve">中标单位</w:t>
      </w:r>
      <w:r>
        <w:rPr>
          <w:rFonts w:hint="eastAsia" w:ascii="宋体" w:hAnsi="宋体" w:cs="宋体"/>
          <w:bCs/>
          <w:color w:val="000000"/>
          <w:sz w:val="21"/>
          <w:szCs w:val="21"/>
        </w:rPr>
        <w:t xml:space="preserve">负责饲料的运输及装卸，入库饲料按动物园管理办公室要求放置指定地点，费用由</w:t>
      </w:r>
      <w:r>
        <w:rPr>
          <w:rFonts w:hint="eastAsia" w:ascii="宋体" w:hAnsi="宋体" w:cs="宋体"/>
          <w:bCs/>
          <w:color w:val="000000"/>
          <w:sz w:val="21"/>
          <w:szCs w:val="21"/>
          <w:lang w:val="en-US" w:eastAsia="zh-CN"/>
        </w:rPr>
        <w:t xml:space="preserve">中标单位</w:t>
      </w:r>
      <w:r>
        <w:rPr>
          <w:rFonts w:hint="eastAsia" w:ascii="宋体" w:hAnsi="宋体" w:cs="宋体"/>
          <w:bCs/>
          <w:color w:val="000000"/>
          <w:sz w:val="21"/>
          <w:szCs w:val="21"/>
        </w:rPr>
        <w:t xml:space="preserve">负责。</w:t>
      </w:r>
      <w:r>
        <w:rPr>
          <w:rFonts w:hint="eastAsia" w:ascii="宋体" w:hAnsi="宋体" w:cs="宋体"/>
          <w:bCs/>
          <w:color w:val="000000"/>
          <w:sz w:val="21"/>
          <w:szCs w:val="21"/>
          <w:lang w:val="en-US" w:eastAsia="zh-CN"/>
        </w:rPr>
        <w:t xml:space="preserve">中标单位</w:t>
      </w:r>
      <w:r>
        <w:rPr>
          <w:rFonts w:hint="eastAsia" w:ascii="宋体" w:hAnsi="宋体" w:cs="宋体"/>
          <w:bCs/>
          <w:color w:val="000000"/>
          <w:sz w:val="21"/>
          <w:szCs w:val="21"/>
        </w:rPr>
        <w:t xml:space="preserve">每次随货配置搬运人员，卸货时饲料堆放应科学、合理，避免造成饲料的交叉污染。 </w:t>
      </w:r>
      <w:r>
        <w:rPr>
          <w:rFonts w:hint="eastAsia" w:ascii="宋体" w:hAnsi="宋体" w:cs="宋体"/>
          <w:bCs/>
          <w:color w:val="000000"/>
          <w:sz w:val="21"/>
          <w:szCs w:val="21"/>
        </w:rPr>
      </w:r>
      <w:r/>
    </w:p>
    <w:p>
      <w:pPr>
        <w:pStyle w:val="864"/>
        <w:ind w:firstLine="336"/>
        <w:jc w:val="left"/>
        <w:spacing w:line="360" w:lineRule="auto"/>
        <w:tabs>
          <w:tab w:val="left" w:pos="3060" w:leader="none"/>
        </w:tabs>
        <w:rPr>
          <w:rFonts w:hint="eastAsia" w:ascii="宋体" w:hAnsi="宋体" w:cs="宋体"/>
          <w:bCs/>
          <w:color w:val="000000"/>
          <w:sz w:val="21"/>
          <w:szCs w:val="21"/>
        </w:rPr>
      </w:pPr>
      <w:r>
        <w:rPr>
          <w:rFonts w:hint="eastAsia" w:ascii="宋体" w:hAnsi="宋体" w:cs="宋体"/>
          <w:bCs/>
          <w:color w:val="000000"/>
          <w:sz w:val="21"/>
          <w:szCs w:val="21"/>
        </w:rPr>
        <w:t xml:space="preserve">8</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lang w:val="en-US" w:eastAsia="zh-CN"/>
        </w:rPr>
        <w:t xml:space="preserve">中标单位</w:t>
      </w:r>
      <w:r>
        <w:rPr>
          <w:rFonts w:hint="eastAsia" w:ascii="宋体" w:hAnsi="宋体" w:cs="宋体"/>
          <w:bCs/>
          <w:color w:val="000000"/>
          <w:sz w:val="21"/>
          <w:szCs w:val="21"/>
        </w:rPr>
        <w:t xml:space="preserve">在饲料运输、装卸等工作过程中需注意保护采购</w:t>
      </w:r>
      <w:r>
        <w:rPr>
          <w:rFonts w:hint="eastAsia" w:ascii="宋体" w:hAnsi="宋体" w:cs="宋体"/>
          <w:bCs/>
          <w:color w:val="000000"/>
          <w:sz w:val="21"/>
          <w:szCs w:val="21"/>
          <w:lang w:val="en-US" w:eastAsia="zh-CN"/>
        </w:rPr>
        <w:t xml:space="preserve">人</w:t>
      </w:r>
      <w:r>
        <w:rPr>
          <w:rFonts w:hint="eastAsia" w:ascii="宋体" w:hAnsi="宋体" w:cs="宋体"/>
          <w:bCs/>
          <w:color w:val="000000"/>
          <w:sz w:val="21"/>
          <w:szCs w:val="21"/>
        </w:rPr>
        <w:t xml:space="preserve">现场及周边设施和环境，如有破坏或损坏，</w:t>
      </w:r>
      <w:r>
        <w:rPr>
          <w:rFonts w:hint="eastAsia" w:ascii="宋体" w:hAnsi="宋体" w:cs="宋体"/>
          <w:bCs/>
          <w:color w:val="000000"/>
          <w:sz w:val="21"/>
          <w:szCs w:val="21"/>
          <w:lang w:val="en-US" w:eastAsia="zh-CN"/>
        </w:rPr>
        <w:t xml:space="preserve">中标单位</w:t>
      </w:r>
      <w:r>
        <w:rPr>
          <w:rFonts w:hint="eastAsia" w:ascii="宋体" w:hAnsi="宋体" w:cs="宋体"/>
          <w:bCs/>
          <w:color w:val="000000"/>
          <w:sz w:val="21"/>
          <w:szCs w:val="21"/>
        </w:rPr>
        <w:t xml:space="preserve">负责恢复原样；如无法恢复，采购</w:t>
      </w:r>
      <w:r>
        <w:rPr>
          <w:rFonts w:hint="eastAsia" w:ascii="宋体" w:hAnsi="宋体" w:cs="宋体"/>
          <w:bCs/>
          <w:color w:val="000000"/>
          <w:sz w:val="21"/>
          <w:szCs w:val="21"/>
          <w:lang w:val="en-US" w:eastAsia="zh-CN"/>
        </w:rPr>
        <w:t xml:space="preserve">人</w:t>
      </w:r>
      <w:r>
        <w:rPr>
          <w:rFonts w:hint="eastAsia" w:ascii="宋体" w:hAnsi="宋体" w:cs="宋体"/>
          <w:bCs/>
          <w:color w:val="000000"/>
          <w:sz w:val="21"/>
          <w:szCs w:val="21"/>
        </w:rPr>
        <w:t xml:space="preserve">有权邀请第三方恢复或要求</w:t>
      </w:r>
      <w:r>
        <w:rPr>
          <w:rFonts w:hint="eastAsia" w:ascii="宋体" w:hAnsi="宋体" w:cs="宋体"/>
          <w:bCs/>
          <w:color w:val="000000"/>
          <w:sz w:val="21"/>
          <w:szCs w:val="21"/>
          <w:lang w:val="en-US" w:eastAsia="zh-CN"/>
        </w:rPr>
        <w:t xml:space="preserve">中标单位</w:t>
      </w:r>
      <w:r>
        <w:rPr>
          <w:rFonts w:hint="eastAsia" w:ascii="宋体" w:hAnsi="宋体" w:cs="宋体"/>
          <w:bCs/>
          <w:color w:val="000000"/>
          <w:sz w:val="21"/>
          <w:szCs w:val="21"/>
        </w:rPr>
        <w:t xml:space="preserve">赔偿，由此产生的费用全部由</w:t>
      </w:r>
      <w:r>
        <w:rPr>
          <w:rFonts w:hint="eastAsia" w:ascii="宋体" w:hAnsi="宋体" w:cs="宋体"/>
          <w:bCs/>
          <w:color w:val="000000"/>
          <w:sz w:val="21"/>
          <w:szCs w:val="21"/>
          <w:lang w:val="en-US" w:eastAsia="zh-CN"/>
        </w:rPr>
        <w:t xml:space="preserve">中标单位</w:t>
      </w:r>
      <w:r>
        <w:rPr>
          <w:rFonts w:hint="eastAsia" w:ascii="宋体" w:hAnsi="宋体" w:cs="宋体"/>
          <w:bCs/>
          <w:color w:val="000000"/>
          <w:sz w:val="21"/>
          <w:szCs w:val="21"/>
        </w:rPr>
        <w:t xml:space="preserve">承担。</w:t>
      </w:r>
      <w:r>
        <w:rPr>
          <w:rFonts w:hint="eastAsia" w:ascii="宋体" w:hAnsi="宋体" w:cs="宋体"/>
          <w:bCs/>
          <w:color w:val="000000"/>
          <w:sz w:val="21"/>
          <w:szCs w:val="21"/>
        </w:rPr>
      </w:r>
      <w:r/>
    </w:p>
    <w:p>
      <w:pPr>
        <w:pStyle w:val="864"/>
        <w:ind w:firstLine="336"/>
        <w:jc w:val="left"/>
        <w:spacing w:line="360" w:lineRule="auto"/>
        <w:tabs>
          <w:tab w:val="left" w:pos="3060" w:leader="none"/>
        </w:tabs>
        <w:rPr>
          <w:rFonts w:hint="eastAsia" w:ascii="宋体" w:hAnsi="宋体" w:eastAsia="宋体" w:cs="宋体"/>
          <w:bCs/>
          <w:color w:val="000000"/>
          <w:sz w:val="21"/>
          <w:szCs w:val="21"/>
        </w:rPr>
      </w:pPr>
      <w:r>
        <w:rPr>
          <w:rFonts w:hint="eastAsia" w:ascii="宋体" w:hAnsi="宋体" w:cs="宋体"/>
          <w:bCs/>
          <w:color w:val="000000"/>
          <w:sz w:val="21"/>
          <w:szCs w:val="21"/>
        </w:rPr>
        <w:t xml:space="preserve">9</w:t>
      </w:r>
      <w:r>
        <w:rPr>
          <w:rFonts w:hint="eastAsia" w:ascii="宋体" w:hAnsi="宋体" w:cs="宋体"/>
          <w:bCs/>
          <w:color w:val="000000"/>
          <w:sz w:val="21"/>
          <w:szCs w:val="21"/>
          <w:lang w:eastAsia="zh-CN"/>
        </w:rPr>
        <w:t xml:space="preserve">、</w:t>
      </w:r>
      <w:r>
        <w:rPr>
          <w:rFonts w:hint="eastAsia" w:ascii="宋体" w:hAnsi="宋体" w:eastAsia="宋体" w:cs="宋体"/>
          <w:bCs/>
          <w:color w:val="000000"/>
          <w:sz w:val="21"/>
          <w:szCs w:val="21"/>
          <w:lang w:val="en-US" w:eastAsia="zh-CN"/>
        </w:rPr>
        <w:t xml:space="preserve">中标单位</w:t>
      </w:r>
      <w:r>
        <w:rPr>
          <w:rFonts w:hint="eastAsia" w:ascii="宋体" w:hAnsi="宋体" w:eastAsia="宋体" w:cs="宋体"/>
          <w:bCs/>
          <w:color w:val="000000"/>
          <w:sz w:val="21"/>
          <w:szCs w:val="21"/>
        </w:rPr>
        <w:t xml:space="preserve">在服务过程中应注意自身工作人员及采购方人员、其他第三方人员的安全，如因</w:t>
      </w:r>
      <w:r>
        <w:rPr>
          <w:rFonts w:hint="eastAsia" w:ascii="宋体" w:hAnsi="宋体" w:eastAsia="宋体" w:cs="宋体"/>
          <w:bCs/>
          <w:color w:val="000000"/>
          <w:sz w:val="21"/>
          <w:szCs w:val="21"/>
          <w:lang w:val="en-US" w:eastAsia="zh-CN"/>
        </w:rPr>
        <w:t xml:space="preserve">中标单位</w:t>
      </w:r>
      <w:r>
        <w:rPr>
          <w:rFonts w:hint="eastAsia" w:ascii="宋体" w:hAnsi="宋体" w:eastAsia="宋体" w:cs="宋体"/>
          <w:bCs/>
          <w:color w:val="000000"/>
          <w:sz w:val="21"/>
          <w:szCs w:val="21"/>
        </w:rPr>
        <w:t xml:space="preserve">原因造成安全隐患或事故，产生的一切经济损失和法律责任全部由</w:t>
      </w:r>
      <w:r>
        <w:rPr>
          <w:rFonts w:hint="eastAsia" w:ascii="宋体" w:hAnsi="宋体" w:eastAsia="宋体" w:cs="宋体"/>
          <w:bCs/>
          <w:color w:val="000000"/>
          <w:sz w:val="21"/>
          <w:szCs w:val="21"/>
          <w:lang w:val="en-US" w:eastAsia="zh-CN"/>
        </w:rPr>
        <w:t xml:space="preserve">中标单位</w:t>
      </w:r>
      <w:r>
        <w:rPr>
          <w:rFonts w:hint="eastAsia" w:ascii="宋体" w:hAnsi="宋体" w:eastAsia="宋体" w:cs="宋体"/>
          <w:bCs/>
          <w:color w:val="000000"/>
          <w:sz w:val="21"/>
          <w:szCs w:val="21"/>
        </w:rPr>
        <w:t xml:space="preserve">承担。 </w:t>
      </w:r>
      <w:r>
        <w:rPr>
          <w:rFonts w:hint="eastAsia" w:ascii="宋体" w:hAnsi="宋体" w:eastAsia="宋体" w:cs="宋体"/>
          <w:bCs/>
          <w:color w:val="000000"/>
          <w:sz w:val="21"/>
          <w:szCs w:val="21"/>
        </w:rPr>
      </w:r>
      <w:r/>
    </w:p>
    <w:p>
      <w:pPr>
        <w:pStyle w:val="864"/>
        <w:numPr>
          <w:ilvl w:val="0"/>
          <w:numId w:val="3"/>
        </w:numPr>
        <w:ind w:firstLine="422"/>
        <w:spacing w:line="360" w:lineRule="auto"/>
        <w:widowControl/>
        <w:tabs>
          <w:tab w:val="left" w:pos="540" w:leader="none"/>
          <w:tab w:val="left" w:pos="567" w:leader="none"/>
        </w:tabs>
        <w:rPr>
          <w:rFonts w:hint="eastAsia" w:ascii="宋体" w:hAnsi="宋体" w:eastAsia="宋体" w:cs="宋体"/>
          <w:b/>
          <w:bCs/>
          <w:color w:val="000000"/>
          <w:szCs w:val="22"/>
          <w:lang w:val="en-US" w:eastAsia="zh-CN" w:bidi="ar"/>
        </w:rPr>
      </w:pPr>
      <w:r>
        <w:rPr>
          <w:rFonts w:hint="eastAsia" w:ascii="宋体" w:hAnsi="宋体" w:eastAsia="宋体" w:cs="宋体"/>
          <w:b/>
          <w:bCs/>
          <w:color w:val="000000"/>
          <w:szCs w:val="22"/>
          <w:lang w:val="en-US" w:eastAsia="zh-CN" w:bidi="ar"/>
        </w:rPr>
        <w:t xml:space="preserve">履约保证金及考核要求</w:t>
      </w:r>
      <w:r>
        <w:rPr>
          <w:rFonts w:hint="eastAsia" w:ascii="宋体" w:hAnsi="宋体" w:eastAsia="宋体" w:cs="宋体"/>
          <w:b/>
          <w:bCs/>
          <w:color w:val="000000"/>
          <w:szCs w:val="22"/>
          <w:lang w:val="en-US" w:eastAsia="zh-CN" w:bidi="ar"/>
        </w:rPr>
      </w:r>
      <w:r/>
    </w:p>
    <w:p>
      <w:pPr>
        <w:pStyle w:val="864"/>
        <w:ind w:firstLine="336"/>
        <w:jc w:val="left"/>
        <w:spacing w:line="360" w:lineRule="auto"/>
        <w:tabs>
          <w:tab w:val="left" w:pos="3060" w:leader="none"/>
        </w:tabs>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1、中标单位中标后须在三个工作日内向招标方交纳10万元作为履约保证金，如在合同履行期间保证金被扣除，则须在五个工作日内补齐至原始金额，合同结束后不计利息退还。</w:t>
      </w:r>
      <w:r>
        <w:rPr>
          <w:rFonts w:hint="eastAsia" w:ascii="宋体" w:hAnsi="宋体" w:eastAsia="宋体" w:cs="宋体"/>
          <w:bCs/>
          <w:color w:val="000000"/>
          <w:sz w:val="21"/>
          <w:szCs w:val="21"/>
          <w:lang w:val="en-US" w:eastAsia="zh-CN"/>
        </w:rPr>
      </w:r>
      <w:r/>
    </w:p>
    <w:p>
      <w:pPr>
        <w:pStyle w:val="864"/>
        <w:ind w:firstLine="336"/>
        <w:jc w:val="left"/>
        <w:spacing w:line="360" w:lineRule="auto"/>
        <w:tabs>
          <w:tab w:val="left" w:pos="3060" w:leader="none"/>
        </w:tabs>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2、中标单位未在要求时间段提供饲料的，每次扣除全部履约保证金的百分之十，并承担采购人由此产生的所有损失。</w:t>
      </w:r>
      <w:r>
        <w:rPr>
          <w:rFonts w:hint="eastAsia" w:ascii="宋体" w:hAnsi="宋体" w:eastAsia="宋体" w:cs="宋体"/>
          <w:bCs/>
          <w:color w:val="000000"/>
          <w:sz w:val="21"/>
          <w:szCs w:val="21"/>
          <w:lang w:val="en-US" w:eastAsia="zh-CN"/>
        </w:rPr>
      </w:r>
      <w:r/>
    </w:p>
    <w:p>
      <w:pPr>
        <w:pStyle w:val="864"/>
        <w:ind w:firstLine="336"/>
        <w:jc w:val="left"/>
        <w:spacing w:line="360" w:lineRule="auto"/>
        <w:tabs>
          <w:tab w:val="left" w:pos="3060" w:leader="none"/>
        </w:tabs>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3、中标单位提供的饲料，在检查过程中被发现短斤少两，第一次发生扣除百分之五全部履约保证金，第二次发生扣除百分之十全部履约保证金,第三次发生终止合同。中标单位应当立即补足当日饲料并承担采购人由此产生的所有损失。</w:t>
      </w:r>
      <w:r>
        <w:rPr>
          <w:rFonts w:hint="eastAsia" w:ascii="宋体" w:hAnsi="宋体" w:eastAsia="宋体" w:cs="宋体"/>
          <w:bCs/>
          <w:color w:val="000000"/>
          <w:sz w:val="21"/>
          <w:szCs w:val="21"/>
          <w:lang w:val="en-US" w:eastAsia="zh-CN"/>
        </w:rPr>
      </w:r>
      <w:r/>
    </w:p>
    <w:p>
      <w:pPr>
        <w:pStyle w:val="864"/>
        <w:ind w:firstLine="336"/>
        <w:jc w:val="left"/>
        <w:spacing w:line="360" w:lineRule="auto"/>
        <w:tabs>
          <w:tab w:val="left" w:pos="3060" w:leader="none"/>
        </w:tabs>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4、中标单位提供的饲料中若混有异物、含有毒有害物质或者被有毒有害物质污染，可能对动物健康有害的物质，一经发现，扣除百分之五十全部履约保证金并终止合同，中标单位应当立即补足当日饲料并承担采购人由此产生的所有损失。 </w:t>
      </w:r>
      <w:r>
        <w:rPr>
          <w:rFonts w:hint="eastAsia" w:ascii="宋体" w:hAnsi="宋体" w:eastAsia="宋体" w:cs="宋体"/>
          <w:bCs/>
          <w:color w:val="000000"/>
          <w:sz w:val="21"/>
          <w:szCs w:val="21"/>
          <w:lang w:val="en-US" w:eastAsia="zh-CN"/>
        </w:rPr>
      </w:r>
      <w:r/>
    </w:p>
    <w:p>
      <w:pPr>
        <w:pStyle w:val="864"/>
        <w:ind w:firstLine="336"/>
        <w:jc w:val="left"/>
        <w:spacing w:line="360" w:lineRule="auto"/>
        <w:tabs>
          <w:tab w:val="left" w:pos="3060" w:leader="none"/>
        </w:tabs>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5、中标单位供应的饲料质量不合格，采购人坚决退货，中标单位需及时补充合格饲料并承担采购人由此产生的所有损失。第一次发生扣除中标方百分之三十全部履约保证金，第二次发生扣除百分之五十全部履约保证金,第三次发生终止合同，剩余履约保证金不退还。</w:t>
      </w:r>
      <w:r>
        <w:rPr>
          <w:rFonts w:hint="eastAsia" w:ascii="宋体" w:hAnsi="宋体" w:eastAsia="宋体" w:cs="宋体"/>
          <w:bCs/>
          <w:color w:val="000000"/>
          <w:sz w:val="21"/>
          <w:szCs w:val="21"/>
          <w:lang w:val="en-US" w:eastAsia="zh-CN"/>
        </w:rPr>
      </w:r>
      <w:r/>
    </w:p>
    <w:p>
      <w:pPr>
        <w:pStyle w:val="864"/>
        <w:ind w:firstLine="336"/>
        <w:jc w:val="left"/>
        <w:spacing w:line="360" w:lineRule="auto"/>
        <w:tabs>
          <w:tab w:val="left" w:pos="3060" w:leader="none"/>
        </w:tabs>
        <w:rPr>
          <w:rFonts w:ascii="宋体" w:hAnsi="宋体" w:eastAsia="宋体" w:cs="宋体"/>
          <w:bCs/>
          <w:color w:val="000000"/>
          <w:sz w:val="21"/>
          <w:szCs w:val="21"/>
          <w:lang w:val="en-US" w:eastAsia="zh-CN"/>
        </w:rPr>
      </w:pPr>
      <w:r>
        <w:rPr>
          <w:rFonts w:hint="eastAsia" w:ascii="宋体" w:hAnsi="宋体" w:eastAsia="宋体" w:cs="宋体"/>
          <w:b/>
          <w:bCs w:val="0"/>
          <w:color w:val="000000"/>
          <w:sz w:val="21"/>
          <w:szCs w:val="21"/>
          <w:lang w:val="en-US" w:eastAsia="zh-CN"/>
        </w:rPr>
        <w:t xml:space="preserve">6、采购人有权要求对随机某一批次的饲料进行检验或邀请第三方检测机构检测。若检验结果合格，检测费用由采购人承担；若检验结果不合格，检测费用由中标单位承担。本着对危及动物安全的食品质量问题采取零容忍的态度，一经发现如肉品检测结果中发现瘦肉精等国家明令禁止的物质后，交予司法机关处理。如中标单位提供的饲料因质量等问题而使招标方动物发生食物中毒或食源性疾病，中标单位将承担全部的民事赔偿责任和其他相应的法律责任,并终止合同，履约保证金不退还。</w:t>
      </w:r>
      <w:r>
        <w:rPr>
          <w:rFonts w:ascii="宋体" w:hAnsi="宋体" w:eastAsia="宋体" w:cs="宋体"/>
          <w:bCs/>
          <w:color w:val="000000"/>
          <w:sz w:val="21"/>
          <w:szCs w:val="21"/>
          <w:lang w:val="en-US" w:eastAsia="zh-CN"/>
        </w:rPr>
      </w:r>
      <w:r/>
    </w:p>
    <w:p>
      <w:pPr>
        <w:pStyle w:val="864"/>
        <w:numPr>
          <w:ilvl w:val="0"/>
          <w:numId w:val="3"/>
        </w:numPr>
        <w:ind w:firstLine="422"/>
        <w:spacing w:line="360" w:lineRule="auto"/>
        <w:widowControl/>
        <w:tabs>
          <w:tab w:val="left" w:pos="540" w:leader="none"/>
          <w:tab w:val="left" w:pos="567" w:leader="none"/>
        </w:tabs>
        <w:rPr>
          <w:rFonts w:hint="eastAsia" w:ascii="宋体" w:hAnsi="宋体" w:eastAsia="宋体" w:cs="宋体"/>
          <w:b/>
          <w:bCs/>
          <w:color w:val="000000"/>
          <w:szCs w:val="22"/>
          <w:lang w:val="en-US" w:eastAsia="zh-CN" w:bidi="ar"/>
        </w:rPr>
      </w:pPr>
      <w:r>
        <w:rPr>
          <w:rFonts w:hint="eastAsia" w:ascii="宋体" w:hAnsi="宋体" w:eastAsia="宋体" w:cs="宋体"/>
          <w:b/>
          <w:bCs/>
          <w:color w:val="000000"/>
          <w:szCs w:val="22"/>
          <w:lang w:val="en-US" w:eastAsia="zh-CN" w:bidi="ar"/>
        </w:rPr>
        <w:t xml:space="preserve">报价及付款方式</w:t>
      </w:r>
      <w:r>
        <w:rPr>
          <w:rFonts w:hint="eastAsia" w:ascii="宋体" w:hAnsi="宋体" w:eastAsia="宋体" w:cs="宋体"/>
          <w:b/>
          <w:bCs/>
          <w:color w:val="000000"/>
          <w:szCs w:val="22"/>
          <w:lang w:val="en-US" w:eastAsia="zh-CN" w:bidi="ar"/>
        </w:rPr>
      </w:r>
      <w:r/>
    </w:p>
    <w:p>
      <w:pPr>
        <w:pStyle w:val="864"/>
        <w:ind w:firstLine="48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1</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供应商报价应综合考虑下列因素：报价包括但不限于所供全部货物和服务所需的人工、包装、仓储、运至最终目的地的运输、饲料采购费、保险、检测验收、中标服务费、售后服务相关劳务支出等，以及供应商利润、税金、政策性文件规定及合同包含的所有风险、责任等所有相关费用。</w:t>
      </w:r>
      <w:r>
        <w:rPr>
          <w:rFonts w:hint="eastAsia" w:ascii="宋体" w:hAnsi="宋体" w:cs="宋体"/>
          <w:bCs/>
          <w:color w:val="000000"/>
          <w:sz w:val="21"/>
          <w:szCs w:val="21"/>
        </w:rPr>
      </w:r>
      <w:r/>
    </w:p>
    <w:p>
      <w:pPr>
        <w:pStyle w:val="864"/>
        <w:ind w:firstLine="480"/>
        <w:spacing w:line="360" w:lineRule="auto"/>
        <w:rPr>
          <w:rFonts w:hint="eastAsia" w:ascii="宋体" w:hAnsi="宋体" w:cs="宋体"/>
          <w:bCs/>
          <w:color w:val="000000"/>
          <w:sz w:val="21"/>
          <w:szCs w:val="21"/>
        </w:rPr>
      </w:pPr>
      <w:r>
        <w:rPr>
          <w:rFonts w:hint="eastAsia" w:ascii="宋体" w:hAnsi="宋体" w:cs="宋体"/>
          <w:bCs/>
          <w:color w:val="000000"/>
          <w:sz w:val="21"/>
          <w:szCs w:val="21"/>
        </w:rPr>
        <w:t xml:space="preserve">2</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饲料供货量需根据</w:t>
      </w:r>
      <w:r>
        <w:rPr>
          <w:rFonts w:hint="eastAsia" w:ascii="宋体" w:hAnsi="宋体" w:cs="宋体"/>
          <w:bCs/>
          <w:color w:val="000000"/>
          <w:sz w:val="21"/>
          <w:szCs w:val="21"/>
          <w:lang w:val="en-US" w:eastAsia="zh-CN"/>
        </w:rPr>
        <w:t xml:space="preserve">采购人</w:t>
      </w:r>
      <w:r>
        <w:rPr>
          <w:rFonts w:hint="eastAsia" w:ascii="宋体" w:hAnsi="宋体" w:cs="宋体"/>
          <w:bCs/>
          <w:color w:val="000000"/>
          <w:sz w:val="21"/>
          <w:szCs w:val="21"/>
        </w:rPr>
        <w:t xml:space="preserve">的实际需要进行采购，</w:t>
      </w:r>
      <w:r>
        <w:rPr>
          <w:rFonts w:hint="eastAsia" w:ascii="宋体" w:hAnsi="宋体" w:cs="宋体"/>
          <w:bCs/>
          <w:color w:val="000000"/>
          <w:sz w:val="21"/>
          <w:szCs w:val="21"/>
          <w:lang w:val="en-US" w:eastAsia="zh-CN"/>
        </w:rPr>
        <w:t xml:space="preserve">采购人</w:t>
      </w:r>
      <w:r>
        <w:rPr>
          <w:rFonts w:hint="eastAsia" w:ascii="宋体" w:hAnsi="宋体" w:cs="宋体"/>
          <w:bCs/>
          <w:color w:val="000000"/>
          <w:sz w:val="21"/>
          <w:szCs w:val="21"/>
        </w:rPr>
        <w:t xml:space="preserve">没有义务确保每种饲料的采购数量，各投标供应商应自行考虑其报价风险。对于采购</w:t>
      </w:r>
      <w:r>
        <w:rPr>
          <w:rFonts w:hint="eastAsia" w:ascii="宋体" w:hAnsi="宋体" w:cs="宋体"/>
          <w:bCs/>
          <w:color w:val="000000"/>
          <w:sz w:val="21"/>
          <w:szCs w:val="21"/>
          <w:lang w:val="en-US" w:eastAsia="zh-CN"/>
        </w:rPr>
        <w:t xml:space="preserve">人</w:t>
      </w:r>
      <w:r>
        <w:rPr>
          <w:rFonts w:hint="eastAsia" w:ascii="宋体" w:hAnsi="宋体" w:cs="宋体"/>
          <w:bCs/>
          <w:color w:val="000000"/>
          <w:sz w:val="21"/>
          <w:szCs w:val="21"/>
        </w:rPr>
        <w:t xml:space="preserve">根据实际需求调整的饲料种类和数量，中标</w:t>
      </w:r>
      <w:r>
        <w:rPr>
          <w:rFonts w:hint="eastAsia" w:ascii="宋体" w:hAnsi="宋体" w:cs="宋体"/>
          <w:bCs/>
          <w:color w:val="000000"/>
          <w:sz w:val="21"/>
          <w:szCs w:val="21"/>
          <w:lang w:val="en-US" w:eastAsia="zh-CN"/>
        </w:rPr>
        <w:t xml:space="preserve">单位</w:t>
      </w:r>
      <w:r>
        <w:rPr>
          <w:rFonts w:hint="eastAsia" w:ascii="宋体" w:hAnsi="宋体" w:cs="宋体"/>
          <w:bCs/>
          <w:color w:val="000000"/>
          <w:sz w:val="21"/>
          <w:szCs w:val="21"/>
        </w:rPr>
        <w:t xml:space="preserve">应无条件配合采购</w:t>
      </w:r>
      <w:r>
        <w:rPr>
          <w:rFonts w:hint="eastAsia" w:ascii="宋体" w:hAnsi="宋体" w:cs="宋体"/>
          <w:bCs/>
          <w:color w:val="000000"/>
          <w:sz w:val="21"/>
          <w:szCs w:val="21"/>
          <w:lang w:val="en-US" w:eastAsia="zh-CN"/>
        </w:rPr>
        <w:t xml:space="preserve">人</w:t>
      </w:r>
      <w:r>
        <w:rPr>
          <w:rFonts w:hint="eastAsia" w:ascii="宋体" w:hAnsi="宋体" w:cs="宋体"/>
          <w:bCs/>
          <w:color w:val="000000"/>
          <w:sz w:val="21"/>
          <w:szCs w:val="21"/>
        </w:rPr>
        <w:t xml:space="preserve">，按时按量将采购</w:t>
      </w:r>
      <w:r>
        <w:rPr>
          <w:rFonts w:hint="eastAsia" w:ascii="宋体" w:hAnsi="宋体" w:cs="宋体"/>
          <w:bCs/>
          <w:color w:val="000000"/>
          <w:sz w:val="21"/>
          <w:szCs w:val="21"/>
          <w:lang w:val="en-US" w:eastAsia="zh-CN"/>
        </w:rPr>
        <w:t xml:space="preserve">人</w:t>
      </w:r>
      <w:r>
        <w:rPr>
          <w:rFonts w:hint="eastAsia" w:ascii="宋体" w:hAnsi="宋体" w:cs="宋体"/>
          <w:bCs/>
          <w:color w:val="000000"/>
          <w:sz w:val="21"/>
          <w:szCs w:val="21"/>
        </w:rPr>
        <w:t xml:space="preserve">采购的饲料送达指定地点。</w:t>
      </w:r>
      <w:r>
        <w:rPr>
          <w:rFonts w:hint="eastAsia" w:ascii="宋体" w:hAnsi="宋体" w:cs="宋体"/>
          <w:bCs/>
          <w:color w:val="000000"/>
          <w:sz w:val="21"/>
          <w:szCs w:val="21"/>
        </w:rPr>
      </w:r>
      <w:r/>
    </w:p>
    <w:p>
      <w:pPr>
        <w:pStyle w:val="864"/>
        <w:ind w:firstLine="480"/>
        <w:spacing w:line="360"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rPr>
        <w:t xml:space="preserve">3</w:t>
      </w:r>
      <w:r>
        <w:rPr>
          <w:rFonts w:hint="eastAsia" w:ascii="宋体" w:hAnsi="宋体" w:cs="宋体"/>
          <w:bCs/>
          <w:color w:val="000000"/>
          <w:sz w:val="21"/>
          <w:szCs w:val="21"/>
          <w:lang w:eastAsia="zh-CN"/>
        </w:rPr>
        <w:t xml:space="preserve">、</w:t>
      </w:r>
      <w:r>
        <w:rPr>
          <w:rFonts w:hint="eastAsia" w:ascii="宋体" w:hAnsi="宋体" w:cs="宋体"/>
          <w:bCs/>
          <w:color w:val="000000"/>
          <w:sz w:val="21"/>
          <w:szCs w:val="21"/>
        </w:rPr>
        <w:t xml:space="preserve">各供应商按照本招标文件第四章中采购饲料的数量、规格及质量标准和要求，综合考虑市场价格波动等风险，结合</w:t>
      </w:r>
      <w:r>
        <w:rPr>
          <w:rFonts w:hint="eastAsia" w:ascii="宋体" w:hAnsi="宋体" w:cs="宋体"/>
          <w:bCs/>
          <w:color w:val="000000"/>
          <w:sz w:val="21"/>
          <w:szCs w:val="21"/>
          <w:highlight w:val="none"/>
        </w:rPr>
        <w:t xml:space="preserve">自身情况进行各品类单价报价，整个供货周期单价固定不变，按照实际采购需求量按实结算，结算总费用不超</w:t>
      </w:r>
      <w:r>
        <w:rPr>
          <w:rFonts w:hint="eastAsia" w:ascii="宋体" w:hAnsi="宋体" w:cs="宋体"/>
          <w:bCs/>
          <w:color w:val="000000"/>
          <w:sz w:val="21"/>
          <w:szCs w:val="21"/>
          <w:highlight w:val="none"/>
          <w:lang w:val="en-US" w:eastAsia="zh-CN"/>
        </w:rPr>
        <w:t xml:space="preserve">预算金额</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864"/>
        <w:ind w:firstLine="480"/>
        <w:spacing w:line="360" w:lineRule="auto"/>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4、零星采购饲料，除</w:t>
      </w:r>
      <w:r>
        <w:rPr>
          <w:rFonts w:hint="eastAsia" w:ascii="宋体" w:hAnsi="宋体" w:eastAsia="宋体" w:cs="宋体"/>
          <w:bCs/>
          <w:color w:val="000000"/>
          <w:sz w:val="21"/>
          <w:szCs w:val="21"/>
          <w:highlight w:val="none"/>
        </w:rPr>
        <w:t xml:space="preserve">鲜草采购总价约9.6万</w:t>
      </w:r>
      <w:r>
        <w:rPr>
          <w:rFonts w:hint="eastAsia" w:ascii="宋体" w:hAnsi="宋体" w:cs="宋体"/>
          <w:bCs/>
          <w:color w:val="000000"/>
          <w:sz w:val="21"/>
          <w:szCs w:val="21"/>
          <w:highlight w:val="none"/>
          <w:lang w:val="en-US" w:eastAsia="zh-CN"/>
        </w:rPr>
        <w:t xml:space="preserve">，其他品类拟定价按照配送  当天苏州价格在线网站发布为准，未涵盖部分饲料通过苏州市南环桥农副产品批发市场至少三方比价获取平均价作为采购价，苏州价格在线网站和南环桥批发市场无法满足采购需求采用网购的，以淘宝搜索网页销量排名前三家报价的平均价格作为供货价进行饲料配送。采购人和中标单位确认好的价格任何一方不得随意更改。</w:t>
      </w:r>
      <w:r>
        <w:rPr>
          <w:rFonts w:ascii="宋体" w:hAnsi="宋体" w:eastAsia="宋体" w:cs="宋体"/>
          <w:bCs/>
          <w:color w:val="000000"/>
          <w:sz w:val="21"/>
          <w:szCs w:val="21"/>
          <w:highlight w:val="none"/>
          <w:lang w:val="en-US" w:eastAsia="zh-CN"/>
        </w:rPr>
      </w:r>
      <w:r/>
    </w:p>
    <w:p>
      <w:pPr>
        <w:pStyle w:val="864"/>
        <w:ind w:firstLine="48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.当月饲料费</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于当月配送结束后60天内</w:t>
      </w:r>
      <w:r>
        <w:rPr>
          <w:rFonts w:hint="eastAsia" w:ascii="宋体" w:hAnsi="宋体" w:cs="宋体"/>
          <w:bCs/>
          <w:color w:val="000000"/>
          <w:sz w:val="21"/>
          <w:szCs w:val="21"/>
          <w:highlight w:val="none"/>
        </w:rPr>
        <w:t xml:space="preserve">支付，累计结算总费用不得超</w:t>
      </w:r>
      <w:r>
        <w:rPr>
          <w:rFonts w:hint="eastAsia" w:ascii="宋体" w:hAnsi="宋体" w:cs="宋体"/>
          <w:bCs/>
          <w:color w:val="000000"/>
          <w:sz w:val="21"/>
          <w:szCs w:val="21"/>
          <w:highlight w:val="none"/>
        </w:rPr>
        <w:t xml:space="preserve">过</w:t>
      </w:r>
      <w:r>
        <w:rPr>
          <w:rFonts w:hint="eastAsia" w:ascii="宋体" w:hAnsi="宋体" w:cs="宋体"/>
          <w:bCs/>
          <w:color w:val="000000"/>
          <w:sz w:val="21"/>
          <w:szCs w:val="21"/>
          <w:highlight w:val="none"/>
          <w:lang w:val="en-US" w:eastAsia="zh-CN"/>
        </w:rPr>
        <w:t xml:space="preserve">预算金额</w:t>
      </w:r>
      <w:r>
        <w:rPr>
          <w:rFonts w:hint="eastAsia" w:ascii="宋体" w:hAnsi="宋体" w:cs="宋体"/>
          <w:bCs/>
          <w:color w:val="000000"/>
          <w:sz w:val="21"/>
          <w:szCs w:val="21"/>
          <w:highlight w:val="none"/>
        </w:rPr>
        <w:t xml:space="preserve">。因年度财政关账工作需要，12 月1日至10日之间发生的费用与11 月费用同步结算。12 月11日至12月31日之间发生的费用与次年 1 月费用同步结算。</w:t>
      </w:r>
      <w:r>
        <w:rPr>
          <w:rFonts w:hint="eastAsia" w:ascii="宋体" w:hAnsi="宋体" w:cs="宋体"/>
          <w:bCs/>
          <w:color w:val="000000"/>
          <w:sz w:val="21"/>
          <w:szCs w:val="21"/>
          <w:highlight w:val="none"/>
        </w:rPr>
        <w:t xml:space="preserve">采购</w:t>
      </w:r>
      <w:r>
        <w:rPr>
          <w:rFonts w:hint="eastAsia" w:ascii="宋体" w:hAnsi="宋体" w:cs="宋体"/>
          <w:bCs/>
          <w:color w:val="000000"/>
          <w:sz w:val="21"/>
          <w:szCs w:val="21"/>
          <w:highlight w:val="none"/>
          <w:lang w:val="en-US" w:eastAsia="zh-CN"/>
        </w:rPr>
        <w:t xml:space="preserve">人</w:t>
      </w:r>
      <w:r>
        <w:rPr>
          <w:rFonts w:hint="eastAsia" w:ascii="宋体" w:hAnsi="宋体" w:cs="宋体"/>
          <w:bCs/>
          <w:color w:val="000000"/>
          <w:sz w:val="21"/>
          <w:szCs w:val="21"/>
          <w:highlight w:val="none"/>
        </w:rPr>
        <w:t xml:space="preserve">和</w:t>
      </w:r>
      <w:r>
        <w:rPr>
          <w:rFonts w:hint="eastAsia" w:ascii="宋体" w:hAnsi="宋体" w:cs="宋体"/>
          <w:bCs/>
          <w:color w:val="000000"/>
          <w:sz w:val="21"/>
          <w:szCs w:val="21"/>
          <w:highlight w:val="none"/>
          <w:lang w:val="en-US" w:eastAsia="zh-CN"/>
        </w:rPr>
        <w:t xml:space="preserve">中标单位</w:t>
      </w:r>
      <w:r>
        <w:rPr>
          <w:rFonts w:hint="eastAsia" w:ascii="宋体" w:hAnsi="宋体" w:cs="宋体"/>
          <w:bCs/>
          <w:color w:val="000000"/>
          <w:sz w:val="21"/>
          <w:szCs w:val="21"/>
          <w:highlight w:val="none"/>
        </w:rPr>
        <w:t xml:space="preserve">核对供应量后，根据</w:t>
      </w:r>
      <w:r>
        <w:rPr>
          <w:rFonts w:hint="eastAsia" w:ascii="宋体" w:hAnsi="宋体" w:cs="宋体"/>
          <w:bCs/>
          <w:color w:val="000000"/>
          <w:sz w:val="21"/>
          <w:szCs w:val="21"/>
          <w:highlight w:val="none"/>
          <w:lang w:val="en-US" w:eastAsia="zh-CN"/>
        </w:rPr>
        <w:t xml:space="preserve">中标单位</w:t>
      </w:r>
      <w:r>
        <w:rPr>
          <w:rFonts w:hint="eastAsia" w:ascii="宋体" w:hAnsi="宋体" w:cs="宋体"/>
          <w:bCs/>
          <w:color w:val="000000"/>
          <w:sz w:val="21"/>
          <w:szCs w:val="21"/>
          <w:highlight w:val="none"/>
        </w:rPr>
        <w:t xml:space="preserve">提供的正规发票金额报账，</w:t>
      </w:r>
      <w:r>
        <w:rPr>
          <w:rFonts w:hint="eastAsia" w:ascii="宋体" w:hAnsi="宋体" w:cs="宋体"/>
          <w:bCs/>
          <w:color w:val="000000"/>
          <w:sz w:val="21"/>
          <w:szCs w:val="21"/>
          <w:highlight w:val="none"/>
          <w:lang w:val="en-US" w:eastAsia="zh-CN"/>
        </w:rPr>
        <w:t xml:space="preserve">中标单位</w:t>
      </w:r>
      <w:r>
        <w:rPr>
          <w:rFonts w:hint="eastAsia" w:ascii="宋体" w:hAnsi="宋体" w:cs="宋体"/>
          <w:bCs/>
          <w:color w:val="000000"/>
          <w:sz w:val="21"/>
          <w:szCs w:val="21"/>
          <w:highlight w:val="none"/>
        </w:rPr>
        <w:t xml:space="preserve">必须开具正规发票，开票价含饲料、搬运费、运输费和税费等。</w:t>
      </w:r>
      <w:r>
        <w:rPr>
          <w:rFonts w:hint="eastAsia" w:ascii="宋体" w:hAnsi="宋体" w:cs="宋体"/>
          <w:bCs/>
          <w:color w:val="000000"/>
          <w:sz w:val="21"/>
          <w:szCs w:val="21"/>
          <w:highlight w:val="none"/>
        </w:rPr>
      </w:r>
      <w:r/>
    </w:p>
    <w:p>
      <w:pPr>
        <w:pStyle w:val="864"/>
        <w:ind w:firstLine="422"/>
        <w:spacing w:line="360" w:lineRule="auto"/>
        <w:widowControl/>
        <w:tabs>
          <w:tab w:val="left" w:pos="540" w:leader="none"/>
          <w:tab w:val="left" w:pos="567" w:leader="none"/>
        </w:tabs>
        <w:rPr>
          <w:rFonts w:hint="eastAsia" w:ascii="宋体" w:hAnsi="宋体" w:cs="宋体"/>
          <w:b/>
          <w:bCs/>
          <w:color w:val="000000"/>
          <w:szCs w:val="22"/>
          <w:lang w:bidi="ar"/>
        </w:rPr>
      </w:pPr>
      <w:r/>
      <w:bookmarkEnd w:id="21"/>
      <w:r>
        <w:rPr>
          <w:rFonts w:hint="eastAsia" w:ascii="宋体" w:hAnsi="宋体" w:cs="宋体"/>
          <w:b/>
          <w:bCs/>
          <w:color w:val="000000"/>
          <w:szCs w:val="22"/>
          <w:lang w:val="en-US" w:eastAsia="zh-CN" w:bidi="ar"/>
        </w:rPr>
        <w:t xml:space="preserve">九</w:t>
      </w:r>
      <w:r>
        <w:rPr>
          <w:rFonts w:hint="eastAsia" w:ascii="宋体" w:hAnsi="宋体" w:cs="宋体"/>
          <w:b/>
          <w:bCs/>
          <w:color w:val="000000"/>
          <w:szCs w:val="22"/>
          <w:lang w:bidi="ar"/>
        </w:rPr>
        <w:t xml:space="preserve">、综合说明及其它要求：</w:t>
      </w:r>
      <w:r>
        <w:rPr>
          <w:rFonts w:hint="eastAsia" w:ascii="宋体" w:hAnsi="宋体" w:cs="宋体"/>
          <w:b/>
          <w:bCs/>
          <w:color w:val="000000"/>
          <w:szCs w:val="22"/>
          <w:lang w:bidi="ar"/>
        </w:rPr>
      </w:r>
      <w:r/>
    </w:p>
    <w:p>
      <w:pPr>
        <w:pStyle w:val="864"/>
        <w:ind w:firstLine="480"/>
        <w:jc w:val="left"/>
        <w:spacing w:line="360" w:lineRule="auto"/>
        <w:widowControl/>
        <w:rPr>
          <w:rFonts w:ascii="宋体" w:hAnsi="宋体"/>
          <w:sz w:val="21"/>
          <w:szCs w:val="21"/>
        </w:rPr>
      </w:pPr>
      <w:r>
        <w:rPr>
          <w:rFonts w:hint="eastAsia" w:ascii="宋体" w:hAnsi="宋体"/>
          <w:sz w:val="21"/>
          <w:szCs w:val="21"/>
        </w:rPr>
        <w:t xml:space="preserve">1、供货过程中，采购人对所供货物有任何合理意见，可随时向中标单位反映，中标单位应及时改进，否则，采购人有权</w:t>
      </w:r>
      <w:r>
        <w:rPr>
          <w:rFonts w:hint="eastAsia"/>
          <w:sz w:val="21"/>
          <w:szCs w:val="21"/>
        </w:rPr>
        <w:t xml:space="preserve">终止</w:t>
      </w:r>
      <w:r>
        <w:rPr>
          <w:rFonts w:hint="eastAsia" w:ascii="宋体" w:hAnsi="宋体"/>
          <w:sz w:val="21"/>
          <w:szCs w:val="21"/>
        </w:rPr>
        <w:t xml:space="preserve">与中标单位的合作，终止合同须提前十五天通知对方。</w:t>
      </w:r>
      <w:r>
        <w:rPr>
          <w:rFonts w:ascii="宋体" w:hAnsi="宋体"/>
          <w:sz w:val="21"/>
          <w:szCs w:val="21"/>
        </w:rPr>
      </w:r>
      <w:r/>
    </w:p>
    <w:p>
      <w:pPr>
        <w:pStyle w:val="864"/>
        <w:ind w:firstLine="480"/>
        <w:jc w:val="left"/>
        <w:spacing w:line="360" w:lineRule="auto"/>
        <w:widowControl/>
        <w:rPr>
          <w:rFonts w:hint="eastAsia" w:ascii="宋体" w:hAnsi="宋体"/>
          <w:sz w:val="21"/>
          <w:szCs w:val="21"/>
        </w:rPr>
      </w:pPr>
      <w:r>
        <w:rPr>
          <w:rFonts w:hint="eastAsia" w:ascii="宋体" w:hAnsi="宋体"/>
          <w:sz w:val="21"/>
          <w:szCs w:val="21"/>
        </w:rPr>
        <w:t xml:space="preserve">2、因配</w:t>
      </w:r>
      <w:r>
        <w:rPr>
          <w:rFonts w:hint="eastAsia" w:ascii="宋体" w:hAnsi="宋体"/>
          <w:color w:val="000000"/>
          <w:sz w:val="21"/>
          <w:szCs w:val="21"/>
        </w:rPr>
        <w:t xml:space="preserve">送、搬运过</w:t>
      </w:r>
      <w:r>
        <w:rPr>
          <w:rFonts w:hint="eastAsia" w:ascii="宋体" w:hAnsi="宋体"/>
          <w:sz w:val="21"/>
          <w:szCs w:val="21"/>
        </w:rPr>
        <w:t xml:space="preserve">程中出现人身安全等事故的，中标单位独立承担一切刑事、民事责任，与采购人无关。</w:t>
      </w:r>
      <w:r>
        <w:rPr>
          <w:rFonts w:hint="eastAsia" w:ascii="宋体" w:hAnsi="宋体"/>
          <w:sz w:val="21"/>
          <w:szCs w:val="21"/>
        </w:rPr>
      </w:r>
      <w:r/>
    </w:p>
    <w:p>
      <w:pPr>
        <w:pStyle w:val="864"/>
        <w:ind w:firstLine="480"/>
        <w:jc w:val="left"/>
        <w:spacing w:line="360" w:lineRule="auto"/>
        <w:widowControl/>
        <w:rPr>
          <w:rFonts w:ascii="宋体" w:hAnsi="宋体"/>
          <w:sz w:val="21"/>
          <w:szCs w:val="21"/>
        </w:rPr>
      </w:pPr>
      <w:r>
        <w:rPr>
          <w:rFonts w:hint="eastAsia" w:ascii="宋体" w:hAnsi="宋体"/>
          <w:sz w:val="21"/>
          <w:szCs w:val="21"/>
        </w:rPr>
        <w:t xml:space="preserve">3、供应商所提供的相关服务应符合根据国家标准和规范，并遵循招标文件的要求，其服务的质量和标准应达到招标文件要求，并提供详细的服务说明。如其中某些条款不能完全满足时，应在投标文件中逐条列出。</w:t>
      </w:r>
      <w:r>
        <w:rPr>
          <w:rFonts w:ascii="宋体" w:hAnsi="宋体"/>
          <w:sz w:val="21"/>
          <w:szCs w:val="21"/>
        </w:rPr>
      </w:r>
      <w:r/>
    </w:p>
    <w:p>
      <w:pPr>
        <w:pStyle w:val="864"/>
        <w:ind w:firstLine="480"/>
        <w:spacing w:line="360" w:lineRule="auto"/>
        <w:rPr>
          <w:rFonts w:hint="eastAsia" w:ascii="宋体" w:hAnsi="宋体" w:cs="宋体"/>
          <w:color w:val="000000"/>
          <w:szCs w:val="22"/>
          <w:lang w:bidi="ar"/>
        </w:rPr>
      </w:pPr>
      <w:r>
        <w:rPr>
          <w:rFonts w:hint="eastAsia" w:ascii="宋体" w:hAnsi="宋体" w:cs="宋体"/>
          <w:bCs/>
          <w:color w:val="000000"/>
          <w:sz w:val="21"/>
          <w:szCs w:val="21"/>
        </w:rPr>
        <w:t xml:space="preserve">4、</w:t>
      </w:r>
      <w:r>
        <w:rPr>
          <w:rFonts w:hint="eastAsia" w:ascii="宋体" w:hAnsi="宋体" w:eastAsia="宋体" w:cs="宋体"/>
          <w:color w:val="000000"/>
          <w:szCs w:val="22"/>
          <w:lang w:bidi="ar"/>
        </w:rPr>
        <w:t xml:space="preserve">投标单位</w:t>
      </w:r>
      <w:r>
        <w:rPr>
          <w:rFonts w:hint="eastAsia" w:ascii="宋体" w:hAnsi="宋体" w:cs="宋体"/>
          <w:bCs/>
          <w:color w:val="000000"/>
          <w:sz w:val="21"/>
          <w:szCs w:val="21"/>
        </w:rPr>
        <w:t xml:space="preserve">必须承诺招标文件中提出的全部标准要求；</w:t>
      </w:r>
      <w:r>
        <w:rPr>
          <w:rFonts w:hint="eastAsia" w:ascii="宋体" w:hAnsi="宋体" w:cs="宋体"/>
          <w:bCs/>
          <w:sz w:val="21"/>
          <w:szCs w:val="21"/>
        </w:rPr>
        <w:t xml:space="preserve">如果其中某些条款不响应时，应在文件中逐条列出，未列出的视同响应。</w:t>
      </w:r>
      <w:r>
        <w:rPr>
          <w:rFonts w:hint="eastAsia" w:ascii="宋体" w:hAnsi="宋体" w:cs="宋体"/>
          <w:color w:val="000000"/>
          <w:szCs w:val="22"/>
          <w:lang w:bidi="ar"/>
        </w:rPr>
      </w:r>
      <w:r/>
    </w:p>
    <w:p>
      <w:pPr>
        <w:pStyle w:val="864"/>
        <w:ind w:firstLine="420"/>
        <w:spacing w:line="360" w:lineRule="auto"/>
        <w:widowControl/>
        <w:tabs>
          <w:tab w:val="left" w:pos="540" w:leader="none"/>
          <w:tab w:val="left" w:pos="567" w:leader="none"/>
        </w:tabs>
        <w:rPr>
          <w:rFonts w:hint="eastAsia" w:ascii="宋体" w:hAnsi="宋体" w:eastAsia="宋体" w:cs="宋体"/>
          <w:color w:val="000000"/>
          <w:szCs w:val="22"/>
          <w:lang w:bidi="ar"/>
        </w:rPr>
      </w:pPr>
      <w:r>
        <w:rPr>
          <w:rFonts w:hint="eastAsia" w:ascii="宋体" w:hAnsi="宋体" w:eastAsia="宋体" w:cs="宋体"/>
          <w:color w:val="000000"/>
          <w:szCs w:val="22"/>
          <w:lang w:val="en-US" w:eastAsia="zh-CN" w:bidi="ar"/>
        </w:rPr>
        <w:t xml:space="preserve">5</w:t>
      </w:r>
      <w:r>
        <w:rPr>
          <w:rFonts w:hint="eastAsia" w:ascii="宋体" w:hAnsi="宋体" w:eastAsia="宋体" w:cs="宋体"/>
          <w:color w:val="000000"/>
          <w:szCs w:val="22"/>
          <w:lang w:bidi="ar"/>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rPr>
          <w:rFonts w:hint="eastAsia" w:ascii="宋体" w:hAnsi="宋体" w:eastAsia="宋体" w:cs="宋体"/>
          <w:color w:val="000000"/>
          <w:szCs w:val="22"/>
          <w:lang w:bidi="ar"/>
        </w:rPr>
      </w:r>
      <w:r/>
    </w:p>
    <w:p>
      <w:pPr>
        <w:pStyle w:val="864"/>
        <w:numPr>
          <w:ilvl w:val="0"/>
          <w:numId w:val="4"/>
        </w:numPr>
        <w:ind w:firstLine="420"/>
        <w:spacing w:line="360" w:lineRule="auto"/>
        <w:widowControl/>
        <w:tabs>
          <w:tab w:val="left" w:pos="540" w:leader="none"/>
          <w:tab w:val="left" w:pos="567" w:leader="none"/>
        </w:tabs>
        <w:rPr>
          <w:rFonts w:hint="eastAsia" w:ascii="宋体" w:hAnsi="宋体" w:eastAsia="宋体" w:cs="宋体"/>
          <w:color w:val="000000"/>
          <w:szCs w:val="22"/>
          <w:highlight w:val="none"/>
          <w:lang w:bidi="ar"/>
        </w:rPr>
      </w:pPr>
      <w:r>
        <w:rPr>
          <w:rFonts w:hint="eastAsia" w:ascii="宋体" w:hAnsi="宋体" w:eastAsia="宋体" w:cs="宋体"/>
          <w:color w:val="000000"/>
          <w:szCs w:val="22"/>
          <w:highlight w:val="none"/>
          <w:lang w:bidi="ar"/>
        </w:rPr>
        <w:t xml:space="preserve">本项目执行评审委员会启动异常低价投标（响应）的审查，相关情形和具体要求如下：</w:t>
      </w:r>
      <w:r>
        <w:rPr>
          <w:rFonts w:hint="eastAsia" w:ascii="宋体" w:hAnsi="宋体" w:eastAsia="宋体" w:cs="宋体"/>
          <w:color w:val="000000"/>
          <w:szCs w:val="22"/>
          <w:highlight w:val="none"/>
          <w:lang w:bidi="ar"/>
        </w:rPr>
      </w:r>
      <w:r/>
    </w:p>
    <w:p>
      <w:pPr>
        <w:pStyle w:val="864"/>
        <w:numPr>
          <w:ilvl w:val="0"/>
          <w:numId w:val="0"/>
        </w:numPr>
        <w:ind w:firstLine="420"/>
        <w:spacing w:line="360" w:lineRule="auto"/>
        <w:widowControl/>
        <w:tabs>
          <w:tab w:val="left" w:pos="540" w:leader="none"/>
          <w:tab w:val="left" w:pos="567" w:leader="none"/>
        </w:tabs>
        <w:rPr>
          <w:rFonts w:hint="eastAsia" w:ascii="宋体" w:hAnsi="宋体" w:eastAsia="宋体" w:cs="宋体"/>
          <w:color w:val="000000"/>
          <w:szCs w:val="22"/>
          <w:lang w:val="en-US" w:eastAsia="zh-CN" w:bidi="ar"/>
        </w:rPr>
      </w:pPr>
      <w:r>
        <w:rPr>
          <w:rFonts w:hint="eastAsia" w:ascii="宋体" w:hAnsi="宋体" w:eastAsia="宋体" w:cs="宋体"/>
          <w:color w:val="000000"/>
          <w:szCs w:val="22"/>
          <w:lang w:val="en-US" w:eastAsia="zh-CN" w:bidi="ar"/>
        </w:rPr>
        <w:t xml:space="preserve">6.1评标过程中出现下列情形之一的，评标委员会应当启动异常低价投标审查程序：</w:t>
      </w:r>
      <w:r>
        <w:rPr>
          <w:rFonts w:hint="eastAsia" w:ascii="宋体" w:hAnsi="宋体" w:eastAsia="宋体" w:cs="宋体"/>
          <w:color w:val="000000"/>
          <w:szCs w:val="22"/>
          <w:lang w:val="en-US" w:eastAsia="zh-CN" w:bidi="ar"/>
        </w:rPr>
      </w:r>
      <w:r/>
    </w:p>
    <w:p>
      <w:pPr>
        <w:pStyle w:val="864"/>
        <w:ind w:firstLine="630"/>
        <w:spacing w:line="360" w:lineRule="auto"/>
        <w:widowControl/>
        <w:tabs>
          <w:tab w:val="left" w:pos="540" w:leader="none"/>
          <w:tab w:val="left" w:pos="567" w:leader="none"/>
        </w:tabs>
        <w:rPr>
          <w:rFonts w:hint="eastAsia" w:ascii="宋体" w:hAnsi="宋体" w:eastAsia="宋体" w:cs="宋体"/>
          <w:color w:val="000000"/>
          <w:szCs w:val="22"/>
          <w:lang w:val="en-US" w:eastAsia="zh-CN" w:bidi="ar"/>
        </w:rPr>
      </w:pPr>
      <w:r>
        <w:rPr>
          <w:rFonts w:hint="eastAsia" w:ascii="宋体" w:hAnsi="宋体" w:eastAsia="宋体" w:cs="宋体"/>
          <w:color w:val="000000"/>
          <w:szCs w:val="22"/>
          <w:lang w:val="en-US" w:eastAsia="zh-CN" w:bidi="ar"/>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Cs w:val="22"/>
          <w:lang w:val="en-US" w:eastAsia="zh-CN" w:bidi="ar"/>
        </w:rPr>
      </w:r>
      <w:r/>
    </w:p>
    <w:p>
      <w:pPr>
        <w:pStyle w:val="864"/>
        <w:ind w:firstLine="630"/>
        <w:spacing w:line="360" w:lineRule="auto"/>
        <w:widowControl/>
        <w:tabs>
          <w:tab w:val="left" w:pos="540" w:leader="none"/>
          <w:tab w:val="left" w:pos="567" w:leader="none"/>
        </w:tabs>
        <w:rPr>
          <w:rFonts w:hint="eastAsia" w:ascii="宋体" w:hAnsi="宋体" w:eastAsia="宋体" w:cs="宋体"/>
          <w:color w:val="000000"/>
          <w:szCs w:val="22"/>
          <w:lang w:val="en-US" w:eastAsia="zh-CN" w:bidi="ar"/>
        </w:rPr>
      </w:pPr>
      <w:r>
        <w:rPr>
          <w:rFonts w:hint="eastAsia" w:ascii="宋体" w:hAnsi="宋体" w:eastAsia="宋体" w:cs="宋体"/>
          <w:color w:val="000000"/>
          <w:szCs w:val="22"/>
          <w:lang w:val="en-US" w:eastAsia="zh-CN" w:bidi="ar"/>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Cs w:val="22"/>
          <w:lang w:val="en-US" w:eastAsia="zh-CN" w:bidi="ar"/>
        </w:rPr>
      </w:r>
      <w:r/>
    </w:p>
    <w:p>
      <w:pPr>
        <w:pStyle w:val="864"/>
        <w:ind w:firstLine="630"/>
        <w:spacing w:line="360" w:lineRule="auto"/>
        <w:widowControl/>
        <w:tabs>
          <w:tab w:val="left" w:pos="540" w:leader="none"/>
          <w:tab w:val="left" w:pos="567" w:leader="none"/>
        </w:tabs>
        <w:rPr>
          <w:rFonts w:hint="eastAsia" w:ascii="宋体" w:hAnsi="宋体" w:eastAsia="宋体" w:cs="宋体"/>
          <w:color w:val="000000"/>
          <w:szCs w:val="22"/>
          <w:lang w:val="en-US" w:eastAsia="zh-CN" w:bidi="ar"/>
        </w:rPr>
      </w:pPr>
      <w:r>
        <w:rPr>
          <w:rFonts w:hint="eastAsia" w:ascii="宋体" w:hAnsi="宋体" w:eastAsia="宋体" w:cs="宋体"/>
          <w:color w:val="000000"/>
          <w:szCs w:val="22"/>
          <w:lang w:val="en-US" w:eastAsia="zh-CN" w:bidi="ar"/>
        </w:rPr>
        <w:t xml:space="preserve">（3）投标报价低于采购项目最高限价45%的，即投标报价＜采购项目最高限价×45%；</w:t>
      </w:r>
      <w:r>
        <w:rPr>
          <w:rFonts w:hint="eastAsia" w:ascii="宋体" w:hAnsi="宋体" w:eastAsia="宋体" w:cs="宋体"/>
          <w:color w:val="000000"/>
          <w:szCs w:val="22"/>
          <w:lang w:val="en-US" w:eastAsia="zh-CN" w:bidi="ar"/>
        </w:rPr>
      </w:r>
      <w:r/>
    </w:p>
    <w:p>
      <w:pPr>
        <w:pStyle w:val="864"/>
        <w:ind w:firstLine="630"/>
        <w:spacing w:line="360" w:lineRule="auto"/>
        <w:widowControl/>
        <w:tabs>
          <w:tab w:val="left" w:pos="540" w:leader="none"/>
          <w:tab w:val="left" w:pos="567" w:leader="none"/>
        </w:tabs>
        <w:rPr>
          <w:rFonts w:hint="eastAsia" w:ascii="宋体" w:hAnsi="宋体" w:eastAsia="宋体" w:cs="宋体"/>
          <w:color w:val="000000"/>
          <w:szCs w:val="22"/>
          <w:lang w:val="en-US" w:eastAsia="zh-CN" w:bidi="ar"/>
        </w:rPr>
      </w:pPr>
      <w:r>
        <w:rPr>
          <w:rFonts w:hint="eastAsia" w:ascii="宋体" w:hAnsi="宋体" w:eastAsia="宋体" w:cs="宋体"/>
          <w:color w:val="000000"/>
          <w:szCs w:val="22"/>
          <w:lang w:val="en-US" w:eastAsia="zh-CN" w:bidi="ar"/>
        </w:rPr>
        <w:t xml:space="preserve">（4）评标委员会认定的供应商报价过低、有可能影响产品质量或者不能诚信履约的其他情形。</w:t>
      </w:r>
      <w:r>
        <w:rPr>
          <w:rFonts w:hint="eastAsia" w:ascii="宋体" w:hAnsi="宋体" w:eastAsia="宋体" w:cs="宋体"/>
          <w:color w:val="000000"/>
          <w:szCs w:val="22"/>
          <w:lang w:val="en-US" w:eastAsia="zh-CN" w:bidi="ar"/>
        </w:rPr>
      </w:r>
      <w:r/>
    </w:p>
    <w:p>
      <w:pPr>
        <w:pStyle w:val="864"/>
        <w:ind w:firstLine="420"/>
        <w:spacing w:line="360" w:lineRule="auto"/>
        <w:widowControl/>
        <w:tabs>
          <w:tab w:val="left" w:pos="540" w:leader="none"/>
          <w:tab w:val="left" w:pos="567" w:leader="none"/>
        </w:tabs>
        <w:rPr>
          <w:rFonts w:hint="eastAsia" w:ascii="宋体" w:hAnsi="宋体" w:eastAsia="宋体" w:cs="宋体"/>
          <w:color w:val="000000"/>
          <w:szCs w:val="22"/>
          <w:highlight w:val="none"/>
          <w:lang w:val="en-US" w:eastAsia="zh-CN" w:bidi="ar"/>
        </w:rPr>
      </w:pPr>
      <w:r>
        <w:rPr>
          <w:rFonts w:hint="eastAsia" w:ascii="宋体" w:hAnsi="宋体" w:eastAsia="宋体" w:cs="宋体"/>
          <w:color w:val="000000"/>
          <w:szCs w:val="22"/>
          <w:lang w:val="en-US" w:eastAsia="zh-CN" w:bidi="ar"/>
        </w:rPr>
        <w:t xml:space="preserve">6.2启动异常低价投标审查后，评标委员会应当要求相关供应商在评标现场合理的时间内，提供项目具体成本测算等与报价合理性相关的书面说明材料及相关证明材料，对投标价格作出解释，包括但不限于原材料成</w:t>
      </w:r>
      <w:r>
        <w:rPr>
          <w:rFonts w:hint="eastAsia" w:ascii="宋体" w:hAnsi="宋体" w:eastAsia="宋体" w:cs="宋体"/>
          <w:color w:val="000000"/>
          <w:szCs w:val="22"/>
          <w:lang w:val="en-US" w:eastAsia="zh-CN" w:bidi="ar"/>
        </w:rPr>
        <w:t xml:space="preserve">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000000"/>
          <w:szCs w:val="22"/>
          <w:highlight w:val="none"/>
          <w:lang w:val="en-US" w:eastAsia="zh-CN" w:bidi="ar"/>
        </w:rPr>
      </w:r>
      <w:r/>
    </w:p>
    <w:p>
      <w:pPr>
        <w:pStyle w:val="864"/>
        <w:ind w:firstLine="420"/>
        <w:spacing w:line="360" w:lineRule="auto"/>
        <w:widowControl/>
        <w:tabs>
          <w:tab w:val="left" w:pos="540" w:leader="none"/>
          <w:tab w:val="left" w:pos="567" w:leader="none"/>
        </w:tabs>
        <w:rPr>
          <w:rFonts w:hint="eastAsia" w:ascii="宋体" w:hAnsi="宋体" w:eastAsia="宋体" w:cs="宋体"/>
          <w:color w:val="000000"/>
          <w:szCs w:val="22"/>
          <w:lang w:bidi="ar"/>
        </w:rPr>
      </w:pPr>
      <w:r>
        <w:rPr>
          <w:rFonts w:hint="eastAsia" w:ascii="宋体" w:hAnsi="宋体" w:eastAsia="宋体" w:cs="宋体"/>
          <w:color w:val="000000"/>
          <w:szCs w:val="22"/>
          <w:lang w:val="en-US" w:eastAsia="zh-CN" w:bidi="ar"/>
        </w:rPr>
        <w:t xml:space="preserve">7</w:t>
      </w:r>
      <w:r>
        <w:rPr>
          <w:rFonts w:hint="eastAsia" w:ascii="宋体" w:hAnsi="宋体" w:eastAsia="宋体" w:cs="宋体"/>
          <w:color w:val="000000"/>
          <w:szCs w:val="22"/>
          <w:lang w:bidi="ar"/>
        </w:rPr>
        <w:t xml:space="preserve">、凡涉及招标文件的补充说明和修改，均以苏州市政府采购网发布的信息为准。</w:t>
      </w:r>
      <w:r>
        <w:rPr>
          <w:rFonts w:hint="eastAsia" w:ascii="宋体" w:hAnsi="宋体" w:eastAsia="宋体" w:cs="宋体"/>
          <w:color w:val="000000"/>
          <w:szCs w:val="22"/>
          <w:lang w:bidi="ar"/>
        </w:rPr>
      </w:r>
      <w:r/>
    </w:p>
    <w:p>
      <w:pPr>
        <w:pStyle w:val="864"/>
        <w:ind w:firstLine="3654"/>
        <w:keepLines/>
        <w:keepNext/>
        <w:spacing w:before="340" w:after="330" w:line="480" w:lineRule="exact"/>
        <w:rPr>
          <w:rFonts w:cs="宋体"/>
          <w:b/>
          <w:color w:val="000000"/>
          <w:sz w:val="28"/>
          <w:szCs w:val="28"/>
          <w:lang w:bidi="ar"/>
        </w:rPr>
        <w:outlineLvl w:val="0"/>
      </w:pPr>
      <w:r/>
      <w:bookmarkStart w:id="22" w:name="_Toc14020"/>
      <w:r>
        <w:rPr>
          <w:rFonts w:cs="宋体"/>
          <w:b/>
          <w:color w:val="000000"/>
          <w:sz w:val="28"/>
          <w:szCs w:val="28"/>
          <w:lang w:bidi="ar"/>
        </w:rPr>
        <w:br w:type="page" w:clear="all"/>
      </w:r>
      <w:r>
        <w:rPr>
          <w:rFonts w:hint="eastAsia" w:cs="宋体"/>
          <w:b/>
          <w:color w:val="000000"/>
          <w:sz w:val="28"/>
          <w:szCs w:val="28"/>
          <w:lang w:bidi="ar"/>
        </w:rPr>
        <w:t xml:space="preserve">第五章合同文本</w:t>
      </w:r>
      <w:bookmarkEnd w:id="9"/>
      <w:r/>
      <w:bookmarkEnd w:id="22"/>
      <w:r>
        <w:rPr>
          <w:rFonts w:cs="宋体"/>
          <w:b/>
          <w:color w:val="000000"/>
          <w:sz w:val="28"/>
          <w:szCs w:val="28"/>
          <w:lang w:bidi="ar"/>
        </w:rPr>
      </w:r>
      <w:r/>
    </w:p>
    <w:p>
      <w:pPr>
        <w:pStyle w:val="864"/>
        <w:ind w:firstLine="630"/>
        <w:spacing w:line="360" w:lineRule="auto"/>
        <w:rPr>
          <w:rFonts w:hint="eastAsia" w:ascii="宋体" w:hAnsi="宋体" w:cs="宋体"/>
          <w:color w:val="000000"/>
          <w:szCs w:val="21"/>
        </w:rPr>
      </w:pPr>
      <w:r>
        <w:rPr>
          <w:rFonts w:hint="eastAsia" w:ascii="宋体" w:hAnsi="宋体" w:cs="宋体"/>
          <w:color w:val="000000"/>
          <w:szCs w:val="21"/>
          <w:lang w:bidi="ar"/>
        </w:rPr>
        <w:t xml:space="preserve">         </w:t>
      </w:r>
      <w:bookmarkStart w:id="23" w:name="_Toc77937830"/>
      <w:r/>
      <w:bookmarkStart w:id="24" w:name="_Toc71360443"/>
      <w:r/>
      <w:bookmarkStart w:id="25" w:name="_Toc77865796"/>
      <w:r>
        <w:rPr>
          <w:rFonts w:hint="eastAsia" w:ascii="宋体" w:hAnsi="宋体" w:cs="宋体"/>
          <w:color w:val="000000"/>
          <w:szCs w:val="21"/>
        </w:rPr>
      </w:r>
      <w:r/>
    </w:p>
    <w:p>
      <w:pPr>
        <w:pStyle w:val="864"/>
        <w:ind w:firstLine="420"/>
        <w:spacing w:line="360" w:lineRule="auto"/>
        <w:widowControl/>
        <w:rPr>
          <w:rFonts w:ascii="宋体" w:hAnsi="宋体"/>
          <w:szCs w:val="22"/>
        </w:rPr>
      </w:pPr>
      <w:r/>
      <w:bookmarkEnd w:id="23"/>
      <w:r/>
      <w:bookmarkEnd w:id="24"/>
      <w:r/>
      <w:bookmarkEnd w:id="25"/>
      <w:r>
        <w:rPr>
          <w:rFonts w:ascii="宋体" w:hAnsi="宋体"/>
          <w:szCs w:val="22"/>
        </w:rPr>
        <w:t xml:space="preserve">甲方（采购人）：</w:t>
      </w:r>
      <w:r>
        <w:rPr>
          <w:rFonts w:hint="eastAsia" w:ascii="宋体" w:hAnsi="宋体"/>
          <w:szCs w:val="22"/>
        </w:rPr>
        <w:t xml:space="preserve">                  </w:t>
      </w:r>
      <w:r>
        <w:rPr>
          <w:rFonts w:ascii="宋体" w:hAnsi="宋体"/>
          <w:szCs w:val="22"/>
        </w:rPr>
      </w:r>
      <w:r/>
    </w:p>
    <w:p>
      <w:pPr>
        <w:pStyle w:val="864"/>
        <w:ind w:firstLine="420"/>
        <w:spacing w:line="360" w:lineRule="auto"/>
        <w:widowControl/>
        <w:rPr>
          <w:rFonts w:ascii="宋体" w:hAnsi="宋体"/>
          <w:szCs w:val="22"/>
        </w:rPr>
      </w:pPr>
      <w:r>
        <w:rPr>
          <w:rFonts w:ascii="宋体" w:hAnsi="宋体"/>
          <w:szCs w:val="22"/>
        </w:rPr>
        <w:t xml:space="preserve">单位地址：</w:t>
      </w:r>
      <w:r>
        <w:rPr>
          <w:rFonts w:ascii="宋体" w:hAnsi="宋体"/>
          <w:szCs w:val="22"/>
        </w:rPr>
      </w:r>
      <w:r/>
    </w:p>
    <w:p>
      <w:pPr>
        <w:pStyle w:val="864"/>
        <w:ind w:firstLine="420"/>
        <w:spacing w:after="120"/>
        <w:rPr>
          <w:szCs w:val="22"/>
        </w:rPr>
      </w:pPr>
      <w:r>
        <w:rPr>
          <w:rFonts w:hint="eastAsia"/>
          <w:szCs w:val="22"/>
        </w:rPr>
        <w:t xml:space="preserve">联系人：</w:t>
      </w:r>
      <w:r>
        <w:rPr>
          <w:szCs w:val="22"/>
        </w:rPr>
      </w:r>
      <w:r/>
    </w:p>
    <w:p>
      <w:pPr>
        <w:pStyle w:val="864"/>
        <w:ind w:firstLine="420"/>
        <w:spacing w:after="120"/>
        <w:rPr>
          <w:szCs w:val="22"/>
        </w:rPr>
      </w:pPr>
      <w:r>
        <w:rPr>
          <w:rFonts w:hint="eastAsia"/>
          <w:szCs w:val="22"/>
        </w:rPr>
        <w:t xml:space="preserve">联系电话：</w:t>
      </w:r>
      <w:r>
        <w:rPr>
          <w:szCs w:val="22"/>
        </w:rPr>
      </w:r>
      <w:r/>
    </w:p>
    <w:p>
      <w:pPr>
        <w:pStyle w:val="864"/>
        <w:ind w:firstLine="420"/>
        <w:spacing w:line="360" w:lineRule="auto"/>
        <w:widowControl/>
        <w:rPr>
          <w:rFonts w:ascii="宋体" w:hAnsi="宋体"/>
          <w:szCs w:val="22"/>
        </w:rPr>
      </w:pPr>
      <w:r>
        <w:rPr>
          <w:rFonts w:ascii="宋体" w:hAnsi="宋体"/>
          <w:szCs w:val="22"/>
        </w:rPr>
        <w:t xml:space="preserve">乙方（供应商）：</w:t>
      </w:r>
      <w:r>
        <w:rPr>
          <w:rFonts w:hint="eastAsia" w:ascii="宋体" w:hAnsi="宋体"/>
          <w:szCs w:val="22"/>
        </w:rPr>
        <w:t xml:space="preserve">                    </w:t>
      </w:r>
      <w:r>
        <w:rPr>
          <w:rFonts w:ascii="宋体" w:hAnsi="宋体"/>
          <w:szCs w:val="22"/>
        </w:rPr>
      </w:r>
      <w:r/>
    </w:p>
    <w:p>
      <w:pPr>
        <w:pStyle w:val="864"/>
        <w:ind w:firstLine="420"/>
        <w:spacing w:line="360" w:lineRule="auto"/>
        <w:widowControl/>
        <w:rPr>
          <w:rFonts w:ascii="宋体" w:hAnsi="宋体"/>
          <w:szCs w:val="22"/>
        </w:rPr>
      </w:pPr>
      <w:r>
        <w:rPr>
          <w:rFonts w:ascii="宋体" w:hAnsi="宋体"/>
          <w:szCs w:val="22"/>
        </w:rPr>
        <w:t xml:space="preserve">单位地址：</w:t>
      </w:r>
      <w:r>
        <w:rPr>
          <w:rFonts w:ascii="宋体" w:hAnsi="宋体"/>
          <w:szCs w:val="22"/>
        </w:rPr>
      </w:r>
      <w:r/>
    </w:p>
    <w:p>
      <w:pPr>
        <w:pStyle w:val="864"/>
        <w:ind w:firstLine="420"/>
        <w:spacing w:after="120"/>
        <w:rPr>
          <w:szCs w:val="22"/>
        </w:rPr>
      </w:pPr>
      <w:r>
        <w:rPr>
          <w:rFonts w:hint="eastAsia"/>
          <w:szCs w:val="22"/>
        </w:rPr>
        <w:t xml:space="preserve">联系人：</w:t>
      </w:r>
      <w:r>
        <w:rPr>
          <w:szCs w:val="22"/>
        </w:rPr>
      </w:r>
      <w:r/>
    </w:p>
    <w:p>
      <w:pPr>
        <w:pStyle w:val="864"/>
        <w:ind w:firstLine="420"/>
        <w:spacing w:after="120"/>
        <w:rPr>
          <w:szCs w:val="22"/>
        </w:rPr>
      </w:pPr>
      <w:r>
        <w:rPr>
          <w:rFonts w:hint="eastAsia"/>
          <w:szCs w:val="22"/>
        </w:rPr>
        <w:t xml:space="preserve">联系电话：</w:t>
      </w:r>
      <w:r>
        <w:rPr>
          <w:szCs w:val="22"/>
        </w:rPr>
      </w:r>
      <w:r/>
    </w:p>
    <w:p>
      <w:pPr>
        <w:pStyle w:val="864"/>
        <w:ind w:firstLine="420"/>
        <w:spacing w:line="360" w:lineRule="auto"/>
        <w:rPr>
          <w:rFonts w:ascii="宋体" w:hAnsi="宋体" w:cs="Calibri"/>
          <w:szCs w:val="21"/>
        </w:rPr>
      </w:pPr>
      <w:r>
        <w:rPr>
          <w:rFonts w:hint="eastAsia" w:ascii="宋体" w:hAnsi="宋体" w:cs="宋体"/>
          <w:szCs w:val="21"/>
        </w:rPr>
        <w:t xml:space="preserve">根据</w:t>
      </w:r>
      <w:r>
        <w:rPr>
          <w:rFonts w:hint="eastAsia" w:ascii="宋体" w:hAnsi="宋体" w:cs="宋体"/>
          <w:szCs w:val="21"/>
          <w:lang w:val="en-US" w:eastAsia="zh-CN"/>
        </w:rPr>
        <w:t xml:space="preserve">苏州市永诚建设咨询有限公司</w:t>
      </w:r>
      <w:r>
        <w:rPr>
          <w:rFonts w:hint="eastAsia" w:ascii="宋体" w:hAnsi="宋体" w:cs="宋体"/>
          <w:szCs w:val="21"/>
        </w:rPr>
        <w:t xml:space="preserve">采购编号</w:t>
      </w:r>
      <w:r>
        <w:rPr>
          <w:rFonts w:hint="eastAsia" w:ascii="宋体" w:hAnsi="宋体" w:cs="宋体"/>
          <w:szCs w:val="21"/>
          <w:u w:val="single"/>
        </w:rPr>
        <w:t xml:space="preserve">           </w:t>
      </w:r>
      <w:r>
        <w:rPr>
          <w:rFonts w:hint="eastAsia" w:ascii="宋体" w:hAnsi="宋体" w:cs="宋体"/>
          <w:szCs w:val="21"/>
        </w:rPr>
        <w:t xml:space="preserve">号</w:t>
      </w:r>
      <w:r>
        <w:rPr>
          <w:rFonts w:hint="eastAsia" w:ascii="宋体" w:hAnsi="宋体" w:cs="宋体"/>
          <w:szCs w:val="21"/>
          <w:lang w:val="en-US" w:eastAsia="zh-CN"/>
        </w:rPr>
        <w:t xml:space="preserve">政府采购</w:t>
      </w:r>
      <w:r>
        <w:rPr>
          <w:rFonts w:hint="eastAsia" w:ascii="宋体" w:hAnsi="宋体" w:cs="宋体"/>
          <w:szCs w:val="21"/>
        </w:rPr>
        <w:t xml:space="preserve">招标文件及乙方的投标文件和中标通知书，甲乙双方就此次中标的</w:t>
      </w:r>
      <w:r>
        <w:rPr>
          <w:rFonts w:hint="eastAsia" w:ascii="宋体" w:hAnsi="宋体" w:cs="Calibri"/>
          <w:szCs w:val="21"/>
          <w:u w:val="single"/>
        </w:rPr>
        <w:t xml:space="preserve">                </w:t>
      </w:r>
      <w:r>
        <w:rPr>
          <w:rFonts w:hint="eastAsia" w:ascii="宋体" w:hAnsi="宋体" w:cs="宋体"/>
          <w:szCs w:val="21"/>
        </w:rPr>
        <w:t xml:space="preserve">事宜，签订本合同书。</w:t>
      </w:r>
      <w:r>
        <w:rPr>
          <w:rFonts w:ascii="宋体" w:hAnsi="宋体" w:cs="Calibri"/>
          <w:szCs w:val="21"/>
        </w:rPr>
      </w:r>
      <w:r/>
    </w:p>
    <w:p>
      <w:pPr>
        <w:pStyle w:val="864"/>
        <w:ind w:firstLine="422"/>
        <w:spacing w:line="360" w:lineRule="auto"/>
        <w:rPr>
          <w:rFonts w:ascii="宋体" w:hAnsi="宋体" w:cs="Calibri"/>
          <w:szCs w:val="21"/>
        </w:rPr>
      </w:pPr>
      <w:r>
        <w:rPr>
          <w:rFonts w:hint="eastAsia" w:ascii="宋体" w:hAnsi="宋体" w:cs="宋体"/>
          <w:b/>
          <w:szCs w:val="21"/>
        </w:rPr>
        <w:t xml:space="preserve">一、下列文件为本合同不可分割部分：</w:t>
      </w:r>
      <w:r>
        <w:rPr>
          <w:rFonts w:ascii="宋体" w:hAnsi="宋体" w:cs="Calibri"/>
          <w:szCs w:val="21"/>
        </w:rPr>
      </w:r>
      <w:r/>
    </w:p>
    <w:p>
      <w:pPr>
        <w:pStyle w:val="864"/>
        <w:ind w:firstLine="420"/>
        <w:spacing w:line="360" w:lineRule="auto"/>
        <w:rPr>
          <w:rFonts w:ascii="宋体" w:hAnsi="宋体" w:cs="Calibri"/>
          <w:szCs w:val="21"/>
        </w:rPr>
      </w:pPr>
      <w:r>
        <w:rPr>
          <w:rFonts w:hint="eastAsia" w:ascii="宋体" w:hAnsi="宋体" w:cs="宋体"/>
          <w:szCs w:val="21"/>
        </w:rPr>
        <w:t xml:space="preserve">①中标通知书；</w:t>
      </w:r>
      <w:r>
        <w:rPr>
          <w:rFonts w:ascii="宋体" w:hAnsi="宋体" w:cs="Calibri"/>
          <w:szCs w:val="21"/>
        </w:rPr>
      </w:r>
      <w:r/>
    </w:p>
    <w:p>
      <w:pPr>
        <w:pStyle w:val="864"/>
        <w:ind w:firstLine="420"/>
        <w:spacing w:line="360" w:lineRule="auto"/>
        <w:rPr>
          <w:rFonts w:ascii="宋体" w:hAnsi="宋体" w:cs="Calibri"/>
          <w:szCs w:val="21"/>
        </w:rPr>
      </w:pPr>
      <w:r>
        <w:rPr>
          <w:rFonts w:hint="eastAsia" w:ascii="宋体" w:hAnsi="宋体" w:cs="宋体"/>
          <w:szCs w:val="21"/>
        </w:rPr>
        <w:t xml:space="preserve">②招标文件； </w:t>
      </w:r>
      <w:r>
        <w:rPr>
          <w:rFonts w:ascii="宋体" w:hAnsi="宋体" w:cs="Calibri"/>
          <w:szCs w:val="21"/>
        </w:rPr>
      </w:r>
      <w:r/>
    </w:p>
    <w:p>
      <w:pPr>
        <w:pStyle w:val="864"/>
        <w:ind w:firstLine="420"/>
        <w:spacing w:line="360" w:lineRule="auto"/>
        <w:rPr>
          <w:rFonts w:ascii="宋体" w:hAnsi="宋体" w:cs="Calibri"/>
          <w:szCs w:val="21"/>
        </w:rPr>
      </w:pPr>
      <w:r>
        <w:rPr>
          <w:rFonts w:hint="eastAsia" w:ascii="宋体" w:hAnsi="宋体" w:cs="Calibri"/>
          <w:szCs w:val="21"/>
        </w:rPr>
        <w:fldChar w:fldCharType="begin"/>
      </w:r>
      <w:r>
        <w:rPr>
          <w:rFonts w:hint="eastAsia" w:ascii="宋体" w:hAnsi="宋体" w:cs="宋体"/>
          <w:szCs w:val="21"/>
        </w:rPr>
        <w:instrText xml:space="preserve"> = 3 \* GB3 </w:instrText>
      </w:r>
      <w:r>
        <w:rPr>
          <w:rFonts w:hint="eastAsia" w:ascii="宋体" w:hAnsi="宋体" w:cs="Calibri"/>
          <w:szCs w:val="21"/>
        </w:rPr>
        <w:fldChar w:fldCharType="separate"/>
      </w:r>
      <w:r>
        <w:rPr>
          <w:rFonts w:hint="eastAsia" w:ascii="宋体" w:hAnsi="宋体" w:cs="宋体"/>
          <w:szCs w:val="21"/>
        </w:rPr>
        <w:t xml:space="preserve">③</w:t>
      </w:r>
      <w:r>
        <w:rPr>
          <w:rFonts w:hint="eastAsia" w:ascii="宋体" w:hAnsi="宋体" w:cs="宋体"/>
          <w:szCs w:val="21"/>
        </w:rPr>
        <w:fldChar w:fldCharType="end"/>
      </w:r>
      <w:r>
        <w:rPr>
          <w:rFonts w:hint="eastAsia" w:ascii="宋体" w:hAnsi="宋体" w:cs="宋体"/>
          <w:szCs w:val="21"/>
        </w:rPr>
        <w:t xml:space="preserve">乙方中标的投标文件；</w:t>
      </w:r>
      <w:r>
        <w:rPr>
          <w:rFonts w:ascii="宋体" w:hAnsi="宋体" w:cs="Calibri"/>
          <w:szCs w:val="21"/>
        </w:rPr>
      </w:r>
      <w:r/>
    </w:p>
    <w:p>
      <w:pPr>
        <w:pStyle w:val="864"/>
        <w:ind w:firstLine="420"/>
        <w:spacing w:line="360" w:lineRule="auto"/>
        <w:rPr>
          <w:rFonts w:ascii="宋体" w:hAnsi="宋体" w:cs="宋体"/>
          <w:szCs w:val="21"/>
        </w:rPr>
      </w:pPr>
      <w:r>
        <w:rPr>
          <w:rFonts w:hint="eastAsia" w:ascii="宋体" w:hAnsi="宋体" w:cs="宋体"/>
          <w:szCs w:val="21"/>
        </w:rPr>
        <w:t xml:space="preserve">④乙方在采购过程中所作的其它承诺、声明、书面澄清等。</w:t>
      </w:r>
      <w:r>
        <w:rPr>
          <w:rFonts w:ascii="宋体" w:hAnsi="宋体" w:cs="宋体"/>
          <w:szCs w:val="21"/>
        </w:rPr>
      </w:r>
      <w:r/>
    </w:p>
    <w:p>
      <w:pPr>
        <w:pStyle w:val="864"/>
        <w:ind w:left="420"/>
        <w:spacing w:after="120" w:line="360" w:lineRule="auto"/>
        <w:rPr>
          <w:rFonts w:ascii="宋体" w:hAnsi="宋体" w:cs="Calibri"/>
          <w:szCs w:val="21"/>
          <w:highlight w:val="none"/>
          <w:lang w:val="en-US"/>
        </w:rPr>
      </w:pPr>
      <w:r>
        <w:rPr>
          <w:rFonts w:hint="eastAsia" w:ascii="宋体" w:hAnsi="宋体" w:cs="Calibri"/>
          <w:szCs w:val="21"/>
          <w:lang w:val="en-US" w:eastAsia="zh-CN"/>
        </w:rPr>
        <w:t xml:space="preserve">上述文件与本合同具有同等法律效力</w:t>
      </w:r>
      <w:r>
        <w:rPr>
          <w:rFonts w:hint="eastAsia" w:ascii="宋体" w:hAnsi="宋体" w:cs="Calibri"/>
          <w:szCs w:val="21"/>
          <w:highlight w:val="none"/>
          <w:lang w:val="en-US" w:eastAsia="zh-CN"/>
        </w:rPr>
        <w:t xml:space="preserve">，如上述文件及本合同正文对同一事项有不同约定的，以乙方要求更高者为准。</w:t>
      </w:r>
      <w:r>
        <w:rPr>
          <w:rFonts w:ascii="宋体" w:hAnsi="宋体" w:cs="Calibri"/>
          <w:szCs w:val="21"/>
          <w:highlight w:val="none"/>
          <w:lang w:val="en-US"/>
        </w:rPr>
      </w:r>
      <w:r/>
    </w:p>
    <w:p>
      <w:pPr>
        <w:pStyle w:val="864"/>
        <w:ind w:firstLine="422"/>
        <w:keepLines w:val="0"/>
        <w:keepNext w:val="0"/>
        <w:pageBreakBefore w:val="0"/>
        <w:spacing w:line="360" w:lineRule="auto"/>
        <w:rPr>
          <w:rFonts w:hint="eastAsia" w:ascii="宋体" w:hAnsi="宋体" w:eastAsia="宋体" w:cs="宋体"/>
          <w:b/>
          <w:sz w:val="21"/>
          <w:szCs w:val="21"/>
        </w:rPr>
      </w:pPr>
      <w:r/>
      <w:bookmarkStart w:id="26" w:name="_Toc4273"/>
      <w:r>
        <w:rPr>
          <w:rFonts w:hint="eastAsia" w:ascii="宋体" w:hAnsi="宋体" w:eastAsia="宋体" w:cs="宋体"/>
          <w:b/>
          <w:sz w:val="21"/>
          <w:szCs w:val="21"/>
        </w:rPr>
        <w:t xml:space="preserve">二、货物的交付：</w:t>
      </w:r>
      <w:r>
        <w:rPr>
          <w:rFonts w:hint="eastAsia" w:ascii="宋体" w:hAnsi="宋体" w:eastAsia="宋体" w:cs="宋体"/>
          <w:b/>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合同履约期限：12个月（___年___月___日至___年___月___日）</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1.1具体交付期限：</w:t>
      </w:r>
      <w:r>
        <w:rPr>
          <w:rFonts w:hint="eastAsia" w:ascii="宋体" w:hAnsi="宋体" w:eastAsia="宋体" w:cs="宋体"/>
          <w:sz w:val="21"/>
          <w:szCs w:val="21"/>
          <w:lang w:val="zh-TW"/>
        </w:rPr>
      </w:r>
      <w:r/>
    </w:p>
    <w:p>
      <w:pPr>
        <w:pStyle w:val="864"/>
        <w:ind w:firstLine="420"/>
        <w:keepLines w:val="0"/>
        <w:keepNext w:val="0"/>
        <w:pageBreakBefore w:val="0"/>
        <w:spacing w:line="360" w:lineRule="auto"/>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1.11新鲜牛后腿肉</w:t>
      </w:r>
      <w:r>
        <w:rPr>
          <w:rFonts w:hint="eastAsia" w:ascii="宋体" w:hAnsi="宋体" w:eastAsia="宋体" w:cs="宋体"/>
          <w:sz w:val="21"/>
          <w:szCs w:val="21"/>
          <w:highlight w:val="none"/>
          <w:lang w:val="zh-TW" w:eastAsia="zh-CN"/>
        </w:rPr>
        <w:t xml:space="preserve">、</w:t>
      </w:r>
      <w:r>
        <w:rPr>
          <w:rFonts w:hint="eastAsia" w:ascii="宋体" w:hAnsi="宋体" w:eastAsia="宋体" w:cs="宋体"/>
          <w:sz w:val="21"/>
          <w:szCs w:val="21"/>
          <w:highlight w:val="none"/>
          <w:lang w:val="zh-TW"/>
        </w:rPr>
        <w:t xml:space="preserve">冷冻牛霖：</w:t>
      </w:r>
      <w:r>
        <w:rPr>
          <w:rFonts w:hint="eastAsia" w:ascii="宋体" w:hAnsi="宋体" w:eastAsia="宋体" w:cs="宋体"/>
          <w:sz w:val="21"/>
          <w:szCs w:val="21"/>
          <w:highlight w:val="none"/>
          <w:lang w:val="zh-TW"/>
        </w:rPr>
        <w:t xml:space="preserve">按实际需求采购</w:t>
      </w:r>
      <w:r>
        <w:rPr>
          <w:rFonts w:hint="eastAsia" w:ascii="宋体" w:hAnsi="宋体" w:eastAsia="宋体" w:cs="宋体"/>
          <w:sz w:val="21"/>
          <w:szCs w:val="21"/>
          <w:highlight w:val="none"/>
          <w:lang w:val="zh-TW"/>
        </w:rPr>
        <w:t xml:space="preserve">。</w:t>
      </w:r>
      <w:r>
        <w:rPr>
          <w:rFonts w:hint="eastAsia" w:ascii="宋体" w:hAnsi="宋体" w:eastAsia="宋体" w:cs="宋体"/>
          <w:sz w:val="21"/>
          <w:szCs w:val="21"/>
          <w:highlight w:val="none"/>
          <w:lang w:val="zh-TW"/>
        </w:rPr>
      </w:r>
      <w:r/>
    </w:p>
    <w:p>
      <w:pPr>
        <w:pStyle w:val="864"/>
        <w:ind w:firstLine="420"/>
        <w:keepLines w:val="0"/>
        <w:keepNext w:val="0"/>
        <w:pageBreakBefore w:val="0"/>
        <w:spacing w:line="360" w:lineRule="auto"/>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1.1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TW"/>
        </w:rPr>
        <w:t xml:space="preserve">冷冻带脖鸡架、冷冻肉兔和新鲜猪排常年供应，采购12个月；新鲜猪排每周采购6天，绝食1天。</w:t>
      </w:r>
      <w:r>
        <w:rPr>
          <w:rFonts w:hint="eastAsia" w:ascii="宋体" w:hAnsi="宋体" w:eastAsia="宋体" w:cs="宋体"/>
          <w:sz w:val="21"/>
          <w:szCs w:val="21"/>
          <w:highlight w:val="none"/>
          <w:lang w:val="zh-TW"/>
        </w:rPr>
      </w:r>
      <w:r/>
    </w:p>
    <w:p>
      <w:pPr>
        <w:pStyle w:val="864"/>
        <w:ind w:firstLine="420"/>
        <w:keepLines w:val="0"/>
        <w:keepNext w:val="0"/>
        <w:pageBreakBefore w:val="0"/>
        <w:spacing w:line="360" w:lineRule="auto"/>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1.1</w:t>
      </w:r>
      <w:r>
        <w:rPr>
          <w:rFonts w:hint="eastAsia" w:ascii="宋体" w:hAnsi="宋体" w:eastAsia="宋体" w:cs="宋体"/>
          <w:sz w:val="21"/>
          <w:szCs w:val="21"/>
          <w:highlight w:val="none"/>
          <w:lang w:val="en-US" w:eastAsia="zh-CN"/>
        </w:rPr>
        <w:t xml:space="preserve">3新鲜羊肉</w:t>
      </w:r>
      <w:r>
        <w:rPr>
          <w:rFonts w:hint="eastAsia" w:ascii="宋体" w:hAnsi="宋体" w:eastAsia="宋体" w:cs="宋体"/>
          <w:sz w:val="21"/>
          <w:szCs w:val="21"/>
          <w:highlight w:val="none"/>
          <w:lang w:val="zh-TW"/>
        </w:rPr>
        <w:t xml:space="preserve">：采购时间分为两个时间段：</w:t>
      </w:r>
      <w:r>
        <w:rPr>
          <w:rFonts w:hint="eastAsia" w:ascii="宋体" w:hAnsi="宋体" w:eastAsia="宋体" w:cs="宋体"/>
          <w:sz w:val="21"/>
          <w:szCs w:val="21"/>
          <w:highlight w:val="none"/>
          <w:lang w:val="zh-TW"/>
        </w:rPr>
        <w:t xml:space="preserve">按实际需求采购。</w:t>
      </w:r>
      <w:r>
        <w:rPr>
          <w:rFonts w:hint="eastAsia" w:ascii="宋体" w:hAnsi="宋体" w:eastAsia="宋体" w:cs="宋体"/>
          <w:sz w:val="21"/>
          <w:szCs w:val="21"/>
          <w:highlight w:val="none"/>
          <w:lang w:val="zh-TW"/>
        </w:rPr>
      </w:r>
      <w:r/>
    </w:p>
    <w:p>
      <w:pPr>
        <w:pStyle w:val="864"/>
        <w:ind w:firstLine="420"/>
        <w:keepLines w:val="0"/>
        <w:keepNext w:val="0"/>
        <w:pageBreakBefore w:val="0"/>
        <w:spacing w:line="360" w:lineRule="auto"/>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1.1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TW"/>
        </w:rPr>
        <w:t xml:space="preserve">蔬果鱼虾杂粮类等饲料除红薯叶、西瓜、草莓和龙虾等季节性</w:t>
      </w:r>
      <w:r>
        <w:rPr>
          <w:rFonts w:hint="eastAsia" w:ascii="宋体" w:hAnsi="宋体" w:eastAsia="宋体" w:cs="宋体"/>
          <w:sz w:val="21"/>
          <w:szCs w:val="21"/>
          <w:highlight w:val="none"/>
          <w:lang w:val="en-US" w:eastAsia="zh-CN"/>
        </w:rPr>
        <w:t xml:space="preserve">饲料按季</w:t>
      </w:r>
      <w:r>
        <w:rPr>
          <w:rFonts w:hint="eastAsia" w:ascii="宋体" w:hAnsi="宋体" w:eastAsia="宋体" w:cs="宋体"/>
          <w:sz w:val="21"/>
          <w:szCs w:val="21"/>
          <w:highlight w:val="none"/>
          <w:lang w:val="zh-TW"/>
        </w:rPr>
        <w:t xml:space="preserve">采购外，其余饲料常年供应，采购12个月。</w:t>
      </w:r>
      <w:r>
        <w:rPr>
          <w:rFonts w:hint="eastAsia" w:ascii="宋体" w:hAnsi="宋体" w:eastAsia="宋体" w:cs="宋体"/>
          <w:sz w:val="21"/>
          <w:szCs w:val="21"/>
          <w:highlight w:val="none"/>
          <w:lang w:val="zh-TW"/>
        </w:rPr>
      </w:r>
      <w:r/>
    </w:p>
    <w:p>
      <w:pPr>
        <w:pStyle w:val="864"/>
        <w:ind w:firstLine="420"/>
        <w:keepLines w:val="0"/>
        <w:keepNext w:val="0"/>
        <w:pageBreakBefore w:val="0"/>
        <w:spacing w:line="360" w:lineRule="auto"/>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1.1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TW"/>
        </w:rPr>
        <w:t xml:space="preserve">羊草</w:t>
      </w:r>
      <w:r>
        <w:rPr>
          <w:rFonts w:hint="eastAsia" w:ascii="宋体" w:hAnsi="宋体" w:eastAsia="宋体" w:cs="宋体"/>
          <w:sz w:val="21"/>
          <w:szCs w:val="21"/>
          <w:highlight w:val="none"/>
          <w:lang w:val="zh-TW" w:eastAsia="zh-CN"/>
        </w:rPr>
        <w:t xml:space="preserve">：按实际需求采购，</w:t>
      </w:r>
      <w:r>
        <w:rPr>
          <w:rFonts w:hint="eastAsia" w:ascii="宋体" w:hAnsi="宋体" w:eastAsia="宋体" w:cs="宋体"/>
          <w:sz w:val="21"/>
          <w:szCs w:val="21"/>
          <w:highlight w:val="none"/>
          <w:lang w:val="en-US" w:eastAsia="zh-CN"/>
        </w:rPr>
        <w:t xml:space="preserve">全年</w:t>
      </w:r>
      <w:r>
        <w:rPr>
          <w:rFonts w:hint="eastAsia" w:ascii="宋体" w:hAnsi="宋体" w:eastAsia="宋体" w:cs="宋体"/>
          <w:sz w:val="21"/>
          <w:szCs w:val="21"/>
          <w:highlight w:val="none"/>
          <w:lang w:val="zh-TW"/>
        </w:rPr>
        <w:t xml:space="preserve">采购</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lang w:val="zh-TW"/>
        </w:rPr>
        <w:t xml:space="preserve">次。</w:t>
      </w:r>
      <w:r>
        <w:rPr>
          <w:rFonts w:hint="eastAsia" w:ascii="宋体" w:hAnsi="宋体" w:eastAsia="宋体" w:cs="宋体"/>
          <w:sz w:val="21"/>
          <w:szCs w:val="21"/>
          <w:highlight w:val="none"/>
          <w:lang w:val="zh-TW"/>
        </w:rPr>
      </w:r>
      <w:r/>
    </w:p>
    <w:p>
      <w:pPr>
        <w:pStyle w:val="864"/>
        <w:ind w:firstLine="420"/>
        <w:keepLines w:val="0"/>
        <w:keepNext w:val="0"/>
        <w:pageBreakBefore w:val="0"/>
        <w:spacing w:line="360" w:lineRule="auto"/>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1.1</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zh-TW"/>
        </w:rPr>
        <w:t xml:space="preserve">苜蓿草：按实际需求采购。</w:t>
      </w:r>
      <w:r>
        <w:rPr>
          <w:rFonts w:hint="eastAsia" w:ascii="宋体" w:hAnsi="宋体" w:eastAsia="宋体" w:cs="宋体"/>
          <w:sz w:val="21"/>
          <w:szCs w:val="21"/>
          <w:highlight w:val="none"/>
          <w:lang w:val="zh-TW"/>
        </w:rPr>
      </w:r>
      <w:r/>
    </w:p>
    <w:p>
      <w:pPr>
        <w:pStyle w:val="864"/>
        <w:ind w:firstLine="420"/>
        <w:keepLines w:val="0"/>
        <w:keepNext w:val="0"/>
        <w:pageBreakBefore w:val="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1.1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TW"/>
        </w:rPr>
        <w:t xml:space="preserve">草食动物颗粒料：常年采购，采购12个月。</w:t>
      </w:r>
      <w:r>
        <w:rPr>
          <w:rFonts w:hint="eastAsia" w:ascii="宋体" w:hAnsi="宋体" w:eastAsia="宋体" w:cs="宋体"/>
          <w:sz w:val="21"/>
          <w:szCs w:val="21"/>
          <w:lang w:val="zh-TW"/>
        </w:rPr>
      </w:r>
      <w:r/>
    </w:p>
    <w:p>
      <w:pPr>
        <w:pStyle w:val="864"/>
        <w:ind w:firstLine="420"/>
        <w:keepLines w:val="0"/>
        <w:keepNext w:val="0"/>
        <w:pageBreakBefore w:val="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1.1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TW"/>
        </w:rPr>
        <w:t xml:space="preserve">长颈鹿专用颗粒料：常年采购，采购12个月。</w:t>
      </w:r>
      <w:r>
        <w:rPr>
          <w:rFonts w:hint="eastAsia" w:ascii="宋体" w:hAnsi="宋体" w:eastAsia="宋体" w:cs="宋体"/>
          <w:sz w:val="21"/>
          <w:szCs w:val="21"/>
          <w:lang w:val="zh-TW"/>
        </w:rPr>
      </w:r>
      <w:r/>
    </w:p>
    <w:p>
      <w:pPr>
        <w:pStyle w:val="864"/>
        <w:ind w:firstLine="420"/>
        <w:keepLines w:val="0"/>
        <w:keepNext w:val="0"/>
        <w:pageBreakBefore w:val="0"/>
        <w:spacing w:line="360" w:lineRule="auto"/>
        <w:rPr>
          <w:rFonts w:hint="eastAsia" w:ascii="宋体" w:hAnsi="宋体" w:eastAsia="宋体" w:cs="宋体"/>
          <w:sz w:val="21"/>
          <w:szCs w:val="21"/>
          <w:highlight w:val="none"/>
          <w:lang w:val="zh-TW"/>
        </w:rPr>
      </w:pPr>
      <w:r>
        <w:rPr>
          <w:rFonts w:hint="eastAsia" w:ascii="宋体" w:hAnsi="宋体" w:eastAsia="宋体" w:cs="宋体"/>
          <w:sz w:val="21"/>
          <w:szCs w:val="21"/>
          <w:highlight w:val="none"/>
          <w:lang w:val="zh-TW"/>
        </w:rPr>
        <w:t xml:space="preserve">1.</w:t>
      </w: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lang w:val="zh-TW"/>
        </w:rPr>
        <w:t xml:space="preserve">树叶、竹叶和芭蕉杆：树叶</w:t>
      </w:r>
      <w:r>
        <w:rPr>
          <w:rFonts w:hint="eastAsia" w:ascii="宋体" w:hAnsi="宋体" w:eastAsia="宋体" w:cs="宋体"/>
          <w:sz w:val="21"/>
          <w:szCs w:val="21"/>
          <w:highlight w:val="none"/>
          <w:lang w:val="en-US" w:eastAsia="zh-CN"/>
        </w:rPr>
        <w:t xml:space="preserve">每天</w:t>
      </w:r>
      <w:r>
        <w:rPr>
          <w:rFonts w:hint="eastAsia" w:ascii="宋体" w:hAnsi="宋体" w:eastAsia="宋体" w:cs="宋体"/>
          <w:sz w:val="21"/>
          <w:szCs w:val="21"/>
          <w:highlight w:val="none"/>
          <w:lang w:val="zh-TW"/>
        </w:rPr>
        <w:t xml:space="preserve">采购</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TW"/>
        </w:rPr>
        <w:t xml:space="preserve">次，常年采购，采购12个月；</w:t>
      </w:r>
      <w:r>
        <w:rPr>
          <w:rFonts w:hint="eastAsia" w:ascii="宋体" w:hAnsi="宋体" w:eastAsia="宋体" w:cs="宋体"/>
          <w:sz w:val="21"/>
          <w:szCs w:val="21"/>
          <w:highlight w:val="none"/>
          <w:lang w:val="en-US" w:eastAsia="zh-CN"/>
        </w:rPr>
        <w:t xml:space="preserve">竹叶和</w:t>
      </w:r>
      <w:r>
        <w:rPr>
          <w:rFonts w:hint="eastAsia" w:ascii="宋体" w:hAnsi="宋体" w:eastAsia="宋体" w:cs="宋体"/>
          <w:sz w:val="21"/>
          <w:szCs w:val="21"/>
          <w:highlight w:val="none"/>
          <w:lang w:val="zh-TW"/>
        </w:rPr>
        <w:t xml:space="preserve">芭蕉杆</w:t>
      </w:r>
      <w:r>
        <w:rPr>
          <w:rFonts w:hint="eastAsia" w:ascii="宋体" w:hAnsi="宋体" w:eastAsia="宋体" w:cs="宋体"/>
          <w:sz w:val="21"/>
          <w:szCs w:val="21"/>
          <w:highlight w:val="none"/>
          <w:lang w:val="en-US" w:eastAsia="zh-CN"/>
        </w:rPr>
        <w:t xml:space="preserve">按实际需求采购</w:t>
      </w:r>
      <w:r>
        <w:rPr>
          <w:rFonts w:hint="eastAsia" w:ascii="宋体" w:hAnsi="宋体" w:eastAsia="宋体" w:cs="宋体"/>
          <w:sz w:val="21"/>
          <w:szCs w:val="21"/>
          <w:highlight w:val="none"/>
          <w:lang w:val="zh-TW"/>
        </w:rPr>
        <w:t xml:space="preserve">。</w:t>
      </w:r>
      <w:r>
        <w:rPr>
          <w:rFonts w:hint="eastAsia" w:ascii="宋体" w:hAnsi="宋体" w:eastAsia="宋体" w:cs="宋体"/>
          <w:sz w:val="21"/>
          <w:szCs w:val="21"/>
          <w:highlight w:val="none"/>
          <w:lang w:val="zh-TW"/>
        </w:rPr>
      </w:r>
      <w:r/>
    </w:p>
    <w:p>
      <w:pPr>
        <w:pStyle w:val="864"/>
        <w:ind w:firstLine="420"/>
        <w:keepLines w:val="0"/>
        <w:keepNext w:val="0"/>
        <w:pageBreakBefore w:val="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1.2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TW"/>
        </w:rPr>
        <w:t xml:space="preserve">零星采购：按实际需求采购。</w:t>
      </w:r>
      <w:r>
        <w:rPr>
          <w:rFonts w:hint="eastAsia" w:ascii="宋体" w:hAnsi="宋体" w:eastAsia="宋体" w:cs="宋体"/>
          <w:sz w:val="21"/>
          <w:szCs w:val="21"/>
          <w:lang w:val="zh-TW"/>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交付</w:t>
      </w:r>
      <w:r>
        <w:rPr>
          <w:rFonts w:hint="eastAsia" w:ascii="宋体" w:hAnsi="宋体" w:eastAsia="宋体" w:cs="宋体"/>
          <w:sz w:val="21"/>
          <w:szCs w:val="21"/>
          <w:lang w:val="zh-TW"/>
        </w:rPr>
        <w:t xml:space="preserve">地点：苏州市虎丘区上方山南麓。</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zh-TW"/>
        </w:rPr>
        <w:t xml:space="preserve">饲料质量及标准</w:t>
      </w:r>
      <w:r>
        <w:rPr>
          <w:rFonts w:hint="eastAsia" w:ascii="宋体" w:hAnsi="宋体" w:eastAsia="宋体" w:cs="宋体"/>
          <w:sz w:val="21"/>
          <w:szCs w:val="21"/>
          <w:lang w:val="zh-TW"/>
        </w:rPr>
      </w:r>
      <w:r/>
    </w:p>
    <w:p>
      <w:pPr>
        <w:pStyle w:val="864"/>
        <w:ind w:firstLine="422"/>
        <w:jc w:val="left"/>
        <w:keepLines w:val="0"/>
        <w:keepNext w:val="0"/>
        <w:pageBreakBefore w:val="0"/>
        <w:spacing w:line="360" w:lineRule="auto"/>
        <w:shd w:val="clear" w:color="auto" w:fill="ffffff"/>
        <w:widowControl/>
        <w:tabs>
          <w:tab w:val="left" w:pos="567" w:leader="none"/>
        </w:tabs>
        <w:rPr>
          <w:rFonts w:hint="eastAsia" w:ascii="宋体" w:hAnsi="宋体" w:eastAsia="宋体" w:cs="宋体"/>
          <w:bCs/>
          <w:color w:val="000000"/>
          <w:sz w:val="21"/>
          <w:szCs w:val="21"/>
        </w:rPr>
        <w:outlineLvl w:val="1"/>
      </w:pPr>
      <w:r>
        <w:rPr>
          <w:rFonts w:hint="eastAsia" w:ascii="宋体" w:hAnsi="宋体" w:eastAsia="宋体" w:cs="宋体"/>
          <w:b/>
          <w:bCs/>
          <w:color w:val="000000"/>
          <w:sz w:val="21"/>
          <w:szCs w:val="21"/>
        </w:rPr>
        <w:t xml:space="preserve">    </w:t>
      </w:r>
      <w:r>
        <w:rPr>
          <w:rFonts w:hint="eastAsia" w:ascii="宋体" w:hAnsi="宋体" w:eastAsia="宋体" w:cs="宋体"/>
          <w:bCs/>
          <w:color w:val="000000"/>
          <w:sz w:val="21"/>
          <w:szCs w:val="21"/>
        </w:rPr>
        <w:t xml:space="preserve">3.1肉品类饲料</w:t>
      </w:r>
      <w:r>
        <w:rPr>
          <w:rFonts w:hint="eastAsia" w:ascii="宋体" w:hAnsi="宋体" w:eastAsia="宋体" w:cs="宋体"/>
          <w:bCs/>
          <w:color w:val="000000"/>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3.1.1新鲜牛后腿肉</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提供的牛肉部位为去骨牛后腿肉，非经冰冻过，保证新鲜。所供肉品应保持较好的外观和质量等级，严禁注水肉。新鲜牛后腿肉必须肉色鲜红，肉质弹性好，指压后凹陷立即恢复。外表微干或有风干膜，触摸不粘手，切面有光泽及微湿润，极小渗出物，脂肪白色或乳白色。具有浓郁的牛肉气味，无异味、无霉烂变质。严禁携带寄生虫，不带油、内脏和杂碎，肉边整齐、无碎骨。</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3.1.2 冷冻肉品</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提供的冷冻肉品，产品非病死畜禽制品，无变质、无异味、无腐败、无杂质，无反复冻融，</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货物送到指定地点时，货物剩余保质期天数不得少于保质期总天数的一半。包装袋须为食品级包装袋，复合包装材料应符合 GB 9683 和有关标准规定的要求，其他包装材料和容器必须符合相应国家标准和有关规定。</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3.1.3新鲜猪排</w:t>
      </w:r>
      <w:r>
        <w:rPr>
          <w:rFonts w:hint="eastAsia" w:ascii="宋体" w:hAnsi="宋体" w:eastAsia="宋体" w:cs="宋体"/>
          <w:sz w:val="21"/>
          <w:szCs w:val="21"/>
          <w:highlight w:val="none"/>
        </w:rPr>
      </w:r>
      <w:r/>
    </w:p>
    <w:p>
      <w:pPr>
        <w:pStyle w:val="864"/>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提供的新鲜猪排，肉质有弹性，整体色泽光滑，微湿润但不粘手，切面红色，手指轻按凹陷地方马上恢复，修去外露脂肪。无淤血、无伤斑、无注水、无寄生虫；无炎症病变、杂质和外漏筋膜。</w:t>
      </w:r>
      <w:r>
        <w:rPr>
          <w:rFonts w:hint="eastAsia" w:ascii="宋体" w:hAnsi="宋体" w:eastAsia="宋体" w:cs="宋体"/>
          <w:sz w:val="21"/>
          <w:szCs w:val="21"/>
          <w:highlight w:val="none"/>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3.1.4其它要求</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（1）产品须符合国家相关标准及国家食品卫生法规规定的标准。如遇国家修改标准，自新标准施行之日起采用新标准。</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（2）原料肉必须来自非疫区，经兽医卫生检验合格，在运输过程中未被污染；无水、无胶、无淤血、新鲜、无病害。</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highlight w:val="none"/>
        </w:rPr>
        <w:t xml:space="preserve">供货时原料肉需</w:t>
      </w:r>
      <w:r>
        <w:rPr>
          <w:rFonts w:hint="eastAsia" w:ascii="宋体" w:hAnsi="宋体" w:eastAsia="宋体" w:cs="宋体"/>
          <w:sz w:val="21"/>
          <w:szCs w:val="21"/>
        </w:rPr>
        <w:t xml:space="preserve">提供《动物检疫合格证》原件或复印件1份。所有肉品色泽、组织状态、粘度、气味和杂质等感官指标和挥发性盐基氮、汞等理化指标、微生物指标、药残和瘦肉精必须符合国家对肉品的相关质量标准，并符合国家《中华人民共和国食品安全法》。</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（4）不新鲜、污秽不洁、混有异物等存在严重质量问题的肉品，必须无条件退货，如给</w:t>
      </w:r>
      <w:r>
        <w:rPr>
          <w:rFonts w:hint="eastAsia" w:ascii="宋体" w:hAnsi="宋体" w:eastAsia="宋体" w:cs="宋体"/>
          <w:sz w:val="21"/>
          <w:szCs w:val="21"/>
          <w:lang w:val="en-US" w:eastAsia="zh-CN"/>
        </w:rPr>
        <w:t xml:space="preserve">甲方</w:t>
      </w:r>
      <w:r>
        <w:rPr>
          <w:rFonts w:hint="eastAsia" w:ascii="宋体" w:hAnsi="宋体" w:eastAsia="宋体" w:cs="宋体"/>
          <w:sz w:val="21"/>
          <w:szCs w:val="21"/>
        </w:rPr>
        <w:t xml:space="preserve">造成损失的，应按照合同进行赔偿。</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提供的肉品饲料均可溯源。</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3.1.5标准</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所供肉品饲料应符合下列食品类相关标准及规程：</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（1）《畜禽肉水分限量》(GB18394-2020)</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（2）《牛肉等级规格》(NY/T676-2010)</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（3）《猪肉等级规格》（NY/T1759-2009）</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 《食品安全国家标准 鲜（冻）畜、禽产品》（GB2707-2016）</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（5）《畜禽屠宰卫生检疫规范》（NY467-2001）</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（6）《食品安全国家标准 食品中41种兽药最大残留限量》（GB 31650.1-2022）  </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3.2蔬果鱼虾杂粮类等饲料：</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产品须符合相关国家标准及国家食品卫生法规规定的标准。遇国家修改标准，自新标准施行之日起采用新标准。</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3.2.1蔬菜水果类</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（1）形状、机械伤：蔬果形状完整未软化,大小适中，曲线谐调，无明显的机械伤,相同新鲜条件下无外力造成的伤害。如挤伤、压伤、碰伤、切口、裂伤等。 </w:t>
      </w:r>
      <w:r>
        <w:rPr>
          <w:rFonts w:hint="eastAsia" w:ascii="宋体" w:hAnsi="宋体" w:eastAsia="宋体" w:cs="宋体"/>
          <w:sz w:val="21"/>
          <w:szCs w:val="21"/>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（2）水分、新鲜度:蔬果无冻伤、无异常的外部水分，冷藏取出后的冷凝水除外，无过分萎蔫、皱皮，新鲜清洁无腐烂变质；无异味，无死斑块。</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（3）色泽、硬度：蔬果色泽正常无变色，光泽、色亮鲜艳，饱满、结实、无空心。</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（4）病虫害：无虫害、虫嗑、无残虫卵。</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（5）成熟度：充分发育，达到适当的成熟度，未过熟未腐烂，带柄蔬果，</w:t>
      </w:r>
      <w:r>
        <w:rPr>
          <w:rFonts w:hint="eastAsia" w:ascii="宋体" w:hAnsi="宋体" w:eastAsia="宋体" w:cs="宋体"/>
          <w:sz w:val="21"/>
          <w:szCs w:val="21"/>
          <w:highlight w:val="none"/>
          <w:shd w:val="clear" w:color="auto" w:fill="ffffff"/>
          <w:lang w:val="en-US" w:eastAsia="zh-CN"/>
        </w:rPr>
        <w:t xml:space="preserve">柄</w:t>
      </w:r>
      <w:r>
        <w:rPr>
          <w:rFonts w:hint="eastAsia" w:ascii="宋体" w:hAnsi="宋体" w:eastAsia="宋体" w:cs="宋体"/>
          <w:sz w:val="21"/>
          <w:szCs w:val="21"/>
          <w:highlight w:val="none"/>
          <w:shd w:val="clear" w:color="auto" w:fill="ffffff"/>
        </w:rPr>
        <w:t xml:space="preserve">长不</w:t>
      </w:r>
      <w:r>
        <w:rPr>
          <w:rFonts w:hint="eastAsia" w:ascii="宋体" w:hAnsi="宋体" w:eastAsia="宋体" w:cs="宋体"/>
          <w:sz w:val="21"/>
          <w:szCs w:val="21"/>
          <w:shd w:val="clear" w:color="auto" w:fill="ffffff"/>
        </w:rPr>
        <w:t xml:space="preserve">能超过1cm。</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（6）污染：无污染、无带泥，无运输造成的污染。</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（7）包装：应有包装，完整干净。</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（8）所有蔬果农残检测均要合格，无农药残留。</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b/>
          <w:sz w:val="21"/>
          <w:szCs w:val="21"/>
        </w:rPr>
      </w:pPr>
      <w:r>
        <w:rPr>
          <w:rFonts w:hint="eastAsia" w:ascii="宋体" w:hAnsi="宋体" w:eastAsia="宋体" w:cs="宋体"/>
          <w:bCs/>
          <w:sz w:val="21"/>
          <w:szCs w:val="21"/>
        </w:rPr>
        <w:t xml:space="preserve">3.2.2鱼虾类</w:t>
      </w:r>
      <w:r>
        <w:rPr>
          <w:rFonts w:hint="eastAsia" w:ascii="宋体" w:hAnsi="宋体" w:eastAsia="宋体" w:cs="宋体"/>
          <w:b/>
          <w:sz w:val="21"/>
          <w:szCs w:val="21"/>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鱼、泥鳅等，鲜活无死亡，无异味、无变质，严禁携带寄生虫。鲜鱼类要求体表粘液透明、色有光泽，气味正常，鱼鳃紧闭色泽鲜红或粉红，鳃丝清晰，揭开鳃盖可嗅到新鲜鱼所特有的气味，眼角膜光亮透明，眼球饱满，腹部发白正常无膨胀，鱼鳞紧贴完整，闪光滑润，不易脱落，手持鱼体头尾下垂，鱼体肌肉有弹性，不易压出凹陷或凹陷能迅速复平，肌肉呈现正常颜色。</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（2）虾，新鲜，头尾完整，头胸节与腹节连接处紧密，虾体组织完好，充盈饱满，膨胀而富弹力，有一定弯曲度。虾体外表洁净，呈青白色，半透明不发红，外壳有光泽，稍湿润。</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3.2.3杂粮副食品类</w:t>
      </w:r>
      <w:r>
        <w:rPr>
          <w:rFonts w:hint="eastAsia" w:ascii="宋体" w:hAnsi="宋体" w:eastAsia="宋体" w:cs="宋体"/>
          <w:sz w:val="21"/>
          <w:szCs w:val="21"/>
          <w:shd w:val="clear" w:color="auto" w:fill="ffffff"/>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（1）谷物、豆类等杂粮色泽正常，颗粒饱满、完整，无虫害及霉变，无可见外来杂质，气味正常，无酸败及其他异味。</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（2）产品无发霉、无变质、无变味、不掺杂、不掺假、不掺水,干制品要求干燥不回潮，干果果形完整。</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（3）加工食品需符合相关质量标准，产品包装应该有产品名称、厂名、厂址或出产地等，应有产品质量合格证明。</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3.2.4部分蔬果鱼虾杂粮类饲料质量要求</w:t>
      </w:r>
      <w:r>
        <w:rPr>
          <w:rFonts w:hint="eastAsia" w:ascii="宋体" w:hAnsi="宋体" w:eastAsia="宋体" w:cs="宋体"/>
          <w:sz w:val="21"/>
          <w:szCs w:val="21"/>
          <w:shd w:val="clear" w:color="auto" w:fill="ffffff"/>
        </w:rPr>
      </w:r>
      <w:r/>
    </w:p>
    <w:tbl>
      <w:tblPr>
        <w:tblW w:w="844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18"/>
        <w:gridCol w:w="990"/>
        <w:gridCol w:w="2689"/>
        <w:gridCol w:w="4043"/>
      </w:tblGrid>
      <w:tr>
        <w:trPr>
          <w:trHeight w:val="43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图片</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质量要求</w:t>
            </w:r>
            <w:r>
              <w:rPr>
                <w:rFonts w:hint="eastAsia" w:ascii="宋体" w:hAnsi="宋体" w:eastAsia="宋体" w:cs="宋体"/>
                <w:sz w:val="21"/>
                <w:szCs w:val="21"/>
              </w:rPr>
            </w:r>
            <w:r/>
          </w:p>
        </w:tc>
      </w:tr>
      <w:tr>
        <w:trPr>
          <w:trHeight w:val="158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包菜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80986" cy="905703"/>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80986" cy="9057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3.0pt;height:71.3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外叶淡绿色，内叶淡黄色，叶肥厚脆嫩，棵株大完整，包心坚实紧密无发芽，断面洁白完整，无黄叶、虫蛀、萎蔫、雨淋水浸。</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南瓜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42987" cy="867401"/>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342987" cy="867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5.7pt;height:68.3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颜色金黄或橙黄，瓜形周正，肉金黄紧密、粉甜、表面硬实；无斑疤、破裂、虫洞、软烂、畸形。</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胡萝卜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28242" cy="781764"/>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428242" cy="781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12.5pt;height:61.6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新鲜、水分足，允许有短叶及轻微裂口，单只重不低于150克不高于350克；无腐烂、发黏、裂口过大、表面发蔫、空芯、泥土过多。</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黄瓜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10246" cy="829347"/>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410246" cy="8293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1.0pt;height:65.3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黄瓜青绿、瓜身细短、绿直均匀瓜把小，顶花带刺，有白霜或光泽，无压伤、腐烂、断裂色黄、皮皱、肉白或空心。</w:t>
            </w:r>
            <w:r>
              <w:rPr>
                <w:rFonts w:hint="eastAsia" w:ascii="宋体" w:hAnsi="宋体" w:eastAsia="宋体" w:cs="宋体"/>
                <w:sz w:val="21"/>
                <w:szCs w:val="21"/>
              </w:rPr>
            </w:r>
            <w:r/>
          </w:p>
        </w:tc>
      </w:tr>
      <w:tr>
        <w:trPr>
          <w:trHeight w:val="198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生菜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04925" cy="113361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304925" cy="1133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2.8pt;height:89.3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外表清洁碧绿，不含任何可见的杂质，外观鲜嫩、不脱水；无机械伤、无腐烂、无黄叶烂心、无锈斑、不开花、不掺水，无病虫害造成的损伤，无害虫、基部切口整齐、无泥土；不可单棵植株过小。</w:t>
            </w:r>
            <w:r>
              <w:rPr>
                <w:rFonts w:hint="eastAsia" w:ascii="宋体" w:hAnsi="宋体" w:eastAsia="宋体" w:cs="宋体"/>
                <w:sz w:val="21"/>
                <w:szCs w:val="21"/>
              </w:rPr>
            </w:r>
            <w:r/>
          </w:p>
        </w:tc>
      </w:tr>
      <w:tr>
        <w:trPr>
          <w:trHeight w:val="166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去皮水果玉米</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"https://image.so.com/i?q=%E9%B2%9C%E7%8E%89%E7%B1%B3%E5%9B%BE%E7%89%87&amp;listsrc=sobox&amp;listsign=ae89befcfd9448ad2e3b837d5e598e8f&amp;src=360pic_strong" \t "_blank" </w:instrText>
            </w:r>
            <w:r>
              <w:rPr>
                <w:rFonts w:hint="eastAsia" w:ascii="宋体" w:hAnsi="宋体" w:eastAsia="宋体" w:cs="宋体"/>
                <w:sz w:val="21"/>
                <w:szCs w:val="21"/>
              </w:rPr>
              <w:fldChar w:fldCharType="separate"/>
            </w:r>
            <w:r>
              <w:rPr>
                <w:rFonts w:hint="eastAsia" w:ascii="宋体" w:hAnsi="宋体" w:eastAsia="宋体" w:cs="宋体"/>
                <w:color w:val="1024ee"/>
                <w:sz w:val="21"/>
                <w:szCs w:val="21"/>
              </w:rPr>
              <mc:AlternateContent>
                <mc:Choice Requires="wpg">
                  <w:drawing>
                    <wp:inline xmlns:wp="http://schemas.openxmlformats.org/drawingml/2006/wordprocessingDrawing" distT="0" distB="0" distL="0" distR="0">
                      <wp:extent cx="847192" cy="104756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847192" cy="1047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6.7pt;height:82.5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黄色或金黄色，色泽新鲜一致，不打水，干爽，籽粒饱满；无霉变、无虫蛀及异味。</w:t>
            </w:r>
            <w:r>
              <w:rPr>
                <w:rFonts w:hint="eastAsia" w:ascii="宋体" w:hAnsi="宋体" w:eastAsia="宋体" w:cs="宋体"/>
                <w:sz w:val="21"/>
                <w:szCs w:val="21"/>
              </w:rPr>
            </w:r>
            <w:r/>
          </w:p>
        </w:tc>
      </w:tr>
      <w:tr>
        <w:trPr>
          <w:trHeight w:val="178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西红柿</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"https://image.so.com/i?q=%E8%A5%BF%E7%BA%A2%E6%9F%BF%E5%9B%BE%E7%89%87&amp;listsrc=sobox&amp;listsign=099f5a8814a60d9d05ab6628d78b26e5&amp;src=360pic_strong" \t "_blank" </w:instrText>
            </w:r>
            <w:r>
              <w:rPr>
                <w:rFonts w:hint="eastAsia" w:ascii="宋体" w:hAnsi="宋体" w:eastAsia="宋体" w:cs="宋体"/>
                <w:sz w:val="21"/>
                <w:szCs w:val="21"/>
              </w:rPr>
              <w:fldChar w:fldCharType="separate"/>
            </w:r>
            <w:r>
              <w:rPr>
                <w:rFonts w:hint="eastAsia" w:ascii="宋体" w:hAnsi="宋体" w:eastAsia="宋体" w:cs="宋体"/>
                <w:color w:val="1024ee"/>
                <w:sz w:val="21"/>
                <w:szCs w:val="21"/>
              </w:rPr>
              <mc:AlternateContent>
                <mc:Choice Requires="wpg">
                  <w:drawing>
                    <wp:inline xmlns:wp="http://schemas.openxmlformats.org/drawingml/2006/wordprocessingDrawing" distT="0" distB="0" distL="0" distR="0">
                      <wp:extent cx="1114567" cy="1018413"/>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14567" cy="10184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7.8pt;height:80.2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颜色粉色偏红、硬果、果实圆，果面发亮，着色均匀一致，果脐小；无裂果、无机械伤、无过软、无开裂、无腐烂、无过度偏小、规格匀称。</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洋葱</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020680" cy="952017"/>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020680" cy="9520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0.4pt;height:75.0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鳞片颜色粉白、紫白或黄白，鳞片肥厚完整无损，抱合紧密，球茎干度适中，有一定硬度；无腐烂、干枯、过软、裂开、发芽、泥土。</w:t>
            </w:r>
            <w:r>
              <w:rPr>
                <w:rFonts w:hint="eastAsia" w:ascii="宋体" w:hAnsi="宋体" w:eastAsia="宋体" w:cs="宋体"/>
                <w:sz w:val="21"/>
                <w:szCs w:val="21"/>
              </w:rPr>
            </w:r>
            <w:r/>
          </w:p>
        </w:tc>
      </w:tr>
      <w:tr>
        <w:trPr>
          <w:trHeight w:val="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油麦菜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"https://image.so.com/i?q=%E6%B2%B9%E9%BA%A6%E8%8F%9C%E5%9B%BE%E7%89%87&amp;listsrc=sobox&amp;listsign=8c97919a34afcfdde921a80a17c5f7f5&amp;src=360pic_strong" \t "_blank" </w:instrText>
            </w:r>
            <w:r>
              <w:rPr>
                <w:rFonts w:hint="eastAsia" w:ascii="宋体" w:hAnsi="宋体" w:eastAsia="宋体" w:cs="宋体"/>
                <w:sz w:val="21"/>
                <w:szCs w:val="21"/>
              </w:rPr>
              <w:fldChar w:fldCharType="separate"/>
            </w:r>
            <w:r>
              <w:rPr>
                <w:rFonts w:hint="eastAsia" w:ascii="宋体" w:hAnsi="宋体" w:eastAsia="宋体" w:cs="宋体"/>
                <w:color w:val="1024ee"/>
                <w:sz w:val="21"/>
                <w:szCs w:val="21"/>
              </w:rPr>
              <mc:AlternateContent>
                <mc:Choice Requires="wpg">
                  <w:drawing>
                    <wp:inline xmlns:wp="http://schemas.openxmlformats.org/drawingml/2006/wordprocessingDrawing" distT="0" distB="0" distL="0" distR="0">
                      <wp:extent cx="1076435" cy="1105365"/>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076435" cy="1105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84.8pt;height:87.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sz w:val="21"/>
                <w:szCs w:val="21"/>
              </w:rPr>
              <w:fldChar w:fldCharType="end"/>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外表清洁碧绿，不含任何可见的杂质，外观鲜嫩、不脱水；无机械伤、无腐烂、无黄叶烂心、无锈斑、不开花、不掺水，无病虫害造成的损伤，无害虫、基部切口整齐、无泥土；不可单棵植株过小。</w:t>
            </w:r>
            <w:r>
              <w:rPr>
                <w:rFonts w:hint="eastAsia" w:ascii="宋体" w:hAnsi="宋体" w:eastAsia="宋体" w:cs="宋体"/>
                <w:sz w:val="21"/>
                <w:szCs w:val="21"/>
              </w:rPr>
            </w:r>
            <w:r/>
          </w:p>
        </w:tc>
      </w:tr>
      <w:tr>
        <w:trPr>
          <w:trHeight w:val="169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茄子</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68293" cy="914256"/>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268293" cy="9142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9.9pt;height:72.0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色正（紫）、形正（棒形、卵形、灯泡型）；表面光滑有光泽，有弹性不软；无压伤、虫蛀、烂斑、皮皱。</w:t>
            </w:r>
            <w:r>
              <w:rPr>
                <w:rFonts w:hint="eastAsia" w:ascii="宋体" w:hAnsi="宋体" w:eastAsia="宋体" w:cs="宋体"/>
                <w:sz w:val="21"/>
                <w:szCs w:val="21"/>
              </w:rPr>
            </w:r>
            <w:r/>
          </w:p>
        </w:tc>
      </w:tr>
      <w:tr>
        <w:trPr>
          <w:trHeight w:val="155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白心火龙果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47991" cy="904342"/>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447991" cy="9043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14.0pt;height:71.2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果皮光滑、着色均匀、有光泽、无机械伤、无腐烂、无异味、无病虫害、无软塌，无皱缩，大小均匀。</w:t>
            </w:r>
            <w:r>
              <w:rPr>
                <w:rFonts w:hint="eastAsia" w:ascii="宋体" w:hAnsi="宋体" w:eastAsia="宋体" w:cs="宋体"/>
                <w:sz w:val="21"/>
                <w:szCs w:val="21"/>
              </w:rPr>
            </w:r>
            <w:r/>
          </w:p>
        </w:tc>
      </w:tr>
      <w:tr>
        <w:trPr>
          <w:trHeight w:val="196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梨</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019941" cy="1019941"/>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019941" cy="10199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0.3pt;height:80.3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具有品种或品牌特征、大小均匀、无腐烂、无机械外伤、表面洁净、无异味、新鲜多汁。</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猕猴桃</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47978" cy="1209675"/>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447978"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14.0pt;height:95.2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表面有棕色的绒毛，形状均匀大小整齐，果身较硬或稍有柔软。</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苹果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00150" cy="120015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200150"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94.5pt;height:94.5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具有相似品种或品牌特征，果面洁净，无机械伤、无腐烂、无异味、无黑心、无病虫害。</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葡萄</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553337" cy="1009193"/>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553337" cy="1009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22.3pt;height:79.5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果粒大且圆、结实饱满，果粒表面有霜，果梗青绿且与果粒边接牢固，整串籽紧凑。</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香蕉</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96060" cy="1000394"/>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1496060" cy="10003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17.8pt;height:78.8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果实丰满，果形端正，梳柄完整，色泽光亮；皮色青黄，果面光滑，无病黑斑，无虫疤，无霉菌、无创伤；果肉稍硬，果皮可剥或易剥。</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17</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柚类</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41120" cy="1123356"/>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341120" cy="11233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05.6pt;height:88.5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颜色黄色或青黄色，表皮粗糙，果体颈部较短、似梨状，果身较硬、有弹性、分量重、无外伤、挤压。</w:t>
            </w:r>
            <w:r>
              <w:rPr>
                <w:rFonts w:hint="eastAsia" w:ascii="宋体" w:hAnsi="宋体" w:eastAsia="宋体" w:cs="宋体"/>
                <w:sz w:val="21"/>
                <w:szCs w:val="21"/>
              </w:rPr>
            </w:r>
            <w:r/>
          </w:p>
        </w:tc>
      </w:tr>
      <w:tr>
        <w:trPr>
          <w:trHeight w:val="1901"/>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18</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芒果</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75740" cy="100901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475740" cy="1009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6.2pt;height:79.5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具有该品种固有的特征。果实应无缺陷，但允许有不影响产品总体外观、质量、贮存性的很轻微的表面疵点、果实硬实富有弹性者为佳；不可过硬或过软。</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19</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桃子</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514716" cy="962040"/>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514716" cy="96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19.3pt;height:75.8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呈球形，表面裹着一层短短的绒毛，青里泛白，果体硬、不易剥离，无挤压伤。</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20</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鲜活小鲫鱼</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62774" cy="1171308"/>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362774" cy="11713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07.3pt;height:92.2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center"/>
            <w:textDirection w:val="lrTb"/>
            <w:noWrap w:val="false"/>
          </w:tcPr>
          <w:p>
            <w:pPr>
              <w:pStyle w:val="864"/>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体表黏液透明、色有光泽，气味正常，眼角膜光亮透明，眼球饱满，腹部发白正常无膨胀，鱼鳞</w:t>
            </w:r>
            <w:r>
              <w:rPr>
                <w:rFonts w:hint="eastAsia" w:ascii="宋体" w:hAnsi="宋体" w:eastAsia="宋体" w:cs="宋体"/>
                <w:sz w:val="21"/>
                <w:szCs w:val="21"/>
                <w:shd w:val="clear" w:color="auto" w:fill="ffffff"/>
              </w:rPr>
              <w:t xml:space="preserve">紧贴</w:t>
            </w:r>
            <w:r>
              <w:rPr>
                <w:rFonts w:hint="eastAsia" w:ascii="宋体" w:hAnsi="宋体" w:eastAsia="宋体" w:cs="宋体"/>
                <w:sz w:val="21"/>
                <w:szCs w:val="21"/>
              </w:rPr>
              <w:t xml:space="preserve">完整，</w:t>
            </w:r>
            <w:r>
              <w:rPr>
                <w:rFonts w:hint="eastAsia" w:ascii="宋体" w:hAnsi="宋体" w:eastAsia="宋体" w:cs="宋体"/>
                <w:color w:val="000000"/>
                <w:sz w:val="21"/>
                <w:szCs w:val="21"/>
              </w:rPr>
              <w:t xml:space="preserve">体态正常，活动力强，</w:t>
            </w:r>
            <w:r>
              <w:rPr>
                <w:rFonts w:hint="eastAsia" w:ascii="宋体" w:hAnsi="宋体" w:eastAsia="宋体" w:cs="宋体"/>
                <w:sz w:val="21"/>
                <w:szCs w:val="21"/>
              </w:rPr>
              <w:t xml:space="preserve">长度8至12cm。</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21</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泥鳅</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506931" cy="1074515"/>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506931" cy="1074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18.7pt;height:84.6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center"/>
            <w:textDirection w:val="lrTb"/>
            <w:noWrap w:val="false"/>
          </w:tcPr>
          <w:p>
            <w:pPr>
              <w:pStyle w:val="864"/>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新鲜活泥鳅，眼睛凸起，澄清有光泽，活动力强，口鳃紧闭，鳃片呈鲜红色或红色，表面有透明黏液且具有光泽，体态均匀正常。</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22</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虾</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14323" cy="933022"/>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314323" cy="933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03.5pt;height:73.5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center"/>
            <w:textDirection w:val="lrTb"/>
            <w:noWrap w:val="false"/>
          </w:tcPr>
          <w:p>
            <w:pPr>
              <w:pStyle w:val="864"/>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头尾完整，</w:t>
            </w:r>
            <w:r>
              <w:rPr>
                <w:rFonts w:hint="eastAsia" w:ascii="宋体" w:hAnsi="宋体" w:eastAsia="宋体" w:cs="宋体"/>
                <w:sz w:val="21"/>
                <w:szCs w:val="21"/>
                <w:shd w:val="clear" w:color="auto" w:fill="ffffff"/>
              </w:rPr>
              <w:t xml:space="preserve">头胸节与腹节连接处紧密，虾体组织完好，充盈饱满，膨胀而富弹力，</w:t>
            </w:r>
            <w:r>
              <w:rPr>
                <w:rFonts w:hint="eastAsia" w:ascii="宋体" w:hAnsi="宋体" w:eastAsia="宋体" w:cs="宋体"/>
                <w:sz w:val="21"/>
                <w:szCs w:val="21"/>
              </w:rPr>
              <w:t xml:space="preserve">有一定弯曲度。</w:t>
            </w:r>
            <w:r>
              <w:rPr>
                <w:rFonts w:hint="eastAsia" w:ascii="宋体" w:hAnsi="宋体" w:eastAsia="宋体" w:cs="宋体"/>
                <w:sz w:val="21"/>
                <w:szCs w:val="21"/>
                <w:shd w:val="clear" w:color="auto" w:fill="ffffff"/>
              </w:rPr>
              <w:t xml:space="preserve">虾体外表洁净，</w:t>
            </w:r>
            <w:r>
              <w:rPr>
                <w:rFonts w:hint="eastAsia" w:ascii="宋体" w:hAnsi="宋体" w:eastAsia="宋体" w:cs="宋体"/>
                <w:sz w:val="21"/>
                <w:szCs w:val="21"/>
              </w:rPr>
              <w:t xml:space="preserve">呈青白色，半透明不发红，外壳有光泽，稍湿润</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r>
            <w:r/>
          </w:p>
        </w:tc>
      </w:tr>
      <w:tr>
        <w:trPr>
          <w:trHeight w:val="1689"/>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23</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稻谷</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28115" cy="1163193"/>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228115" cy="11631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96.7pt;height:91.6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带壳稻粒，色泽正常，谷粒饱满完整，无霉变、受潮、生虫等。</w:t>
            </w:r>
            <w:r>
              <w:rPr>
                <w:rFonts w:hint="eastAsia" w:ascii="宋体" w:hAnsi="宋体" w:eastAsia="宋体" w:cs="宋体"/>
                <w:sz w:val="21"/>
                <w:szCs w:val="21"/>
              </w:rPr>
            </w:r>
            <w:r/>
          </w:p>
        </w:tc>
      </w:tr>
      <w:tr>
        <w:trPr>
          <w:trHeight w:val="194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24</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top"/>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鸡蛋</w: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9" w:type="dxa"/>
            <w:vAlign w:val="center"/>
            <w:textDirection w:val="lrTb"/>
            <w:noWrap w:val="false"/>
          </w:tcPr>
          <w:p>
            <w:pPr>
              <w:pStyle w:val="864"/>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504302" cy="1093490"/>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1504302" cy="1093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18.4pt;height:86.1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43" w:type="dxa"/>
            <w:vAlign w:val="top"/>
            <w:textDirection w:val="lrTb"/>
            <w:noWrap w:val="false"/>
          </w:tcPr>
          <w:p>
            <w:pPr>
              <w:pStyle w:val="864"/>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蛋壳清洁、坚固、无破损，呈自然蛋壳色；对光观察，透光度好，蛋白清晰；气味正常，无腐败变质。</w:t>
            </w:r>
            <w:r>
              <w:rPr>
                <w:rFonts w:hint="eastAsia" w:ascii="宋体" w:hAnsi="宋体" w:eastAsia="宋体" w:cs="宋体"/>
                <w:sz w:val="21"/>
                <w:szCs w:val="21"/>
              </w:rPr>
            </w:r>
            <w:r/>
          </w:p>
        </w:tc>
      </w:tr>
    </w:tbl>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3.3羊草</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羊草必须是当年度新草，有草香味，色泽呈自然的淡绿色，色泽新鲜度基本一致。水分小于等于14%，杂草率小于等于5%，干燥无发霉无结块，草干无发酵、无变质、无打到雪、无泡过雨水。产品须符合行业规定的有关标准。</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3.4苜蓿草</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苜蓿粗蛋白≥18%，相对饲喂价值RFV≥150%，水分≤12%，干燥无发霉无结块，无变质无掺假。</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3.5草食动物颗粒料：</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呈圆柱形颗粒状，长度直径尺寸合适，颗粒完整，无发酵，无霉变；成分包含玉米、豆粕、鱼粉等；粗蛋白≥20.45%，水分≤12%。</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3.6长颈鹿专用颗粒料：</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呈圆柱形颗粒状，长度直径尺寸合适，颗粒完整，无发酵，无霉变；成分包含苜蓿干草粉、麦麸、豆粕等；粗蛋白≥12%，水分≤12%。</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3.7树叶、竹叶和芭蕉杆 </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（1）树叶连枝连叶，不能混有很粗的树干。长颈鹿树叶需要悬挂因此需大分叉树枝；金丝猴和东非黑白疣猴树叶采食量目标70%。</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（2）饲料要求鲜嫩，无农药、无灰尘污染，来源稳定、生长环境安全，当天采摘当天配送。 </w:t>
      </w:r>
      <w:r>
        <w:rPr>
          <w:rFonts w:hint="eastAsia" w:ascii="宋体" w:hAnsi="宋体" w:eastAsia="宋体" w:cs="宋体"/>
          <w:bCs/>
          <w:sz w:val="21"/>
          <w:szCs w:val="21"/>
        </w:rPr>
      </w:r>
      <w:r/>
    </w:p>
    <w:p>
      <w:pPr>
        <w:pStyle w:val="864"/>
        <w:ind w:firstLine="420"/>
        <w:jc w:val="left"/>
        <w:keepLines w:val="0"/>
        <w:keepNext w:val="0"/>
        <w:pageBreakBefore w:val="0"/>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3.8零星采购：按实际需求采购的饲料产品必须符合国家或行业规定的有关标准。</w:t>
      </w:r>
      <w:r>
        <w:rPr>
          <w:rFonts w:hint="eastAsia" w:ascii="宋体" w:hAnsi="宋体" w:eastAsia="宋体" w:cs="宋体"/>
          <w:bCs/>
          <w:sz w:val="21"/>
          <w:szCs w:val="21"/>
        </w:rPr>
      </w:r>
      <w:r/>
    </w:p>
    <w:p>
      <w:pPr>
        <w:pStyle w:val="864"/>
        <w:ind w:firstLine="420"/>
        <w:keepLines w:val="0"/>
        <w:keepNext w:val="0"/>
        <w:pageBreakBefore w:val="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4、供货要求</w:t>
      </w:r>
      <w:r>
        <w:rPr>
          <w:rFonts w:hint="eastAsia" w:ascii="宋体" w:hAnsi="宋体" w:eastAsia="宋体" w:cs="宋体"/>
          <w:sz w:val="21"/>
          <w:szCs w:val="21"/>
          <w:lang w:val="zh-TW"/>
        </w:rPr>
      </w:r>
      <w:r/>
    </w:p>
    <w:p>
      <w:pPr>
        <w:pStyle w:val="864"/>
        <w:ind w:firstLine="336"/>
        <w:jc w:val="left"/>
        <w:spacing w:line="360" w:lineRule="auto"/>
        <w:tabs>
          <w:tab w:val="left" w:pos="3060" w:leader="none"/>
        </w:tabs>
        <w:rPr>
          <w:rFonts w:hint="eastAsia" w:ascii="宋体" w:hAnsi="宋体" w:cs="宋体"/>
          <w:bCs/>
          <w:color w:val="000000"/>
          <w:sz w:val="21"/>
          <w:szCs w:val="21"/>
          <w:highlight w:val="none"/>
        </w:rPr>
      </w:pPr>
      <w:r>
        <w:rPr>
          <w:rFonts w:hint="eastAsia" w:ascii="宋体" w:hAnsi="宋体" w:eastAsia="宋体" w:cs="宋体"/>
          <w:bCs/>
          <w:color w:val="000000"/>
          <w:sz w:val="21"/>
          <w:szCs w:val="21"/>
          <w:highlight w:val="none"/>
        </w:rPr>
        <w:t xml:space="preserve">4.1乙方</w:t>
      </w:r>
      <w:r>
        <w:rPr>
          <w:rFonts w:hint="eastAsia" w:ascii="宋体" w:hAnsi="宋体" w:cs="宋体"/>
          <w:bCs/>
          <w:color w:val="000000"/>
          <w:sz w:val="21"/>
          <w:szCs w:val="21"/>
          <w:highlight w:val="none"/>
        </w:rPr>
        <w:t xml:space="preserve">负责每天上午8：</w:t>
      </w:r>
      <w:r>
        <w:rPr>
          <w:rFonts w:hint="eastAsia" w:ascii="宋体" w:hAnsi="宋体" w:cs="宋体"/>
          <w:bCs/>
          <w:color w:val="000000"/>
          <w:sz w:val="21"/>
          <w:szCs w:val="21"/>
          <w:highlight w:val="none"/>
          <w:lang w:val="en-US" w:eastAsia="zh-CN"/>
        </w:rPr>
        <w:t xml:space="preserve">3</w:t>
      </w:r>
      <w:r>
        <w:rPr>
          <w:rFonts w:hint="eastAsia" w:ascii="宋体" w:hAnsi="宋体" w:cs="宋体"/>
          <w:bCs/>
          <w:color w:val="000000"/>
          <w:sz w:val="21"/>
          <w:szCs w:val="21"/>
          <w:highlight w:val="none"/>
        </w:rPr>
        <w:t xml:space="preserve">0前按订货要求准时将新鲜肉品和蔬果鱼虾类等饲料送到动物园管理办公室饲料中心（无节假日）；新鲜牛后腿肉和新鲜猪排每周配送6天；冷冻肉品类饲料根据采购需求配送；</w:t>
      </w:r>
      <w:r>
        <w:rPr>
          <w:rFonts w:hint="eastAsia" w:ascii="宋体" w:hAnsi="宋体" w:cs="宋体"/>
          <w:bCs/>
          <w:color w:val="000000"/>
          <w:sz w:val="21"/>
          <w:szCs w:val="21"/>
          <w:highlight w:val="none"/>
          <w:lang w:val="en-US" w:eastAsia="zh-CN"/>
        </w:rPr>
        <w:t xml:space="preserve">具体</w:t>
      </w:r>
      <w:r>
        <w:rPr>
          <w:rFonts w:hint="eastAsia" w:ascii="宋体" w:hAnsi="宋体" w:cs="宋体"/>
          <w:bCs/>
          <w:color w:val="000000"/>
          <w:sz w:val="21"/>
          <w:szCs w:val="21"/>
          <w:highlight w:val="none"/>
        </w:rPr>
        <w:t xml:space="preserve">以动物园管理办公室通知为准。杂粮副食品类等饲料根据动物园管理办公室采购需求配送；羊草根据采购需求每年配送</w:t>
      </w:r>
      <w:r>
        <w:rPr>
          <w:rFonts w:hint="eastAsia" w:ascii="宋体" w:hAnsi="宋体" w:cs="宋体"/>
          <w:bCs/>
          <w:color w:val="000000"/>
          <w:sz w:val="21"/>
          <w:szCs w:val="21"/>
          <w:highlight w:val="none"/>
          <w:lang w:val="en-US" w:eastAsia="zh-CN"/>
        </w:rPr>
        <w:t xml:space="preserve">2-3</w:t>
      </w:r>
      <w:r>
        <w:rPr>
          <w:rFonts w:hint="eastAsia" w:ascii="宋体" w:hAnsi="宋体" w:cs="宋体"/>
          <w:bCs/>
          <w:color w:val="000000"/>
          <w:sz w:val="21"/>
          <w:szCs w:val="21"/>
          <w:highlight w:val="none"/>
        </w:rPr>
        <w:t xml:space="preserve">次；草食动物颗粒料和长颈鹿专用颗粒料根据采购需求配送；树叶</w:t>
      </w:r>
      <w:r>
        <w:rPr>
          <w:rFonts w:hint="eastAsia" w:ascii="宋体" w:hAnsi="宋体" w:cs="宋体"/>
          <w:bCs/>
          <w:color w:val="000000"/>
          <w:sz w:val="21"/>
          <w:szCs w:val="21"/>
          <w:highlight w:val="none"/>
          <w:lang w:val="en-US" w:eastAsia="zh-CN"/>
        </w:rPr>
        <w:t xml:space="preserve">每天配送一</w:t>
      </w:r>
      <w:r>
        <w:rPr>
          <w:rFonts w:hint="eastAsia" w:ascii="宋体" w:hAnsi="宋体" w:cs="宋体"/>
          <w:bCs/>
          <w:color w:val="000000"/>
          <w:sz w:val="21"/>
          <w:szCs w:val="21"/>
          <w:highlight w:val="none"/>
        </w:rPr>
        <w:t xml:space="preserve">次；零星采购饲料的种类、数量和时间不完全确定，</w:t>
      </w:r>
      <w:r>
        <w:rPr>
          <w:rFonts w:hint="eastAsia" w:ascii="宋体" w:hAnsi="宋体" w:cs="宋体"/>
          <w:bCs/>
          <w:color w:val="000000"/>
          <w:sz w:val="21"/>
          <w:szCs w:val="21"/>
          <w:highlight w:val="none"/>
          <w:lang w:val="en-US" w:eastAsia="zh-CN"/>
        </w:rPr>
        <w:t xml:space="preserve">中标单位</w:t>
      </w:r>
      <w:r>
        <w:rPr>
          <w:rFonts w:hint="eastAsia" w:ascii="宋体" w:hAnsi="宋体" w:cs="宋体"/>
          <w:bCs/>
          <w:color w:val="000000"/>
          <w:sz w:val="21"/>
          <w:szCs w:val="21"/>
          <w:highlight w:val="none"/>
        </w:rPr>
        <w:t xml:space="preserve">须根据采购人实际订货要求按需按时配送。</w:t>
      </w:r>
      <w:r>
        <w:rPr>
          <w:rFonts w:hint="eastAsia" w:ascii="宋体" w:hAnsi="宋体" w:cs="宋体"/>
          <w:bCs/>
          <w:color w:val="000000"/>
          <w:sz w:val="21"/>
          <w:szCs w:val="21"/>
          <w:highlight w:val="none"/>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4.2乙方须按甲方要求将采购物资进行分包、单独包装、加工直至达到甲方要求,否则甲方有权拒收，由此产生的费用由乙方承担。</w:t>
      </w:r>
      <w:r>
        <w:rPr>
          <w:rFonts w:hint="eastAsia" w:ascii="宋体" w:hAnsi="宋体" w:eastAsia="宋体" w:cs="宋体"/>
          <w:bCs/>
          <w:color w:val="000000"/>
          <w:sz w:val="21"/>
          <w:szCs w:val="21"/>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4.3饲料必须符合食品卫生要求及国家有关标准，如无标准，按行业规范。采购生产、经营证明文件齐备，明确产品来源，并具有检验合格证明。严禁提供超过保质期限的产品。采购饲料不得存放在有毒有害的容器内;包装饲料必须符合国家规范，饲料包装上必须使用原产地标识，应注明制造商名称和厂址、饲料名称和重（容）量、生产日期和保质期限以及规格和QS认证书等。</w:t>
      </w:r>
      <w:r>
        <w:rPr>
          <w:rFonts w:hint="eastAsia" w:ascii="宋体" w:hAnsi="宋体" w:eastAsia="宋体" w:cs="宋体"/>
          <w:bCs/>
          <w:color w:val="000000"/>
          <w:sz w:val="21"/>
          <w:szCs w:val="21"/>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4.4新鲜肉品蔬果鱼虾类饲料运输必须采用封闭的、有低温保鲜设备并符合国家卫生、动物防疫条件的运载工具，并且要保持清洁，运输车辆在使用前需全车消毒，车厢内无不良气味、异味。运输冷冻肉品饲料的车辆箱体必须保持在－18℃或更低的温度，厢体在装载前必须预冷到－10℃或更低的温度。饲料运输整个过程应科学合理，运输车辆保持性能稳定，符合规定的温度要求。</w:t>
      </w:r>
      <w:r>
        <w:rPr>
          <w:rFonts w:hint="eastAsia" w:ascii="宋体" w:hAnsi="宋体" w:eastAsia="宋体" w:cs="宋体"/>
          <w:bCs/>
          <w:color w:val="000000"/>
          <w:sz w:val="21"/>
          <w:szCs w:val="21"/>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4.5按批次配送的饲料（冷冻肉品、苹果等）在使用过程中一旦发现质量问题，剩余饲料整批退回。</w:t>
      </w:r>
      <w:r>
        <w:rPr>
          <w:rFonts w:hint="eastAsia" w:ascii="宋体" w:hAnsi="宋体" w:eastAsia="宋体" w:cs="宋体"/>
          <w:bCs/>
          <w:color w:val="000000"/>
          <w:sz w:val="21"/>
          <w:szCs w:val="21"/>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4.6运输饲料的车辆应加装 GPS 定位或其它跟踪管理系统和温度自动记录系统，运输全程实施监控，记录归档保存。</w:t>
      </w:r>
      <w:r>
        <w:rPr>
          <w:rFonts w:hint="eastAsia" w:ascii="宋体" w:hAnsi="宋体" w:eastAsia="宋体" w:cs="宋体"/>
          <w:bCs/>
          <w:color w:val="000000"/>
          <w:sz w:val="21"/>
          <w:szCs w:val="21"/>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4.7乙方负责饲料的运输及装卸，入库饲料按动物园管理办公室要求放置指定地点，费用由乙方负责。乙方每次随货配置搬运人员，卸货时饲料堆放应科学、合理，避免造成饲料的交叉污染。 </w:t>
      </w:r>
      <w:r>
        <w:rPr>
          <w:rFonts w:hint="eastAsia" w:ascii="宋体" w:hAnsi="宋体" w:eastAsia="宋体" w:cs="宋体"/>
          <w:bCs/>
          <w:color w:val="000000"/>
          <w:sz w:val="21"/>
          <w:szCs w:val="21"/>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4.8乙方在饲料运输、装卸等工作过程中需注意保护</w:t>
      </w:r>
      <w:r>
        <w:rPr>
          <w:rFonts w:hint="eastAsia" w:ascii="宋体" w:hAnsi="宋体" w:eastAsia="宋体" w:cs="宋体"/>
          <w:bCs/>
          <w:color w:val="000000"/>
          <w:sz w:val="21"/>
          <w:szCs w:val="21"/>
          <w:lang w:val="en-US" w:eastAsia="zh-CN"/>
        </w:rPr>
        <w:t xml:space="preserve">甲方</w:t>
      </w:r>
      <w:r>
        <w:rPr>
          <w:rFonts w:hint="eastAsia" w:ascii="宋体" w:hAnsi="宋体" w:eastAsia="宋体" w:cs="宋体"/>
          <w:bCs/>
          <w:color w:val="000000"/>
          <w:sz w:val="21"/>
          <w:szCs w:val="21"/>
        </w:rPr>
        <w:t xml:space="preserve">现场及周边设施和环境，如有破坏或损坏，乙方负责恢复原样；如无法恢复，</w:t>
      </w:r>
      <w:r>
        <w:rPr>
          <w:rFonts w:hint="eastAsia" w:ascii="宋体" w:hAnsi="宋体" w:eastAsia="宋体" w:cs="宋体"/>
          <w:bCs/>
          <w:color w:val="000000"/>
          <w:sz w:val="21"/>
          <w:szCs w:val="21"/>
          <w:lang w:val="en-US" w:eastAsia="zh-CN"/>
        </w:rPr>
        <w:t xml:space="preserve">甲方</w:t>
      </w:r>
      <w:r>
        <w:rPr>
          <w:rFonts w:hint="eastAsia" w:ascii="宋体" w:hAnsi="宋体" w:eastAsia="宋体" w:cs="宋体"/>
          <w:bCs/>
          <w:color w:val="000000"/>
          <w:sz w:val="21"/>
          <w:szCs w:val="21"/>
        </w:rPr>
        <w:t xml:space="preserve">有权邀请第三方恢复或要求乙方赔偿，由此产生的费用全部由乙方承担。</w:t>
      </w:r>
      <w:r>
        <w:rPr>
          <w:rFonts w:hint="eastAsia" w:ascii="宋体" w:hAnsi="宋体" w:eastAsia="宋体" w:cs="宋体"/>
          <w:bCs/>
          <w:color w:val="000000"/>
          <w:sz w:val="21"/>
          <w:szCs w:val="21"/>
        </w:rPr>
      </w:r>
      <w:r/>
    </w:p>
    <w:p>
      <w:pPr>
        <w:pStyle w:val="864"/>
        <w:ind w:firstLine="420"/>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4.9乙方在服务过程中应注意自身工作人员及</w:t>
      </w:r>
      <w:r>
        <w:rPr>
          <w:rFonts w:hint="eastAsia" w:ascii="宋体" w:hAnsi="宋体" w:eastAsia="宋体" w:cs="宋体"/>
          <w:bCs/>
          <w:color w:val="000000"/>
          <w:sz w:val="21"/>
          <w:szCs w:val="21"/>
          <w:lang w:val="en-US" w:eastAsia="zh-CN"/>
        </w:rPr>
        <w:t xml:space="preserve">甲方</w:t>
      </w:r>
      <w:r>
        <w:rPr>
          <w:rFonts w:hint="eastAsia" w:ascii="宋体" w:hAnsi="宋体" w:eastAsia="宋体" w:cs="宋体"/>
          <w:bCs/>
          <w:color w:val="000000"/>
          <w:sz w:val="21"/>
          <w:szCs w:val="21"/>
        </w:rPr>
        <w:t xml:space="preserve">人员、其他第三方人员的安全，如因乙方原因造成安全隐患或事故，产生的一切经济损失和法律责任全部由乙方承担。</w:t>
      </w:r>
      <w:r>
        <w:rPr>
          <w:rFonts w:hint="eastAsia" w:ascii="宋体" w:hAnsi="宋体" w:eastAsia="宋体" w:cs="宋体"/>
          <w:bCs/>
          <w:color w:val="000000"/>
          <w:sz w:val="21"/>
          <w:szCs w:val="21"/>
        </w:rPr>
      </w:r>
      <w:r/>
    </w:p>
    <w:p>
      <w:pPr>
        <w:pStyle w:val="864"/>
        <w:ind w:firstLine="420"/>
        <w:keepLines w:val="0"/>
        <w:keepNext w:val="0"/>
        <w:pageBreakBefore w:val="0"/>
        <w:spacing w:line="360" w:lineRule="auto"/>
        <w:rPr>
          <w:rFonts w:hint="eastAsia" w:ascii="宋体" w:hAnsi="宋体" w:eastAsia="宋体" w:cs="宋体"/>
          <w:sz w:val="21"/>
          <w:szCs w:val="21"/>
          <w:lang w:val="zh-TW"/>
        </w:rPr>
      </w:pPr>
      <w:r>
        <w:rPr>
          <w:rFonts w:hint="eastAsia" w:ascii="宋体" w:hAnsi="宋体" w:eastAsia="宋体" w:cs="宋体"/>
          <w:sz w:val="21"/>
          <w:szCs w:val="21"/>
          <w:lang w:val="zh-TW"/>
        </w:rPr>
        <w:t xml:space="preserve">5、考核要求</w:t>
      </w:r>
      <w:r>
        <w:rPr>
          <w:rFonts w:hint="eastAsia" w:ascii="宋体" w:hAnsi="宋体" w:eastAsia="宋体" w:cs="宋体"/>
          <w:sz w:val="21"/>
          <w:szCs w:val="21"/>
          <w:lang w:val="zh-TW"/>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5.1乙方如在合同履行期间履约保证金被扣除，则须在五个工作日内补齐至原始金额，合同结束后不计利息退还。</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5.2乙方未在要求时间段提供饲料的，每次扣除全部履约保证金的百分之十，并承担甲方由此产生的所有损失。</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5.3乙方提供的饲料，在检查过程中被发现短斤少两，第一次发生扣除百分之五全部履约保证金，第二次发生扣除百分之十全部履约保证金,第三次发生终止合同。乙方应当立即补足当日饲料并承担</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由此产生的所有损失。</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乙方提供的饲料中若混有异物、含有毒有害物质或者被有毒有害物质污染，可能对动物健康有害的物质，一经发现，扣除百分之五十全部履约保证金并终止合同，乙方应当立即补足当日饲料并承担甲方由此产生的所有损失。</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5.5乙方供应的饲料质量不合格，甲方坚决退货，乙方需及时补充合格饲料并承担甲方由此产生的所有损失。第一次发生扣除</w:t>
      </w:r>
      <w:r>
        <w:rPr>
          <w:rFonts w:hint="eastAsia" w:ascii="宋体" w:hAnsi="宋体" w:eastAsia="宋体" w:cs="宋体"/>
          <w:color w:val="000000"/>
          <w:sz w:val="21"/>
          <w:szCs w:val="21"/>
          <w:lang w:val="en-US" w:eastAsia="zh-CN"/>
        </w:rPr>
        <w:t xml:space="preserve">乙方</w:t>
      </w:r>
      <w:r>
        <w:rPr>
          <w:rFonts w:hint="eastAsia" w:ascii="宋体" w:hAnsi="宋体" w:eastAsia="宋体" w:cs="宋体"/>
          <w:color w:val="000000"/>
          <w:sz w:val="21"/>
          <w:szCs w:val="21"/>
        </w:rPr>
        <w:t xml:space="preserve">百分之三十全部履约保证金，第二次发生扣除百分之五十全部履约保证金,第三次发生终止合同，剩余履约保证金不退还。</w:t>
      </w:r>
      <w:r>
        <w:rPr>
          <w:rFonts w:hint="eastAsia" w:ascii="宋体" w:hAnsi="宋体" w:eastAsia="宋体" w:cs="宋体"/>
          <w:color w:val="000000"/>
          <w:sz w:val="21"/>
          <w:szCs w:val="21"/>
        </w:rPr>
      </w:r>
      <w:r/>
    </w:p>
    <w:p>
      <w:pPr>
        <w:pStyle w:val="864"/>
        <w:ind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5.6甲方有权要求对随机某一批次的饲料进行检验或邀请第三方检测机构检测。若检验结果合格，检测费用由甲方承担；若检验结果不合格，检测费用由乙方承担。本着对危及动物安全的食品质量问题采取零容忍的态度，一经发现如肉品检测结果中发现瘦肉精等国家明令禁止的物质后，交予司法机关处理。如乙方提供的饲料因质量等问题而使甲方动物发生食物中毒或食源性疾病，乙方将承担全部的民事赔偿责任和其他相应的法律责任,并终止合同，履约保证金不退还。 </w:t>
      </w:r>
      <w:r>
        <w:rPr>
          <w:rFonts w:hint="eastAsia" w:ascii="宋体" w:hAnsi="宋体" w:eastAsia="宋体" w:cs="宋体"/>
          <w:b/>
          <w:color w:val="000000"/>
          <w:sz w:val="21"/>
          <w:szCs w:val="21"/>
        </w:rPr>
      </w:r>
      <w:r/>
    </w:p>
    <w:p>
      <w:pPr>
        <w:pStyle w:val="864"/>
        <w:numPr>
          <w:ilvl w:val="0"/>
          <w:numId w:val="5"/>
        </w:numPr>
        <w:ind w:firstLine="422"/>
        <w:keepLines w:val="0"/>
        <w:keepNext w:val="0"/>
        <w:pageBreakBefore w:val="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价格与支付：</w:t>
      </w:r>
      <w:r>
        <w:rPr>
          <w:rFonts w:hint="eastAsia" w:ascii="宋体" w:hAnsi="宋体" w:eastAsia="宋体" w:cs="宋体"/>
          <w:color w:val="000000"/>
          <w:sz w:val="21"/>
          <w:szCs w:val="21"/>
        </w:rPr>
      </w:r>
      <w:r/>
    </w:p>
    <w:p>
      <w:pPr>
        <w:pStyle w:val="864"/>
        <w:ind w:firstLine="420"/>
        <w:jc w:val="left"/>
        <w:keepLines w:val="0"/>
        <w:keepNext w:val="0"/>
        <w:pageBreakBefore w:val="0"/>
        <w:spacing w:before="280" w:line="360" w:lineRule="auto"/>
        <w:widowControl/>
        <w:rPr>
          <w:rFonts w:hint="eastAsia" w:ascii="宋体" w:hAnsi="宋体" w:eastAsia="宋体" w:cs="宋体"/>
          <w:sz w:val="21"/>
          <w:szCs w:val="21"/>
        </w:rPr>
      </w:pPr>
      <w:r>
        <w:rPr>
          <w:rFonts w:hint="eastAsia" w:ascii="宋体" w:hAnsi="宋体" w:eastAsia="宋体" w:cs="宋体"/>
          <w:bCs/>
          <w:color w:val="000000"/>
          <w:sz w:val="21"/>
          <w:szCs w:val="21"/>
        </w:rPr>
        <w:t xml:space="preserve">1.1合同金额：</w:t>
      </w:r>
      <w:r>
        <w:rPr>
          <w:rFonts w:hint="eastAsia" w:ascii="宋体" w:hAnsi="宋体" w:eastAsia="宋体" w:cs="宋体"/>
          <w:sz w:val="21"/>
          <w:szCs w:val="21"/>
        </w:rPr>
        <w:t xml:space="preserve">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(小写：¥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报价包括但不限于所供全部货物和服务所需的人工、包装、仓储、运至最终目的地的运输、饲料采购费、保险、检测验收、中标服务费、售后服务相关劳务支出等，以及供应商利润、税金、政策性文件规定及合同包含的所有风险、责任等所有相关费用。具体报价清单见附件。</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1.2</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自行考虑投标报价风险，</w:t>
      </w:r>
      <w:r>
        <w:rPr>
          <w:rFonts w:hint="eastAsia" w:ascii="宋体" w:hAnsi="宋体" w:eastAsia="宋体" w:cs="宋体"/>
          <w:sz w:val="21"/>
          <w:szCs w:val="21"/>
          <w:lang w:val="en-US" w:eastAsia="zh-CN"/>
        </w:rPr>
        <w:t xml:space="preserve">乙方</w:t>
      </w:r>
      <w:r>
        <w:rPr>
          <w:rFonts w:hint="eastAsia" w:ascii="宋体" w:hAnsi="宋体" w:eastAsia="宋体" w:cs="宋体"/>
          <w:sz w:val="21"/>
          <w:szCs w:val="21"/>
        </w:rPr>
        <w:t xml:space="preserve">所报</w:t>
      </w:r>
      <w:r>
        <w:rPr>
          <w:rFonts w:hint="eastAsia" w:ascii="宋体" w:hAnsi="宋体" w:eastAsia="宋体" w:cs="宋体"/>
          <w:sz w:val="21"/>
          <w:szCs w:val="21"/>
          <w:shd w:val="clear" w:color="auto" w:fill="ffffff"/>
        </w:rPr>
        <w:t xml:space="preserve">单价不随市场价格的波动而调整，供货期内单价固定不变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bCs/>
          <w:color w:val="000000"/>
          <w:sz w:val="21"/>
          <w:szCs w:val="21"/>
          <w:highlight w:val="none"/>
          <w:lang w:val="en-US" w:eastAsia="zh-CN"/>
        </w:rPr>
        <w:t xml:space="preserve">零星采购饲料，除</w:t>
      </w:r>
      <w:r>
        <w:rPr>
          <w:rFonts w:hint="eastAsia" w:ascii="宋体" w:hAnsi="宋体" w:eastAsia="宋体" w:cs="宋体"/>
          <w:bCs/>
          <w:color w:val="000000"/>
          <w:sz w:val="21"/>
          <w:szCs w:val="21"/>
          <w:highlight w:val="none"/>
        </w:rPr>
        <w:t xml:space="preserve">鲜草采购总价约9.6万</w:t>
      </w:r>
      <w:r>
        <w:rPr>
          <w:rFonts w:hint="eastAsia" w:ascii="宋体" w:hAnsi="宋体" w:cs="宋体"/>
          <w:bCs/>
          <w:color w:val="000000"/>
          <w:sz w:val="21"/>
          <w:szCs w:val="21"/>
          <w:highlight w:val="none"/>
          <w:lang w:val="en-US" w:eastAsia="zh-CN"/>
        </w:rPr>
        <w:t xml:space="preserve">，其他品类</w:t>
      </w:r>
      <w:r>
        <w:rPr>
          <w:rFonts w:hint="eastAsia" w:ascii="宋体" w:hAnsi="宋体" w:eastAsia="宋体" w:cs="宋体"/>
          <w:bCs/>
          <w:color w:val="000000"/>
          <w:sz w:val="21"/>
          <w:szCs w:val="21"/>
          <w:highlight w:val="none"/>
          <w:lang w:val="en-US" w:eastAsia="zh-CN"/>
        </w:rPr>
        <w:t xml:space="preserve">拟定价</w:t>
      </w:r>
      <w:r>
        <w:rPr>
          <w:rFonts w:hint="eastAsia" w:ascii="宋体" w:hAnsi="宋体" w:eastAsia="宋体" w:cs="宋体"/>
          <w:bCs/>
          <w:color w:val="000000"/>
          <w:sz w:val="21"/>
          <w:szCs w:val="21"/>
          <w:highlight w:val="none"/>
          <w:lang w:val="en-US" w:eastAsia="zh-CN"/>
        </w:rPr>
        <w:t xml:space="preserve">按照配送当天苏州价格在线网站发布为准，未涵盖部分饲料通过苏州市南环桥农副产品批发市场至少三方比价获取平均价作为采购价，苏州价格在线网站和南环桥批发市场无法满足采购需求采用网购的，以淘宝搜索网页销量排名前三家报价的平均价格作为供货价进行饲料配送。甲方和乙方确认好的价格任何一方不得随意更改。</w:t>
      </w:r>
      <w:r>
        <w:rPr>
          <w:rFonts w:hint="eastAsia" w:ascii="宋体" w:hAnsi="宋体" w:eastAsia="宋体" w:cs="宋体"/>
          <w:color w:val="000000"/>
          <w:sz w:val="21"/>
          <w:szCs w:val="21"/>
          <w:highlight w:val="none"/>
        </w:rPr>
      </w:r>
      <w:r/>
    </w:p>
    <w:p>
      <w:pPr>
        <w:pStyle w:val="864"/>
        <w:ind w:firstLine="420"/>
        <w:keepLines w:val="0"/>
        <w:keepNext w:val="0"/>
        <w:pageBreakBefore w:val="0"/>
        <w:spacing w:line="360" w:lineRule="auto"/>
        <w:widowControl/>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2</w:t>
      </w:r>
      <w:r>
        <w:rPr>
          <w:rFonts w:hint="eastAsia" w:ascii="宋体" w:hAnsi="宋体" w:eastAsia="宋体" w:cs="宋体"/>
          <w:sz w:val="21"/>
          <w:szCs w:val="21"/>
          <w:highlight w:val="none"/>
          <w:shd w:val="clear" w:color="auto" w:fill="ffffff"/>
          <w:lang w:val="en-US" w:eastAsia="zh-CN"/>
        </w:rPr>
        <w:t xml:space="preserve">.</w:t>
      </w:r>
      <w:r>
        <w:rPr>
          <w:rFonts w:hint="eastAsia" w:ascii="宋体" w:hAnsi="宋体" w:eastAsia="宋体" w:cs="宋体"/>
          <w:sz w:val="21"/>
          <w:szCs w:val="21"/>
          <w:highlight w:val="none"/>
          <w:shd w:val="clear" w:color="auto" w:fill="ffffff"/>
        </w:rPr>
        <w:t xml:space="preserve">付款步骤：</w:t>
      </w:r>
      <w:r>
        <w:rPr>
          <w:rFonts w:hint="eastAsia" w:ascii="宋体" w:hAnsi="宋体" w:eastAsia="宋体" w:cs="宋体"/>
          <w:sz w:val="21"/>
          <w:szCs w:val="21"/>
          <w:highlight w:val="none"/>
          <w:shd w:val="clear" w:color="auto" w:fill="ffffff"/>
        </w:rPr>
      </w:r>
      <w:r/>
    </w:p>
    <w:p>
      <w:pPr>
        <w:pStyle w:val="864"/>
        <w:ind w:firstLine="420"/>
        <w:keepLines w:val="0"/>
        <w:keepNext w:val="0"/>
        <w:pageBreakBefore w:val="0"/>
        <w:spacing w:line="360" w:lineRule="auto"/>
        <w:widowControl/>
        <w:rPr>
          <w:rFonts w:hint="eastAsia" w:ascii="宋体" w:hAnsi="宋体" w:eastAsia="宋体" w:cs="宋体"/>
          <w:color w:val="000000"/>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2.1</w:t>
      </w:r>
      <w:r>
        <w:rPr>
          <w:rFonts w:hint="eastAsia" w:ascii="宋体" w:hAnsi="宋体" w:eastAsia="宋体" w:cs="宋体"/>
          <w:color w:val="000000"/>
          <w:sz w:val="21"/>
          <w:szCs w:val="21"/>
          <w:highlight w:val="none"/>
        </w:rPr>
        <w:t xml:space="preserve">采购货款按实结算</w:t>
      </w:r>
      <w:r>
        <w:rPr>
          <w:rFonts w:hint="eastAsia" w:ascii="宋体" w:hAnsi="宋体" w:eastAsia="宋体" w:cs="宋体"/>
          <w:sz w:val="21"/>
          <w:szCs w:val="21"/>
          <w:highlight w:val="none"/>
          <w:shd w:val="clear" w:color="auto" w:fill="ffffff"/>
        </w:rPr>
        <w:t xml:space="preserve">。由甲乙双方核对后</w:t>
      </w:r>
      <w:r>
        <w:rPr>
          <w:rFonts w:hint="eastAsia" w:ascii="宋体" w:hAnsi="宋体" w:eastAsia="宋体" w:cs="宋体"/>
          <w:sz w:val="21"/>
          <w:szCs w:val="21"/>
          <w:highlight w:val="none"/>
          <w:shd w:val="clear" w:color="auto" w:fill="ffffff"/>
          <w:lang w:val="en-US" w:eastAsia="zh-CN"/>
        </w:rPr>
        <w:t xml:space="preserve">按月度结算</w:t>
      </w:r>
      <w:r>
        <w:rPr>
          <w:rFonts w:hint="eastAsia" w:ascii="宋体" w:hAnsi="宋体" w:eastAsia="宋体" w:cs="宋体"/>
          <w:sz w:val="21"/>
          <w:szCs w:val="21"/>
          <w:highlight w:val="none"/>
          <w:shd w:val="clear" w:color="auto" w:fill="ffffff"/>
          <w:lang w:eastAsia="zh-CN"/>
        </w:rPr>
        <w:t xml:space="preserve">。</w:t>
      </w:r>
      <w:r>
        <w:rPr>
          <w:rFonts w:hint="eastAsia" w:ascii="宋体" w:hAnsi="宋体" w:cs="宋体"/>
          <w:bCs/>
          <w:color w:val="000000"/>
          <w:sz w:val="21"/>
          <w:szCs w:val="21"/>
          <w:highlight w:val="none"/>
        </w:rPr>
        <w:t xml:space="preserve">当月饲料费</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于当月配送结束后60天内</w:t>
      </w:r>
      <w:r>
        <w:rPr>
          <w:rFonts w:hint="eastAsia" w:ascii="宋体" w:hAnsi="宋体" w:cs="宋体"/>
          <w:bCs/>
          <w:color w:val="000000"/>
          <w:sz w:val="21"/>
          <w:szCs w:val="21"/>
          <w:highlight w:val="none"/>
        </w:rPr>
        <w:t xml:space="preserve">支付</w:t>
      </w:r>
      <w:r>
        <w:rPr>
          <w:rFonts w:hint="eastAsia" w:ascii="宋体" w:hAnsi="宋体" w:eastAsia="宋体" w:cs="宋体"/>
          <w:sz w:val="21"/>
          <w:szCs w:val="21"/>
          <w:highlight w:val="none"/>
          <w:shd w:val="clear" w:color="auto" w:fill="ffffff"/>
        </w:rPr>
        <w:t xml:space="preserve">。因年度财政关账工作需要，12 月1日至 10 日之间发生的费用与11 月费用同步结算。12 月 11 日至12月31日之间发生的费用与次年 1 月费用同步结算。</w:t>
      </w:r>
      <w:r>
        <w:rPr>
          <w:rFonts w:hint="eastAsia" w:ascii="宋体" w:hAnsi="宋体" w:eastAsia="宋体" w:cs="宋体"/>
          <w:color w:val="000000"/>
          <w:sz w:val="21"/>
          <w:szCs w:val="21"/>
          <w:highlight w:val="none"/>
          <w:shd w:val="clear" w:color="auto" w:fill="ffffff"/>
        </w:rPr>
        <w:t xml:space="preserve">供货期结</w:t>
      </w:r>
      <w:r>
        <w:rPr>
          <w:rFonts w:hint="eastAsia" w:ascii="宋体" w:hAnsi="宋体" w:eastAsia="宋体" w:cs="宋体"/>
          <w:sz w:val="21"/>
          <w:szCs w:val="21"/>
          <w:highlight w:val="none"/>
          <w:shd w:val="clear" w:color="auto" w:fill="ffffff"/>
        </w:rPr>
        <w:t xml:space="preserve">算总费用不能</w:t>
      </w:r>
      <w:r>
        <w:rPr>
          <w:rFonts w:hint="eastAsia" w:ascii="宋体" w:hAnsi="宋体" w:eastAsia="宋体" w:cs="宋体"/>
          <w:color w:val="000000"/>
          <w:sz w:val="21"/>
          <w:szCs w:val="21"/>
          <w:highlight w:val="none"/>
          <w:shd w:val="clear" w:color="auto" w:fill="ffffff"/>
        </w:rPr>
        <w:t xml:space="preserve">超过</w:t>
      </w:r>
      <w:r>
        <w:rPr>
          <w:rFonts w:hint="eastAsia" w:ascii="宋体" w:hAnsi="宋体" w:eastAsia="宋体" w:cs="宋体"/>
          <w:color w:val="000000"/>
          <w:sz w:val="21"/>
          <w:szCs w:val="21"/>
          <w:highlight w:val="none"/>
          <w:shd w:val="clear" w:color="auto" w:fill="ffffff"/>
          <w:lang w:val="en-US" w:eastAsia="zh-CN"/>
        </w:rPr>
        <w:t xml:space="preserve">预算金额</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rPr>
      </w:r>
      <w:r/>
    </w:p>
    <w:p>
      <w:pPr>
        <w:pStyle w:val="864"/>
        <w:ind w:firstLine="420"/>
        <w:keepLines w:val="0"/>
        <w:keepNext w:val="0"/>
        <w:pageBreakBefore w:val="0"/>
        <w:spacing w:line="360" w:lineRule="auto"/>
        <w:widowControl/>
        <w:rPr>
          <w:rFonts w:ascii="宋体" w:hAnsi="宋体" w:eastAsia="宋体" w:cs="宋体"/>
          <w:color w:val="000000"/>
          <w:sz w:val="21"/>
          <w:szCs w:val="21"/>
          <w:highlight w:val="none"/>
          <w:shd w:val="clear" w:color="auto" w:fill="ffffff"/>
          <w:lang w:val="en-US" w:eastAsia="zh-CN"/>
        </w:rPr>
      </w:pPr>
      <w:r>
        <w:rPr>
          <w:rFonts w:ascii="宋体" w:hAnsi="宋体" w:eastAsia="宋体" w:cs="宋体"/>
          <w:color w:val="000000"/>
          <w:sz w:val="21"/>
          <w:szCs w:val="21"/>
          <w:highlight w:val="none"/>
          <w:shd w:val="clear" w:color="auto" w:fill="ffffff"/>
          <w:lang w:val="en-US" w:eastAsia="zh-CN"/>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2.2乙方应向甲方开具合法有效的发票，按照上述方式结算的采购货款金额即为开票价，已包含肉品、搬运费、运输费和税费等全部费用。甲方在收到乙方开具的发票后及时付款。</w:t>
      </w:r>
      <w:r>
        <w:rPr>
          <w:rFonts w:hint="eastAsia" w:ascii="宋体" w:hAnsi="宋体" w:eastAsia="宋体" w:cs="宋体"/>
          <w:sz w:val="21"/>
          <w:szCs w:val="21"/>
          <w:highlight w:val="none"/>
          <w:shd w:val="clear" w:color="auto" w:fill="ffffff"/>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乙方账户：</w:t>
      </w:r>
      <w:r>
        <w:rPr>
          <w:rFonts w:hint="eastAsia" w:ascii="宋体" w:hAnsi="宋体" w:eastAsia="宋体" w:cs="宋体"/>
          <w:sz w:val="21"/>
          <w:szCs w:val="21"/>
          <w:highlight w:val="none"/>
          <w:shd w:val="clear" w:color="auto" w:fill="ffffff"/>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开户行：</w:t>
      </w:r>
      <w:r>
        <w:rPr>
          <w:rFonts w:hint="eastAsia" w:ascii="宋体" w:hAnsi="宋体" w:eastAsia="宋体" w:cs="宋体"/>
          <w:sz w:val="21"/>
          <w:szCs w:val="21"/>
          <w:highlight w:val="none"/>
          <w:shd w:val="clear" w:color="auto" w:fill="ffffff"/>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账号：</w:t>
      </w:r>
      <w:r>
        <w:rPr>
          <w:rFonts w:hint="eastAsia" w:ascii="宋体" w:hAnsi="宋体" w:eastAsia="宋体" w:cs="宋体"/>
          <w:sz w:val="21"/>
          <w:szCs w:val="21"/>
          <w:highlight w:val="none"/>
          <w:shd w:val="clear" w:color="auto" w:fill="ffffff"/>
        </w:rPr>
      </w:r>
      <w:r/>
    </w:p>
    <w:p>
      <w:pPr>
        <w:pStyle w:val="864"/>
        <w:ind w:firstLine="420"/>
        <w:jc w:val="left"/>
        <w:keepLines w:val="0"/>
        <w:keepNext w:val="0"/>
        <w:pageBreakBefore w:val="0"/>
        <w:spacing w:line="360" w:lineRule="auto"/>
        <w:tabs>
          <w:tab w:val="left" w:pos="3060" w:leader="none"/>
        </w:tabs>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数字人民币账户：</w:t>
      </w:r>
      <w:r>
        <w:rPr>
          <w:rFonts w:hint="eastAsia" w:ascii="宋体" w:hAnsi="宋体" w:eastAsia="宋体" w:cs="宋体"/>
          <w:sz w:val="21"/>
          <w:szCs w:val="21"/>
          <w:highlight w:val="none"/>
          <w:shd w:val="clear" w:color="auto" w:fill="ffffff"/>
        </w:rPr>
      </w:r>
      <w:r/>
    </w:p>
    <w:p>
      <w:pPr>
        <w:pStyle w:val="864"/>
        <w:ind w:right="-153"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四、履约保证金</w:t>
      </w:r>
      <w:r>
        <w:rPr>
          <w:rFonts w:hint="eastAsia" w:ascii="宋体" w:hAnsi="宋体" w:eastAsia="宋体" w:cs="宋体"/>
          <w:b/>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乙方须在中标后三个工作日内向招</w:t>
      </w:r>
      <w:r>
        <w:rPr>
          <w:rFonts w:hint="eastAsia" w:ascii="宋体" w:hAnsi="宋体" w:eastAsia="宋体" w:cs="宋体"/>
          <w:sz w:val="21"/>
          <w:szCs w:val="21"/>
          <w:highlight w:val="none"/>
        </w:rPr>
        <w:t xml:space="preserve">标方交纳10万元作为履约保证金（</w:t>
      </w:r>
      <w:r>
        <w:rPr>
          <w:rFonts w:hint="eastAsia" w:ascii="宋体" w:hAnsi="宋体" w:eastAsia="宋体" w:cs="宋体"/>
          <w:color w:val="000000"/>
          <w:sz w:val="21"/>
          <w:szCs w:val="21"/>
        </w:rPr>
        <w:t xml:space="preserve">履约保证金以支票、汇票、本票、保函、电子</w:t>
      </w:r>
      <w:r>
        <w:rPr>
          <w:rFonts w:hint="eastAsia" w:ascii="宋体" w:hAnsi="宋体" w:eastAsia="宋体" w:cs="宋体"/>
          <w:sz w:val="21"/>
          <w:szCs w:val="21"/>
        </w:rPr>
        <w:t xml:space="preserve">（或电子保函）</w:t>
      </w:r>
      <w:r>
        <w:rPr>
          <w:rFonts w:hint="eastAsia" w:ascii="宋体" w:hAnsi="宋体" w:eastAsia="宋体" w:cs="宋体"/>
          <w:color w:val="000000"/>
          <w:sz w:val="21"/>
          <w:szCs w:val="21"/>
        </w:rPr>
        <w:t xml:space="preserve">等非现金形式缴纳或提交至采购人），否则将视为拒绝与</w:t>
      </w:r>
      <w:r>
        <w:rPr>
          <w:rFonts w:hint="eastAsia" w:ascii="宋体" w:hAnsi="宋体" w:eastAsia="宋体" w:cs="宋体"/>
          <w:color w:val="000000"/>
          <w:sz w:val="21"/>
          <w:szCs w:val="21"/>
          <w:lang w:val="en-US" w:eastAsia="zh-CN"/>
        </w:rPr>
        <w:t xml:space="preserve">甲方</w:t>
      </w:r>
      <w:r>
        <w:rPr>
          <w:rFonts w:hint="eastAsia" w:ascii="宋体" w:hAnsi="宋体" w:eastAsia="宋体" w:cs="宋体"/>
          <w:color w:val="000000"/>
          <w:sz w:val="21"/>
          <w:szCs w:val="21"/>
        </w:rPr>
        <w:t xml:space="preserve">签订合同。</w:t>
      </w:r>
      <w:r>
        <w:rPr>
          <w:rFonts w:hint="eastAsia" w:ascii="宋体" w:hAnsi="宋体" w:eastAsia="宋体" w:cs="宋体"/>
          <w:sz w:val="21"/>
          <w:szCs w:val="21"/>
        </w:rPr>
        <w:t xml:space="preserve">如在合同履行期间保证金被扣除，</w:t>
      </w:r>
      <w:r>
        <w:rPr>
          <w:rFonts w:hint="eastAsia" w:ascii="宋体" w:hAnsi="宋体" w:eastAsia="宋体" w:cs="宋体"/>
          <w:color w:val="000000"/>
          <w:sz w:val="21"/>
          <w:szCs w:val="21"/>
        </w:rPr>
        <w:t xml:space="preserve">则须在五个工作日内补齐至原始金额，合同结束且不存在未结纠纷的，甲方无息退还保证金。合同期内如出现扣除保证金后乙方未能依约及时补足保证金的，则甲方有权以未结货款中的相应金额直接补足保证金,该部分货款视为已经支付。</w:t>
      </w:r>
      <w:r>
        <w:rPr>
          <w:rFonts w:hint="eastAsia" w:ascii="宋体" w:hAnsi="宋体" w:eastAsia="宋体" w:cs="宋体"/>
          <w:color w:val="000000"/>
          <w:sz w:val="21"/>
          <w:szCs w:val="21"/>
        </w:rPr>
      </w:r>
      <w:r/>
    </w:p>
    <w:p>
      <w:pPr>
        <w:pStyle w:val="864"/>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五、违约责任</w:t>
      </w:r>
      <w:r>
        <w:rPr>
          <w:rFonts w:hint="eastAsia" w:ascii="宋体" w:hAnsi="宋体" w:eastAsia="宋体" w:cs="宋体"/>
          <w:b/>
          <w:bCs/>
          <w:color w:val="000000"/>
          <w:sz w:val="21"/>
          <w:szCs w:val="21"/>
        </w:rPr>
      </w:r>
      <w:r/>
    </w:p>
    <w:p>
      <w:pPr>
        <w:pStyle w:val="864"/>
        <w:ind w:firstLine="420"/>
        <w:keepLines w:val="0"/>
        <w:keepNext w:val="0"/>
        <w:pageBreakBefore w:val="0"/>
        <w:spacing w:line="360" w:lineRule="auto"/>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1.甲方违约责任及违约金支付：</w:t>
      </w:r>
      <w:r>
        <w:rPr>
          <w:rFonts w:hint="eastAsia" w:ascii="宋体" w:hAnsi="宋体" w:eastAsia="宋体" w:cs="宋体"/>
          <w:color w:val="000000"/>
          <w:sz w:val="21"/>
          <w:szCs w:val="21"/>
        </w:rPr>
      </w:r>
      <w:r/>
    </w:p>
    <w:p>
      <w:pPr>
        <w:pStyle w:val="864"/>
        <w:ind w:firstLine="420"/>
        <w:keepLines w:val="0"/>
        <w:keepNext w:val="0"/>
        <w:pageBreakBefore w:val="0"/>
        <w:spacing w:line="360" w:lineRule="auto"/>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（1）在合同生效后，甲方无正当理由单方解除合同的，应向乙方偿付合同总价款的5%作为违约金，违约金不足以补偿损失的，乙方有权要求甲方补足，双方协商解决。</w:t>
      </w:r>
      <w:r>
        <w:rPr>
          <w:rFonts w:hint="eastAsia" w:ascii="宋体" w:hAnsi="宋体" w:eastAsia="宋体" w:cs="宋体"/>
          <w:color w:val="000000"/>
          <w:sz w:val="21"/>
          <w:szCs w:val="21"/>
        </w:rPr>
      </w:r>
      <w:r/>
    </w:p>
    <w:p>
      <w:pPr>
        <w:pStyle w:val="864"/>
        <w:ind w:right="-153" w:firstLine="420"/>
        <w:keepLines w:val="0"/>
        <w:keepNext w:val="0"/>
        <w:pageBreakBefore w:val="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（2）甲方逾期付款的应按照逾期付款金额的每天万分之四支付逾期付款违约金。</w:t>
      </w:r>
      <w:r>
        <w:rPr>
          <w:rFonts w:hint="eastAsia" w:ascii="宋体" w:hAnsi="宋体" w:eastAsia="宋体" w:cs="宋体"/>
          <w:color w:val="000000"/>
          <w:sz w:val="21"/>
          <w:szCs w:val="21"/>
        </w:rPr>
      </w:r>
      <w:r/>
    </w:p>
    <w:p>
      <w:pPr>
        <w:pStyle w:val="864"/>
        <w:ind w:firstLine="420"/>
        <w:keepLines w:val="0"/>
        <w:keepNext w:val="0"/>
        <w:pageBreakBefore w:val="0"/>
        <w:spacing w:line="360" w:lineRule="auto"/>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2.乙方违约责任及违约金支付：</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（1）乙方提供饲料的质量和数量不符合甲方要求的，甲方有权退货并提前解除合同，</w:t>
      </w:r>
      <w:r>
        <w:rPr>
          <w:rFonts w:hint="eastAsia" w:ascii="宋体" w:hAnsi="宋体" w:eastAsia="宋体" w:cs="宋体"/>
          <w:color w:val="000000"/>
          <w:sz w:val="21"/>
          <w:szCs w:val="21"/>
          <w:shd w:val="clear" w:color="auto" w:fill="ffffff"/>
        </w:rPr>
        <w:t xml:space="preserve">乙方承担</w:t>
      </w:r>
      <w:r>
        <w:rPr>
          <w:rFonts w:hint="eastAsia" w:ascii="宋体" w:hAnsi="宋体" w:eastAsia="宋体" w:cs="宋体"/>
          <w:color w:val="000000"/>
          <w:sz w:val="21"/>
          <w:szCs w:val="21"/>
        </w:rPr>
        <w:t xml:space="preserve">甲方由此产生的所有损失。如甲方要求继续供货的，乙方还应立即补足同批次饲料。 </w:t>
      </w:r>
      <w:r>
        <w:rPr>
          <w:rFonts w:hint="eastAsia" w:ascii="宋体" w:hAnsi="宋体" w:eastAsia="宋体" w:cs="宋体"/>
          <w:color w:val="000000"/>
          <w:sz w:val="21"/>
          <w:szCs w:val="21"/>
        </w:rPr>
      </w:r>
      <w:r/>
    </w:p>
    <w:p>
      <w:pPr>
        <w:pStyle w:val="864"/>
        <w:ind w:firstLine="420"/>
        <w:keepLines w:val="0"/>
        <w:keepNext w:val="0"/>
        <w:pageBreakBefore w:val="0"/>
        <w:spacing w:line="360" w:lineRule="auto"/>
        <w:tabs>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（2）乙方不能提供服务，或服务不符合本协议约定从而影响甲方按期正常使用的，应向甲方偿付合同总价款5%的违约金，违约金不足以补偿损失的，甲方有权要求乙方补足，双方可协商解决。</w:t>
      </w:r>
      <w:r>
        <w:rPr>
          <w:rFonts w:hint="eastAsia" w:ascii="宋体" w:hAnsi="宋体" w:eastAsia="宋体" w:cs="宋体"/>
          <w:color w:val="000000"/>
          <w:sz w:val="21"/>
          <w:szCs w:val="21"/>
        </w:rPr>
      </w:r>
      <w:r/>
    </w:p>
    <w:p>
      <w:pPr>
        <w:pStyle w:val="864"/>
        <w:ind w:right="-153" w:firstLine="420"/>
        <w:keepLines w:val="0"/>
        <w:keepNext w:val="0"/>
        <w:pageBreakBefore w:val="0"/>
        <w:spacing w:line="360" w:lineRule="auto"/>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（3）乙方逾期提供服务的，应与甲方协商，甲方仍需求的，乙方应立即提供服务并按照逾期服务的每天万分之四支付逾期违约金，同时承担甲方因此遭致的损失费用。</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（4）因乙方提供的服务造成甲方员工人身安全或财产损失的，全部责任由乙方承担。</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（5）合同其他部分约定的违约责任。</w:t>
      </w:r>
      <w:r>
        <w:rPr>
          <w:rFonts w:hint="eastAsia" w:ascii="宋体" w:hAnsi="宋体" w:eastAsia="宋体" w:cs="宋体"/>
          <w:color w:val="000000"/>
          <w:sz w:val="21"/>
          <w:szCs w:val="21"/>
          <w:lang w:val="zh-CN"/>
        </w:rPr>
      </w:r>
      <w:r/>
    </w:p>
    <w:p>
      <w:pPr>
        <w:pStyle w:val="864"/>
        <w:ind w:right="-153"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六、索赔：</w:t>
      </w:r>
      <w:r>
        <w:rPr>
          <w:rFonts w:hint="eastAsia" w:ascii="宋体" w:hAnsi="宋体" w:eastAsia="宋体" w:cs="宋体"/>
          <w:b/>
          <w:color w:val="000000"/>
          <w:sz w:val="21"/>
          <w:szCs w:val="21"/>
        </w:rPr>
      </w:r>
      <w:r/>
    </w:p>
    <w:p>
      <w:pPr>
        <w:pStyle w:val="864"/>
        <w:ind w:right="-153"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如在货物交货、使用过程中，甲方发现货物的品质与合同内容有不符及根据甲方按国家标准或行业标准自己检验的结果或当地市场监督/检验检疫等部门的检验结果，有权向乙方提出索赔，乙方在收到甲方索赔通知后1天内应免费更换有缺陷的货物。如果乙方在收到通知后1天内没有弥补缺陷，甲方可采取必要的补救措施，但风险和费用将由乙方承担，同时甲方对乙方行使的其它权利不受影响。</w:t>
      </w:r>
      <w:r>
        <w:rPr>
          <w:rFonts w:hint="eastAsia" w:ascii="宋体" w:hAnsi="宋体" w:eastAsia="宋体" w:cs="宋体"/>
          <w:color w:val="000000"/>
          <w:sz w:val="21"/>
          <w:szCs w:val="21"/>
        </w:rPr>
      </w:r>
      <w:r/>
    </w:p>
    <w:p>
      <w:pPr>
        <w:pStyle w:val="864"/>
        <w:ind w:right="-153"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2．如经兽医检查诊断确定，因乙方提供的饲料品质问题导致所食动物生病或异样，所有损失全部由乙方承担。 </w:t>
      </w:r>
      <w:r>
        <w:rPr>
          <w:rFonts w:hint="eastAsia" w:ascii="宋体" w:hAnsi="宋体" w:eastAsia="宋体" w:cs="宋体"/>
          <w:b/>
          <w:color w:val="000000"/>
          <w:sz w:val="21"/>
          <w:szCs w:val="21"/>
        </w:rPr>
      </w:r>
      <w:r/>
    </w:p>
    <w:p>
      <w:pPr>
        <w:pStyle w:val="864"/>
        <w:ind w:right="-153"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货物品质不符约定而甲方选择退换货的乙方需承担由此发生的一切风险、损失和费用（包含但不限于甲方直接损失、利息、银行手续费、运费、保险费、仓储费、装卸费以及为保护退回货物所需的其它必要费用）。</w:t>
      </w:r>
      <w:r>
        <w:rPr>
          <w:rFonts w:hint="eastAsia" w:ascii="宋体" w:hAnsi="宋体" w:eastAsia="宋体" w:cs="宋体"/>
          <w:color w:val="000000"/>
          <w:sz w:val="21"/>
          <w:szCs w:val="21"/>
        </w:rPr>
      </w:r>
      <w:r/>
    </w:p>
    <w:p>
      <w:pPr>
        <w:pStyle w:val="864"/>
        <w:ind w:right="-153"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4．如货物有损坏的，根据货物的损坏程度以及甲方遭受损失的数额，经甲乙双方商定降低货物的价格。 </w:t>
      </w:r>
      <w:r>
        <w:rPr>
          <w:rFonts w:hint="eastAsia" w:ascii="宋体" w:hAnsi="宋体" w:eastAsia="宋体" w:cs="宋体"/>
          <w:color w:val="000000"/>
          <w:sz w:val="21"/>
          <w:szCs w:val="21"/>
        </w:rPr>
      </w:r>
      <w:r/>
    </w:p>
    <w:p>
      <w:pPr>
        <w:pStyle w:val="864"/>
        <w:ind w:right="-153"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论甲方选择何种索赔方式，乙方均应承担甲方因索赔而发生的合理费用，包括律师费、公证费、差旅费等等。甲方有权从尚未支付的合同价款中扣除乙方应承担的违约金、赔偿金以及甲方因急需更换有关货物而支付的各种费用。如果这些金额不足以补偿索赔金额，甲方有权向乙方提出对不足部分的补偿。                                           </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b/>
          <w:bCs/>
          <w:color w:val="000000"/>
          <w:sz w:val="21"/>
          <w:szCs w:val="21"/>
        </w:rPr>
        <w:t xml:space="preserve"> 七、争议解决办法</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因本合同或与本合同有关的一切事项发生争议，由双方友好协商解决。协商不成的，应向甲方所在地有管辖权的人民法院起诉。</w:t>
      </w:r>
      <w:r>
        <w:rPr>
          <w:rFonts w:hint="eastAsia" w:ascii="宋体" w:hAnsi="宋体" w:eastAsia="宋体" w:cs="宋体"/>
          <w:color w:val="000000"/>
          <w:sz w:val="21"/>
          <w:szCs w:val="21"/>
        </w:rPr>
      </w:r>
      <w:r/>
    </w:p>
    <w:p>
      <w:pPr>
        <w:pStyle w:val="864"/>
        <w:ind w:left="482"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八、合同生效</w:t>
      </w:r>
      <w:r>
        <w:rPr>
          <w:rFonts w:hint="eastAsia" w:ascii="宋体" w:hAnsi="宋体" w:eastAsia="宋体" w:cs="宋体"/>
          <w:b/>
          <w:bCs/>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本合同经双方法定（授权）代表人签字（或盖章）</w:t>
      </w:r>
      <w:r>
        <w:rPr>
          <w:rFonts w:hint="eastAsia" w:ascii="宋体" w:hAnsi="宋体" w:eastAsia="宋体" w:cs="宋体"/>
          <w:color w:val="000000"/>
          <w:sz w:val="21"/>
          <w:szCs w:val="21"/>
        </w:rPr>
        <w:t xml:space="preserve">并</w:t>
      </w:r>
      <w:r>
        <w:rPr>
          <w:rFonts w:hint="eastAsia" w:ascii="宋体" w:hAnsi="宋体" w:eastAsia="宋体" w:cs="宋体"/>
          <w:color w:val="000000"/>
          <w:sz w:val="21"/>
          <w:szCs w:val="21"/>
        </w:rPr>
        <w:t xml:space="preserve">盖单位公章后生效。</w:t>
      </w:r>
      <w:r>
        <w:rPr>
          <w:rFonts w:hint="eastAsia" w:ascii="宋体" w:hAnsi="宋体" w:eastAsia="宋体" w:cs="宋体"/>
          <w:color w:val="000000"/>
          <w:sz w:val="21"/>
          <w:szCs w:val="21"/>
        </w:rPr>
      </w:r>
      <w:r/>
    </w:p>
    <w:p>
      <w:pPr>
        <w:pStyle w:val="864"/>
        <w:ind w:firstLine="420"/>
        <w:keepLines w:val="0"/>
        <w:keepNext w:val="0"/>
        <w:pageBreakBefore w:val="0"/>
        <w:spacing w:line="360" w:lineRule="auto"/>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采购合同需在合同签订后2个工作日内</w:t>
      </w:r>
      <w:r>
        <w:rPr>
          <w:rFonts w:hint="eastAsia" w:ascii="宋体" w:hAnsi="宋体" w:eastAsia="宋体" w:cs="宋体"/>
          <w:color w:val="000000"/>
          <w:sz w:val="21"/>
          <w:szCs w:val="21"/>
          <w:lang w:val="en-US" w:eastAsia="zh-CN"/>
        </w:rPr>
        <w:t xml:space="preserve">在</w:t>
      </w:r>
      <w:r>
        <w:rPr>
          <w:rFonts w:hint="eastAsia" w:ascii="宋体" w:hAnsi="宋体" w:eastAsia="宋体" w:cs="宋体"/>
          <w:color w:val="000000"/>
          <w:sz w:val="21"/>
          <w:szCs w:val="21"/>
        </w:rPr>
        <w:t xml:space="preserve">苏采云系统网上公示。</w:t>
      </w:r>
      <w:r>
        <w:rPr>
          <w:rFonts w:hint="eastAsia" w:ascii="宋体" w:hAnsi="宋体" w:eastAsia="宋体" w:cs="宋体"/>
          <w:color w:val="000000"/>
          <w:sz w:val="21"/>
          <w:szCs w:val="21"/>
        </w:rPr>
      </w:r>
      <w:r/>
    </w:p>
    <w:p>
      <w:pPr>
        <w:pStyle w:val="864"/>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九、附则</w:t>
      </w:r>
      <w:r>
        <w:rPr>
          <w:rFonts w:hint="eastAsia" w:ascii="宋体" w:hAnsi="宋体" w:eastAsia="宋体" w:cs="宋体"/>
          <w:b/>
          <w:bCs/>
          <w:color w:val="000000"/>
          <w:sz w:val="21"/>
          <w:szCs w:val="21"/>
        </w:rPr>
      </w:r>
      <w:r/>
    </w:p>
    <w:p>
      <w:pPr>
        <w:pStyle w:val="864"/>
        <w:ind w:left="105"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本合同一式</w:t>
      </w:r>
      <w:r>
        <w:rPr>
          <w:rFonts w:hint="eastAsia" w:ascii="宋体" w:hAnsi="宋体" w:eastAsia="宋体" w:cs="宋体"/>
          <w:color w:val="000000"/>
          <w:sz w:val="21"/>
          <w:szCs w:val="21"/>
          <w:u w:val="single"/>
        </w:rPr>
        <w:t xml:space="preserve"> 肆 </w:t>
      </w:r>
      <w:r>
        <w:rPr>
          <w:rFonts w:hint="eastAsia" w:ascii="宋体" w:hAnsi="宋体" w:eastAsia="宋体" w:cs="宋体"/>
          <w:color w:val="000000"/>
          <w:sz w:val="21"/>
          <w:szCs w:val="21"/>
        </w:rPr>
        <w:t xml:space="preserve">份，甲方、乙方各执</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贰</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份，</w:t>
      </w:r>
      <w:r>
        <w:rPr>
          <w:rFonts w:hint="eastAsia" w:ascii="宋体" w:hAnsi="宋体" w:eastAsia="宋体" w:cs="宋体"/>
          <w:sz w:val="21"/>
          <w:szCs w:val="21"/>
        </w:rPr>
        <w:t xml:space="preserve">各份具有同等法律效力。</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2、本合同未尽事宜应按《中华人民共和国民法典》、《</w:t>
      </w:r>
      <w:r>
        <w:rPr>
          <w:rFonts w:hint="eastAsia" w:ascii="宋体" w:hAnsi="宋体" w:eastAsia="宋体" w:cs="宋体"/>
          <w:color w:val="000000"/>
          <w:sz w:val="21"/>
          <w:szCs w:val="21"/>
        </w:rPr>
        <w:t xml:space="preserve">中华人民共和国政府采购法》</w:t>
      </w:r>
      <w:r>
        <w:rPr>
          <w:rFonts w:hint="eastAsia" w:ascii="宋体" w:hAnsi="宋体" w:eastAsia="宋体" w:cs="宋体"/>
          <w:sz w:val="21"/>
          <w:szCs w:val="21"/>
        </w:rPr>
        <w:t xml:space="preserve">以及其它相关法律、法规之规定解释，在执行过程中双方在不违背本合同和招标文件的原则下协商解决，协商结果以书面形式盖章记录在案，作为本合同的附件，与本合同具有同等效力。</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备注：合同条款内容将根据中标单位承诺的实际服务内容进行调整。</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甲方：</w:t>
      </w:r>
      <w:r>
        <w:rPr>
          <w:rFonts w:hint="eastAsia" w:ascii="宋体" w:hAnsi="宋体" w:eastAsia="宋体" w:cs="宋体"/>
          <w:sz w:val="21"/>
          <w:szCs w:val="21"/>
        </w:rPr>
        <w:t xml:space="preserve">  </w:t>
      </w:r>
      <w:r>
        <w:rPr>
          <w:rFonts w:hint="eastAsia" w:ascii="宋体" w:hAnsi="宋体" w:eastAsia="宋体" w:cs="宋体"/>
          <w:b/>
          <w:sz w:val="21"/>
          <w:szCs w:val="21"/>
        </w:rPr>
        <w:t xml:space="preserve">                                     </w:t>
      </w:r>
      <w:r>
        <w:rPr>
          <w:rFonts w:hint="eastAsia" w:ascii="宋体" w:hAnsi="宋体" w:eastAsia="宋体" w:cs="宋体"/>
          <w:sz w:val="21"/>
          <w:szCs w:val="21"/>
          <w:lang w:val="zh-CN"/>
        </w:rPr>
        <w:t xml:space="preserve">乙方： </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（加盖公章或合同专用章）                    （加盖公章或合同专用章）</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法定（</w:t>
      </w:r>
      <w:r>
        <w:rPr>
          <w:rFonts w:hint="eastAsia" w:ascii="宋体" w:hAnsi="宋体" w:eastAsia="宋体" w:cs="宋体"/>
          <w:sz w:val="21"/>
          <w:szCs w:val="21"/>
          <w:lang w:val="en-US" w:eastAsia="zh-CN"/>
        </w:rPr>
        <w:t xml:space="preserve">授权）</w:t>
      </w:r>
      <w:r>
        <w:rPr>
          <w:rFonts w:hint="eastAsia" w:ascii="宋体" w:hAnsi="宋体" w:eastAsia="宋体" w:cs="宋体"/>
          <w:sz w:val="21"/>
          <w:szCs w:val="21"/>
          <w:lang w:val="zh-CN"/>
        </w:rPr>
        <w:t xml:space="preserve">代表人签字或签章：               法定（</w:t>
      </w:r>
      <w:r>
        <w:rPr>
          <w:rFonts w:hint="eastAsia" w:ascii="宋体" w:hAnsi="宋体" w:eastAsia="宋体" w:cs="宋体"/>
          <w:sz w:val="21"/>
          <w:szCs w:val="21"/>
          <w:lang w:val="en-US" w:eastAsia="zh-CN"/>
        </w:rPr>
        <w:t xml:space="preserve">授权）</w:t>
      </w:r>
      <w:r>
        <w:rPr>
          <w:rFonts w:hint="eastAsia" w:ascii="宋体" w:hAnsi="宋体" w:eastAsia="宋体" w:cs="宋体"/>
          <w:sz w:val="21"/>
          <w:szCs w:val="21"/>
          <w:lang w:val="zh-CN"/>
        </w:rPr>
        <w:t xml:space="preserve">代表人签字或签章：  </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签约日期：   年  月   日                       签约日期：  年  月    日</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                                            </w:t>
      </w:r>
      <w:r>
        <w:rPr>
          <w:rFonts w:hint="eastAsia" w:ascii="宋体" w:hAnsi="宋体" w:eastAsia="宋体" w:cs="宋体"/>
          <w:sz w:val="21"/>
          <w:szCs w:val="21"/>
        </w:rPr>
      </w:r>
      <w:r/>
    </w:p>
    <w:p>
      <w:pPr>
        <w:pStyle w:val="864"/>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合同签订地：苏州市</w:t>
      </w:r>
      <w:r>
        <w:rPr>
          <w:rFonts w:hint="eastAsia" w:ascii="宋体" w:hAnsi="宋体" w:eastAsia="宋体" w:cs="宋体"/>
          <w:sz w:val="21"/>
          <w:szCs w:val="21"/>
        </w:rPr>
      </w:r>
      <w:r/>
    </w:p>
    <w:p>
      <w:pPr>
        <w:pStyle w:val="864"/>
        <w:ind w:left="425" w:hanging="426"/>
        <w:spacing w:line="360" w:lineRule="auto"/>
        <w:tabs>
          <w:tab w:val="left" w:pos="2700" w:leader="none"/>
        </w:tabs>
        <w:rPr>
          <w:rFonts w:hint="eastAsia" w:ascii="宋体" w:hAnsi="宋体" w:cs="宋体"/>
          <w:b/>
          <w:bCs/>
          <w:sz w:val="24"/>
          <w:u w:val="none"/>
          <w:lang w:val="en-US" w:eastAsia="zh-CN"/>
        </w:rPr>
      </w:pPr>
      <w:r>
        <w:rPr>
          <w:rFonts w:hint="eastAsia" w:ascii="宋体" w:hAnsi="宋体" w:cs="宋体"/>
          <w:b/>
          <w:bCs/>
          <w:sz w:val="24"/>
          <w:u w:val="none"/>
          <w:lang w:val="en-US" w:eastAsia="zh-CN"/>
        </w:rPr>
      </w:r>
      <w:r/>
    </w:p>
    <w:p>
      <w:pPr>
        <w:pStyle w:val="864"/>
        <w:ind w:left="426" w:hanging="2"/>
        <w:spacing w:line="360" w:lineRule="auto"/>
        <w:tabs>
          <w:tab w:val="left" w:pos="2700" w:leader="none"/>
        </w:tabs>
        <w:rPr>
          <w:rFonts w:hint="eastAsia" w:ascii="宋体" w:hAnsi="宋体" w:cs="宋体"/>
          <w:b/>
          <w:bCs/>
          <w:sz w:val="24"/>
          <w:u w:val="none"/>
          <w:lang w:val="en-US" w:eastAsia="zh-CN"/>
        </w:rPr>
      </w:pPr>
      <w:r>
        <w:rPr>
          <w:rFonts w:hint="eastAsia" w:ascii="宋体" w:hAnsi="宋体" w:cs="宋体"/>
          <w:b/>
          <w:bCs/>
          <w:sz w:val="24"/>
          <w:u w:val="none"/>
          <w:lang w:val="en-US" w:eastAsia="zh-CN"/>
        </w:rPr>
      </w:r>
      <w:r/>
    </w:p>
    <w:p>
      <w:pPr>
        <w:pStyle w:val="864"/>
        <w:ind w:left="426" w:hanging="2"/>
        <w:spacing w:line="360" w:lineRule="auto"/>
        <w:tabs>
          <w:tab w:val="left" w:pos="2700" w:leader="none"/>
        </w:tabs>
        <w:rPr>
          <w:rFonts w:hint="eastAsia" w:ascii="宋体" w:hAnsi="宋体" w:cs="宋体"/>
          <w:b/>
          <w:bCs/>
          <w:sz w:val="24"/>
          <w:u w:val="none"/>
          <w:lang w:val="en-US" w:eastAsia="zh-CN"/>
        </w:rPr>
      </w:pPr>
      <w:r>
        <w:rPr>
          <w:rFonts w:hint="eastAsia" w:ascii="宋体" w:hAnsi="宋体" w:cs="宋体"/>
          <w:b/>
          <w:bCs/>
          <w:sz w:val="24"/>
          <w:u w:val="none"/>
          <w:lang w:val="en-US" w:eastAsia="zh-CN"/>
        </w:rPr>
      </w:r>
      <w:r/>
    </w:p>
    <w:p>
      <w:pPr>
        <w:pStyle w:val="864"/>
        <w:ind w:left="426" w:hanging="2"/>
        <w:spacing w:line="360" w:lineRule="auto"/>
        <w:tabs>
          <w:tab w:val="left" w:pos="2700" w:leader="none"/>
        </w:tabs>
        <w:rPr>
          <w:rFonts w:hint="eastAsia" w:ascii="宋体" w:hAnsi="宋体" w:cs="宋体"/>
          <w:b/>
          <w:bCs/>
          <w:sz w:val="24"/>
          <w:u w:val="none"/>
          <w:lang w:val="en-US" w:eastAsia="zh-CN"/>
        </w:rPr>
      </w:pPr>
      <w:r>
        <w:rPr>
          <w:rFonts w:hint="eastAsia" w:ascii="宋体" w:hAnsi="宋体" w:cs="宋体"/>
          <w:b/>
          <w:bCs/>
          <w:sz w:val="24"/>
          <w:u w:val="none"/>
          <w:lang w:val="en-US" w:eastAsia="zh-CN"/>
        </w:rPr>
      </w:r>
      <w:r/>
    </w:p>
    <w:p>
      <w:pPr>
        <w:pStyle w:val="864"/>
        <w:spacing w:line="360" w:lineRule="auto"/>
        <w:tabs>
          <w:tab w:val="left" w:pos="2700" w:leader="none"/>
        </w:tabs>
        <w:rPr>
          <w:rFonts w:hint="eastAsia" w:ascii="宋体" w:hAnsi="宋体" w:cs="宋体"/>
          <w:b/>
          <w:bCs/>
          <w:sz w:val="24"/>
          <w:u w:val="none"/>
          <w:lang w:val="en-US" w:eastAsia="zh-CN"/>
        </w:rPr>
      </w:pPr>
      <w:r>
        <w:rPr>
          <w:rFonts w:hint="eastAsia" w:ascii="宋体" w:hAnsi="宋体" w:cs="宋体"/>
          <w:b/>
          <w:bCs/>
          <w:sz w:val="24"/>
          <w:u w:val="none"/>
          <w:lang w:val="en-US" w:eastAsia="zh-CN"/>
        </w:rPr>
        <w:t xml:space="preserve">附件：报价明细表</w:t>
      </w:r>
      <w:r>
        <w:rPr>
          <w:rFonts w:hint="eastAsia" w:ascii="宋体" w:hAnsi="宋体" w:cs="宋体"/>
          <w:b/>
          <w:bCs/>
          <w:sz w:val="24"/>
          <w:u w:val="none"/>
          <w:lang w:val="en-US" w:eastAsia="zh-CN"/>
        </w:rPr>
      </w:r>
      <w:r/>
    </w:p>
    <w:p>
      <w:pPr>
        <w:pStyle w:val="864"/>
        <w:ind w:left="426" w:hanging="2"/>
        <w:jc w:val="center"/>
        <w:spacing w:line="360" w:lineRule="auto"/>
        <w:tabs>
          <w:tab w:val="left" w:pos="2700" w:leader="none"/>
        </w:tabs>
        <w:rPr>
          <w:rFonts w:ascii="宋体" w:hAnsi="宋体" w:cs="宋体"/>
          <w:b/>
          <w:bCs/>
          <w:sz w:val="24"/>
          <w:u w:val="none"/>
          <w:lang w:val="en-US" w:eastAsia="zh-CN"/>
        </w:rPr>
      </w:pPr>
      <w:r>
        <w:rPr>
          <w:rFonts w:hint="eastAsia" w:ascii="宋体" w:hAnsi="宋体" w:cs="宋体"/>
          <w:b/>
          <w:bCs/>
          <w:sz w:val="24"/>
          <w:u w:val="none"/>
          <w:lang w:val="en-US" w:eastAsia="zh-CN"/>
        </w:rPr>
        <w:br w:type="page" w:clear="all"/>
      </w:r>
      <w:r>
        <w:rPr>
          <w:rFonts w:hint="eastAsia" w:ascii="宋体" w:hAnsi="宋体" w:cs="宋体"/>
          <w:b/>
          <w:bCs/>
          <w:sz w:val="24"/>
          <w:u w:val="none"/>
          <w:lang w:val="en-US" w:eastAsia="zh-CN"/>
        </w:rPr>
        <w:t xml:space="preserve">乙方报价明细表</w:t>
      </w:r>
      <w:r>
        <w:rPr>
          <w:rFonts w:ascii="宋体" w:hAnsi="宋体" w:cs="宋体"/>
          <w:b/>
          <w:bCs/>
          <w:sz w:val="24"/>
          <w:u w:val="none"/>
          <w:lang w:val="en-US" w:eastAsia="zh-CN"/>
        </w:rPr>
      </w:r>
      <w:r/>
    </w:p>
    <w:tbl>
      <w:tblPr>
        <w:tblW w:w="9627" w:type="dxa"/>
        <w:tblInd w:w="-108" w:type="dxa"/>
        <w:tblLayout w:type="fixed"/>
        <w:tblCellMar>
          <w:left w:w="108" w:type="dxa"/>
          <w:top w:w="0" w:type="dxa"/>
          <w:right w:w="108" w:type="dxa"/>
          <w:bottom w:w="0" w:type="dxa"/>
        </w:tblCellMar>
        <w:tblLook w:val="04A0" w:firstRow="1" w:lastRow="0" w:firstColumn="1" w:lastColumn="0" w:noHBand="0" w:noVBand="1"/>
      </w:tblPr>
      <w:tblGrid>
        <w:gridCol w:w="885"/>
        <w:gridCol w:w="1934"/>
        <w:gridCol w:w="674"/>
        <w:gridCol w:w="1480"/>
        <w:gridCol w:w="1221"/>
        <w:gridCol w:w="1480"/>
        <w:gridCol w:w="1953"/>
      </w:tblGrid>
      <w:tr>
        <w:trPr>
          <w:trHeight w:val="540"/>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rPr>
                <w:rFonts w:hint="eastAsia" w:ascii="宋体" w:hAnsi="宋体" w:eastAsia="宋体" w:cs="宋体"/>
                <w:bCs/>
                <w:color w:val="000000"/>
                <w:sz w:val="21"/>
                <w:szCs w:val="21"/>
              </w:rPr>
            </w:r>
            <w:r/>
          </w:p>
        </w:tc>
        <w:tc>
          <w:tcPr>
            <w:tcBorders>
              <w:top w:val="single" w:color="000000" w:sz="4" w:space="0"/>
              <w:left w:val="none" w:color="000000" w:sz="4" w:space="0"/>
              <w:bottom w:val="none" w:color="000000" w:sz="4" w:space="0"/>
              <w:right w:val="single" w:color="000000" w:sz="4" w:space="0"/>
            </w:tcBorders>
            <w:tcW w:w="193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饲料种类</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widowControl/>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单价（元）</w:t>
            </w:r>
            <w:r>
              <w:rPr>
                <w:rFonts w:ascii="宋体" w:hAnsi="宋体" w:eastAsia="宋体" w:cs="宋体"/>
                <w:bCs/>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合价（元）</w:t>
            </w:r>
            <w:r>
              <w:rPr>
                <w:rFonts w:ascii="宋体" w:hAnsi="宋体" w:eastAsia="宋体" w:cs="宋体"/>
                <w:bCs/>
                <w:color w:val="000000"/>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规格或要求</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新鲜牛后腿肉</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44,556.60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冷冻牛霖</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21,464.81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冷冻带脖鸡架</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21,440.00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冷冻肉兔</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10,778.00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新鲜猪排</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8,513.00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整块，不切小</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highlight w:val="green"/>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新鲜羊肉</w:t>
            </w: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green"/>
              </w:rPr>
              <w:suppressLineNumbers w:val="0"/>
            </w:pPr>
            <w:r>
              <w:rPr>
                <w:rFonts w:hint="eastAsia" w:ascii="宋体" w:hAnsi="宋体" w:eastAsia="宋体" w:cs="宋体"/>
                <w:i w:val="0"/>
                <w:iCs w:val="0"/>
                <w:color w:val="000000"/>
                <w:sz w:val="21"/>
                <w:szCs w:val="21"/>
                <w:u w:val="none"/>
                <w:lang w:val="en-US" w:eastAsia="zh-CN" w:bidi="ar"/>
              </w:rPr>
              <w:t xml:space="preserve"> 3,434.20 </w:t>
            </w: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green"/>
              </w:rPr>
              <w:suppressLineNumbers w:val="0"/>
            </w:pP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三黄鸡</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8,160.00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每只3-4斤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猪后腿肉</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465.00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包菜</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大白菜</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鸡毛菜</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13,400.00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红薯</w:t>
            </w:r>
            <w:r>
              <w:rPr>
                <w:rFonts w:hint="eastAsia" w:ascii="宋体" w:hAnsi="宋体" w:eastAsia="宋体" w:cs="宋体"/>
                <w:bCs/>
                <w:color w:val="000000"/>
                <w:sz w:val="21"/>
                <w:szCs w:val="21"/>
              </w:rPr>
            </w:r>
            <w:r/>
          </w:p>
        </w:tc>
        <w:tc>
          <w:tcPr>
            <w:tcBorders>
              <w:top w:val="none" w:color="000000" w:sz="4" w:space="0"/>
              <w:left w:val="none" w:color="000000" w:sz="4" w:space="0"/>
              <w:bottom w:val="none" w:color="000000" w:sz="4" w:space="0"/>
              <w:right w:val="single" w:color="000000" w:sz="4" w:space="0"/>
            </w:tcBorders>
            <w:tcW w:w="674"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干净无泥，单个0.7-1斤左右</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南瓜</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单个约8斤</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胡萝卜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24,000.00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val="false"/>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单根150g-350g，长度不超过20cm，粗细不超过4.5cm</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黄瓜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单根长度25-30cm</w:t>
            </w:r>
            <w:r>
              <w:rPr>
                <w:rFonts w:hint="eastAsia" w:ascii="宋体" w:hAnsi="宋体" w:eastAsia="宋体" w:cs="宋体"/>
                <w:bCs/>
                <w:color w:val="000000"/>
                <w:sz w:val="21"/>
                <w:szCs w:val="21"/>
              </w:rPr>
            </w:r>
            <w:r/>
          </w:p>
        </w:tc>
      </w:tr>
      <w:tr>
        <w:trPr>
          <w:trHeight w:val="1021"/>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val="false"/>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去皮水果玉米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3,600.00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单根350-400g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西红柿</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单个150-200g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圣女果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洋葱</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红洋葱</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油麦菜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苦瓜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丝瓜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红薯叶</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茄子</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大蒜头</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白心火龙果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1,600.00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单果500-550g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梨</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单果约350g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猕猴桃</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苹果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40,840.00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单果直径75-80mm</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葡萄</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370.00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14,000.00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33</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香蕉</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6,437.80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单根150-200g</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柚子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草莓</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芒果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135.00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菠萝</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210.00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哈密瓜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单个约5斤</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甜瓜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桃子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樱桃</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10.00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none"/>
              </w:rPr>
              <w:t xml:space="preserve">42</w:t>
            </w:r>
            <w:r>
              <w:rPr>
                <w:rFonts w:hint="eastAsia" w:ascii="宋体" w:hAnsi="宋体" w:eastAsia="宋体" w:cs="宋体"/>
                <w:bCs/>
                <w:color w:val="000000"/>
                <w:sz w:val="21"/>
                <w:szCs w:val="21"/>
                <w:highlight w:val="green"/>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黄桃</w:t>
            </w:r>
            <w:r>
              <w:rPr>
                <w:rFonts w:hint="eastAsia" w:ascii="宋体" w:hAnsi="宋体" w:eastAsia="宋体" w:cs="宋体"/>
                <w:bCs/>
                <w:color w:val="000000"/>
                <w:sz w:val="21"/>
                <w:szCs w:val="21"/>
                <w:highlight w:val="green"/>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green"/>
              </w:rPr>
              <w:suppressLineNumbers w:val="0"/>
            </w:pPr>
            <w:r>
              <w:rPr>
                <w:rFonts w:hint="eastAsia" w:ascii="宋体" w:hAnsi="宋体" w:eastAsia="宋体" w:cs="宋体"/>
                <w:i w:val="0"/>
                <w:iCs w:val="0"/>
                <w:color w:val="000000"/>
                <w:sz w:val="21"/>
                <w:szCs w:val="21"/>
                <w:u w:val="none"/>
                <w:lang w:val="en-US" w:eastAsia="zh-CN" w:bidi="ar"/>
              </w:rPr>
              <w:t xml:space="preserve"> 60.00 </w:t>
            </w: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green"/>
              </w:rPr>
              <w:suppressLineNumbers w:val="0"/>
            </w:pP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水蜜桃</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黑布林</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橘子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石榴</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柿子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160.00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西梅</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青提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金桔</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蓝莓</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盒</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125g/盒</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鲜山楂</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30.00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none"/>
              </w:rPr>
              <w:t xml:space="preserve">53</w:t>
            </w:r>
            <w:r>
              <w:rPr>
                <w:rFonts w:hint="eastAsia" w:ascii="宋体" w:hAnsi="宋体" w:eastAsia="宋体" w:cs="宋体"/>
                <w:bCs/>
                <w:color w:val="000000"/>
                <w:sz w:val="21"/>
                <w:szCs w:val="21"/>
                <w:highlight w:val="green"/>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菠萝蜜肉</w:t>
            </w:r>
            <w:r>
              <w:rPr>
                <w:rFonts w:hint="eastAsia" w:ascii="宋体" w:hAnsi="宋体" w:eastAsia="宋体" w:cs="宋体"/>
                <w:bCs/>
                <w:color w:val="000000"/>
                <w:sz w:val="21"/>
                <w:szCs w:val="21"/>
                <w:highlight w:val="green"/>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green"/>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green"/>
              </w:rPr>
              <w:suppressLineNumbers w:val="0"/>
            </w:pP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橙子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55</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甘蔗</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根</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230.00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单根长度不少于2.5米</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红提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莴笋叶</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干净，无杂物</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西芹</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青圆椒</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西蓝花</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毛豆夹</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土豆</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藕</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茼蒿</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扁蒲</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鲜活小鲫鱼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每条长度6-8cm</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鲜活鲫鱼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每条200-250g（宰杀前）</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鲜活草鱼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每条约7斤（宰杀前）</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鲜活泥鳅</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基围虾</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鲜活，1斤约30-35只</w:t>
            </w:r>
            <w:r>
              <w:rPr>
                <w:rFonts w:hint="eastAsia" w:ascii="宋体" w:hAnsi="宋体" w:eastAsia="宋体" w:cs="宋体"/>
                <w:bCs/>
                <w:color w:val="000000"/>
                <w:sz w:val="21"/>
                <w:szCs w:val="21"/>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71</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龙虾</w:t>
            </w:r>
            <w:r>
              <w:rPr>
                <w:rFonts w:hint="eastAsia" w:ascii="宋体" w:hAnsi="宋体" w:eastAsia="宋体" w:cs="宋体"/>
                <w:bCs/>
                <w:color w:val="000000"/>
                <w:sz w:val="21"/>
                <w:szCs w:val="21"/>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鲜活，单只4-6钱</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黄豆</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黑豆</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玉米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12,550.00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碎米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稻谷</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香瓜子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生，大</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花生米</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2,800.00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生，白皮</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花生</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生，带壳</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火麻仁</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600.00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r>
      <w:tr>
        <w:trPr>
          <w:trHeight w:val="454"/>
        </w:trPr>
        <w:tc>
          <w:tcPr>
            <w:tcBorders>
              <w:top w:val="singl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none"/>
              </w:rPr>
              <w:t xml:space="preserve">83</w:t>
            </w:r>
            <w:r>
              <w:rPr>
                <w:rFonts w:hint="eastAsia" w:ascii="宋体" w:hAnsi="宋体" w:eastAsia="宋体" w:cs="宋体"/>
                <w:bCs/>
                <w:color w:val="000000"/>
                <w:sz w:val="21"/>
                <w:szCs w:val="21"/>
                <w:highlight w:val="green"/>
              </w:rPr>
            </w:r>
            <w:r/>
          </w:p>
        </w:tc>
        <w:tc>
          <w:tcPr>
            <w:tcBorders>
              <w:top w:val="singl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麸皮</w:t>
            </w:r>
            <w:r>
              <w:rPr>
                <w:rFonts w:hint="eastAsia" w:ascii="宋体" w:hAnsi="宋体" w:eastAsia="宋体" w:cs="宋体"/>
                <w:bCs/>
                <w:color w:val="000000"/>
                <w:sz w:val="21"/>
                <w:szCs w:val="21"/>
                <w:highlight w:val="green"/>
              </w:rPr>
            </w:r>
            <w:r/>
          </w:p>
        </w:tc>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highlight w:val="green"/>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green"/>
              </w:rPr>
              <w:suppressLineNumbers w:val="0"/>
            </w:pPr>
            <w:r>
              <w:rPr>
                <w:rFonts w:hint="eastAsia" w:ascii="宋体" w:hAnsi="宋体" w:eastAsia="宋体" w:cs="宋体"/>
                <w:i w:val="0"/>
                <w:iCs w:val="0"/>
                <w:color w:val="000000"/>
                <w:sz w:val="21"/>
                <w:szCs w:val="21"/>
                <w:u w:val="none"/>
                <w:lang w:val="en-US" w:eastAsia="zh-CN" w:bidi="ar"/>
              </w:rPr>
              <w:t xml:space="preserve"> 500.00 </w:t>
            </w:r>
            <w:r>
              <w:rPr>
                <w:rFonts w:hint="eastAsia" w:ascii="宋体" w:hAnsi="宋体" w:eastAsia="宋体" w:cs="宋体"/>
                <w:bCs/>
                <w:color w:val="000000"/>
                <w:sz w:val="21"/>
                <w:szCs w:val="21"/>
                <w:highlight w:val="green"/>
              </w:rPr>
            </w:r>
            <w:r/>
          </w:p>
        </w:tc>
        <w:tc>
          <w:tcPr>
            <w:tcBorders>
              <w:top w:val="singl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green"/>
              </w:rPr>
              <w:suppressLineNumbers w:val="0"/>
            </w:pPr>
            <w:r>
              <w:rPr>
                <w:rFonts w:hint="eastAsia" w:ascii="宋体" w:hAnsi="宋体" w:eastAsia="宋体" w:cs="宋体"/>
                <w:bCs/>
                <w:color w:val="000000"/>
                <w:sz w:val="21"/>
                <w:szCs w:val="21"/>
                <w:highlight w:val="green"/>
              </w:rPr>
            </w:r>
            <w:r/>
          </w:p>
        </w:tc>
        <w:tc>
          <w:tcPr>
            <w:tcBorders>
              <w:top w:val="singl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白馒头</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白砂糖</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500g/袋</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500g/袋</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纯牛奶</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箱</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250mlx24盒/箱</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鸡蛋</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6,400.00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89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鸡颗粒饲料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鹅颗粒饲料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中鸡饲料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4,000.00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羊草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吨</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苜蓿草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吨</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草食动物颗粒料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吨</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长颈鹿专用颗粒料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2,600.00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96</w:t>
            </w:r>
            <w:r>
              <w:rPr>
                <w:rFonts w:ascii="宋体" w:hAnsi="宋体" w:eastAsia="宋体" w:cs="宋体"/>
                <w:bCs/>
                <w:color w:val="000000"/>
                <w:sz w:val="21"/>
                <w:szCs w:val="21"/>
                <w:highlight w:val="none"/>
                <w:lang w:val="en-US" w:eastAsia="zh-CN"/>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树叶</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208,196.00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green"/>
                <w:lang w:val="en-US" w:eastAsia="zh-CN"/>
              </w:rPr>
              <w:suppressLineNumbers w:val="0"/>
            </w:pPr>
            <w:r>
              <w:rPr>
                <w:rFonts w:hint="eastAsia" w:ascii="宋体" w:hAnsi="宋体" w:eastAsia="宋体" w:cs="宋体"/>
                <w:bCs/>
                <w:color w:val="000000"/>
                <w:sz w:val="21"/>
                <w:szCs w:val="21"/>
                <w:highlight w:val="green"/>
                <w:lang w:val="en-US" w:eastAsia="zh-C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97</w:t>
            </w:r>
            <w:r>
              <w:rPr>
                <w:rFonts w:ascii="宋体" w:hAnsi="宋体" w:eastAsia="宋体" w:cs="宋体"/>
                <w:bCs/>
                <w:color w:val="000000"/>
                <w:sz w:val="21"/>
                <w:szCs w:val="21"/>
                <w:highlight w:val="none"/>
                <w:lang w:val="en-US" w:eastAsia="zh-CN"/>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竹叶</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斤</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24,000.00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green"/>
              </w:rPr>
              <w:suppressLineNumbers w:val="0"/>
            </w:pP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98</w:t>
            </w:r>
            <w:r>
              <w:rPr>
                <w:rFonts w:ascii="宋体" w:hAnsi="宋体" w:eastAsia="宋体" w:cs="宋体"/>
                <w:bCs/>
                <w:color w:val="000000"/>
                <w:sz w:val="21"/>
                <w:szCs w:val="21"/>
                <w:highlight w:val="none"/>
                <w:lang w:val="en-US" w:eastAsia="zh-CN"/>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芭蕉杆</w:t>
            </w:r>
            <w:r>
              <w:rPr>
                <w:rFonts w:hint="eastAsia" w:ascii="宋体" w:hAnsi="宋体" w:eastAsia="宋体" w:cs="宋体"/>
                <w:bCs/>
                <w:color w:val="000000"/>
                <w:sz w:val="21"/>
                <w:szCs w:val="21"/>
                <w:highlight w:val="none"/>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颗</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 151.00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ascii="宋体" w:hAnsi="宋体" w:eastAsia="宋体" w:cs="宋体"/>
                <w:bCs/>
                <w:color w:val="000000"/>
                <w:sz w:val="21"/>
                <w:szCs w:val="21"/>
                <w:highlight w:val="green"/>
                <w:lang w:val="en-US"/>
              </w:rPr>
              <w:suppressLineNumbers w:val="0"/>
            </w:pPr>
            <w:r>
              <w:rPr>
                <w:rFonts w:ascii="宋体" w:hAnsi="宋体" w:eastAsia="宋体" w:cs="宋体"/>
                <w:bCs/>
                <w:color w:val="000000"/>
                <w:sz w:val="21"/>
                <w:szCs w:val="21"/>
                <w:highlight w:val="green"/>
                <w:lang w:val="en-US"/>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green"/>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highlight w:val="none"/>
              </w:rPr>
              <w:t xml:space="preserve">99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去皮去骨花鲢鱼肉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活兔</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活乳鼠</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1,500.00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454"/>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金丝熊</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只</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80.00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冻乳鼠</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面包虫</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大麦虫</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鹦鹉凡尔赛奶粉</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罐</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6.00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每罐3kg</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鹦鹉凡尔赛饲料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盒</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每盒700g</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小熊猫颗粒料</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包</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13.00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每包50斤</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虾皮</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冰块</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块</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790.00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每块100斤</w:t>
            </w: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白萝卜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192.00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大青菜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燕麦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荞麦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加纳利子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120.00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116</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冬枣</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117</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马蹄</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118</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龙眼</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119</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荔枝</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120</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西葫芦</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121</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柠檬</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20.00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122</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去壳栗子</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123</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冬枣</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50.00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124</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铁棍山药</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90.00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34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125</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贝贝南瓜</w:t>
            </w:r>
            <w:r>
              <w:rPr>
                <w:rFonts w:hint="eastAsia" w:ascii="宋体" w:hAnsi="宋体" w:eastAsia="宋体" w:cs="宋体"/>
                <w:bCs/>
                <w:color w:val="000000"/>
                <w:sz w:val="21"/>
                <w:szCs w:val="21"/>
              </w:rPr>
            </w:r>
            <w:r/>
          </w:p>
        </w:tc>
        <w:tc>
          <w:tcPr>
            <w:tcBorders>
              <w:top w:val="none" w:color="000000" w:sz="4" w:space="0"/>
              <w:left w:val="single" w:color="000000" w:sz="4" w:space="0"/>
              <w:bottom w:val="single" w:color="000000" w:sz="4" w:space="0"/>
              <w:right w:val="single" w:color="000000" w:sz="4" w:space="0"/>
            </w:tcBorders>
            <w:tcW w:w="674" w:type="dxa"/>
            <w:vAlign w:val="center"/>
            <w:textDirection w:val="lrTb"/>
            <w:noWrap w:val="false"/>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斤</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right"/>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 30.00 </w:t>
            </w: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221" w:type="dxa"/>
            <w:vAlign w:val="center"/>
            <w:textDirection w:val="lrTb"/>
            <w:noWrap/>
          </w:tcPr>
          <w:p>
            <w:pPr>
              <w:pStyle w:val="86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480" w:type="dxa"/>
            <w:vAlign w:val="bottom"/>
            <w:textDirection w:val="lrTb"/>
            <w:noWrap/>
          </w:tcPr>
          <w:p>
            <w:pPr>
              <w:pStyle w:val="864"/>
              <w:jc w:val="center"/>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61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126</w:t>
            </w:r>
            <w:r>
              <w:rPr>
                <w:rFonts w:ascii="宋体" w:hAnsi="宋体" w:eastAsia="宋体" w:cs="宋体"/>
                <w:bCs/>
                <w:color w:val="000000"/>
                <w:sz w:val="21"/>
                <w:szCs w:val="21"/>
                <w:highlight w:val="none"/>
                <w:lang w:val="en-US" w:eastAsia="zh-CN"/>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安吉竹叶</w:t>
            </w:r>
            <w:r>
              <w:rPr>
                <w:rFonts w:hint="eastAsia" w:ascii="宋体" w:hAnsi="宋体" w:eastAsia="宋体" w:cs="宋体"/>
                <w:bCs/>
                <w:color w:val="000000"/>
                <w:sz w:val="21"/>
                <w:szCs w:val="21"/>
                <w:highlight w:val="none"/>
              </w:rPr>
            </w:r>
            <w:r/>
          </w:p>
        </w:tc>
        <w:tc>
          <w:tcPr>
            <w:gridSpan w:val="3"/>
            <w:tcBorders>
              <w:top w:val="none" w:color="000000" w:sz="4" w:space="0"/>
              <w:left w:val="single" w:color="000000" w:sz="4" w:space="0"/>
              <w:bottom w:val="single" w:color="000000" w:sz="4" w:space="0"/>
              <w:right w:val="single" w:color="000000" w:sz="4" w:space="0"/>
            </w:tcBorders>
            <w:tcW w:w="3375" w:type="dxa"/>
            <w:vAlign w:val="center"/>
            <w:textDirection w:val="lrTb"/>
            <w:noWrap w:val="false"/>
          </w:tcPr>
          <w:p>
            <w:pPr>
              <w:pStyle w:val="864"/>
              <w:jc w:val="center"/>
              <w:rPr>
                <w:rFonts w:hint="eastAsia" w:ascii="宋体" w:hAnsi="宋体" w:eastAsia="宋体" w:cs="宋体"/>
                <w:bCs/>
                <w:color w:val="000000"/>
                <w:sz w:val="21"/>
                <w:szCs w:val="21"/>
                <w:highlight w:val="green"/>
              </w:rPr>
            </w:pPr>
            <w:r>
              <w:rPr>
                <w:rFonts w:hint="eastAsia" w:ascii="宋体" w:hAnsi="宋体" w:eastAsia="宋体" w:cs="宋体"/>
                <w:bCs/>
                <w:color w:val="000000"/>
                <w:sz w:val="21"/>
                <w:szCs w:val="21"/>
                <w:highlight w:val="none"/>
              </w:rPr>
              <w:t xml:space="preserve">每3天配送一次，</w:t>
            </w:r>
            <w:r>
              <w:rPr>
                <w:rFonts w:hint="eastAsia" w:ascii="宋体" w:hAnsi="宋体" w:eastAsia="宋体" w:cs="宋体"/>
                <w:bCs/>
                <w:color w:val="000000"/>
                <w:sz w:val="21"/>
                <w:szCs w:val="21"/>
                <w:highlight w:val="none"/>
                <w:lang w:val="en-US" w:eastAsia="zh-CN"/>
              </w:rPr>
              <w:t xml:space="preserve">每次配送180斤，单次</w:t>
            </w:r>
            <w:r>
              <w:rPr>
                <w:rFonts w:hint="eastAsia" w:ascii="宋体" w:hAnsi="宋体" w:eastAsia="宋体" w:cs="宋体"/>
                <w:bCs/>
                <w:color w:val="000000"/>
                <w:sz w:val="21"/>
                <w:szCs w:val="21"/>
                <w:highlight w:val="none"/>
              </w:rPr>
              <w:t xml:space="preserve">配送费1200元，竹叶1.8元/斤。</w:t>
            </w:r>
            <w:r>
              <w:rPr>
                <w:rFonts w:hint="eastAsia" w:ascii="宋体" w:hAnsi="宋体" w:eastAsia="宋体" w:cs="宋体"/>
                <w:bCs/>
                <w:color w:val="000000"/>
                <w:sz w:val="21"/>
                <w:szCs w:val="21"/>
                <w:highlight w:val="green"/>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trHeight w:val="610"/>
        </w:trPr>
        <w:tc>
          <w:tcPr>
            <w:tcBorders>
              <w:top w:val="none" w:color="000000" w:sz="4" w:space="0"/>
              <w:left w:val="single" w:color="000000" w:sz="4" w:space="0"/>
              <w:bottom w:val="single" w:color="000000" w:sz="4" w:space="0"/>
              <w:right w:val="none" w:color="000000" w:sz="4" w:space="0"/>
            </w:tcBorders>
            <w:tcW w:w="885" w:type="dxa"/>
            <w:vAlign w:val="center"/>
            <w:textDirection w:val="lrTb"/>
            <w:noWrap/>
          </w:tcPr>
          <w:p>
            <w:pPr>
              <w:pStyle w:val="864"/>
              <w:jc w:val="center"/>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127</w:t>
            </w:r>
            <w:r>
              <w:rPr>
                <w:rFonts w:ascii="宋体" w:hAnsi="宋体" w:eastAsia="宋体" w:cs="宋体"/>
                <w:bCs/>
                <w:color w:val="000000"/>
                <w:sz w:val="21"/>
                <w:szCs w:val="21"/>
                <w:highlight w:val="none"/>
                <w:lang w:val="en-US" w:eastAsia="zh-CN"/>
              </w:rPr>
            </w:r>
            <w:r/>
          </w:p>
        </w:tc>
        <w:tc>
          <w:tcPr>
            <w:tcBorders>
              <w:top w:val="none" w:color="000000" w:sz="4" w:space="0"/>
              <w:left w:val="single" w:color="000000" w:sz="4" w:space="0"/>
              <w:bottom w:val="single" w:color="000000" w:sz="4" w:space="0"/>
              <w:right w:val="none" w:color="000000" w:sz="4" w:space="0"/>
            </w:tcBorders>
            <w:tcW w:w="1934" w:type="dxa"/>
            <w:vAlign w:val="center"/>
            <w:textDirection w:val="lrTb"/>
            <w:noWrap w:val="false"/>
          </w:tcPr>
          <w:p>
            <w:pPr>
              <w:pStyle w:val="864"/>
              <w:jc w:val="center"/>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零星采购</w:t>
            </w:r>
            <w:r>
              <w:rPr>
                <w:rFonts w:hint="eastAsia" w:ascii="宋体" w:hAnsi="宋体" w:eastAsia="宋体" w:cs="宋体"/>
                <w:bCs/>
                <w:color w:val="000000"/>
                <w:sz w:val="21"/>
                <w:szCs w:val="21"/>
                <w:highlight w:val="none"/>
              </w:rPr>
            </w:r>
            <w:r/>
          </w:p>
        </w:tc>
        <w:tc>
          <w:tcPr>
            <w:gridSpan w:val="3"/>
            <w:tcBorders>
              <w:top w:val="none" w:color="000000" w:sz="4" w:space="0"/>
              <w:left w:val="single" w:color="000000" w:sz="4" w:space="0"/>
              <w:bottom w:val="single" w:color="000000" w:sz="4" w:space="0"/>
              <w:right w:val="single" w:color="000000" w:sz="4" w:space="0"/>
            </w:tcBorders>
            <w:tcW w:w="3375" w:type="dxa"/>
            <w:vAlign w:val="center"/>
            <w:textDirection w:val="lrTb"/>
            <w:noWrap w:val="false"/>
          </w:tcPr>
          <w:p>
            <w:pPr>
              <w:pStyle w:val="864"/>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鲜草采购总价约9.6万（单次配送450kg,800元/次，合计配送120次）、吐司、茨菇、酸奶、鹌鹑蛋、石粉、纸皮核桃、无核红枣、狗奶粉、米粉、盐砖、猴颗粒料、龟粮等不确定用量的饲料及突发情况新增的饲料。</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480" w:type="dxa"/>
            <w:vAlign w:val="center"/>
            <w:textDirection w:val="lrTb"/>
            <w:noWrap/>
          </w:tcPr>
          <w:p>
            <w:pPr>
              <w:pStyle w:val="864"/>
              <w:jc w:val="center"/>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300000</w:t>
            </w:r>
            <w:r>
              <w:rPr>
                <w:rFonts w:ascii="宋体" w:hAnsi="宋体" w:eastAsia="宋体" w:cs="宋体"/>
                <w:bCs/>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1953" w:type="dxa"/>
            <w:vAlign w:val="center"/>
            <w:textDirection w:val="lrTb"/>
            <w:noWrap/>
          </w:tcPr>
          <w:p>
            <w:pPr>
              <w:pStyle w:val="864"/>
              <w:jc w:val="left"/>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此报价为固定报价，投标供应商无需下浮。</w:t>
            </w:r>
            <w:r>
              <w:rPr>
                <w:rFonts w:hint="eastAsia" w:ascii="宋体" w:hAnsi="宋体" w:cs="宋体"/>
                <w:sz w:val="21"/>
                <w:szCs w:val="21"/>
                <w:highlight w:val="none"/>
                <w:lang w:val="en-US" w:eastAsia="zh-CN"/>
              </w:rPr>
            </w:r>
            <w:r/>
          </w:p>
        </w:tc>
      </w:tr>
      <w:tr>
        <w:trPr>
          <w:trHeight w:val="804"/>
        </w:trPr>
        <w:tc>
          <w:tcPr>
            <w:gridSpan w:val="2"/>
            <w:tcBorders>
              <w:top w:val="none" w:color="000000" w:sz="4" w:space="0"/>
              <w:left w:val="single" w:color="000000" w:sz="4" w:space="0"/>
              <w:bottom w:val="single" w:color="000000" w:sz="4" w:space="0"/>
              <w:right w:val="none" w:color="000000" w:sz="4" w:space="0"/>
            </w:tcBorders>
            <w:tcW w:w="2819" w:type="dxa"/>
            <w:vAlign w:val="center"/>
            <w:textDirection w:val="lrTb"/>
            <w:noWrap/>
          </w:tcPr>
          <w:p>
            <w:pPr>
              <w:pStyle w:val="864"/>
              <w:jc w:val="left"/>
              <w:widowControl/>
              <w:tabs>
                <w:tab w:val="left" w:pos="631" w:leader="none"/>
              </w:tabs>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eastAsia="zh-CN"/>
              </w:rPr>
              <w:tab/>
            </w:r>
            <w:r>
              <w:rPr>
                <w:rFonts w:hint="eastAsia" w:ascii="宋体" w:hAnsi="宋体" w:eastAsia="宋体" w:cs="宋体"/>
                <w:bCs/>
                <w:color w:val="000000"/>
                <w:sz w:val="21"/>
                <w:szCs w:val="21"/>
                <w:highlight w:val="none"/>
                <w:lang w:val="en-US" w:eastAsia="zh-CN"/>
              </w:rPr>
              <w:t xml:space="preserve">合计金额（元）</w:t>
            </w:r>
            <w:r>
              <w:rPr>
                <w:rFonts w:ascii="宋体" w:hAnsi="宋体" w:eastAsia="宋体" w:cs="宋体"/>
                <w:bCs/>
                <w:color w:val="000000"/>
                <w:sz w:val="21"/>
                <w:szCs w:val="21"/>
                <w:highlight w:val="none"/>
                <w:lang w:val="en-US" w:eastAsia="zh-CN"/>
              </w:rPr>
            </w:r>
            <w:r/>
          </w:p>
        </w:tc>
        <w:tc>
          <w:tcPr>
            <w:gridSpan w:val="5"/>
            <w:tcBorders>
              <w:top w:val="none" w:color="000000" w:sz="4" w:space="0"/>
              <w:left w:val="single" w:color="000000" w:sz="4" w:space="0"/>
              <w:bottom w:val="single" w:color="000000" w:sz="4" w:space="0"/>
              <w:right w:val="single" w:color="000000" w:sz="4" w:space="0"/>
            </w:tcBorders>
            <w:tcW w:w="6808" w:type="dxa"/>
            <w:vAlign w:val="center"/>
            <w:textDirection w:val="lrTb"/>
            <w:noWrap w:val="false"/>
          </w:tcPr>
          <w:p>
            <w:pPr>
              <w:pStyle w:val="864"/>
              <w:jc w:val="left"/>
              <w:widowControl/>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大写：</w:t>
            </w:r>
            <w:r>
              <w:rPr>
                <w:rFonts w:hint="eastAsia" w:ascii="宋体" w:hAnsi="宋体" w:cs="宋体"/>
                <w:sz w:val="21"/>
                <w:szCs w:val="21"/>
                <w:highlight w:val="none"/>
                <w:lang w:val="en-US" w:eastAsia="zh-CN"/>
              </w:rPr>
            </w:r>
            <w:r/>
          </w:p>
          <w:p>
            <w:pPr>
              <w:pStyle w:val="864"/>
              <w:jc w:val="left"/>
              <w:widowControl/>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小写：</w:t>
            </w:r>
            <w:r>
              <w:rPr>
                <w:rFonts w:ascii="宋体" w:hAnsi="宋体" w:cs="宋体"/>
                <w:sz w:val="21"/>
                <w:szCs w:val="21"/>
                <w:highlight w:val="none"/>
                <w:lang w:val="en-US" w:eastAsia="zh-CN"/>
              </w:rPr>
            </w:r>
            <w:r/>
          </w:p>
        </w:tc>
      </w:tr>
    </w:tbl>
    <w:p>
      <w:pPr>
        <w:pStyle w:val="864"/>
        <w:jc w:val="center"/>
        <w:spacing w:line="360" w:lineRule="auto"/>
        <w:tabs>
          <w:tab w:val="left" w:pos="2700" w:leader="none"/>
        </w:tabs>
        <w:rPr>
          <w:rFonts w:hint="eastAsia" w:ascii="Calibri" w:hAnsi="Calibri"/>
        </w:rPr>
      </w:pPr>
      <w:r>
        <w:rPr>
          <w:rFonts w:cs="宋体"/>
          <w:b/>
          <w:color w:val="000000"/>
          <w:sz w:val="28"/>
          <w:szCs w:val="28"/>
          <w:lang w:bidi="ar"/>
        </w:rPr>
        <w:br w:type="page" w:clear="all"/>
      </w:r>
      <w:r>
        <w:rPr>
          <w:rFonts w:hint="eastAsia" w:cs="宋体"/>
          <w:b/>
          <w:color w:val="000000"/>
          <w:sz w:val="28"/>
          <w:szCs w:val="28"/>
          <w:lang w:bidi="ar"/>
        </w:rPr>
        <w:t xml:space="preserve">第六章评标办法及评分标准</w:t>
      </w:r>
      <w:bookmarkEnd w:id="10"/>
      <w:r/>
      <w:bookmarkEnd w:id="26"/>
      <w:r>
        <w:rPr>
          <w:rFonts w:hint="eastAsia" w:ascii="Calibri" w:hAnsi="Calibri"/>
        </w:rPr>
      </w:r>
      <w:r/>
    </w:p>
    <w:p>
      <w:pPr>
        <w:pStyle w:val="864"/>
        <w:ind w:firstLine="420"/>
        <w:spacing w:line="360" w:lineRule="auto"/>
        <w:tabs>
          <w:tab w:val="left" w:pos="567" w:leader="none"/>
        </w:tabs>
        <w:rPr>
          <w:rFonts w:hint="eastAsia" w:ascii="宋体" w:hAnsi="宋体" w:cs="宋体"/>
          <w:bCs/>
          <w:color w:val="000000"/>
        </w:rPr>
      </w:pPr>
      <w:r>
        <w:rPr>
          <w:rFonts w:hint="eastAsia" w:ascii="宋体" w:hAnsi="宋体" w:cs="宋体"/>
          <w:bCs/>
          <w:color w:val="000000"/>
          <w:szCs w:val="22"/>
          <w:lang w:bidi="ar"/>
        </w:rPr>
        <w:t xml:space="preserve">一、评标办法</w:t>
      </w:r>
      <w:r>
        <w:rPr>
          <w:rFonts w:hint="eastAsia" w:ascii="宋体" w:hAnsi="宋体" w:cs="宋体"/>
          <w:bCs/>
          <w:color w:val="000000"/>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1、本次招标评标采用为综合评分法，即在满足招标文件实质性要求前提下，按照招标文件中规定的评分标准和各项因素进行综合评审后，以评标总得分最高的投</w:t>
      </w:r>
      <w:r>
        <w:rPr>
          <w:rFonts w:hint="eastAsia" w:ascii="宋体" w:hAnsi="宋体" w:eastAsia="宋体" w:cs="宋体"/>
          <w:bCs/>
          <w:color w:val="000000"/>
          <w:szCs w:val="22"/>
          <w:lang w:bidi="ar"/>
        </w:rPr>
        <w:t xml:space="preserve">标人作为</w:t>
      </w:r>
      <w:r>
        <w:rPr>
          <w:rFonts w:hint="eastAsia" w:ascii="宋体" w:hAnsi="宋体" w:eastAsia="宋体" w:cs="宋体"/>
          <w:bCs/>
          <w:color w:val="000000"/>
          <w:szCs w:val="22"/>
          <w:lang w:val="zh-CN" w:bidi="ar"/>
        </w:rPr>
        <w:t xml:space="preserve">中标</w:t>
      </w:r>
      <w:r>
        <w:rPr>
          <w:rFonts w:hint="eastAsia" w:ascii="宋体" w:hAnsi="宋体" w:eastAsia="宋体" w:cs="宋体"/>
          <w:bCs/>
          <w:color w:val="000000"/>
          <w:szCs w:val="22"/>
          <w:lang w:val="en-US" w:eastAsia="zh-CN" w:bidi="ar"/>
        </w:rPr>
        <w:t xml:space="preserve">人</w:t>
      </w:r>
      <w:r>
        <w:rPr>
          <w:rFonts w:hint="eastAsia" w:ascii="宋体" w:hAnsi="宋体" w:eastAsia="宋体" w:cs="宋体"/>
          <w:bCs/>
          <w:color w:val="000000"/>
          <w:szCs w:val="22"/>
          <w:lang w:bidi="ar"/>
        </w:rPr>
        <w:t xml:space="preserve">。</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3、对评委的评分（除价格分外）进行统计汇总，计算出每个投标人的得分，加上价格得分即为每个投标人的综合得分。</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4、如出现评标总得分最高的投标人有两个或两个以上的，以投标报价较低者优先作为中标</w:t>
      </w:r>
      <w:r>
        <w:rPr>
          <w:rFonts w:hint="eastAsia" w:ascii="宋体" w:hAnsi="宋体" w:cs="宋体"/>
          <w:bCs/>
          <w:color w:val="000000"/>
          <w:szCs w:val="22"/>
          <w:lang w:val="en-US" w:eastAsia="zh-CN" w:bidi="ar"/>
        </w:rPr>
        <w:t xml:space="preserve">人</w:t>
      </w:r>
      <w:r>
        <w:rPr>
          <w:rFonts w:hint="eastAsia" w:ascii="宋体" w:hAnsi="宋体" w:cs="宋体"/>
          <w:bCs/>
          <w:color w:val="000000"/>
          <w:szCs w:val="22"/>
          <w:lang w:bidi="ar"/>
        </w:rPr>
        <w:t xml:space="preserve">，如果投标报价也相同的，则由采购人组织以抽签方式确定中标人。</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5、针对小微企业、监狱企业及残疾人企业的评审：</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5.1、根据财政部、工业和信息化部关于印发《政府采购促进中小企业发展管理办法》的通知规定：</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（1）本项目属于专门面向中小企业采购。</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（2）依据《政府采购促进中小企业发展管理办法》规定享受扶持政策获得政府采购合同的，小微企业不得将合同分包给大中型企业，中型企业不得将合同分包给大型企业。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（3）本项目采购标的对应的中小企业划分标准所属行业为：</w:t>
      </w:r>
      <w:r>
        <w:rPr>
          <w:rFonts w:hint="eastAsia" w:ascii="宋体" w:hAnsi="宋体" w:cs="宋体"/>
          <w:b/>
          <w:bCs/>
          <w:color w:val="000000"/>
          <w:szCs w:val="22"/>
          <w:lang w:bidi="ar"/>
        </w:rPr>
        <w:t xml:space="preserve">其他未列明行业。</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（4）中小企业参加政府采购活动，应当出具《政府采购促进中小企业发展管理办法》附件规定《中小企业声明函》，否则不得享受相关中小企业扶持政策。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w:t>
      </w:r>
      <w:r>
        <w:rPr>
          <w:rFonts w:hint="eastAsia" w:ascii="宋体" w:hAnsi="宋体" w:cs="宋体"/>
          <w:bCs/>
          <w:color w:val="000000"/>
          <w:szCs w:val="22"/>
          <w:lang w:val="en-US" w:eastAsia="zh-CN" w:bidi="ar"/>
        </w:rPr>
        <w:t xml:space="preserve">5</w:t>
      </w:r>
      <w:r>
        <w:rPr>
          <w:rFonts w:hint="eastAsia" w:ascii="宋体" w:hAnsi="宋体" w:cs="宋体"/>
          <w:bCs/>
          <w:color w:val="000000"/>
          <w:szCs w:val="22"/>
          <w:lang w:bidi="ar"/>
        </w:rPr>
        <w:t xml:space="preserve">）若供应商提供的《中小企业声明函》为虚假声明则视同提供虚假材料，按政府采购相关规定处理并报请政府监管部门给予行政处罚。</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5.2、残疾人福利性单位</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5.3、监狱企业</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5.4、如提供虚假声明或相关材料，将按“政府采购法”相关规定处理并由政府监管部门给予处罚。</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6、信用查询：凡经评审小组确认不符合政府采购相关法律法规规定的，将拒绝其参与政府采购活动。</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rPr>
      </w:pPr>
      <w:r>
        <w:rPr>
          <w:rFonts w:hint="eastAsia" w:ascii="宋体" w:hAnsi="宋体" w:cs="宋体"/>
          <w:bCs/>
          <w:color w:val="000000"/>
          <w:szCs w:val="22"/>
          <w:lang w:bidi="ar"/>
        </w:rPr>
        <w:t xml:space="preserve"> 6.1、查询时间：投标文件递交截止时间。 </w:t>
      </w:r>
      <w:r>
        <w:rPr>
          <w:rFonts w:hint="eastAsia" w:ascii="宋体" w:hAnsi="宋体" w:cs="宋体"/>
          <w:bCs/>
          <w:color w:val="000000"/>
        </w:rPr>
      </w:r>
      <w:r/>
    </w:p>
    <w:p>
      <w:pPr>
        <w:pStyle w:val="864"/>
        <w:ind w:firstLine="420"/>
        <w:spacing w:line="360" w:lineRule="auto"/>
        <w:tabs>
          <w:tab w:val="left" w:pos="567" w:leader="none"/>
        </w:tabs>
        <w:rPr>
          <w:rFonts w:hint="eastAsia" w:ascii="宋体" w:hAnsi="宋体" w:eastAsia="宋体" w:cs="宋体"/>
          <w:bCs/>
          <w:color w:val="000000"/>
          <w:szCs w:val="22"/>
          <w:lang w:bidi="ar"/>
        </w:rPr>
      </w:pPr>
      <w:r>
        <w:rPr>
          <w:rFonts w:hint="eastAsia" w:ascii="宋体" w:hAnsi="宋体" w:eastAsia="宋体" w:cs="宋体"/>
          <w:bCs/>
          <w:color w:val="000000"/>
          <w:szCs w:val="22"/>
          <w:lang w:bidi="ar"/>
        </w:rPr>
        <w:t xml:space="preserve">6.2、查询渠道：“苏采云”系统平台。 </w:t>
      </w:r>
      <w:r>
        <w:rPr>
          <w:rFonts w:hint="eastAsia" w:ascii="宋体" w:hAnsi="宋体" w:eastAsia="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6.3、查询证据留存方式：</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szCs w:val="22"/>
          <w:lang w:bidi="ar"/>
        </w:rPr>
      </w:pPr>
      <w:r>
        <w:rPr>
          <w:rFonts w:hint="eastAsia" w:ascii="宋体" w:hAnsi="宋体" w:cs="宋体"/>
          <w:bCs/>
          <w:color w:val="000000"/>
          <w:szCs w:val="22"/>
          <w:lang w:bidi="ar"/>
        </w:rPr>
        <w:t xml:space="preserve">  6.4、信用记录使用规则：</w:t>
      </w:r>
      <w:r>
        <w:rPr>
          <w:rFonts w:hint="eastAsia" w:ascii="宋体" w:hAnsi="宋体" w:cs="宋体"/>
          <w:bCs/>
          <w:color w:val="000000"/>
          <w:szCs w:val="22"/>
          <w:lang w:bidi="ar"/>
        </w:rPr>
      </w:r>
      <w:r/>
    </w:p>
    <w:p>
      <w:pPr>
        <w:pStyle w:val="864"/>
        <w:ind w:firstLine="420"/>
        <w:spacing w:line="360" w:lineRule="auto"/>
        <w:tabs>
          <w:tab w:val="left" w:pos="567" w:leader="none"/>
        </w:tabs>
        <w:rPr>
          <w:rFonts w:hint="eastAsia" w:ascii="宋体" w:hAnsi="宋体" w:cs="宋体"/>
          <w:bCs/>
          <w:color w:val="000000"/>
        </w:rPr>
      </w:pPr>
      <w:r>
        <w:rPr>
          <w:rFonts w:hint="eastAsia" w:ascii="宋体" w:hAnsi="宋体" w:cs="宋体"/>
          <w:bCs/>
          <w:color w:val="000000"/>
          <w:szCs w:val="22"/>
          <w:lang w:bidi="ar"/>
        </w:rPr>
        <w:t xml:space="preserve">  评审小组在对供应商进行资格性审查时，根据查询结果对供应商的不良信用记录逐项甄别确认。凡经评审小组确认不符合政府采购相关法律法规规定的，将拒绝其参与政府采购活动。</w:t>
      </w:r>
      <w:r>
        <w:rPr>
          <w:rFonts w:hint="eastAsia" w:ascii="宋体" w:hAnsi="宋体" w:cs="宋体"/>
          <w:bCs/>
          <w:color w:val="000000"/>
        </w:rPr>
      </w:r>
      <w:r/>
    </w:p>
    <w:p>
      <w:pPr>
        <w:pStyle w:val="864"/>
        <w:numPr>
          <w:ilvl w:val="0"/>
          <w:numId w:val="6"/>
        </w:numPr>
        <w:spacing w:line="480" w:lineRule="exact"/>
        <w:tabs>
          <w:tab w:val="left" w:pos="0" w:leader="none"/>
        </w:tabs>
        <w:rPr>
          <w:rFonts w:ascii="宋体" w:hAnsi="宋体" w:cs="宋体"/>
          <w:bCs/>
          <w:color w:val="000000"/>
          <w:szCs w:val="21"/>
        </w:rPr>
      </w:pPr>
      <w:r>
        <w:rPr>
          <w:rFonts w:hint="eastAsia" w:ascii="宋体" w:hAnsi="宋体" w:cs="宋体"/>
          <w:bCs/>
          <w:color w:val="000000"/>
          <w:szCs w:val="21"/>
          <w:lang w:bidi="ar"/>
        </w:rPr>
        <w:t xml:space="preserve">评分标准</w:t>
      </w:r>
      <w:r>
        <w:rPr>
          <w:rFonts w:ascii="宋体" w:hAnsi="宋体" w:cs="宋体"/>
          <w:bCs/>
          <w:color w:val="000000"/>
          <w:szCs w:val="21"/>
        </w:rPr>
      </w:r>
      <w:r/>
    </w:p>
    <w:p>
      <w:pPr>
        <w:pStyle w:val="864"/>
        <w:ind w:firstLine="422"/>
        <w:jc w:val="left"/>
        <w:spacing w:line="360" w:lineRule="auto"/>
        <w:rPr>
          <w:rFonts w:hint="eastAsia" w:ascii="宋体" w:hAnsi="宋体" w:cs="宋体"/>
          <w:b/>
          <w:color w:val="000000"/>
          <w:szCs w:val="21"/>
        </w:rPr>
      </w:pPr>
      <w:r>
        <w:rPr>
          <w:rFonts w:hint="eastAsia" w:ascii="宋体" w:hAnsi="宋体" w:cs="宋体"/>
          <w:b/>
          <w:color w:val="000000"/>
          <w:szCs w:val="21"/>
          <w:lang w:bidi="ar"/>
        </w:rPr>
        <w:t xml:space="preserve">（一）价格：（</w:t>
      </w:r>
      <w:r>
        <w:rPr>
          <w:rFonts w:hint="eastAsia" w:ascii="宋体" w:hAnsi="宋体" w:cs="宋体"/>
          <w:b/>
          <w:color w:val="000000"/>
          <w:szCs w:val="21"/>
          <w:lang w:val="en-US" w:eastAsia="zh-CN" w:bidi="ar"/>
        </w:rPr>
        <w:t xml:space="preserve">4</w:t>
      </w:r>
      <w:r>
        <w:rPr>
          <w:rFonts w:hint="eastAsia" w:ascii="宋体" w:hAnsi="宋体" w:cs="宋体"/>
          <w:b/>
          <w:color w:val="000000"/>
          <w:szCs w:val="21"/>
          <w:lang w:val="en-US" w:eastAsia="zh-CN" w:bidi="ar"/>
        </w:rPr>
        <w:t xml:space="preserve">0</w:t>
      </w:r>
      <w:r>
        <w:rPr>
          <w:rFonts w:hint="eastAsia" w:ascii="宋体" w:hAnsi="宋体" w:cs="宋体"/>
          <w:b/>
          <w:color w:val="000000"/>
          <w:szCs w:val="21"/>
          <w:lang w:bidi="ar"/>
        </w:rPr>
        <w:t xml:space="preserve">分）</w:t>
      </w:r>
      <w:r>
        <w:rPr>
          <w:rFonts w:hint="eastAsia" w:ascii="宋体" w:hAnsi="宋体" w:cs="宋体"/>
          <w:b/>
          <w:color w:val="000000"/>
          <w:szCs w:val="21"/>
          <w:lang w:bidi="ar"/>
        </w:rPr>
        <w:tab/>
      </w:r>
      <w:r>
        <w:rPr>
          <w:rFonts w:hint="eastAsia" w:ascii="宋体" w:hAnsi="宋体" w:cs="宋体"/>
          <w:b/>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1.投标</w:t>
      </w:r>
      <w:r>
        <w:rPr>
          <w:rFonts w:hint="eastAsia" w:ascii="宋体" w:hAnsi="宋体"/>
          <w:color w:val="000000"/>
          <w:szCs w:val="21"/>
          <w:lang w:val="en-US" w:eastAsia="zh-CN"/>
        </w:rPr>
        <w:t xml:space="preserve">总</w:t>
      </w:r>
      <w:r>
        <w:rPr>
          <w:rFonts w:ascii="宋体" w:hAnsi="宋体"/>
          <w:color w:val="000000"/>
          <w:szCs w:val="21"/>
        </w:rPr>
        <w:t xml:space="preserve">报价低于或等于财政预算价格的</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投标单价低于或等于单价最高限价的）</w:t>
      </w:r>
      <w:r>
        <w:rPr>
          <w:rFonts w:ascii="宋体" w:hAnsi="宋体"/>
          <w:color w:val="000000"/>
          <w:szCs w:val="21"/>
        </w:rPr>
        <w:t xml:space="preserve">为有效</w:t>
      </w:r>
      <w:r>
        <w:rPr>
          <w:rFonts w:hint="eastAsia" w:ascii="宋体" w:hAnsi="宋体"/>
          <w:color w:val="000000"/>
          <w:szCs w:val="21"/>
        </w:rPr>
        <w:t xml:space="preserve">投标</w:t>
      </w:r>
      <w:r>
        <w:rPr>
          <w:rFonts w:ascii="宋体" w:hAnsi="宋体"/>
          <w:color w:val="000000"/>
          <w:szCs w:val="21"/>
        </w:rPr>
        <w:t xml:space="preserve">报价。</w:t>
      </w:r>
      <w:r>
        <w:rPr>
          <w:rFonts w:hint="eastAsia" w:ascii="宋体" w:hAnsi="宋体"/>
          <w:color w:val="000000"/>
          <w:szCs w:val="21"/>
        </w:rPr>
        <w:t xml:space="preserve">超财政预算</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或超</w:t>
      </w:r>
      <w:r>
        <w:rPr>
          <w:rFonts w:hint="eastAsia" w:ascii="宋体" w:hAnsi="宋体"/>
          <w:color w:val="000000"/>
          <w:szCs w:val="21"/>
          <w:lang w:val="en-US" w:eastAsia="zh-CN"/>
        </w:rPr>
        <w:t xml:space="preserve">单价最高限价）</w:t>
      </w:r>
      <w:r>
        <w:rPr>
          <w:rFonts w:hint="eastAsia" w:ascii="宋体" w:hAnsi="宋体"/>
          <w:color w:val="000000"/>
          <w:szCs w:val="21"/>
        </w:rPr>
        <w:t xml:space="preserve">的</w:t>
      </w:r>
      <w:r>
        <w:rPr>
          <w:rFonts w:hint="eastAsia" w:ascii="宋体" w:hAnsi="宋体"/>
          <w:color w:val="000000"/>
          <w:szCs w:val="21"/>
        </w:rPr>
        <w:t xml:space="preserve">投标报价文件为未实质性响应文件，不参与评审，也不得标。</w:t>
      </w:r>
      <w:r>
        <w:rPr>
          <w:rFonts w:ascii="宋体" w:hAnsi="宋体"/>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2.在所有有效投标报价中满足招标文件要求，且最后报价</w:t>
      </w:r>
      <w:r>
        <w:rPr>
          <w:rFonts w:hint="eastAsia" w:ascii="宋体" w:hAnsi="宋体"/>
          <w:color w:val="000000"/>
          <w:szCs w:val="21"/>
          <w:lang w:val="en-US" w:eastAsia="zh-CN"/>
        </w:rPr>
        <w:t xml:space="preserve">最低</w:t>
      </w:r>
      <w:r>
        <w:rPr>
          <w:rFonts w:hint="eastAsia" w:ascii="宋体" w:hAnsi="宋体"/>
          <w:color w:val="000000"/>
          <w:szCs w:val="21"/>
        </w:rPr>
        <w:t xml:space="preserve">的投标报价为</w:t>
      </w:r>
      <w:r>
        <w:rPr>
          <w:rFonts w:hint="eastAsia" w:ascii="宋体" w:hAnsi="宋体" w:eastAsia="宋体" w:cs="Times New Roman"/>
          <w:color w:val="000000"/>
          <w:szCs w:val="21"/>
        </w:rPr>
        <w:t xml:space="preserve">作为评标基准价，其</w:t>
      </w:r>
      <w:r>
        <w:rPr>
          <w:rFonts w:ascii="宋体" w:hAnsi="宋体"/>
          <w:color w:val="000000"/>
          <w:szCs w:val="21"/>
        </w:rPr>
        <w:t xml:space="preserve">价格分为满分。</w:t>
      </w:r>
      <w:r>
        <w:rPr>
          <w:rFonts w:hint="eastAsia" w:ascii="宋体" w:hAnsi="宋体"/>
          <w:color w:val="000000"/>
          <w:szCs w:val="21"/>
        </w:rPr>
        <w:t xml:space="preserve">其他供应商价格分</w:t>
      </w:r>
      <w:r>
        <w:rPr>
          <w:rFonts w:ascii="宋体" w:hAnsi="宋体"/>
          <w:color w:val="000000"/>
          <w:szCs w:val="21"/>
        </w:rPr>
        <w:t xml:space="preserve">计算公式：</w:t>
      </w:r>
      <w:r>
        <w:rPr>
          <w:rFonts w:ascii="宋体" w:hAnsi="宋体"/>
          <w:color w:val="000000"/>
          <w:szCs w:val="21"/>
        </w:rPr>
      </w:r>
      <w:r/>
    </w:p>
    <w:p>
      <w:pPr>
        <w:pStyle w:val="864"/>
        <w:ind w:firstLine="480"/>
        <w:spacing w:line="360" w:lineRule="auto"/>
        <w:rPr>
          <w:rFonts w:hint="eastAsia" w:ascii="宋体" w:hAnsi="宋体" w:eastAsia="宋体" w:cs="Times New Roman"/>
          <w:b/>
          <w:szCs w:val="21"/>
        </w:rPr>
      </w:pPr>
      <w:r>
        <w:rPr>
          <w:rFonts w:hint="eastAsia" w:ascii="宋体" w:hAnsi="宋体" w:eastAsia="宋体" w:cs="Times New Roman"/>
          <w:color w:val="000000"/>
          <w:szCs w:val="21"/>
        </w:rPr>
        <w:t xml:space="preserve">投标报价得分=(评标基准价/投标报价)×40%×100（得分小数点后保留两位）。</w:t>
      </w:r>
      <w:r>
        <w:rPr>
          <w:rFonts w:hint="eastAsia" w:ascii="宋体" w:hAnsi="宋体" w:eastAsia="宋体" w:cs="Times New Roman"/>
          <w:b/>
          <w:szCs w:val="21"/>
        </w:rPr>
      </w:r>
      <w:r/>
    </w:p>
    <w:p>
      <w:pPr>
        <w:pStyle w:val="864"/>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lang w:val="en-US" w:eastAsia="zh-CN"/>
        </w:rPr>
        <w:t xml:space="preserve">二</w:t>
      </w:r>
      <w:r>
        <w:rPr>
          <w:rFonts w:hint="eastAsia" w:ascii="宋体" w:hAnsi="宋体"/>
          <w:b/>
          <w:szCs w:val="21"/>
        </w:rPr>
        <w:t xml:space="preserve">）供应商各类保障制度及服务方案比较（</w:t>
      </w:r>
      <w:r>
        <w:rPr>
          <w:rFonts w:hint="eastAsia" w:ascii="宋体" w:hAnsi="宋体"/>
          <w:b/>
          <w:szCs w:val="21"/>
          <w:lang w:val="en-US" w:eastAsia="zh-CN"/>
        </w:rPr>
        <w:t xml:space="preserve">45</w:t>
      </w:r>
      <w:r>
        <w:rPr>
          <w:rFonts w:hint="eastAsia" w:ascii="宋体" w:hAnsi="宋体"/>
          <w:b/>
          <w:szCs w:val="21"/>
        </w:rPr>
        <w:t xml:space="preserve">分）</w:t>
      </w:r>
      <w:r>
        <w:rPr>
          <w:rFonts w:ascii="宋体" w:hAnsi="宋体"/>
          <w:b/>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1、内部管理架</w:t>
      </w:r>
      <w:r>
        <w:rPr>
          <w:rFonts w:hint="eastAsia" w:ascii="宋体" w:hAnsi="宋体"/>
          <w:color w:val="000000"/>
          <w:sz w:val="21"/>
          <w:szCs w:val="21"/>
        </w:rPr>
        <w:t xml:space="preserve">构及管理规章制度比较（</w:t>
      </w:r>
      <w:r>
        <w:rPr>
          <w:rFonts w:hint="eastAsia" w:ascii="宋体" w:hAnsi="宋体" w:cs="宋体"/>
          <w:sz w:val="21"/>
          <w:szCs w:val="21"/>
        </w:rPr>
        <w:t xml:space="preserve">包括但不限于项目组织管理组织结构图、管理处机构设置、岗位责任、管理维护运作制度及标准、管理人员考核制度及标准</w:t>
      </w:r>
      <w:r>
        <w:rPr>
          <w:rFonts w:hint="eastAsia" w:ascii="宋体" w:hAnsi="宋体"/>
          <w:color w:val="000000"/>
          <w:sz w:val="21"/>
          <w:szCs w:val="21"/>
        </w:rPr>
        <w:t xml:space="preserve">）（</w:t>
      </w:r>
      <w:r>
        <w:rPr>
          <w:rFonts w:hint="eastAsia" w:ascii="宋体" w:hAnsi="宋体"/>
          <w:color w:val="000000"/>
          <w:sz w:val="21"/>
          <w:szCs w:val="21"/>
          <w:lang w:val="en-US" w:eastAsia="zh-CN"/>
        </w:rPr>
        <w:t xml:space="preserve">8</w:t>
      </w:r>
      <w:r>
        <w:rPr>
          <w:rFonts w:hint="eastAsia" w:ascii="宋体" w:hAnsi="宋体"/>
          <w:color w:val="000000"/>
          <w:sz w:val="21"/>
          <w:szCs w:val="21"/>
        </w:rPr>
        <w:t xml:space="preserve">分</w:t>
      </w:r>
      <w:r>
        <w:rPr>
          <w:rFonts w:hint="eastAsia" w:ascii="宋体" w:hAnsi="宋体"/>
          <w:color w:val="000000"/>
          <w:szCs w:val="21"/>
        </w:rPr>
        <w:t xml:space="preserve">）</w:t>
      </w:r>
      <w:r>
        <w:rPr>
          <w:rFonts w:ascii="宋体" w:hAnsi="宋体"/>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管理制度符合项目要求，内容详细，措施有效扎实，管理责任清晰</w:t>
      </w:r>
      <w:r>
        <w:rPr>
          <w:rFonts w:hint="eastAsia" w:ascii="宋体" w:hAnsi="宋体"/>
          <w:color w:val="000000"/>
          <w:szCs w:val="21"/>
          <w:lang w:val="en-US" w:eastAsia="zh-CN"/>
        </w:rPr>
        <w:t xml:space="preserve">的</w:t>
      </w:r>
      <w:r>
        <w:rPr>
          <w:rFonts w:hint="eastAsia" w:ascii="宋体" w:hAnsi="宋体"/>
          <w:color w:val="000000"/>
          <w:szCs w:val="21"/>
        </w:rPr>
        <w:t xml:space="preserve">得</w:t>
      </w:r>
      <w:r>
        <w:rPr>
          <w:rFonts w:hint="eastAsia" w:ascii="宋体" w:hAnsi="宋体"/>
          <w:color w:val="000000"/>
          <w:szCs w:val="21"/>
          <w:lang w:val="en-US" w:eastAsia="zh-CN"/>
        </w:rPr>
        <w:t xml:space="preserve">8</w:t>
      </w:r>
      <w:r>
        <w:rPr>
          <w:rFonts w:hint="eastAsia" w:ascii="宋体" w:hAnsi="宋体"/>
          <w:color w:val="000000"/>
          <w:szCs w:val="21"/>
        </w:rPr>
        <w:t xml:space="preserve">分；管理制度措施基本有效，管理责任基本清晰</w:t>
      </w:r>
      <w:r>
        <w:rPr>
          <w:rFonts w:hint="eastAsia" w:ascii="宋体" w:hAnsi="宋体"/>
          <w:color w:val="000000"/>
          <w:szCs w:val="21"/>
          <w:lang w:val="en-US" w:eastAsia="zh-CN"/>
        </w:rPr>
        <w:t xml:space="preserve">的</w:t>
      </w:r>
      <w:r>
        <w:rPr>
          <w:rFonts w:hint="eastAsia" w:ascii="宋体" w:hAnsi="宋体"/>
          <w:color w:val="000000"/>
          <w:szCs w:val="21"/>
        </w:rPr>
        <w:t xml:space="preserve">得</w:t>
      </w:r>
      <w:r>
        <w:rPr>
          <w:rFonts w:hint="eastAsia" w:ascii="宋体" w:hAnsi="宋体"/>
          <w:color w:val="000000"/>
          <w:szCs w:val="21"/>
          <w:lang w:val="en-US" w:eastAsia="zh-CN"/>
        </w:rPr>
        <w:t xml:space="preserve">5</w:t>
      </w:r>
      <w:r>
        <w:rPr>
          <w:rFonts w:hint="eastAsia" w:ascii="宋体" w:hAnsi="宋体"/>
          <w:color w:val="000000"/>
          <w:szCs w:val="21"/>
        </w:rPr>
        <w:t xml:space="preserve">分；管理制度内容不全面，措施可行性一般，管理责任不清晰</w:t>
      </w:r>
      <w:r>
        <w:rPr>
          <w:rFonts w:hint="eastAsia" w:ascii="宋体" w:hAnsi="宋体"/>
          <w:color w:val="000000"/>
          <w:szCs w:val="21"/>
          <w:lang w:val="en-US" w:eastAsia="zh-CN"/>
        </w:rPr>
        <w:t xml:space="preserve">的</w:t>
      </w:r>
      <w:r>
        <w:rPr>
          <w:rFonts w:hint="eastAsia" w:ascii="宋体" w:hAnsi="宋体"/>
          <w:color w:val="000000"/>
          <w:szCs w:val="21"/>
        </w:rPr>
        <w:t xml:space="preserve">得2分。不提供者不得分。</w:t>
      </w:r>
      <w:r>
        <w:rPr>
          <w:rFonts w:ascii="宋体" w:hAnsi="宋体"/>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2、食材安全、卫生保障方案比较（包括但不限于食品管理</w:t>
      </w:r>
      <w:r>
        <w:rPr>
          <w:rFonts w:hint="eastAsia" w:ascii="宋体" w:hAnsi="宋体" w:eastAsia="宋体" w:cs="Times New Roman"/>
          <w:color w:val="000000"/>
          <w:szCs w:val="21"/>
        </w:rPr>
        <w:t xml:space="preserve">制度、食品保鲜措施</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场</w:t>
      </w:r>
      <w:r>
        <w:rPr>
          <w:rFonts w:hint="eastAsia" w:ascii="宋体" w:hAnsi="宋体"/>
          <w:color w:val="000000"/>
          <w:szCs w:val="21"/>
        </w:rPr>
        <w:t xml:space="preserve">所卫生管理制度、供货保障、配送保障等）(</w:t>
      </w:r>
      <w:r>
        <w:rPr>
          <w:rFonts w:hint="eastAsia" w:ascii="宋体" w:hAnsi="宋体"/>
          <w:color w:val="000000"/>
          <w:szCs w:val="21"/>
          <w:lang w:val="en-US" w:eastAsia="zh-CN"/>
        </w:rPr>
        <w:t xml:space="preserve">8</w:t>
      </w:r>
      <w:r>
        <w:rPr>
          <w:rFonts w:hint="eastAsia" w:ascii="宋体" w:hAnsi="宋体"/>
          <w:color w:val="000000"/>
          <w:szCs w:val="21"/>
        </w:rPr>
        <w:t xml:space="preserve">分)</w:t>
      </w:r>
      <w:r>
        <w:rPr>
          <w:rFonts w:ascii="宋体" w:hAnsi="宋体"/>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提出的安全、卫生保障方案及措施符合项目要求，措施全面完善、科学合理、操作性强的得</w:t>
      </w:r>
      <w:r>
        <w:rPr>
          <w:rFonts w:hint="eastAsia" w:ascii="宋体" w:hAnsi="宋体"/>
          <w:color w:val="000000"/>
          <w:szCs w:val="21"/>
          <w:lang w:val="en-US" w:eastAsia="zh-CN"/>
        </w:rPr>
        <w:t xml:space="preserve">8</w:t>
      </w:r>
      <w:r>
        <w:rPr>
          <w:rFonts w:hint="eastAsia" w:ascii="宋体" w:hAnsi="宋体"/>
          <w:color w:val="000000"/>
          <w:szCs w:val="21"/>
        </w:rPr>
        <w:t xml:space="preserve">分；提出的安全、卫生保障方案及措施方案内容较完整、措施方案较明确、操作性较强的得</w:t>
      </w:r>
      <w:r>
        <w:rPr>
          <w:rFonts w:hint="eastAsia" w:ascii="宋体" w:hAnsi="宋体"/>
          <w:color w:val="000000"/>
          <w:szCs w:val="21"/>
          <w:lang w:val="en-US" w:eastAsia="zh-CN"/>
        </w:rPr>
        <w:t xml:space="preserve">5</w:t>
      </w:r>
      <w:r>
        <w:rPr>
          <w:rFonts w:hint="eastAsia" w:ascii="宋体" w:hAnsi="宋体"/>
          <w:color w:val="000000"/>
          <w:szCs w:val="21"/>
        </w:rPr>
        <w:t xml:space="preserve">分；提出的安全、卫生保障方案及措施内容仅有涉及</w:t>
      </w:r>
      <w:r>
        <w:rPr>
          <w:rFonts w:hint="eastAsia" w:ascii="宋体" w:hAnsi="宋体"/>
          <w:color w:val="000000"/>
          <w:szCs w:val="21"/>
          <w:lang w:val="en-US" w:eastAsia="zh-CN"/>
        </w:rPr>
        <w:t xml:space="preserve">但</w:t>
      </w:r>
      <w:r>
        <w:rPr>
          <w:rFonts w:hint="eastAsia" w:ascii="宋体" w:hAnsi="宋体"/>
          <w:color w:val="000000"/>
          <w:szCs w:val="21"/>
        </w:rPr>
        <w:t xml:space="preserve">内容缺失的得2分。不提供者不得分。</w:t>
      </w:r>
      <w:r>
        <w:rPr>
          <w:rFonts w:ascii="宋体" w:hAnsi="宋体"/>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3、对投标单位提供的各岗位的操作规范（含采购、贮存、粗加工、分发、运输、清洗、消毒、检验、保洁等）评定。（10分）</w:t>
      </w:r>
      <w:r>
        <w:rPr>
          <w:rFonts w:ascii="宋体" w:hAnsi="宋体"/>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操作规范科学合理，操作流程完整，各岗位职责明确，责任划分到位，涉及各岗位</w:t>
      </w:r>
      <w:r>
        <w:rPr>
          <w:rFonts w:hint="eastAsia" w:ascii="宋体" w:hAnsi="宋体"/>
          <w:color w:val="000000"/>
          <w:szCs w:val="21"/>
          <w:lang w:val="en-US" w:eastAsia="zh-CN"/>
        </w:rPr>
        <w:t xml:space="preserve">且内容</w:t>
      </w:r>
      <w:r>
        <w:rPr>
          <w:rFonts w:hint="eastAsia" w:ascii="宋体" w:hAnsi="宋体"/>
          <w:color w:val="000000"/>
          <w:szCs w:val="21"/>
        </w:rPr>
        <w:t xml:space="preserve">详细周全的得10分；操作规范较科学合理，操作流程</w:t>
      </w:r>
      <w:r>
        <w:rPr>
          <w:rFonts w:hint="eastAsia" w:ascii="宋体" w:hAnsi="宋体"/>
          <w:color w:val="000000"/>
          <w:szCs w:val="21"/>
          <w:lang w:val="en-US" w:eastAsia="zh-CN"/>
        </w:rPr>
        <w:t xml:space="preserve">比较</w:t>
      </w:r>
      <w:r>
        <w:rPr>
          <w:rFonts w:hint="eastAsia" w:ascii="宋体" w:hAnsi="宋体"/>
          <w:color w:val="000000"/>
          <w:szCs w:val="21"/>
        </w:rPr>
        <w:t xml:space="preserve">完整，各岗位职责较明确，责任划分</w:t>
      </w:r>
      <w:r>
        <w:rPr>
          <w:rFonts w:hint="eastAsia" w:ascii="宋体" w:hAnsi="宋体"/>
          <w:color w:val="000000"/>
          <w:szCs w:val="21"/>
          <w:lang w:val="en-US" w:eastAsia="zh-CN"/>
        </w:rPr>
        <w:t xml:space="preserve">比较</w:t>
      </w:r>
      <w:r>
        <w:rPr>
          <w:rFonts w:hint="eastAsia" w:ascii="宋体" w:hAnsi="宋体"/>
          <w:color w:val="000000"/>
          <w:szCs w:val="21"/>
        </w:rPr>
        <w:t xml:space="preserve">到位，包含较多数岗位的得</w:t>
      </w:r>
      <w:r>
        <w:rPr>
          <w:rFonts w:hint="eastAsia" w:ascii="宋体" w:hAnsi="宋体"/>
          <w:color w:val="000000"/>
          <w:szCs w:val="21"/>
          <w:lang w:val="en-US" w:eastAsia="zh-CN"/>
        </w:rPr>
        <w:t xml:space="preserve">7</w:t>
      </w:r>
      <w:r>
        <w:rPr>
          <w:rFonts w:hint="eastAsia" w:ascii="宋体" w:hAnsi="宋体"/>
          <w:color w:val="000000"/>
          <w:szCs w:val="21"/>
        </w:rPr>
        <w:t xml:space="preserve">分；操作规范</w:t>
      </w:r>
      <w:r>
        <w:rPr>
          <w:rFonts w:hint="eastAsia" w:ascii="宋体" w:hAnsi="宋体"/>
          <w:color w:val="000000"/>
          <w:szCs w:val="21"/>
          <w:lang w:val="en-US" w:eastAsia="zh-CN"/>
        </w:rPr>
        <w:t xml:space="preserve">及</w:t>
      </w:r>
      <w:r>
        <w:rPr>
          <w:rFonts w:hint="eastAsia" w:ascii="宋体" w:hAnsi="宋体"/>
          <w:color w:val="000000"/>
          <w:szCs w:val="21"/>
        </w:rPr>
        <w:t xml:space="preserve">操作流程</w:t>
      </w:r>
      <w:r>
        <w:rPr>
          <w:rFonts w:hint="eastAsia" w:ascii="宋体" w:hAnsi="宋体"/>
          <w:color w:val="000000"/>
          <w:szCs w:val="21"/>
          <w:lang w:val="en-US" w:eastAsia="zh-CN"/>
        </w:rPr>
        <w:t xml:space="preserve">一般</w:t>
      </w:r>
      <w:r>
        <w:rPr>
          <w:rFonts w:hint="eastAsia" w:ascii="宋体" w:hAnsi="宋体"/>
          <w:color w:val="000000"/>
          <w:szCs w:val="21"/>
        </w:rPr>
        <w:t xml:space="preserve">，各岗位职责</w:t>
      </w:r>
      <w:r>
        <w:rPr>
          <w:rFonts w:hint="eastAsia" w:ascii="宋体" w:hAnsi="宋体"/>
          <w:color w:val="000000"/>
          <w:szCs w:val="21"/>
          <w:lang w:val="en-US" w:eastAsia="zh-CN"/>
        </w:rPr>
        <w:t xml:space="preserve">及</w:t>
      </w:r>
      <w:r>
        <w:rPr>
          <w:rFonts w:hint="eastAsia" w:ascii="宋体" w:hAnsi="宋体"/>
          <w:color w:val="000000"/>
          <w:szCs w:val="21"/>
        </w:rPr>
        <w:t xml:space="preserve">责任划分</w:t>
      </w:r>
      <w:r>
        <w:rPr>
          <w:rFonts w:hint="eastAsia" w:ascii="宋体" w:hAnsi="宋体"/>
          <w:color w:val="000000"/>
          <w:szCs w:val="21"/>
        </w:rPr>
        <w:t xml:space="preserve">不</w:t>
      </w:r>
      <w:r>
        <w:rPr>
          <w:rFonts w:hint="eastAsia" w:ascii="宋体" w:hAnsi="宋体"/>
          <w:color w:val="000000"/>
          <w:szCs w:val="21"/>
          <w:lang w:val="en-US" w:eastAsia="zh-CN"/>
        </w:rPr>
        <w:t xml:space="preserve">太</w:t>
      </w:r>
      <w:r>
        <w:rPr>
          <w:rFonts w:hint="eastAsia" w:ascii="宋体" w:hAnsi="宋体"/>
          <w:color w:val="000000"/>
          <w:szCs w:val="21"/>
        </w:rPr>
        <w:t xml:space="preserve">明确，</w:t>
      </w:r>
      <w:r>
        <w:rPr>
          <w:rFonts w:hint="eastAsia" w:ascii="宋体" w:hAnsi="宋体"/>
          <w:color w:val="000000"/>
          <w:szCs w:val="21"/>
        </w:rPr>
        <w:t xml:space="preserve">涉及岗位较少的得</w:t>
      </w:r>
      <w:r>
        <w:rPr>
          <w:rFonts w:hint="eastAsia" w:ascii="宋体" w:hAnsi="宋体"/>
          <w:color w:val="000000"/>
          <w:szCs w:val="21"/>
          <w:lang w:val="en-US" w:eastAsia="zh-CN"/>
        </w:rPr>
        <w:t xml:space="preserve">4</w:t>
      </w:r>
      <w:r>
        <w:rPr>
          <w:rFonts w:hint="eastAsia" w:ascii="宋体" w:hAnsi="宋体"/>
          <w:color w:val="000000"/>
          <w:szCs w:val="21"/>
        </w:rPr>
        <w:t xml:space="preserve">分</w:t>
      </w:r>
      <w:r>
        <w:rPr>
          <w:rFonts w:hint="eastAsia" w:ascii="宋体" w:hAnsi="宋体"/>
          <w:color w:val="000000"/>
          <w:szCs w:val="21"/>
          <w:lang w:eastAsia="zh-CN"/>
        </w:rPr>
        <w:t xml:space="preserve">；</w:t>
      </w:r>
      <w:r>
        <w:rPr>
          <w:rFonts w:hint="eastAsia" w:ascii="宋体" w:hAnsi="宋体"/>
          <w:color w:val="000000"/>
          <w:szCs w:val="21"/>
        </w:rPr>
        <w:t xml:space="preserve">操作规范</w:t>
      </w:r>
      <w:r>
        <w:rPr>
          <w:rFonts w:hint="eastAsia" w:ascii="宋体" w:hAnsi="宋体"/>
          <w:color w:val="000000"/>
          <w:szCs w:val="21"/>
          <w:lang w:val="en-US" w:eastAsia="zh-CN"/>
        </w:rPr>
        <w:t xml:space="preserve">及</w:t>
      </w:r>
      <w:r>
        <w:rPr>
          <w:rFonts w:hint="eastAsia" w:ascii="宋体" w:hAnsi="宋体"/>
          <w:color w:val="000000"/>
          <w:szCs w:val="21"/>
        </w:rPr>
        <w:t xml:space="preserve">操作流程</w:t>
      </w:r>
      <w:r>
        <w:rPr>
          <w:rFonts w:hint="eastAsia" w:ascii="宋体" w:hAnsi="宋体"/>
          <w:color w:val="000000"/>
          <w:szCs w:val="21"/>
          <w:lang w:val="en-US" w:eastAsia="zh-CN"/>
        </w:rPr>
        <w:t xml:space="preserve">简单粗略有瑕疵</w:t>
      </w:r>
      <w:r>
        <w:rPr>
          <w:rFonts w:hint="eastAsia" w:ascii="宋体" w:hAnsi="宋体"/>
          <w:color w:val="000000"/>
          <w:szCs w:val="21"/>
        </w:rPr>
        <w:t xml:space="preserve">，各岗位职责</w:t>
      </w:r>
      <w:r>
        <w:rPr>
          <w:rFonts w:hint="eastAsia" w:ascii="宋体" w:hAnsi="宋体"/>
          <w:color w:val="000000"/>
          <w:szCs w:val="21"/>
          <w:lang w:val="en-US" w:eastAsia="zh-CN"/>
        </w:rPr>
        <w:t xml:space="preserve">及</w:t>
      </w:r>
      <w:r>
        <w:rPr>
          <w:rFonts w:hint="eastAsia" w:ascii="宋体" w:hAnsi="宋体"/>
          <w:color w:val="000000"/>
          <w:szCs w:val="21"/>
        </w:rPr>
        <w:t xml:space="preserve">责任划分</w:t>
      </w:r>
      <w:r>
        <w:rPr>
          <w:rFonts w:hint="eastAsia" w:ascii="宋体" w:hAnsi="宋体"/>
          <w:color w:val="000000"/>
          <w:szCs w:val="21"/>
          <w:lang w:val="en-US" w:eastAsia="zh-CN"/>
        </w:rPr>
        <w:t xml:space="preserve">不明确</w:t>
      </w:r>
      <w:r>
        <w:rPr>
          <w:rFonts w:hint="eastAsia" w:ascii="宋体" w:hAnsi="宋体"/>
          <w:color w:val="000000"/>
          <w:szCs w:val="21"/>
        </w:rPr>
        <w:t xml:space="preserve">的得</w:t>
      </w:r>
      <w:r>
        <w:rPr>
          <w:rFonts w:hint="eastAsia" w:ascii="宋体" w:hAnsi="宋体"/>
          <w:color w:val="000000"/>
          <w:szCs w:val="21"/>
          <w:lang w:val="en-US" w:eastAsia="zh-CN"/>
        </w:rPr>
        <w:t xml:space="preserve">1</w:t>
      </w:r>
      <w:r>
        <w:rPr>
          <w:rFonts w:hint="eastAsia" w:ascii="宋体" w:hAnsi="宋体"/>
          <w:color w:val="000000"/>
          <w:szCs w:val="21"/>
        </w:rPr>
        <w:t xml:space="preserve">分；</w:t>
      </w:r>
      <w:r>
        <w:rPr>
          <w:rFonts w:hint="eastAsia" w:ascii="宋体" w:hAnsi="宋体"/>
          <w:color w:val="000000"/>
          <w:szCs w:val="21"/>
        </w:rPr>
        <w:t xml:space="preserve">不提供者不得分。</w:t>
      </w:r>
      <w:r>
        <w:rPr>
          <w:rFonts w:ascii="宋体" w:hAnsi="宋体"/>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4、应急预案比较【包括本项目可能发生的各类应急预案，</w:t>
      </w:r>
      <w:r>
        <w:rPr>
          <w:rFonts w:hint="eastAsia" w:ascii="宋体" w:hAnsi="宋体" w:eastAsia="宋体" w:cs="Times New Roman"/>
          <w:color w:val="000000"/>
          <w:szCs w:val="21"/>
        </w:rPr>
        <w:t xml:space="preserve">包括但不限于自然灾害、停水、停电等特殊情况</w:t>
      </w:r>
      <w:r>
        <w:rPr>
          <w:rFonts w:hint="eastAsia" w:ascii="宋体" w:hAnsi="宋体" w:eastAsia="宋体" w:cs="Times New Roman"/>
          <w:color w:val="000000"/>
          <w:szCs w:val="21"/>
          <w:lang w:eastAsia="zh-CN"/>
        </w:rPr>
        <w:t xml:space="preserve">、</w:t>
      </w:r>
      <w:r>
        <w:rPr>
          <w:rFonts w:hint="eastAsia" w:ascii="宋体" w:hAnsi="宋体"/>
          <w:color w:val="000000"/>
          <w:szCs w:val="21"/>
        </w:rPr>
        <w:t xml:space="preserve">突发危机事件、火灾应急、突发治安事件、防台防讯（台风天气）应急、发生紧急情况如</w:t>
      </w:r>
      <w:r>
        <w:rPr>
          <w:rFonts w:hint="eastAsia" w:ascii="宋体" w:hAnsi="宋体"/>
          <w:color w:val="000000"/>
          <w:szCs w:val="21"/>
          <w:lang w:val="en-US" w:eastAsia="zh-CN"/>
        </w:rPr>
        <w:t xml:space="preserve">野生动物</w:t>
      </w:r>
      <w:r>
        <w:rPr>
          <w:rFonts w:hint="eastAsia" w:ascii="宋体" w:hAnsi="宋体"/>
          <w:color w:val="000000"/>
          <w:szCs w:val="21"/>
        </w:rPr>
        <w:t xml:space="preserve">食物</w:t>
      </w:r>
      <w:r>
        <w:rPr>
          <w:rFonts w:hint="eastAsia" w:ascii="宋体" w:hAnsi="宋体" w:eastAsia="宋体" w:cs="Times New Roman"/>
          <w:color w:val="000000"/>
          <w:szCs w:val="21"/>
        </w:rPr>
        <w:t xml:space="preserve">中毒等</w:t>
      </w:r>
      <w:r>
        <w:rPr>
          <w:rFonts w:hint="eastAsia" w:ascii="宋体" w:hAnsi="宋体" w:eastAsia="宋体" w:cs="Times New Roman"/>
          <w:color w:val="000000"/>
          <w:szCs w:val="21"/>
          <w:lang w:val="en-US" w:eastAsia="zh-CN"/>
        </w:rPr>
        <w:t xml:space="preserve">的</w:t>
      </w:r>
      <w:r>
        <w:rPr>
          <w:rFonts w:hint="eastAsia" w:ascii="宋体" w:hAnsi="宋体" w:eastAsia="宋体" w:cs="Times New Roman"/>
          <w:color w:val="000000"/>
          <w:szCs w:val="21"/>
        </w:rPr>
        <w:t xml:space="preserve">应急预案及处置时效】（</w:t>
      </w:r>
      <w:r>
        <w:rPr>
          <w:rFonts w:hint="eastAsia" w:ascii="宋体" w:hAnsi="宋体"/>
          <w:color w:val="000000"/>
          <w:szCs w:val="21"/>
          <w:lang w:val="en-US" w:eastAsia="zh-CN"/>
        </w:rPr>
        <w:t xml:space="preserve">10</w:t>
      </w:r>
      <w:r>
        <w:rPr>
          <w:rFonts w:hint="eastAsia" w:ascii="宋体" w:hAnsi="宋体"/>
          <w:color w:val="000000"/>
          <w:szCs w:val="21"/>
        </w:rPr>
        <w:t xml:space="preserve">分）</w:t>
      </w:r>
      <w:r>
        <w:rPr>
          <w:rFonts w:ascii="宋体" w:hAnsi="宋体"/>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lang w:val="en-US" w:eastAsia="zh-CN"/>
        </w:rPr>
        <w:t xml:space="preserve">应急</w:t>
      </w:r>
      <w:r>
        <w:rPr>
          <w:rFonts w:hint="eastAsia" w:ascii="宋体" w:hAnsi="宋体"/>
          <w:color w:val="000000"/>
          <w:szCs w:val="21"/>
        </w:rPr>
        <w:t xml:space="preserve">方案阐述明确，条理清晰，具有详细方案内容且措施实施有效的得</w:t>
      </w:r>
      <w:r>
        <w:rPr>
          <w:rFonts w:hint="eastAsia" w:ascii="宋体" w:hAnsi="宋体"/>
          <w:color w:val="000000"/>
          <w:szCs w:val="21"/>
          <w:lang w:val="en-US" w:eastAsia="zh-CN"/>
        </w:rPr>
        <w:t xml:space="preserve">10</w:t>
      </w:r>
      <w:r>
        <w:rPr>
          <w:rFonts w:hint="eastAsia" w:ascii="宋体" w:hAnsi="宋体"/>
          <w:color w:val="000000"/>
          <w:szCs w:val="21"/>
        </w:rPr>
        <w:t xml:space="preserve">分；方案阐述较</w:t>
      </w:r>
      <w:r>
        <w:rPr>
          <w:rFonts w:hint="eastAsia" w:ascii="宋体" w:hAnsi="宋体"/>
          <w:color w:val="000000"/>
          <w:szCs w:val="21"/>
          <w:lang w:val="en-US" w:eastAsia="zh-CN"/>
        </w:rPr>
        <w:t xml:space="preserve">明确</w:t>
      </w:r>
      <w:r>
        <w:rPr>
          <w:rFonts w:hint="eastAsia" w:ascii="宋体" w:hAnsi="宋体"/>
          <w:color w:val="000000"/>
          <w:szCs w:val="21"/>
        </w:rPr>
        <w:t xml:space="preserve">，条理较清晰，措施涉及内容</w:t>
      </w:r>
      <w:r>
        <w:rPr>
          <w:rFonts w:hint="eastAsia" w:ascii="宋体" w:hAnsi="宋体"/>
          <w:color w:val="000000"/>
          <w:szCs w:val="21"/>
          <w:lang w:val="en-US" w:eastAsia="zh-CN"/>
        </w:rPr>
        <w:t xml:space="preserve">较</w:t>
      </w:r>
      <w:r>
        <w:rPr>
          <w:rFonts w:hint="eastAsia" w:ascii="宋体" w:hAnsi="宋体"/>
          <w:color w:val="000000"/>
          <w:szCs w:val="21"/>
        </w:rPr>
        <w:t xml:space="preserve">详细</w:t>
      </w:r>
      <w:r>
        <w:rPr>
          <w:rFonts w:hint="eastAsia" w:ascii="宋体" w:hAnsi="宋体"/>
          <w:color w:val="000000"/>
          <w:szCs w:val="21"/>
          <w:lang w:val="en-US" w:eastAsia="zh-CN"/>
        </w:rPr>
        <w:t xml:space="preserve">细致</w:t>
      </w:r>
      <w:r>
        <w:rPr>
          <w:rFonts w:hint="eastAsia" w:ascii="宋体" w:hAnsi="宋体"/>
          <w:color w:val="000000"/>
          <w:szCs w:val="21"/>
        </w:rPr>
        <w:t xml:space="preserve">的得</w:t>
      </w:r>
      <w:r>
        <w:rPr>
          <w:rFonts w:hint="eastAsia" w:ascii="宋体" w:hAnsi="宋体"/>
          <w:color w:val="000000"/>
          <w:szCs w:val="21"/>
          <w:lang w:val="en-US" w:eastAsia="zh-CN"/>
        </w:rPr>
        <w:t xml:space="preserve">7</w:t>
      </w:r>
      <w:r>
        <w:rPr>
          <w:rFonts w:hint="eastAsia" w:ascii="宋体" w:hAnsi="宋体"/>
          <w:color w:val="000000"/>
          <w:szCs w:val="21"/>
        </w:rPr>
        <w:t xml:space="preserve">分；</w:t>
      </w:r>
      <w:r>
        <w:rPr>
          <w:rFonts w:hint="eastAsia" w:ascii="宋体" w:hAnsi="宋体"/>
          <w:color w:val="000000"/>
          <w:szCs w:val="21"/>
        </w:rPr>
        <w:t xml:space="preserve">方案阐述</w:t>
      </w:r>
      <w:r>
        <w:rPr>
          <w:rFonts w:hint="eastAsia" w:ascii="宋体" w:hAnsi="宋体"/>
          <w:color w:val="000000"/>
          <w:szCs w:val="21"/>
          <w:lang w:val="en-US" w:eastAsia="zh-CN"/>
        </w:rPr>
        <w:t xml:space="preserve">基本</w:t>
      </w:r>
      <w:r>
        <w:rPr>
          <w:rFonts w:hint="eastAsia" w:ascii="宋体" w:hAnsi="宋体"/>
          <w:color w:val="000000"/>
          <w:szCs w:val="21"/>
        </w:rPr>
        <w:t xml:space="preserve">清楚，条理</w:t>
      </w:r>
      <w:r>
        <w:rPr>
          <w:rFonts w:hint="eastAsia" w:ascii="宋体" w:hAnsi="宋体"/>
          <w:color w:val="000000"/>
          <w:szCs w:val="21"/>
          <w:lang w:val="en-US" w:eastAsia="zh-CN"/>
        </w:rPr>
        <w:t xml:space="preserve">基本</w:t>
      </w:r>
      <w:r>
        <w:rPr>
          <w:rFonts w:hint="eastAsia" w:ascii="宋体" w:hAnsi="宋体"/>
          <w:color w:val="000000"/>
          <w:szCs w:val="21"/>
        </w:rPr>
        <w:t xml:space="preserve">清晰，措施涉及内容</w:t>
      </w:r>
      <w:r>
        <w:rPr>
          <w:rFonts w:hint="eastAsia" w:ascii="宋体" w:hAnsi="宋体"/>
          <w:color w:val="000000"/>
          <w:szCs w:val="21"/>
          <w:lang w:val="en-US" w:eastAsia="zh-CN"/>
        </w:rPr>
        <w:t xml:space="preserve">基本完整细致</w:t>
      </w:r>
      <w:r>
        <w:rPr>
          <w:rFonts w:hint="eastAsia" w:ascii="宋体" w:hAnsi="宋体"/>
          <w:color w:val="000000"/>
          <w:szCs w:val="21"/>
        </w:rPr>
        <w:t xml:space="preserve">的得</w:t>
      </w:r>
      <w:r>
        <w:rPr>
          <w:rFonts w:hint="eastAsia" w:ascii="宋体" w:hAnsi="宋体"/>
          <w:color w:val="000000"/>
          <w:szCs w:val="21"/>
          <w:lang w:val="en-US" w:eastAsia="zh-CN"/>
        </w:rPr>
        <w:t xml:space="preserve">4</w:t>
      </w:r>
      <w:r>
        <w:rPr>
          <w:rFonts w:hint="eastAsia" w:ascii="宋体" w:hAnsi="宋体"/>
          <w:color w:val="000000"/>
          <w:szCs w:val="21"/>
        </w:rPr>
        <w:t xml:space="preserve">分；</w:t>
      </w:r>
      <w:r>
        <w:rPr>
          <w:rFonts w:hint="eastAsia" w:ascii="宋体" w:hAnsi="宋体"/>
          <w:color w:val="000000"/>
          <w:szCs w:val="21"/>
        </w:rPr>
        <w:t xml:space="preserve">方案阐述模糊，条理含糊，方案措施欠缺得</w:t>
      </w:r>
      <w:r>
        <w:rPr>
          <w:rFonts w:hint="eastAsia" w:ascii="宋体" w:hAnsi="宋体"/>
          <w:color w:val="000000"/>
          <w:szCs w:val="21"/>
          <w:lang w:val="en-US" w:eastAsia="zh-CN"/>
        </w:rPr>
        <w:t xml:space="preserve">1</w:t>
      </w:r>
      <w:r>
        <w:rPr>
          <w:rFonts w:hint="eastAsia" w:ascii="宋体" w:hAnsi="宋体"/>
          <w:color w:val="000000"/>
          <w:szCs w:val="21"/>
        </w:rPr>
        <w:t xml:space="preserve">分。不提供者不得分。</w:t>
      </w:r>
      <w:r>
        <w:rPr>
          <w:rFonts w:ascii="宋体" w:hAnsi="宋体"/>
          <w:color w:val="000000"/>
          <w:szCs w:val="21"/>
        </w:rPr>
      </w:r>
      <w:r/>
    </w:p>
    <w:p>
      <w:pPr>
        <w:pStyle w:val="864"/>
        <w:ind w:firstLine="480"/>
        <w:spacing w:line="360" w:lineRule="auto"/>
        <w:rPr>
          <w:rFonts w:ascii="宋体" w:hAnsi="宋体"/>
          <w:color w:val="000000"/>
          <w:szCs w:val="21"/>
        </w:rPr>
      </w:pPr>
      <w:r>
        <w:rPr>
          <w:rFonts w:hint="eastAsia" w:ascii="宋体" w:hAnsi="宋体"/>
          <w:color w:val="000000"/>
          <w:szCs w:val="21"/>
        </w:rPr>
        <w:t xml:space="preserve">5、采购原料的索证制度比较（</w:t>
      </w:r>
      <w:r>
        <w:rPr>
          <w:rFonts w:hint="eastAsia" w:ascii="宋体" w:hAnsi="宋体"/>
          <w:color w:val="000000"/>
          <w:szCs w:val="21"/>
          <w:lang w:val="en-US" w:eastAsia="zh-CN"/>
        </w:rPr>
        <w:t xml:space="preserve">5</w:t>
      </w:r>
      <w:r>
        <w:rPr>
          <w:rFonts w:hint="eastAsia" w:ascii="宋体" w:hAnsi="宋体"/>
          <w:color w:val="000000"/>
          <w:szCs w:val="21"/>
        </w:rPr>
        <w:t xml:space="preserve">分）</w:t>
      </w:r>
      <w:r>
        <w:rPr>
          <w:rFonts w:ascii="宋体" w:hAnsi="宋体"/>
          <w:color w:val="000000"/>
          <w:szCs w:val="21"/>
        </w:rPr>
      </w:r>
      <w:r/>
    </w:p>
    <w:p>
      <w:pPr>
        <w:pStyle w:val="864"/>
        <w:ind w:firstLine="480"/>
        <w:spacing w:line="360" w:lineRule="auto"/>
        <w:rPr>
          <w:rFonts w:hint="eastAsia" w:ascii="宋体" w:hAnsi="宋体"/>
          <w:color w:val="000000"/>
          <w:szCs w:val="21"/>
        </w:rPr>
      </w:pPr>
      <w:r>
        <w:rPr>
          <w:rFonts w:hint="eastAsia" w:ascii="宋体" w:hAnsi="宋体"/>
          <w:color w:val="000000"/>
          <w:szCs w:val="21"/>
        </w:rPr>
        <w:t xml:space="preserve">追溯源齐全、有严格的仓库管理制度要求，食品先进先出，阐述明确，条理清晰，具有详细方案内容且措施实施有效的得</w:t>
      </w:r>
      <w:r>
        <w:rPr>
          <w:rFonts w:hint="eastAsia" w:ascii="宋体" w:hAnsi="宋体"/>
          <w:color w:val="000000"/>
          <w:szCs w:val="21"/>
          <w:lang w:val="en-US" w:eastAsia="zh-CN"/>
        </w:rPr>
        <w:t xml:space="preserve">5</w:t>
      </w:r>
      <w:r>
        <w:rPr>
          <w:rFonts w:hint="eastAsia" w:ascii="宋体" w:hAnsi="宋体"/>
          <w:color w:val="000000"/>
          <w:szCs w:val="21"/>
        </w:rPr>
        <w:t xml:space="preserve">分；追溯源</w:t>
      </w:r>
      <w:r>
        <w:rPr>
          <w:rFonts w:hint="eastAsia" w:ascii="宋体" w:hAnsi="宋体"/>
          <w:color w:val="000000"/>
          <w:szCs w:val="21"/>
          <w:lang w:val="en-US" w:eastAsia="zh-CN"/>
        </w:rPr>
        <w:t xml:space="preserve">较</w:t>
      </w:r>
      <w:r>
        <w:rPr>
          <w:rFonts w:hint="eastAsia" w:ascii="宋体" w:hAnsi="宋体"/>
          <w:color w:val="000000"/>
          <w:szCs w:val="21"/>
        </w:rPr>
        <w:t xml:space="preserve">齐全、有严格的仓库管理制度要求，食品先进先出阐述</w:t>
      </w:r>
      <w:r>
        <w:rPr>
          <w:rFonts w:hint="eastAsia" w:ascii="宋体" w:hAnsi="宋体"/>
          <w:color w:val="000000"/>
          <w:szCs w:val="21"/>
          <w:lang w:val="en-US" w:eastAsia="zh-CN"/>
        </w:rPr>
        <w:t xml:space="preserve">较</w:t>
      </w:r>
      <w:r>
        <w:rPr>
          <w:rFonts w:hint="eastAsia" w:ascii="宋体" w:hAnsi="宋体"/>
          <w:color w:val="000000"/>
          <w:szCs w:val="21"/>
        </w:rPr>
        <w:t xml:space="preserve">清楚，条理比较清晰，措施基本涉及内容不详细的得</w:t>
      </w:r>
      <w:r>
        <w:rPr>
          <w:rFonts w:hint="eastAsia" w:ascii="宋体" w:hAnsi="宋体"/>
          <w:color w:val="000000"/>
          <w:szCs w:val="21"/>
          <w:lang w:val="en-US" w:eastAsia="zh-CN"/>
        </w:rPr>
        <w:t xml:space="preserve">2</w:t>
      </w:r>
      <w:r>
        <w:rPr>
          <w:rFonts w:hint="eastAsia" w:ascii="宋体" w:hAnsi="宋体"/>
          <w:color w:val="000000"/>
          <w:szCs w:val="21"/>
        </w:rPr>
        <w:t xml:space="preserve">分；提出的方案，阐述模糊，条理含糊，方案措施欠缺</w:t>
      </w:r>
      <w:r>
        <w:rPr>
          <w:rFonts w:hint="eastAsia" w:ascii="宋体" w:hAnsi="宋体"/>
          <w:color w:val="000000"/>
          <w:szCs w:val="21"/>
          <w:lang w:val="en-US" w:eastAsia="zh-CN"/>
        </w:rPr>
        <w:t xml:space="preserve">的</w:t>
      </w:r>
      <w:r>
        <w:rPr>
          <w:rFonts w:hint="eastAsia" w:ascii="宋体" w:hAnsi="宋体"/>
          <w:color w:val="000000"/>
          <w:szCs w:val="21"/>
        </w:rPr>
        <w:t xml:space="preserve">得</w:t>
      </w:r>
      <w:r>
        <w:rPr>
          <w:rFonts w:hint="eastAsia" w:ascii="宋体" w:hAnsi="宋体"/>
          <w:color w:val="000000"/>
          <w:szCs w:val="21"/>
          <w:lang w:val="en-US" w:eastAsia="zh-CN"/>
        </w:rPr>
        <w:t xml:space="preserve">1</w:t>
      </w:r>
      <w:r>
        <w:rPr>
          <w:rFonts w:hint="eastAsia" w:ascii="宋体" w:hAnsi="宋体"/>
          <w:color w:val="000000"/>
          <w:szCs w:val="21"/>
        </w:rPr>
        <w:t xml:space="preserve">分。不提供者不得分。</w:t>
      </w:r>
      <w:r>
        <w:rPr>
          <w:rFonts w:hint="eastAsia" w:ascii="宋体" w:hAnsi="宋体"/>
          <w:color w:val="000000"/>
          <w:szCs w:val="21"/>
        </w:rPr>
      </w:r>
      <w:r/>
    </w:p>
    <w:p>
      <w:pPr>
        <w:pStyle w:val="864"/>
        <w:numPr>
          <w:ilvl w:val="0"/>
          <w:numId w:val="7"/>
        </w:numPr>
        <w:ind w:firstLine="48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针对本项目的服务承诺（包括廉洁承诺、质量承诺、保密承诺、供应保障承诺、配送时效承诺、瑕疵货品退换货、赔偿承诺等内容）进行综合评分，最高</w:t>
      </w:r>
      <w:r>
        <w:rPr>
          <w:rFonts w:hint="eastAsia" w:ascii="宋体" w:hAnsi="宋体" w:eastAsia="宋体" w:cs="Times New Roman"/>
          <w:color w:val="000000"/>
          <w:szCs w:val="21"/>
          <w:lang w:val="en-US" w:eastAsia="zh-CN"/>
        </w:rPr>
        <w:t xml:space="preserve">4</w:t>
      </w:r>
      <w:r>
        <w:rPr>
          <w:rFonts w:hint="eastAsia" w:ascii="宋体" w:hAnsi="宋体" w:eastAsia="宋体" w:cs="Times New Roman"/>
          <w:color w:val="000000"/>
          <w:szCs w:val="21"/>
        </w:rPr>
        <w:t xml:space="preserve">分。承诺内容描述详细、切合实际、可操作性强的得</w:t>
      </w:r>
      <w:r>
        <w:rPr>
          <w:rFonts w:hint="eastAsia" w:ascii="宋体" w:hAnsi="宋体" w:eastAsia="宋体" w:cs="Times New Roman"/>
          <w:color w:val="000000"/>
          <w:szCs w:val="21"/>
          <w:lang w:val="en-US" w:eastAsia="zh-CN"/>
        </w:rPr>
        <w:t xml:space="preserve">4</w:t>
      </w:r>
      <w:r>
        <w:rPr>
          <w:rFonts w:hint="eastAsia" w:ascii="宋体" w:hAnsi="宋体" w:eastAsia="宋体" w:cs="Times New Roman"/>
          <w:color w:val="000000"/>
          <w:szCs w:val="21"/>
        </w:rPr>
        <w:t xml:space="preserve">分；承诺内容描述较详细、可操作性一般的得2分；承诺内容描述简略、可操作性差的得1分；不提供者不得分。</w:t>
      </w:r>
      <w:r>
        <w:rPr>
          <w:rFonts w:hint="eastAsia" w:ascii="宋体" w:hAnsi="宋体" w:eastAsia="宋体" w:cs="Times New Roman"/>
          <w:color w:val="000000"/>
          <w:szCs w:val="21"/>
        </w:rPr>
      </w:r>
      <w:r/>
    </w:p>
    <w:p>
      <w:pPr>
        <w:pStyle w:val="864"/>
        <w:ind w:firstLine="422"/>
        <w:spacing w:line="360" w:lineRule="auto"/>
        <w:rPr>
          <w:rFonts w:ascii="宋体" w:hAnsi="宋体" w:eastAsia="宋体" w:cs="Times New Roman"/>
          <w:b/>
          <w:szCs w:val="21"/>
          <w:lang w:val="en-US" w:eastAsia="zh-CN"/>
        </w:rPr>
      </w:pPr>
      <w:r>
        <w:rPr>
          <w:rFonts w:hint="eastAsia" w:ascii="宋体" w:hAnsi="宋体" w:eastAsia="宋体" w:cs="Times New Roman"/>
          <w:b/>
          <w:szCs w:val="21"/>
          <w:lang w:eastAsia="zh-CN"/>
        </w:rPr>
        <w:t xml:space="preserve">（</w:t>
      </w:r>
      <w:r>
        <w:rPr>
          <w:rFonts w:hint="eastAsia" w:ascii="宋体" w:hAnsi="宋体" w:eastAsia="宋体" w:cs="Times New Roman"/>
          <w:b/>
          <w:szCs w:val="21"/>
          <w:lang w:val="en-US" w:eastAsia="zh-CN"/>
        </w:rPr>
        <w:t xml:space="preserve">三）</w:t>
      </w:r>
      <w:r>
        <w:rPr>
          <w:rFonts w:hint="eastAsia" w:ascii="宋体" w:hAnsi="宋体" w:eastAsia="宋体" w:cs="Times New Roman"/>
          <w:b/>
          <w:szCs w:val="21"/>
        </w:rPr>
        <w:t xml:space="preserve">响应单位综合实力比较</w:t>
      </w:r>
      <w:r>
        <w:rPr>
          <w:rFonts w:hint="eastAsia" w:ascii="宋体" w:hAnsi="宋体" w:eastAsia="宋体" w:cs="Times New Roman"/>
          <w:b/>
          <w:szCs w:val="21"/>
          <w:lang w:eastAsia="zh-CN"/>
        </w:rPr>
        <w:t xml:space="preserve">（</w:t>
      </w:r>
      <w:r>
        <w:rPr>
          <w:rFonts w:hint="eastAsia" w:ascii="宋体" w:hAnsi="宋体" w:eastAsia="宋体" w:cs="Times New Roman"/>
          <w:b/>
          <w:szCs w:val="21"/>
          <w:lang w:val="en-US" w:eastAsia="zh-CN"/>
        </w:rPr>
        <w:t xml:space="preserve">15分）</w:t>
      </w:r>
      <w:r>
        <w:rPr>
          <w:rFonts w:ascii="宋体" w:hAnsi="宋体" w:eastAsia="宋体" w:cs="Times New Roman"/>
          <w:b/>
          <w:szCs w:val="21"/>
          <w:lang w:val="en-US" w:eastAsia="zh-CN"/>
        </w:rPr>
      </w:r>
      <w:r/>
    </w:p>
    <w:p>
      <w:pPr>
        <w:pStyle w:val="864"/>
        <w:ind w:firstLine="420"/>
        <w:spacing w:line="360" w:lineRule="auto"/>
        <w:rPr>
          <w:rFonts w:ascii="宋体" w:hAnsi="宋体"/>
          <w:b/>
          <w:sz w:val="21"/>
          <w:szCs w:val="21"/>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投标单位针对本项目基础设施情况比较</w:t>
      </w:r>
      <w:r>
        <w:rPr>
          <w:rFonts w:hint="eastAsia" w:ascii="宋体" w:hAnsi="宋体"/>
          <w:b/>
          <w:sz w:val="21"/>
          <w:szCs w:val="21"/>
        </w:rPr>
        <w:t xml:space="preserve">（</w:t>
      </w:r>
      <w:r>
        <w:rPr>
          <w:rFonts w:hint="eastAsia" w:ascii="宋体" w:hAnsi="宋体"/>
          <w:b/>
          <w:sz w:val="21"/>
          <w:szCs w:val="21"/>
          <w:lang w:val="en-US" w:eastAsia="zh-CN"/>
        </w:rPr>
        <w:t xml:space="preserve">6</w:t>
      </w:r>
      <w:r>
        <w:rPr>
          <w:rFonts w:hint="eastAsia" w:ascii="宋体" w:hAnsi="宋体"/>
          <w:b/>
          <w:sz w:val="21"/>
          <w:szCs w:val="21"/>
        </w:rPr>
        <w:t xml:space="preserve">分）</w:t>
      </w:r>
      <w:r>
        <w:rPr>
          <w:rFonts w:ascii="宋体" w:hAnsi="宋体"/>
          <w:b/>
          <w:sz w:val="21"/>
          <w:szCs w:val="21"/>
        </w:rPr>
      </w:r>
      <w:r/>
    </w:p>
    <w:p>
      <w:pPr>
        <w:pStyle w:val="864"/>
        <w:ind w:firstLine="480"/>
        <w:spacing w:line="360" w:lineRule="auto"/>
        <w:rPr>
          <w:rFonts w:hint="eastAsia"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1）</w:t>
      </w:r>
      <w:r>
        <w:rPr>
          <w:rFonts w:hint="eastAsia" w:ascii="宋体" w:hAnsi="宋体"/>
          <w:color w:val="000000"/>
          <w:szCs w:val="21"/>
        </w:rPr>
        <w:t xml:space="preserve">经营场地比较</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4分）</w:t>
      </w:r>
      <w:r>
        <w:rPr>
          <w:rFonts w:hint="eastAsia" w:ascii="宋体" w:hAnsi="宋体"/>
          <w:color w:val="000000"/>
          <w:szCs w:val="21"/>
        </w:rPr>
        <w:t xml:space="preserve">：包括不限于冷冻和冷藏设施、仓储区、办公区、安全保卫等措施，以上区域划分明确，安全保卫措施完善且提供资料、图片等齐全的得</w:t>
      </w:r>
      <w:r>
        <w:rPr>
          <w:rFonts w:hint="eastAsia" w:ascii="宋体" w:hAnsi="宋体"/>
          <w:color w:val="000000"/>
          <w:szCs w:val="21"/>
          <w:lang w:val="en-US" w:eastAsia="zh-CN"/>
        </w:rPr>
        <w:t xml:space="preserve">4</w:t>
      </w:r>
      <w:r>
        <w:rPr>
          <w:rFonts w:hint="eastAsia" w:ascii="宋体" w:hAnsi="宋体"/>
          <w:color w:val="000000"/>
          <w:szCs w:val="21"/>
        </w:rPr>
        <w:t xml:space="preserve">分；各个区域划分</w:t>
      </w:r>
      <w:r>
        <w:rPr>
          <w:rFonts w:hint="eastAsia" w:ascii="宋体" w:hAnsi="宋体"/>
          <w:color w:val="000000"/>
          <w:szCs w:val="21"/>
          <w:lang w:val="en-US" w:eastAsia="zh-CN"/>
        </w:rPr>
        <w:t xml:space="preserve">比较</w:t>
      </w:r>
      <w:r>
        <w:rPr>
          <w:rFonts w:hint="eastAsia" w:ascii="宋体" w:hAnsi="宋体"/>
          <w:color w:val="000000"/>
          <w:szCs w:val="21"/>
        </w:rPr>
        <w:t xml:space="preserve">明确、安全保卫措施</w:t>
      </w:r>
      <w:r>
        <w:rPr>
          <w:rFonts w:hint="eastAsia" w:ascii="宋体" w:hAnsi="宋体"/>
          <w:color w:val="000000"/>
          <w:szCs w:val="21"/>
          <w:lang w:val="en-US" w:eastAsia="zh-CN"/>
        </w:rPr>
        <w:t xml:space="preserve">比较</w:t>
      </w:r>
      <w:r>
        <w:rPr>
          <w:rFonts w:hint="eastAsia" w:ascii="宋体" w:hAnsi="宋体"/>
          <w:color w:val="000000"/>
          <w:szCs w:val="21"/>
        </w:rPr>
        <w:t xml:space="preserve">完整全面的得</w:t>
      </w:r>
      <w:r>
        <w:rPr>
          <w:rFonts w:hint="eastAsia" w:ascii="宋体" w:hAnsi="宋体"/>
          <w:color w:val="000000"/>
          <w:szCs w:val="21"/>
          <w:lang w:val="en-US" w:eastAsia="zh-CN"/>
        </w:rPr>
        <w:t xml:space="preserve">2</w:t>
      </w:r>
      <w:r>
        <w:rPr>
          <w:rFonts w:hint="eastAsia" w:ascii="宋体" w:hAnsi="宋体"/>
          <w:color w:val="000000"/>
          <w:szCs w:val="21"/>
        </w:rPr>
        <w:t xml:space="preserve">分；</w:t>
      </w:r>
      <w:r>
        <w:rPr>
          <w:rFonts w:hint="eastAsia" w:ascii="宋体" w:hAnsi="宋体"/>
          <w:color w:val="000000"/>
          <w:szCs w:val="21"/>
        </w:rPr>
        <w:t xml:space="preserve">各个区域划分</w:t>
      </w:r>
      <w:r>
        <w:rPr>
          <w:rFonts w:hint="eastAsia" w:ascii="宋体" w:hAnsi="宋体"/>
          <w:color w:val="000000"/>
          <w:szCs w:val="21"/>
          <w:lang w:val="en-US" w:eastAsia="zh-CN"/>
        </w:rPr>
        <w:t xml:space="preserve">不</w:t>
      </w:r>
      <w:r>
        <w:rPr>
          <w:rFonts w:hint="eastAsia" w:ascii="宋体" w:hAnsi="宋体"/>
          <w:color w:val="000000"/>
          <w:szCs w:val="21"/>
        </w:rPr>
        <w:t xml:space="preserve">明确</w:t>
      </w:r>
      <w:r>
        <w:rPr>
          <w:rFonts w:hint="eastAsia" w:ascii="宋体" w:hAnsi="宋体"/>
          <w:color w:val="000000"/>
          <w:szCs w:val="21"/>
          <w:lang w:eastAsia="zh-CN"/>
        </w:rPr>
        <w:t xml:space="preserve">、</w:t>
      </w:r>
      <w:r>
        <w:rPr>
          <w:rFonts w:hint="eastAsia" w:ascii="宋体" w:hAnsi="宋体"/>
          <w:color w:val="000000"/>
          <w:szCs w:val="21"/>
        </w:rPr>
        <w:t xml:space="preserve">安全保卫等措施</w:t>
      </w:r>
      <w:r>
        <w:rPr>
          <w:rFonts w:hint="eastAsia" w:ascii="宋体" w:hAnsi="宋体"/>
          <w:color w:val="000000"/>
          <w:szCs w:val="21"/>
          <w:lang w:val="en-US" w:eastAsia="zh-CN"/>
        </w:rPr>
        <w:t xml:space="preserve">有瑕疵的</w:t>
      </w:r>
      <w:r>
        <w:rPr>
          <w:rFonts w:hint="eastAsia" w:ascii="宋体" w:hAnsi="宋体"/>
          <w:color w:val="000000"/>
          <w:szCs w:val="21"/>
        </w:rPr>
        <w:t xml:space="preserve">得</w:t>
      </w:r>
      <w:r>
        <w:rPr>
          <w:rFonts w:hint="eastAsia" w:ascii="宋体" w:hAnsi="宋体"/>
          <w:color w:val="000000"/>
          <w:szCs w:val="21"/>
          <w:lang w:val="en-US" w:eastAsia="zh-CN"/>
        </w:rPr>
        <w:t xml:space="preserve">1</w:t>
      </w:r>
      <w:r>
        <w:rPr>
          <w:rFonts w:hint="eastAsia" w:ascii="宋体" w:hAnsi="宋体"/>
          <w:color w:val="000000"/>
          <w:szCs w:val="21"/>
        </w:rPr>
        <w:t xml:space="preserve">分。不提供者不得分。</w:t>
      </w:r>
      <w:r>
        <w:rPr>
          <w:rFonts w:hint="eastAsia" w:ascii="宋体" w:hAnsi="宋体"/>
          <w:color w:val="000000"/>
          <w:szCs w:val="21"/>
        </w:rPr>
      </w:r>
      <w:r/>
    </w:p>
    <w:p>
      <w:pPr>
        <w:pStyle w:val="864"/>
        <w:ind w:firstLine="480"/>
        <w:spacing w:line="360" w:lineRule="auto"/>
        <w:rPr>
          <w:rFonts w:ascii="宋体" w:hAnsi="宋体" w:eastAsia="宋体" w:cs="Times New Roman"/>
          <w:color w:val="000000"/>
          <w:szCs w:val="21"/>
          <w:lang w:val="en-US" w:eastAsia="zh-CN"/>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eastAsia="zh-CN"/>
        </w:rPr>
        <w:t xml:space="preserve">投标单位提供全程冷链运输车辆情况（</w:t>
      </w:r>
      <w:r>
        <w:rPr>
          <w:rFonts w:hint="eastAsia" w:ascii="宋体" w:hAnsi="宋体" w:eastAsia="宋体" w:cs="Times New Roman"/>
          <w:color w:val="000000"/>
          <w:szCs w:val="21"/>
          <w:lang w:val="en-US" w:eastAsia="zh-CN"/>
        </w:rPr>
        <w:t xml:space="preserve">2分）</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lang w:eastAsia="zh-CN"/>
        </w:rPr>
        <w:t xml:space="preserve">每提供一辆得</w:t>
      </w: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eastAsia="zh-CN"/>
        </w:rPr>
        <w:t xml:space="preserve">分，最高</w:t>
      </w: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eastAsia="zh-CN"/>
        </w:rPr>
        <w:t xml:space="preserve">分（自有的</w:t>
      </w:r>
      <w:r>
        <w:rPr>
          <w:rFonts w:hint="eastAsia" w:ascii="宋体" w:hAnsi="宋体" w:eastAsia="宋体" w:cs="Times New Roman"/>
          <w:color w:val="000000"/>
          <w:szCs w:val="21"/>
          <w:lang w:val="en-US" w:eastAsia="zh-CN"/>
        </w:rPr>
        <w:t xml:space="preserve">投标</w:t>
      </w:r>
      <w:r>
        <w:rPr>
          <w:rFonts w:hint="eastAsia" w:ascii="宋体" w:hAnsi="宋体" w:eastAsia="宋体" w:cs="Times New Roman"/>
          <w:color w:val="000000"/>
          <w:szCs w:val="21"/>
          <w:lang w:eastAsia="zh-CN"/>
        </w:rPr>
        <w:t xml:space="preserve">文件中须提供车辆彩色图片及产权证、行驶证</w:t>
      </w:r>
      <w:r>
        <w:rPr>
          <w:rFonts w:hint="eastAsia" w:ascii="宋体" w:hAnsi="宋体" w:eastAsia="宋体" w:cs="Times New Roman"/>
          <w:color w:val="000000"/>
          <w:szCs w:val="21"/>
          <w:lang w:val="en-US" w:eastAsia="zh-CN"/>
        </w:rPr>
        <w:t xml:space="preserve">扫描件</w:t>
      </w:r>
      <w:r>
        <w:rPr>
          <w:rFonts w:hint="eastAsia" w:ascii="宋体" w:hAnsi="宋体" w:eastAsia="宋体" w:cs="Times New Roman"/>
          <w:color w:val="000000"/>
          <w:szCs w:val="21"/>
          <w:lang w:eastAsia="zh-CN"/>
        </w:rPr>
        <w:t xml:space="preserve">；如车辆为租赁的须同时提供租赁合同</w:t>
      </w:r>
      <w:r>
        <w:rPr>
          <w:rFonts w:hint="eastAsia" w:ascii="宋体" w:hAnsi="宋体" w:eastAsia="宋体" w:cs="Times New Roman"/>
          <w:color w:val="000000"/>
          <w:szCs w:val="21"/>
          <w:lang w:val="en-US" w:eastAsia="zh-CN"/>
        </w:rPr>
        <w:t xml:space="preserve">或</w:t>
      </w:r>
      <w:r>
        <w:rPr>
          <w:rFonts w:hint="eastAsia" w:ascii="宋体" w:hAnsi="宋体" w:eastAsia="宋体" w:cs="Times New Roman"/>
          <w:color w:val="000000"/>
          <w:szCs w:val="21"/>
          <w:lang w:eastAsia="zh-CN"/>
        </w:rPr>
        <w:t xml:space="preserve">发票、行驶证</w:t>
      </w:r>
      <w:r>
        <w:rPr>
          <w:rFonts w:hint="eastAsia" w:ascii="宋体" w:hAnsi="宋体" w:eastAsia="宋体" w:cs="Times New Roman"/>
          <w:color w:val="000000"/>
          <w:szCs w:val="21"/>
          <w:lang w:val="en-US" w:eastAsia="zh-CN"/>
        </w:rPr>
        <w:t xml:space="preserve">扫描件</w:t>
      </w:r>
      <w:r>
        <w:rPr>
          <w:rFonts w:hint="eastAsia" w:ascii="宋体" w:hAnsi="宋体" w:eastAsia="宋体" w:cs="Times New Roman"/>
          <w:color w:val="000000"/>
          <w:szCs w:val="21"/>
          <w:lang w:eastAsia="zh-CN"/>
        </w:rPr>
        <w:t xml:space="preserve">。未按要求提供不得分。）</w:t>
      </w:r>
      <w:r>
        <w:rPr>
          <w:rFonts w:ascii="宋体" w:hAnsi="宋体" w:eastAsia="宋体" w:cs="Times New Roman"/>
          <w:color w:val="000000"/>
          <w:szCs w:val="21"/>
          <w:lang w:val="en-US" w:eastAsia="zh-CN"/>
        </w:rPr>
      </w:r>
      <w:r/>
    </w:p>
    <w:p>
      <w:pPr>
        <w:pStyle w:val="864"/>
        <w:ind w:firstLine="48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2、投标供应商购买了食品安全责任保险的，投保总额5000万元（含）以上的得3分，2000万元（含）-5000万元（不含）的得2分，2000万元以下的得1分，未提供的不得分。本项最高3分。（提供有效期内食品安全责任保险投保单扫描件，未按要求提供不得分。）</w:t>
      </w:r>
      <w:r>
        <w:rPr>
          <w:rFonts w:hint="eastAsia" w:ascii="宋体" w:hAnsi="宋体" w:eastAsia="宋体" w:cs="Times New Roman"/>
          <w:color w:val="000000"/>
          <w:szCs w:val="21"/>
          <w:lang w:val="en-US" w:eastAsia="zh-CN"/>
        </w:rPr>
      </w:r>
      <w:r/>
    </w:p>
    <w:p>
      <w:pPr>
        <w:pStyle w:val="864"/>
        <w:ind w:firstLine="48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3、投标单位具有有效期内的质量管理体系认证，环境管理体系认证，食品安全管理体系认证，供应链安全管理体系认证证书，有一项得1分，本项最高4分。（提供认证证书扫描件及中国国家认证认可监督管理委员会官网公示的截图。未按要求提供不得分。）</w:t>
      </w:r>
      <w:r>
        <w:rPr>
          <w:rFonts w:hint="eastAsia" w:ascii="宋体" w:hAnsi="宋体" w:eastAsia="宋体" w:cs="Times New Roman"/>
          <w:color w:val="000000"/>
          <w:szCs w:val="21"/>
          <w:lang w:val="en-US" w:eastAsia="zh-CN"/>
        </w:rPr>
      </w:r>
      <w:r/>
    </w:p>
    <w:p>
      <w:pPr>
        <w:pStyle w:val="864"/>
        <w:ind w:firstLine="48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4、投标单位2023年1月1日至今（以合同签订时间为准）具有类似业绩的，每提供1份合同得1分，最高得2分。（提供完整合同扫描件，未按要求提供的不得分）。</w:t>
      </w:r>
      <w:r>
        <w:rPr>
          <w:rFonts w:hint="eastAsia" w:ascii="宋体" w:hAnsi="宋体" w:eastAsia="宋体" w:cs="Times New Roman"/>
          <w:color w:val="000000"/>
          <w:szCs w:val="21"/>
          <w:lang w:val="en-US" w:eastAsia="zh-CN"/>
        </w:rPr>
      </w:r>
      <w:r/>
    </w:p>
    <w:p>
      <w:pPr>
        <w:pStyle w:val="864"/>
        <w:ind w:firstLine="420"/>
        <w:spacing w:before="46" w:after="46" w:line="360" w:lineRule="auto"/>
        <w:rPr>
          <w:rFonts w:ascii="宋体" w:hAnsi="宋体" w:cs="宋体"/>
          <w:szCs w:val="21"/>
        </w:rPr>
      </w:pPr>
      <w:r/>
      <w:bookmarkStart w:id="27" w:name="_Toc44504666"/>
      <w:r>
        <w:rPr>
          <w:rFonts w:ascii="宋体" w:hAnsi="宋体" w:cs="宋体"/>
          <w:szCs w:val="21"/>
        </w:rPr>
      </w:r>
      <w:r/>
    </w:p>
    <w:p>
      <w:pPr>
        <w:pStyle w:val="864"/>
        <w:ind w:firstLine="420"/>
        <w:spacing w:before="46" w:after="46" w:line="360" w:lineRule="auto"/>
        <w:rPr>
          <w:rFonts w:ascii="Calibri" w:hAnsi="Calibri"/>
          <w:szCs w:val="22"/>
        </w:rPr>
      </w:pPr>
      <w:r>
        <w:rPr>
          <w:rFonts w:hint="eastAsia" w:ascii="宋体" w:hAnsi="宋体" w:cs="宋体"/>
          <w:szCs w:val="21"/>
        </w:rPr>
        <w:t xml:space="preserve">注：1、针对评分标准中评分的每一条，供应商均应提供相关资料并作出相应说明供评委评判，不提供相关资料的视为不具备该项得分的条件。</w:t>
      </w:r>
      <w:bookmarkEnd w:id="27"/>
      <w:r>
        <w:rPr>
          <w:rFonts w:ascii="Calibri" w:hAnsi="Calibri"/>
          <w:szCs w:val="22"/>
        </w:rPr>
      </w:r>
      <w:r/>
    </w:p>
    <w:p>
      <w:pPr>
        <w:pStyle w:val="864"/>
        <w:ind w:firstLine="630"/>
        <w:spacing w:line="360" w:lineRule="auto"/>
        <w:rPr>
          <w:rFonts w:ascii="Calibri" w:hAnsi="Calibri"/>
          <w:szCs w:val="22"/>
        </w:rPr>
      </w:pPr>
      <w:r/>
      <w:bookmarkStart w:id="28" w:name="_Toc44504669"/>
      <w:r>
        <w:rPr>
          <w:rFonts w:hint="eastAsia" w:ascii="宋体" w:hAnsi="宋体" w:cs="宋体"/>
          <w:szCs w:val="21"/>
        </w:rPr>
        <w:t xml:space="preserve">2、投标单位必须保证全部响应资料的真实性，如有虚假或对招标文件所要求说明的情况故隐瞒或虚报，视为不实质性响应招标文件，为无效投标。已中标的将取消中标资格。</w:t>
      </w:r>
      <w:bookmarkEnd w:id="28"/>
      <w:r>
        <w:rPr>
          <w:rFonts w:ascii="Calibri" w:hAnsi="Calibri"/>
          <w:szCs w:val="22"/>
        </w:rPr>
      </w:r>
      <w:r/>
    </w:p>
    <w:p>
      <w:pPr>
        <w:pStyle w:val="864"/>
        <w:spacing w:line="360" w:lineRule="auto"/>
      </w:pPr>
      <w:r/>
      <w:r/>
    </w:p>
    <w:p>
      <w:pPr>
        <w:pStyle w:val="864"/>
      </w:pPr>
      <w:r/>
      <w:r/>
    </w:p>
    <w:p>
      <w:pPr>
        <w:pStyle w:val="864"/>
        <w:ind w:firstLine="200"/>
        <w:spacing w:line="360" w:lineRule="auto"/>
        <w:widowControl/>
        <w:rPr>
          <w:rFonts w:hint="eastAsia" w:ascii="宋体" w:hAnsi="宋体" w:cs="宋体"/>
          <w:color w:val="000000"/>
          <w:szCs w:val="21"/>
          <w:lang w:bidi="ar"/>
        </w:rPr>
      </w:pPr>
      <w:r>
        <w:rPr>
          <w:rFonts w:hint="eastAsia" w:ascii="宋体" w:hAnsi="宋体" w:cs="宋体"/>
          <w:szCs w:val="21"/>
        </w:rPr>
        <w:t xml:space="preserve">                                                                          </w:t>
      </w:r>
      <w:r>
        <w:rPr>
          <w:rFonts w:hint="eastAsia" w:ascii="宋体" w:hAnsi="宋体" w:cs="宋体"/>
          <w:color w:val="000000"/>
          <w:szCs w:val="21"/>
          <w:lang w:bidi="ar"/>
        </w:rPr>
        <w:t xml:space="preserve">（全文完）</w:t>
      </w:r>
      <w:r/>
    </w:p>
    <w:sectPr>
      <w:footerReference w:type="default" r:id="rId9"/>
      <w:footnotePr/>
      <w:endnotePr/>
      <w:type w:val="nextPage"/>
      <w:pgSz w:w="11906" w:h="16838" w:orient="portrait"/>
      <w:pgMar w:top="600" w:right="1133" w:bottom="851"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等线">
    <w:panose1 w:val="02010600030101010101"/>
  </w:font>
  <w:font w:name="等线 Light">
    <w:panose1 w:val="02010600030101010101"/>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8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64"/>
        <w:ind w:left="31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64"/>
        <w:ind w:left="208"/>
      </w:p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abstractNum w:abstractNumId="4">
    <w:multiLevelType w:val="hybridMultilevel"/>
    <w:lvl w:ilvl="0">
      <w:start w:val="6"/>
      <w:numFmt w:val="decimal"/>
      <w:isLgl w:val="false"/>
      <w:suff w:val="nothing"/>
      <w:lvlText w:val="%1、"/>
      <w:lvlJc w:val="left"/>
      <w:pPr>
        <w:pStyle w:val="8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Thousand"/>
      <w:isLgl w:val="false"/>
      <w:suff w:val="nothing"/>
      <w:lvlText w:val="%1、"/>
      <w:lvlJc w:val="left"/>
      <w:pPr>
        <w:pStyle w:val="864"/>
        <w:ind w:left="0" w:firstLine="0"/>
        <w:tabs>
          <w:tab w:val="num" w:pos="0" w:leader="none"/>
        </w:tabs>
      </w:pPr>
      <w:rPr>
        <w:rFonts w:hint="eastAsia"/>
      </w:r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864"/>
        <w:ind w:left="0" w:firstLine="0"/>
        <w:tabs>
          <w:tab w:val="num" w:pos="0" w:leader="none"/>
        </w:tabs>
      </w:pPr>
    </w:lvl>
    <w:lvl w:ilvl="1">
      <w:start w:val="1"/>
      <w:numFmt w:val="decimal"/>
      <w:isLgl w:val="false"/>
      <w:suff w:val="tab"/>
      <w:lvlText w:val="%2."/>
      <w:lvlJc w:val="left"/>
      <w:pPr>
        <w:pStyle w:val="864"/>
        <w:ind w:left="1440" w:hanging="360"/>
        <w:tabs>
          <w:tab w:val="num" w:pos="1440" w:leader="none"/>
        </w:tabs>
      </w:pPr>
    </w:lvl>
    <w:lvl w:ilvl="2">
      <w:start w:val="1"/>
      <w:numFmt w:val="decimal"/>
      <w:isLgl w:val="false"/>
      <w:suff w:val="tab"/>
      <w:lvlText w:val="%3."/>
      <w:lvlJc w:val="left"/>
      <w:pPr>
        <w:pStyle w:val="864"/>
        <w:ind w:left="2160" w:hanging="360"/>
        <w:tabs>
          <w:tab w:val="num" w:pos="2160" w:leader="none"/>
        </w:tabs>
      </w:pPr>
    </w:lvl>
    <w:lvl w:ilvl="3">
      <w:start w:val="1"/>
      <w:numFmt w:val="decimal"/>
      <w:isLgl w:val="false"/>
      <w:suff w:val="tab"/>
      <w:lvlText w:val="%4."/>
      <w:lvlJc w:val="left"/>
      <w:pPr>
        <w:pStyle w:val="864"/>
        <w:ind w:left="2880" w:hanging="360"/>
        <w:tabs>
          <w:tab w:val="num" w:pos="2880" w:leader="none"/>
        </w:tabs>
      </w:pPr>
    </w:lvl>
    <w:lvl w:ilvl="4">
      <w:start w:val="1"/>
      <w:numFmt w:val="decimal"/>
      <w:isLgl w:val="false"/>
      <w:suff w:val="tab"/>
      <w:lvlText w:val="%5."/>
      <w:lvlJc w:val="left"/>
      <w:pPr>
        <w:pStyle w:val="864"/>
        <w:ind w:left="3600" w:hanging="360"/>
        <w:tabs>
          <w:tab w:val="num" w:pos="3600" w:leader="none"/>
        </w:tabs>
      </w:pPr>
    </w:lvl>
    <w:lvl w:ilvl="5">
      <w:start w:val="1"/>
      <w:numFmt w:val="decimal"/>
      <w:isLgl w:val="false"/>
      <w:suff w:val="tab"/>
      <w:lvlText w:val="%6."/>
      <w:lvlJc w:val="left"/>
      <w:pPr>
        <w:pStyle w:val="864"/>
        <w:ind w:left="4320" w:hanging="360"/>
        <w:tabs>
          <w:tab w:val="num" w:pos="4320" w:leader="none"/>
        </w:tabs>
      </w:pPr>
    </w:lvl>
    <w:lvl w:ilvl="6">
      <w:start w:val="1"/>
      <w:numFmt w:val="decimal"/>
      <w:isLgl w:val="false"/>
      <w:suff w:val="tab"/>
      <w:lvlText w:val="%7."/>
      <w:lvlJc w:val="left"/>
      <w:pPr>
        <w:pStyle w:val="864"/>
        <w:ind w:left="5040" w:hanging="360"/>
        <w:tabs>
          <w:tab w:val="num" w:pos="5040" w:leader="none"/>
        </w:tabs>
      </w:pPr>
    </w:lvl>
    <w:lvl w:ilvl="7">
      <w:start w:val="1"/>
      <w:numFmt w:val="decimal"/>
      <w:isLgl w:val="false"/>
      <w:suff w:val="tab"/>
      <w:lvlText w:val="%8."/>
      <w:lvlJc w:val="left"/>
      <w:pPr>
        <w:pStyle w:val="864"/>
        <w:ind w:left="5760" w:hanging="360"/>
        <w:tabs>
          <w:tab w:val="num" w:pos="5760" w:leader="none"/>
        </w:tabs>
      </w:pPr>
    </w:lvl>
    <w:lvl w:ilvl="8">
      <w:start w:val="1"/>
      <w:numFmt w:val="decimal"/>
      <w:isLgl w:val="false"/>
      <w:suff w:val="tab"/>
      <w:lvlText w:val="%9."/>
      <w:lvlJc w:val="left"/>
      <w:pPr>
        <w:pStyle w:val="864"/>
        <w:ind w:left="6480" w:hanging="360"/>
        <w:tabs>
          <w:tab w:val="num" w:pos="6480" w:leader="none"/>
        </w:tabs>
      </w:pPr>
    </w:lvl>
  </w:abstractNum>
  <w:num w:numId="1">
    <w:abstractNumId w:val="3"/>
  </w:num>
  <w:num w:numId="2">
    <w:abstractNumId w:val="0"/>
  </w:num>
  <w:num w:numId="3">
    <w:abstractNumId w:val="1"/>
  </w:num>
  <w:num w:numId="4">
    <w:abstractNumId w:val="2"/>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864"/>
    <w:next w:val="864"/>
    <w:link w:val="687"/>
    <w:uiPriority w:val="9"/>
    <w:qFormat/>
    <w:pPr>
      <w:keepLines/>
      <w:keepNext/>
      <w:spacing w:before="480" w:after="200"/>
      <w:outlineLvl w:val="0"/>
    </w:pPr>
    <w:rPr>
      <w:rFonts w:ascii="Arial" w:hAnsi="Arial" w:eastAsia="Arial" w:cs="Arial"/>
      <w:sz w:val="40"/>
      <w:szCs w:val="40"/>
    </w:rPr>
  </w:style>
  <w:style w:type="character" w:styleId="687">
    <w:name w:val="Heading 1 Char"/>
    <w:link w:val="686"/>
    <w:uiPriority w:val="9"/>
    <w:rPr>
      <w:rFonts w:ascii="Arial" w:hAnsi="Arial" w:eastAsia="Arial" w:cs="Arial"/>
      <w:sz w:val="40"/>
      <w:szCs w:val="40"/>
    </w:rPr>
  </w:style>
  <w:style w:type="paragraph" w:styleId="688">
    <w:name w:val="Heading 2"/>
    <w:basedOn w:val="864"/>
    <w:next w:val="864"/>
    <w:link w:val="689"/>
    <w:uiPriority w:val="9"/>
    <w:unhideWhenUsed/>
    <w:qFormat/>
    <w:pPr>
      <w:keepLines/>
      <w:keepNext/>
      <w:spacing w:before="360" w:after="200"/>
      <w:outlineLvl w:val="1"/>
    </w:pPr>
    <w:rPr>
      <w:rFonts w:ascii="Arial" w:hAnsi="Arial" w:eastAsia="Arial" w:cs="Arial"/>
      <w:sz w:val="34"/>
    </w:rPr>
  </w:style>
  <w:style w:type="character" w:styleId="689">
    <w:name w:val="Heading 2 Char"/>
    <w:link w:val="688"/>
    <w:uiPriority w:val="9"/>
    <w:rPr>
      <w:rFonts w:ascii="Arial" w:hAnsi="Arial" w:eastAsia="Arial" w:cs="Arial"/>
      <w:sz w:val="34"/>
    </w:rPr>
  </w:style>
  <w:style w:type="paragraph" w:styleId="690">
    <w:name w:val="Heading 3"/>
    <w:basedOn w:val="864"/>
    <w:next w:val="864"/>
    <w:link w:val="691"/>
    <w:uiPriority w:val="9"/>
    <w:unhideWhenUsed/>
    <w:qFormat/>
    <w:pPr>
      <w:keepLines/>
      <w:keepNext/>
      <w:spacing w:before="320" w:after="200"/>
      <w:outlineLvl w:val="2"/>
    </w:pPr>
    <w:rPr>
      <w:rFonts w:ascii="Arial" w:hAnsi="Arial" w:eastAsia="Arial" w:cs="Arial"/>
      <w:sz w:val="30"/>
      <w:szCs w:val="30"/>
    </w:rPr>
  </w:style>
  <w:style w:type="character" w:styleId="691">
    <w:name w:val="Heading 3 Char"/>
    <w:link w:val="69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64"/>
    <w:link w:val="864"/>
    <w:qFormat/>
    <w:pPr>
      <w:jc w:val="both"/>
      <w:widowControl w:val="off"/>
    </w:pPr>
    <w:rPr>
      <w:sz w:val="21"/>
      <w:szCs w:val="24"/>
      <w:lang w:val="en-US" w:eastAsia="zh-CN" w:bidi="ar-SA"/>
    </w:rPr>
  </w:style>
  <w:style w:type="paragraph" w:styleId="865">
    <w:name w:val="标题 2"/>
    <w:basedOn w:val="864"/>
    <w:next w:val="864"/>
    <w:link w:val="869"/>
    <w:qFormat/>
    <w:pPr>
      <w:keepLines/>
      <w:keepNext/>
      <w:spacing w:before="260" w:after="260" w:line="416" w:lineRule="auto"/>
      <w:outlineLvl w:val="1"/>
    </w:pPr>
    <w:rPr>
      <w:rFonts w:ascii="等线 Light" w:hAnsi="等线 Light" w:eastAsia="等线 Light"/>
      <w:b/>
      <w:bCs/>
      <w:sz w:val="32"/>
      <w:szCs w:val="32"/>
    </w:rPr>
  </w:style>
  <w:style w:type="paragraph" w:styleId="866">
    <w:name w:val="标题 3"/>
    <w:basedOn w:val="864"/>
    <w:next w:val="864"/>
    <w:link w:val="864"/>
    <w:qFormat/>
    <w:pPr>
      <w:keepLines/>
      <w:keepNext/>
      <w:spacing w:before="260" w:beforeAutospacing="0" w:after="260" w:afterAutospacing="0" w:line="413" w:lineRule="auto"/>
      <w:outlineLvl w:val="2"/>
    </w:pPr>
    <w:rPr>
      <w:b/>
      <w:sz w:val="32"/>
    </w:rPr>
  </w:style>
  <w:style w:type="character" w:styleId="867">
    <w:name w:val="默认段落字体"/>
    <w:next w:val="867"/>
    <w:link w:val="864"/>
    <w:semiHidden/>
  </w:style>
  <w:style w:type="table" w:styleId="868">
    <w:name w:val="普通表格"/>
    <w:next w:val="868"/>
    <w:link w:val="864"/>
    <w:semiHidden/>
    <w:pPr>
      <w:ind w:left="0" w:right="0"/>
      <w:keepLines w:val="0"/>
      <w:keepNext w:val="0"/>
      <w:spacing w:before="0" w:beforeAutospacing="0" w:after="0" w:afterAutospacing="0"/>
      <w:widowControl/>
      <w:suppressLineNumbers w:val="0"/>
    </w:pPr>
    <w:rPr>
      <w:rFonts w:ascii="Calibri" w:hAnsi="Calibri" w:cs="Calibri"/>
      <w:sz w:val="20"/>
      <w:szCs w:val="20"/>
    </w:rPr>
    <w:tblPr/>
  </w:style>
  <w:style w:type="character" w:styleId="869">
    <w:name w:val="标题 2 字符"/>
    <w:next w:val="869"/>
    <w:link w:val="865"/>
    <w:semiHidden/>
    <w:rPr>
      <w:rFonts w:ascii="等线 Light" w:hAnsi="等线 Light" w:eastAsia="等线 Light" w:cs="Times New Roman"/>
      <w:b/>
      <w:bCs/>
      <w:sz w:val="32"/>
      <w:szCs w:val="32"/>
    </w:rPr>
  </w:style>
  <w:style w:type="paragraph" w:styleId="870">
    <w:name w:val="文档结构图"/>
    <w:basedOn w:val="864"/>
    <w:next w:val="872"/>
    <w:link w:val="871"/>
    <w:qFormat/>
    <w:rPr>
      <w:rFonts w:ascii="宋体"/>
      <w:sz w:val="18"/>
      <w:szCs w:val="18"/>
    </w:rPr>
  </w:style>
  <w:style w:type="character" w:styleId="871">
    <w:name w:val="文档结构图 字符"/>
    <w:next w:val="871"/>
    <w:link w:val="870"/>
    <w:rPr>
      <w:rFonts w:ascii="宋体"/>
      <w:sz w:val="18"/>
      <w:szCs w:val="18"/>
    </w:rPr>
  </w:style>
  <w:style w:type="paragraph" w:styleId="872">
    <w:name w:val="批注主题"/>
    <w:basedOn w:val="873"/>
    <w:next w:val="873"/>
    <w:link w:val="875"/>
    <w:rPr>
      <w:b/>
      <w:bCs/>
    </w:rPr>
  </w:style>
  <w:style w:type="paragraph" w:styleId="873">
    <w:name w:val="批注文字"/>
    <w:basedOn w:val="864"/>
    <w:next w:val="873"/>
    <w:link w:val="874"/>
    <w:pPr>
      <w:jc w:val="left"/>
    </w:pPr>
  </w:style>
  <w:style w:type="character" w:styleId="874">
    <w:name w:val="批注文字 字符"/>
    <w:next w:val="874"/>
    <w:link w:val="873"/>
    <w:rPr>
      <w:sz w:val="21"/>
      <w:szCs w:val="24"/>
    </w:rPr>
  </w:style>
  <w:style w:type="character" w:styleId="875">
    <w:name w:val="批注主题 字符"/>
    <w:next w:val="875"/>
    <w:link w:val="872"/>
    <w:rPr>
      <w:b/>
      <w:bCs/>
      <w:sz w:val="21"/>
      <w:szCs w:val="24"/>
    </w:rPr>
  </w:style>
  <w:style w:type="paragraph" w:styleId="876">
    <w:name w:val="正文文本"/>
    <w:basedOn w:val="864"/>
    <w:next w:val="876"/>
    <w:link w:val="877"/>
    <w:pPr>
      <w:spacing w:after="120"/>
    </w:pPr>
  </w:style>
  <w:style w:type="character" w:styleId="877">
    <w:name w:val="正文文本 字符"/>
    <w:next w:val="877"/>
    <w:link w:val="876"/>
    <w:rPr>
      <w:sz w:val="21"/>
      <w:szCs w:val="24"/>
    </w:rPr>
  </w:style>
  <w:style w:type="paragraph" w:styleId="878">
    <w:name w:val="正文文本缩进"/>
    <w:basedOn w:val="864"/>
    <w:next w:val="879"/>
    <w:link w:val="864"/>
    <w:pPr>
      <w:ind w:firstLine="570"/>
    </w:pPr>
    <w:rPr>
      <w:rFonts w:ascii="宋体" w:hAnsi="Calibri"/>
      <w:sz w:val="28"/>
    </w:rPr>
  </w:style>
  <w:style w:type="paragraph" w:styleId="879">
    <w:name w:val="寄信人地址"/>
    <w:basedOn w:val="864"/>
    <w:next w:val="879"/>
    <w:link w:val="864"/>
    <w:qFormat/>
    <w:rPr>
      <w:rFonts w:ascii="Arial" w:hAnsi="Arial" w:eastAsia="楷体_GB2312"/>
      <w:sz w:val="26"/>
      <w:szCs w:val="20"/>
    </w:rPr>
  </w:style>
  <w:style w:type="paragraph" w:styleId="880">
    <w:name w:val="文本块"/>
    <w:basedOn w:val="864"/>
    <w:next w:val="880"/>
    <w:link w:val="864"/>
    <w:qFormat/>
    <w:pPr>
      <w:ind w:left="630" w:right="-609" w:firstLine="420"/>
      <w:spacing w:line="360" w:lineRule="auto"/>
    </w:pPr>
    <w:rPr>
      <w:rFonts w:hint="eastAsia" w:ascii="仿宋_GB2312" w:eastAsia="仿宋_GB2312"/>
      <w:szCs w:val="20"/>
    </w:rPr>
  </w:style>
  <w:style w:type="paragraph" w:styleId="881">
    <w:name w:val="纯文本"/>
    <w:basedOn w:val="864"/>
    <w:next w:val="881"/>
    <w:link w:val="882"/>
    <w:qFormat/>
    <w:rPr>
      <w:rFonts w:ascii="宋体" w:hAnsi="Courier New" w:eastAsia="楷体_GB2312"/>
      <w:sz w:val="26"/>
    </w:rPr>
  </w:style>
  <w:style w:type="character" w:styleId="882">
    <w:name w:val="纯文本 字符"/>
    <w:next w:val="882"/>
    <w:link w:val="881"/>
    <w:qFormat/>
    <w:rPr>
      <w:rFonts w:ascii="宋体" w:hAnsi="Courier New" w:eastAsia="楷体_GB2312"/>
      <w:sz w:val="26"/>
      <w:szCs w:val="24"/>
    </w:rPr>
  </w:style>
  <w:style w:type="paragraph" w:styleId="883">
    <w:name w:val="批注框文本"/>
    <w:basedOn w:val="864"/>
    <w:next w:val="883"/>
    <w:link w:val="884"/>
    <w:rPr>
      <w:sz w:val="18"/>
      <w:szCs w:val="18"/>
    </w:rPr>
  </w:style>
  <w:style w:type="character" w:styleId="884">
    <w:name w:val="批注框文本 字符"/>
    <w:next w:val="884"/>
    <w:link w:val="883"/>
    <w:rPr>
      <w:sz w:val="18"/>
      <w:szCs w:val="18"/>
    </w:rPr>
  </w:style>
  <w:style w:type="paragraph" w:styleId="885">
    <w:name w:val="页脚"/>
    <w:basedOn w:val="864"/>
    <w:next w:val="885"/>
    <w:link w:val="886"/>
    <w:pPr>
      <w:jc w:val="left"/>
      <w:tabs>
        <w:tab w:val="center" w:pos="4153" w:leader="none"/>
        <w:tab w:val="right" w:pos="8306" w:leader="none"/>
      </w:tabs>
    </w:pPr>
    <w:rPr>
      <w:sz w:val="18"/>
      <w:szCs w:val="18"/>
    </w:rPr>
  </w:style>
  <w:style w:type="character" w:styleId="886">
    <w:name w:val="页脚 字符"/>
    <w:next w:val="886"/>
    <w:link w:val="885"/>
    <w:rPr>
      <w:sz w:val="18"/>
      <w:szCs w:val="18"/>
    </w:rPr>
  </w:style>
  <w:style w:type="paragraph" w:styleId="887">
    <w:name w:val="页眉"/>
    <w:basedOn w:val="864"/>
    <w:next w:val="887"/>
    <w:link w:val="888"/>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18"/>
    </w:rPr>
  </w:style>
  <w:style w:type="character" w:styleId="888">
    <w:name w:val="页眉 字符"/>
    <w:next w:val="888"/>
    <w:link w:val="887"/>
    <w:rPr>
      <w:sz w:val="18"/>
      <w:szCs w:val="18"/>
    </w:rPr>
  </w:style>
  <w:style w:type="paragraph" w:styleId="889">
    <w:name w:val="目录 1"/>
    <w:basedOn w:val="864"/>
    <w:next w:val="864"/>
    <w:link w:val="864"/>
    <w:uiPriority w:val="39"/>
  </w:style>
  <w:style w:type="paragraph" w:styleId="890">
    <w:name w:val="普通(网站)"/>
    <w:basedOn w:val="864"/>
    <w:next w:val="890"/>
    <w:link w:val="864"/>
    <w:qFormat/>
    <w:pPr>
      <w:jc w:val="left"/>
      <w:spacing w:beforeAutospacing="1" w:afterAutospacing="1"/>
    </w:pPr>
    <w:rPr>
      <w:rFonts w:cs="Times New Roman"/>
      <w:sz w:val="24"/>
    </w:rPr>
  </w:style>
  <w:style w:type="table" w:styleId="891">
    <w:name w:val="网格型"/>
    <w:basedOn w:val="868"/>
    <w:next w:val="891"/>
    <w:link w:val="864"/>
    <w:qFormat/>
    <w:tblPr/>
  </w:style>
  <w:style w:type="character" w:styleId="892">
    <w:name w:val="超链接"/>
    <w:next w:val="892"/>
    <w:link w:val="864"/>
    <w:uiPriority w:val="99"/>
    <w:rPr>
      <w:color w:val="0000ff"/>
      <w:u w:val="single"/>
    </w:rPr>
  </w:style>
  <w:style w:type="character" w:styleId="893">
    <w:name w:val="批注引用"/>
    <w:next w:val="893"/>
    <w:link w:val="864"/>
    <w:rPr>
      <w:sz w:val="21"/>
      <w:szCs w:val="21"/>
    </w:rPr>
  </w:style>
  <w:style w:type="character" w:styleId="894">
    <w:name w:val="页脚 Char1"/>
    <w:next w:val="894"/>
    <w:link w:val="864"/>
    <w:rPr>
      <w:sz w:val="18"/>
      <w:szCs w:val="18"/>
    </w:rPr>
  </w:style>
  <w:style w:type="character" w:styleId="895">
    <w:name w:val="font01"/>
    <w:next w:val="895"/>
    <w:link w:val="864"/>
    <w:qFormat/>
    <w:rPr>
      <w:rFonts w:hint="eastAsia" w:ascii="宋体" w:hAnsi="宋体" w:eastAsia="宋体" w:cs="宋体"/>
      <w:color w:val="000000"/>
      <w:sz w:val="22"/>
      <w:szCs w:val="22"/>
      <w:u w:val="none"/>
    </w:rPr>
  </w:style>
  <w:style w:type="character" w:styleId="896">
    <w:name w:val="页眉 Char"/>
    <w:next w:val="896"/>
    <w:link w:val="864"/>
    <w:rPr>
      <w:sz w:val="18"/>
      <w:szCs w:val="18"/>
    </w:rPr>
  </w:style>
  <w:style w:type="paragraph" w:styleId="897">
    <w:name w:val="段"/>
    <w:next w:val="864"/>
    <w:link w:val="864"/>
    <w:qFormat/>
    <w:pPr>
      <w:ind w:firstLine="420"/>
      <w:jc w:val="both"/>
      <w:tabs>
        <w:tab w:val="center" w:pos="4201" w:leader="none"/>
        <w:tab w:val="right" w:pos="9298" w:leader="dot"/>
      </w:tabs>
    </w:pPr>
    <w:rPr>
      <w:rFonts w:ascii="宋体" w:eastAsia="Times New Roman"/>
      <w:lang w:val="en-US" w:eastAsia="zh-CN" w:bidi="ar-SA"/>
    </w:rPr>
  </w:style>
  <w:style w:type="paragraph" w:styleId="898">
    <w:name w:val="文档结构图1"/>
    <w:basedOn w:val="864"/>
    <w:next w:val="898"/>
    <w:link w:val="864"/>
    <w:uiPriority w:val="99"/>
    <w:qFormat/>
    <w:pPr>
      <w:shd w:val="clear" w:color="auto" w:fill="000080"/>
    </w:pPr>
  </w:style>
  <w:style w:type="paragraph" w:styleId="899">
    <w:name w:val="列表段落"/>
    <w:basedOn w:val="864"/>
    <w:next w:val="899"/>
    <w:link w:val="864"/>
    <w:uiPriority w:val="34"/>
    <w:qFormat/>
    <w:pPr>
      <w:ind w:firstLine="420"/>
    </w:pPr>
    <w:rPr>
      <w:rFonts w:ascii="等线" w:hAnsi="等线" w:eastAsia="等线" w:cs="Times New Roman"/>
      <w:szCs w:val="22"/>
    </w:rPr>
  </w:style>
  <w:style w:type="paragraph" w:styleId="900">
    <w:name w:val="修订"/>
    <w:next w:val="900"/>
    <w:link w:val="864"/>
    <w:uiPriority w:val="99"/>
    <w:unhideWhenUsed/>
    <w:rPr>
      <w:sz w:val="21"/>
      <w:szCs w:val="24"/>
      <w:lang w:val="en-US" w:eastAsia="zh-CN" w:bidi="ar-SA"/>
    </w:rPr>
  </w:style>
  <w:style w:type="paragraph" w:styleId="901">
    <w:name w:val="彩色列表 - 强调文字颜色 11"/>
    <w:basedOn w:val="864"/>
    <w:next w:val="901"/>
    <w:link w:val="864"/>
    <w:qFormat/>
    <w:pPr>
      <w:ind w:firstLine="420"/>
      <w:spacing w:line="360" w:lineRule="auto"/>
    </w:pPr>
    <w:rPr>
      <w:sz w:val="24"/>
    </w:rPr>
  </w:style>
  <w:style w:type="character" w:styleId="902" w:default="1">
    <w:name w:val="Default Paragraph Font"/>
    <w:uiPriority w:val="1"/>
    <w:semiHidden/>
    <w:unhideWhenUsed/>
  </w:style>
  <w:style w:type="numbering" w:styleId="903" w:default="1">
    <w:name w:val="No List"/>
    <w:uiPriority w:val="99"/>
    <w:semiHidden/>
    <w:unhideWhenUsed/>
  </w:style>
  <w:style w:type="table" w:styleId="9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g"/><Relationship Id="rId17" Type="http://schemas.openxmlformats.org/officeDocument/2006/relationships/image" Target="media/image8.jpg"/><Relationship Id="rId18" Type="http://schemas.openxmlformats.org/officeDocument/2006/relationships/image" Target="media/image9.png"/><Relationship Id="rId19" Type="http://schemas.openxmlformats.org/officeDocument/2006/relationships/image" Target="media/image10.jpg"/><Relationship Id="rId20" Type="http://schemas.openxmlformats.org/officeDocument/2006/relationships/image" Target="media/image11.png"/><Relationship Id="rId21" Type="http://schemas.openxmlformats.org/officeDocument/2006/relationships/image" Target="media/image12.jpg"/><Relationship Id="rId22" Type="http://schemas.openxmlformats.org/officeDocument/2006/relationships/image" Target="media/image13.jpg"/><Relationship Id="rId23" Type="http://schemas.openxmlformats.org/officeDocument/2006/relationships/image" Target="media/image14.jpg"/><Relationship Id="rId24" Type="http://schemas.openxmlformats.org/officeDocument/2006/relationships/image" Target="media/image15.jpg"/><Relationship Id="rId25" Type="http://schemas.openxmlformats.org/officeDocument/2006/relationships/image" Target="media/image16.jpg"/><Relationship Id="rId26" Type="http://schemas.openxmlformats.org/officeDocument/2006/relationships/image" Target="media/image17.jpg"/><Relationship Id="rId27" Type="http://schemas.openxmlformats.org/officeDocument/2006/relationships/image" Target="media/image18.jpg"/><Relationship Id="rId28" Type="http://schemas.openxmlformats.org/officeDocument/2006/relationships/image" Target="media/image19.jpg"/><Relationship Id="rId29" Type="http://schemas.openxmlformats.org/officeDocument/2006/relationships/image" Target="media/image20.jp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jpg"/><Relationship Id="rId41" Type="http://schemas.openxmlformats.org/officeDocument/2006/relationships/image" Target="media/image32.jpg"/><Relationship Id="rId42" Type="http://schemas.openxmlformats.org/officeDocument/2006/relationships/image" Target="media/image33.png"/><Relationship Id="rId43" Type="http://schemas.openxmlformats.org/officeDocument/2006/relationships/image" Target="media/image34.jpg"/><Relationship Id="rId44" Type="http://schemas.openxmlformats.org/officeDocument/2006/relationships/image" Target="media/image35.png"/><Relationship Id="rId45" Type="http://schemas.openxmlformats.org/officeDocument/2006/relationships/image" Target="media/image36.jpg"/><Relationship Id="rId46" Type="http://schemas.openxmlformats.org/officeDocument/2006/relationships/image" Target="media/image37.jpg"/><Relationship Id="rId47" Type="http://schemas.openxmlformats.org/officeDocument/2006/relationships/image" Target="media/image38.jpg"/><Relationship Id="rId48" Type="http://schemas.openxmlformats.org/officeDocument/2006/relationships/image" Target="media/image39.jpg"/><Relationship Id="rId49" Type="http://schemas.openxmlformats.org/officeDocument/2006/relationships/image" Target="media/image40.jpg"/><Relationship Id="rId50" Type="http://schemas.openxmlformats.org/officeDocument/2006/relationships/image" Target="media/image41.jpg"/><Relationship Id="rId51" Type="http://schemas.openxmlformats.org/officeDocument/2006/relationships/image" Target="media/image42.jpg"/><Relationship Id="rId52" Type="http://schemas.openxmlformats.org/officeDocument/2006/relationships/image" Target="media/image43.jpg"/><Relationship Id="rId53" Type="http://schemas.openxmlformats.org/officeDocument/2006/relationships/image" Target="media/image44.jp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苏州市永诚建设</dc:creator>
  <cp:lastModifiedBy>朱琳</cp:lastModifiedBy>
  <cp:revision>8</cp:revision>
  <dcterms:created xsi:type="dcterms:W3CDTF">2024-07-22T13:11:00Z</dcterms:created>
  <dcterms:modified xsi:type="dcterms:W3CDTF">2026-03-04T08:10:35Z</dcterms:modified>
</cp:coreProperties>
</file>