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rPr>
          <w:rFonts w:ascii="Times New Roman" w:hAnsi="Times New Roman" w:eastAsia="黑体"/>
          <w:b/>
          <w:bCs/>
          <w:color w:val="auto"/>
          <w:sz w:val="84"/>
          <w:highlight w:val="none"/>
        </w:rPr>
      </w:pPr>
      <w:r>
        <w:rPr>
          <w:rFonts w:ascii="Times New Roman" w:hAnsi="Times New Roman" w:eastAsia="黑体"/>
          <w:b/>
          <w:bCs/>
          <w:color w:val="auto"/>
          <w:sz w:val="84"/>
          <w:highlight w:val="none"/>
        </w:rPr>
      </w:r>
      <w:r/>
    </w:p>
    <w:p>
      <w:pPr>
        <w:pStyle w:val="1008"/>
        <w:ind w:firstLine="0"/>
        <w:jc w:val="center"/>
        <w:rPr>
          <w:rFonts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pStyle w:val="1008"/>
        <w:ind w:firstLine="2249"/>
        <w:rPr>
          <w:rFonts w:ascii="Times New Roman" w:hAnsi="Times New Roman"/>
          <w:b/>
          <w:bCs/>
          <w:color w:val="auto"/>
          <w:sz w:val="32"/>
          <w:highlight w:val="none"/>
        </w:rPr>
      </w:pPr>
      <w:r>
        <w:rPr>
          <w:rFonts w:ascii="Times New Roman" w:hAnsi="Times New Roman"/>
          <w:b/>
          <w:bCs/>
          <w:color w:val="auto"/>
          <w:sz w:val="32"/>
          <w:highlight w:val="none"/>
        </w:rPr>
      </w:r>
      <w:r/>
    </w:p>
    <w:p>
      <w:pPr>
        <w:pStyle w:val="1008"/>
        <w:ind w:firstLine="2249"/>
        <w:rPr>
          <w:rFonts w:ascii="Times New Roman" w:hAnsi="Times New Roman"/>
          <w:b/>
          <w:bCs/>
          <w:color w:val="auto"/>
          <w:sz w:val="32"/>
          <w:highlight w:val="none"/>
        </w:rPr>
      </w:pPr>
      <w:r>
        <w:rPr>
          <w:rFonts w:ascii="Times New Roman" w:hAnsi="Times New Roman"/>
          <w:b/>
          <w:bCs/>
          <w:color w:val="auto"/>
          <w:sz w:val="32"/>
          <w:highlight w:val="none"/>
        </w:rPr>
      </w:r>
      <w:r/>
    </w:p>
    <w:p>
      <w:pPr>
        <w:pStyle w:val="1008"/>
        <w:ind w:firstLine="2249"/>
        <w:rPr>
          <w:rFonts w:ascii="Times New Roman" w:hAnsi="Times New Roman"/>
          <w:b/>
          <w:bCs/>
          <w:color w:val="auto"/>
          <w:sz w:val="32"/>
          <w:highlight w:val="none"/>
        </w:rPr>
      </w:pPr>
      <w:r>
        <w:rPr>
          <w:rFonts w:ascii="Times New Roman" w:hAnsi="Times New Roman"/>
          <w:b/>
          <w:bCs/>
          <w:color w:val="auto"/>
          <w:sz w:val="32"/>
          <w:highlight w:val="none"/>
        </w:rPr>
      </w:r>
      <w:r/>
    </w:p>
    <w:p>
      <w:pPr>
        <w:pStyle w:val="1008"/>
        <w:ind w:left="2704" w:hanging="2108"/>
        <w:rPr>
          <w:rFonts w:ascii="宋体" w:hAnsi="宋体" w:cs="宋体"/>
          <w:color w:val="auto"/>
          <w:sz w:val="30"/>
          <w:szCs w:val="30"/>
          <w:highlight w:val="none"/>
        </w:rPr>
      </w:pPr>
      <w:r>
        <w:rPr>
          <w:rFonts w:hint="eastAsia" w:ascii="宋体" w:hAnsi="宋体" w:cs="宋体"/>
          <w:b/>
          <w:bCs/>
          <w:color w:val="auto"/>
          <w:sz w:val="30"/>
          <w:szCs w:val="30"/>
          <w:highlight w:val="none"/>
        </w:rPr>
        <w:t xml:space="preserve">项 目 名 称：</w:t>
      </w:r>
      <w:r>
        <w:rPr>
          <w:rFonts w:hint="eastAsia" w:ascii="宋体" w:hAnsi="宋体" w:cs="宋体"/>
          <w:color w:val="auto"/>
          <w:sz w:val="30"/>
          <w:szCs w:val="30"/>
          <w:highlight w:val="none"/>
        </w:rPr>
        <w:t xml:space="preserve">泗阳县市场监督管理局2026年食品检验检测承检机构采购项目</w:t>
      </w:r>
      <w:r/>
    </w:p>
    <w:p>
      <w:pPr>
        <w:ind w:firstLine="602"/>
        <w:rPr>
          <w:rFonts w:hint="eastAsia" w:ascii="宋体" w:hAnsi="宋体" w:eastAsia="宋体" w:cs="宋体"/>
          <w:b/>
          <w:color w:val="auto"/>
          <w:sz w:val="30"/>
          <w:szCs w:val="30"/>
          <w:highlight w:val="none"/>
          <w:lang w:val="en-US" w:eastAsia="zh-CN"/>
        </w:rPr>
      </w:pPr>
      <w:r>
        <w:rPr>
          <w:rFonts w:hint="eastAsia" w:ascii="宋体" w:hAnsi="宋体" w:cs="宋体"/>
          <w:b/>
          <w:bCs/>
          <w:color w:val="auto"/>
          <w:sz w:val="30"/>
          <w:szCs w:val="30"/>
          <w:highlight w:val="none"/>
        </w:rPr>
        <w:t xml:space="preserve">项 目 编 号：</w:t>
      </w:r>
      <w:r>
        <w:rPr>
          <w:rFonts w:hint="eastAsia" w:ascii="宋体" w:hAnsi="宋体" w:cs="宋体"/>
          <w:color w:val="auto"/>
          <w:sz w:val="30"/>
          <w:szCs w:val="30"/>
          <w:highlight w:val="none"/>
          <w:lang w:eastAsia="zh-CN"/>
        </w:rPr>
        <w:t xml:space="preserve">JSZC-321323-JSZC-G2026-0007</w:t>
      </w:r>
      <w:r/>
    </w:p>
    <w:p>
      <w:pPr>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（服务类项目，本项目专门面向中小企业）</w:t>
      </w:r>
      <w:r/>
    </w:p>
    <w:p>
      <w:pPr>
        <w:pStyle w:val="1008"/>
        <w:ind w:firstLine="0"/>
        <w:spacing w:before="0" w:after="0"/>
        <w:rPr>
          <w:rFonts w:ascii="Times New Roman" w:hAnsi="Times New Roman"/>
          <w:color w:val="auto"/>
          <w:highlight w:val="none"/>
        </w:rPr>
      </w:pPr>
      <w:r>
        <w:rPr>
          <w:rFonts w:ascii="Times New Roman" w:hAnsi="Times New Roman"/>
          <w:color w:val="auto"/>
          <w:highlight w:val="none"/>
        </w:rPr>
      </w:r>
      <w:r/>
    </w:p>
    <w:p>
      <w:pPr>
        <w:pStyle w:val="1008"/>
        <w:ind w:firstLine="0"/>
        <w:spacing w:before="0" w:after="0"/>
        <w:rPr>
          <w:rFonts w:ascii="Times New Roman" w:hAnsi="Times New Roman"/>
          <w:color w:val="auto"/>
          <w:highlight w:val="none"/>
        </w:rPr>
      </w:pPr>
      <w:r>
        <w:rPr>
          <w:rFonts w:ascii="Times New Roman" w:hAnsi="Times New Roman"/>
          <w:color w:val="auto"/>
          <w:highlight w:val="none"/>
        </w:rPr>
      </w:r>
      <w:r/>
    </w:p>
    <w:p>
      <w:pPr>
        <w:pStyle w:val="1008"/>
        <w:ind w:firstLine="0"/>
        <w:spacing w:before="0" w:after="0"/>
        <w:rPr>
          <w:rFonts w:ascii="Times New Roman" w:hAnsi="Times New Roman"/>
          <w:color w:val="auto"/>
          <w:highlight w:val="none"/>
        </w:rPr>
      </w:pPr>
      <w:r>
        <w:rPr>
          <w:rFonts w:ascii="Times New Roman" w:hAnsi="Times New Roman"/>
          <w:color w:val="auto"/>
          <w:highlight w:val="none"/>
        </w:rPr>
      </w:r>
      <w:r/>
    </w:p>
    <w:p>
      <w:pPr>
        <w:pStyle w:val="1008"/>
        <w:ind w:firstLine="0"/>
        <w:spacing w:before="0" w:after="0"/>
        <w:rPr>
          <w:rFonts w:ascii="Times New Roman" w:hAnsi="Times New Roman"/>
          <w:color w:val="auto"/>
          <w:highlight w:val="none"/>
        </w:rPr>
      </w:pPr>
      <w:r>
        <w:rPr>
          <w:rFonts w:ascii="Times New Roman" w:hAnsi="Times New Roman"/>
          <w:color w:val="auto"/>
          <w:highlight w:val="none"/>
        </w:rPr>
      </w:r>
      <w:r/>
    </w:p>
    <w:p>
      <w:pPr>
        <w:pStyle w:val="1008"/>
        <w:ind w:firstLine="0"/>
        <w:spacing w:before="0" w:after="0"/>
        <w:rPr>
          <w:rFonts w:ascii="Times New Roman" w:hAnsi="Times New Roman"/>
          <w:color w:val="auto"/>
          <w:highlight w:val="none"/>
        </w:rPr>
      </w:pPr>
      <w:r>
        <w:rPr>
          <w:rFonts w:ascii="Times New Roman" w:hAnsi="Times New Roman"/>
          <w:color w:val="auto"/>
          <w:highlight w:val="none"/>
        </w:rPr>
      </w:r>
      <w:r/>
    </w:p>
    <w:p>
      <w:pPr>
        <w:pStyle w:val="1008"/>
        <w:rPr>
          <w:rFonts w:ascii="宋体" w:hAnsi="宋体" w:cs="宋体"/>
          <w:color w:val="auto"/>
          <w:sz w:val="32"/>
          <w:szCs w:val="32"/>
          <w:highlight w:val="none"/>
          <w:u w:val="single"/>
        </w:rPr>
      </w:pPr>
      <w:r>
        <w:rPr>
          <w:rFonts w:hint="eastAsia" w:ascii="宋体" w:hAnsi="宋体" w:cs="宋体"/>
          <w:b/>
          <w:bCs/>
          <w:color w:val="auto"/>
          <w:sz w:val="32"/>
          <w:szCs w:val="32"/>
          <w:highlight w:val="none"/>
        </w:rPr>
        <w:t xml:space="preserve">采   购   人：</w:t>
      </w:r>
      <w:r>
        <w:rPr>
          <w:rFonts w:hint="eastAsia" w:ascii="宋体" w:hAnsi="宋体" w:cs="宋体"/>
          <w:color w:val="auto"/>
          <w:sz w:val="32"/>
          <w:szCs w:val="32"/>
          <w:highlight w:val="none"/>
          <w:u w:val="single"/>
        </w:rPr>
        <w:t xml:space="preserve">泗阳县市场监督管理局</w:t>
      </w:r>
      <w:r/>
    </w:p>
    <w:p>
      <w:pPr>
        <w:pStyle w:val="1008"/>
        <w:rPr>
          <w:rFonts w:ascii="宋体" w:hAnsi="宋体" w:cs="宋体"/>
          <w:color w:val="auto"/>
          <w:sz w:val="32"/>
          <w:szCs w:val="32"/>
          <w:highlight w:val="none"/>
          <w:u w:val="single"/>
        </w:rPr>
      </w:pPr>
      <w:r>
        <w:rPr>
          <w:rFonts w:hint="eastAsia" w:ascii="宋体" w:hAnsi="宋体" w:cs="宋体"/>
          <w:b/>
          <w:bCs/>
          <w:color w:val="auto"/>
          <w:sz w:val="32"/>
          <w:szCs w:val="32"/>
          <w:highlight w:val="none"/>
        </w:rPr>
        <w:t xml:space="preserve">采购代理机构：</w:t>
      </w:r>
      <w:r>
        <w:rPr>
          <w:rFonts w:hint="eastAsia" w:ascii="宋体" w:hAnsi="宋体" w:cs="宋体"/>
          <w:color w:val="auto"/>
          <w:sz w:val="32"/>
          <w:szCs w:val="32"/>
          <w:highlight w:val="none"/>
          <w:u w:val="single"/>
        </w:rPr>
        <w:t xml:space="preserve">江苏志诚工程咨询管理有限公司</w:t>
      </w:r>
      <w:r/>
    </w:p>
    <w:p>
      <w:pPr>
        <w:pStyle w:val="1008"/>
        <w:jc w:val="center"/>
        <w:rPr>
          <w:rFonts w:ascii="Times New Roman" w:hAnsi="Times New Roman"/>
          <w:color w:val="auto"/>
          <w:highlight w:val="none"/>
          <w:u w:val="single"/>
        </w:rPr>
      </w:pPr>
      <w:r>
        <w:rPr>
          <w:rFonts w:hint="eastAsia" w:ascii="宋体" w:hAnsi="宋体" w:cs="宋体"/>
          <w:color w:val="auto"/>
          <w:sz w:val="32"/>
          <w:szCs w:val="32"/>
          <w:highlight w:val="none"/>
        </w:rPr>
        <w:t xml:space="preserve">2026年</w:t>
      </w:r>
      <w:r>
        <w:rPr>
          <w:rFonts w:hint="eastAsia" w:ascii="宋体" w:hAnsi="宋体" w:cs="宋体"/>
          <w:color w:val="auto"/>
          <w:sz w:val="32"/>
          <w:szCs w:val="32"/>
          <w:highlight w:val="none"/>
          <w:lang w:val="en-US" w:eastAsia="zh-CN"/>
        </w:rPr>
        <w:t xml:space="preserve">3</w:t>
      </w:r>
      <w:r>
        <w:rPr>
          <w:rFonts w:hint="eastAsia" w:ascii="宋体" w:hAnsi="宋体" w:cs="宋体"/>
          <w:color w:val="auto"/>
          <w:sz w:val="32"/>
          <w:szCs w:val="32"/>
          <w:highlight w:val="none"/>
        </w:rPr>
        <w:t xml:space="preserve">月</w:t>
      </w:r>
      <w:r>
        <w:rPr>
          <w:rFonts w:hint="eastAsia" w:ascii="宋体" w:hAnsi="宋体" w:cs="宋体"/>
          <w:color w:val="auto"/>
          <w:sz w:val="32"/>
          <w:szCs w:val="32"/>
          <w:highlight w:val="none"/>
          <w:lang w:val="en-US" w:eastAsia="zh-CN"/>
        </w:rPr>
        <w:t xml:space="preserve">3</w:t>
      </w:r>
      <w:r>
        <w:rPr>
          <w:rFonts w:hint="eastAsia" w:ascii="宋体" w:hAnsi="宋体" w:cs="宋体"/>
          <w:color w:val="auto"/>
          <w:sz w:val="32"/>
          <w:szCs w:val="32"/>
          <w:highlight w:val="none"/>
        </w:rPr>
        <w:t xml:space="preserve">日</w:t>
      </w:r>
      <w:r/>
    </w:p>
    <w:p>
      <w:pPr>
        <w:jc w:val="center"/>
        <w:rPr>
          <w:rFonts w:ascii="黑体" w:hAnsi="黑体" w:eastAsia="黑体"/>
          <w:color w:val="auto"/>
          <w:highlight w:val="none"/>
        </w:rPr>
      </w:pPr>
      <w:r>
        <w:rPr>
          <w:color w:val="auto"/>
          <w:highlight w:val="none"/>
        </w:rPr>
        <w:br w:type="page" w:clear="all"/>
      </w:r>
      <w:r>
        <w:rPr>
          <w:rFonts w:ascii="黑体" w:hAnsi="黑体" w:eastAsia="黑体"/>
          <w:color w:val="auto"/>
          <w:sz w:val="48"/>
          <w:highlight w:val="none"/>
          <w:lang w:val="zh-CN"/>
        </w:rPr>
        <w:t xml:space="preserve">目</w:t>
      </w:r>
      <w:r>
        <w:rPr>
          <w:rFonts w:hint="eastAsia" w:ascii="黑体" w:hAnsi="黑体" w:eastAsia="黑体"/>
          <w:color w:val="auto"/>
          <w:sz w:val="48"/>
          <w:highlight w:val="none"/>
          <w:lang w:val="zh-CN"/>
        </w:rPr>
        <w:t xml:space="preserve"> </w:t>
      </w:r>
      <w:r>
        <w:rPr>
          <w:rFonts w:ascii="黑体" w:hAnsi="黑体" w:eastAsia="黑体"/>
          <w:color w:val="auto"/>
          <w:sz w:val="48"/>
          <w:highlight w:val="none"/>
          <w:lang w:val="zh-CN"/>
        </w:rPr>
        <w:t xml:space="preserve"> 录</w:t>
      </w:r>
      <w:r/>
    </w:p>
    <w:p>
      <w:pPr>
        <w:pStyle w:val="725"/>
        <w:tabs>
          <w:tab w:val="right" w:pos="9960" w:leader="dot"/>
        </w:tabs>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highlight w:val="none"/>
        </w:rPr>
        <w:instrText xml:space="preserve"> HYPERLINK \l _Toc24671 </w:instrText>
      </w:r>
      <w:r>
        <w:rPr>
          <w:highlight w:val="none"/>
        </w:rPr>
        <w:fldChar w:fldCharType="separate"/>
      </w:r>
      <w:r>
        <w:rPr>
          <w:rFonts w:hint="eastAsia" w:ascii="Times New Roman" w:eastAsia="黑体"/>
          <w:szCs w:val="36"/>
          <w:highlight w:val="none"/>
        </w:rPr>
        <w:t xml:space="preserve">第一章  投标邀请</w:t>
      </w:r>
      <w:r>
        <w:tab/>
      </w:r>
      <w:r>
        <w:fldChar w:fldCharType="begin"/>
      </w:r>
      <w:r>
        <w:instrText xml:space="preserve"> PAGEREF _Toc24671 \h </w:instrText>
      </w:r>
      <w:r>
        <w:fldChar w:fldCharType="separate"/>
      </w:r>
      <w:r>
        <w:t xml:space="preserve">3</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_Toc8219 </w:instrText>
      </w:r>
      <w:r>
        <w:rPr>
          <w:highlight w:val="none"/>
        </w:rPr>
        <w:fldChar w:fldCharType="separate"/>
      </w:r>
      <w:r>
        <w:rPr>
          <w:rFonts w:hint="eastAsia"/>
          <w:szCs w:val="30"/>
          <w:highlight w:val="none"/>
        </w:rPr>
        <w:t xml:space="preserve">一、项目基本情况</w:t>
      </w:r>
      <w:r>
        <w:tab/>
      </w:r>
      <w:r>
        <w:fldChar w:fldCharType="begin"/>
      </w:r>
      <w:r>
        <w:instrText xml:space="preserve"> PAGEREF _Toc8219 \h </w:instrText>
      </w:r>
      <w:r>
        <w:fldChar w:fldCharType="separate"/>
      </w:r>
      <w:r>
        <w:t xml:space="preserve">3</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_Toc9851 </w:instrText>
      </w:r>
      <w:r>
        <w:rPr>
          <w:highlight w:val="none"/>
        </w:rPr>
        <w:fldChar w:fldCharType="separate"/>
      </w:r>
      <w:r>
        <w:rPr>
          <w:rFonts w:hint="eastAsia"/>
          <w:szCs w:val="30"/>
          <w:highlight w:val="none"/>
        </w:rPr>
        <w:t xml:space="preserve">二、申请人的资格要求：</w:t>
      </w:r>
      <w:r>
        <w:tab/>
      </w:r>
      <w:r>
        <w:fldChar w:fldCharType="begin"/>
      </w:r>
      <w:r>
        <w:instrText xml:space="preserve"> PAGEREF _Toc9851 \h </w:instrText>
      </w:r>
      <w:r>
        <w:fldChar w:fldCharType="separate"/>
      </w:r>
      <w:r>
        <w:t xml:space="preserve">4</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_Toc16143 </w:instrText>
      </w:r>
      <w:r>
        <w:rPr>
          <w:highlight w:val="none"/>
        </w:rPr>
        <w:fldChar w:fldCharType="separate"/>
      </w:r>
      <w:r>
        <w:rPr>
          <w:rFonts w:hint="eastAsia"/>
          <w:szCs w:val="30"/>
          <w:highlight w:val="none"/>
        </w:rPr>
        <w:t xml:space="preserve">三、获取招标文件</w:t>
      </w:r>
      <w:r>
        <w:tab/>
      </w:r>
      <w:r>
        <w:fldChar w:fldCharType="begin"/>
      </w:r>
      <w:r>
        <w:instrText xml:space="preserve"> PAGEREF _Toc16143 \h </w:instrText>
      </w:r>
      <w:r>
        <w:fldChar w:fldCharType="separate"/>
      </w:r>
      <w:r>
        <w:t xml:space="preserve">4</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_Toc15594 </w:instrText>
      </w:r>
      <w:r>
        <w:rPr>
          <w:highlight w:val="none"/>
        </w:rPr>
        <w:fldChar w:fldCharType="separate"/>
      </w:r>
      <w:r>
        <w:rPr>
          <w:rFonts w:hint="eastAsia"/>
          <w:szCs w:val="30"/>
          <w:highlight w:val="none"/>
        </w:rPr>
        <w:t xml:space="preserve">四、提交投标文件截止时间、开标时间和地点</w:t>
      </w:r>
      <w:r>
        <w:tab/>
      </w:r>
      <w:r>
        <w:fldChar w:fldCharType="begin"/>
      </w:r>
      <w:r>
        <w:instrText xml:space="preserve"> PAGEREF _Toc15594 \h </w:instrText>
      </w:r>
      <w:r>
        <w:fldChar w:fldCharType="separate"/>
      </w:r>
      <w:r>
        <w:t xml:space="preserve">5</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_Toc19588 </w:instrText>
      </w:r>
      <w:r>
        <w:rPr>
          <w:highlight w:val="none"/>
        </w:rPr>
        <w:fldChar w:fldCharType="separate"/>
      </w:r>
      <w:r>
        <w:rPr>
          <w:rFonts w:hint="eastAsia"/>
          <w:szCs w:val="30"/>
          <w:highlight w:val="none"/>
        </w:rPr>
        <w:t xml:space="preserve">五、公告期限</w:t>
      </w:r>
      <w:r>
        <w:tab/>
      </w:r>
      <w:r>
        <w:fldChar w:fldCharType="begin"/>
      </w:r>
      <w:r>
        <w:instrText xml:space="preserve"> PAGEREF _Toc19588 \h </w:instrText>
      </w:r>
      <w:r>
        <w:fldChar w:fldCharType="separate"/>
      </w:r>
      <w:r>
        <w:t xml:space="preserve">5</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_Toc8807 </w:instrText>
      </w:r>
      <w:r>
        <w:rPr>
          <w:highlight w:val="none"/>
        </w:rPr>
        <w:fldChar w:fldCharType="separate"/>
      </w:r>
      <w:r>
        <w:rPr>
          <w:rFonts w:hint="eastAsia"/>
          <w:szCs w:val="30"/>
          <w:highlight w:val="none"/>
        </w:rPr>
        <w:t xml:space="preserve">六、其他补充事宜</w:t>
      </w:r>
      <w:r>
        <w:tab/>
      </w:r>
      <w:r>
        <w:fldChar w:fldCharType="begin"/>
      </w:r>
      <w:r>
        <w:instrText xml:space="preserve"> PAGEREF _Toc8807 \h </w:instrText>
      </w:r>
      <w:r>
        <w:fldChar w:fldCharType="separate"/>
      </w:r>
      <w:r>
        <w:t xml:space="preserve">5</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_Toc29210 </w:instrText>
      </w:r>
      <w:r>
        <w:rPr>
          <w:highlight w:val="none"/>
        </w:rPr>
        <w:fldChar w:fldCharType="separate"/>
      </w:r>
      <w:r>
        <w:rPr>
          <w:rFonts w:hint="eastAsia"/>
          <w:szCs w:val="30"/>
          <w:highlight w:val="none"/>
        </w:rPr>
        <w:t xml:space="preserve">七、本次招标联系方式</w:t>
      </w:r>
      <w:r>
        <w:tab/>
      </w:r>
      <w:r>
        <w:fldChar w:fldCharType="begin"/>
      </w:r>
      <w:r>
        <w:instrText xml:space="preserve"> PAGEREF _Toc29210 \h </w:instrText>
      </w:r>
      <w:r>
        <w:fldChar w:fldCharType="separate"/>
      </w:r>
      <w:r>
        <w:t xml:space="preserve">5</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_Toc12445 </w:instrText>
      </w:r>
      <w:r>
        <w:rPr>
          <w:highlight w:val="none"/>
        </w:rPr>
        <w:fldChar w:fldCharType="separate"/>
      </w:r>
      <w:r>
        <w:rPr>
          <w:rFonts w:hint="eastAsia"/>
          <w:szCs w:val="30"/>
          <w:highlight w:val="none"/>
        </w:rPr>
        <w:t xml:space="preserve">八、其他</w:t>
      </w:r>
      <w:r>
        <w:tab/>
      </w:r>
      <w:r>
        <w:fldChar w:fldCharType="begin"/>
      </w:r>
      <w:r>
        <w:instrText xml:space="preserve"> PAGEREF _Toc12445 \h </w:instrText>
      </w:r>
      <w:r>
        <w:fldChar w:fldCharType="separate"/>
      </w:r>
      <w:r>
        <w:t xml:space="preserve">6</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_Toc18229 </w:instrText>
      </w:r>
      <w:r>
        <w:rPr>
          <w:highlight w:val="none"/>
        </w:rPr>
        <w:fldChar w:fldCharType="separate"/>
      </w:r>
      <w:r>
        <w:rPr>
          <w:rFonts w:hint="eastAsia" w:eastAsia="黑体"/>
          <w:szCs w:val="36"/>
          <w:highlight w:val="none"/>
        </w:rPr>
        <w:t xml:space="preserve">第二章  投标须知</w:t>
      </w:r>
      <w:r>
        <w:tab/>
      </w:r>
      <w:r>
        <w:fldChar w:fldCharType="begin"/>
      </w:r>
      <w:r>
        <w:instrText xml:space="preserve"> PAGEREF _Toc18229 \h </w:instrText>
      </w:r>
      <w:r>
        <w:fldChar w:fldCharType="separate"/>
      </w:r>
      <w:r>
        <w:t xml:space="preserve">7</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_Toc15413 </w:instrText>
      </w:r>
      <w:r>
        <w:rPr>
          <w:highlight w:val="none"/>
        </w:rPr>
        <w:fldChar w:fldCharType="separate"/>
      </w:r>
      <w:r>
        <w:rPr>
          <w:rFonts w:hint="eastAsia"/>
          <w:highlight w:val="none"/>
        </w:rPr>
        <w:t xml:space="preserve">一、总则</w:t>
      </w:r>
      <w:r>
        <w:tab/>
      </w:r>
      <w:r>
        <w:fldChar w:fldCharType="begin"/>
      </w:r>
      <w:r>
        <w:instrText xml:space="preserve"> PAGEREF _Toc15413 \h </w:instrText>
      </w:r>
      <w:r>
        <w:fldChar w:fldCharType="separate"/>
      </w:r>
      <w:r>
        <w:t xml:space="preserve">7</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_Toc25927 </w:instrText>
      </w:r>
      <w:r>
        <w:rPr>
          <w:highlight w:val="none"/>
        </w:rPr>
        <w:fldChar w:fldCharType="separate"/>
      </w:r>
      <w:r>
        <w:rPr>
          <w:rFonts w:hint="eastAsia"/>
          <w:bCs/>
          <w:szCs w:val="32"/>
          <w:highlight w:val="none"/>
        </w:rPr>
        <w:t xml:space="preserve">二、招标文件</w:t>
      </w:r>
      <w:r>
        <w:tab/>
      </w:r>
      <w:r>
        <w:fldChar w:fldCharType="begin"/>
      </w:r>
      <w:r>
        <w:instrText xml:space="preserve"> PAGEREF _Toc25927 \h </w:instrText>
      </w:r>
      <w:r>
        <w:fldChar w:fldCharType="separate"/>
      </w:r>
      <w:r>
        <w:t xml:space="preserve">7</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_Toc31370 </w:instrText>
      </w:r>
      <w:r>
        <w:rPr>
          <w:highlight w:val="none"/>
        </w:rPr>
        <w:fldChar w:fldCharType="separate"/>
      </w:r>
      <w:r>
        <w:rPr>
          <w:rFonts w:hint="eastAsia"/>
          <w:bCs/>
          <w:szCs w:val="32"/>
          <w:highlight w:val="none"/>
        </w:rPr>
        <w:t xml:space="preserve">三、投标文件的编制</w:t>
      </w:r>
      <w:r>
        <w:tab/>
      </w:r>
      <w:r>
        <w:fldChar w:fldCharType="begin"/>
      </w:r>
      <w:r>
        <w:instrText xml:space="preserve"> PAGEREF _Toc31370 \h </w:instrText>
      </w:r>
      <w:r>
        <w:fldChar w:fldCharType="separate"/>
      </w:r>
      <w:r>
        <w:t xml:space="preserve">9</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_Toc20295 </w:instrText>
      </w:r>
      <w:r>
        <w:rPr>
          <w:highlight w:val="none"/>
        </w:rPr>
        <w:fldChar w:fldCharType="separate"/>
      </w:r>
      <w:r>
        <w:rPr>
          <w:rFonts w:hint="eastAsia"/>
          <w:bCs/>
          <w:szCs w:val="32"/>
          <w:highlight w:val="none"/>
        </w:rPr>
        <w:t xml:space="preserve">四、投标文件的递交</w:t>
      </w:r>
      <w:r>
        <w:tab/>
      </w:r>
      <w:r>
        <w:fldChar w:fldCharType="begin"/>
      </w:r>
      <w:r>
        <w:instrText xml:space="preserve"> PAGEREF _Toc20295 \h </w:instrText>
      </w:r>
      <w:r>
        <w:fldChar w:fldCharType="separate"/>
      </w:r>
      <w:r>
        <w:t xml:space="preserve">11</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_Toc431 </w:instrText>
      </w:r>
      <w:r>
        <w:rPr>
          <w:highlight w:val="none"/>
        </w:rPr>
        <w:fldChar w:fldCharType="separate"/>
      </w:r>
      <w:r>
        <w:rPr>
          <w:rFonts w:hint="eastAsia"/>
          <w:bCs/>
          <w:szCs w:val="32"/>
          <w:highlight w:val="none"/>
        </w:rPr>
        <w:t xml:space="preserve">五、开标与评标</w:t>
      </w:r>
      <w:r>
        <w:tab/>
      </w:r>
      <w:r>
        <w:fldChar w:fldCharType="begin"/>
      </w:r>
      <w:r>
        <w:instrText xml:space="preserve"> PAGEREF _Toc431 \h </w:instrText>
      </w:r>
      <w:r>
        <w:fldChar w:fldCharType="separate"/>
      </w:r>
      <w:r>
        <w:t xml:space="preserve">12</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_Toc19980 </w:instrText>
      </w:r>
      <w:r>
        <w:rPr>
          <w:highlight w:val="none"/>
        </w:rPr>
        <w:fldChar w:fldCharType="separate"/>
      </w:r>
      <w:r>
        <w:rPr>
          <w:rFonts w:hint="eastAsia"/>
          <w:bCs/>
          <w:szCs w:val="32"/>
          <w:highlight w:val="none"/>
        </w:rPr>
        <w:t xml:space="preserve">六、定标</w:t>
      </w:r>
      <w:r>
        <w:tab/>
      </w:r>
      <w:r>
        <w:fldChar w:fldCharType="begin"/>
      </w:r>
      <w:r>
        <w:instrText xml:space="preserve"> PAGEREF _Toc19980 \h </w:instrText>
      </w:r>
      <w:r>
        <w:fldChar w:fldCharType="separate"/>
      </w:r>
      <w:r>
        <w:t xml:space="preserve">18</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_Toc7656 </w:instrText>
      </w:r>
      <w:r>
        <w:rPr>
          <w:highlight w:val="none"/>
        </w:rPr>
        <w:fldChar w:fldCharType="separate"/>
      </w:r>
      <w:r>
        <w:rPr>
          <w:rFonts w:hint="eastAsia"/>
          <w:bCs/>
          <w:szCs w:val="32"/>
          <w:highlight w:val="none"/>
        </w:rPr>
        <w:t xml:space="preserve">七、授予合同</w:t>
      </w:r>
      <w:r>
        <w:tab/>
      </w:r>
      <w:r>
        <w:fldChar w:fldCharType="begin"/>
      </w:r>
      <w:r>
        <w:instrText xml:space="preserve"> PAGEREF _Toc7656 \h </w:instrText>
      </w:r>
      <w:r>
        <w:fldChar w:fldCharType="separate"/>
      </w:r>
      <w:r>
        <w:t xml:space="preserve">21</w:t>
      </w:r>
      <w:r>
        <w:fldChar w:fldCharType="end"/>
      </w:r>
      <w:r>
        <w:rPr>
          <w:color w:val="auto"/>
          <w:highlight w:val="none"/>
        </w:rPr>
        <w:fldChar w:fldCharType="end"/>
      </w:r>
      <w:r/>
    </w:p>
    <w:p>
      <w:pPr>
        <w:pStyle w:val="725"/>
        <w:tabs>
          <w:tab w:val="right" w:pos="9960" w:leader="dot"/>
        </w:tabs>
      </w:pPr>
      <w:r>
        <w:rPr>
          <w:color w:val="auto"/>
          <w:highlight w:val="none"/>
        </w:rPr>
        <w:fldChar w:fldCharType="begin"/>
      </w:r>
      <w:r>
        <w:rPr>
          <w:highlight w:val="none"/>
        </w:rPr>
        <w:instrText xml:space="preserve"> HYPERLINK \l _Toc12395 </w:instrText>
      </w:r>
      <w:r>
        <w:rPr>
          <w:highlight w:val="none"/>
        </w:rPr>
        <w:fldChar w:fldCharType="separate"/>
      </w:r>
      <w:r>
        <w:rPr>
          <w:rFonts w:hint="eastAsia" w:ascii="Times New Roman" w:eastAsia="黑体"/>
          <w:bCs/>
          <w:highlight w:val="none"/>
        </w:rPr>
        <w:t xml:space="preserve">第三章  合同文本</w:t>
      </w:r>
      <w:r>
        <w:tab/>
      </w:r>
      <w:r>
        <w:fldChar w:fldCharType="begin"/>
      </w:r>
      <w:r>
        <w:instrText xml:space="preserve"> PAGEREF _Toc12395 \h </w:instrText>
      </w:r>
      <w:r>
        <w:fldChar w:fldCharType="separate"/>
      </w:r>
      <w:r>
        <w:t xml:space="preserve">25</w:t>
      </w:r>
      <w:r>
        <w:fldChar w:fldCharType="end"/>
      </w:r>
      <w:r>
        <w:rPr>
          <w:color w:val="auto"/>
          <w:highlight w:val="none"/>
        </w:rPr>
        <w:fldChar w:fldCharType="end"/>
      </w:r>
      <w:r/>
    </w:p>
    <w:p>
      <w:pPr>
        <w:pStyle w:val="725"/>
        <w:tabs>
          <w:tab w:val="right" w:pos="9960" w:leader="dot"/>
        </w:tabs>
      </w:pPr>
      <w:r>
        <w:rPr>
          <w:color w:val="auto"/>
          <w:highlight w:val="none"/>
        </w:rPr>
        <w:fldChar w:fldCharType="begin"/>
      </w:r>
      <w:r>
        <w:rPr>
          <w:highlight w:val="none"/>
        </w:rPr>
        <w:instrText xml:space="preserve"> HYPERLINK \l _Toc20433 </w:instrText>
      </w:r>
      <w:r>
        <w:rPr>
          <w:highlight w:val="none"/>
        </w:rPr>
        <w:fldChar w:fldCharType="separate"/>
      </w:r>
      <w:r>
        <w:rPr>
          <w:rFonts w:hint="eastAsia" w:ascii="Times New Roman" w:eastAsia="黑体"/>
          <w:bCs/>
          <w:highlight w:val="none"/>
        </w:rPr>
        <w:t xml:space="preserve">第四章 </w:t>
      </w:r>
      <w:r>
        <w:rPr>
          <w:rFonts w:ascii="Times New Roman" w:eastAsia="黑体"/>
          <w:bCs/>
          <w:highlight w:val="none"/>
        </w:rPr>
        <w:t xml:space="preserve"> </w:t>
      </w:r>
      <w:r>
        <w:rPr>
          <w:rFonts w:hint="eastAsia" w:ascii="Times New Roman" w:eastAsia="黑体"/>
          <w:bCs/>
          <w:highlight w:val="none"/>
        </w:rPr>
        <w:t xml:space="preserve">采购需求</w:t>
      </w:r>
      <w:r>
        <w:tab/>
      </w:r>
      <w:r>
        <w:fldChar w:fldCharType="begin"/>
      </w:r>
      <w:r>
        <w:instrText xml:space="preserve"> PAGEREF _Toc20433 \h </w:instrText>
      </w:r>
      <w:r>
        <w:fldChar w:fldCharType="separate"/>
      </w:r>
      <w:r>
        <w:t xml:space="preserve">35</w:t>
      </w:r>
      <w:r>
        <w:fldChar w:fldCharType="end"/>
      </w:r>
      <w:r>
        <w:rPr>
          <w:color w:val="auto"/>
          <w:highlight w:val="none"/>
        </w:rPr>
        <w:fldChar w:fldCharType="end"/>
      </w:r>
      <w:r/>
    </w:p>
    <w:p>
      <w:pPr>
        <w:pStyle w:val="725"/>
        <w:tabs>
          <w:tab w:val="right" w:pos="9960" w:leader="dot"/>
        </w:tabs>
      </w:pPr>
      <w:r>
        <w:rPr>
          <w:color w:val="auto"/>
          <w:highlight w:val="none"/>
        </w:rPr>
        <w:fldChar w:fldCharType="begin"/>
      </w:r>
      <w:r>
        <w:rPr>
          <w:highlight w:val="none"/>
        </w:rPr>
        <w:instrText xml:space="preserve"> HYPERLINK \l _Toc5439 </w:instrText>
      </w:r>
      <w:r>
        <w:rPr>
          <w:highlight w:val="none"/>
        </w:rPr>
        <w:fldChar w:fldCharType="separate"/>
      </w:r>
      <w:r>
        <w:rPr>
          <w:rFonts w:hint="eastAsia" w:ascii="Times New Roman" w:eastAsia="黑体"/>
          <w:bCs/>
          <w:highlight w:val="none"/>
        </w:rPr>
        <w:t xml:space="preserve">第五章  评标方法与评标标准</w:t>
      </w:r>
      <w:r>
        <w:tab/>
      </w:r>
      <w:r>
        <w:fldChar w:fldCharType="begin"/>
      </w:r>
      <w:r>
        <w:instrText xml:space="preserve"> PAGEREF _Toc5439 \h </w:instrText>
      </w:r>
      <w:r>
        <w:fldChar w:fldCharType="separate"/>
      </w:r>
      <w:r>
        <w:t xml:space="preserve">55</w:t>
      </w:r>
      <w:r>
        <w:fldChar w:fldCharType="end"/>
      </w:r>
      <w:r>
        <w:rPr>
          <w:color w:val="auto"/>
          <w:highlight w:val="none"/>
        </w:rPr>
        <w:fldChar w:fldCharType="end"/>
      </w:r>
      <w:r/>
    </w:p>
    <w:p>
      <w:pPr>
        <w:pStyle w:val="725"/>
        <w:tabs>
          <w:tab w:val="right" w:pos="9960" w:leader="dot"/>
        </w:tabs>
      </w:pPr>
      <w:r>
        <w:rPr>
          <w:color w:val="auto"/>
          <w:highlight w:val="none"/>
        </w:rPr>
        <w:fldChar w:fldCharType="begin"/>
      </w:r>
      <w:r>
        <w:rPr>
          <w:highlight w:val="none"/>
        </w:rPr>
        <w:instrText xml:space="preserve"> HYPERLINK \l _Toc8384 </w:instrText>
      </w:r>
      <w:r>
        <w:rPr>
          <w:highlight w:val="none"/>
        </w:rPr>
        <w:fldChar w:fldCharType="separate"/>
      </w:r>
      <w:r>
        <w:rPr>
          <w:rFonts w:hint="eastAsia" w:ascii="Times New Roman" w:eastAsia="黑体"/>
          <w:bCs/>
          <w:highlight w:val="none"/>
        </w:rPr>
        <w:t xml:space="preserve">第六章  投标文件格式</w:t>
      </w:r>
      <w:r>
        <w:tab/>
      </w:r>
      <w:r>
        <w:fldChar w:fldCharType="begin"/>
      </w:r>
      <w:r>
        <w:instrText xml:space="preserve"> PAGEREF _Toc8384 \h </w:instrText>
      </w:r>
      <w:r>
        <w:fldChar w:fldCharType="separate"/>
      </w:r>
      <w:r>
        <w:t xml:space="preserve">63</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_Toc22221 </w:instrText>
      </w:r>
      <w:r>
        <w:rPr>
          <w:highlight w:val="none"/>
        </w:rPr>
        <w:fldChar w:fldCharType="separate"/>
      </w:r>
      <w:r>
        <w:rPr>
          <w:rFonts w:hint="eastAsia" w:asciiTheme="minorEastAsia" w:hAnsiTheme="minorEastAsia" w:eastAsiaTheme="minorEastAsia"/>
          <w:bCs w:val="0"/>
          <w:highlight w:val="none"/>
        </w:rPr>
        <w:t xml:space="preserve">一、投标声明及承诺函</w:t>
      </w:r>
      <w:r>
        <w:tab/>
      </w:r>
      <w:r>
        <w:fldChar w:fldCharType="begin"/>
      </w:r>
      <w:r>
        <w:instrText xml:space="preserve"> PAGEREF _Toc22221 \h </w:instrText>
      </w:r>
      <w:r>
        <w:fldChar w:fldCharType="separate"/>
      </w:r>
      <w:r>
        <w:t xml:space="preserve">65</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_Toc10019 </w:instrText>
      </w:r>
      <w:r>
        <w:rPr>
          <w:highlight w:val="none"/>
        </w:rPr>
        <w:fldChar w:fldCharType="separate"/>
      </w:r>
      <w:r>
        <w:rPr>
          <w:rFonts w:hint="eastAsia"/>
          <w:bCs w:val="0"/>
          <w:highlight w:val="none"/>
        </w:rPr>
        <w:t xml:space="preserve">二、投标人基本情况</w:t>
      </w:r>
      <w:r>
        <w:tab/>
      </w:r>
      <w:r>
        <w:fldChar w:fldCharType="begin"/>
      </w:r>
      <w:r>
        <w:instrText xml:space="preserve"> PAGEREF _Toc10019 \h </w:instrText>
      </w:r>
      <w:r>
        <w:fldChar w:fldCharType="separate"/>
      </w:r>
      <w:r>
        <w:t xml:space="preserve">66</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_Toc10782 </w:instrText>
      </w:r>
      <w:r>
        <w:rPr>
          <w:highlight w:val="none"/>
        </w:rPr>
        <w:fldChar w:fldCharType="separate"/>
      </w:r>
      <w:r>
        <w:rPr>
          <w:rFonts w:hint="eastAsia"/>
          <w:highlight w:val="none"/>
        </w:rPr>
        <w:t xml:space="preserve">三、法人授权书</w:t>
      </w:r>
      <w:r>
        <w:tab/>
      </w:r>
      <w:r>
        <w:fldChar w:fldCharType="begin"/>
      </w:r>
      <w:r>
        <w:instrText xml:space="preserve"> PAGEREF _Toc10782 \h </w:instrText>
      </w:r>
      <w:r>
        <w:fldChar w:fldCharType="separate"/>
      </w:r>
      <w:r>
        <w:t xml:space="preserve">67</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_Toc8938 </w:instrText>
      </w:r>
      <w:r>
        <w:rPr>
          <w:highlight w:val="none"/>
        </w:rPr>
        <w:fldChar w:fldCharType="separate"/>
      </w:r>
      <w:r>
        <w:rPr>
          <w:rFonts w:hint="eastAsia"/>
          <w:highlight w:val="none"/>
        </w:rPr>
        <w:t xml:space="preserve">四、开标一览表（单价）</w:t>
      </w:r>
      <w:r>
        <w:tab/>
      </w:r>
      <w:r>
        <w:fldChar w:fldCharType="begin"/>
      </w:r>
      <w:r>
        <w:instrText xml:space="preserve"> PAGEREF _Toc8938 \h </w:instrText>
      </w:r>
      <w:r>
        <w:fldChar w:fldCharType="separate"/>
      </w:r>
      <w:r>
        <w:t xml:space="preserve">68</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_Toc23103 </w:instrText>
      </w:r>
      <w:r>
        <w:rPr>
          <w:highlight w:val="none"/>
        </w:rPr>
        <w:fldChar w:fldCharType="separate"/>
      </w:r>
      <w:r>
        <w:rPr>
          <w:rFonts w:hint="eastAsia"/>
          <w:highlight w:val="none"/>
        </w:rPr>
        <w:t xml:space="preserve">五、投标报价明细表</w:t>
      </w:r>
      <w:r>
        <w:tab/>
      </w:r>
      <w:r>
        <w:fldChar w:fldCharType="begin"/>
      </w:r>
      <w:r>
        <w:instrText xml:space="preserve"> PAGEREF _Toc23103 \h </w:instrText>
      </w:r>
      <w:r>
        <w:fldChar w:fldCharType="separate"/>
      </w:r>
      <w:r>
        <w:t xml:space="preserve">69</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_Toc6726 </w:instrText>
      </w:r>
      <w:r>
        <w:rPr>
          <w:highlight w:val="none"/>
        </w:rPr>
        <w:fldChar w:fldCharType="separate"/>
      </w:r>
      <w:r>
        <w:rPr>
          <w:rFonts w:hint="eastAsia"/>
          <w:highlight w:val="none"/>
        </w:rPr>
        <w:t xml:space="preserve">六、中小企业声明函（服务）</w:t>
      </w:r>
      <w:r>
        <w:tab/>
      </w:r>
      <w:r>
        <w:fldChar w:fldCharType="begin"/>
      </w:r>
      <w:r>
        <w:instrText xml:space="preserve"> PAGEREF _Toc6726 \h </w:instrText>
      </w:r>
      <w:r>
        <w:fldChar w:fldCharType="separate"/>
      </w:r>
      <w:r>
        <w:t xml:space="preserve">70</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_Toc1682 </w:instrText>
      </w:r>
      <w:r>
        <w:rPr>
          <w:highlight w:val="none"/>
        </w:rPr>
        <w:fldChar w:fldCharType="separate"/>
      </w:r>
      <w:r>
        <w:rPr>
          <w:rFonts w:hint="eastAsia"/>
        </w:rPr>
        <w:t xml:space="preserve">七、 </w:t>
      </w:r>
      <w:r>
        <w:rPr>
          <w:rFonts w:hint="eastAsia"/>
          <w:highlight w:val="none"/>
        </w:rPr>
        <w:t xml:space="preserve">技术要求响应及偏离表</w:t>
      </w:r>
      <w:r>
        <w:tab/>
      </w:r>
      <w:r>
        <w:fldChar w:fldCharType="begin"/>
      </w:r>
      <w:r>
        <w:instrText xml:space="preserve"> PAGEREF _Toc1682 \h </w:instrText>
      </w:r>
      <w:r>
        <w:fldChar w:fldCharType="separate"/>
      </w:r>
      <w:r>
        <w:t xml:space="preserve">72</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_Toc24888 </w:instrText>
      </w:r>
      <w:r>
        <w:rPr>
          <w:highlight w:val="none"/>
        </w:rPr>
        <w:fldChar w:fldCharType="separate"/>
      </w:r>
      <w:r>
        <w:rPr>
          <w:rFonts w:hint="eastAsia"/>
          <w:highlight w:val="none"/>
          <w:lang w:val="en-US" w:eastAsia="zh-CN"/>
        </w:rPr>
        <w:t xml:space="preserve">八</w:t>
      </w:r>
      <w:r>
        <w:rPr>
          <w:rFonts w:hint="eastAsia"/>
          <w:highlight w:val="none"/>
        </w:rPr>
        <w:t xml:space="preserve">、</w:t>
      </w:r>
      <w:r>
        <w:rPr>
          <w:rFonts w:hint="eastAsia"/>
          <w:highlight w:val="none"/>
          <w:lang w:val="en-US" w:eastAsia="zh-CN"/>
        </w:rPr>
        <w:t xml:space="preserve">商务响应偏离表</w:t>
      </w:r>
      <w:r>
        <w:tab/>
      </w:r>
      <w:r>
        <w:fldChar w:fldCharType="begin"/>
      </w:r>
      <w:r>
        <w:instrText xml:space="preserve"> PAGEREF _Toc24888 \h </w:instrText>
      </w:r>
      <w:r>
        <w:fldChar w:fldCharType="separate"/>
      </w:r>
      <w:r>
        <w:t xml:space="preserve">73</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_Toc17555 </w:instrText>
      </w:r>
      <w:r>
        <w:rPr>
          <w:highlight w:val="none"/>
        </w:rPr>
        <w:fldChar w:fldCharType="separate"/>
      </w:r>
      <w:r>
        <w:rPr>
          <w:rFonts w:hint="eastAsia"/>
          <w:highlight w:val="none"/>
          <w:lang w:val="en-US" w:eastAsia="zh-CN"/>
        </w:rPr>
        <w:t xml:space="preserve">九</w:t>
      </w:r>
      <w:r>
        <w:rPr>
          <w:rFonts w:hint="eastAsia"/>
          <w:highlight w:val="none"/>
        </w:rPr>
        <w:t xml:space="preserve">、</w:t>
      </w:r>
      <w:r>
        <w:rPr>
          <w:highlight w:val="none"/>
        </w:rPr>
        <w:t xml:space="preserve">项目组人员</w:t>
      </w:r>
      <w:r>
        <w:tab/>
      </w:r>
      <w:r>
        <w:fldChar w:fldCharType="begin"/>
      </w:r>
      <w:r>
        <w:instrText xml:space="preserve"> PAGEREF _Toc17555 \h </w:instrText>
      </w:r>
      <w:r>
        <w:fldChar w:fldCharType="separate"/>
      </w:r>
      <w:r>
        <w:t xml:space="preserve">74</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_Toc2764 </w:instrText>
      </w:r>
      <w:r>
        <w:rPr>
          <w:highlight w:val="none"/>
        </w:rPr>
        <w:fldChar w:fldCharType="separate"/>
      </w:r>
      <w:r>
        <w:rPr>
          <w:rFonts w:hint="eastAsia"/>
          <w:highlight w:val="none"/>
          <w:lang w:val="en-US" w:eastAsia="zh-CN"/>
        </w:rPr>
        <w:t xml:space="preserve">十</w:t>
      </w:r>
      <w:r>
        <w:rPr>
          <w:rFonts w:hint="eastAsia"/>
          <w:highlight w:val="none"/>
        </w:rPr>
        <w:t xml:space="preserve">、企业业绩</w:t>
      </w:r>
      <w:r>
        <w:tab/>
      </w:r>
      <w:r>
        <w:fldChar w:fldCharType="begin"/>
      </w:r>
      <w:r>
        <w:instrText xml:space="preserve"> PAGEREF _Toc2764 \h </w:instrText>
      </w:r>
      <w:r>
        <w:fldChar w:fldCharType="separate"/>
      </w:r>
      <w:r>
        <w:t xml:space="preserve">75</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_Toc18613 </w:instrText>
      </w:r>
      <w:r>
        <w:rPr>
          <w:highlight w:val="none"/>
        </w:rPr>
        <w:fldChar w:fldCharType="separate"/>
      </w:r>
      <w:r>
        <w:rPr>
          <w:rFonts w:hint="eastAsia"/>
          <w:highlight w:val="none"/>
        </w:rPr>
        <w:t xml:space="preserve">十</w:t>
      </w:r>
      <w:r>
        <w:rPr>
          <w:rFonts w:hint="eastAsia"/>
          <w:highlight w:val="none"/>
          <w:lang w:val="en-US" w:eastAsia="zh-CN"/>
        </w:rPr>
        <w:t xml:space="preserve">一</w:t>
      </w:r>
      <w:r>
        <w:rPr>
          <w:highlight w:val="none"/>
        </w:rPr>
        <w:t xml:space="preserve">、</w:t>
      </w:r>
      <w:r>
        <w:rPr>
          <w:rFonts w:hint="eastAsia"/>
          <w:highlight w:val="none"/>
        </w:rPr>
        <w:t xml:space="preserve">项目实施方案</w:t>
      </w:r>
      <w:r>
        <w:tab/>
      </w:r>
      <w:r>
        <w:fldChar w:fldCharType="begin"/>
      </w:r>
      <w:r>
        <w:instrText xml:space="preserve"> PAGEREF _Toc18613 \h </w:instrText>
      </w:r>
      <w:r>
        <w:fldChar w:fldCharType="separate"/>
      </w:r>
      <w:r>
        <w:t xml:space="preserve">76</w:t>
      </w:r>
      <w:r>
        <w:fldChar w:fldCharType="end"/>
      </w:r>
      <w:r>
        <w:rPr>
          <w:color w:val="auto"/>
          <w:highlight w:val="none"/>
        </w:rPr>
        <w:fldChar w:fldCharType="end"/>
      </w:r>
      <w:r/>
    </w:p>
    <w:p>
      <w:pPr>
        <w:pStyle w:val="720"/>
        <w:tabs>
          <w:tab w:val="right" w:pos="9960" w:leader="dot"/>
        </w:tabs>
      </w:pPr>
      <w:r>
        <w:rPr>
          <w:color w:val="auto"/>
          <w:highlight w:val="none"/>
        </w:rPr>
        <w:fldChar w:fldCharType="begin"/>
      </w:r>
      <w:r>
        <w:rPr>
          <w:highlight w:val="none"/>
        </w:rPr>
        <w:instrText xml:space="preserve"> HYPERLINK \l _Toc30961 </w:instrText>
      </w:r>
      <w:r>
        <w:rPr>
          <w:highlight w:val="none"/>
        </w:rPr>
        <w:fldChar w:fldCharType="separate"/>
      </w:r>
      <w:r>
        <w:rPr>
          <w:rFonts w:hint="eastAsia"/>
          <w:highlight w:val="none"/>
        </w:rPr>
        <w:t xml:space="preserve">十</w:t>
      </w:r>
      <w:r>
        <w:rPr>
          <w:rFonts w:hint="eastAsia"/>
          <w:highlight w:val="none"/>
          <w:lang w:val="en-US" w:eastAsia="zh-CN"/>
        </w:rPr>
        <w:t xml:space="preserve">二</w:t>
      </w:r>
      <w:r>
        <w:rPr>
          <w:highlight w:val="none"/>
        </w:rPr>
        <w:t xml:space="preserve">、投标所需其他材料</w:t>
      </w:r>
      <w:r>
        <w:tab/>
      </w:r>
      <w:r>
        <w:fldChar w:fldCharType="begin"/>
      </w:r>
      <w:r>
        <w:instrText xml:space="preserve"> PAGEREF _Toc30961 \h </w:instrText>
      </w:r>
      <w:r>
        <w:fldChar w:fldCharType="separate"/>
      </w:r>
      <w:r>
        <w:t xml:space="preserve">77</w:t>
      </w:r>
      <w:r>
        <w:fldChar w:fldCharType="end"/>
      </w:r>
      <w:r>
        <w:rPr>
          <w:color w:val="auto"/>
          <w:highlight w:val="none"/>
        </w:rPr>
        <w:fldChar w:fldCharType="end"/>
      </w:r>
      <w:r/>
    </w:p>
    <w:p>
      <w:pPr>
        <w:pStyle w:val="970"/>
        <w:spacing w:line="400" w:lineRule="exact"/>
        <w:tabs>
          <w:tab w:val="right" w:pos="8943" w:leader="dot"/>
        </w:tabs>
        <w:rPr>
          <w:color w:val="auto"/>
          <w:highlight w:val="none"/>
        </w:rPr>
      </w:pPr>
      <w:r>
        <w:rPr>
          <w:color w:val="auto"/>
          <w:highlight w:val="none"/>
        </w:rPr>
        <w:fldChar w:fldCharType="end"/>
      </w:r>
      <w:r/>
    </w:p>
    <w:p>
      <w:pPr>
        <w:pStyle w:val="920"/>
        <w:spacing w:line="360" w:lineRule="auto"/>
        <w:rPr>
          <w:rFonts w:ascii="Times New Roman" w:eastAsia="黑体"/>
          <w:bCs/>
          <w:color w:val="auto"/>
          <w:sz w:val="36"/>
          <w:szCs w:val="36"/>
          <w:highlight w:val="none"/>
        </w:rPr>
      </w:pPr>
      <w:r/>
      <w:bookmarkStart w:id="155" w:name="_GoBack"/>
      <w:r/>
      <w:bookmarkEnd w:id="155"/>
      <w:r>
        <w:rPr>
          <w:rFonts w:ascii="Times New Roman" w:eastAsia="黑体"/>
          <w:color w:val="auto"/>
          <w:sz w:val="36"/>
          <w:szCs w:val="36"/>
          <w:highlight w:val="none"/>
        </w:rPr>
        <w:br w:type="page" w:clear="all"/>
      </w:r>
      <w:bookmarkStart w:id="0" w:name="_Toc24671"/>
      <w:r>
        <w:rPr>
          <w:rFonts w:hint="eastAsia" w:ascii="Times New Roman" w:eastAsia="黑体"/>
          <w:color w:val="auto"/>
          <w:sz w:val="36"/>
          <w:szCs w:val="36"/>
          <w:highlight w:val="none"/>
        </w:rPr>
        <w:t xml:space="preserve">第一章  投标邀请</w:t>
      </w:r>
      <w:bookmarkEnd w:id="0"/>
      <w:r/>
      <w:r/>
    </w:p>
    <w:p>
      <w:pPr>
        <w:ind w:firstLine="480"/>
        <w:spacing w:line="360" w:lineRule="auto"/>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u w:val="single"/>
        </w:rPr>
        <w:t xml:space="preserve">泗阳县市场监督管理局</w:t>
      </w:r>
      <w:r>
        <w:rPr>
          <w:rFonts w:hint="eastAsia"/>
          <w:color w:val="auto"/>
          <w:sz w:val="24"/>
          <w:szCs w:val="24"/>
          <w:highlight w:val="none"/>
        </w:rPr>
        <w:t xml:space="preserve">的委托，</w:t>
      </w:r>
      <w:r>
        <w:rPr>
          <w:rFonts w:hint="eastAsia"/>
          <w:color w:val="auto"/>
          <w:sz w:val="24"/>
          <w:szCs w:val="24"/>
          <w:highlight w:val="none"/>
          <w:u w:val="single"/>
        </w:rPr>
        <w:t xml:space="preserve">江苏志诚工程咨询管理有限公司</w:t>
      </w:r>
      <w:r>
        <w:rPr>
          <w:rFonts w:hint="eastAsia"/>
          <w:color w:val="auto"/>
          <w:sz w:val="24"/>
          <w:szCs w:val="24"/>
          <w:highlight w:val="none"/>
        </w:rPr>
        <w:t xml:space="preserve">就</w:t>
      </w:r>
      <w:r>
        <w:rPr>
          <w:rFonts w:hint="eastAsia"/>
          <w:color w:val="auto"/>
          <w:sz w:val="24"/>
          <w:szCs w:val="24"/>
          <w:highlight w:val="none"/>
          <w:u w:val="single"/>
        </w:rPr>
        <w:t xml:space="preserve">泗阳县市场监督管理局2026年食品检验检测承检机构采购项目(</w:t>
      </w:r>
      <w:r>
        <w:rPr>
          <w:rFonts w:hint="eastAsia"/>
          <w:color w:val="auto"/>
          <w:sz w:val="24"/>
          <w:szCs w:val="24"/>
          <w:highlight w:val="none"/>
          <w:u w:val="single"/>
          <w:lang w:eastAsia="zh-CN"/>
        </w:rPr>
        <w:t xml:space="preserve">JSZC-321323-JSZC-G2026-0007</w:t>
      </w:r>
      <w:r>
        <w:rPr>
          <w:rFonts w:hint="eastAsia"/>
          <w:color w:val="auto"/>
          <w:sz w:val="24"/>
          <w:szCs w:val="24"/>
          <w:highlight w:val="none"/>
          <w:u w:val="single"/>
        </w:rPr>
        <w:t xml:space="preserve"> )</w:t>
      </w:r>
      <w:r>
        <w:rPr>
          <w:rFonts w:hint="eastAsia"/>
          <w:color w:val="auto"/>
          <w:sz w:val="24"/>
          <w:szCs w:val="24"/>
          <w:highlight w:val="none"/>
        </w:rPr>
        <w:t xml:space="preserve">项目进行公开招标采购，欢迎符合条件的投标人投标。</w:t>
      </w:r>
      <w:r/>
    </w:p>
    <w:p>
      <w:pPr>
        <w:ind w:firstLine="480"/>
        <w:spacing w:line="360" w:lineRule="auto"/>
        <w:rPr>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auto"/>
          <w:sz w:val="24"/>
          <w:szCs w:val="24"/>
          <w:highlight w:val="none"/>
        </w:rPr>
        <w:t xml:space="preserve">项目概况：</w:t>
      </w:r>
      <w:r/>
    </w:p>
    <w:p>
      <w:pPr>
        <w:ind w:firstLine="480"/>
        <w:spacing w:line="360" w:lineRule="auto"/>
        <w:rPr>
          <w:color w:val="auto"/>
          <w:sz w:val="24"/>
          <w:szCs w:val="24"/>
          <w:highlight w:val="none"/>
        </w:rPr>
        <w:pBdr>
          <w:top w:val="single" w:color="000000" w:sz="4" w:space="0"/>
          <w:left w:val="single" w:color="000000" w:sz="4" w:space="3"/>
          <w:bottom w:val="single" w:color="000000" w:sz="4" w:space="0"/>
          <w:right w:val="single" w:color="000000" w:sz="4" w:space="3"/>
        </w:pBdr>
      </w:pPr>
      <w:r>
        <w:rPr>
          <w:rFonts w:hint="eastAsia"/>
          <w:color w:val="auto"/>
          <w:sz w:val="24"/>
          <w:szCs w:val="24"/>
          <w:highlight w:val="none"/>
          <w:u w:val="single"/>
        </w:rPr>
        <w:t xml:space="preserve">泗阳县市场监督管理局2026年食品检验检测承检机构采购项目</w:t>
      </w:r>
      <w:r>
        <w:rPr>
          <w:rFonts w:hint="eastAsia"/>
          <w:color w:val="auto"/>
          <w:sz w:val="24"/>
          <w:szCs w:val="24"/>
          <w:highlight w:val="none"/>
        </w:rPr>
        <w:t xml:space="preserve">（项目名称）</w:t>
      </w:r>
      <w:r>
        <w:rPr>
          <w:rFonts w:hint="eastAsia"/>
          <w:color w:val="auto"/>
          <w:sz w:val="24"/>
          <w:szCs w:val="24"/>
          <w:highlight w:val="none"/>
          <w:u w:val="single"/>
          <w:lang w:eastAsia="zh-CN"/>
        </w:rPr>
        <w:t xml:space="preserve">JSZC-321323-JSZC-G2026-0007</w:t>
      </w:r>
      <w:r>
        <w:rPr>
          <w:rFonts w:hint="eastAsia"/>
          <w:color w:val="auto"/>
          <w:sz w:val="24"/>
          <w:szCs w:val="24"/>
          <w:highlight w:val="none"/>
        </w:rPr>
        <w:t xml:space="preserve">（项目编号）招标项目的潜在供应商应通过“苏采云”系统（网址：http://jszfcg.jsczt.cn/）”获取招标文件。并于202</w:t>
      </w:r>
      <w:r>
        <w:rPr>
          <w:rFonts w:hint="default"/>
          <w:color w:val="auto"/>
          <w:sz w:val="24"/>
          <w:szCs w:val="24"/>
          <w:highlight w:val="none"/>
          <w:lang w:val="en-US"/>
        </w:rPr>
        <w:t xml:space="preserve">6</w:t>
      </w:r>
      <w:r>
        <w:rPr>
          <w:rFonts w:hint="eastAsia"/>
          <w:color w:val="auto"/>
          <w:sz w:val="24"/>
          <w:szCs w:val="24"/>
          <w:highlight w:val="none"/>
        </w:rPr>
        <w:t xml:space="preserve">-0</w:t>
      </w:r>
      <w:r>
        <w:rPr>
          <w:rFonts w:hint="eastAsia"/>
          <w:color w:val="auto"/>
          <w:sz w:val="24"/>
          <w:szCs w:val="24"/>
          <w:highlight w:val="none"/>
          <w:lang w:val="en-US" w:eastAsia="zh-CN"/>
        </w:rPr>
        <w:t xml:space="preserve">3</w:t>
      </w:r>
      <w:r>
        <w:rPr>
          <w:rFonts w:hint="eastAsia"/>
          <w:color w:val="auto"/>
          <w:sz w:val="24"/>
          <w:szCs w:val="24"/>
          <w:highlight w:val="none"/>
        </w:rPr>
        <w:t xml:space="preserve">-</w:t>
      </w:r>
      <w:r>
        <w:rPr>
          <w:rFonts w:hint="eastAsia"/>
          <w:color w:val="auto"/>
          <w:sz w:val="24"/>
          <w:szCs w:val="24"/>
          <w:highlight w:val="none"/>
          <w:lang w:val="en-US" w:eastAsia="zh-CN"/>
        </w:rPr>
        <w:t xml:space="preserve">25 </w:t>
      </w:r>
      <w:r>
        <w:rPr>
          <w:rFonts w:hint="eastAsia"/>
          <w:color w:val="auto"/>
          <w:sz w:val="24"/>
          <w:szCs w:val="24"/>
          <w:highlight w:val="none"/>
        </w:rPr>
        <w:t xml:space="preserve">09:00（北京时间）前递交投标文件。</w:t>
      </w:r>
      <w:r/>
    </w:p>
    <w:p>
      <w:pPr>
        <w:pStyle w:val="922"/>
        <w:ind w:firstLine="467"/>
        <w:spacing w:before="0" w:after="0" w:line="560" w:lineRule="exact"/>
        <w:rPr>
          <w:color w:val="auto"/>
          <w:sz w:val="30"/>
          <w:szCs w:val="30"/>
          <w:highlight w:val="none"/>
        </w:rPr>
      </w:pPr>
      <w:r/>
      <w:bookmarkStart w:id="1" w:name="_Toc8219"/>
      <w:r/>
      <w:bookmarkStart w:id="2" w:name="_Hlk24379207"/>
      <w:r>
        <w:rPr>
          <w:rFonts w:hint="eastAsia"/>
          <w:color w:val="auto"/>
          <w:sz w:val="30"/>
          <w:szCs w:val="30"/>
          <w:highlight w:val="none"/>
        </w:rPr>
        <w:t xml:space="preserve">一、项目基本情况</w:t>
      </w:r>
      <w:bookmarkEnd w:id="1"/>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1、项目编号：</w:t>
      </w:r>
      <w:r>
        <w:rPr>
          <w:rFonts w:hint="eastAsia"/>
          <w:color w:val="auto"/>
          <w:sz w:val="24"/>
          <w:szCs w:val="24"/>
          <w:highlight w:val="none"/>
          <w:lang w:eastAsia="zh-CN"/>
        </w:rPr>
        <w:t xml:space="preserve">JSZC-321323-JSZC-G2026-0007</w:t>
      </w:r>
      <w:r/>
    </w:p>
    <w:p>
      <w:pPr>
        <w:ind w:firstLine="480"/>
        <w:spacing w:line="360" w:lineRule="auto"/>
        <w:rPr>
          <w:color w:val="auto"/>
          <w:sz w:val="24"/>
          <w:szCs w:val="24"/>
          <w:highlight w:val="none"/>
        </w:rPr>
      </w:pPr>
      <w:r>
        <w:rPr>
          <w:rFonts w:hint="eastAsia"/>
          <w:color w:val="auto"/>
          <w:sz w:val="24"/>
          <w:szCs w:val="24"/>
          <w:highlight w:val="none"/>
        </w:rPr>
        <w:t xml:space="preserve">2、项目名称：泗阳县市场监督管理局2026年食品检验检测承检机构采购项目</w:t>
      </w:r>
      <w:bookmarkEnd w:id="2"/>
      <w:r/>
      <w:r/>
    </w:p>
    <w:p>
      <w:pPr>
        <w:ind w:firstLine="480"/>
        <w:spacing w:line="360" w:lineRule="auto"/>
        <w:rPr>
          <w:color w:val="auto"/>
          <w:sz w:val="24"/>
          <w:szCs w:val="24"/>
          <w:highlight w:val="none"/>
        </w:rPr>
      </w:pPr>
      <w:r>
        <w:rPr>
          <w:rFonts w:hint="eastAsia"/>
          <w:color w:val="auto"/>
          <w:sz w:val="24"/>
          <w:szCs w:val="24"/>
          <w:highlight w:val="none"/>
        </w:rPr>
        <w:t xml:space="preserve">3、预算金额：总预算约105万元（其中，采购包一：</w:t>
      </w:r>
      <w:r>
        <w:rPr>
          <w:rFonts w:hint="eastAsia"/>
          <w:color w:val="auto"/>
          <w:sz w:val="24"/>
          <w:szCs w:val="24"/>
          <w:highlight w:val="none"/>
          <w:lang w:val="en-US" w:eastAsia="zh-CN"/>
        </w:rPr>
        <w:t xml:space="preserve">28</w:t>
      </w:r>
      <w:r>
        <w:rPr>
          <w:rFonts w:hint="eastAsia"/>
          <w:color w:val="auto"/>
          <w:sz w:val="24"/>
          <w:szCs w:val="24"/>
          <w:highlight w:val="none"/>
        </w:rPr>
        <w:t xml:space="preserve">万元，采购包二：</w:t>
      </w:r>
      <w:r>
        <w:rPr>
          <w:rFonts w:hint="eastAsia"/>
          <w:color w:val="auto"/>
          <w:sz w:val="24"/>
          <w:szCs w:val="24"/>
          <w:highlight w:val="none"/>
          <w:lang w:val="en-US" w:eastAsia="zh-CN"/>
        </w:rPr>
        <w:t xml:space="preserve">28</w:t>
      </w:r>
      <w:r>
        <w:rPr>
          <w:rFonts w:hint="eastAsia"/>
          <w:color w:val="auto"/>
          <w:sz w:val="24"/>
          <w:szCs w:val="24"/>
          <w:highlight w:val="none"/>
        </w:rPr>
        <w:t xml:space="preserve">万元，采购包三：</w:t>
      </w:r>
      <w:r>
        <w:rPr>
          <w:rFonts w:hint="eastAsia"/>
          <w:color w:val="auto"/>
          <w:sz w:val="24"/>
          <w:szCs w:val="24"/>
          <w:highlight w:val="none"/>
          <w:lang w:val="en-US" w:eastAsia="zh-CN"/>
        </w:rPr>
        <w:t xml:space="preserve">28</w:t>
      </w:r>
      <w:r>
        <w:rPr>
          <w:rFonts w:hint="eastAsia"/>
          <w:color w:val="auto"/>
          <w:sz w:val="24"/>
          <w:szCs w:val="24"/>
          <w:highlight w:val="none"/>
        </w:rPr>
        <w:t xml:space="preserve">万元，采购包四：</w:t>
      </w:r>
      <w:r>
        <w:rPr>
          <w:rFonts w:hint="eastAsia"/>
          <w:color w:val="auto"/>
          <w:sz w:val="24"/>
          <w:szCs w:val="24"/>
          <w:highlight w:val="none"/>
          <w:lang w:val="en-US" w:eastAsia="zh-CN"/>
        </w:rPr>
        <w:t xml:space="preserve">21</w:t>
      </w:r>
      <w:r>
        <w:rPr>
          <w:rFonts w:hint="eastAsia"/>
          <w:color w:val="auto"/>
          <w:sz w:val="24"/>
          <w:szCs w:val="24"/>
          <w:highlight w:val="none"/>
        </w:rPr>
        <w:t xml:space="preserve">万元）</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4、本项目设定最高限价：采购包一：</w:t>
      </w:r>
      <w:r>
        <w:rPr>
          <w:rFonts w:hint="eastAsia" w:ascii="Times New Roman" w:eastAsia="宋体"/>
          <w:color w:val="auto"/>
          <w:sz w:val="24"/>
          <w:szCs w:val="24"/>
          <w:highlight w:val="none"/>
          <w:lang w:val="en-US" w:eastAsia="zh-CN"/>
        </w:rPr>
        <w:t xml:space="preserve">28</w:t>
      </w:r>
      <w:r>
        <w:rPr>
          <w:rFonts w:hint="eastAsia"/>
          <w:color w:val="auto"/>
          <w:sz w:val="24"/>
          <w:szCs w:val="24"/>
          <w:highlight w:val="none"/>
        </w:rPr>
        <w:t xml:space="preserve">万元，采购包二：</w:t>
      </w:r>
      <w:r>
        <w:rPr>
          <w:rFonts w:hint="eastAsia" w:ascii="Times New Roman" w:eastAsia="宋体"/>
          <w:color w:val="auto"/>
          <w:sz w:val="24"/>
          <w:szCs w:val="24"/>
          <w:highlight w:val="none"/>
          <w:lang w:val="en-US" w:eastAsia="zh-CN"/>
        </w:rPr>
        <w:t xml:space="preserve">28</w:t>
      </w:r>
      <w:r>
        <w:rPr>
          <w:rFonts w:hint="eastAsia"/>
          <w:color w:val="auto"/>
          <w:sz w:val="24"/>
          <w:szCs w:val="24"/>
          <w:highlight w:val="none"/>
        </w:rPr>
        <w:t xml:space="preserve">万元，采购包三：</w:t>
      </w:r>
      <w:r>
        <w:rPr>
          <w:rFonts w:hint="eastAsia" w:ascii="Times New Roman" w:eastAsia="宋体"/>
          <w:color w:val="auto"/>
          <w:sz w:val="24"/>
          <w:szCs w:val="24"/>
          <w:highlight w:val="none"/>
          <w:lang w:val="en-US" w:eastAsia="zh-CN"/>
        </w:rPr>
        <w:t xml:space="preserve">28</w:t>
      </w:r>
      <w:r>
        <w:rPr>
          <w:rFonts w:hint="eastAsia"/>
          <w:color w:val="auto"/>
          <w:sz w:val="24"/>
          <w:szCs w:val="24"/>
          <w:highlight w:val="none"/>
        </w:rPr>
        <w:t xml:space="preserve">万元，采购包四：</w:t>
      </w:r>
      <w:r>
        <w:rPr>
          <w:rFonts w:hint="eastAsia" w:ascii="Times New Roman" w:eastAsia="宋体"/>
          <w:color w:val="auto"/>
          <w:sz w:val="24"/>
          <w:szCs w:val="24"/>
          <w:highlight w:val="none"/>
          <w:lang w:val="en-US" w:eastAsia="zh-CN"/>
        </w:rPr>
        <w:t xml:space="preserve">21</w:t>
      </w:r>
      <w:r>
        <w:rPr>
          <w:rFonts w:hint="eastAsia"/>
          <w:color w:val="auto"/>
          <w:sz w:val="24"/>
          <w:szCs w:val="24"/>
          <w:highlight w:val="none"/>
        </w:rPr>
        <w:t xml:space="preserve">万元</w:t>
      </w:r>
      <w:r>
        <w:rPr>
          <w:rFonts w:hint="eastAsia"/>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color w:val="auto"/>
          <w:sz w:val="24"/>
          <w:szCs w:val="24"/>
          <w:highlight w:val="none"/>
        </w:rPr>
        <w:t xml:space="preserve">5、采购需求：</w:t>
      </w:r>
      <w:r>
        <w:rPr>
          <w:rFonts w:hint="eastAsia" w:ascii="宋体" w:hAnsi="宋体" w:cs="宋体"/>
          <w:color w:val="auto"/>
          <w:sz w:val="24"/>
          <w:szCs w:val="24"/>
          <w:highlight w:val="none"/>
        </w:rPr>
        <w:t xml:space="preserve">为顺利开展抽检工作，泗阳县市场监督管理局拟择优选取食品检验检测机构承担泗阳县市场监督管理局2026年食品安全抽检工作，监督抽检总批次约为1500批次，分为</w:t>
      </w:r>
      <w:r>
        <w:rPr>
          <w:rFonts w:hint="default" w:ascii="宋体" w:hAnsi="宋体" w:cs="宋体"/>
          <w:color w:val="auto"/>
          <w:sz w:val="24"/>
          <w:szCs w:val="24"/>
          <w:highlight w:val="none"/>
          <w:lang w:val="en-US"/>
        </w:rPr>
        <w:t xml:space="preserve">4</w:t>
      </w:r>
      <w:r>
        <w:rPr>
          <w:rFonts w:hint="eastAsia" w:ascii="宋体" w:hAnsi="宋体" w:cs="宋体"/>
          <w:color w:val="auto"/>
          <w:sz w:val="24"/>
          <w:szCs w:val="24"/>
          <w:highlight w:val="none"/>
        </w:rPr>
        <w:t xml:space="preserve">个分包以公开招标方式选择</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家食品安全检测机构。</w:t>
      </w:r>
      <w:r/>
    </w:p>
    <w:p>
      <w:pPr>
        <w:ind w:firstLine="480"/>
        <w:spacing w:line="360" w:lineRule="auto"/>
        <w:rPr>
          <w:rFonts w:ascii="宋体" w:hAnsi="宋体" w:cs="宋体"/>
          <w:color w:val="auto"/>
          <w:sz w:val="24"/>
          <w:szCs w:val="24"/>
          <w:highlight w:val="none"/>
        </w:rPr>
      </w:pPr>
      <w:r>
        <w:rPr>
          <w:rFonts w:hint="eastAsia"/>
          <w:color w:val="auto"/>
          <w:sz w:val="24"/>
          <w:szCs w:val="24"/>
          <w:highlight w:val="none"/>
        </w:rPr>
        <w:t xml:space="preserve">采购包</w:t>
      </w:r>
      <w:r>
        <w:rPr>
          <w:rFonts w:hint="eastAsia" w:ascii="宋体" w:hAnsi="宋体" w:cs="宋体"/>
          <w:color w:val="auto"/>
          <w:sz w:val="24"/>
          <w:szCs w:val="24"/>
          <w:highlight w:val="none"/>
        </w:rPr>
        <w:t xml:space="preserve">一：选取1家食品检验检测机构承担食品安全抽检检测服务工作，检测批次约400批次，最终以采购人实际委托批次核定；分包预算约28万元；</w:t>
      </w:r>
      <w:r/>
    </w:p>
    <w:p>
      <w:pPr>
        <w:ind w:firstLine="480"/>
        <w:spacing w:line="360" w:lineRule="auto"/>
        <w:rPr>
          <w:rFonts w:ascii="宋体" w:hAnsi="宋体" w:cs="宋体"/>
          <w:color w:val="auto"/>
          <w:sz w:val="24"/>
          <w:szCs w:val="24"/>
          <w:highlight w:val="none"/>
        </w:rPr>
      </w:pPr>
      <w:r>
        <w:rPr>
          <w:rFonts w:hint="eastAsia"/>
          <w:color w:val="auto"/>
          <w:sz w:val="24"/>
          <w:szCs w:val="24"/>
          <w:highlight w:val="none"/>
        </w:rPr>
        <w:t xml:space="preserve">采购包</w:t>
      </w:r>
      <w:r>
        <w:rPr>
          <w:rFonts w:hint="eastAsia" w:ascii="宋体" w:hAnsi="宋体" w:cs="宋体"/>
          <w:color w:val="auto"/>
          <w:sz w:val="24"/>
          <w:szCs w:val="24"/>
          <w:highlight w:val="none"/>
        </w:rPr>
        <w:t xml:space="preserve">二：选取1家食品检验检测机构承担食品安全抽检检测服务工作，检测批次约400批次，最终以采购人实际委托批次核定；分包预算约28万元；</w:t>
      </w:r>
      <w:r/>
    </w:p>
    <w:p>
      <w:pPr>
        <w:ind w:firstLine="480"/>
        <w:spacing w:line="360" w:lineRule="auto"/>
        <w:rPr>
          <w:rFonts w:ascii="宋体" w:hAnsi="宋体" w:cs="宋体"/>
          <w:color w:val="auto"/>
          <w:sz w:val="24"/>
          <w:szCs w:val="24"/>
          <w:highlight w:val="none"/>
        </w:rPr>
      </w:pPr>
      <w:r>
        <w:rPr>
          <w:rFonts w:hint="eastAsia"/>
          <w:color w:val="auto"/>
          <w:sz w:val="24"/>
          <w:szCs w:val="24"/>
          <w:highlight w:val="none"/>
        </w:rPr>
        <w:t xml:space="preserve">采购包</w:t>
      </w:r>
      <w:r>
        <w:rPr>
          <w:rFonts w:hint="eastAsia" w:ascii="宋体" w:hAnsi="宋体" w:cs="宋体"/>
          <w:color w:val="auto"/>
          <w:sz w:val="24"/>
          <w:szCs w:val="24"/>
          <w:highlight w:val="none"/>
        </w:rPr>
        <w:t xml:space="preserve">三：选取1家食品检验检测机构承担食品安全抽检检测服务工作，检测批次约400批次，最终以采购人实际委托批次核定；分包预算约28万元；</w:t>
      </w:r>
      <w:r/>
    </w:p>
    <w:p>
      <w:pPr>
        <w:ind w:firstLine="480"/>
        <w:spacing w:line="360" w:lineRule="auto"/>
        <w:rPr>
          <w:rFonts w:ascii="宋体" w:hAnsi="宋体" w:cs="宋体"/>
          <w:color w:val="auto"/>
          <w:sz w:val="24"/>
          <w:szCs w:val="24"/>
          <w:highlight w:val="none"/>
        </w:rPr>
      </w:pPr>
      <w:r>
        <w:rPr>
          <w:rFonts w:hint="eastAsia"/>
          <w:color w:val="auto"/>
          <w:sz w:val="24"/>
          <w:szCs w:val="24"/>
          <w:highlight w:val="none"/>
        </w:rPr>
        <w:t xml:space="preserve">采购包</w:t>
      </w:r>
      <w:r>
        <w:rPr>
          <w:rFonts w:hint="eastAsia" w:ascii="宋体" w:hAnsi="宋体" w:cs="宋体"/>
          <w:color w:val="auto"/>
          <w:sz w:val="24"/>
          <w:szCs w:val="24"/>
          <w:highlight w:val="none"/>
        </w:rPr>
        <w:t xml:space="preserve">四：选取1家食品检验检测机构承担食品安全抽检检测服务工作，检测批次约</w:t>
      </w:r>
      <w:r>
        <w:rPr>
          <w:rFonts w:hint="default" w:ascii="宋体" w:hAnsi="宋体" w:cs="宋体"/>
          <w:color w:val="auto"/>
          <w:sz w:val="24"/>
          <w:szCs w:val="24"/>
          <w:highlight w:val="none"/>
          <w:lang w:val="en-US"/>
        </w:rPr>
        <w:t xml:space="preserve">300</w:t>
      </w:r>
      <w:r>
        <w:rPr>
          <w:rFonts w:hint="eastAsia" w:ascii="宋体" w:hAnsi="宋体" w:cs="宋体"/>
          <w:color w:val="auto"/>
          <w:sz w:val="24"/>
          <w:szCs w:val="24"/>
          <w:highlight w:val="none"/>
        </w:rPr>
        <w:t xml:space="preserve">批次，最终以采购人实际委托批次核定；分包预算约</w:t>
      </w:r>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万元；</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投标人可以同时投上述</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个包，但最多只能中其中一个包。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开标顺序：从采购包一到采购包</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依次开标，即先开采购包一，最后开采购包四。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定标顺序：同开标顺序。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定标原则：投标人最多只能中一个包。投标人参与各采购包评标。如某投标人已在采购包一被推荐为中标人的，则采购包二不再推荐为中标人，以此类推。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评审结束后，若其中一个采购包受到质疑投诉等原因，导致本采购包评审结果改变，但不影响其他采购包的评审。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备注：如中标单位检测结果不准确或违反其它法律法规或合同规定等，甲方有权调整检测批次数或解除合同。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价格为固定价格：700元/批次。其中：检验费用640元/批次，购样费用按照实际支出支付，平均不得高于60元/批次。费用为完成本项目的相关任务的全部费用，包含但不限于：采样和检测综合服务所需要的服务费、样品购买费、各种税费、人工、保险、劳保、利润、税金及合同包含的所有风险、责任等各项应有的所有费用。</w:t>
      </w:r>
      <w:r/>
    </w:p>
    <w:p>
      <w:pPr>
        <w:ind w:firstLine="240"/>
        <w:spacing w:line="360" w:lineRule="auto"/>
        <w:rPr>
          <w:color w:val="auto"/>
          <w:sz w:val="24"/>
          <w:szCs w:val="24"/>
          <w:highlight w:val="none"/>
          <w:u w:val="single"/>
        </w:rPr>
      </w:pPr>
      <w:r>
        <w:rPr>
          <w:rFonts w:hint="eastAsia" w:ascii="宋体" w:hAnsi="宋体" w:cs="宋体"/>
          <w:color w:val="auto"/>
          <w:sz w:val="24"/>
          <w:szCs w:val="24"/>
          <w:highlight w:val="none"/>
        </w:rPr>
        <w:t xml:space="preserve">（详细内容见本招标文件第四章） </w:t>
      </w:r>
      <w:r/>
    </w:p>
    <w:p>
      <w:pPr>
        <w:numPr>
          <w:ilvl w:val="0"/>
          <w:numId w:val="4"/>
        </w:numPr>
        <w:ind w:firstLine="480"/>
        <w:spacing w:line="360" w:lineRule="auto"/>
        <w:rPr>
          <w:rFonts w:ascii="宋体" w:hAnsi="宋体" w:cs="宋体"/>
          <w:color w:val="auto"/>
          <w:sz w:val="24"/>
          <w:szCs w:val="24"/>
          <w:highlight w:val="none"/>
        </w:rPr>
      </w:pPr>
      <w:r>
        <w:rPr>
          <w:rFonts w:hint="eastAsia"/>
          <w:color w:val="auto"/>
          <w:sz w:val="24"/>
          <w:szCs w:val="24"/>
          <w:highlight w:val="none"/>
        </w:rPr>
        <w:t xml:space="preserve">合同履行期限：</w:t>
      </w:r>
      <w:r>
        <w:rPr>
          <w:rFonts w:hint="eastAsia" w:ascii="宋体" w:hAnsi="宋体" w:cs="宋体"/>
          <w:color w:val="auto"/>
          <w:sz w:val="24"/>
          <w:szCs w:val="24"/>
          <w:highlight w:val="none"/>
        </w:rPr>
        <w:t xml:space="preserve">合同签订后1年 </w:t>
      </w:r>
      <w:r/>
    </w:p>
    <w:p>
      <w:pPr>
        <w:ind w:firstLine="480"/>
        <w:spacing w:line="360" w:lineRule="auto"/>
        <w:rPr>
          <w:color w:val="auto"/>
          <w:sz w:val="24"/>
          <w:szCs w:val="24"/>
          <w:highlight w:val="none"/>
        </w:rPr>
      </w:pPr>
      <w:r>
        <w:rPr>
          <w:rFonts w:hint="eastAsia"/>
          <w:color w:val="auto"/>
          <w:sz w:val="24"/>
          <w:szCs w:val="24"/>
          <w:highlight w:val="none"/>
        </w:rPr>
        <w:t xml:space="preserve">7、本项目不接受联合体投标。</w:t>
      </w:r>
      <w:r/>
    </w:p>
    <w:p>
      <w:pPr>
        <w:pStyle w:val="922"/>
        <w:ind w:firstLine="467"/>
        <w:spacing w:before="0" w:after="0" w:line="560" w:lineRule="exact"/>
        <w:rPr>
          <w:color w:val="auto"/>
          <w:sz w:val="30"/>
          <w:szCs w:val="30"/>
          <w:highlight w:val="none"/>
        </w:rPr>
      </w:pPr>
      <w:r/>
      <w:bookmarkStart w:id="3" w:name="_Toc9851"/>
      <w:r>
        <w:rPr>
          <w:rFonts w:hint="eastAsia"/>
          <w:color w:val="auto"/>
          <w:sz w:val="30"/>
          <w:szCs w:val="30"/>
          <w:highlight w:val="none"/>
        </w:rPr>
        <w:t xml:space="preserve">二、申请人的资格要求：</w:t>
      </w:r>
      <w:bookmarkEnd w:id="3"/>
      <w:r/>
      <w:r/>
    </w:p>
    <w:p>
      <w:pPr>
        <w:ind w:firstLine="480"/>
        <w:spacing w:line="360" w:lineRule="auto"/>
        <w:rPr>
          <w:color w:val="auto"/>
          <w:sz w:val="24"/>
          <w:szCs w:val="24"/>
          <w:highlight w:val="none"/>
        </w:rPr>
      </w:pPr>
      <w:r>
        <w:rPr>
          <w:rFonts w:hint="eastAsia"/>
          <w:color w:val="auto"/>
          <w:sz w:val="24"/>
          <w:szCs w:val="24"/>
          <w:highlight w:val="none"/>
        </w:rPr>
        <w:t xml:space="preserve">（一</w:t>
      </w:r>
      <w:r>
        <w:rPr>
          <w:color w:val="auto"/>
          <w:sz w:val="24"/>
          <w:szCs w:val="24"/>
          <w:highlight w:val="none"/>
        </w:rPr>
        <w:t xml:space="preserve">）</w:t>
      </w:r>
      <w:r>
        <w:rPr>
          <w:rFonts w:hint="eastAsia"/>
          <w:color w:val="auto"/>
          <w:sz w:val="24"/>
          <w:szCs w:val="24"/>
          <w:highlight w:val="none"/>
        </w:rPr>
        <w:t xml:space="preserve">通用</w:t>
      </w:r>
      <w:r>
        <w:rPr>
          <w:color w:val="auto"/>
          <w:sz w:val="24"/>
          <w:szCs w:val="24"/>
          <w:highlight w:val="none"/>
        </w:rPr>
        <w:t xml:space="preserve">资格要求</w:t>
      </w:r>
      <w:r/>
    </w:p>
    <w:p>
      <w:pPr>
        <w:ind w:firstLine="480"/>
        <w:spacing w:line="360" w:lineRule="auto"/>
        <w:rPr>
          <w:color w:val="auto"/>
          <w:sz w:val="24"/>
          <w:szCs w:val="24"/>
          <w:highlight w:val="none"/>
        </w:rPr>
      </w:pPr>
      <w:r>
        <w:rPr>
          <w:rFonts w:hint="eastAsia"/>
          <w:color w:val="auto"/>
          <w:sz w:val="24"/>
          <w:szCs w:val="24"/>
          <w:highlight w:val="none"/>
        </w:rPr>
        <w:t xml:space="preserve">1、具备《中华人民共和国政府采购法》第二十二条第一款规定的6项条件（按要求提供投标声明及承诺函）。</w:t>
      </w:r>
      <w:r/>
    </w:p>
    <w:p>
      <w:pPr>
        <w:ind w:firstLine="480"/>
        <w:spacing w:line="360" w:lineRule="auto"/>
        <w:rPr>
          <w:color w:val="auto"/>
          <w:sz w:val="36"/>
          <w:szCs w:val="36"/>
          <w:highlight w:val="none"/>
        </w:rPr>
      </w:pPr>
      <w:r>
        <w:rPr>
          <w:rFonts w:hint="eastAsia"/>
          <w:color w:val="auto"/>
          <w:sz w:val="24"/>
          <w:szCs w:val="24"/>
          <w:highlight w:val="none"/>
        </w:rPr>
        <w:t xml:space="preserve">2、信用信息。信用信息查询渠道：“信用中国”网（www.creditchina.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360" w:lineRule="auto"/>
        <w:rPr>
          <w:rFonts w:cs="宋体"/>
          <w:color w:val="auto"/>
          <w:sz w:val="24"/>
          <w:szCs w:val="24"/>
          <w:highlight w:val="none"/>
        </w:rPr>
      </w:pPr>
      <w:r>
        <w:rPr>
          <w:rFonts w:hint="eastAsia"/>
          <w:color w:val="auto"/>
          <w:sz w:val="24"/>
          <w:szCs w:val="24"/>
          <w:highlight w:val="none"/>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r/>
    </w:p>
    <w:p>
      <w:pPr>
        <w:ind w:firstLine="480"/>
        <w:spacing w:line="360" w:lineRule="auto"/>
        <w:rPr>
          <w:rFonts w:cs="宋体"/>
          <w:color w:val="auto"/>
          <w:sz w:val="24"/>
          <w:szCs w:val="24"/>
          <w:highlight w:val="none"/>
        </w:rPr>
      </w:pPr>
      <w:r>
        <w:rPr>
          <w:rFonts w:hint="eastAsia"/>
          <w:color w:val="auto"/>
          <w:sz w:val="24"/>
          <w:szCs w:val="24"/>
          <w:highlight w:val="none"/>
        </w:rPr>
        <w:t xml:space="preserve">（二）本项目的特定资格要求：无。</w:t>
      </w:r>
      <w:r/>
    </w:p>
    <w:p>
      <w:pPr>
        <w:pStyle w:val="922"/>
        <w:ind w:firstLine="467"/>
        <w:spacing w:before="0" w:after="0" w:line="560" w:lineRule="exact"/>
        <w:rPr>
          <w:color w:val="auto"/>
          <w:sz w:val="30"/>
          <w:szCs w:val="30"/>
          <w:highlight w:val="none"/>
        </w:rPr>
      </w:pPr>
      <w:r/>
      <w:bookmarkStart w:id="4" w:name="_Toc16143"/>
      <w:r>
        <w:rPr>
          <w:rFonts w:hint="eastAsia"/>
          <w:color w:val="auto"/>
          <w:sz w:val="30"/>
          <w:szCs w:val="30"/>
          <w:highlight w:val="none"/>
        </w:rPr>
        <w:t xml:space="preserve">三、获取招标文件</w:t>
      </w:r>
      <w:bookmarkEnd w:id="4"/>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1、时间：自招标文件公告发布之日起5个工作日。</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auto"/>
        <w:rPr>
          <w:rFonts w:hint="eastAsia" w:eastAsia="宋体" w:cs="宋体"/>
          <w:color w:val="auto"/>
          <w:sz w:val="24"/>
          <w:szCs w:val="24"/>
          <w:highlight w:val="none"/>
          <w:lang w:eastAsia="zh-CN"/>
        </w:rPr>
      </w:pPr>
      <w:r/>
      <w:bookmarkStart w:id="5" w:name="EB0c44ff4da61f4af989d119fe214be450"/>
      <w:r>
        <w:rPr>
          <w:rFonts w:hint="eastAsia" w:cs="宋体"/>
          <w:color w:val="auto"/>
          <w:sz w:val="24"/>
          <w:szCs w:val="24"/>
          <w:highlight w:val="none"/>
        </w:rPr>
        <w:t xml:space="preserve">3、本项目共分</w:t>
      </w:r>
      <w:r>
        <w:rPr>
          <w:rFonts w:hint="eastAsia" w:cs="宋体"/>
          <w:color w:val="auto"/>
          <w:sz w:val="24"/>
          <w:szCs w:val="24"/>
          <w:highlight w:val="none"/>
          <w:lang w:val="en-US" w:eastAsia="zh-CN"/>
        </w:rPr>
        <w:t xml:space="preserve">四</w:t>
      </w:r>
      <w:r>
        <w:rPr>
          <w:rFonts w:hint="eastAsia" w:cs="宋体"/>
          <w:color w:val="auto"/>
          <w:sz w:val="24"/>
          <w:szCs w:val="24"/>
          <w:highlight w:val="none"/>
        </w:rPr>
        <w:t xml:space="preserve">个包。投标人参与多个包投标的，应按包分别获取招标文件。投标人未按要求获取招标文件导致无法投标的，后果自负（其投标文件不予接受）。</w:t>
      </w:r>
      <w:bookmarkEnd w:id="5"/>
      <w:r/>
      <w:r/>
    </w:p>
    <w:p>
      <w:pPr>
        <w:pStyle w:val="922"/>
        <w:ind w:firstLine="467"/>
        <w:spacing w:before="0" w:after="0" w:line="560" w:lineRule="exact"/>
        <w:rPr>
          <w:color w:val="auto"/>
          <w:sz w:val="30"/>
          <w:szCs w:val="30"/>
          <w:highlight w:val="none"/>
        </w:rPr>
      </w:pPr>
      <w:r/>
      <w:bookmarkStart w:id="6" w:name="_Toc15594"/>
      <w:r>
        <w:rPr>
          <w:rFonts w:hint="eastAsia"/>
          <w:color w:val="auto"/>
          <w:sz w:val="30"/>
          <w:szCs w:val="30"/>
          <w:highlight w:val="none"/>
        </w:rPr>
        <w:t xml:space="preserve">四、提交投标文件截止时间、开标时间和地点</w:t>
      </w:r>
      <w:bookmarkEnd w:id="6"/>
      <w:r/>
      <w:r/>
    </w:p>
    <w:p>
      <w:pPr>
        <w:ind w:firstLine="480"/>
        <w:spacing w:line="360" w:lineRule="auto"/>
        <w:rPr>
          <w:bCs/>
          <w:color w:val="auto"/>
          <w:sz w:val="24"/>
          <w:szCs w:val="24"/>
          <w:highlight w:val="none"/>
          <w:u w:val="single"/>
        </w:rPr>
      </w:pPr>
      <w:r>
        <w:rPr>
          <w:rFonts w:hint="eastAsia"/>
          <w:bCs/>
          <w:color w:val="auto"/>
          <w:sz w:val="24"/>
          <w:szCs w:val="24"/>
          <w:highlight w:val="none"/>
        </w:rPr>
        <w:t xml:space="preserve">1、</w:t>
      </w:r>
      <w:r>
        <w:rPr>
          <w:rFonts w:hint="eastAsia" w:cs="宋体"/>
          <w:color w:val="auto"/>
          <w:sz w:val="24"/>
          <w:szCs w:val="24"/>
          <w:highlight w:val="none"/>
        </w:rPr>
        <w:t xml:space="preserve">提交投标文件截止时间、开标时间：</w:t>
      </w:r>
      <w:r>
        <w:rPr>
          <w:rFonts w:hint="eastAsia"/>
          <w:bCs/>
          <w:color w:val="auto"/>
          <w:sz w:val="24"/>
          <w:szCs w:val="24"/>
          <w:highlight w:val="none"/>
          <w:u w:val="single"/>
        </w:rPr>
        <w:t xml:space="preserve">2026年</w:t>
      </w:r>
      <w:r>
        <w:rPr>
          <w:rFonts w:hint="eastAsia"/>
          <w:bCs/>
          <w:color w:val="auto"/>
          <w:sz w:val="24"/>
          <w:szCs w:val="24"/>
          <w:highlight w:val="none"/>
          <w:u w:val="single"/>
          <w:lang w:val="en-US" w:eastAsia="zh-CN"/>
        </w:rPr>
        <w:t xml:space="preserve">3</w:t>
      </w:r>
      <w:r>
        <w:rPr>
          <w:rFonts w:hint="eastAsia"/>
          <w:bCs/>
          <w:color w:val="auto"/>
          <w:sz w:val="24"/>
          <w:szCs w:val="24"/>
          <w:highlight w:val="none"/>
          <w:u w:val="single"/>
        </w:rPr>
        <w:t xml:space="preserve">月</w:t>
      </w:r>
      <w:r>
        <w:rPr>
          <w:rFonts w:hint="eastAsia"/>
          <w:bCs/>
          <w:color w:val="auto"/>
          <w:sz w:val="24"/>
          <w:szCs w:val="24"/>
          <w:highlight w:val="none"/>
          <w:u w:val="single"/>
          <w:lang w:val="en-US" w:eastAsia="zh-CN"/>
        </w:rPr>
        <w:t xml:space="preserve">25</w:t>
      </w:r>
      <w:r>
        <w:rPr>
          <w:rFonts w:hint="eastAsia"/>
          <w:bCs/>
          <w:color w:val="auto"/>
          <w:sz w:val="24"/>
          <w:szCs w:val="24"/>
          <w:highlight w:val="none"/>
          <w:u w:val="single"/>
        </w:rPr>
        <w:t xml:space="preserve">日09点00分</w:t>
      </w:r>
      <w:r>
        <w:rPr>
          <w:rFonts w:hint="eastAsia"/>
          <w:bCs/>
          <w:color w:val="auto"/>
          <w:sz w:val="24"/>
          <w:szCs w:val="24"/>
          <w:highlight w:val="none"/>
        </w:rPr>
        <w:t xml:space="preserve">（北京时间）</w:t>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2、地点：“苏采云”政府采购交易系统网上开标大厅。</w:t>
      </w:r>
      <w:r/>
    </w:p>
    <w:p>
      <w:pPr>
        <w:pStyle w:val="922"/>
        <w:ind w:firstLine="467"/>
        <w:spacing w:before="0" w:after="0" w:line="560" w:lineRule="exact"/>
        <w:rPr>
          <w:color w:val="auto"/>
          <w:sz w:val="30"/>
          <w:szCs w:val="30"/>
          <w:highlight w:val="none"/>
        </w:rPr>
      </w:pPr>
      <w:r/>
      <w:bookmarkStart w:id="7" w:name="_Toc19588"/>
      <w:r>
        <w:rPr>
          <w:rFonts w:hint="eastAsia"/>
          <w:color w:val="auto"/>
          <w:sz w:val="30"/>
          <w:szCs w:val="30"/>
          <w:highlight w:val="none"/>
        </w:rPr>
        <w:t xml:space="preserve">五、公告期限</w:t>
      </w:r>
      <w:bookmarkEnd w:id="7"/>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自本公告发布之日起5个工作日。</w:t>
      </w:r>
      <w:r/>
    </w:p>
    <w:p>
      <w:pPr>
        <w:pStyle w:val="922"/>
        <w:ind w:firstLine="467"/>
        <w:spacing w:before="0" w:after="0" w:line="560" w:lineRule="exact"/>
        <w:rPr>
          <w:color w:val="auto"/>
          <w:sz w:val="30"/>
          <w:szCs w:val="30"/>
          <w:highlight w:val="none"/>
        </w:rPr>
      </w:pPr>
      <w:r/>
      <w:bookmarkStart w:id="8" w:name="_Toc8807"/>
      <w:r>
        <w:rPr>
          <w:rFonts w:hint="eastAsia"/>
          <w:color w:val="auto"/>
          <w:sz w:val="30"/>
          <w:szCs w:val="30"/>
          <w:highlight w:val="none"/>
        </w:rPr>
        <w:t xml:space="preserve">六、其他补充事宜</w:t>
      </w:r>
      <w:bookmarkEnd w:id="8"/>
      <w:r/>
      <w:r/>
    </w:p>
    <w:p>
      <w:pPr>
        <w:ind w:firstLine="480"/>
        <w:spacing w:line="360" w:lineRule="auto"/>
        <w:rPr>
          <w:color w:val="auto"/>
          <w:sz w:val="24"/>
          <w:highlight w:val="none"/>
        </w:rPr>
      </w:pPr>
      <w:r/>
      <w:bookmarkStart w:id="9" w:name="EB64e1f522fd8c43fcb4d3ba471386b3e7"/>
      <w:r>
        <w:rPr>
          <w:rFonts w:hint="eastAsia"/>
          <w:color w:val="auto"/>
          <w:sz w:val="24"/>
          <w:highlight w:val="none"/>
        </w:rPr>
        <w:t xml:space="preserve">1、财政部门监督电话：0527-85229058。</w:t>
      </w:r>
      <w:r/>
    </w:p>
    <w:p>
      <w:pPr>
        <w:ind w:firstLine="480"/>
        <w:spacing w:line="360" w:lineRule="auto"/>
        <w:rPr>
          <w:color w:val="auto"/>
          <w:sz w:val="24"/>
          <w:highlight w:val="none"/>
        </w:rPr>
      </w:pPr>
      <w:r>
        <w:rPr>
          <w:rFonts w:hint="eastAsia"/>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995"/>
        <w:ind w:firstLine="480"/>
        <w:spacing w:line="360" w:lineRule="auto"/>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w:t>
      </w:r>
      <w:r>
        <w:rPr>
          <w:rFonts w:hint="default" w:ascii="Times New Roman" w:hAnsi="Times New Roman" w:eastAsia="宋体" w:cs="Times New Roman"/>
          <w:color w:val="auto"/>
          <w:sz w:val="24"/>
          <w:szCs w:val="21"/>
          <w:highlight w:val="none"/>
          <w:lang w:val="en-US"/>
        </w:rPr>
        <w:t xml:space="preserve">0527-84363067</w:t>
      </w:r>
      <w:r>
        <w:rPr>
          <w:rFonts w:hint="eastAsia" w:ascii="Times New Roman" w:hAnsi="Times New Roman" w:eastAsia="宋体" w:cs="Times New Roman"/>
          <w:color w:val="auto"/>
          <w:sz w:val="24"/>
          <w:szCs w:val="21"/>
          <w:highlight w:val="none"/>
          <w:lang w:val="en-US"/>
        </w:rPr>
        <w:t xml:space="preserve">、0519-86722806。</w:t>
      </w:r>
      <w:r/>
    </w:p>
    <w:p>
      <w:pPr>
        <w:pStyle w:val="995"/>
        <w:ind w:firstLine="480"/>
        <w:spacing w:line="360" w:lineRule="auto"/>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9"/>
      <w:r/>
      <w:r/>
    </w:p>
    <w:p>
      <w:pPr>
        <w:ind w:firstLine="480"/>
        <w:spacing w:line="360" w:lineRule="auto"/>
        <w:rPr>
          <w:rFonts w:cs="仿宋_GB2312"/>
          <w:b/>
          <w:bCs/>
          <w:iCs/>
          <w:color w:val="auto"/>
          <w:sz w:val="24"/>
          <w:highlight w:val="none"/>
        </w:rPr>
      </w:pPr>
      <w:r>
        <w:rPr>
          <w:rFonts w:hint="eastAsia"/>
          <w:color w:val="auto"/>
          <w:sz w:val="24"/>
          <w:highlight w:val="none"/>
        </w:rPr>
        <w:t xml:space="preserve">5、现场勘察及答疑：本项目不组织集中勘察及答疑，投标人如对采购需求有疑问，请咨询采购单位联系人。 </w:t>
      </w:r>
      <w:r/>
    </w:p>
    <w:p>
      <w:pPr>
        <w:pStyle w:val="922"/>
        <w:ind w:firstLine="467"/>
        <w:spacing w:before="0" w:after="0" w:line="560" w:lineRule="exact"/>
        <w:rPr>
          <w:color w:val="auto"/>
          <w:sz w:val="30"/>
          <w:szCs w:val="30"/>
          <w:highlight w:val="none"/>
        </w:rPr>
      </w:pPr>
      <w:r/>
      <w:bookmarkStart w:id="10" w:name="_Toc29210"/>
      <w:r>
        <w:rPr>
          <w:rFonts w:hint="eastAsia"/>
          <w:color w:val="auto"/>
          <w:sz w:val="30"/>
          <w:szCs w:val="30"/>
          <w:highlight w:val="none"/>
        </w:rPr>
        <w:t xml:space="preserve">七、本次招标联系方式</w:t>
      </w:r>
      <w:bookmarkEnd w:id="10"/>
      <w:r/>
      <w:r/>
    </w:p>
    <w:p>
      <w:pPr>
        <w:ind w:firstLine="560"/>
        <w:jc w:val="left"/>
        <w:spacing w:line="360" w:lineRule="auto"/>
        <w:widowControl/>
        <w:rPr>
          <w:rFonts w:cs="宋体"/>
          <w:color w:val="auto"/>
          <w:sz w:val="24"/>
          <w:szCs w:val="24"/>
          <w:highlight w:val="none"/>
        </w:rPr>
      </w:pPr>
      <w:r>
        <w:rPr>
          <w:rFonts w:hint="eastAsia" w:cs="宋体"/>
          <w:color w:val="auto"/>
          <w:sz w:val="24"/>
          <w:szCs w:val="24"/>
          <w:highlight w:val="none"/>
        </w:rPr>
        <w:t xml:space="preserve">1、采购人信息</w:t>
      </w:r>
      <w:r/>
    </w:p>
    <w:p>
      <w:pPr>
        <w:ind w:firstLine="560"/>
        <w:jc w:val="left"/>
        <w:spacing w:line="360" w:lineRule="auto"/>
        <w:widowControl/>
        <w:rPr>
          <w:color w:val="auto"/>
          <w:sz w:val="24"/>
          <w:szCs w:val="24"/>
          <w:highlight w:val="none"/>
          <w:u w:val="single"/>
        </w:rPr>
      </w:pPr>
      <w:r>
        <w:rPr>
          <w:rFonts w:hint="eastAsia"/>
          <w:color w:val="auto"/>
          <w:sz w:val="24"/>
          <w:szCs w:val="24"/>
          <w:highlight w:val="none"/>
        </w:rPr>
        <w:t xml:space="preserve">名 </w:t>
      </w:r>
      <w:r>
        <w:rPr>
          <w:color w:val="auto"/>
          <w:sz w:val="24"/>
          <w:szCs w:val="24"/>
          <w:highlight w:val="none"/>
        </w:rPr>
        <w:t xml:space="preserve"> </w:t>
      </w:r>
      <w:r>
        <w:rPr>
          <w:rFonts w:hint="eastAsia"/>
          <w:color w:val="auto"/>
          <w:sz w:val="24"/>
          <w:szCs w:val="24"/>
          <w:highlight w:val="none"/>
        </w:rPr>
        <w:t xml:space="preserve">称：泗阳县市场监督管理局</w:t>
      </w:r>
      <w:r/>
    </w:p>
    <w:p>
      <w:pPr>
        <w:ind w:firstLine="560"/>
        <w:jc w:val="left"/>
        <w:spacing w:line="360" w:lineRule="auto"/>
        <w:widowControl/>
        <w:rPr>
          <w:color w:val="auto"/>
          <w:sz w:val="24"/>
          <w:szCs w:val="24"/>
          <w:highlight w:val="none"/>
          <w:u w:val="single"/>
        </w:rPr>
      </w:pPr>
      <w:r>
        <w:rPr>
          <w:rFonts w:hint="eastAsia"/>
          <w:color w:val="auto"/>
          <w:sz w:val="24"/>
          <w:szCs w:val="24"/>
          <w:highlight w:val="none"/>
        </w:rPr>
        <w:t xml:space="preserve">地 </w:t>
      </w:r>
      <w:r>
        <w:rPr>
          <w:color w:val="auto"/>
          <w:sz w:val="24"/>
          <w:szCs w:val="24"/>
          <w:highlight w:val="none"/>
        </w:rPr>
        <w:t xml:space="preserve"> </w:t>
      </w:r>
      <w:r>
        <w:rPr>
          <w:rFonts w:hint="eastAsia"/>
          <w:color w:val="auto"/>
          <w:sz w:val="24"/>
          <w:szCs w:val="24"/>
          <w:highlight w:val="none"/>
        </w:rPr>
        <w:t xml:space="preserve">址：泗阳县行政服务中心</w:t>
      </w:r>
      <w:r/>
    </w:p>
    <w:p>
      <w:pPr>
        <w:ind w:firstLine="560"/>
        <w:jc w:val="left"/>
        <w:spacing w:line="360" w:lineRule="auto"/>
        <w:widowControl/>
        <w:rPr>
          <w:color w:val="auto"/>
          <w:sz w:val="24"/>
          <w:szCs w:val="24"/>
          <w:highlight w:val="none"/>
          <w:u w:val="single"/>
        </w:rPr>
      </w:pPr>
      <w:r>
        <w:rPr>
          <w:rFonts w:hint="eastAsia"/>
          <w:color w:val="auto"/>
          <w:sz w:val="24"/>
          <w:szCs w:val="24"/>
          <w:highlight w:val="none"/>
        </w:rPr>
        <w:t xml:space="preserve">联系人：刘衍臣   </w:t>
      </w:r>
      <w:r/>
    </w:p>
    <w:p>
      <w:pPr>
        <w:ind w:firstLine="560"/>
        <w:jc w:val="left"/>
        <w:spacing w:line="360" w:lineRule="auto"/>
        <w:widowControl/>
        <w:rPr>
          <w:color w:val="auto"/>
          <w:sz w:val="24"/>
          <w:szCs w:val="24"/>
          <w:highlight w:val="none"/>
          <w:u w:val="single"/>
        </w:rPr>
      </w:pPr>
      <w:r>
        <w:rPr>
          <w:rFonts w:hint="eastAsia"/>
          <w:color w:val="auto"/>
          <w:sz w:val="24"/>
          <w:szCs w:val="24"/>
          <w:highlight w:val="none"/>
        </w:rPr>
        <w:t xml:space="preserve">联系方式：18800656272</w:t>
      </w:r>
      <w:r/>
    </w:p>
    <w:p>
      <w:pPr>
        <w:ind w:firstLine="480"/>
        <w:jc w:val="left"/>
        <w:spacing w:line="360" w:lineRule="auto"/>
        <w:widowControl/>
        <w:rPr>
          <w:rFonts w:cs="宋体"/>
          <w:color w:val="auto"/>
          <w:sz w:val="24"/>
          <w:szCs w:val="24"/>
          <w:highlight w:val="none"/>
        </w:rPr>
      </w:pPr>
      <w:r>
        <w:rPr>
          <w:rFonts w:hint="eastAsia" w:cs="宋体"/>
          <w:color w:val="auto"/>
          <w:sz w:val="24"/>
          <w:szCs w:val="24"/>
          <w:highlight w:val="none"/>
        </w:rPr>
        <w:t xml:space="preserve">2、采购代理机构信息</w:t>
      </w:r>
      <w:r/>
    </w:p>
    <w:p>
      <w:pPr>
        <w:ind w:firstLine="480"/>
        <w:jc w:val="left"/>
        <w:spacing w:line="360" w:lineRule="auto"/>
        <w:widowControl/>
        <w:rPr>
          <w:color w:val="auto"/>
          <w:sz w:val="24"/>
          <w:szCs w:val="24"/>
          <w:highlight w:val="none"/>
          <w:u w:val="single"/>
        </w:rPr>
      </w:pPr>
      <w:r>
        <w:rPr>
          <w:rFonts w:hint="eastAsia"/>
          <w:color w:val="auto"/>
          <w:sz w:val="24"/>
          <w:szCs w:val="24"/>
          <w:highlight w:val="none"/>
        </w:rPr>
        <w:t xml:space="preserve">名 </w:t>
      </w:r>
      <w:r>
        <w:rPr>
          <w:color w:val="auto"/>
          <w:sz w:val="24"/>
          <w:szCs w:val="24"/>
          <w:highlight w:val="none"/>
        </w:rPr>
        <w:t xml:space="preserve"> </w:t>
      </w:r>
      <w:r>
        <w:rPr>
          <w:rFonts w:hint="eastAsia"/>
          <w:color w:val="auto"/>
          <w:sz w:val="24"/>
          <w:szCs w:val="24"/>
          <w:highlight w:val="none"/>
        </w:rPr>
        <w:t xml:space="preserve">称：江苏志诚工程咨询管理有限公司</w:t>
      </w:r>
      <w:r/>
    </w:p>
    <w:p>
      <w:pPr>
        <w:ind w:firstLine="480"/>
        <w:jc w:val="left"/>
        <w:spacing w:line="360" w:lineRule="auto"/>
        <w:widowControl/>
        <w:rPr>
          <w:color w:val="auto"/>
          <w:sz w:val="24"/>
          <w:szCs w:val="24"/>
          <w:highlight w:val="none"/>
        </w:rPr>
      </w:pPr>
      <w:r>
        <w:rPr>
          <w:rFonts w:hint="eastAsia"/>
          <w:color w:val="auto"/>
          <w:sz w:val="24"/>
          <w:szCs w:val="24"/>
          <w:highlight w:val="none"/>
        </w:rPr>
        <w:t xml:space="preserve">地 </w:t>
      </w:r>
      <w:r>
        <w:rPr>
          <w:color w:val="auto"/>
          <w:sz w:val="24"/>
          <w:szCs w:val="24"/>
          <w:highlight w:val="none"/>
        </w:rPr>
        <w:t xml:space="preserve"> </w:t>
      </w:r>
      <w:r>
        <w:rPr>
          <w:rFonts w:hint="eastAsia"/>
          <w:color w:val="auto"/>
          <w:sz w:val="24"/>
          <w:szCs w:val="24"/>
          <w:highlight w:val="none"/>
        </w:rPr>
        <w:t xml:space="preserve">址：泗阳县泗水古城商业街B段02栋三楼</w:t>
      </w:r>
      <w:r/>
    </w:p>
    <w:p>
      <w:pPr>
        <w:ind w:firstLine="480"/>
        <w:jc w:val="left"/>
        <w:spacing w:line="360" w:lineRule="auto"/>
        <w:widowControl/>
        <w:rPr>
          <w:color w:val="auto"/>
          <w:sz w:val="24"/>
          <w:szCs w:val="24"/>
          <w:highlight w:val="none"/>
          <w:u w:val="single"/>
        </w:rPr>
      </w:pPr>
      <w:r>
        <w:rPr>
          <w:rFonts w:hint="eastAsia"/>
          <w:color w:val="auto"/>
          <w:sz w:val="24"/>
          <w:szCs w:val="24"/>
          <w:highlight w:val="none"/>
        </w:rPr>
        <w:t xml:space="preserve">联系人：杨欣荣</w:t>
      </w:r>
      <w:r/>
    </w:p>
    <w:p>
      <w:pPr>
        <w:ind w:firstLine="480"/>
        <w:jc w:val="left"/>
        <w:spacing w:line="360" w:lineRule="auto"/>
        <w:widowControl/>
        <w:rPr>
          <w:color w:val="auto"/>
          <w:sz w:val="24"/>
          <w:szCs w:val="24"/>
          <w:highlight w:val="none"/>
        </w:rPr>
      </w:pPr>
      <w:r>
        <w:rPr>
          <w:rFonts w:hint="eastAsia"/>
          <w:color w:val="auto"/>
          <w:sz w:val="24"/>
          <w:szCs w:val="24"/>
          <w:highlight w:val="none"/>
        </w:rPr>
        <w:t xml:space="preserve">联系方式：0527-85221718/15051004756</w:t>
      </w:r>
      <w:r/>
    </w:p>
    <w:p>
      <w:pPr>
        <w:pStyle w:val="922"/>
        <w:ind w:firstLine="467"/>
        <w:spacing w:before="0" w:after="0" w:line="560" w:lineRule="exact"/>
        <w:rPr>
          <w:color w:val="auto"/>
          <w:sz w:val="30"/>
          <w:szCs w:val="30"/>
          <w:highlight w:val="none"/>
        </w:rPr>
      </w:pPr>
      <w:r/>
      <w:bookmarkStart w:id="11" w:name="_Toc12445"/>
      <w:r>
        <w:rPr>
          <w:rFonts w:hint="eastAsia"/>
          <w:color w:val="auto"/>
          <w:sz w:val="30"/>
          <w:szCs w:val="30"/>
          <w:highlight w:val="none"/>
        </w:rPr>
        <w:t xml:space="preserve">八、其他</w:t>
      </w:r>
      <w:bookmarkEnd w:id="11"/>
      <w:r/>
      <w:r/>
    </w:p>
    <w:p>
      <w:pPr>
        <w:ind w:firstLine="480"/>
        <w:spacing w:line="360" w:lineRule="auto"/>
        <w:rPr>
          <w:rFonts w:cs="仿宋_GB2312"/>
          <w:iCs/>
          <w:color w:val="auto"/>
          <w:sz w:val="24"/>
          <w:highlight w:val="none"/>
        </w:rPr>
      </w:pPr>
      <w:r>
        <w:rPr>
          <w:rFonts w:hint="eastAsia" w:cs="仿宋_GB2312"/>
          <w:iCs/>
          <w:color w:val="auto"/>
          <w:sz w:val="24"/>
          <w:highlight w:val="none"/>
        </w:rPr>
        <w:t xml:space="preserve">1、有关本次招标的事项若存在变动或修改，敬请及时关注“宿迁市政府采购网”等平台更正公告。</w:t>
      </w:r>
      <w:r/>
    </w:p>
    <w:p>
      <w:pPr>
        <w:ind w:firstLine="482"/>
        <w:spacing w:line="360" w:lineRule="auto"/>
        <w:tabs>
          <w:tab w:val="left" w:pos="900" w:leader="none"/>
        </w:tabs>
        <w:rPr>
          <w:bCs/>
          <w:color w:val="auto"/>
          <w:sz w:val="24"/>
          <w:szCs w:val="24"/>
          <w:highlight w:val="none"/>
        </w:rPr>
      </w:pPr>
      <w:r>
        <w:rPr>
          <w:rFonts w:hint="eastAsia" w:cs="仿宋_GB2312"/>
          <w:b/>
          <w:bCs/>
          <w:iCs/>
          <w:color w:val="auto"/>
          <w:sz w:val="24"/>
          <w:highlight w:val="none"/>
        </w:rPr>
        <w:t xml:space="preserve">2、</w:t>
      </w:r>
      <w:r>
        <w:rPr>
          <w:rFonts w:hint="eastAsia"/>
          <w:bCs/>
          <w:color w:val="auto"/>
          <w:sz w:val="24"/>
          <w:szCs w:val="24"/>
          <w:highlight w:val="none"/>
        </w:rPr>
        <w:t xml:space="preserve">本次招标不收取投标保证金。</w:t>
      </w:r>
      <w:r/>
    </w:p>
    <w:p>
      <w:pPr>
        <w:pStyle w:val="922"/>
        <w:jc w:val="center"/>
        <w:spacing w:before="0" w:after="0" w:line="560" w:lineRule="exact"/>
        <w:rPr>
          <w:rFonts w:eastAsia="黑体"/>
          <w:color w:val="auto"/>
          <w:sz w:val="36"/>
          <w:szCs w:val="36"/>
          <w:highlight w:val="none"/>
        </w:rPr>
      </w:pPr>
      <w:r>
        <w:rPr>
          <w:rFonts w:hint="eastAsia" w:eastAsia="黑体"/>
          <w:color w:val="auto"/>
          <w:highlight w:val="none"/>
        </w:rPr>
        <w:br w:type="page" w:clear="all"/>
      </w:r>
      <w:bookmarkStart w:id="12" w:name="_Toc18229"/>
      <w:r/>
      <w:bookmarkStart w:id="13" w:name="_Toc20823275"/>
      <w:r/>
      <w:bookmarkStart w:id="14" w:name="_Toc120614214"/>
      <w:r/>
      <w:bookmarkStart w:id="15" w:name="_Toc16938519"/>
      <w:r/>
      <w:bookmarkStart w:id="16" w:name="_Toc513029203"/>
      <w:r>
        <w:rPr>
          <w:rFonts w:hint="eastAsia" w:eastAsia="黑体"/>
          <w:color w:val="auto"/>
          <w:sz w:val="36"/>
          <w:szCs w:val="36"/>
          <w:highlight w:val="none"/>
        </w:rPr>
        <w:t xml:space="preserve">第二章  投标须知</w:t>
      </w:r>
      <w:bookmarkEnd w:id="12"/>
      <w:r/>
      <w:r/>
    </w:p>
    <w:p>
      <w:pPr>
        <w:pStyle w:val="922"/>
        <w:ind w:firstLine="498"/>
        <w:spacing w:before="0" w:after="0" w:line="560" w:lineRule="exact"/>
        <w:rPr>
          <w:color w:val="auto"/>
          <w:highlight w:val="none"/>
        </w:rPr>
      </w:pPr>
      <w:r/>
      <w:bookmarkStart w:id="17" w:name="_Toc15413"/>
      <w:r>
        <w:rPr>
          <w:rFonts w:hint="eastAsia"/>
          <w:color w:val="auto"/>
          <w:highlight w:val="none"/>
        </w:rPr>
        <w:t xml:space="preserve">一、总则</w:t>
      </w:r>
      <w:bookmarkEnd w:id="13"/>
      <w:r/>
      <w:bookmarkEnd w:id="14"/>
      <w:r/>
      <w:bookmarkEnd w:id="15"/>
      <w:r/>
      <w:bookmarkEnd w:id="16"/>
      <w:r/>
      <w:bookmarkEnd w:id="17"/>
      <w:r/>
      <w:r/>
    </w:p>
    <w:p>
      <w:pPr>
        <w:ind w:firstLine="420"/>
        <w:keepLines/>
        <w:keepNext/>
        <w:spacing w:line="560" w:lineRule="exact"/>
        <w:rPr>
          <w:rFonts w:eastAsia="黑体" w:cs="Arial"/>
          <w:color w:val="auto"/>
          <w:sz w:val="28"/>
          <w:szCs w:val="28"/>
          <w:highlight w:val="none"/>
        </w:rPr>
        <w:outlineLvl w:val="3"/>
      </w:pPr>
      <w:r/>
      <w:bookmarkStart w:id="18" w:name="_Toc458694821"/>
      <w:r/>
      <w:bookmarkStart w:id="19" w:name="_Toc16938520"/>
      <w:r/>
      <w:bookmarkStart w:id="20" w:name="_Toc513029204"/>
      <w:r/>
      <w:bookmarkStart w:id="21" w:name="_Toc20823276"/>
      <w:r>
        <w:rPr>
          <w:rFonts w:hint="eastAsia" w:eastAsia="黑体" w:cs="Arial"/>
          <w:color w:val="auto"/>
          <w:sz w:val="28"/>
          <w:szCs w:val="28"/>
          <w:highlight w:val="none"/>
        </w:rPr>
        <w:t xml:space="preserve">1</w:t>
      </w:r>
      <w:bookmarkEnd w:id="18"/>
      <w:r>
        <w:rPr>
          <w:rFonts w:hint="eastAsia" w:eastAsia="黑体" w:cs="Arial"/>
          <w:color w:val="auto"/>
          <w:sz w:val="28"/>
          <w:szCs w:val="28"/>
          <w:highlight w:val="none"/>
        </w:rPr>
        <w:t xml:space="preserve">、招标方式</w:t>
      </w:r>
      <w:bookmarkEnd w:id="19"/>
      <w:r/>
      <w:bookmarkEnd w:id="20"/>
      <w:r/>
      <w:bookmarkEnd w:id="21"/>
      <w:r/>
      <w:r/>
    </w:p>
    <w:p>
      <w:pPr>
        <w:ind w:firstLine="480"/>
        <w:spacing w:line="560" w:lineRule="exact"/>
        <w:rPr>
          <w:color w:val="auto"/>
          <w:sz w:val="24"/>
          <w:highlight w:val="none"/>
        </w:rPr>
      </w:pPr>
      <w:r>
        <w:rPr>
          <w:rFonts w:hint="eastAsia"/>
          <w:color w:val="auto"/>
          <w:sz w:val="24"/>
          <w:highlight w:val="none"/>
        </w:rPr>
        <w:t xml:space="preserve">1.1 本次招标采取公开招标方式，本招标文件仅适用于招标公告中所述项目。</w:t>
      </w:r>
      <w:r/>
    </w:p>
    <w:p>
      <w:pPr>
        <w:ind w:firstLine="420"/>
        <w:keepLines/>
        <w:keepNext/>
        <w:spacing w:line="560" w:lineRule="exact"/>
        <w:rPr>
          <w:rFonts w:eastAsia="黑体" w:cs="Arial"/>
          <w:color w:val="auto"/>
          <w:sz w:val="28"/>
          <w:szCs w:val="28"/>
          <w:highlight w:val="none"/>
        </w:rPr>
        <w:outlineLvl w:val="3"/>
      </w:pPr>
      <w:r/>
      <w:bookmarkStart w:id="22" w:name="_Toc16938521"/>
      <w:r/>
      <w:bookmarkStart w:id="23" w:name="_Toc20823277"/>
      <w:r/>
      <w:bookmarkStart w:id="24" w:name="_Toc513029205"/>
      <w:r>
        <w:rPr>
          <w:rFonts w:hint="eastAsia" w:eastAsia="黑体" w:cs="Arial"/>
          <w:color w:val="auto"/>
          <w:sz w:val="28"/>
          <w:szCs w:val="28"/>
          <w:highlight w:val="none"/>
        </w:rPr>
        <w:t xml:space="preserve">2、合格的投标人</w:t>
      </w:r>
      <w:bookmarkEnd w:id="22"/>
      <w:r/>
      <w:bookmarkEnd w:id="23"/>
      <w:r/>
      <w:bookmarkEnd w:id="24"/>
      <w:r/>
      <w:r/>
    </w:p>
    <w:p>
      <w:pPr>
        <w:ind w:firstLine="480"/>
        <w:spacing w:line="560" w:lineRule="exact"/>
        <w:rPr>
          <w:color w:val="auto"/>
          <w:sz w:val="24"/>
          <w:highlight w:val="none"/>
        </w:rPr>
      </w:pPr>
      <w:r>
        <w:rPr>
          <w:rFonts w:hint="eastAsia"/>
          <w:color w:val="auto"/>
          <w:sz w:val="24"/>
          <w:highlight w:val="none"/>
        </w:rPr>
        <w:t xml:space="preserve">2.1满足招标公告中投标人的资格要求的规定。</w:t>
      </w:r>
      <w:r/>
    </w:p>
    <w:p>
      <w:pPr>
        <w:ind w:firstLine="480"/>
        <w:spacing w:line="560" w:lineRule="exact"/>
        <w:rPr>
          <w:color w:val="auto"/>
          <w:sz w:val="24"/>
          <w:highlight w:val="none"/>
        </w:rPr>
      </w:pPr>
      <w:r>
        <w:rPr>
          <w:rFonts w:hint="eastAsia"/>
          <w:color w:val="auto"/>
          <w:sz w:val="24"/>
          <w:highlight w:val="none"/>
        </w:rPr>
        <w:t xml:space="preserve">2.2 满足本文件实质性要求和条件的规定。</w:t>
      </w:r>
      <w:r/>
    </w:p>
    <w:p>
      <w:pPr>
        <w:ind w:firstLine="420"/>
        <w:keepLines/>
        <w:keepNext/>
        <w:spacing w:line="560" w:lineRule="exact"/>
        <w:rPr>
          <w:rFonts w:eastAsia="黑体" w:cs="Arial"/>
          <w:color w:val="auto"/>
          <w:sz w:val="28"/>
          <w:szCs w:val="28"/>
          <w:highlight w:val="none"/>
        </w:rPr>
        <w:outlineLvl w:val="3"/>
      </w:pPr>
      <w:r/>
      <w:bookmarkStart w:id="25" w:name="_Toc20823278"/>
      <w:r/>
      <w:bookmarkStart w:id="26" w:name="_Toc16938522"/>
      <w:r/>
      <w:bookmarkStart w:id="27" w:name="_Toc513029206"/>
      <w:r>
        <w:rPr>
          <w:rFonts w:hint="eastAsia" w:eastAsia="黑体" w:cs="Arial"/>
          <w:color w:val="auto"/>
          <w:sz w:val="28"/>
          <w:szCs w:val="28"/>
          <w:highlight w:val="none"/>
        </w:rPr>
        <w:t xml:space="preserve">3、适用法律</w:t>
      </w:r>
      <w:bookmarkEnd w:id="25"/>
      <w:r/>
      <w:bookmarkEnd w:id="26"/>
      <w:r/>
      <w:bookmarkEnd w:id="27"/>
      <w:r/>
      <w:r/>
    </w:p>
    <w:p>
      <w:pPr>
        <w:ind w:firstLine="480"/>
        <w:spacing w:line="560" w:lineRule="exact"/>
        <w:rPr>
          <w:color w:val="auto"/>
          <w:sz w:val="24"/>
          <w:highlight w:val="none"/>
        </w:rPr>
      </w:pPr>
      <w:r>
        <w:rPr>
          <w:rFonts w:hint="eastAsia"/>
          <w:color w:val="auto"/>
          <w:sz w:val="24"/>
          <w:highlight w:val="none"/>
        </w:rPr>
        <w:t xml:space="preserve">3.1 本次招标及由此产生的合同受中华人民共和国有关的法律法规制约和保护。</w:t>
      </w:r>
      <w:r/>
    </w:p>
    <w:p>
      <w:pPr>
        <w:ind w:firstLine="420"/>
        <w:keepLines/>
        <w:keepNext/>
        <w:spacing w:line="560" w:lineRule="exact"/>
        <w:rPr>
          <w:rFonts w:eastAsia="黑体" w:cs="Arial"/>
          <w:color w:val="auto"/>
          <w:sz w:val="28"/>
          <w:szCs w:val="28"/>
          <w:highlight w:val="none"/>
        </w:rPr>
        <w:outlineLvl w:val="3"/>
      </w:pPr>
      <w:r/>
      <w:bookmarkStart w:id="28" w:name="_Toc16938523"/>
      <w:r/>
      <w:bookmarkStart w:id="29" w:name="_Toc513029207"/>
      <w:r/>
      <w:bookmarkStart w:id="30" w:name="_Toc20823279"/>
      <w:r/>
      <w:bookmarkStart w:id="31" w:name="_Toc462564067"/>
      <w:r>
        <w:rPr>
          <w:rFonts w:hint="eastAsia" w:eastAsia="黑体" w:cs="Arial"/>
          <w:color w:val="auto"/>
          <w:sz w:val="28"/>
          <w:szCs w:val="28"/>
          <w:highlight w:val="none"/>
        </w:rPr>
        <w:t xml:space="preserve">4、投标费用</w:t>
      </w:r>
      <w:bookmarkEnd w:id="28"/>
      <w:r/>
      <w:bookmarkEnd w:id="29"/>
      <w:r/>
      <w:bookmarkEnd w:id="30"/>
      <w:r/>
      <w:bookmarkEnd w:id="31"/>
      <w:r/>
      <w:r/>
    </w:p>
    <w:p>
      <w:pPr>
        <w:ind w:firstLine="480"/>
        <w:spacing w:line="560" w:lineRule="exact"/>
        <w:rPr>
          <w:color w:val="auto"/>
          <w:sz w:val="24"/>
          <w:highlight w:val="none"/>
        </w:rPr>
      </w:pPr>
      <w:r>
        <w:rPr>
          <w:rFonts w:hint="eastAsia"/>
          <w:color w:val="auto"/>
          <w:sz w:val="24"/>
          <w:highlight w:val="none"/>
        </w:rPr>
        <w:t xml:space="preserve">4.1 投标人应自行承担所有与参加投标有关的费用，无论投标过程中的做法和结果如何，</w:t>
      </w:r>
      <w:r>
        <w:rPr>
          <w:rFonts w:hint="eastAsia"/>
          <w:color w:val="auto"/>
          <w:sz w:val="24"/>
          <w:highlight w:val="none"/>
          <w:lang w:eastAsia="zh-CN"/>
        </w:rPr>
        <w:t xml:space="preserve">江苏志诚工程咨询管理有限公司</w:t>
      </w:r>
      <w:r>
        <w:rPr>
          <w:rFonts w:hint="eastAsia"/>
          <w:color w:val="auto"/>
          <w:sz w:val="24"/>
          <w:highlight w:val="none"/>
        </w:rPr>
        <w:t xml:space="preserve">（以下简称采购代理机构）在任何情况下均无义务和责任承担这些费用。</w:t>
      </w:r>
      <w:r/>
    </w:p>
    <w:p>
      <w:pPr>
        <w:ind w:firstLine="480"/>
        <w:spacing w:line="560" w:lineRule="exact"/>
        <w:rPr>
          <w:color w:val="auto"/>
          <w:sz w:val="24"/>
          <w:highlight w:val="none"/>
        </w:rPr>
      </w:pPr>
      <w:r>
        <w:rPr>
          <w:rFonts w:hint="eastAsia"/>
          <w:color w:val="auto"/>
          <w:sz w:val="24"/>
          <w:highlight w:val="none"/>
        </w:rPr>
        <w:t xml:space="preserve">4.2代理费用收取方式及标准：按以下第</w:t>
      </w:r>
      <w:r>
        <w:rPr>
          <w:rFonts w:hint="eastAsia"/>
          <w:color w:val="auto"/>
          <w:sz w:val="24"/>
          <w:szCs w:val="24"/>
          <w:highlight w:val="none"/>
          <w:u w:val="single"/>
        </w:rPr>
        <w:t xml:space="preserve">4.2.2</w:t>
      </w:r>
      <w:r>
        <w:rPr>
          <w:rFonts w:hint="eastAsia"/>
          <w:color w:val="auto"/>
          <w:sz w:val="24"/>
          <w:highlight w:val="none"/>
        </w:rPr>
        <w:t xml:space="preserve">种方式执行</w:t>
      </w:r>
      <w:r/>
    </w:p>
    <w:p>
      <w:pPr>
        <w:ind w:firstLine="480"/>
        <w:spacing w:line="560" w:lineRule="exact"/>
        <w:rPr>
          <w:rFonts w:hint="eastAsia"/>
          <w:color w:val="auto"/>
          <w:sz w:val="24"/>
          <w:highlight w:val="none"/>
          <w:lang w:val="zh-CN"/>
        </w:rPr>
      </w:pPr>
      <w:r>
        <w:rPr>
          <w:rFonts w:hint="eastAsia"/>
          <w:color w:val="auto"/>
          <w:sz w:val="24"/>
          <w:highlight w:val="none"/>
          <w:lang w:val="zh-CN"/>
        </w:rPr>
        <w:t xml:space="preserve">4.2.1无需支付；</w:t>
      </w:r>
      <w:r/>
    </w:p>
    <w:p>
      <w:pPr>
        <w:ind w:firstLine="480"/>
        <w:spacing w:line="560" w:lineRule="exact"/>
        <w:rPr>
          <w:rFonts w:hint="eastAsia"/>
          <w:color w:val="auto"/>
          <w:sz w:val="24"/>
          <w:highlight w:val="none"/>
          <w:lang w:val="zh-CN"/>
        </w:rPr>
      </w:pPr>
      <w:r>
        <w:rPr>
          <w:rFonts w:hint="eastAsia"/>
          <w:color w:val="auto"/>
          <w:sz w:val="24"/>
          <w:highlight w:val="none"/>
          <w:lang w:val="zh-CN"/>
        </w:rPr>
        <w:t xml:space="preserve">4.2.2由中标人支付，具体方式及标准为：按照财库【2018】2号文件规定，招标代理费由中标、成交供应商支付，参照《招标代理服务收费管理暂行办法》（计价格〔2002〕1980号）标准计取。支付方式可以通过转账或数字人民币等方式。</w:t>
      </w:r>
      <w:r/>
    </w:p>
    <w:p>
      <w:pPr>
        <w:ind w:firstLine="602"/>
        <w:keepLines/>
        <w:keepNext/>
        <w:spacing w:line="560" w:lineRule="exact"/>
        <w:rPr>
          <w:rFonts w:eastAsia="黑体" w:cs="Arial"/>
          <w:color w:val="auto"/>
          <w:sz w:val="28"/>
          <w:szCs w:val="28"/>
          <w:highlight w:val="none"/>
        </w:rPr>
        <w:outlineLvl w:val="3"/>
      </w:pPr>
      <w:r>
        <w:rPr>
          <w:rFonts w:hint="eastAsia" w:eastAsia="黑体" w:cs="Arial"/>
          <w:b/>
          <w:bCs/>
          <w:color w:val="auto"/>
          <w:sz w:val="30"/>
          <w:szCs w:val="28"/>
          <w:highlight w:val="none"/>
        </w:rPr>
        <w:t xml:space="preserve">5、</w:t>
      </w:r>
      <w:r>
        <w:rPr>
          <w:rFonts w:hint="eastAsia" w:eastAsia="黑体" w:cs="Arial"/>
          <w:color w:val="auto"/>
          <w:sz w:val="28"/>
          <w:szCs w:val="28"/>
          <w:highlight w:val="none"/>
        </w:rPr>
        <w:t xml:space="preserve">招标文件的约束力</w:t>
      </w:r>
      <w:r/>
    </w:p>
    <w:p>
      <w:pPr>
        <w:ind w:firstLine="480"/>
        <w:spacing w:line="560" w:lineRule="exact"/>
        <w:rPr>
          <w:color w:val="auto"/>
          <w:sz w:val="24"/>
          <w:szCs w:val="24"/>
          <w:highlight w:val="none"/>
        </w:rPr>
      </w:pPr>
      <w:r>
        <w:rPr>
          <w:rFonts w:hint="eastAsia"/>
          <w:bCs/>
          <w:color w:val="auto"/>
          <w:sz w:val="24"/>
          <w:szCs w:val="24"/>
          <w:highlight w:val="none"/>
        </w:rPr>
        <w:t xml:space="preserve">5.1</w:t>
      </w:r>
      <w:r>
        <w:rPr>
          <w:rFonts w:hint="eastAsia"/>
          <w:color w:val="auto"/>
          <w:sz w:val="24"/>
          <w:szCs w:val="24"/>
          <w:highlight w:val="none"/>
        </w:rPr>
        <w:t xml:space="preserve"> 投标人一旦参加本项目采购活动，即被认为接受了本招标文件的规定和约束。</w:t>
      </w:r>
      <w:r/>
    </w:p>
    <w:p>
      <w:pPr>
        <w:ind w:firstLine="321"/>
        <w:keepLines/>
        <w:keepNext/>
        <w:spacing w:line="560" w:lineRule="exact"/>
        <w:rPr>
          <w:b/>
          <w:bCs/>
          <w:color w:val="auto"/>
          <w:sz w:val="32"/>
          <w:szCs w:val="32"/>
          <w:highlight w:val="none"/>
        </w:rPr>
        <w:outlineLvl w:val="2"/>
      </w:pPr>
      <w:r/>
      <w:bookmarkStart w:id="32" w:name="_Toc20823281"/>
      <w:r/>
      <w:bookmarkStart w:id="33" w:name="_Toc16938525"/>
      <w:r/>
      <w:bookmarkStart w:id="34" w:name="_Toc513029209"/>
      <w:r/>
      <w:bookmarkStart w:id="35" w:name="_Toc120614215"/>
      <w:r/>
      <w:bookmarkStart w:id="36" w:name="_Toc25927"/>
      <w:r>
        <w:rPr>
          <w:rFonts w:hint="eastAsia"/>
          <w:b/>
          <w:bCs/>
          <w:color w:val="auto"/>
          <w:sz w:val="32"/>
          <w:szCs w:val="32"/>
          <w:highlight w:val="none"/>
        </w:rPr>
        <w:t xml:space="preserve">二、招标文件</w:t>
      </w:r>
      <w:bookmarkEnd w:id="32"/>
      <w:r/>
      <w:bookmarkEnd w:id="33"/>
      <w:r/>
      <w:bookmarkEnd w:id="34"/>
      <w:r/>
      <w:bookmarkEnd w:id="35"/>
      <w:r/>
      <w:bookmarkEnd w:id="36"/>
      <w:r/>
      <w:r/>
    </w:p>
    <w:p>
      <w:pPr>
        <w:ind w:firstLine="420"/>
        <w:keepLines/>
        <w:keepNext/>
        <w:spacing w:line="560" w:lineRule="exact"/>
        <w:rPr>
          <w:rFonts w:eastAsia="黑体" w:cs="Arial"/>
          <w:color w:val="auto"/>
          <w:sz w:val="28"/>
          <w:szCs w:val="28"/>
          <w:highlight w:val="none"/>
        </w:rPr>
        <w:outlineLvl w:val="3"/>
      </w:pPr>
      <w:r/>
      <w:bookmarkStart w:id="37" w:name="_Toc20823282"/>
      <w:r/>
      <w:bookmarkStart w:id="38" w:name="_Toc16938526"/>
      <w:r/>
      <w:bookmarkStart w:id="39" w:name="_Toc513029210"/>
      <w:r>
        <w:rPr>
          <w:rFonts w:hint="eastAsia" w:eastAsia="黑体" w:cs="Arial"/>
          <w:color w:val="auto"/>
          <w:sz w:val="28"/>
          <w:szCs w:val="28"/>
          <w:highlight w:val="none"/>
        </w:rPr>
        <w:t xml:space="preserve">6、招标文件构成</w:t>
      </w:r>
      <w:bookmarkEnd w:id="37"/>
      <w:r/>
      <w:bookmarkEnd w:id="38"/>
      <w:r/>
      <w:bookmarkEnd w:id="39"/>
      <w:r/>
      <w:r/>
    </w:p>
    <w:p>
      <w:pPr>
        <w:ind w:firstLine="480"/>
        <w:spacing w:line="560" w:lineRule="exact"/>
        <w:rPr>
          <w:color w:val="auto"/>
          <w:sz w:val="24"/>
          <w:highlight w:val="none"/>
        </w:rPr>
      </w:pPr>
      <w:r>
        <w:rPr>
          <w:rFonts w:hint="eastAsia"/>
          <w:bCs/>
          <w:color w:val="auto"/>
          <w:sz w:val="24"/>
          <w:highlight w:val="none"/>
        </w:rPr>
        <w:t xml:space="preserve">6.1</w:t>
      </w:r>
      <w:r>
        <w:rPr>
          <w:rFonts w:hint="eastAsia"/>
          <w:color w:val="auto"/>
          <w:sz w:val="24"/>
          <w:highlight w:val="none"/>
        </w:rPr>
        <w:t xml:space="preserve"> 招标文件由以下部分组成：</w:t>
      </w:r>
      <w:r/>
    </w:p>
    <w:p>
      <w:pPr>
        <w:ind w:firstLine="360"/>
        <w:spacing w:line="560" w:lineRule="exact"/>
        <w:rPr>
          <w:color w:val="auto"/>
          <w:sz w:val="24"/>
          <w:szCs w:val="24"/>
          <w:highlight w:val="none"/>
        </w:rPr>
      </w:pPr>
      <w:r>
        <w:rPr>
          <w:rFonts w:hint="eastAsia"/>
          <w:color w:val="auto"/>
          <w:sz w:val="24"/>
          <w:szCs w:val="24"/>
          <w:highlight w:val="none"/>
        </w:rPr>
        <w:t xml:space="preserve">（1）投标</w:t>
      </w:r>
      <w:r>
        <w:rPr>
          <w:color w:val="auto"/>
          <w:sz w:val="24"/>
          <w:szCs w:val="24"/>
          <w:highlight w:val="none"/>
        </w:rPr>
        <w:t xml:space="preserve">邀请</w:t>
      </w:r>
      <w:r/>
    </w:p>
    <w:p>
      <w:pPr>
        <w:ind w:firstLine="360"/>
        <w:spacing w:line="560" w:lineRule="exact"/>
        <w:rPr>
          <w:color w:val="auto"/>
          <w:sz w:val="24"/>
          <w:szCs w:val="24"/>
          <w:highlight w:val="none"/>
        </w:rPr>
      </w:pPr>
      <w:r>
        <w:rPr>
          <w:rFonts w:hint="eastAsia"/>
          <w:color w:val="auto"/>
          <w:sz w:val="24"/>
          <w:szCs w:val="24"/>
          <w:highlight w:val="none"/>
        </w:rPr>
        <w:t xml:space="preserve">（2）投标人须知</w:t>
      </w:r>
      <w:r/>
    </w:p>
    <w:p>
      <w:pPr>
        <w:ind w:firstLine="360"/>
        <w:spacing w:line="560" w:lineRule="exact"/>
        <w:rPr>
          <w:color w:val="auto"/>
          <w:sz w:val="24"/>
          <w:szCs w:val="24"/>
          <w:highlight w:val="none"/>
        </w:rPr>
      </w:pPr>
      <w:r>
        <w:rPr>
          <w:rFonts w:hint="eastAsia"/>
          <w:color w:val="auto"/>
          <w:sz w:val="24"/>
          <w:szCs w:val="24"/>
          <w:highlight w:val="none"/>
        </w:rPr>
        <w:t xml:space="preserve">（3）合同文本</w:t>
      </w:r>
      <w:r/>
    </w:p>
    <w:p>
      <w:pPr>
        <w:ind w:firstLine="360"/>
        <w:spacing w:line="560" w:lineRule="exact"/>
        <w:rPr>
          <w:color w:val="auto"/>
          <w:sz w:val="24"/>
          <w:szCs w:val="24"/>
          <w:highlight w:val="none"/>
        </w:rPr>
      </w:pPr>
      <w:r>
        <w:rPr>
          <w:rFonts w:hint="eastAsia"/>
          <w:color w:val="auto"/>
          <w:sz w:val="24"/>
          <w:szCs w:val="24"/>
          <w:highlight w:val="none"/>
        </w:rPr>
        <w:t xml:space="preserve">（4）采购需求</w:t>
      </w:r>
      <w:r/>
    </w:p>
    <w:p>
      <w:pPr>
        <w:ind w:firstLine="360"/>
        <w:spacing w:line="560" w:lineRule="exact"/>
        <w:rPr>
          <w:color w:val="auto"/>
          <w:sz w:val="24"/>
          <w:szCs w:val="24"/>
          <w:highlight w:val="none"/>
        </w:rPr>
      </w:pPr>
      <w:r>
        <w:rPr>
          <w:rFonts w:hint="eastAsia"/>
          <w:color w:val="auto"/>
          <w:sz w:val="24"/>
          <w:szCs w:val="24"/>
          <w:highlight w:val="none"/>
        </w:rPr>
        <w:t xml:space="preserve">（5）评标方法与评标标准</w:t>
      </w:r>
      <w:r/>
    </w:p>
    <w:p>
      <w:pPr>
        <w:ind w:firstLine="360"/>
        <w:spacing w:line="560" w:lineRule="exact"/>
        <w:rPr>
          <w:color w:val="auto"/>
          <w:sz w:val="24"/>
          <w:szCs w:val="24"/>
          <w:highlight w:val="none"/>
        </w:rPr>
      </w:pPr>
      <w:r>
        <w:rPr>
          <w:rFonts w:hint="eastAsia"/>
          <w:color w:val="auto"/>
          <w:sz w:val="24"/>
          <w:szCs w:val="24"/>
          <w:highlight w:val="none"/>
        </w:rPr>
        <w:t xml:space="preserve">（6）投标文件格式</w:t>
      </w:r>
      <w:r/>
    </w:p>
    <w:p>
      <w:pPr>
        <w:ind w:firstLine="480"/>
        <w:spacing w:line="560" w:lineRule="exact"/>
        <w:rPr>
          <w:color w:val="auto"/>
          <w:sz w:val="24"/>
          <w:highlight w:val="none"/>
        </w:rPr>
      </w:pPr>
      <w:r>
        <w:rPr>
          <w:rFonts w:hint="eastAsia"/>
          <w:color w:val="auto"/>
          <w:sz w:val="24"/>
          <w:highlight w:val="none"/>
        </w:rPr>
        <w:t xml:space="preserve">请仔细检查招标文件是否齐全，如有缺漏请立即与采购代理机构联系解决。</w:t>
      </w:r>
      <w:r/>
    </w:p>
    <w:p>
      <w:pPr>
        <w:ind w:firstLine="480"/>
        <w:spacing w:line="560" w:lineRule="exact"/>
        <w:rPr>
          <w:color w:val="auto"/>
          <w:sz w:val="24"/>
          <w:highlight w:val="none"/>
        </w:rPr>
      </w:pPr>
      <w:r>
        <w:rPr>
          <w:rFonts w:hint="eastAsia"/>
          <w:bCs/>
          <w:color w:val="auto"/>
          <w:sz w:val="24"/>
          <w:highlight w:val="none"/>
        </w:rPr>
        <w:t xml:space="preserve">6.2</w:t>
      </w:r>
      <w:r>
        <w:rPr>
          <w:rFonts w:hint="eastAsia"/>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60" w:lineRule="exact"/>
        <w:rPr>
          <w:rFonts w:eastAsia="黑体" w:cs="Arial"/>
          <w:color w:val="auto"/>
          <w:sz w:val="28"/>
          <w:szCs w:val="28"/>
          <w:highlight w:val="none"/>
        </w:rPr>
        <w:outlineLvl w:val="3"/>
      </w:pPr>
      <w:r/>
      <w:bookmarkStart w:id="40" w:name="_Toc16938527"/>
      <w:r/>
      <w:bookmarkStart w:id="41" w:name="_Toc462564070"/>
      <w:r/>
      <w:bookmarkStart w:id="42" w:name="_Toc20823283"/>
      <w:r/>
      <w:bookmarkStart w:id="43" w:name="_Toc513029211"/>
      <w:r>
        <w:rPr>
          <w:rFonts w:hint="eastAsia" w:eastAsia="黑体" w:cs="Arial"/>
          <w:color w:val="auto"/>
          <w:sz w:val="28"/>
          <w:szCs w:val="28"/>
          <w:highlight w:val="none"/>
        </w:rPr>
        <w:t xml:space="preserve">7、招标文件的澄清</w:t>
      </w:r>
      <w:bookmarkEnd w:id="40"/>
      <w:r/>
      <w:bookmarkEnd w:id="41"/>
      <w:r/>
      <w:bookmarkEnd w:id="42"/>
      <w:r/>
      <w:bookmarkEnd w:id="43"/>
      <w:r/>
      <w:r/>
    </w:p>
    <w:p>
      <w:pPr>
        <w:ind w:firstLine="480"/>
        <w:spacing w:line="560" w:lineRule="exact"/>
        <w:rPr>
          <w:color w:val="auto"/>
          <w:sz w:val="24"/>
          <w:szCs w:val="24"/>
          <w:highlight w:val="none"/>
        </w:rPr>
      </w:pPr>
      <w:r>
        <w:rPr>
          <w:rFonts w:hint="eastAsia"/>
          <w:bCs/>
          <w:color w:val="auto"/>
          <w:sz w:val="24"/>
          <w:highlight w:val="none"/>
        </w:rPr>
        <w:t xml:space="preserve">7.1</w:t>
      </w:r>
      <w:r>
        <w:rPr>
          <w:rFonts w:hint="eastAsia"/>
          <w:color w:val="auto"/>
          <w:sz w:val="24"/>
          <w:highlight w:val="none"/>
        </w:rPr>
        <w:t xml:space="preserve"> 任何要求对招标文件进行澄清的投标人，应在投标截止期</w:t>
      </w:r>
      <w:r>
        <w:rPr>
          <w:rFonts w:hint="eastAsia"/>
          <w:b/>
          <w:color w:val="auto"/>
          <w:sz w:val="24"/>
          <w:szCs w:val="24"/>
          <w:highlight w:val="none"/>
        </w:rPr>
        <w:t xml:space="preserve">十日</w:t>
      </w:r>
      <w:r>
        <w:rPr>
          <w:rFonts w:hint="eastAsia"/>
          <w:color w:val="auto"/>
          <w:sz w:val="24"/>
          <w:szCs w:val="24"/>
          <w:highlight w:val="none"/>
        </w:rPr>
        <w:t xml:space="preserve">前</w:t>
      </w:r>
      <w:r>
        <w:rPr>
          <w:rFonts w:hint="eastAsia"/>
          <w:color w:val="auto"/>
          <w:sz w:val="24"/>
          <w:highlight w:val="none"/>
        </w:rPr>
        <w:t xml:space="preserve">按招标公告中的通讯地址，以书面形式通知采购代理机构。</w:t>
      </w:r>
      <w:r/>
    </w:p>
    <w:p>
      <w:pPr>
        <w:ind w:firstLine="560"/>
        <w:keepLines/>
        <w:keepNext/>
        <w:spacing w:line="560" w:lineRule="exact"/>
        <w:rPr>
          <w:rFonts w:eastAsia="黑体" w:cs="Arial"/>
          <w:color w:val="auto"/>
          <w:sz w:val="28"/>
          <w:szCs w:val="28"/>
          <w:highlight w:val="none"/>
        </w:rPr>
        <w:outlineLvl w:val="3"/>
      </w:pPr>
      <w:r/>
      <w:bookmarkStart w:id="44" w:name="_Toc16938528"/>
      <w:r/>
      <w:bookmarkStart w:id="45" w:name="_Toc20823284"/>
      <w:r/>
      <w:bookmarkStart w:id="46" w:name="_Toc462564071"/>
      <w:r/>
      <w:bookmarkStart w:id="47" w:name="_Toc513029212"/>
      <w:r>
        <w:rPr>
          <w:rFonts w:hint="eastAsia" w:eastAsia="黑体" w:cs="Arial"/>
          <w:color w:val="auto"/>
          <w:sz w:val="28"/>
          <w:szCs w:val="28"/>
          <w:highlight w:val="none"/>
        </w:rPr>
        <w:t xml:space="preserve">8、招标文件的修改</w:t>
      </w:r>
      <w:bookmarkEnd w:id="44"/>
      <w:r/>
      <w:bookmarkEnd w:id="45"/>
      <w:r/>
      <w:bookmarkEnd w:id="46"/>
      <w:r/>
      <w:bookmarkEnd w:id="47"/>
      <w:r/>
      <w:r/>
    </w:p>
    <w:p>
      <w:pPr>
        <w:ind w:firstLine="480"/>
        <w:spacing w:line="560" w:lineRule="exact"/>
        <w:rPr>
          <w:bCs/>
          <w:color w:val="auto"/>
          <w:sz w:val="24"/>
          <w:highlight w:val="none"/>
        </w:rPr>
      </w:pPr>
      <w:r>
        <w:rPr>
          <w:rFonts w:hint="eastAsia"/>
          <w:bCs/>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bCs/>
          <w:color w:val="auto"/>
          <w:sz w:val="24"/>
          <w:highlight w:val="none"/>
        </w:rPr>
      </w:pPr>
      <w:r>
        <w:rPr>
          <w:rFonts w:hint="eastAsia"/>
          <w:bCs/>
          <w:color w:val="auto"/>
          <w:sz w:val="24"/>
          <w:highlight w:val="none"/>
        </w:rPr>
        <w:t xml:space="preserve">8.2 在投标截止时间前，采购代理机构可以对招标文件进行修改。</w:t>
      </w:r>
      <w:r/>
    </w:p>
    <w:p>
      <w:pPr>
        <w:ind w:firstLine="480"/>
        <w:spacing w:line="560" w:lineRule="exact"/>
        <w:rPr>
          <w:bCs/>
          <w:color w:val="auto"/>
          <w:sz w:val="24"/>
          <w:highlight w:val="none"/>
        </w:rPr>
      </w:pPr>
      <w:r>
        <w:rPr>
          <w:rFonts w:hint="eastAsia"/>
          <w:bCs/>
          <w:color w:val="auto"/>
          <w:sz w:val="24"/>
          <w:highlight w:val="none"/>
        </w:rPr>
        <w:t xml:space="preserve">8.3 采购代理机构有权按照法定的要求推迟投标截止日期和开标日期。</w:t>
      </w:r>
      <w:r/>
    </w:p>
    <w:p>
      <w:pPr>
        <w:ind w:firstLine="480"/>
        <w:spacing w:line="560" w:lineRule="exact"/>
        <w:rPr>
          <w:bCs/>
          <w:color w:val="auto"/>
          <w:sz w:val="24"/>
          <w:highlight w:val="none"/>
        </w:rPr>
      </w:pPr>
      <w:r>
        <w:rPr>
          <w:rFonts w:hint="eastAsia"/>
          <w:bCs/>
          <w:color w:val="auto"/>
          <w:sz w:val="24"/>
          <w:highlight w:val="none"/>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bCs/>
          <w:color w:val="auto"/>
          <w:sz w:val="24"/>
          <w:highlight w:val="none"/>
        </w:rPr>
      </w:pPr>
      <w:r>
        <w:rPr>
          <w:rFonts w:hint="eastAsia"/>
          <w:bCs/>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keepLines/>
        <w:keepNext/>
        <w:spacing w:line="560" w:lineRule="exact"/>
        <w:rPr>
          <w:b/>
          <w:bCs/>
          <w:color w:val="auto"/>
          <w:sz w:val="32"/>
          <w:szCs w:val="32"/>
          <w:highlight w:val="none"/>
        </w:rPr>
        <w:outlineLvl w:val="2"/>
      </w:pPr>
      <w:r/>
      <w:bookmarkStart w:id="48" w:name="_Toc462564072"/>
      <w:r/>
      <w:bookmarkStart w:id="49" w:name="_Toc16938529"/>
      <w:r/>
      <w:bookmarkStart w:id="50" w:name="_Toc513029213"/>
      <w:r/>
      <w:bookmarkStart w:id="51" w:name="_Toc20823285"/>
      <w:r/>
      <w:bookmarkStart w:id="52" w:name="_Toc120614216"/>
      <w:r/>
      <w:bookmarkStart w:id="53" w:name="_Toc31370"/>
      <w:r>
        <w:rPr>
          <w:rFonts w:hint="eastAsia"/>
          <w:b/>
          <w:bCs/>
          <w:color w:val="auto"/>
          <w:sz w:val="32"/>
          <w:szCs w:val="32"/>
          <w:highlight w:val="none"/>
        </w:rPr>
        <w:t xml:space="preserve">三、投标文件的编制</w:t>
      </w:r>
      <w:bookmarkEnd w:id="48"/>
      <w:r/>
      <w:bookmarkEnd w:id="49"/>
      <w:r/>
      <w:bookmarkEnd w:id="50"/>
      <w:r/>
      <w:bookmarkEnd w:id="51"/>
      <w:r/>
      <w:bookmarkEnd w:id="52"/>
      <w:r/>
      <w:bookmarkEnd w:id="53"/>
      <w:r/>
      <w:r/>
    </w:p>
    <w:p>
      <w:pPr>
        <w:ind w:firstLine="560"/>
        <w:keepLines/>
        <w:keepNext/>
        <w:spacing w:line="560" w:lineRule="exact"/>
        <w:rPr>
          <w:rFonts w:eastAsia="黑体" w:cs="Arial"/>
          <w:b/>
          <w:color w:val="auto"/>
          <w:sz w:val="28"/>
          <w:szCs w:val="28"/>
          <w:highlight w:val="none"/>
        </w:rPr>
        <w:outlineLvl w:val="3"/>
      </w:pPr>
      <w:r/>
      <w:bookmarkStart w:id="54" w:name="_Toc513029214"/>
      <w:r/>
      <w:bookmarkStart w:id="55" w:name="_Toc462564073"/>
      <w:r/>
      <w:bookmarkStart w:id="56" w:name="_Toc20823286"/>
      <w:r/>
      <w:bookmarkStart w:id="57" w:name="_Toc16938530"/>
      <w:r>
        <w:rPr>
          <w:rFonts w:hint="eastAsia" w:eastAsia="黑体" w:cs="Arial"/>
          <w:color w:val="auto"/>
          <w:sz w:val="28"/>
          <w:szCs w:val="28"/>
          <w:highlight w:val="none"/>
        </w:rPr>
        <w:t xml:space="preserve">9、投标文件的语言及度量衡单位</w:t>
      </w:r>
      <w:bookmarkEnd w:id="54"/>
      <w:r/>
      <w:bookmarkEnd w:id="55"/>
      <w:r/>
      <w:bookmarkEnd w:id="56"/>
      <w:r/>
      <w:bookmarkEnd w:id="57"/>
      <w:r/>
      <w:r/>
    </w:p>
    <w:p>
      <w:pPr>
        <w:ind w:firstLine="480"/>
        <w:spacing w:line="560" w:lineRule="exact"/>
        <w:rPr>
          <w:color w:val="auto"/>
          <w:sz w:val="24"/>
          <w:highlight w:val="none"/>
        </w:rPr>
      </w:pPr>
      <w:r>
        <w:rPr>
          <w:rFonts w:hint="eastAsia"/>
          <w:bCs/>
          <w:color w:val="auto"/>
          <w:sz w:val="24"/>
          <w:highlight w:val="none"/>
        </w:rPr>
        <w:t xml:space="preserve">9.1</w:t>
      </w:r>
      <w:r>
        <w:rPr>
          <w:rFonts w:hint="eastAsia"/>
          <w:color w:val="auto"/>
          <w:sz w:val="24"/>
          <w:highlight w:val="none"/>
        </w:rPr>
        <w:t xml:space="preserve"> 投标人提交的投标文件以及投标人与采购代理机构就有关投标的所有来往通知、函件和文件均应使用</w:t>
      </w:r>
      <w:r>
        <w:rPr>
          <w:rFonts w:hint="eastAsia"/>
          <w:b/>
          <w:bCs/>
          <w:color w:val="auto"/>
          <w:sz w:val="24"/>
          <w:highlight w:val="none"/>
        </w:rPr>
        <w:t xml:space="preserve">简体中文</w:t>
      </w:r>
      <w:r>
        <w:rPr>
          <w:rFonts w:hint="eastAsia"/>
          <w:color w:val="auto"/>
          <w:sz w:val="24"/>
          <w:highlight w:val="none"/>
        </w:rPr>
        <w:t xml:space="preserve">。</w:t>
      </w:r>
      <w:r/>
    </w:p>
    <w:p>
      <w:pPr>
        <w:ind w:firstLine="480"/>
        <w:spacing w:line="560" w:lineRule="exact"/>
        <w:rPr>
          <w:color w:val="auto"/>
          <w:sz w:val="24"/>
          <w:highlight w:val="none"/>
        </w:rPr>
      </w:pPr>
      <w:r>
        <w:rPr>
          <w:rFonts w:hint="eastAsia"/>
          <w:bCs/>
          <w:color w:val="auto"/>
          <w:sz w:val="24"/>
          <w:highlight w:val="none"/>
        </w:rPr>
        <w:t xml:space="preserve">9.2</w:t>
      </w:r>
      <w:r>
        <w:rPr>
          <w:rFonts w:hint="eastAsia"/>
          <w:color w:val="auto"/>
          <w:sz w:val="24"/>
          <w:highlight w:val="none"/>
        </w:rPr>
        <w:t xml:space="preserve">除技术性能另有规定外，投标文件所使用的度量衡单位，均须采用国家法定计量单位。</w:t>
      </w:r>
      <w:r/>
    </w:p>
    <w:p>
      <w:pPr>
        <w:ind w:firstLine="420"/>
        <w:keepLines/>
        <w:keepNext/>
        <w:spacing w:line="560" w:lineRule="exact"/>
        <w:rPr>
          <w:rFonts w:eastAsia="黑体" w:cs="Arial"/>
          <w:color w:val="auto"/>
          <w:sz w:val="28"/>
          <w:szCs w:val="28"/>
          <w:highlight w:val="none"/>
        </w:rPr>
        <w:outlineLvl w:val="3"/>
      </w:pPr>
      <w:r/>
      <w:bookmarkStart w:id="58" w:name="_Toc20823287"/>
      <w:r/>
      <w:bookmarkStart w:id="59" w:name="_Toc16938531"/>
      <w:r/>
      <w:bookmarkStart w:id="60" w:name="_Toc462564074"/>
      <w:r/>
      <w:bookmarkStart w:id="61" w:name="_Toc513029215"/>
      <w:r>
        <w:rPr>
          <w:rFonts w:hint="eastAsia" w:eastAsia="黑体" w:cs="Arial"/>
          <w:color w:val="auto"/>
          <w:sz w:val="28"/>
          <w:szCs w:val="28"/>
          <w:highlight w:val="none"/>
        </w:rPr>
        <w:t xml:space="preserve">10、投标文件构成</w:t>
      </w:r>
      <w:bookmarkEnd w:id="58"/>
      <w:r/>
      <w:bookmarkEnd w:id="59"/>
      <w:r/>
      <w:bookmarkEnd w:id="60"/>
      <w:r/>
      <w:bookmarkEnd w:id="61"/>
      <w:r/>
      <w:r/>
    </w:p>
    <w:p>
      <w:pPr>
        <w:ind w:firstLine="480"/>
        <w:jc w:val="left"/>
        <w:spacing w:line="560" w:lineRule="exact"/>
        <w:widowControl/>
        <w:rPr>
          <w:bCs/>
          <w:color w:val="auto"/>
          <w:sz w:val="24"/>
          <w:highlight w:val="none"/>
        </w:rPr>
      </w:pPr>
      <w:r>
        <w:rPr>
          <w:rFonts w:hint="eastAsia"/>
          <w:color w:val="auto"/>
          <w:sz w:val="24"/>
          <w:highlight w:val="none"/>
        </w:rPr>
        <w:t xml:space="preserve">10.1投标人应仔细阅读“招标文件”的所有内容</w:t>
      </w:r>
      <w:r>
        <w:rPr>
          <w:rFonts w:hint="eastAsia"/>
          <w:bCs/>
          <w:color w:val="auto"/>
          <w:sz w:val="24"/>
          <w:highlight w:val="none"/>
        </w:rPr>
        <w:t xml:space="preserve">，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bCs/>
          <w:color w:val="auto"/>
          <w:sz w:val="24"/>
          <w:highlight w:val="none"/>
        </w:rPr>
      </w:pPr>
      <w:r>
        <w:rPr>
          <w:rFonts w:hint="eastAsia"/>
          <w:bCs/>
          <w:color w:val="auto"/>
          <w:sz w:val="24"/>
          <w:highlight w:val="none"/>
          <w:lang w:val="zh-CN"/>
        </w:rPr>
        <w:t xml:space="preserve">各投标人在编制投标文件时请按照招标文件第六</w:t>
      </w:r>
      <w:r>
        <w:rPr>
          <w:rFonts w:hint="eastAsia"/>
          <w:bCs/>
          <w:color w:val="auto"/>
          <w:sz w:val="24"/>
          <w:highlight w:val="none"/>
        </w:rPr>
        <w:t xml:space="preserve">章</w:t>
      </w:r>
      <w:r>
        <w:rPr>
          <w:rFonts w:hint="eastAsia"/>
          <w:bCs/>
          <w:color w:val="auto"/>
          <w:sz w:val="24"/>
          <w:highlight w:val="none"/>
          <w:lang w:val="zh-CN"/>
        </w:rPr>
        <w:t xml:space="preserve">规定的格式进行，混乱的编排导致投标文件被误读或评委会查找不到有效文件是投标人的风险。</w:t>
      </w:r>
      <w:r/>
    </w:p>
    <w:p>
      <w:pPr>
        <w:ind w:firstLine="480"/>
        <w:spacing w:line="560" w:lineRule="exact"/>
        <w:rPr>
          <w:color w:val="auto"/>
          <w:sz w:val="24"/>
          <w:highlight w:val="none"/>
        </w:rPr>
      </w:pPr>
      <w:r>
        <w:rPr>
          <w:rFonts w:hint="eastAsia"/>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60" w:lineRule="exact"/>
        <w:rPr>
          <w:bCs/>
          <w:color w:val="auto"/>
          <w:sz w:val="24"/>
          <w:highlight w:val="none"/>
        </w:rPr>
      </w:pPr>
      <w:r>
        <w:rPr>
          <w:rFonts w:hint="eastAsia"/>
          <w:bCs/>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auto"/>
          <w:sz w:val="24"/>
          <w:highlight w:val="none"/>
        </w:rPr>
      </w:pPr>
      <w:r>
        <w:rPr>
          <w:rFonts w:hint="eastAsia"/>
          <w:bCs/>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bCs/>
          <w:color w:val="auto"/>
          <w:sz w:val="24"/>
          <w:highlight w:val="none"/>
        </w:rPr>
      </w:pPr>
      <w:r>
        <w:rPr>
          <w:rFonts w:hint="eastAsia"/>
          <w:bCs/>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60" w:lineRule="exact"/>
        <w:rPr>
          <w:bCs/>
          <w:color w:val="auto"/>
          <w:sz w:val="24"/>
          <w:highlight w:val="none"/>
        </w:rPr>
      </w:pPr>
      <w:r>
        <w:rPr>
          <w:rFonts w:hint="eastAsia"/>
          <w:bCs/>
          <w:color w:val="auto"/>
          <w:sz w:val="24"/>
          <w:highlight w:val="none"/>
        </w:rPr>
        <w:t xml:space="preserve">10.6中标后按相关要求提供与电子投标文件一致的纸质打印投标文件3份。 </w:t>
      </w:r>
      <w:r/>
    </w:p>
    <w:p>
      <w:pPr>
        <w:ind w:firstLine="480"/>
        <w:spacing w:line="560" w:lineRule="exact"/>
        <w:rPr>
          <w:bCs/>
          <w:color w:val="auto"/>
          <w:sz w:val="24"/>
          <w:highlight w:val="none"/>
        </w:rPr>
      </w:pPr>
      <w:r>
        <w:rPr>
          <w:rFonts w:hint="eastAsia"/>
          <w:bCs/>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ind w:firstLine="420"/>
        <w:keepLines/>
        <w:keepNext/>
        <w:spacing w:line="560" w:lineRule="exact"/>
        <w:rPr>
          <w:rFonts w:eastAsia="黑体" w:cs="Arial"/>
          <w:color w:val="auto"/>
          <w:sz w:val="28"/>
          <w:szCs w:val="28"/>
          <w:highlight w:val="none"/>
        </w:rPr>
        <w:outlineLvl w:val="3"/>
      </w:pPr>
      <w:r/>
      <w:bookmarkStart w:id="62" w:name="_Toc49090509"/>
      <w:r/>
      <w:bookmarkStart w:id="63" w:name="_Toc14577354"/>
      <w:r/>
      <w:bookmarkStart w:id="64" w:name="_Toc49090507"/>
      <w:r/>
      <w:bookmarkStart w:id="65" w:name="_Toc513029216"/>
      <w:r/>
      <w:bookmarkStart w:id="66" w:name="_Toc14577357"/>
      <w:r/>
      <w:bookmarkStart w:id="67" w:name="_Toc513029219"/>
      <w:r>
        <w:rPr>
          <w:rFonts w:hint="eastAsia" w:eastAsia="黑体" w:cs="Arial"/>
          <w:color w:val="auto"/>
          <w:sz w:val="28"/>
          <w:szCs w:val="28"/>
          <w:highlight w:val="none"/>
        </w:rPr>
        <w:t xml:space="preserve">11、证明投标人及投标标的符合招标文件规定的文件</w:t>
      </w:r>
      <w:bookmarkEnd w:id="62"/>
      <w:r/>
      <w:bookmarkEnd w:id="63"/>
      <w:r/>
      <w:bookmarkEnd w:id="64"/>
      <w:r/>
      <w:bookmarkEnd w:id="65"/>
      <w:r/>
      <w:bookmarkEnd w:id="66"/>
      <w:r/>
      <w:bookmarkEnd w:id="67"/>
      <w:r/>
      <w:r/>
    </w:p>
    <w:p>
      <w:pPr>
        <w:spacing w:line="560" w:lineRule="exact"/>
        <w:rPr>
          <w:color w:val="auto"/>
          <w:sz w:val="24"/>
          <w:szCs w:val="24"/>
          <w:highlight w:val="none"/>
        </w:rPr>
      </w:pPr>
      <w:r/>
      <w:bookmarkStart w:id="68" w:name="_Toc14577355"/>
      <w:r/>
      <w:bookmarkStart w:id="69" w:name="_Toc49090508"/>
      <w:r>
        <w:rPr>
          <w:rFonts w:hint="eastAsia"/>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560" w:lineRule="exact"/>
        <w:rPr>
          <w:color w:val="auto"/>
          <w:sz w:val="24"/>
          <w:szCs w:val="24"/>
          <w:highlight w:val="none"/>
        </w:rPr>
      </w:pPr>
      <w:r>
        <w:rPr>
          <w:rFonts w:hint="eastAsia"/>
          <w:color w:val="auto"/>
          <w:sz w:val="24"/>
          <w:szCs w:val="24"/>
          <w:highlight w:val="none"/>
        </w:rPr>
        <w:t xml:space="preserve">11.2招标文件对证明文件无明确形式要求的，证明文件可以以文字资料、图纸和数据等形式提交。</w:t>
      </w:r>
      <w:r/>
    </w:p>
    <w:p>
      <w:pPr>
        <w:ind w:firstLine="420"/>
        <w:keepLines/>
        <w:keepNext/>
        <w:spacing w:line="560" w:lineRule="exact"/>
        <w:rPr>
          <w:rFonts w:eastAsia="黑体" w:cs="Arial"/>
          <w:color w:val="auto"/>
          <w:sz w:val="28"/>
          <w:szCs w:val="28"/>
          <w:highlight w:val="none"/>
        </w:rPr>
        <w:outlineLvl w:val="3"/>
      </w:pPr>
      <w:r>
        <w:rPr>
          <w:rFonts w:hint="eastAsia" w:eastAsia="黑体" w:cs="Arial"/>
          <w:color w:val="auto"/>
          <w:sz w:val="28"/>
          <w:szCs w:val="28"/>
          <w:highlight w:val="none"/>
        </w:rPr>
        <w:t xml:space="preserve">12、投标分项报价</w:t>
      </w:r>
      <w:bookmarkEnd w:id="68"/>
      <w:r>
        <w:rPr>
          <w:rFonts w:hint="eastAsia" w:eastAsia="黑体" w:cs="Arial"/>
          <w:color w:val="auto"/>
          <w:sz w:val="28"/>
          <w:szCs w:val="28"/>
          <w:highlight w:val="none"/>
        </w:rPr>
        <w:t xml:space="preserve">表</w:t>
      </w:r>
      <w:bookmarkEnd w:id="69"/>
      <w:r/>
      <w:r/>
    </w:p>
    <w:p>
      <w:pPr>
        <w:ind w:firstLine="480"/>
        <w:spacing w:line="560" w:lineRule="exact"/>
        <w:rPr>
          <w:bCs/>
          <w:color w:val="auto"/>
          <w:sz w:val="24"/>
          <w:highlight w:val="none"/>
        </w:rPr>
      </w:pPr>
      <w:r>
        <w:rPr>
          <w:rFonts w:hint="eastAsia"/>
          <w:bCs/>
          <w:color w:val="auto"/>
          <w:sz w:val="24"/>
          <w:highlight w:val="none"/>
        </w:rPr>
        <w:t xml:space="preserve">12.1</w:t>
      </w:r>
      <w:r>
        <w:rPr>
          <w:rFonts w:hint="eastAsia"/>
          <w:color w:val="auto"/>
          <w:sz w:val="24"/>
          <w:highlight w:val="none"/>
        </w:rPr>
        <w:t xml:space="preserve"> 投标人应按照招标文件规定格式填报投标分项报价表。</w:t>
      </w:r>
      <w:r/>
    </w:p>
    <w:p>
      <w:pPr>
        <w:ind w:firstLine="480"/>
        <w:spacing w:line="560" w:lineRule="exact"/>
        <w:rPr>
          <w:color w:val="auto"/>
          <w:sz w:val="24"/>
          <w:highlight w:val="none"/>
        </w:rPr>
      </w:pPr>
      <w:r>
        <w:rPr>
          <w:rFonts w:hint="eastAsia"/>
          <w:color w:val="auto"/>
          <w:sz w:val="24"/>
          <w:highlight w:val="none"/>
        </w:rPr>
        <w:t xml:space="preserve">12.2</w:t>
      </w:r>
      <w:r>
        <w:rPr>
          <w:rFonts w:hint="eastAsia"/>
          <w:bCs/>
          <w:color w:val="auto"/>
          <w:sz w:val="24"/>
          <w:highlight w:val="none"/>
        </w:rPr>
        <w:t xml:space="preserve">投标货币。投标文件中的单价和总价无特殊规定的采用人民币报价，以元为单位标注。</w:t>
      </w:r>
      <w:r>
        <w:rPr>
          <w:rFonts w:hint="eastAsia"/>
          <w:color w:val="auto"/>
          <w:sz w:val="24"/>
          <w:highlight w:val="none"/>
        </w:rPr>
        <w:t xml:space="preserve">招标文件中另有规定的按规定执行。</w:t>
      </w:r>
      <w:r/>
    </w:p>
    <w:p>
      <w:pPr>
        <w:ind w:firstLine="480"/>
        <w:spacing w:line="560" w:lineRule="exact"/>
        <w:rPr>
          <w:bCs/>
          <w:color w:val="auto"/>
          <w:sz w:val="24"/>
          <w:highlight w:val="none"/>
        </w:rPr>
      </w:pPr>
      <w:r>
        <w:rPr>
          <w:rFonts w:hint="eastAsia"/>
          <w:bCs/>
          <w:color w:val="auto"/>
          <w:sz w:val="24"/>
          <w:highlight w:val="none"/>
        </w:rPr>
        <w:t xml:space="preserve">12.3本项目不接受备选的投标方案或有选择的报价，只允许有一个报价。投标报价内容包括：</w:t>
      </w:r>
      <w:r>
        <w:rPr>
          <w:b/>
          <w:bCs/>
          <w:color w:val="auto"/>
          <w:sz w:val="24"/>
          <w:highlight w:val="none"/>
        </w:rPr>
        <w:t xml:space="preserve">费用为完成本项目的相关任务的全部费用，包含但不限于：采样和检测综合服务所需要的服务费、样品购买费、各种税费、人工、保险、劳保、利润、税金及合同包含的所有风险、责任等各项应有的所有费用。</w:t>
      </w:r>
      <w:r/>
    </w:p>
    <w:p>
      <w:pPr>
        <w:ind w:firstLine="420"/>
        <w:keepLines/>
        <w:keepNext/>
        <w:spacing w:line="560" w:lineRule="exact"/>
        <w:rPr>
          <w:rFonts w:ascii="Arial" w:hAnsi="Arial" w:eastAsia="黑体" w:cs="Arial"/>
          <w:color w:val="auto"/>
          <w:sz w:val="28"/>
          <w:szCs w:val="28"/>
          <w:highlight w:val="none"/>
        </w:rPr>
        <w:outlineLvl w:val="3"/>
      </w:pPr>
      <w:r/>
      <w:bookmarkStart w:id="70" w:name="_Toc14577359"/>
      <w:r/>
      <w:bookmarkStart w:id="71" w:name="_Toc49090510"/>
      <w:r>
        <w:rPr>
          <w:rFonts w:hint="eastAsia" w:ascii="Arial" w:hAnsi="Arial" w:eastAsia="黑体" w:cs="Arial"/>
          <w:color w:val="auto"/>
          <w:sz w:val="28"/>
          <w:szCs w:val="28"/>
          <w:highlight w:val="none"/>
        </w:rPr>
        <w:t xml:space="preserve">13、技术要求响应及偏离表、商务要求响应及偏离表</w:t>
      </w:r>
      <w:r/>
    </w:p>
    <w:p>
      <w:pPr>
        <w:ind w:firstLine="480"/>
        <w:spacing w:line="560" w:lineRule="exact"/>
        <w:rPr>
          <w:rFonts w:ascii="宋体" w:hAnsi="Arial" w:cs="宋体"/>
          <w:color w:val="auto"/>
          <w:sz w:val="24"/>
          <w:highlight w:val="none"/>
          <w:lang w:val="zh-CN"/>
        </w:rPr>
      </w:pPr>
      <w:r>
        <w:rPr>
          <w:rFonts w:ascii="宋体" w:hAnsi="Arial" w:cs="宋体"/>
          <w:bCs/>
          <w:color w:val="auto"/>
          <w:sz w:val="24"/>
          <w:highlight w:val="none"/>
          <w:lang w:val="zh-CN"/>
        </w:rPr>
        <w:t xml:space="preserve">1</w:t>
      </w:r>
      <w:r>
        <w:rPr>
          <w:rFonts w:hint="eastAsia" w:ascii="宋体" w:hAnsi="Arial" w:cs="宋体"/>
          <w:bCs/>
          <w:color w:val="auto"/>
          <w:sz w:val="24"/>
          <w:highlight w:val="none"/>
          <w:lang w:val="zh-CN"/>
        </w:rPr>
        <w:t xml:space="preserve">3</w:t>
      </w:r>
      <w:r>
        <w:rPr>
          <w:rFonts w:ascii="宋体" w:hAnsi="Arial" w:cs="宋体"/>
          <w:bCs/>
          <w:color w:val="auto"/>
          <w:sz w:val="24"/>
          <w:highlight w:val="none"/>
          <w:lang w:val="zh-CN"/>
        </w:rPr>
        <w:t xml:space="preserve">.1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lang w:val="zh-CN"/>
        </w:rPr>
        <w:t xml:space="preserve">13.2 投标人可在投标文件中提供认为需要的其他技术文件或说明。</w:t>
      </w:r>
      <w:r/>
    </w:p>
    <w:p>
      <w:pPr>
        <w:ind w:firstLine="420"/>
        <w:keepLines/>
        <w:keepNext/>
        <w:spacing w:line="560" w:lineRule="exact"/>
        <w:rPr>
          <w:rFonts w:eastAsia="黑体" w:cs="Arial"/>
          <w:color w:val="auto"/>
          <w:sz w:val="28"/>
          <w:szCs w:val="28"/>
          <w:highlight w:val="none"/>
        </w:rPr>
        <w:outlineLvl w:val="3"/>
      </w:pPr>
      <w:r>
        <w:rPr>
          <w:rFonts w:hint="eastAsia" w:eastAsia="黑体" w:cs="Arial"/>
          <w:color w:val="auto"/>
          <w:sz w:val="28"/>
          <w:szCs w:val="28"/>
          <w:highlight w:val="none"/>
        </w:rPr>
        <w:t xml:space="preserve">14、服务承诺、培训计划、人员安排及其他</w:t>
      </w:r>
      <w:r/>
    </w:p>
    <w:p>
      <w:pPr>
        <w:ind w:firstLine="480"/>
        <w:spacing w:line="560" w:lineRule="exact"/>
        <w:rPr>
          <w:color w:val="auto"/>
          <w:sz w:val="24"/>
          <w:szCs w:val="24"/>
          <w:highlight w:val="none"/>
        </w:rPr>
      </w:pPr>
      <w:r>
        <w:rPr>
          <w:rFonts w:hint="eastAsia"/>
          <w:bCs/>
          <w:color w:val="auto"/>
          <w:sz w:val="24"/>
          <w:szCs w:val="24"/>
          <w:highlight w:val="none"/>
        </w:rPr>
        <w:t xml:space="preserve">14.1 </w:t>
      </w:r>
      <w:r>
        <w:rPr>
          <w:rFonts w:hint="eastAsia"/>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color w:val="auto"/>
          <w:sz w:val="24"/>
          <w:szCs w:val="24"/>
          <w:highlight w:val="none"/>
        </w:rPr>
      </w:pPr>
      <w:r>
        <w:rPr>
          <w:rFonts w:hint="eastAsia"/>
          <w:color w:val="auto"/>
          <w:sz w:val="24"/>
          <w:szCs w:val="24"/>
          <w:highlight w:val="none"/>
        </w:rPr>
        <w:t xml:space="preserve">14.2 投标人需根据招标文件要求提供培训计划。</w:t>
      </w:r>
      <w:r/>
    </w:p>
    <w:p>
      <w:pPr>
        <w:ind w:firstLine="480"/>
        <w:spacing w:line="560" w:lineRule="exact"/>
        <w:rPr>
          <w:b/>
          <w:bCs/>
          <w:color w:val="auto"/>
          <w:highlight w:val="none"/>
        </w:rPr>
      </w:pPr>
      <w:r>
        <w:rPr>
          <w:rFonts w:hint="eastAsia"/>
          <w:color w:val="auto"/>
          <w:sz w:val="24"/>
          <w:szCs w:val="24"/>
          <w:highlight w:val="none"/>
        </w:rPr>
        <w:t xml:space="preserve">14.3 投标人需根据招标文件要求提供</w:t>
      </w:r>
      <w:r>
        <w:rPr>
          <w:rFonts w:hint="eastAsia" w:cs="宋体"/>
          <w:color w:val="auto"/>
          <w:sz w:val="24"/>
          <w:highlight w:val="none"/>
          <w:lang w:val="zh-CN"/>
        </w:rPr>
        <w:t xml:space="preserve">所投标的的主要组成部分、功能设计、实现思路及关键技术等。</w:t>
      </w:r>
      <w:r/>
    </w:p>
    <w:p>
      <w:pPr>
        <w:ind w:firstLine="420"/>
        <w:keepLines/>
        <w:keepNext/>
        <w:spacing w:line="560" w:lineRule="exact"/>
        <w:rPr>
          <w:rFonts w:eastAsia="黑体" w:cs="Arial"/>
          <w:color w:val="auto"/>
          <w:sz w:val="28"/>
          <w:szCs w:val="28"/>
          <w:highlight w:val="none"/>
        </w:rPr>
        <w:outlineLvl w:val="3"/>
      </w:pPr>
      <w:r>
        <w:rPr>
          <w:rFonts w:hint="eastAsia" w:eastAsia="黑体" w:cs="Arial"/>
          <w:color w:val="auto"/>
          <w:sz w:val="28"/>
          <w:szCs w:val="28"/>
          <w:highlight w:val="none"/>
        </w:rPr>
        <w:t xml:space="preserve">15、投标声明及承诺函和开标一览表</w:t>
      </w:r>
      <w:r/>
    </w:p>
    <w:p>
      <w:pPr>
        <w:ind w:firstLine="480"/>
        <w:spacing w:line="560" w:lineRule="exact"/>
        <w:rPr>
          <w:color w:val="auto"/>
          <w:sz w:val="24"/>
          <w:highlight w:val="none"/>
        </w:rPr>
      </w:pPr>
      <w:r>
        <w:rPr>
          <w:rFonts w:hint="eastAsia"/>
          <w:bCs/>
          <w:color w:val="auto"/>
          <w:sz w:val="24"/>
          <w:highlight w:val="none"/>
        </w:rPr>
        <w:t xml:space="preserve">15.1</w:t>
      </w:r>
      <w:r>
        <w:rPr>
          <w:rFonts w:hint="eastAsia"/>
          <w:color w:val="auto"/>
          <w:sz w:val="24"/>
          <w:highlight w:val="none"/>
        </w:rPr>
        <w:t xml:space="preserve"> 投标人应按照招标文件中提供的格式完整、正确填写投标声明及承诺函、开标一览表。</w:t>
      </w:r>
      <w:r/>
    </w:p>
    <w:p>
      <w:pPr>
        <w:ind w:firstLine="480"/>
        <w:spacing w:line="560" w:lineRule="exact"/>
        <w:rPr>
          <w:color w:val="auto"/>
          <w:sz w:val="24"/>
          <w:highlight w:val="none"/>
        </w:rPr>
      </w:pPr>
      <w:r>
        <w:rPr>
          <w:rFonts w:hint="eastAsia"/>
          <w:bCs/>
          <w:color w:val="auto"/>
          <w:sz w:val="24"/>
          <w:highlight w:val="none"/>
        </w:rPr>
        <w:t xml:space="preserve">15.2</w:t>
      </w:r>
      <w:r>
        <w:rPr>
          <w:rFonts w:hint="eastAsia"/>
          <w:color w:val="auto"/>
          <w:sz w:val="24"/>
          <w:highlight w:val="none"/>
        </w:rPr>
        <w:t xml:space="preserve"> 对于采用货币报价的项目，</w:t>
      </w:r>
      <w:r>
        <w:rPr>
          <w:rFonts w:hint="eastAsia"/>
          <w:bCs/>
          <w:color w:val="auto"/>
          <w:sz w:val="24"/>
          <w:highlight w:val="none"/>
        </w:rPr>
        <w:t xml:space="preserve">开标一览表中的投标总报价应与投标分项报价表中的投标总报价一致，如不一致，</w:t>
      </w:r>
      <w:r>
        <w:rPr>
          <w:rFonts w:hint="eastAsia"/>
          <w:color w:val="auto"/>
          <w:sz w:val="24"/>
          <w:szCs w:val="24"/>
          <w:highlight w:val="none"/>
        </w:rPr>
        <w:t xml:space="preserve">不作为无效投标处理</w:t>
      </w:r>
      <w:r>
        <w:rPr>
          <w:rFonts w:hint="eastAsia"/>
          <w:bCs/>
          <w:color w:val="auto"/>
          <w:sz w:val="24"/>
          <w:highlight w:val="none"/>
        </w:rPr>
        <w:t xml:space="preserve">，但评标时按开标一览表中价格为准</w:t>
      </w:r>
      <w:r>
        <w:rPr>
          <w:rFonts w:hint="eastAsia"/>
          <w:b/>
          <w:bCs/>
          <w:color w:val="auto"/>
          <w:sz w:val="24"/>
          <w:highlight w:val="none"/>
        </w:rPr>
        <w:t xml:space="preserve">。</w:t>
      </w:r>
      <w:bookmarkEnd w:id="70"/>
      <w:r/>
      <w:bookmarkEnd w:id="71"/>
      <w:r/>
      <w:r/>
    </w:p>
    <w:p>
      <w:pPr>
        <w:ind w:firstLine="420"/>
        <w:keepLines/>
        <w:keepNext/>
        <w:spacing w:line="560" w:lineRule="exact"/>
        <w:rPr>
          <w:rFonts w:eastAsia="黑体" w:cs="Arial"/>
          <w:color w:val="auto"/>
          <w:sz w:val="28"/>
          <w:szCs w:val="28"/>
          <w:highlight w:val="none"/>
        </w:rPr>
        <w:outlineLvl w:val="3"/>
      </w:pPr>
      <w:r/>
      <w:bookmarkStart w:id="72" w:name="_Toc49090511"/>
      <w:r/>
      <w:bookmarkStart w:id="73" w:name="_Toc14577360"/>
      <w:r>
        <w:rPr>
          <w:rFonts w:hint="eastAsia" w:eastAsia="黑体" w:cs="Arial"/>
          <w:color w:val="auto"/>
          <w:sz w:val="28"/>
          <w:szCs w:val="28"/>
          <w:highlight w:val="none"/>
        </w:rPr>
        <w:t xml:space="preserve">16、投标有效期</w:t>
      </w:r>
      <w:bookmarkEnd w:id="72"/>
      <w:r/>
      <w:bookmarkEnd w:id="73"/>
      <w:r/>
      <w:r/>
    </w:p>
    <w:p>
      <w:pPr>
        <w:ind w:firstLine="480"/>
        <w:spacing w:line="560" w:lineRule="exact"/>
        <w:rPr>
          <w:bCs/>
          <w:color w:val="auto"/>
          <w:sz w:val="24"/>
          <w:highlight w:val="none"/>
        </w:rPr>
      </w:pPr>
      <w:r>
        <w:rPr>
          <w:rFonts w:hint="eastAsia"/>
          <w:color w:val="auto"/>
          <w:sz w:val="24"/>
          <w:highlight w:val="none"/>
        </w:rPr>
        <w:t xml:space="preserve">16.1</w:t>
      </w:r>
      <w:r>
        <w:rPr>
          <w:rFonts w:hint="eastAsia"/>
          <w:bCs/>
          <w:color w:val="auto"/>
          <w:sz w:val="24"/>
          <w:highlight w:val="none"/>
        </w:rPr>
        <w:t xml:space="preserve"> 投标有效期为开标之日后</w:t>
      </w:r>
      <w:r>
        <w:rPr>
          <w:rFonts w:hint="eastAsia"/>
          <w:b/>
          <w:color w:val="auto"/>
          <w:sz w:val="24"/>
          <w:highlight w:val="none"/>
          <w:u w:val="single"/>
        </w:rPr>
        <w:t xml:space="preserve">六十（60）天</w:t>
      </w:r>
      <w:r>
        <w:rPr>
          <w:rFonts w:hint="eastAsia"/>
          <w:bCs/>
          <w:color w:val="auto"/>
          <w:sz w:val="24"/>
          <w:highlight w:val="none"/>
        </w:rPr>
        <w:t xml:space="preserve">。投标有效期比规定短的将被视为未实质性响应招标</w:t>
      </w:r>
      <w:r>
        <w:rPr>
          <w:bCs/>
          <w:color w:val="auto"/>
          <w:sz w:val="24"/>
          <w:highlight w:val="none"/>
        </w:rPr>
        <w:t xml:space="preserve">文件</w:t>
      </w:r>
      <w:r>
        <w:rPr>
          <w:rFonts w:hint="eastAsia"/>
          <w:bCs/>
          <w:color w:val="auto"/>
          <w:sz w:val="24"/>
          <w:highlight w:val="none"/>
        </w:rPr>
        <w:t xml:space="preserve">而予以拒绝。</w:t>
      </w:r>
      <w:r/>
    </w:p>
    <w:p>
      <w:pPr>
        <w:ind w:firstLine="420"/>
        <w:keepLines/>
        <w:keepNext/>
        <w:spacing w:line="560" w:lineRule="exact"/>
        <w:rPr>
          <w:rFonts w:eastAsia="黑体" w:cs="Arial"/>
          <w:color w:val="auto"/>
          <w:sz w:val="28"/>
          <w:szCs w:val="28"/>
          <w:highlight w:val="none"/>
        </w:rPr>
        <w:outlineLvl w:val="3"/>
      </w:pPr>
      <w:r>
        <w:rPr>
          <w:rFonts w:hint="eastAsia" w:eastAsia="黑体" w:cs="Arial"/>
          <w:color w:val="auto"/>
          <w:sz w:val="28"/>
          <w:szCs w:val="28"/>
          <w:highlight w:val="none"/>
        </w:rPr>
        <w:t xml:space="preserve">17、投标有效期的延长</w:t>
      </w:r>
      <w:r/>
    </w:p>
    <w:p>
      <w:pPr>
        <w:ind w:firstLine="480"/>
        <w:spacing w:line="560" w:lineRule="exact"/>
        <w:rPr>
          <w:bCs/>
          <w:color w:val="auto"/>
          <w:sz w:val="24"/>
          <w:highlight w:val="none"/>
        </w:rPr>
      </w:pPr>
      <w:r>
        <w:rPr>
          <w:rFonts w:hint="eastAsia"/>
          <w:color w:val="auto"/>
          <w:sz w:val="24"/>
          <w:highlight w:val="none"/>
        </w:rPr>
        <w:t xml:space="preserve">17.1</w:t>
      </w:r>
      <w:r>
        <w:rPr>
          <w:rFonts w:hint="eastAsia"/>
          <w:bCs/>
          <w:color w:val="auto"/>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auto"/>
          <w:sz w:val="24"/>
          <w:szCs w:val="24"/>
          <w:highlight w:val="none"/>
        </w:rPr>
        <w:t xml:space="preserve">。</w:t>
      </w:r>
      <w:r>
        <w:rPr>
          <w:rFonts w:hint="eastAsia"/>
          <w:bCs/>
          <w:color w:val="auto"/>
          <w:sz w:val="24"/>
          <w:highlight w:val="none"/>
        </w:rPr>
        <w:t xml:space="preserve">同意延长投标有效期的投标人既不能要求也不允许修改其投标文件</w:t>
      </w:r>
      <w:r>
        <w:rPr>
          <w:rFonts w:hint="eastAsia"/>
          <w:color w:val="auto"/>
          <w:sz w:val="24"/>
          <w:szCs w:val="24"/>
          <w:highlight w:val="none"/>
        </w:rPr>
        <w:t xml:space="preserve">，同时受投标有效期约束的所有权利与义务均延长至新的有效期</w:t>
      </w:r>
      <w:r>
        <w:rPr>
          <w:rFonts w:hint="eastAsia"/>
          <w:bCs/>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17.2中标人的投标文件作为项目合同的附件，其有效期至中标人全部合同义务履行完毕为止。 </w:t>
      </w:r>
      <w:r/>
    </w:p>
    <w:p>
      <w:pPr>
        <w:ind w:firstLine="482"/>
        <w:keepLines/>
        <w:keepNext/>
        <w:spacing w:line="560" w:lineRule="exact"/>
        <w:rPr>
          <w:b/>
          <w:bCs/>
          <w:color w:val="auto"/>
          <w:sz w:val="32"/>
          <w:szCs w:val="32"/>
          <w:highlight w:val="none"/>
        </w:rPr>
        <w:outlineLvl w:val="2"/>
      </w:pPr>
      <w:r/>
      <w:bookmarkStart w:id="74" w:name="_Toc20823296"/>
      <w:r/>
      <w:bookmarkStart w:id="75" w:name="_Toc120614217"/>
      <w:r/>
      <w:bookmarkStart w:id="76" w:name="_Toc513029224"/>
      <w:r/>
      <w:bookmarkStart w:id="77" w:name="_Toc16938540"/>
      <w:r/>
      <w:bookmarkStart w:id="78" w:name="_Toc20295"/>
      <w:r>
        <w:rPr>
          <w:rFonts w:hint="eastAsia"/>
          <w:b/>
          <w:bCs/>
          <w:color w:val="auto"/>
          <w:sz w:val="32"/>
          <w:szCs w:val="32"/>
          <w:highlight w:val="none"/>
        </w:rPr>
        <w:t xml:space="preserve">四、投标文件的递交</w:t>
      </w:r>
      <w:bookmarkEnd w:id="74"/>
      <w:r/>
      <w:bookmarkEnd w:id="75"/>
      <w:r/>
      <w:bookmarkEnd w:id="76"/>
      <w:r/>
      <w:bookmarkEnd w:id="77"/>
      <w:r/>
      <w:bookmarkEnd w:id="78"/>
      <w:r/>
      <w:r/>
    </w:p>
    <w:p>
      <w:pPr>
        <w:ind w:firstLine="560"/>
        <w:keepLines/>
        <w:keepNext/>
        <w:spacing w:line="560" w:lineRule="exact"/>
        <w:rPr>
          <w:rFonts w:eastAsia="黑体" w:cs="Arial"/>
          <w:color w:val="auto"/>
          <w:sz w:val="28"/>
          <w:szCs w:val="28"/>
          <w:highlight w:val="none"/>
        </w:rPr>
        <w:outlineLvl w:val="3"/>
      </w:pPr>
      <w:r/>
      <w:bookmarkStart w:id="79" w:name="_Toc513029225"/>
      <w:r/>
      <w:bookmarkStart w:id="80" w:name="_Toc20823297"/>
      <w:r/>
      <w:bookmarkStart w:id="81" w:name="_Toc16938541"/>
      <w:r/>
      <w:bookmarkStart w:id="82" w:name="_Toc462564084"/>
      <w:r>
        <w:rPr>
          <w:rFonts w:hint="eastAsia" w:eastAsia="黑体" w:cs="Arial"/>
          <w:color w:val="auto"/>
          <w:sz w:val="28"/>
          <w:szCs w:val="28"/>
          <w:highlight w:val="none"/>
        </w:rPr>
        <w:t xml:space="preserve">18、投标文件</w:t>
      </w:r>
      <w:bookmarkEnd w:id="79"/>
      <w:r/>
      <w:bookmarkEnd w:id="80"/>
      <w:r/>
      <w:bookmarkEnd w:id="81"/>
      <w:r/>
      <w:bookmarkEnd w:id="82"/>
      <w:r>
        <w:rPr>
          <w:rFonts w:hint="eastAsia" w:eastAsia="黑体" w:cs="Arial"/>
          <w:color w:val="auto"/>
          <w:sz w:val="28"/>
          <w:szCs w:val="28"/>
          <w:highlight w:val="none"/>
        </w:rPr>
        <w:t xml:space="preserve">的递交</w:t>
      </w:r>
      <w:r/>
    </w:p>
    <w:p>
      <w:pPr>
        <w:ind w:firstLine="480"/>
        <w:spacing w:line="560" w:lineRule="exact"/>
        <w:rPr>
          <w:color w:val="auto"/>
          <w:sz w:val="24"/>
          <w:highlight w:val="none"/>
        </w:rPr>
      </w:pPr>
      <w:r>
        <w:rPr>
          <w:rFonts w:hint="eastAsia"/>
          <w:color w:val="auto"/>
          <w:sz w:val="24"/>
          <w:highlight w:val="none"/>
        </w:rPr>
        <w:t xml:space="preserve">18.1投标人应当按照《操作手册》规定，在投标截止时间前制作并上传电子投标文件。</w:t>
      </w:r>
      <w:bookmarkStart w:id="83" w:name="_Toc20823298"/>
      <w:r/>
      <w:bookmarkStart w:id="84" w:name="_Toc513029226"/>
      <w:r/>
      <w:bookmarkStart w:id="85" w:name="_Toc16938542"/>
      <w:r/>
      <w:r/>
    </w:p>
    <w:p>
      <w:pPr>
        <w:ind w:firstLine="480"/>
        <w:spacing w:line="560" w:lineRule="exact"/>
        <w:rPr>
          <w:color w:val="auto"/>
          <w:sz w:val="24"/>
          <w:highlight w:val="none"/>
        </w:rPr>
      </w:pPr>
      <w:r>
        <w:rPr>
          <w:rFonts w:hint="eastAsia"/>
          <w:color w:val="auto"/>
          <w:sz w:val="24"/>
          <w:highlight w:val="none"/>
        </w:rPr>
        <w:t xml:space="preserve">18.2投标人通过“苏采云”系统不见面开标大厅在线参与开标活动。（具体操作详见《“苏采云”系统投标人操作手册》，网址链接</w:t>
      </w:r>
      <w:r>
        <w:rPr>
          <w:rFonts w:hint="eastAsia"/>
          <w:color w:val="auto"/>
          <w:sz w:val="22"/>
          <w:szCs w:val="20"/>
          <w:highlight w:val="none"/>
        </w:rPr>
        <w:t xml:space="preserve">http://www.ccgp-jiangsu.gov.cn//webfile/jiangsu/202311/1699268553318052447.pdf）</w:t>
      </w:r>
      <w:r/>
    </w:p>
    <w:p>
      <w:pPr>
        <w:ind w:firstLine="420"/>
        <w:keepLines/>
        <w:keepNext/>
        <w:spacing w:line="560" w:lineRule="exact"/>
        <w:rPr>
          <w:rFonts w:eastAsia="黑体" w:cs="Arial"/>
          <w:bCs/>
          <w:color w:val="auto"/>
          <w:sz w:val="28"/>
          <w:szCs w:val="28"/>
          <w:highlight w:val="none"/>
        </w:rPr>
        <w:outlineLvl w:val="3"/>
      </w:pPr>
      <w:r>
        <w:rPr>
          <w:rFonts w:hint="eastAsia" w:eastAsia="黑体" w:cs="Arial"/>
          <w:bCs/>
          <w:color w:val="auto"/>
          <w:sz w:val="28"/>
          <w:szCs w:val="28"/>
          <w:highlight w:val="none"/>
        </w:rPr>
        <w:t xml:space="preserve">19、投标截止</w:t>
      </w:r>
      <w:bookmarkEnd w:id="83"/>
      <w:r/>
      <w:bookmarkEnd w:id="84"/>
      <w:r/>
      <w:bookmarkEnd w:id="85"/>
      <w:r>
        <w:rPr>
          <w:rFonts w:hint="eastAsia" w:eastAsia="黑体" w:cs="Arial"/>
          <w:bCs/>
          <w:color w:val="auto"/>
          <w:sz w:val="28"/>
          <w:szCs w:val="28"/>
          <w:highlight w:val="none"/>
        </w:rPr>
        <w:t xml:space="preserve">时间</w:t>
      </w:r>
      <w:r/>
    </w:p>
    <w:p>
      <w:pPr>
        <w:ind w:firstLine="480"/>
        <w:spacing w:line="560" w:lineRule="exact"/>
        <w:rPr>
          <w:iCs/>
          <w:color w:val="auto"/>
          <w:sz w:val="24"/>
          <w:highlight w:val="none"/>
        </w:rPr>
      </w:pPr>
      <w:r>
        <w:rPr>
          <w:rFonts w:hint="eastAsia"/>
          <w:iCs/>
          <w:color w:val="auto"/>
          <w:sz w:val="24"/>
          <w:highlight w:val="none"/>
        </w:rPr>
        <w:t xml:space="preserve">19.1 投标人上传电子投标文件的时间不得迟于招标公告中规定的投标截止时间。</w:t>
      </w:r>
      <w:r/>
    </w:p>
    <w:p>
      <w:pPr>
        <w:ind w:firstLine="480"/>
        <w:spacing w:line="560" w:lineRule="exact"/>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bCs/>
          <w:color w:val="auto"/>
          <w:sz w:val="24"/>
          <w:highlight w:val="none"/>
        </w:rPr>
      </w:pPr>
      <w:r>
        <w:rPr>
          <w:rFonts w:hint="eastAsia"/>
          <w:color w:val="auto"/>
          <w:sz w:val="24"/>
          <w:highlight w:val="none"/>
        </w:rPr>
        <w:t xml:space="preserve">19.2</w:t>
      </w:r>
      <w:r>
        <w:rPr>
          <w:rFonts w:hint="eastAsia"/>
          <w:bCs/>
          <w:color w:val="auto"/>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p>
    <w:p>
      <w:pPr>
        <w:ind w:firstLine="420"/>
        <w:keepLines/>
        <w:keepNext/>
        <w:spacing w:line="560" w:lineRule="exact"/>
        <w:rPr>
          <w:rFonts w:eastAsia="黑体" w:cs="Arial"/>
          <w:color w:val="auto"/>
          <w:sz w:val="28"/>
          <w:szCs w:val="28"/>
          <w:highlight w:val="none"/>
        </w:rPr>
        <w:outlineLvl w:val="3"/>
      </w:pPr>
      <w:r/>
      <w:bookmarkStart w:id="86" w:name="_Toc16938543"/>
      <w:r/>
      <w:bookmarkStart w:id="87" w:name="_Toc513029227"/>
      <w:r/>
      <w:bookmarkStart w:id="88" w:name="_Toc20823299"/>
      <w:r>
        <w:rPr>
          <w:rFonts w:hint="eastAsia" w:eastAsia="黑体" w:cs="Arial"/>
          <w:color w:val="auto"/>
          <w:sz w:val="28"/>
          <w:szCs w:val="28"/>
          <w:highlight w:val="none"/>
        </w:rPr>
        <w:t xml:space="preserve">20、投标文件</w:t>
      </w:r>
      <w:bookmarkEnd w:id="86"/>
      <w:r/>
      <w:bookmarkEnd w:id="87"/>
      <w:r/>
      <w:bookmarkEnd w:id="88"/>
      <w:r>
        <w:rPr>
          <w:rFonts w:hint="eastAsia" w:eastAsia="黑体" w:cs="Arial"/>
          <w:color w:val="auto"/>
          <w:sz w:val="28"/>
          <w:szCs w:val="28"/>
          <w:highlight w:val="none"/>
        </w:rPr>
        <w:t xml:space="preserve">的拒收</w:t>
      </w:r>
      <w:r/>
    </w:p>
    <w:p>
      <w:pPr>
        <w:ind w:firstLine="480"/>
        <w:spacing w:line="560" w:lineRule="exact"/>
        <w:rPr>
          <w:bCs/>
          <w:color w:val="auto"/>
          <w:sz w:val="24"/>
          <w:highlight w:val="none"/>
        </w:rPr>
      </w:pPr>
      <w:r>
        <w:rPr>
          <w:rFonts w:hint="eastAsia"/>
          <w:color w:val="auto"/>
          <w:sz w:val="24"/>
          <w:highlight w:val="none"/>
        </w:rPr>
        <w:t xml:space="preserve">20.1</w:t>
      </w:r>
      <w:r>
        <w:rPr>
          <w:rFonts w:hint="eastAsia"/>
          <w:bCs/>
          <w:color w:val="auto"/>
          <w:sz w:val="24"/>
          <w:highlight w:val="none"/>
        </w:rPr>
        <w:t xml:space="preserve">采购代理机构拒绝接收在其规定的投标截止时间后上传的任何投标文件。</w:t>
      </w:r>
      <w:r/>
    </w:p>
    <w:p>
      <w:pPr>
        <w:ind w:firstLine="420"/>
        <w:keepLines/>
        <w:keepNext/>
        <w:spacing w:line="560" w:lineRule="exact"/>
        <w:rPr>
          <w:rFonts w:eastAsia="黑体" w:cs="Arial"/>
          <w:color w:val="auto"/>
          <w:sz w:val="28"/>
          <w:szCs w:val="28"/>
          <w:highlight w:val="none"/>
        </w:rPr>
        <w:outlineLvl w:val="3"/>
      </w:pPr>
      <w:r/>
      <w:bookmarkStart w:id="89" w:name="_Toc16938544"/>
      <w:r/>
      <w:bookmarkStart w:id="90" w:name="_Toc513029228"/>
      <w:r/>
      <w:bookmarkStart w:id="91" w:name="_Toc20823300"/>
      <w:r/>
      <w:bookmarkStart w:id="92" w:name="_Toc513029229"/>
      <w:r/>
      <w:bookmarkStart w:id="93" w:name="_Toc16938545"/>
      <w:r/>
      <w:bookmarkStart w:id="94" w:name="_Toc20823301"/>
      <w:r/>
      <w:bookmarkStart w:id="95" w:name="_Toc120614218"/>
      <w:r>
        <w:rPr>
          <w:rFonts w:hint="eastAsia" w:eastAsia="黑体" w:cs="Arial"/>
          <w:color w:val="auto"/>
          <w:sz w:val="28"/>
          <w:szCs w:val="28"/>
          <w:highlight w:val="none"/>
        </w:rPr>
        <w:t xml:space="preserve">21、投标文件的撤回和修改</w:t>
      </w:r>
      <w:bookmarkEnd w:id="89"/>
      <w:r/>
      <w:bookmarkEnd w:id="90"/>
      <w:r/>
      <w:bookmarkEnd w:id="91"/>
      <w:r/>
      <w:r/>
    </w:p>
    <w:p>
      <w:pPr>
        <w:ind w:firstLine="480"/>
        <w:spacing w:line="560" w:lineRule="exact"/>
        <w:rPr>
          <w:color w:val="auto"/>
          <w:sz w:val="24"/>
          <w:highlight w:val="none"/>
        </w:rPr>
      </w:pPr>
      <w:r>
        <w:rPr>
          <w:rFonts w:hint="eastAsia"/>
          <w:color w:val="auto"/>
          <w:sz w:val="24"/>
          <w:highlight w:val="none"/>
        </w:rPr>
        <w:t xml:space="preserve">21.1 投标文件的撤回</w:t>
      </w:r>
      <w:r/>
    </w:p>
    <w:p>
      <w:pPr>
        <w:ind w:firstLine="480"/>
        <w:spacing w:line="560" w:lineRule="exact"/>
        <w:rPr>
          <w:color w:val="auto"/>
          <w:sz w:val="24"/>
          <w:highlight w:val="none"/>
        </w:rPr>
      </w:pPr>
      <w:r>
        <w:rPr>
          <w:rFonts w:hint="eastAsia"/>
          <w:color w:val="auto"/>
          <w:sz w:val="24"/>
          <w:highlight w:val="none"/>
        </w:rPr>
        <w:t xml:space="preserve">21.1.1 电子投标文件的撤回</w:t>
      </w:r>
      <w:r/>
    </w:p>
    <w:p>
      <w:pPr>
        <w:ind w:firstLine="480"/>
        <w:spacing w:line="560" w:lineRule="exact"/>
        <w:rPr>
          <w:color w:val="auto"/>
          <w:sz w:val="24"/>
          <w:highlight w:val="none"/>
        </w:rPr>
      </w:pPr>
      <w:r>
        <w:rPr>
          <w:rFonts w:hint="eastAsia"/>
          <w:color w:val="auto"/>
          <w:sz w:val="24"/>
          <w:highlight w:val="none"/>
        </w:rPr>
        <w:t xml:space="preserve">投标人可在投标截止时间前，撤回其电子投标文件，具体操作方法见《操作手册》。</w:t>
      </w:r>
      <w:r/>
    </w:p>
    <w:p>
      <w:pPr>
        <w:ind w:firstLine="480"/>
        <w:spacing w:line="560" w:lineRule="exact"/>
        <w:rPr>
          <w:color w:val="auto"/>
          <w:sz w:val="24"/>
          <w:szCs w:val="24"/>
          <w:highlight w:val="none"/>
        </w:rPr>
      </w:pPr>
      <w:r>
        <w:rPr>
          <w:rFonts w:hint="eastAsia"/>
          <w:color w:val="auto"/>
          <w:sz w:val="24"/>
          <w:szCs w:val="24"/>
          <w:highlight w:val="none"/>
        </w:rPr>
        <w:t xml:space="preserve">21.1.</w:t>
      </w:r>
      <w:r>
        <w:rPr>
          <w:color w:val="auto"/>
          <w:sz w:val="24"/>
          <w:szCs w:val="24"/>
          <w:highlight w:val="none"/>
        </w:rPr>
        <w:t xml:space="preserve">2</w:t>
      </w:r>
      <w:r>
        <w:rPr>
          <w:rFonts w:hint="eastAsia"/>
          <w:color w:val="auto"/>
          <w:sz w:val="24"/>
          <w:szCs w:val="24"/>
          <w:highlight w:val="none"/>
        </w:rPr>
        <w:t xml:space="preserve"> 投标人撤回电子投标文件，则认为其不再参与本项目投标活动。</w:t>
      </w:r>
      <w:r/>
    </w:p>
    <w:p>
      <w:pPr>
        <w:ind w:firstLine="480"/>
        <w:spacing w:line="560" w:lineRule="exact"/>
        <w:rPr>
          <w:color w:val="auto"/>
          <w:sz w:val="24"/>
          <w:szCs w:val="24"/>
          <w:highlight w:val="none"/>
        </w:rPr>
      </w:pPr>
      <w:r>
        <w:rPr>
          <w:rFonts w:hint="eastAsia"/>
          <w:color w:val="auto"/>
          <w:sz w:val="24"/>
          <w:szCs w:val="24"/>
          <w:highlight w:val="none"/>
        </w:rPr>
        <w:t xml:space="preserve">21.2 投标文件的修改</w:t>
      </w:r>
      <w:r/>
    </w:p>
    <w:p>
      <w:pPr>
        <w:ind w:firstLine="480"/>
        <w:spacing w:line="560" w:lineRule="exact"/>
        <w:rPr>
          <w:color w:val="auto"/>
          <w:sz w:val="24"/>
          <w:highlight w:val="none"/>
        </w:rPr>
      </w:pPr>
      <w:r>
        <w:rPr>
          <w:rFonts w:hint="eastAsia"/>
          <w:color w:val="auto"/>
          <w:sz w:val="24"/>
          <w:highlight w:val="none"/>
        </w:rPr>
        <w:t xml:space="preserve">21.2.1投标人可在投标截止时间前，对其电子投标文件进行修改，具体操作方法见《操作手册》。</w:t>
      </w:r>
      <w:r/>
    </w:p>
    <w:p>
      <w:pPr>
        <w:ind w:firstLine="480"/>
        <w:spacing w:line="560" w:lineRule="exact"/>
        <w:rPr>
          <w:bCs/>
          <w:color w:val="auto"/>
          <w:sz w:val="24"/>
          <w:highlight w:val="none"/>
        </w:rPr>
      </w:pPr>
      <w:r>
        <w:rPr>
          <w:rFonts w:hint="eastAsia"/>
          <w:color w:val="auto"/>
          <w:sz w:val="24"/>
          <w:highlight w:val="none"/>
        </w:rPr>
        <w:t xml:space="preserve">21.2.2</w:t>
      </w:r>
      <w:r>
        <w:rPr>
          <w:rFonts w:hint="eastAsia"/>
          <w:bCs/>
          <w:color w:val="auto"/>
          <w:sz w:val="24"/>
          <w:highlight w:val="none"/>
        </w:rPr>
        <w:t xml:space="preserve"> 在投标截止时间之后，投标人不得对其电子投标文件作任何修改。</w:t>
      </w:r>
      <w:r/>
    </w:p>
    <w:p>
      <w:pPr>
        <w:ind w:firstLine="480"/>
        <w:spacing w:line="560" w:lineRule="exact"/>
        <w:rPr>
          <w:bCs/>
          <w:color w:val="auto"/>
          <w:sz w:val="24"/>
          <w:highlight w:val="none"/>
        </w:rPr>
      </w:pPr>
      <w:r>
        <w:rPr>
          <w:rFonts w:hint="eastAsia"/>
          <w:color w:val="auto"/>
          <w:sz w:val="24"/>
          <w:highlight w:val="none"/>
        </w:rPr>
        <w:t xml:space="preserve">21.3</w:t>
      </w:r>
      <w:r>
        <w:rPr>
          <w:rFonts w:hint="eastAsia"/>
          <w:bCs/>
          <w:color w:val="auto"/>
          <w:sz w:val="24"/>
          <w:highlight w:val="none"/>
        </w:rPr>
        <w:t xml:space="preserve"> 在投标截止时间至招标文件中规定的投标有效期满之间的这段时间内，投标人不得撤回其投标。</w:t>
      </w:r>
      <w:r/>
    </w:p>
    <w:p>
      <w:pPr>
        <w:ind w:firstLine="482"/>
        <w:keepLines/>
        <w:keepNext/>
        <w:spacing w:line="560" w:lineRule="exact"/>
        <w:rPr>
          <w:b/>
          <w:bCs/>
          <w:color w:val="auto"/>
          <w:sz w:val="32"/>
          <w:szCs w:val="32"/>
          <w:highlight w:val="none"/>
        </w:rPr>
        <w:outlineLvl w:val="2"/>
      </w:pPr>
      <w:r/>
      <w:bookmarkStart w:id="96" w:name="_Toc431"/>
      <w:r>
        <w:rPr>
          <w:rFonts w:hint="eastAsia"/>
          <w:b/>
          <w:bCs/>
          <w:color w:val="auto"/>
          <w:sz w:val="32"/>
          <w:szCs w:val="32"/>
          <w:highlight w:val="none"/>
        </w:rPr>
        <w:t xml:space="preserve">五、开标与评标</w:t>
      </w:r>
      <w:bookmarkEnd w:id="92"/>
      <w:r/>
      <w:bookmarkEnd w:id="93"/>
      <w:r/>
      <w:bookmarkEnd w:id="94"/>
      <w:r/>
      <w:bookmarkEnd w:id="95"/>
      <w:r/>
      <w:bookmarkEnd w:id="96"/>
      <w:r/>
      <w:r/>
    </w:p>
    <w:p>
      <w:pPr>
        <w:ind w:firstLine="420"/>
        <w:keepLines/>
        <w:keepNext/>
        <w:spacing w:line="560" w:lineRule="exact"/>
        <w:rPr>
          <w:rFonts w:eastAsia="黑体" w:cs="Arial"/>
          <w:color w:val="auto"/>
          <w:sz w:val="28"/>
          <w:szCs w:val="28"/>
          <w:highlight w:val="none"/>
        </w:rPr>
        <w:outlineLvl w:val="3"/>
      </w:pPr>
      <w:r/>
      <w:bookmarkStart w:id="97" w:name="_Toc16938546"/>
      <w:r/>
      <w:bookmarkStart w:id="98" w:name="_Toc513029230"/>
      <w:r/>
      <w:bookmarkStart w:id="99" w:name="_Toc20823302"/>
      <w:r/>
      <w:bookmarkStart w:id="100" w:name="_Toc20823303"/>
      <w:r/>
      <w:bookmarkStart w:id="101" w:name="_Toc513029231"/>
      <w:r/>
      <w:bookmarkStart w:id="102" w:name="_Toc16938547"/>
      <w:r>
        <w:rPr>
          <w:rFonts w:hint="eastAsia" w:eastAsia="黑体" w:cs="Arial"/>
          <w:color w:val="auto"/>
          <w:sz w:val="28"/>
          <w:szCs w:val="28"/>
          <w:highlight w:val="none"/>
        </w:rPr>
        <w:t xml:space="preserve">22、开标</w:t>
      </w:r>
      <w:bookmarkEnd w:id="97"/>
      <w:r/>
      <w:bookmarkEnd w:id="98"/>
      <w:r/>
      <w:bookmarkEnd w:id="99"/>
      <w:r/>
      <w:r/>
    </w:p>
    <w:p>
      <w:pPr>
        <w:ind w:firstLine="420"/>
        <w:spacing w:line="560" w:lineRule="exact"/>
        <w:rPr>
          <w:color w:val="auto"/>
          <w:sz w:val="24"/>
          <w:highlight w:val="none"/>
        </w:rPr>
      </w:pPr>
      <w:r>
        <w:rPr>
          <w:rFonts w:hint="eastAsia"/>
          <w:color w:val="auto"/>
          <w:sz w:val="24"/>
          <w:highlight w:val="none"/>
          <w:lang w:val="zh-CN"/>
        </w:rPr>
        <w:t xml:space="preserve">2</w:t>
      </w:r>
      <w:r>
        <w:rPr>
          <w:rFonts w:hint="eastAsia"/>
          <w:color w:val="auto"/>
          <w:sz w:val="24"/>
          <w:highlight w:val="none"/>
        </w:rPr>
        <w:t xml:space="preserve">2</w:t>
      </w:r>
      <w:r>
        <w:rPr>
          <w:rFonts w:hint="eastAsia"/>
          <w:color w:val="auto"/>
          <w:sz w:val="24"/>
          <w:highlight w:val="none"/>
          <w:lang w:val="zh-CN"/>
        </w:rPr>
        <w:t xml:space="preserve">.1</w:t>
      </w:r>
      <w:r>
        <w:rPr>
          <w:rFonts w:hint="eastAsia"/>
          <w:bCs/>
          <w:color w:val="auto"/>
          <w:sz w:val="24"/>
          <w:highlight w:val="none"/>
          <w:lang w:val="zh-CN"/>
        </w:rPr>
        <w:t xml:space="preserve">采购代理机构将在招标公告中规定的时间和地点组织公开开标</w:t>
      </w:r>
      <w:r>
        <w:rPr>
          <w:rFonts w:hint="eastAsia"/>
          <w:color w:val="auto"/>
          <w:sz w:val="24"/>
          <w:highlight w:val="none"/>
        </w:rPr>
        <w:t xml:space="preserve">。投标人应当按照《“苏采云”系统供应商操作手册》规定，参加开标活动和在“苏采云”系统规定的时间内对投标文件进行解密。</w:t>
      </w:r>
      <w:r/>
    </w:p>
    <w:p>
      <w:pPr>
        <w:ind w:firstLine="420"/>
        <w:spacing w:line="560" w:lineRule="exact"/>
        <w:rPr>
          <w:color w:val="auto"/>
          <w:sz w:val="24"/>
          <w:szCs w:val="24"/>
          <w:highlight w:val="none"/>
          <w:lang w:val="zh-CN"/>
        </w:rPr>
      </w:pPr>
      <w:r>
        <w:rPr>
          <w:rFonts w:hint="eastAsia"/>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color w:val="auto"/>
          <w:highlight w:val="none"/>
        </w:rPr>
      </w:pPr>
      <w:r>
        <w:rPr>
          <w:rFonts w:hint="eastAsia"/>
          <w:bCs/>
          <w:color w:val="auto"/>
          <w:sz w:val="24"/>
          <w:highlight w:val="none"/>
        </w:rPr>
        <w:t xml:space="preserve">22.3投标人在开标过程中涉及到的投标文件解密、开标结果确认等工作，应按照《操作手册》规定执行。</w:t>
      </w:r>
      <w:r/>
    </w:p>
    <w:p>
      <w:pPr>
        <w:ind w:firstLine="480"/>
        <w:spacing w:line="560" w:lineRule="exact"/>
        <w:rPr>
          <w:color w:val="auto"/>
          <w:sz w:val="24"/>
          <w:szCs w:val="24"/>
          <w:highlight w:val="none"/>
        </w:rPr>
      </w:pPr>
      <w:r>
        <w:rPr>
          <w:rFonts w:hint="eastAsia"/>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eastAsia="黑体" w:cs="Arial"/>
          <w:color w:val="auto"/>
          <w:sz w:val="28"/>
          <w:szCs w:val="28"/>
          <w:highlight w:val="none"/>
        </w:rPr>
        <w:outlineLvl w:val="3"/>
      </w:pPr>
      <w:r>
        <w:rPr>
          <w:rFonts w:hint="eastAsia" w:eastAsia="黑体" w:cs="Arial"/>
          <w:color w:val="auto"/>
          <w:sz w:val="28"/>
          <w:szCs w:val="28"/>
          <w:highlight w:val="none"/>
        </w:rPr>
        <w:t xml:space="preserve">2</w:t>
      </w:r>
      <w:r>
        <w:rPr>
          <w:rFonts w:eastAsia="黑体" w:cs="Arial"/>
          <w:color w:val="auto"/>
          <w:sz w:val="28"/>
          <w:szCs w:val="28"/>
          <w:highlight w:val="none"/>
        </w:rPr>
        <w:t xml:space="preserve">3</w:t>
      </w:r>
      <w:r>
        <w:rPr>
          <w:rFonts w:hint="eastAsia" w:eastAsia="黑体" w:cs="Arial"/>
          <w:color w:val="auto"/>
          <w:sz w:val="28"/>
          <w:szCs w:val="28"/>
          <w:highlight w:val="none"/>
        </w:rPr>
        <w:t xml:space="preserve">、评标委员会</w:t>
      </w:r>
      <w:r/>
    </w:p>
    <w:p>
      <w:pPr>
        <w:ind w:firstLine="240"/>
        <w:keepLines/>
        <w:keepNext/>
        <w:spacing w:line="560" w:lineRule="exact"/>
        <w:rPr>
          <w:b/>
          <w:color w:val="auto"/>
          <w:sz w:val="24"/>
          <w:szCs w:val="24"/>
          <w:highlight w:val="none"/>
        </w:rPr>
        <w:outlineLvl w:val="3"/>
      </w:pPr>
      <w:r>
        <w:rPr>
          <w:rFonts w:hint="eastAsia"/>
          <w:color w:val="auto"/>
          <w:sz w:val="24"/>
          <w:szCs w:val="24"/>
          <w:highlight w:val="none"/>
        </w:rPr>
        <w:t xml:space="preserve"> 23.1</w:t>
      </w:r>
      <w:r>
        <w:rPr>
          <w:rFonts w:hint="eastAsia"/>
          <w:b/>
          <w:color w:val="auto"/>
          <w:sz w:val="24"/>
          <w:szCs w:val="24"/>
          <w:highlight w:val="none"/>
        </w:rPr>
        <w:t xml:space="preserve"> </w:t>
      </w:r>
      <w:r>
        <w:rPr>
          <w:rFonts w:hint="eastAsia"/>
          <w:color w:val="auto"/>
          <w:sz w:val="24"/>
          <w:szCs w:val="24"/>
          <w:highlight w:val="none"/>
        </w:rPr>
        <w:t xml:space="preserve">开标后，采购代理机构将立即组织评标委员会（以下简称评委会）进行评标。</w:t>
      </w:r>
      <w:r/>
    </w:p>
    <w:p>
      <w:pPr>
        <w:spacing w:line="560" w:lineRule="exact"/>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23.2 评委会由采购人代表和有关技术、经济等方面的专家组成，且人员构成符合政府采购有关规定。</w:t>
      </w:r>
      <w:r/>
    </w:p>
    <w:p>
      <w:pPr>
        <w:spacing w:line="560" w:lineRule="exact"/>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 xml:space="preserve"> 23.3评委会独立工作，负责评审所有投标文件并确定中标侯选人。</w:t>
      </w:r>
      <w:r/>
    </w:p>
    <w:p>
      <w:pPr>
        <w:ind w:firstLine="420"/>
        <w:keepLines/>
        <w:keepNext/>
        <w:spacing w:line="560" w:lineRule="exact"/>
        <w:rPr>
          <w:rFonts w:eastAsia="黑体" w:cs="Arial"/>
          <w:color w:val="auto"/>
          <w:sz w:val="28"/>
          <w:szCs w:val="28"/>
          <w:highlight w:val="none"/>
        </w:rPr>
        <w:outlineLvl w:val="3"/>
      </w:pPr>
      <w:r>
        <w:rPr>
          <w:rFonts w:hint="eastAsia" w:eastAsia="黑体" w:cs="Arial"/>
          <w:color w:val="auto"/>
          <w:sz w:val="28"/>
          <w:szCs w:val="28"/>
          <w:highlight w:val="none"/>
        </w:rPr>
        <w:t xml:space="preserve">24、评标过程的保密与公正</w:t>
      </w:r>
      <w:bookmarkEnd w:id="100"/>
      <w:r/>
      <w:bookmarkEnd w:id="101"/>
      <w:r/>
      <w:bookmarkEnd w:id="102"/>
      <w:r/>
      <w:r/>
    </w:p>
    <w:p>
      <w:pPr>
        <w:ind w:firstLine="480"/>
        <w:spacing w:line="560" w:lineRule="exact"/>
        <w:rPr>
          <w:bCs/>
          <w:color w:val="auto"/>
          <w:sz w:val="24"/>
          <w:highlight w:val="none"/>
        </w:rPr>
      </w:pPr>
      <w:r>
        <w:rPr>
          <w:rFonts w:hint="eastAsia"/>
          <w:color w:val="auto"/>
          <w:sz w:val="24"/>
          <w:highlight w:val="none"/>
        </w:rPr>
        <w:t xml:space="preserve">24.1</w:t>
      </w:r>
      <w:r>
        <w:rPr>
          <w:rFonts w:hint="eastAsia"/>
          <w:bCs/>
          <w:color w:val="auto"/>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560" w:lineRule="exact"/>
        <w:rPr>
          <w:color w:val="auto"/>
          <w:sz w:val="24"/>
          <w:szCs w:val="24"/>
          <w:highlight w:val="none"/>
        </w:rPr>
      </w:pPr>
      <w:r>
        <w:rPr>
          <w:rFonts w:hint="eastAsia"/>
          <w:color w:val="auto"/>
          <w:sz w:val="24"/>
          <w:highlight w:val="none"/>
        </w:rPr>
        <w:t xml:space="preserve">24.2</w:t>
      </w:r>
      <w:r>
        <w:rPr>
          <w:rFonts w:hint="eastAsia"/>
          <w:color w:val="auto"/>
          <w:sz w:val="24"/>
          <w:szCs w:val="24"/>
          <w:highlight w:val="none"/>
        </w:rPr>
        <w:t xml:space="preserve">在评标过程中，投标人不得以任何行为影响评标过程，否则其投标文件将被作为无效投标文件。</w:t>
      </w:r>
      <w:r/>
    </w:p>
    <w:p>
      <w:pPr>
        <w:ind w:firstLine="480"/>
        <w:spacing w:line="560" w:lineRule="exact"/>
        <w:rPr>
          <w:color w:val="auto"/>
          <w:sz w:val="24"/>
          <w:szCs w:val="24"/>
          <w:highlight w:val="none"/>
        </w:rPr>
      </w:pPr>
      <w:r>
        <w:rPr>
          <w:rFonts w:hint="eastAsia"/>
          <w:color w:val="auto"/>
          <w:sz w:val="24"/>
          <w:szCs w:val="24"/>
          <w:highlight w:val="none"/>
        </w:rPr>
        <w:t xml:space="preserve">24.</w:t>
      </w:r>
      <w:r>
        <w:rPr>
          <w:color w:val="auto"/>
          <w:sz w:val="24"/>
          <w:szCs w:val="24"/>
          <w:highlight w:val="none"/>
        </w:rPr>
        <w:t xml:space="preserve">3</w:t>
      </w:r>
      <w:r>
        <w:rPr>
          <w:rFonts w:hint="eastAsia"/>
          <w:color w:val="auto"/>
          <w:sz w:val="24"/>
          <w:szCs w:val="24"/>
          <w:highlight w:val="none"/>
        </w:rPr>
        <w:t xml:space="preserve"> 采购代理机构和评委会不向未中标的投标人解释未中标原因，也不公布评标过程中的相关细节。</w:t>
      </w:r>
      <w:r/>
    </w:p>
    <w:p>
      <w:pPr>
        <w:ind w:firstLine="480"/>
        <w:spacing w:line="560" w:lineRule="exact"/>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20"/>
        <w:keepLines/>
        <w:keepNext/>
        <w:spacing w:line="560" w:lineRule="exact"/>
        <w:rPr>
          <w:rFonts w:eastAsia="黑体" w:cs="Arial"/>
          <w:color w:val="auto"/>
          <w:sz w:val="28"/>
          <w:szCs w:val="28"/>
          <w:highlight w:val="none"/>
        </w:rPr>
        <w:outlineLvl w:val="3"/>
      </w:pPr>
      <w:r/>
      <w:bookmarkStart w:id="103" w:name="_Toc16938548"/>
      <w:r/>
      <w:bookmarkStart w:id="104" w:name="_Toc20823304"/>
      <w:r/>
      <w:bookmarkStart w:id="105" w:name="_Toc513029232"/>
      <w:r>
        <w:rPr>
          <w:rFonts w:hint="eastAsia" w:eastAsia="黑体" w:cs="Arial"/>
          <w:color w:val="auto"/>
          <w:sz w:val="28"/>
          <w:szCs w:val="28"/>
          <w:highlight w:val="none"/>
        </w:rPr>
        <w:t xml:space="preserve">25、投标文件的澄清</w:t>
      </w:r>
      <w:bookmarkEnd w:id="103"/>
      <w:r/>
      <w:bookmarkEnd w:id="104"/>
      <w:r/>
      <w:bookmarkEnd w:id="105"/>
      <w:r/>
      <w:r/>
    </w:p>
    <w:p>
      <w:pPr>
        <w:ind w:firstLine="480"/>
        <w:spacing w:line="560" w:lineRule="exact"/>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5.</w:t>
      </w:r>
      <w:r>
        <w:rPr>
          <w:color w:val="auto"/>
          <w:sz w:val="24"/>
          <w:szCs w:val="24"/>
          <w:highlight w:val="none"/>
        </w:rPr>
        <w:t xml:space="preserve">1</w:t>
      </w:r>
      <w:r>
        <w:rPr>
          <w:rFonts w:hint="eastAsia"/>
          <w:color w:val="auto"/>
          <w:sz w:val="24"/>
          <w:szCs w:val="24"/>
          <w:highlight w:val="none"/>
        </w:rPr>
        <w:t xml:space="preserve">评标期间，评委会对投标文件中含义不明确、同类问题表述不一致或者有明显文字和计算错误的内容</w:t>
      </w:r>
      <w:r>
        <w:rPr>
          <w:color w:val="auto"/>
          <w:sz w:val="24"/>
          <w:szCs w:val="24"/>
          <w:highlight w:val="none"/>
        </w:rPr>
        <w:t xml:space="preserve"> </w:t>
      </w:r>
      <w:r>
        <w:rPr>
          <w:rFonts w:hint="eastAsia"/>
          <w:color w:val="auto"/>
          <w:sz w:val="24"/>
          <w:szCs w:val="24"/>
          <w:highlight w:val="none"/>
        </w:rPr>
        <w:t xml:space="preserve">，有权要求投标人作出必要的澄清、说明或者补正。</w:t>
      </w:r>
      <w:r/>
    </w:p>
    <w:p>
      <w:pPr>
        <w:ind w:firstLine="480"/>
        <w:spacing w:line="560" w:lineRule="exact"/>
        <w:rPr>
          <w:color w:val="auto"/>
          <w:sz w:val="24"/>
          <w:szCs w:val="24"/>
          <w:highlight w:val="none"/>
        </w:rPr>
      </w:pPr>
      <w:r>
        <w:rPr>
          <w:rFonts w:hint="eastAsia"/>
          <w:color w:val="auto"/>
          <w:sz w:val="24"/>
          <w:szCs w:val="24"/>
          <w:highlight w:val="none"/>
        </w:rPr>
        <w:t xml:space="preserve">投标人的澄清、说明或者补正不得超出投标文件的范围或者改变投标文件的实质性内容。</w:t>
      </w:r>
      <w:r/>
    </w:p>
    <w:p>
      <w:pPr>
        <w:ind w:firstLine="480"/>
        <w:spacing w:line="560" w:lineRule="exact"/>
        <w:rPr>
          <w:color w:val="auto"/>
          <w:sz w:val="24"/>
          <w:szCs w:val="24"/>
          <w:highlight w:val="none"/>
        </w:rPr>
      </w:pPr>
      <w:r>
        <w:rPr>
          <w:rFonts w:hint="eastAsia"/>
          <w:color w:val="auto"/>
          <w:sz w:val="24"/>
          <w:szCs w:val="24"/>
          <w:highlight w:val="none"/>
        </w:rPr>
        <w:t xml:space="preserve">评委会</w:t>
      </w:r>
      <w:r>
        <w:rPr>
          <w:color w:val="auto"/>
          <w:sz w:val="24"/>
          <w:szCs w:val="24"/>
          <w:highlight w:val="none"/>
        </w:rPr>
        <w:t xml:space="preserve">并非对每个投标人都做澄清要求</w:t>
      </w:r>
      <w:r>
        <w:rPr>
          <w:rFonts w:hint="eastAsia"/>
          <w:color w:val="auto"/>
          <w:sz w:val="24"/>
          <w:szCs w:val="24"/>
          <w:highlight w:val="none"/>
        </w:rPr>
        <w:t xml:space="preserve">。</w:t>
      </w:r>
      <w:r/>
    </w:p>
    <w:p>
      <w:pPr>
        <w:ind w:firstLine="422"/>
        <w:spacing w:line="560" w:lineRule="exact"/>
        <w:rPr>
          <w:color w:val="auto"/>
          <w:sz w:val="24"/>
          <w:szCs w:val="24"/>
          <w:highlight w:val="none"/>
          <w:lang w:val="zh-CN"/>
        </w:rPr>
      </w:pPr>
      <w:r>
        <w:rPr>
          <w:rFonts w:hint="eastAsia"/>
          <w:color w:val="auto"/>
          <w:sz w:val="24"/>
          <w:szCs w:val="24"/>
          <w:highlight w:val="none"/>
          <w:lang w:val="zh-CN"/>
        </w:rPr>
        <w:t xml:space="preserve">2</w:t>
      </w:r>
      <w:r>
        <w:rPr>
          <w:rFonts w:hint="eastAsia"/>
          <w:color w:val="auto"/>
          <w:sz w:val="24"/>
          <w:szCs w:val="24"/>
          <w:highlight w:val="none"/>
        </w:rPr>
        <w:t xml:space="preserve">5</w:t>
      </w:r>
      <w:r>
        <w:rPr>
          <w:rFonts w:hint="eastAsia"/>
          <w:color w:val="auto"/>
          <w:sz w:val="24"/>
          <w:szCs w:val="24"/>
          <w:highlight w:val="none"/>
          <w:lang w:val="zh-CN"/>
        </w:rPr>
        <w:t xml:space="preserve">.2需要投标人进行澄清、说明和补正的，</w:t>
      </w:r>
      <w:r>
        <w:rPr>
          <w:rFonts w:hint="eastAsia"/>
          <w:color w:val="auto"/>
          <w:sz w:val="24"/>
          <w:highlight w:val="none"/>
        </w:rPr>
        <w:t xml:space="preserve">本项目投标人的澄清、说明或者补正采用线上澄清，</w:t>
      </w:r>
      <w:r>
        <w:rPr>
          <w:rFonts w:hint="eastAsia"/>
          <w:color w:val="auto"/>
          <w:sz w:val="24"/>
          <w:szCs w:val="24"/>
          <w:highlight w:val="none"/>
          <w:lang w:val="zh-CN"/>
        </w:rPr>
        <w:t xml:space="preserve">评委会将通过</w:t>
      </w:r>
      <w:r>
        <w:rPr>
          <w:rFonts w:hint="eastAsia"/>
          <w:color w:val="auto"/>
          <w:sz w:val="24"/>
          <w:highlight w:val="none"/>
        </w:rPr>
        <w:t xml:space="preserve">“苏采云”系统</w:t>
      </w:r>
      <w:r>
        <w:rPr>
          <w:rFonts w:hint="eastAsia"/>
          <w:color w:val="auto"/>
          <w:sz w:val="24"/>
          <w:szCs w:val="24"/>
          <w:highlight w:val="none"/>
          <w:lang w:val="zh-CN"/>
        </w:rPr>
        <w:t xml:space="preserve">向投标人发出“澄清要求函”，接到“澄清要求函”的投标人应当按照要求</w:t>
      </w:r>
      <w:r>
        <w:rPr>
          <w:rFonts w:hint="eastAsia"/>
          <w:color w:val="auto"/>
          <w:sz w:val="24"/>
          <w:highlight w:val="none"/>
        </w:rPr>
        <w:t xml:space="preserve">在规定时间内</w:t>
      </w:r>
      <w:r>
        <w:rPr>
          <w:rFonts w:hint="eastAsia"/>
          <w:color w:val="auto"/>
          <w:sz w:val="24"/>
          <w:szCs w:val="24"/>
          <w:highlight w:val="none"/>
        </w:rPr>
        <w:t xml:space="preserve">通过</w:t>
      </w:r>
      <w:r>
        <w:rPr>
          <w:rFonts w:hint="eastAsia"/>
          <w:color w:val="auto"/>
          <w:sz w:val="24"/>
          <w:highlight w:val="none"/>
        </w:rPr>
        <w:t xml:space="preserve">“苏采云”系统</w:t>
      </w:r>
      <w:r>
        <w:rPr>
          <w:rFonts w:hint="eastAsia"/>
          <w:color w:val="auto"/>
          <w:sz w:val="24"/>
          <w:szCs w:val="24"/>
          <w:highlight w:val="none"/>
          <w:lang w:val="zh-CN"/>
        </w:rPr>
        <w:t xml:space="preserve">中提交“澄清响应函”并加盖CA电子公章。澄清、说明和补正的内容作为投标文件的补充部分，具体操作方式见《操作手册》。</w:t>
      </w:r>
      <w:r/>
    </w:p>
    <w:p>
      <w:pPr>
        <w:spacing w:line="560" w:lineRule="exact"/>
        <w:rPr>
          <w:color w:val="auto"/>
          <w:sz w:val="24"/>
          <w:szCs w:val="24"/>
          <w:highlight w:val="none"/>
        </w:rPr>
      </w:pPr>
      <w:r>
        <w:rPr>
          <w:rFonts w:hint="eastAsia"/>
          <w:color w:val="auto"/>
          <w:sz w:val="24"/>
          <w:szCs w:val="24"/>
          <w:highlight w:val="none"/>
        </w:rPr>
        <w:t xml:space="preserve">    25.3 接到评委会澄清、说明和补正要求的投标人如未按规定做出澄清、说明和补正，其风险由投标人自行承担。</w:t>
      </w:r>
      <w:r/>
    </w:p>
    <w:p>
      <w:pPr>
        <w:ind w:firstLine="420"/>
        <w:keepLines/>
        <w:keepNext/>
        <w:spacing w:line="560" w:lineRule="exact"/>
        <w:rPr>
          <w:rFonts w:eastAsia="黑体" w:cs="Arial"/>
          <w:color w:val="auto"/>
          <w:sz w:val="28"/>
          <w:szCs w:val="28"/>
          <w:highlight w:val="none"/>
        </w:rPr>
        <w:outlineLvl w:val="3"/>
      </w:pPr>
      <w:r/>
      <w:bookmarkStart w:id="106" w:name="_Toc513029233"/>
      <w:r/>
      <w:bookmarkStart w:id="107" w:name="_Toc20823305"/>
      <w:r/>
      <w:bookmarkStart w:id="108" w:name="_Toc16938549"/>
      <w:r>
        <w:rPr>
          <w:rFonts w:hint="eastAsia" w:eastAsia="黑体" w:cs="Arial"/>
          <w:color w:val="auto"/>
          <w:sz w:val="28"/>
          <w:szCs w:val="28"/>
          <w:highlight w:val="none"/>
        </w:rPr>
        <w:t xml:space="preserve">26、对投标文件的初审</w:t>
      </w:r>
      <w:bookmarkEnd w:id="106"/>
      <w:r/>
      <w:bookmarkEnd w:id="107"/>
      <w:r/>
      <w:bookmarkEnd w:id="108"/>
      <w:r/>
      <w:r/>
    </w:p>
    <w:p>
      <w:pPr>
        <w:ind w:firstLine="480"/>
        <w:spacing w:line="560" w:lineRule="exact"/>
        <w:rPr>
          <w:bCs/>
          <w:color w:val="auto"/>
          <w:sz w:val="24"/>
          <w:highlight w:val="none"/>
        </w:rPr>
      </w:pPr>
      <w:r>
        <w:rPr>
          <w:rFonts w:hint="eastAsia"/>
          <w:color w:val="auto"/>
          <w:sz w:val="24"/>
          <w:highlight w:val="none"/>
        </w:rPr>
        <w:t xml:space="preserve">26.1</w:t>
      </w:r>
      <w:r>
        <w:rPr>
          <w:rFonts w:hint="eastAsia"/>
          <w:bCs/>
          <w:color w:val="auto"/>
          <w:sz w:val="24"/>
          <w:highlight w:val="none"/>
        </w:rPr>
        <w:t xml:space="preserve">投标文件初审分为资格审查和符合性审查。</w:t>
      </w:r>
      <w:r/>
    </w:p>
    <w:p>
      <w:pPr>
        <w:ind w:firstLine="480"/>
        <w:spacing w:line="560" w:lineRule="exact"/>
        <w:rPr>
          <w:color w:val="auto"/>
          <w:sz w:val="24"/>
          <w:highlight w:val="none"/>
        </w:rPr>
      </w:pPr>
      <w:r>
        <w:rPr>
          <w:rFonts w:hint="eastAsia"/>
          <w:bCs/>
          <w:color w:val="auto"/>
          <w:sz w:val="24"/>
          <w:highlight w:val="none"/>
        </w:rPr>
        <w:t xml:space="preserve">26.1.1 资格审查：依据法律法规和招标文件的规定，</w:t>
      </w:r>
      <w:r>
        <w:rPr>
          <w:rFonts w:hint="eastAsia"/>
          <w:color w:val="auto"/>
          <w:sz w:val="24"/>
          <w:highlight w:val="none"/>
        </w:rPr>
        <w:t xml:space="preserve">由采购人对投标文件中的资格证明文件进行审查，以确定投标人是否具备投标资格。</w:t>
      </w:r>
      <w:r/>
    </w:p>
    <w:p>
      <w:pPr>
        <w:ind w:firstLine="480"/>
        <w:spacing w:line="560" w:lineRule="exact"/>
        <w:rPr>
          <w:bCs/>
          <w:color w:val="auto"/>
          <w:sz w:val="24"/>
          <w:highlight w:val="none"/>
        </w:rPr>
      </w:pPr>
      <w:r>
        <w:rPr>
          <w:rFonts w:hint="eastAsia"/>
          <w:bCs/>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bCs/>
          <w:color w:val="auto"/>
          <w:sz w:val="24"/>
          <w:highlight w:val="none"/>
        </w:rPr>
      </w:pPr>
      <w:r>
        <w:rPr>
          <w:rFonts w:hint="eastAsia"/>
          <w:bCs/>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bCs/>
          <w:color w:val="auto"/>
          <w:sz w:val="24"/>
          <w:highlight w:val="none"/>
        </w:rPr>
      </w:pPr>
      <w:r>
        <w:rPr>
          <w:rFonts w:hint="eastAsia"/>
          <w:bCs/>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auto"/>
          <w:sz w:val="24"/>
          <w:highlight w:val="none"/>
        </w:rPr>
      </w:pPr>
      <w:r>
        <w:rPr>
          <w:rFonts w:hint="eastAsia"/>
          <w:color w:val="auto"/>
          <w:sz w:val="24"/>
          <w:highlight w:val="none"/>
        </w:rPr>
        <w:t xml:space="preserve">26.1.3对各投标人符合性审查过程中，对初步被认定为无效投标者，由评委会组长或采购人代表将集体意见通过</w:t>
      </w:r>
      <w:r>
        <w:rPr>
          <w:rFonts w:hint="eastAsia"/>
          <w:color w:val="auto"/>
          <w:sz w:val="24"/>
          <w:highlight w:val="none"/>
          <w:lang w:val="zh-CN"/>
        </w:rPr>
        <w:t xml:space="preserve">“苏采云”系统中告知未通过符合性审查的原因，评标结束后，将不再告知未通过符合性审查的原因</w:t>
      </w:r>
      <w:r>
        <w:rPr>
          <w:rFonts w:hint="eastAsia"/>
          <w:color w:val="auto"/>
          <w:sz w:val="24"/>
          <w:highlight w:val="none"/>
        </w:rPr>
        <w:t xml:space="preserve">。</w:t>
      </w:r>
      <w:r/>
    </w:p>
    <w:p>
      <w:pPr>
        <w:ind w:firstLine="480"/>
        <w:spacing w:line="560" w:lineRule="exact"/>
        <w:rPr>
          <w:color w:val="auto"/>
          <w:sz w:val="24"/>
          <w:highlight w:val="none"/>
        </w:rPr>
      </w:pPr>
      <w:r>
        <w:rPr>
          <w:rFonts w:hint="eastAsia"/>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color w:val="auto"/>
          <w:sz w:val="24"/>
          <w:highlight w:val="none"/>
        </w:rPr>
      </w:pPr>
      <w:r>
        <w:rPr>
          <w:rFonts w:hint="eastAsia"/>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auto"/>
          <w:sz w:val="24"/>
          <w:highlight w:val="none"/>
        </w:rPr>
      </w:pPr>
      <w:r>
        <w:rPr>
          <w:rFonts w:hint="eastAsia"/>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bCs/>
          <w:color w:val="auto"/>
          <w:sz w:val="24"/>
          <w:highlight w:val="none"/>
        </w:rPr>
      </w:pPr>
      <w:r>
        <w:rPr>
          <w:rFonts w:hint="eastAsia"/>
          <w:color w:val="auto"/>
          <w:sz w:val="24"/>
          <w:highlight w:val="none"/>
        </w:rPr>
        <w:t xml:space="preserve">26.</w:t>
      </w:r>
      <w:r>
        <w:rPr>
          <w:color w:val="auto"/>
          <w:sz w:val="24"/>
          <w:highlight w:val="none"/>
        </w:rPr>
        <w:t xml:space="preserve">4</w:t>
      </w:r>
      <w:r>
        <w:rPr>
          <w:rFonts w:hint="eastAsia"/>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bCs/>
          <w:color w:val="auto"/>
          <w:sz w:val="24"/>
          <w:highlight w:val="none"/>
        </w:rPr>
      </w:pPr>
      <w:r>
        <w:rPr>
          <w:rFonts w:hint="eastAsia"/>
          <w:bCs/>
          <w:color w:val="auto"/>
          <w:sz w:val="24"/>
          <w:highlight w:val="none"/>
        </w:rPr>
        <w:t xml:space="preserve">（1）投标文件中开标一览表内容与投标文件中相应内容不一致的，以开标一览表为准。</w:t>
      </w:r>
      <w:r/>
    </w:p>
    <w:p>
      <w:pPr>
        <w:ind w:firstLine="480"/>
        <w:spacing w:line="560" w:lineRule="exact"/>
        <w:rPr>
          <w:bCs/>
          <w:color w:val="auto"/>
          <w:sz w:val="24"/>
          <w:highlight w:val="none"/>
        </w:rPr>
      </w:pPr>
      <w:r>
        <w:rPr>
          <w:rFonts w:hint="eastAsia"/>
          <w:bCs/>
          <w:color w:val="auto"/>
          <w:sz w:val="24"/>
          <w:highlight w:val="none"/>
        </w:rPr>
        <w:t xml:space="preserve">（2）大写金额和小写金额不一致的，以大写金额为准。</w:t>
      </w:r>
      <w:r/>
    </w:p>
    <w:p>
      <w:pPr>
        <w:ind w:firstLine="480"/>
        <w:spacing w:line="560" w:lineRule="exact"/>
        <w:rPr>
          <w:bCs/>
          <w:color w:val="auto"/>
          <w:sz w:val="24"/>
          <w:highlight w:val="none"/>
        </w:rPr>
      </w:pPr>
      <w:r>
        <w:rPr>
          <w:rFonts w:hint="eastAsia"/>
          <w:bCs/>
          <w:color w:val="auto"/>
          <w:sz w:val="24"/>
          <w:highlight w:val="none"/>
        </w:rPr>
        <w:t xml:space="preserve">（3）单价金额小数点或者百分比有明显错位的，以开标一览表的总价为准，并修改单价。</w:t>
      </w:r>
      <w:r/>
    </w:p>
    <w:p>
      <w:pPr>
        <w:ind w:firstLine="480"/>
        <w:spacing w:line="560" w:lineRule="exact"/>
        <w:rPr>
          <w:bCs/>
          <w:color w:val="auto"/>
          <w:sz w:val="24"/>
          <w:highlight w:val="none"/>
        </w:rPr>
      </w:pPr>
      <w:r>
        <w:rPr>
          <w:rFonts w:hint="eastAsia"/>
          <w:bCs/>
          <w:color w:val="auto"/>
          <w:sz w:val="24"/>
          <w:highlight w:val="none"/>
        </w:rPr>
        <w:t xml:space="preserve">（4）总价金额与按单价汇总金额不一致的，以单价金额计算结果为准。</w:t>
      </w:r>
      <w:r/>
    </w:p>
    <w:p>
      <w:pPr>
        <w:ind w:firstLine="480"/>
        <w:spacing w:line="560" w:lineRule="exact"/>
        <w:rPr>
          <w:bCs/>
          <w:color w:val="auto"/>
          <w:sz w:val="24"/>
          <w:highlight w:val="none"/>
        </w:rPr>
      </w:pPr>
      <w:r>
        <w:rPr>
          <w:rFonts w:hint="eastAsia"/>
          <w:bCs/>
          <w:color w:val="auto"/>
          <w:sz w:val="24"/>
          <w:highlight w:val="none"/>
        </w:rPr>
        <w:t xml:space="preserve">同时出现两种以上错误的，按照前款规定的顺序修正。</w:t>
      </w:r>
      <w:r/>
    </w:p>
    <w:p>
      <w:pPr>
        <w:ind w:firstLine="480"/>
        <w:spacing w:line="560" w:lineRule="exact"/>
        <w:rPr>
          <w:rFonts w:hint="eastAsia"/>
          <w:bCs/>
          <w:color w:val="auto"/>
          <w:sz w:val="24"/>
          <w:highlight w:val="none"/>
        </w:rPr>
      </w:pPr>
      <w:r>
        <w:rPr>
          <w:rFonts w:hint="eastAsia"/>
          <w:color w:val="auto"/>
          <w:sz w:val="24"/>
          <w:highlight w:val="none"/>
        </w:rPr>
        <w:t xml:space="preserve">26.</w:t>
      </w:r>
      <w:r>
        <w:rPr>
          <w:color w:val="auto"/>
          <w:sz w:val="24"/>
          <w:highlight w:val="none"/>
        </w:rPr>
        <w:t xml:space="preserve">5</w:t>
      </w:r>
      <w:r>
        <w:rPr>
          <w:rFonts w:hint="eastAsia"/>
          <w:color w:val="auto"/>
          <w:sz w:val="24"/>
          <w:highlight w:val="none"/>
        </w:rPr>
        <w:t xml:space="preserve"> </w:t>
      </w:r>
      <w:r>
        <w:rPr>
          <w:rFonts w:hint="eastAsia"/>
          <w:bCs/>
          <w:color w:val="auto"/>
          <w:sz w:val="24"/>
          <w:highlight w:val="none"/>
        </w:rPr>
        <w:t xml:space="preserve">评委会将按上述修正错误的方法调整投标文件中的投标报价，并</w:t>
      </w:r>
      <w:r>
        <w:rPr>
          <w:bCs/>
          <w:color w:val="auto"/>
          <w:sz w:val="24"/>
          <w:highlight w:val="none"/>
        </w:rPr>
        <w:t xml:space="preserve">通过</w:t>
      </w:r>
      <w:r>
        <w:rPr>
          <w:rFonts w:hint="eastAsia"/>
          <w:color w:val="auto"/>
          <w:sz w:val="24"/>
          <w:szCs w:val="24"/>
          <w:highlight w:val="none"/>
        </w:rPr>
        <w:t xml:space="preserve">“苏采云”系统</w:t>
      </w:r>
      <w:r>
        <w:rPr>
          <w:rFonts w:hint="eastAsia"/>
          <w:bCs/>
          <w:color w:val="auto"/>
          <w:sz w:val="24"/>
          <w:highlight w:val="none"/>
        </w:rPr>
        <w:t xml:space="preserve">告知</w:t>
      </w:r>
      <w:r>
        <w:rPr>
          <w:bCs/>
          <w:color w:val="auto"/>
          <w:sz w:val="24"/>
          <w:highlight w:val="none"/>
        </w:rPr>
        <w:t xml:space="preserve">投标人，</w:t>
      </w:r>
      <w:r>
        <w:rPr>
          <w:rFonts w:hint="eastAsia"/>
          <w:bCs/>
          <w:color w:val="auto"/>
          <w:sz w:val="24"/>
          <w:highlight w:val="none"/>
        </w:rPr>
        <w:t xml:space="preserve">调整后的价格应对投标人具有约束力。如果投标人不接受修正后的价格，则其投标将被拒绝。</w:t>
      </w:r>
      <w:r/>
    </w:p>
    <w:p>
      <w:pPr>
        <w:ind w:firstLine="480"/>
        <w:spacing w:line="560" w:lineRule="exact"/>
        <w:rPr>
          <w:rFonts w:hint="eastAsia"/>
          <w:bCs/>
          <w:color w:val="auto"/>
          <w:sz w:val="24"/>
          <w:highlight w:val="none"/>
        </w:rPr>
      </w:pPr>
      <w:r>
        <w:rPr>
          <w:rFonts w:hint="eastAsia"/>
          <w:bCs/>
          <w:color w:val="auto"/>
          <w:sz w:val="24"/>
          <w:highlight w:val="none"/>
          <w:lang w:val="en-US" w:eastAsia="zh-CN"/>
        </w:rPr>
        <w:t xml:space="preserve">26.6</w:t>
      </w:r>
      <w:r>
        <w:rPr>
          <w:rFonts w:hint="eastAsia"/>
          <w:bCs/>
          <w:color w:val="auto"/>
          <w:sz w:val="24"/>
          <w:highlight w:val="none"/>
        </w:rPr>
        <w:t xml:space="preserve">异常低价响应审查</w:t>
      </w:r>
      <w:r/>
    </w:p>
    <w:p>
      <w:pPr>
        <w:ind w:firstLine="480"/>
        <w:spacing w:line="560" w:lineRule="exact"/>
        <w:rPr>
          <w:rFonts w:hint="eastAsia"/>
          <w:bCs/>
          <w:color w:val="auto"/>
          <w:sz w:val="24"/>
          <w:highlight w:val="none"/>
        </w:rPr>
      </w:pPr>
      <w:r>
        <w:rPr>
          <w:rFonts w:hint="eastAsia"/>
          <w:bCs/>
          <w:color w:val="auto"/>
          <w:sz w:val="24"/>
          <w:highlight w:val="none"/>
          <w:lang w:val="en-US" w:eastAsia="zh-CN"/>
        </w:rPr>
        <w:t xml:space="preserve">26.6</w:t>
      </w:r>
      <w:r>
        <w:rPr>
          <w:rFonts w:hint="eastAsia"/>
          <w:bCs/>
          <w:color w:val="auto"/>
          <w:sz w:val="24"/>
          <w:highlight w:val="none"/>
        </w:rPr>
        <w:t xml:space="preserve">.1评审过程中出现下列情形之一的，评委会应当启动异常低价响应审查程序：</w:t>
      </w:r>
      <w:r/>
    </w:p>
    <w:p>
      <w:pPr>
        <w:ind w:firstLine="480"/>
        <w:spacing w:line="560" w:lineRule="exact"/>
        <w:rPr>
          <w:rFonts w:hint="eastAsia"/>
          <w:bCs/>
          <w:color w:val="auto"/>
          <w:sz w:val="24"/>
          <w:highlight w:val="none"/>
        </w:rPr>
      </w:pPr>
      <w:r>
        <w:rPr>
          <w:rFonts w:hint="eastAsia"/>
          <w:bCs/>
          <w:color w:val="auto"/>
          <w:sz w:val="24"/>
          <w:highlight w:val="none"/>
        </w:rPr>
        <w:t xml:space="preserve">（1）投标（响应）报价低于全部通过符合性审查供应商投标（响应）报价平均值的50%的，即投标（响应）报价＜全部通过符合性审查供应商投标（响应）报价平均值×50%；</w:t>
      </w:r>
      <w:r/>
    </w:p>
    <w:p>
      <w:pPr>
        <w:ind w:firstLine="480"/>
        <w:spacing w:line="560" w:lineRule="exact"/>
        <w:rPr>
          <w:rFonts w:hint="eastAsia"/>
          <w:bCs/>
          <w:color w:val="auto"/>
          <w:sz w:val="24"/>
          <w:highlight w:val="none"/>
        </w:rPr>
      </w:pPr>
      <w:r>
        <w:rPr>
          <w:rFonts w:hint="eastAsia"/>
          <w:bCs/>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60" w:lineRule="exact"/>
        <w:rPr>
          <w:rFonts w:hint="eastAsia"/>
          <w:bCs/>
          <w:color w:val="auto"/>
          <w:sz w:val="24"/>
          <w:highlight w:val="none"/>
        </w:rPr>
      </w:pPr>
      <w:r>
        <w:rPr>
          <w:rFonts w:hint="eastAsia"/>
          <w:bCs/>
          <w:color w:val="auto"/>
          <w:sz w:val="24"/>
          <w:highlight w:val="none"/>
        </w:rPr>
        <w:t xml:space="preserve">（3）投标（响应）报价低于采购项目最高限价45%的，即投标（响应）报价＜采购项目最高限价×45%；</w:t>
      </w:r>
      <w:r/>
    </w:p>
    <w:p>
      <w:pPr>
        <w:ind w:firstLine="480"/>
        <w:spacing w:line="560" w:lineRule="exact"/>
        <w:rPr>
          <w:rFonts w:hint="eastAsia"/>
          <w:bCs/>
          <w:color w:val="auto"/>
          <w:sz w:val="24"/>
          <w:highlight w:val="none"/>
        </w:rPr>
      </w:pPr>
      <w:r>
        <w:rPr>
          <w:rFonts w:hint="eastAsia"/>
          <w:bCs/>
          <w:color w:val="auto"/>
          <w:sz w:val="24"/>
          <w:highlight w:val="none"/>
        </w:rPr>
        <w:t xml:space="preserve">（4）评审委员会基于专业判断，认为供应商报价过低，有可能影响产品质量或者不能诚信履约的其他情形。</w:t>
      </w:r>
      <w:r/>
    </w:p>
    <w:p>
      <w:pPr>
        <w:ind w:firstLine="480"/>
        <w:spacing w:line="560" w:lineRule="exact"/>
        <w:rPr>
          <w:rFonts w:hint="eastAsia"/>
          <w:bCs/>
          <w:color w:val="auto"/>
          <w:sz w:val="24"/>
          <w:highlight w:val="none"/>
        </w:rPr>
      </w:pPr>
      <w:r>
        <w:rPr>
          <w:rFonts w:hint="eastAsia"/>
          <w:bCs/>
          <w:color w:val="auto"/>
          <w:sz w:val="24"/>
          <w:highlight w:val="none"/>
          <w:lang w:val="en-US" w:eastAsia="zh-CN"/>
        </w:rPr>
        <w:t xml:space="preserve">26.6</w:t>
      </w:r>
      <w:r>
        <w:rPr>
          <w:rFonts w:hint="eastAsia"/>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rFonts w:hint="eastAsia"/>
          <w:bCs/>
          <w:color w:val="auto"/>
          <w:sz w:val="24"/>
          <w:highlight w:val="none"/>
        </w:rPr>
      </w:pPr>
      <w:r>
        <w:rPr>
          <w:rFonts w:hint="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rFonts w:hint="eastAsia"/>
          <w:bCs/>
          <w:color w:val="auto"/>
          <w:sz w:val="24"/>
          <w:highlight w:val="none"/>
        </w:rPr>
      </w:pPr>
      <w:r>
        <w:rPr>
          <w:rFonts w:hint="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rFonts w:hint="eastAsia"/>
          <w:bCs/>
          <w:color w:val="auto"/>
          <w:sz w:val="24"/>
          <w:highlight w:val="none"/>
        </w:rPr>
      </w:pPr>
      <w:r>
        <w:rPr>
          <w:rFonts w:hint="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60" w:lineRule="exact"/>
        <w:rPr>
          <w:color w:val="auto"/>
          <w:sz w:val="24"/>
          <w:highlight w:val="none"/>
        </w:rPr>
      </w:pPr>
      <w:r>
        <w:rPr>
          <w:rFonts w:hint="eastAsia"/>
          <w:color w:val="auto"/>
          <w:sz w:val="24"/>
          <w:highlight w:val="none"/>
        </w:rPr>
        <w:t xml:space="preserve">2</w:t>
      </w:r>
      <w:r>
        <w:rPr>
          <w:color w:val="auto"/>
          <w:sz w:val="24"/>
          <w:highlight w:val="none"/>
        </w:rPr>
        <w:t xml:space="preserve">6</w:t>
      </w:r>
      <w:r>
        <w:rPr>
          <w:rFonts w:hint="eastAsia"/>
          <w:color w:val="auto"/>
          <w:sz w:val="24"/>
          <w:highlight w:val="none"/>
        </w:rPr>
        <w:t xml:space="preserve">.</w:t>
      </w:r>
      <w:r>
        <w:rPr>
          <w:rFonts w:hint="eastAsia"/>
          <w:color w:val="auto"/>
          <w:sz w:val="24"/>
          <w:highlight w:val="none"/>
          <w:lang w:val="en-US" w:eastAsia="zh-CN"/>
        </w:rPr>
        <w:t xml:space="preserve">7</w:t>
      </w:r>
      <w:r>
        <w:rPr>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color w:val="auto"/>
          <w:sz w:val="24"/>
          <w:highlight w:val="none"/>
        </w:rPr>
        <w:t xml:space="preserve">按照招标文件规定的方式（招标文件未规定的通过</w:t>
      </w:r>
      <w:r>
        <w:rPr>
          <w:color w:val="auto"/>
          <w:sz w:val="24"/>
          <w:highlight w:val="none"/>
        </w:rPr>
        <w:t xml:space="preserve">随机抽取</w:t>
      </w:r>
      <w:r>
        <w:rPr>
          <w:rFonts w:hint="eastAsia"/>
          <w:color w:val="auto"/>
          <w:sz w:val="24"/>
          <w:highlight w:val="none"/>
        </w:rPr>
        <w:t xml:space="preserve">的</w:t>
      </w:r>
      <w:r>
        <w:rPr>
          <w:color w:val="auto"/>
          <w:sz w:val="24"/>
          <w:highlight w:val="none"/>
        </w:rPr>
        <w:t xml:space="preserve">方式</w:t>
      </w:r>
      <w:r>
        <w:rPr>
          <w:rFonts w:hint="eastAsia"/>
          <w:color w:val="auto"/>
          <w:sz w:val="24"/>
          <w:highlight w:val="none"/>
        </w:rPr>
        <w:t xml:space="preserve">）</w:t>
      </w:r>
      <w:r>
        <w:rPr>
          <w:color w:val="auto"/>
          <w:sz w:val="24"/>
          <w:highlight w:val="none"/>
        </w:rPr>
        <w:t xml:space="preserve">确定一个参加评标的投标人，其他投标无效。</w:t>
      </w:r>
      <w:r/>
    </w:p>
    <w:p>
      <w:pPr>
        <w:ind w:firstLine="480"/>
        <w:spacing w:line="560" w:lineRule="exact"/>
        <w:rPr>
          <w:color w:val="auto"/>
          <w:sz w:val="24"/>
          <w:highlight w:val="none"/>
        </w:rPr>
      </w:pPr>
      <w:r>
        <w:rPr>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color w:val="auto"/>
          <w:sz w:val="24"/>
          <w:highlight w:val="none"/>
        </w:rPr>
        <w:t xml:space="preserve">根据招标文件规定的方式（招标文件未规定的采取随机抽取的方式）</w:t>
      </w:r>
      <w:r>
        <w:rPr>
          <w:color w:val="auto"/>
          <w:sz w:val="24"/>
          <w:highlight w:val="none"/>
        </w:rPr>
        <w:t xml:space="preserve">确定</w:t>
      </w:r>
      <w:r>
        <w:rPr>
          <w:rFonts w:hint="eastAsia"/>
          <w:color w:val="auto"/>
          <w:sz w:val="24"/>
          <w:highlight w:val="none"/>
        </w:rPr>
        <w:t xml:space="preserve">一个中标候选人</w:t>
      </w:r>
      <w:r>
        <w:rPr>
          <w:color w:val="auto"/>
          <w:sz w:val="24"/>
          <w:highlight w:val="none"/>
        </w:rPr>
        <w:t xml:space="preserve">，其他同品牌投标人不作为中标候选人。</w:t>
      </w:r>
      <w:r/>
    </w:p>
    <w:p>
      <w:pPr>
        <w:ind w:firstLine="420"/>
        <w:spacing w:line="560" w:lineRule="exact"/>
        <w:rPr>
          <w:bCs/>
          <w:color w:val="auto"/>
          <w:sz w:val="24"/>
          <w:highlight w:val="none"/>
        </w:rPr>
      </w:pPr>
      <w:r>
        <w:rPr>
          <w:color w:val="auto"/>
          <w:sz w:val="24"/>
          <w:highlight w:val="none"/>
        </w:rPr>
        <w:t xml:space="preserve">非单一产品采购项目，招标文件中</w:t>
      </w:r>
      <w:r>
        <w:rPr>
          <w:rFonts w:hint="eastAsia"/>
          <w:color w:val="auto"/>
          <w:sz w:val="24"/>
          <w:highlight w:val="none"/>
        </w:rPr>
        <w:t xml:space="preserve">将载明其中的核心产品</w:t>
      </w:r>
      <w:r>
        <w:rPr>
          <w:color w:val="auto"/>
          <w:sz w:val="24"/>
          <w:highlight w:val="none"/>
        </w:rPr>
        <w:t xml:space="preserve">。多家投标人提供的核心产品品牌相同的，按前两款规定处理。</w:t>
      </w:r>
      <w:r/>
    </w:p>
    <w:p>
      <w:pPr>
        <w:ind w:firstLine="420"/>
        <w:spacing w:line="560" w:lineRule="exact"/>
        <w:rPr>
          <w:color w:val="auto"/>
          <w:sz w:val="24"/>
          <w:highlight w:val="none"/>
        </w:rPr>
      </w:pPr>
      <w:r/>
      <w:bookmarkStart w:id="109" w:name="_Toc513029234"/>
      <w:r/>
      <w:bookmarkStart w:id="110" w:name="_Toc16938550"/>
      <w:r/>
      <w:bookmarkStart w:id="111" w:name="_Toc20823306"/>
      <w:r>
        <w:rPr>
          <w:rFonts w:hint="eastAsia"/>
          <w:color w:val="auto"/>
          <w:sz w:val="24"/>
          <w:highlight w:val="none"/>
        </w:rPr>
        <w:t xml:space="preserve">26.</w:t>
      </w:r>
      <w:r>
        <w:rPr>
          <w:rFonts w:hint="eastAsia"/>
          <w:color w:val="auto"/>
          <w:sz w:val="24"/>
          <w:highlight w:val="none"/>
          <w:lang w:val="en-US" w:eastAsia="zh-CN"/>
        </w:rPr>
        <w:t xml:space="preserve">8</w:t>
      </w:r>
      <w:r>
        <w:rPr>
          <w:rFonts w:hint="eastAsia"/>
          <w:color w:val="auto"/>
          <w:sz w:val="24"/>
          <w:highlight w:val="none"/>
        </w:rPr>
        <w:t xml:space="preserve">投标人在开、评标全过程中应随时保持系统在线，及时在</w:t>
      </w:r>
      <w:r>
        <w:rPr>
          <w:rFonts w:hint="eastAsia"/>
          <w:color w:val="auto"/>
          <w:sz w:val="24"/>
          <w:szCs w:val="24"/>
          <w:highlight w:val="none"/>
        </w:rPr>
        <w:t xml:space="preserve">“苏采云”系统</w:t>
      </w:r>
      <w:r>
        <w:rPr>
          <w:rFonts w:hint="eastAsia"/>
          <w:color w:val="auto"/>
          <w:sz w:val="24"/>
          <w:highlight w:val="none"/>
        </w:rPr>
        <w:t xml:space="preserve">查阅</w:t>
      </w:r>
      <w:r>
        <w:rPr>
          <w:color w:val="auto"/>
          <w:sz w:val="24"/>
          <w:highlight w:val="none"/>
        </w:rPr>
        <w:t xml:space="preserve">、答复相关</w:t>
      </w:r>
      <w:r>
        <w:rPr>
          <w:rFonts w:hint="eastAsia"/>
          <w:color w:val="auto"/>
          <w:sz w:val="24"/>
          <w:highlight w:val="none"/>
        </w:rPr>
        <w:t xml:space="preserve">信息。</w:t>
      </w:r>
      <w:r/>
    </w:p>
    <w:p>
      <w:pPr>
        <w:ind w:firstLine="420"/>
        <w:keepLines/>
        <w:keepNext/>
        <w:spacing w:line="560" w:lineRule="exact"/>
        <w:rPr>
          <w:rFonts w:eastAsia="黑体" w:cs="Arial"/>
          <w:color w:val="auto"/>
          <w:sz w:val="28"/>
          <w:szCs w:val="28"/>
          <w:highlight w:val="none"/>
        </w:rPr>
        <w:outlineLvl w:val="3"/>
      </w:pPr>
      <w:r>
        <w:rPr>
          <w:rFonts w:hint="eastAsia" w:eastAsia="黑体" w:cs="Arial"/>
          <w:color w:val="auto"/>
          <w:sz w:val="28"/>
          <w:szCs w:val="28"/>
          <w:highlight w:val="none"/>
        </w:rPr>
        <w:t xml:space="preserve">27、</w:t>
      </w:r>
      <w:bookmarkEnd w:id="109"/>
      <w:r/>
      <w:bookmarkEnd w:id="110"/>
      <w:r/>
      <w:bookmarkEnd w:id="111"/>
      <w:r>
        <w:rPr>
          <w:rFonts w:hint="eastAsia" w:eastAsia="黑体" w:cs="Arial"/>
          <w:color w:val="auto"/>
          <w:sz w:val="28"/>
          <w:szCs w:val="28"/>
          <w:highlight w:val="none"/>
        </w:rPr>
        <w:t xml:space="preserve">无效投标条款和废标条款</w:t>
      </w:r>
      <w:r/>
    </w:p>
    <w:p>
      <w:pPr>
        <w:spacing w:line="560" w:lineRule="exact"/>
        <w:rPr>
          <w:bCs/>
          <w:color w:val="auto"/>
          <w:sz w:val="24"/>
          <w:highlight w:val="none"/>
        </w:rPr>
      </w:pPr>
      <w:r>
        <w:rPr>
          <w:color w:val="auto"/>
          <w:highlight w:val="none"/>
        </w:rPr>
        <w:t xml:space="preserve">     </w:t>
      </w:r>
      <w:bookmarkStart w:id="112" w:name="_Toc20823307"/>
      <w:r/>
      <w:bookmarkStart w:id="113" w:name="_Toc513029235"/>
      <w:r/>
      <w:bookmarkStart w:id="114" w:name="_Toc16938551"/>
      <w:r>
        <w:rPr>
          <w:rFonts w:hint="eastAsia"/>
          <w:bCs/>
          <w:color w:val="auto"/>
          <w:sz w:val="24"/>
          <w:highlight w:val="none"/>
        </w:rPr>
        <w:t xml:space="preserve">27.1无效投标条款</w:t>
      </w:r>
      <w:r/>
    </w:p>
    <w:p>
      <w:pPr>
        <w:ind w:firstLine="480"/>
        <w:spacing w:line="560" w:lineRule="exact"/>
        <w:rPr>
          <w:bCs/>
          <w:color w:val="auto"/>
          <w:sz w:val="24"/>
          <w:szCs w:val="24"/>
          <w:highlight w:val="none"/>
        </w:rPr>
      </w:pPr>
      <w:r>
        <w:rPr>
          <w:rFonts w:hint="eastAsia"/>
          <w:bCs/>
          <w:color w:val="auto"/>
          <w:sz w:val="24"/>
          <w:highlight w:val="none"/>
        </w:rPr>
        <w:t xml:space="preserve">27</w:t>
      </w:r>
      <w:r>
        <w:rPr>
          <w:rFonts w:hint="eastAsia"/>
          <w:bCs/>
          <w:color w:val="auto"/>
          <w:sz w:val="24"/>
          <w:szCs w:val="24"/>
          <w:highlight w:val="none"/>
        </w:rPr>
        <w:t xml:space="preserve">.1.1 投标人在</w:t>
      </w:r>
      <w:r>
        <w:rPr>
          <w:rFonts w:hint="eastAsia"/>
          <w:color w:val="auto"/>
          <w:sz w:val="24"/>
          <w:szCs w:val="24"/>
          <w:highlight w:val="none"/>
        </w:rPr>
        <w:t xml:space="preserve">“苏采云”系统</w:t>
      </w:r>
      <w:r>
        <w:rPr>
          <w:rFonts w:hint="eastAsia"/>
          <w:bCs/>
          <w:color w:val="auto"/>
          <w:sz w:val="24"/>
          <w:szCs w:val="24"/>
          <w:highlight w:val="none"/>
        </w:rPr>
        <w:t xml:space="preserve">规定的时间内未成功解密电子投标文件的。</w:t>
      </w:r>
      <w:r/>
    </w:p>
    <w:p>
      <w:pPr>
        <w:ind w:firstLine="480"/>
        <w:spacing w:line="560" w:lineRule="exact"/>
        <w:rPr>
          <w:bCs/>
          <w:color w:val="auto"/>
          <w:sz w:val="24"/>
          <w:highlight w:val="none"/>
        </w:rPr>
      </w:pPr>
      <w:r>
        <w:rPr>
          <w:rFonts w:hint="eastAsia"/>
          <w:bCs/>
          <w:color w:val="auto"/>
          <w:sz w:val="24"/>
          <w:highlight w:val="none"/>
        </w:rPr>
        <w:t xml:space="preserve">27.1.2 投标人未按照招标文件要求上传电子投标文件的。</w:t>
      </w:r>
      <w:r/>
    </w:p>
    <w:p>
      <w:pPr>
        <w:ind w:firstLine="480"/>
        <w:spacing w:line="560" w:lineRule="exact"/>
        <w:rPr>
          <w:bCs/>
          <w:color w:val="auto"/>
          <w:sz w:val="24"/>
          <w:highlight w:val="none"/>
        </w:rPr>
      </w:pPr>
      <w:r>
        <w:rPr>
          <w:rFonts w:hint="eastAsia"/>
          <w:bCs/>
          <w:color w:val="auto"/>
          <w:sz w:val="24"/>
          <w:highlight w:val="none"/>
        </w:rPr>
        <w:t xml:space="preserve">27.1.3同一投标人提交两个（含两个）以上不同的投标报价的。</w:t>
      </w:r>
      <w:r/>
    </w:p>
    <w:p>
      <w:pPr>
        <w:ind w:firstLine="480"/>
        <w:spacing w:line="560" w:lineRule="exact"/>
        <w:rPr>
          <w:bCs/>
          <w:color w:val="auto"/>
          <w:sz w:val="24"/>
          <w:highlight w:val="none"/>
        </w:rPr>
      </w:pPr>
      <w:r>
        <w:rPr>
          <w:rFonts w:hint="eastAsia"/>
          <w:bCs/>
          <w:color w:val="auto"/>
          <w:sz w:val="24"/>
          <w:highlight w:val="none"/>
        </w:rPr>
        <w:t xml:space="preserve">27.1.4投标人不具备招标文件中规定资格要求的。</w:t>
      </w:r>
      <w:r/>
    </w:p>
    <w:p>
      <w:pPr>
        <w:ind w:firstLine="480"/>
        <w:spacing w:line="560" w:lineRule="exact"/>
        <w:rPr>
          <w:bCs/>
          <w:color w:val="auto"/>
          <w:sz w:val="24"/>
          <w:highlight w:val="none"/>
        </w:rPr>
      </w:pPr>
      <w:r>
        <w:rPr>
          <w:rFonts w:hint="eastAsia"/>
          <w:bCs/>
          <w:color w:val="auto"/>
          <w:sz w:val="24"/>
          <w:highlight w:val="none"/>
        </w:rPr>
        <w:t xml:space="preserve">27.1.5投标人的报价超过了采购预算或最高限价的。</w:t>
      </w:r>
      <w:r/>
    </w:p>
    <w:p>
      <w:pPr>
        <w:ind w:firstLine="480"/>
        <w:spacing w:line="560" w:lineRule="exact"/>
        <w:rPr>
          <w:bCs/>
          <w:i/>
          <w:color w:val="auto"/>
          <w:sz w:val="24"/>
          <w:highlight w:val="none"/>
          <w:u w:val="single"/>
        </w:rPr>
      </w:pPr>
      <w:r>
        <w:rPr>
          <w:rFonts w:hint="eastAsia"/>
          <w:bCs/>
          <w:color w:val="auto"/>
          <w:sz w:val="24"/>
          <w:highlight w:val="none"/>
        </w:rPr>
        <w:t xml:space="preserve">27.1.6未通过符合性审查的。</w:t>
      </w:r>
      <w:r/>
    </w:p>
    <w:p>
      <w:pPr>
        <w:ind w:firstLine="360"/>
        <w:spacing w:line="560" w:lineRule="exact"/>
        <w:rPr>
          <w:bCs/>
          <w:color w:val="auto"/>
          <w:sz w:val="24"/>
          <w:highlight w:val="none"/>
        </w:rPr>
      </w:pPr>
      <w:r>
        <w:rPr>
          <w:rFonts w:hint="eastAsia"/>
          <w:bCs/>
          <w:color w:val="auto"/>
          <w:sz w:val="24"/>
          <w:highlight w:val="none"/>
        </w:rPr>
        <w:t xml:space="preserve"> 27.1.7不符合招标文件中规定的实质性要求和条件的（加斜体下划线内容或打“★”内容为实质性要求和条件）。</w:t>
      </w:r>
      <w:r/>
    </w:p>
    <w:p>
      <w:pPr>
        <w:ind w:firstLine="480"/>
        <w:spacing w:line="560" w:lineRule="exact"/>
        <w:rPr>
          <w:bCs/>
          <w:color w:val="auto"/>
          <w:sz w:val="24"/>
          <w:highlight w:val="none"/>
        </w:rPr>
      </w:pPr>
      <w:r>
        <w:rPr>
          <w:rFonts w:hint="eastAsia"/>
          <w:bCs/>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color w:val="auto"/>
          <w:sz w:val="24"/>
          <w:highlight w:val="none"/>
        </w:rPr>
      </w:pPr>
      <w:r>
        <w:rPr>
          <w:rFonts w:hint="eastAsia"/>
          <w:bCs/>
          <w:color w:val="auto"/>
          <w:sz w:val="24"/>
          <w:highlight w:val="none"/>
        </w:rPr>
        <w:t xml:space="preserve">27.1.9 投标文件含有采购人不能接受的附加条件的。</w:t>
      </w:r>
      <w:r/>
    </w:p>
    <w:p>
      <w:pPr>
        <w:ind w:firstLine="420"/>
        <w:spacing w:line="560" w:lineRule="exact"/>
        <w:rPr>
          <w:rFonts w:hint="eastAsia"/>
          <w:bCs/>
          <w:color w:val="auto"/>
          <w:sz w:val="24"/>
          <w:highlight w:val="none"/>
        </w:rPr>
      </w:pPr>
      <w:r>
        <w:rPr>
          <w:rFonts w:hint="eastAsia"/>
          <w:bCs/>
          <w:color w:val="auto"/>
          <w:sz w:val="24"/>
          <w:highlight w:val="none"/>
        </w:rPr>
        <w:t xml:space="preserve">27.1.10评标委员会启动异常低价投标审查后，投标人不提供书面说明、证明材料，或者评标委员会认为投标人提供的书面说明、证明材料不能证明其报价合理性的。</w:t>
      </w:r>
      <w:r/>
    </w:p>
    <w:p>
      <w:pPr>
        <w:ind w:firstLine="420"/>
        <w:spacing w:line="560" w:lineRule="exact"/>
        <w:rPr>
          <w:color w:val="auto"/>
          <w:highlight w:val="none"/>
        </w:rPr>
      </w:pPr>
      <w:r>
        <w:rPr>
          <w:rFonts w:hint="eastAsia"/>
          <w:color w:val="auto"/>
          <w:sz w:val="24"/>
          <w:highlight w:val="none"/>
          <w:lang w:val="zh-CN"/>
        </w:rPr>
        <w:t xml:space="preserve">2</w:t>
      </w:r>
      <w:r>
        <w:rPr>
          <w:rFonts w:hint="eastAsia"/>
          <w:color w:val="auto"/>
          <w:sz w:val="24"/>
          <w:highlight w:val="none"/>
        </w:rPr>
        <w:t xml:space="preserve">7</w:t>
      </w:r>
      <w:r>
        <w:rPr>
          <w:rFonts w:hint="eastAsia"/>
          <w:color w:val="auto"/>
          <w:sz w:val="24"/>
          <w:highlight w:val="none"/>
          <w:lang w:val="zh-CN"/>
        </w:rPr>
        <w:t xml:space="preserve">.1.11本项目采购产品被财政部、国家发改委、生态环境部等列入“节能产品品目清单”、“环境标志产品品目清单”强制采购范围，而投标供应商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560" w:lineRule="exact"/>
        <w:rPr>
          <w:bCs/>
          <w:color w:val="auto"/>
          <w:sz w:val="24"/>
          <w:highlight w:val="none"/>
        </w:rPr>
      </w:pPr>
      <w:r>
        <w:rPr>
          <w:rFonts w:hint="eastAsia"/>
          <w:bCs/>
          <w:color w:val="auto"/>
          <w:sz w:val="24"/>
          <w:highlight w:val="none"/>
        </w:rPr>
        <w:t xml:space="preserve">27.1.12 投标文件未按照招标文件要求加盖CA</w:t>
      </w:r>
      <w:r>
        <w:rPr>
          <w:bCs/>
          <w:color w:val="auto"/>
          <w:sz w:val="24"/>
          <w:highlight w:val="none"/>
        </w:rPr>
        <w:t xml:space="preserve">电子公章的</w:t>
      </w:r>
      <w:r>
        <w:rPr>
          <w:rFonts w:hint="eastAsia"/>
          <w:bCs/>
          <w:color w:val="auto"/>
          <w:sz w:val="24"/>
          <w:highlight w:val="none"/>
        </w:rPr>
        <w:t xml:space="preserve">。</w:t>
      </w:r>
      <w:r/>
    </w:p>
    <w:p>
      <w:pPr>
        <w:ind w:firstLine="480"/>
        <w:spacing w:line="560" w:lineRule="exact"/>
        <w:rPr>
          <w:bCs/>
          <w:color w:val="auto"/>
          <w:sz w:val="24"/>
          <w:highlight w:val="none"/>
        </w:rPr>
      </w:pPr>
      <w:r>
        <w:rPr>
          <w:rFonts w:hint="eastAsia"/>
          <w:bCs/>
          <w:color w:val="auto"/>
          <w:sz w:val="24"/>
          <w:highlight w:val="none"/>
        </w:rPr>
        <w:t xml:space="preserve">27.1.13其他法律、法规及本招标文件规定的属无效投标的。</w:t>
      </w:r>
      <w:r/>
    </w:p>
    <w:p>
      <w:pPr>
        <w:spacing w:line="560" w:lineRule="exact"/>
        <w:rPr>
          <w:bCs/>
          <w:color w:val="auto"/>
          <w:sz w:val="24"/>
          <w:highlight w:val="none"/>
        </w:rPr>
      </w:pPr>
      <w:r>
        <w:rPr>
          <w:rFonts w:hint="eastAsia"/>
          <w:bCs/>
          <w:color w:val="auto"/>
          <w:sz w:val="24"/>
          <w:highlight w:val="none"/>
        </w:rPr>
        <w:t xml:space="preserve">27.2废标条款</w:t>
      </w:r>
      <w:r/>
    </w:p>
    <w:p>
      <w:pPr>
        <w:ind w:firstLine="480"/>
        <w:spacing w:line="560" w:lineRule="exact"/>
        <w:rPr>
          <w:bCs/>
          <w:color w:val="auto"/>
          <w:sz w:val="24"/>
          <w:highlight w:val="none"/>
        </w:rPr>
      </w:pPr>
      <w:r>
        <w:rPr>
          <w:rFonts w:hint="eastAsia"/>
          <w:bCs/>
          <w:color w:val="auto"/>
          <w:sz w:val="24"/>
          <w:highlight w:val="none"/>
        </w:rPr>
        <w:t xml:space="preserve">27.2.1符合专业条件的投标人或者对招标文件作实质响应的投标人不足三家的。</w:t>
      </w:r>
      <w:r/>
    </w:p>
    <w:p>
      <w:pPr>
        <w:ind w:firstLine="480"/>
        <w:spacing w:line="560" w:lineRule="exact"/>
        <w:rPr>
          <w:bCs/>
          <w:color w:val="auto"/>
          <w:sz w:val="24"/>
          <w:highlight w:val="none"/>
        </w:rPr>
      </w:pPr>
      <w:r>
        <w:rPr>
          <w:rFonts w:hint="eastAsia"/>
          <w:bCs/>
          <w:color w:val="auto"/>
          <w:sz w:val="24"/>
          <w:highlight w:val="none"/>
        </w:rPr>
        <w:t xml:space="preserve">27.2.2出现影响采购公正的违法、违规行为的。</w:t>
      </w:r>
      <w:r/>
    </w:p>
    <w:p>
      <w:pPr>
        <w:ind w:firstLine="480"/>
        <w:spacing w:line="560" w:lineRule="exact"/>
        <w:rPr>
          <w:bCs/>
          <w:color w:val="auto"/>
          <w:sz w:val="24"/>
          <w:highlight w:val="none"/>
        </w:rPr>
      </w:pPr>
      <w:r>
        <w:rPr>
          <w:rFonts w:hint="eastAsia"/>
          <w:bCs/>
          <w:color w:val="auto"/>
          <w:sz w:val="24"/>
          <w:highlight w:val="none"/>
        </w:rPr>
        <w:t xml:space="preserve">27.2.3因重大变故，采购任务取消的。</w:t>
      </w:r>
      <w:r/>
    </w:p>
    <w:p>
      <w:pPr>
        <w:ind w:firstLine="480"/>
        <w:spacing w:line="560" w:lineRule="exact"/>
        <w:rPr>
          <w:bCs/>
          <w:color w:val="auto"/>
          <w:sz w:val="24"/>
          <w:highlight w:val="none"/>
        </w:rPr>
      </w:pPr>
      <w:r>
        <w:rPr>
          <w:rFonts w:hint="eastAsia"/>
          <w:bCs/>
          <w:color w:val="auto"/>
          <w:sz w:val="24"/>
          <w:highlight w:val="none"/>
        </w:rPr>
        <w:t xml:space="preserve">27.2.4评委会认定招标文件存在歧义、重大缺陷导致评审工作无法进行。</w:t>
      </w:r>
      <w:r/>
    </w:p>
    <w:p>
      <w:pPr>
        <w:ind w:firstLine="480"/>
        <w:spacing w:line="560" w:lineRule="exact"/>
        <w:rPr>
          <w:bCs/>
          <w:color w:val="auto"/>
          <w:sz w:val="24"/>
          <w:highlight w:val="none"/>
        </w:rPr>
      </w:pPr>
      <w:r>
        <w:rPr>
          <w:rFonts w:hint="eastAsia"/>
          <w:bCs/>
          <w:color w:val="auto"/>
          <w:sz w:val="24"/>
          <w:highlight w:val="none"/>
        </w:rPr>
        <w:t xml:space="preserve">27.2.5 因</w:t>
      </w:r>
      <w:r>
        <w:rPr>
          <w:rFonts w:hint="eastAsia"/>
          <w:color w:val="auto"/>
          <w:sz w:val="24"/>
          <w:szCs w:val="24"/>
          <w:highlight w:val="none"/>
        </w:rPr>
        <w:t xml:space="preserve">“苏采云”系统</w:t>
      </w:r>
      <w:r>
        <w:rPr>
          <w:bCs/>
          <w:color w:val="auto"/>
          <w:sz w:val="24"/>
          <w:highlight w:val="none"/>
        </w:rPr>
        <w:t xml:space="preserve">系统故障原因造成开标不成功</w:t>
      </w:r>
      <w:r>
        <w:rPr>
          <w:rFonts w:hint="eastAsia"/>
          <w:bCs/>
          <w:color w:val="auto"/>
          <w:sz w:val="24"/>
          <w:highlight w:val="none"/>
        </w:rPr>
        <w:t xml:space="preserve">的</w:t>
      </w:r>
      <w:r>
        <w:rPr>
          <w:bCs/>
          <w:color w:val="auto"/>
          <w:sz w:val="24"/>
          <w:highlight w:val="none"/>
        </w:rPr>
        <w:t xml:space="preserve">。</w:t>
      </w:r>
      <w:r/>
    </w:p>
    <w:p>
      <w:pPr>
        <w:spacing w:line="560" w:lineRule="exact"/>
        <w:rPr>
          <w:bCs/>
          <w:color w:val="auto"/>
          <w:sz w:val="24"/>
          <w:highlight w:val="none"/>
        </w:rPr>
      </w:pPr>
      <w:r>
        <w:rPr>
          <w:rFonts w:hint="eastAsia"/>
          <w:bCs/>
          <w:color w:val="auto"/>
          <w:sz w:val="24"/>
          <w:highlight w:val="none"/>
        </w:rPr>
        <w:t xml:space="preserve">27.3 投标截止时间结束后参加投标的投标人不足三家的处理：</w:t>
      </w:r>
      <w:r/>
    </w:p>
    <w:p>
      <w:pPr>
        <w:ind w:firstLine="480"/>
        <w:spacing w:line="560" w:lineRule="exact"/>
        <w:rPr>
          <w:bCs/>
          <w:color w:val="auto"/>
          <w:sz w:val="24"/>
          <w:highlight w:val="none"/>
        </w:rPr>
      </w:pPr>
      <w:r>
        <w:rPr>
          <w:rFonts w:hint="eastAsia"/>
          <w:bCs/>
          <w:color w:val="auto"/>
          <w:sz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keepNext/>
        <w:spacing w:line="560" w:lineRule="exact"/>
        <w:rPr>
          <w:b/>
          <w:bCs/>
          <w:color w:val="auto"/>
          <w:sz w:val="32"/>
          <w:szCs w:val="32"/>
          <w:highlight w:val="none"/>
        </w:rPr>
        <w:outlineLvl w:val="2"/>
      </w:pPr>
      <w:r/>
      <w:bookmarkStart w:id="115" w:name="_Toc120614219"/>
      <w:r/>
      <w:bookmarkStart w:id="116" w:name="_Toc19980"/>
      <w:r>
        <w:rPr>
          <w:rFonts w:hint="eastAsia"/>
          <w:b/>
          <w:bCs/>
          <w:color w:val="auto"/>
          <w:sz w:val="32"/>
          <w:szCs w:val="32"/>
          <w:highlight w:val="none"/>
        </w:rPr>
        <w:t xml:space="preserve">六、</w:t>
      </w:r>
      <w:bookmarkEnd w:id="112"/>
      <w:r/>
      <w:bookmarkEnd w:id="113"/>
      <w:r/>
      <w:bookmarkEnd w:id="114"/>
      <w:r>
        <w:rPr>
          <w:rFonts w:hint="eastAsia"/>
          <w:b/>
          <w:bCs/>
          <w:color w:val="auto"/>
          <w:sz w:val="32"/>
          <w:szCs w:val="32"/>
          <w:highlight w:val="none"/>
        </w:rPr>
        <w:t xml:space="preserve">定标</w:t>
      </w:r>
      <w:bookmarkEnd w:id="115"/>
      <w:r/>
      <w:bookmarkEnd w:id="116"/>
      <w:r/>
      <w:r/>
    </w:p>
    <w:p>
      <w:pPr>
        <w:ind w:firstLine="600"/>
        <w:keepLines/>
        <w:keepNext/>
        <w:spacing w:line="560" w:lineRule="exact"/>
        <w:rPr>
          <w:rFonts w:eastAsia="黑体"/>
          <w:bCs/>
          <w:color w:val="auto"/>
          <w:sz w:val="30"/>
          <w:szCs w:val="30"/>
          <w:highlight w:val="none"/>
        </w:rPr>
        <w:outlineLvl w:val="3"/>
      </w:pPr>
      <w:r/>
      <w:bookmarkStart w:id="117" w:name="_Toc513029238"/>
      <w:r/>
      <w:bookmarkStart w:id="118" w:name="_Toc20823310"/>
      <w:r/>
      <w:bookmarkStart w:id="119" w:name="_Toc16938554"/>
      <w:r>
        <w:rPr>
          <w:rFonts w:hint="eastAsia" w:eastAsia="黑体"/>
          <w:bCs/>
          <w:color w:val="auto"/>
          <w:sz w:val="30"/>
          <w:szCs w:val="30"/>
          <w:highlight w:val="none"/>
        </w:rPr>
        <w:t xml:space="preserve">28、</w:t>
      </w:r>
      <w:bookmarkEnd w:id="117"/>
      <w:r>
        <w:rPr>
          <w:rFonts w:hint="eastAsia" w:eastAsia="黑体"/>
          <w:bCs/>
          <w:color w:val="auto"/>
          <w:sz w:val="30"/>
          <w:szCs w:val="30"/>
          <w:highlight w:val="none"/>
        </w:rPr>
        <w:t xml:space="preserve">确定</w:t>
      </w:r>
      <w:bookmarkEnd w:id="118"/>
      <w:r/>
      <w:bookmarkEnd w:id="119"/>
      <w:r>
        <w:rPr>
          <w:rFonts w:hint="eastAsia" w:eastAsia="黑体"/>
          <w:bCs/>
          <w:color w:val="auto"/>
          <w:sz w:val="30"/>
          <w:szCs w:val="30"/>
          <w:highlight w:val="none"/>
        </w:rPr>
        <w:t xml:space="preserve">中标单位</w:t>
      </w:r>
      <w:r/>
    </w:p>
    <w:p>
      <w:pPr>
        <w:ind w:firstLine="480"/>
        <w:spacing w:line="560" w:lineRule="exact"/>
        <w:rPr>
          <w:bCs/>
          <w:color w:val="auto"/>
          <w:sz w:val="24"/>
          <w:highlight w:val="none"/>
        </w:rPr>
      </w:pPr>
      <w:r>
        <w:rPr>
          <w:rFonts w:hint="eastAsia"/>
          <w:bCs/>
          <w:color w:val="auto"/>
          <w:sz w:val="24"/>
          <w:highlight w:val="none"/>
        </w:rPr>
        <w:t xml:space="preserve">28.1中标候选人的选取原则和数量见招标文件第五章规定。 </w:t>
      </w:r>
      <w:r/>
    </w:p>
    <w:p>
      <w:pPr>
        <w:ind w:firstLine="480"/>
        <w:spacing w:line="560" w:lineRule="exact"/>
        <w:rPr>
          <w:bCs/>
          <w:color w:val="auto"/>
          <w:sz w:val="24"/>
          <w:highlight w:val="none"/>
          <w:lang w:val="zh-CN"/>
        </w:rPr>
      </w:pPr>
      <w:r>
        <w:rPr>
          <w:rFonts w:hint="eastAsia"/>
          <w:bCs/>
          <w:color w:val="auto"/>
          <w:sz w:val="24"/>
          <w:highlight w:val="none"/>
          <w:lang w:val="zh-CN"/>
        </w:rPr>
        <w:t xml:space="preserve">2</w:t>
      </w:r>
      <w:r>
        <w:rPr>
          <w:rFonts w:hint="eastAsia"/>
          <w:bCs/>
          <w:color w:val="auto"/>
          <w:sz w:val="24"/>
          <w:highlight w:val="none"/>
        </w:rPr>
        <w:t xml:space="preserve">8</w:t>
      </w:r>
      <w:r>
        <w:rPr>
          <w:rFonts w:hint="eastAsia"/>
          <w:bCs/>
          <w:color w:val="auto"/>
          <w:sz w:val="24"/>
          <w:highlight w:val="none"/>
          <w:lang w:val="zh-CN"/>
        </w:rPr>
        <w:t xml:space="preserve">.2 按以下第</w:t>
      </w:r>
      <w:r>
        <w:rPr>
          <w:rFonts w:hint="eastAsia"/>
          <w:bCs/>
          <w:color w:val="auto"/>
          <w:sz w:val="24"/>
          <w:highlight w:val="none"/>
          <w:u w:val="single"/>
          <w:lang w:val="zh-CN"/>
        </w:rPr>
        <w:t xml:space="preserve">（</w:t>
      </w:r>
      <w:r>
        <w:rPr>
          <w:rFonts w:hint="eastAsia"/>
          <w:bCs/>
          <w:color w:val="auto"/>
          <w:sz w:val="24"/>
          <w:highlight w:val="none"/>
          <w:u w:val="single"/>
        </w:rPr>
        <w:t xml:space="preserve">2</w:t>
      </w:r>
      <w:r>
        <w:rPr>
          <w:rFonts w:hint="eastAsia"/>
          <w:bCs/>
          <w:color w:val="auto"/>
          <w:sz w:val="24"/>
          <w:highlight w:val="none"/>
          <w:u w:val="single"/>
          <w:lang w:val="zh-CN"/>
        </w:rPr>
        <w:t xml:space="preserve">）</w:t>
      </w:r>
      <w:r>
        <w:rPr>
          <w:rFonts w:hint="eastAsia"/>
          <w:bCs/>
          <w:color w:val="auto"/>
          <w:sz w:val="24"/>
          <w:highlight w:val="none"/>
          <w:lang w:val="zh-CN"/>
        </w:rPr>
        <w:t xml:space="preserve">种方式确定中标人</w:t>
      </w:r>
      <w:r/>
    </w:p>
    <w:p>
      <w:pPr>
        <w:ind w:firstLine="480"/>
        <w:spacing w:line="560" w:lineRule="exact"/>
        <w:rPr>
          <w:bCs/>
          <w:color w:val="auto"/>
          <w:sz w:val="24"/>
          <w:highlight w:val="none"/>
          <w:lang w:val="zh-CN"/>
        </w:rPr>
      </w:pPr>
      <w:r>
        <w:rPr>
          <w:rFonts w:hint="eastAsia"/>
          <w:bCs/>
          <w:color w:val="auto"/>
          <w:sz w:val="24"/>
          <w:highlight w:val="none"/>
          <w:lang w:val="zh-CN"/>
        </w:rPr>
        <w:t xml:space="preserve">（1）评委会直接确定排名第一的中标候选人为中标人；</w:t>
      </w:r>
      <w:r/>
    </w:p>
    <w:p>
      <w:pPr>
        <w:ind w:firstLine="480"/>
        <w:spacing w:line="560" w:lineRule="exact"/>
        <w:rPr>
          <w:bCs/>
          <w:color w:val="auto"/>
          <w:sz w:val="24"/>
          <w:highlight w:val="none"/>
          <w:lang w:val="zh-CN"/>
        </w:rPr>
      </w:pPr>
      <w:r>
        <w:rPr>
          <w:rFonts w:hint="eastAsia"/>
          <w:bCs/>
          <w:color w:val="auto"/>
          <w:sz w:val="24"/>
          <w:highlight w:val="none"/>
          <w:lang w:val="zh-CN"/>
        </w:rPr>
        <w:t xml:space="preserve">（2）采购人在评委会推荐的中标候选人中按顺序确定中标人。</w:t>
      </w:r>
      <w:r/>
    </w:p>
    <w:p>
      <w:pPr>
        <w:ind w:firstLine="480"/>
        <w:spacing w:line="560" w:lineRule="exact"/>
        <w:rPr>
          <w:color w:val="auto"/>
          <w:highlight w:val="none"/>
        </w:rPr>
      </w:pPr>
      <w:r>
        <w:rPr>
          <w:rFonts w:hint="eastAsia"/>
          <w:bCs/>
          <w:color w:val="auto"/>
          <w:sz w:val="24"/>
          <w:highlight w:val="none"/>
          <w:lang w:val="zh-CN"/>
        </w:rPr>
        <w:t xml:space="preserve">按第</w:t>
      </w:r>
      <w:r>
        <w:rPr>
          <w:rFonts w:hint="eastAsia"/>
          <w:bCs/>
          <w:color w:val="auto"/>
          <w:sz w:val="24"/>
          <w:highlight w:val="none"/>
        </w:rPr>
        <w:t xml:space="preserve">2</w:t>
      </w:r>
      <w:r>
        <w:rPr>
          <w:rFonts w:hint="eastAsia"/>
          <w:bCs/>
          <w:color w:val="auto"/>
          <w:sz w:val="24"/>
          <w:highlight w:val="none"/>
          <w:lang w:val="zh-CN"/>
        </w:rPr>
        <w:t xml:space="preserve">种方式确定中标人的，</w:t>
      </w:r>
      <w:r>
        <w:rPr>
          <w:rFonts w:hint="eastAsia"/>
          <w:bCs/>
          <w:color w:val="auto"/>
          <w:sz w:val="24"/>
          <w:highlight w:val="none"/>
        </w:rPr>
        <w:t xml:space="preserve">采购代理机构</w:t>
      </w:r>
      <w:r>
        <w:rPr>
          <w:rFonts w:hint="eastAsia"/>
          <w:bCs/>
          <w:color w:val="auto"/>
          <w:sz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color w:val="auto"/>
          <w:sz w:val="24"/>
          <w:szCs w:val="24"/>
          <w:highlight w:val="none"/>
        </w:rPr>
      </w:pPr>
      <w:r>
        <w:rPr>
          <w:rFonts w:hint="eastAsia"/>
          <w:bCs/>
          <w:color w:val="auto"/>
          <w:sz w:val="24"/>
          <w:szCs w:val="24"/>
          <w:highlight w:val="none"/>
        </w:rPr>
        <w:t xml:space="preserve">28.3 </w:t>
      </w:r>
      <w:r>
        <w:rPr>
          <w:rFonts w:hint="eastAsia"/>
          <w:color w:val="auto"/>
          <w:sz w:val="24"/>
          <w:szCs w:val="24"/>
          <w:highlight w:val="none"/>
        </w:rPr>
        <w:t xml:space="preserve">采购代理机构将在“宿迁市政府采购网</w:t>
      </w:r>
      <w:r>
        <w:rPr>
          <w:rFonts w:hint="eastAsia"/>
          <w:color w:val="auto"/>
          <w:sz w:val="24"/>
          <w:szCs w:val="24"/>
          <w:highlight w:val="none"/>
          <w:lang w:eastAsia="zh-CN"/>
        </w:rPr>
        <w:t xml:space="preserve">、</w:t>
      </w:r>
      <w:r>
        <w:rPr>
          <w:rFonts w:hint="eastAsia"/>
          <w:color w:val="auto"/>
          <w:sz w:val="24"/>
          <w:highlight w:val="none"/>
        </w:rPr>
        <w:t xml:space="preserve">江苏省财政部门指定的媒体</w:t>
      </w:r>
      <w:r>
        <w:rPr>
          <w:rFonts w:hint="eastAsia"/>
          <w:color w:val="auto"/>
          <w:sz w:val="24"/>
          <w:szCs w:val="24"/>
          <w:highlight w:val="none"/>
        </w:rPr>
        <w:t xml:space="preserve">”发布中标公告，公告期限为1个工作日。</w:t>
      </w:r>
      <w:r/>
    </w:p>
    <w:p>
      <w:pPr>
        <w:ind w:firstLine="480"/>
        <w:spacing w:line="560" w:lineRule="exact"/>
        <w:rPr>
          <w:color w:val="auto"/>
          <w:sz w:val="24"/>
          <w:szCs w:val="24"/>
          <w:highlight w:val="none"/>
        </w:rPr>
      </w:pPr>
      <w:r>
        <w:rPr>
          <w:rFonts w:hint="eastAsia"/>
          <w:color w:val="auto"/>
          <w:sz w:val="24"/>
          <w:szCs w:val="24"/>
          <w:highlight w:val="none"/>
        </w:rPr>
        <w:t xml:space="preserve">28.4  若有充分证据证明，中标人出现下列情况之一的，一经查实，将被取消中标资格：</w:t>
      </w:r>
      <w:r/>
    </w:p>
    <w:p>
      <w:pPr>
        <w:ind w:firstLine="480"/>
        <w:spacing w:line="560" w:lineRule="exact"/>
        <w:rPr>
          <w:color w:val="auto"/>
          <w:sz w:val="24"/>
          <w:szCs w:val="24"/>
          <w:highlight w:val="none"/>
        </w:rPr>
      </w:pPr>
      <w:r>
        <w:rPr>
          <w:rFonts w:hint="eastAsia"/>
          <w:color w:val="auto"/>
          <w:sz w:val="24"/>
          <w:szCs w:val="24"/>
          <w:highlight w:val="none"/>
        </w:rPr>
        <w:t xml:space="preserve">28.4.1提供虚假材料谋取中标的。</w:t>
      </w:r>
      <w:r/>
    </w:p>
    <w:p>
      <w:pPr>
        <w:ind w:firstLine="480"/>
        <w:spacing w:line="560" w:lineRule="exact"/>
        <w:rPr>
          <w:color w:val="auto"/>
          <w:sz w:val="24"/>
          <w:szCs w:val="24"/>
          <w:highlight w:val="none"/>
        </w:rPr>
      </w:pPr>
      <w:r>
        <w:rPr>
          <w:rFonts w:hint="eastAsia"/>
          <w:color w:val="auto"/>
          <w:sz w:val="24"/>
          <w:szCs w:val="24"/>
          <w:highlight w:val="none"/>
        </w:rPr>
        <w:t xml:space="preserve">28.4.2向采购人、采购代理机构行贿或者提供其他不正当利益的。</w:t>
      </w:r>
      <w:r/>
    </w:p>
    <w:p>
      <w:pPr>
        <w:ind w:firstLine="480"/>
        <w:spacing w:line="560" w:lineRule="exact"/>
        <w:rPr>
          <w:color w:val="auto"/>
          <w:sz w:val="24"/>
          <w:szCs w:val="24"/>
          <w:highlight w:val="none"/>
        </w:rPr>
      </w:pPr>
      <w:r>
        <w:rPr>
          <w:rFonts w:hint="eastAsia"/>
          <w:color w:val="auto"/>
          <w:sz w:val="24"/>
          <w:szCs w:val="24"/>
          <w:highlight w:val="none"/>
        </w:rPr>
        <w:t xml:space="preserve">28.4.3属于本文件规定的无效条件，但在评标过程中又未被评委会发现的。</w:t>
      </w:r>
      <w:r/>
    </w:p>
    <w:p>
      <w:pPr>
        <w:ind w:firstLine="480"/>
        <w:spacing w:line="560" w:lineRule="exact"/>
        <w:rPr>
          <w:color w:val="auto"/>
          <w:sz w:val="24"/>
          <w:szCs w:val="24"/>
          <w:highlight w:val="none"/>
        </w:rPr>
      </w:pPr>
      <w:r>
        <w:rPr>
          <w:rFonts w:hint="eastAsia"/>
          <w:color w:val="auto"/>
          <w:sz w:val="24"/>
          <w:szCs w:val="24"/>
          <w:highlight w:val="none"/>
        </w:rPr>
        <w:t xml:space="preserve">28.4.4与采购人或者其他投标人恶意串通的。</w:t>
      </w:r>
      <w:r/>
    </w:p>
    <w:p>
      <w:pPr>
        <w:ind w:firstLine="480"/>
        <w:spacing w:line="560" w:lineRule="exact"/>
        <w:rPr>
          <w:color w:val="auto"/>
          <w:sz w:val="24"/>
          <w:szCs w:val="24"/>
          <w:highlight w:val="none"/>
        </w:rPr>
      </w:pPr>
      <w:r>
        <w:rPr>
          <w:rFonts w:hint="eastAsia"/>
          <w:color w:val="auto"/>
          <w:sz w:val="24"/>
          <w:szCs w:val="24"/>
          <w:highlight w:val="none"/>
        </w:rPr>
        <w:t xml:space="preserve">28.4.5采取不正当手段诋毁、排挤其他投标人的。</w:t>
      </w:r>
      <w:r/>
    </w:p>
    <w:p>
      <w:pPr>
        <w:ind w:firstLine="480"/>
        <w:spacing w:line="560" w:lineRule="exact"/>
        <w:rPr>
          <w:color w:val="auto"/>
          <w:sz w:val="24"/>
          <w:szCs w:val="24"/>
          <w:highlight w:val="none"/>
        </w:rPr>
      </w:pPr>
      <w:r/>
      <w:bookmarkStart w:id="120" w:name="_Toc200451960"/>
      <w:r>
        <w:rPr>
          <w:rFonts w:hint="eastAsia"/>
          <w:color w:val="auto"/>
          <w:sz w:val="24"/>
          <w:szCs w:val="24"/>
          <w:highlight w:val="none"/>
        </w:rPr>
        <w:t xml:space="preserve">28.5 </w:t>
      </w:r>
      <w:r>
        <w:rPr>
          <w:rFonts w:cs="宋体"/>
          <w:color w:val="auto"/>
          <w:sz w:val="24"/>
          <w:szCs w:val="24"/>
          <w:highlight w:val="none"/>
        </w:rPr>
        <w:t xml:space="preserve">有下列情形之一的，</w:t>
      </w:r>
      <w:r>
        <w:rPr>
          <w:rFonts w:hint="eastAsia" w:cs="宋体"/>
          <w:color w:val="auto"/>
          <w:sz w:val="24"/>
          <w:szCs w:val="24"/>
          <w:highlight w:val="none"/>
        </w:rPr>
        <w:t xml:space="preserve">视为投标人</w:t>
      </w:r>
      <w:r>
        <w:rPr>
          <w:rFonts w:cs="宋体"/>
          <w:color w:val="auto"/>
          <w:sz w:val="24"/>
          <w:szCs w:val="24"/>
          <w:highlight w:val="none"/>
        </w:rPr>
        <w:t xml:space="preserve">串通</w:t>
      </w:r>
      <w:r>
        <w:rPr>
          <w:rFonts w:hint="eastAsia" w:cs="宋体"/>
          <w:color w:val="auto"/>
          <w:sz w:val="24"/>
          <w:szCs w:val="24"/>
          <w:highlight w:val="none"/>
        </w:rPr>
        <w:t xml:space="preserve">投标，投标无效：</w:t>
      </w:r>
      <w:r/>
    </w:p>
    <w:p>
      <w:pPr>
        <w:ind w:firstLine="480"/>
        <w:spacing w:line="560" w:lineRule="exact"/>
        <w:rPr>
          <w:color w:val="auto"/>
          <w:sz w:val="24"/>
          <w:szCs w:val="24"/>
          <w:highlight w:val="none"/>
        </w:rPr>
      </w:pPr>
      <w:r>
        <w:rPr>
          <w:rFonts w:hint="eastAsia"/>
          <w:color w:val="auto"/>
          <w:sz w:val="24"/>
          <w:szCs w:val="24"/>
          <w:highlight w:val="none"/>
        </w:rPr>
        <w:t xml:space="preserve">28.5.1不同投标人的投标文件由同一单位或者个人编制。</w:t>
      </w:r>
      <w:r/>
    </w:p>
    <w:p>
      <w:pPr>
        <w:ind w:firstLine="480"/>
        <w:spacing w:line="560" w:lineRule="exact"/>
        <w:rPr>
          <w:color w:val="auto"/>
          <w:sz w:val="24"/>
          <w:szCs w:val="24"/>
          <w:highlight w:val="none"/>
        </w:rPr>
      </w:pPr>
      <w:r>
        <w:rPr>
          <w:rFonts w:hint="eastAsia"/>
          <w:color w:val="auto"/>
          <w:sz w:val="24"/>
          <w:szCs w:val="24"/>
          <w:highlight w:val="none"/>
        </w:rPr>
        <w:t xml:space="preserve">28.5.2不同投标人委托同一单位或者个人办理投标事宜。</w:t>
      </w:r>
      <w:r/>
    </w:p>
    <w:p>
      <w:pPr>
        <w:ind w:firstLine="480"/>
        <w:spacing w:line="560" w:lineRule="exact"/>
        <w:rPr>
          <w:color w:val="auto"/>
          <w:sz w:val="24"/>
          <w:szCs w:val="24"/>
          <w:highlight w:val="none"/>
        </w:rPr>
      </w:pPr>
      <w:r>
        <w:rPr>
          <w:rFonts w:hint="eastAsia"/>
          <w:color w:val="auto"/>
          <w:sz w:val="24"/>
          <w:szCs w:val="24"/>
          <w:highlight w:val="none"/>
        </w:rPr>
        <w:t xml:space="preserve">28.5.3 不同投标人的投标文件载明的项目管理成员或者联系人员为同一人。</w:t>
      </w:r>
      <w:r/>
    </w:p>
    <w:p>
      <w:pPr>
        <w:ind w:firstLine="480"/>
        <w:spacing w:line="560" w:lineRule="exact"/>
        <w:rPr>
          <w:color w:val="auto"/>
          <w:sz w:val="24"/>
          <w:szCs w:val="24"/>
          <w:highlight w:val="none"/>
        </w:rPr>
      </w:pPr>
      <w:r>
        <w:rPr>
          <w:rFonts w:hint="eastAsia"/>
          <w:color w:val="auto"/>
          <w:sz w:val="24"/>
          <w:szCs w:val="24"/>
          <w:highlight w:val="none"/>
        </w:rPr>
        <w:t xml:space="preserve">28.5.4不同投标人的投标文件异常一致或者投标报价呈规律性差异。</w:t>
      </w:r>
      <w:r/>
    </w:p>
    <w:p>
      <w:pPr>
        <w:ind w:firstLine="600"/>
        <w:keepLines/>
        <w:keepNext/>
        <w:spacing w:line="560" w:lineRule="exact"/>
        <w:rPr>
          <w:rFonts w:eastAsia="黑体"/>
          <w:bCs/>
          <w:color w:val="auto"/>
          <w:sz w:val="30"/>
          <w:szCs w:val="30"/>
          <w:highlight w:val="none"/>
        </w:rPr>
        <w:outlineLvl w:val="3"/>
      </w:pPr>
      <w:r>
        <w:rPr>
          <w:rFonts w:hint="eastAsia" w:eastAsia="黑体"/>
          <w:bCs/>
          <w:color w:val="auto"/>
          <w:sz w:val="30"/>
          <w:szCs w:val="30"/>
          <w:highlight w:val="none"/>
        </w:rPr>
        <w:t xml:space="preserve">29、质疑处理</w:t>
      </w:r>
      <w:bookmarkEnd w:id="120"/>
      <w:r/>
      <w:r/>
    </w:p>
    <w:p>
      <w:pPr>
        <w:ind w:firstLine="480"/>
        <w:spacing w:line="560" w:lineRule="exact"/>
        <w:rPr>
          <w:color w:val="auto"/>
          <w:sz w:val="24"/>
          <w:szCs w:val="24"/>
          <w:highlight w:val="none"/>
        </w:rPr>
      </w:pPr>
      <w:r>
        <w:rPr>
          <w:rFonts w:hint="eastAsia"/>
          <w:color w:val="auto"/>
          <w:sz w:val="24"/>
          <w:szCs w:val="24"/>
          <w:highlight w:val="none"/>
        </w:rPr>
        <w:t xml:space="preserve">29.1 提出质疑的投标人应当是参与所质疑项目采购活动的投标人。潜在投标人依法获取其可质疑的采购文件的，可以对采购文件提出质疑。</w:t>
      </w:r>
      <w:r/>
    </w:p>
    <w:p>
      <w:pPr>
        <w:ind w:firstLine="480"/>
        <w:spacing w:line="560" w:lineRule="exact"/>
        <w:rPr>
          <w:color w:val="auto"/>
          <w:sz w:val="24"/>
          <w:szCs w:val="24"/>
          <w:highlight w:val="none"/>
        </w:rPr>
      </w:pPr>
      <w:r>
        <w:rPr>
          <w:rFonts w:hint="eastAsia"/>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29.2.1</w:t>
      </w:r>
      <w:r>
        <w:rPr>
          <w:rFonts w:cs="宋体"/>
          <w:color w:val="auto"/>
          <w:sz w:val="24"/>
          <w:szCs w:val="24"/>
          <w:highlight w:val="none"/>
        </w:rPr>
        <w:t xml:space="preserve">对可以质疑的采购文件提出质疑的，为收到采购文件之日或者采购文件公告期限届满之日；</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29.2.2</w:t>
      </w:r>
      <w:r>
        <w:rPr>
          <w:rFonts w:cs="宋体"/>
          <w:color w:val="auto"/>
          <w:sz w:val="24"/>
          <w:szCs w:val="24"/>
          <w:highlight w:val="none"/>
        </w:rPr>
        <w:t xml:space="preserve">对采购过程提出质疑的，为各采购程序环节结束之日；</w:t>
      </w:r>
      <w:r/>
    </w:p>
    <w:p>
      <w:pPr>
        <w:ind w:firstLine="480"/>
        <w:spacing w:line="560" w:lineRule="exact"/>
        <w:rPr>
          <w:rFonts w:cs="宋体"/>
          <w:color w:val="auto"/>
          <w:sz w:val="24"/>
          <w:szCs w:val="24"/>
          <w:highlight w:val="none"/>
        </w:rPr>
      </w:pPr>
      <w:r>
        <w:rPr>
          <w:rFonts w:hint="eastAsia"/>
          <w:color w:val="auto"/>
          <w:sz w:val="24"/>
          <w:szCs w:val="24"/>
          <w:highlight w:val="none"/>
        </w:rPr>
        <w:t xml:space="preserve">29.2.3</w:t>
      </w:r>
      <w:r>
        <w:rPr>
          <w:rFonts w:cs="宋体"/>
          <w:color w:val="auto"/>
          <w:sz w:val="24"/>
          <w:szCs w:val="24"/>
          <w:highlight w:val="none"/>
        </w:rPr>
        <w:t xml:space="preserve">对中标或者成交结果提出质疑的，为中标或者成交结果公告期限届满之日。</w:t>
      </w:r>
      <w:r/>
    </w:p>
    <w:p>
      <w:pPr>
        <w:ind w:firstLine="480"/>
        <w:spacing w:line="560" w:lineRule="exact"/>
        <w:rPr>
          <w:rFonts w:cs="宋体"/>
          <w:color w:val="auto"/>
          <w:sz w:val="24"/>
          <w:szCs w:val="24"/>
          <w:highlight w:val="none"/>
        </w:rPr>
      </w:pPr>
      <w:r>
        <w:rPr>
          <w:rFonts w:hint="eastAsia"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color w:val="auto"/>
          <w:sz w:val="24"/>
          <w:szCs w:val="24"/>
          <w:highlight w:val="none"/>
        </w:rPr>
        <w:t xml:space="preserve">采购人</w:t>
      </w:r>
      <w:r>
        <w:rPr>
          <w:rFonts w:hint="eastAsia" w:cs="宋体"/>
          <w:color w:val="auto"/>
          <w:sz w:val="24"/>
          <w:szCs w:val="24"/>
          <w:highlight w:val="none"/>
        </w:rPr>
        <w:t xml:space="preserve">将只对投标人第一次质疑作出答复。</w:t>
      </w:r>
      <w:r/>
    </w:p>
    <w:p>
      <w:pPr>
        <w:ind w:firstLine="480"/>
        <w:spacing w:line="560" w:lineRule="exact"/>
        <w:rPr>
          <w:color w:val="auto"/>
          <w:sz w:val="24"/>
          <w:szCs w:val="24"/>
          <w:highlight w:val="none"/>
        </w:rPr>
      </w:pPr>
      <w:r>
        <w:rPr>
          <w:rFonts w:hint="eastAsia"/>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color w:val="auto"/>
          <w:sz w:val="24"/>
          <w:szCs w:val="24"/>
          <w:highlight w:val="none"/>
        </w:rPr>
      </w:pPr>
      <w:r>
        <w:rPr>
          <w:color w:val="auto"/>
          <w:sz w:val="24"/>
          <w:szCs w:val="24"/>
          <w:highlight w:val="none"/>
        </w:rPr>
        <w:t xml:space="preserve">29</w:t>
      </w:r>
      <w:r>
        <w:rPr>
          <w:rFonts w:hint="eastAsia"/>
          <w:color w:val="auto"/>
          <w:sz w:val="24"/>
          <w:szCs w:val="24"/>
          <w:highlight w:val="none"/>
        </w:rPr>
        <w:t xml:space="preserve">.4 投标人应以书面形式向采购人或者其委托的采购代理机构提出质疑。质疑超出采购机构代理范围的，投标人应当向采购人提出。</w:t>
      </w:r>
      <w:r/>
    </w:p>
    <w:p>
      <w:pPr>
        <w:ind w:firstLine="480"/>
        <w:spacing w:line="560" w:lineRule="exact"/>
        <w:rPr>
          <w:color w:val="auto"/>
          <w:sz w:val="24"/>
          <w:szCs w:val="24"/>
          <w:highlight w:val="none"/>
        </w:rPr>
      </w:pPr>
      <w:r>
        <w:rPr>
          <w:rFonts w:hint="eastAsia"/>
          <w:color w:val="auto"/>
          <w:sz w:val="24"/>
          <w:szCs w:val="24"/>
          <w:highlight w:val="none"/>
        </w:rPr>
        <w:t xml:space="preserve">接收质疑函的方式：现场接收或邮寄接收。</w:t>
      </w:r>
      <w:r/>
    </w:p>
    <w:p>
      <w:pPr>
        <w:ind w:firstLine="480"/>
        <w:spacing w:line="560" w:lineRule="exact"/>
        <w:rPr>
          <w:color w:val="auto"/>
          <w:sz w:val="24"/>
          <w:szCs w:val="24"/>
          <w:highlight w:val="none"/>
        </w:rPr>
      </w:pPr>
      <w:r>
        <w:rPr>
          <w:rFonts w:hint="eastAsia"/>
          <w:color w:val="auto"/>
          <w:sz w:val="24"/>
          <w:szCs w:val="24"/>
          <w:highlight w:val="none"/>
        </w:rPr>
        <w:t xml:space="preserve">联系部门：</w:t>
      </w:r>
      <w:r>
        <w:rPr>
          <w:rFonts w:hint="eastAsia"/>
          <w:color w:val="auto"/>
          <w:sz w:val="24"/>
          <w:szCs w:val="24"/>
          <w:highlight w:val="none"/>
          <w:u w:val="single"/>
        </w:rPr>
        <w:t xml:space="preserve">采购人或采购代理机构</w:t>
      </w:r>
      <w:r/>
    </w:p>
    <w:p>
      <w:pPr>
        <w:ind w:firstLine="480"/>
        <w:spacing w:line="560" w:lineRule="exact"/>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u w:val="single"/>
        </w:rPr>
        <w:t xml:space="preserve">18800656272</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0527-85221718  15051004756</w:t>
      </w:r>
      <w:r/>
    </w:p>
    <w:p>
      <w:pPr>
        <w:ind w:firstLine="480"/>
        <w:spacing w:line="560" w:lineRule="exact"/>
        <w:rPr>
          <w:color w:val="auto"/>
          <w:sz w:val="24"/>
          <w:szCs w:val="24"/>
          <w:highlight w:val="none"/>
        </w:rPr>
      </w:pPr>
      <w:r>
        <w:rPr>
          <w:rFonts w:hint="eastAsia"/>
          <w:color w:val="auto"/>
          <w:sz w:val="24"/>
          <w:szCs w:val="24"/>
          <w:highlight w:val="none"/>
        </w:rPr>
        <w:t xml:space="preserve">通讯地址：</w:t>
      </w:r>
      <w:r>
        <w:rPr>
          <w:rFonts w:hint="eastAsia"/>
          <w:color w:val="auto"/>
          <w:sz w:val="24"/>
          <w:szCs w:val="24"/>
          <w:highlight w:val="none"/>
          <w:u w:val="single"/>
        </w:rPr>
        <w:t xml:space="preserve">泗阳县行政服务中心/泗阳县泗水古城商业街B段02栋三楼</w:t>
      </w:r>
      <w:r/>
    </w:p>
    <w:p>
      <w:pPr>
        <w:ind w:firstLine="480"/>
        <w:spacing w:line="560" w:lineRule="exact"/>
        <w:rPr>
          <w:color w:val="auto"/>
          <w:sz w:val="24"/>
          <w:szCs w:val="24"/>
          <w:highlight w:val="none"/>
        </w:rPr>
      </w:pPr>
      <w:r>
        <w:rPr>
          <w:rFonts w:hint="eastAsia"/>
          <w:color w:val="auto"/>
          <w:sz w:val="24"/>
          <w:szCs w:val="24"/>
          <w:highlight w:val="none"/>
        </w:rPr>
        <w:t xml:space="preserve">29.5 以下情形的质疑不予受理</w:t>
      </w:r>
      <w:r/>
    </w:p>
    <w:p>
      <w:pPr>
        <w:ind w:firstLine="480"/>
        <w:spacing w:line="560" w:lineRule="exact"/>
        <w:rPr>
          <w:color w:val="auto"/>
          <w:sz w:val="24"/>
          <w:szCs w:val="24"/>
          <w:highlight w:val="none"/>
        </w:rPr>
      </w:pPr>
      <w:r>
        <w:rPr>
          <w:rFonts w:hint="eastAsia"/>
          <w:color w:val="auto"/>
          <w:sz w:val="24"/>
          <w:szCs w:val="24"/>
          <w:highlight w:val="none"/>
        </w:rPr>
        <w:t xml:space="preserve">29.5.1 内容不符合《政府采购质疑和投诉办法》第十二条规定的质疑。</w:t>
      </w:r>
      <w:r/>
    </w:p>
    <w:p>
      <w:pPr>
        <w:ind w:firstLine="480"/>
        <w:spacing w:line="560" w:lineRule="exact"/>
        <w:rPr>
          <w:color w:val="auto"/>
          <w:sz w:val="24"/>
          <w:szCs w:val="24"/>
          <w:highlight w:val="none"/>
        </w:rPr>
      </w:pPr>
      <w:r>
        <w:rPr>
          <w:rFonts w:hint="eastAsia"/>
          <w:color w:val="auto"/>
          <w:sz w:val="24"/>
          <w:szCs w:val="24"/>
          <w:highlight w:val="none"/>
        </w:rPr>
        <w:t xml:space="preserve">29.5.2 超出政府采购法定期限的质疑。</w:t>
      </w:r>
      <w:r/>
    </w:p>
    <w:p>
      <w:pPr>
        <w:ind w:firstLine="480"/>
        <w:spacing w:line="560" w:lineRule="exact"/>
        <w:rPr>
          <w:color w:val="auto"/>
          <w:sz w:val="24"/>
          <w:szCs w:val="24"/>
          <w:highlight w:val="none"/>
        </w:rPr>
      </w:pPr>
      <w:r>
        <w:rPr>
          <w:rFonts w:hint="eastAsia"/>
          <w:color w:val="auto"/>
          <w:sz w:val="24"/>
          <w:szCs w:val="24"/>
          <w:highlight w:val="none"/>
        </w:rPr>
        <w:t xml:space="preserve">29.5.3 以传真、电子邮件等方式递交的非原件形式的质疑。</w:t>
      </w:r>
      <w:r/>
    </w:p>
    <w:p>
      <w:pPr>
        <w:ind w:firstLine="480"/>
        <w:spacing w:line="560" w:lineRule="exact"/>
        <w:rPr>
          <w:color w:val="auto"/>
          <w:sz w:val="24"/>
          <w:szCs w:val="24"/>
          <w:highlight w:val="none"/>
        </w:rPr>
      </w:pPr>
      <w:r>
        <w:rPr>
          <w:rFonts w:hint="eastAsia"/>
          <w:color w:val="auto"/>
          <w:sz w:val="24"/>
          <w:szCs w:val="24"/>
          <w:highlight w:val="none"/>
        </w:rPr>
        <w:t xml:space="preserve">29.5.4 未参加投标活动的投标人或在投标活动中自身权益未受到损害的投标人所提出的质疑。</w:t>
      </w:r>
      <w:r/>
    </w:p>
    <w:p>
      <w:pPr>
        <w:ind w:firstLine="480"/>
        <w:spacing w:line="560" w:lineRule="exact"/>
        <w:rPr>
          <w:color w:val="auto"/>
          <w:sz w:val="24"/>
          <w:szCs w:val="24"/>
          <w:highlight w:val="none"/>
        </w:rPr>
      </w:pPr>
      <w:r>
        <w:rPr>
          <w:rFonts w:hint="eastAsia"/>
          <w:color w:val="auto"/>
          <w:sz w:val="24"/>
          <w:szCs w:val="24"/>
          <w:highlight w:val="none"/>
        </w:rPr>
        <w:t xml:space="preserve">29.5.5投标人组成联合体参加投标，联合体中任何一方或多方未按要求签字、盖章、加盖公章的质疑。</w:t>
      </w:r>
      <w:r/>
    </w:p>
    <w:p>
      <w:pPr>
        <w:ind w:firstLine="468"/>
        <w:spacing w:line="560" w:lineRule="exact"/>
        <w:rPr>
          <w:color w:val="auto"/>
          <w:sz w:val="24"/>
          <w:szCs w:val="24"/>
          <w:highlight w:val="none"/>
        </w:rPr>
      </w:pPr>
      <w:r>
        <w:rPr>
          <w:rFonts w:hint="eastAsia"/>
          <w:color w:val="auto"/>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color w:val="auto"/>
          <w:sz w:val="24"/>
          <w:szCs w:val="24"/>
          <w:highlight w:val="none"/>
        </w:rPr>
      </w:pPr>
      <w:r>
        <w:rPr>
          <w:rFonts w:hint="eastAsia"/>
          <w:color w:val="auto"/>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eastAsia="黑体"/>
          <w:bCs/>
          <w:color w:val="auto"/>
          <w:sz w:val="30"/>
          <w:szCs w:val="30"/>
          <w:highlight w:val="none"/>
        </w:rPr>
        <w:outlineLvl w:val="3"/>
      </w:pPr>
      <w:r>
        <w:rPr>
          <w:rFonts w:hint="eastAsia" w:eastAsia="黑体"/>
          <w:bCs/>
          <w:color w:val="auto"/>
          <w:sz w:val="30"/>
          <w:szCs w:val="30"/>
          <w:highlight w:val="none"/>
        </w:rPr>
        <w:t xml:space="preserve">30、中标通知书</w:t>
      </w:r>
      <w:r/>
    </w:p>
    <w:p>
      <w:pPr>
        <w:ind w:firstLine="600"/>
        <w:spacing w:line="560" w:lineRule="exact"/>
        <w:rPr>
          <w:color w:val="auto"/>
          <w:sz w:val="24"/>
          <w:szCs w:val="24"/>
          <w:highlight w:val="none"/>
        </w:rPr>
      </w:pPr>
      <w:r/>
      <w:bookmarkStart w:id="121" w:name="_Toc20823308"/>
      <w:r/>
      <w:bookmarkStart w:id="122" w:name="_Toc16938552"/>
      <w:r/>
      <w:bookmarkStart w:id="123" w:name="_Toc513029236"/>
      <w:r/>
      <w:bookmarkStart w:id="124" w:name="_Toc120614220"/>
      <w:r>
        <w:rPr>
          <w:rFonts w:hint="eastAsia"/>
          <w:color w:val="auto"/>
          <w:sz w:val="24"/>
          <w:szCs w:val="24"/>
          <w:highlight w:val="none"/>
        </w:rPr>
        <w:t xml:space="preserve">30.l</w:t>
      </w:r>
      <w:r>
        <w:rPr>
          <w:rFonts w:hint="eastAsia"/>
          <w:b/>
          <w:color w:val="auto"/>
          <w:sz w:val="24"/>
          <w:szCs w:val="24"/>
          <w:highlight w:val="none"/>
        </w:rPr>
        <w:t xml:space="preserve"> </w:t>
      </w:r>
      <w:r>
        <w:rPr>
          <w:rFonts w:hint="eastAsia"/>
          <w:color w:val="auto"/>
          <w:sz w:val="24"/>
          <w:szCs w:val="24"/>
          <w:highlight w:val="none"/>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color w:val="auto"/>
          <w:sz w:val="24"/>
          <w:szCs w:val="24"/>
          <w:highlight w:val="none"/>
        </w:rPr>
      </w:pPr>
      <w:r>
        <w:rPr>
          <w:rFonts w:hint="eastAsia"/>
          <w:color w:val="auto"/>
          <w:sz w:val="24"/>
          <w:szCs w:val="24"/>
          <w:highlight w:val="none"/>
        </w:rPr>
        <w:t xml:space="preserve">30.</w:t>
      </w:r>
      <w:r>
        <w:rPr>
          <w:color w:val="auto"/>
          <w:sz w:val="24"/>
          <w:szCs w:val="24"/>
          <w:highlight w:val="none"/>
        </w:rPr>
        <w:t xml:space="preserve">2</w:t>
      </w:r>
      <w:r>
        <w:rPr>
          <w:rFonts w:hint="eastAsia"/>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keepLines/>
        <w:keepNext/>
        <w:spacing w:line="560" w:lineRule="exact"/>
        <w:rPr>
          <w:b/>
          <w:bCs/>
          <w:color w:val="auto"/>
          <w:sz w:val="32"/>
          <w:szCs w:val="32"/>
          <w:highlight w:val="none"/>
        </w:rPr>
        <w:outlineLvl w:val="2"/>
      </w:pPr>
      <w:r/>
      <w:bookmarkStart w:id="125" w:name="_Toc7656"/>
      <w:r>
        <w:rPr>
          <w:rFonts w:hint="eastAsia"/>
          <w:b/>
          <w:bCs/>
          <w:color w:val="auto"/>
          <w:sz w:val="32"/>
          <w:szCs w:val="32"/>
          <w:highlight w:val="none"/>
        </w:rPr>
        <w:t xml:space="preserve">七、授予合同</w:t>
      </w:r>
      <w:bookmarkEnd w:id="121"/>
      <w:r/>
      <w:bookmarkEnd w:id="122"/>
      <w:r/>
      <w:bookmarkEnd w:id="123"/>
      <w:r/>
      <w:bookmarkEnd w:id="124"/>
      <w:r/>
      <w:bookmarkEnd w:id="125"/>
      <w:r/>
      <w:r/>
    </w:p>
    <w:p>
      <w:pPr>
        <w:ind w:firstLine="600"/>
        <w:keepLines/>
        <w:keepNext/>
        <w:spacing w:line="560" w:lineRule="exact"/>
        <w:rPr>
          <w:rFonts w:eastAsia="黑体"/>
          <w:bCs/>
          <w:color w:val="auto"/>
          <w:sz w:val="30"/>
          <w:szCs w:val="30"/>
          <w:highlight w:val="none"/>
        </w:rPr>
        <w:outlineLvl w:val="3"/>
      </w:pPr>
      <w:r/>
      <w:bookmarkStart w:id="126" w:name="_Toc16938553"/>
      <w:r/>
      <w:bookmarkStart w:id="127" w:name="_Toc513029237"/>
      <w:r/>
      <w:bookmarkStart w:id="128" w:name="_Toc20823309"/>
      <w:r>
        <w:rPr>
          <w:rFonts w:hint="eastAsia" w:eastAsia="黑体"/>
          <w:bCs/>
          <w:color w:val="auto"/>
          <w:sz w:val="30"/>
          <w:szCs w:val="30"/>
          <w:highlight w:val="none"/>
        </w:rPr>
        <w:t xml:space="preserve">31. 签订合同</w:t>
      </w:r>
      <w:r/>
    </w:p>
    <w:p>
      <w:pPr>
        <w:ind w:firstLine="600"/>
        <w:spacing w:line="560" w:lineRule="exact"/>
        <w:rPr>
          <w:bCs/>
          <w:color w:val="auto"/>
          <w:sz w:val="24"/>
          <w:highlight w:val="none"/>
          <w:lang w:val="zh-CN"/>
        </w:rPr>
      </w:pPr>
      <w:r>
        <w:rPr>
          <w:rFonts w:hint="eastAsia"/>
          <w:bCs/>
          <w:color w:val="auto"/>
          <w:sz w:val="24"/>
          <w:szCs w:val="24"/>
          <w:highlight w:val="none"/>
        </w:rPr>
        <w:t xml:space="preserve">31</w:t>
      </w:r>
      <w:r>
        <w:rPr>
          <w:rFonts w:hint="eastAsia"/>
          <w:color w:val="auto"/>
          <w:sz w:val="24"/>
          <w:szCs w:val="24"/>
          <w:highlight w:val="none"/>
        </w:rPr>
        <w:t xml:space="preserve">.l中标人应当在中标通知书发出之日起15日内，按照招标文件确定的事项与采购人签订政府采购合同。</w:t>
      </w:r>
      <w:r>
        <w:rPr>
          <w:rFonts w:hint="eastAsia"/>
          <w:bCs/>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color w:val="auto"/>
          <w:sz w:val="24"/>
          <w:szCs w:val="24"/>
          <w:highlight w:val="none"/>
        </w:rPr>
      </w:pPr>
      <w:r>
        <w:rPr>
          <w:rFonts w:hint="eastAsia"/>
          <w:color w:val="auto"/>
          <w:sz w:val="24"/>
          <w:szCs w:val="24"/>
          <w:highlight w:val="none"/>
        </w:rPr>
        <w:t xml:space="preserve">31.2招标文件、中标人的投标文件及招标过程中有关澄清、承诺文件均应作为合同附件。</w:t>
      </w:r>
      <w:r/>
    </w:p>
    <w:p>
      <w:pPr>
        <w:ind w:firstLine="600"/>
        <w:spacing w:line="560" w:lineRule="exact"/>
        <w:rPr>
          <w:color w:val="auto"/>
          <w:sz w:val="24"/>
          <w:szCs w:val="24"/>
          <w:highlight w:val="none"/>
        </w:rPr>
      </w:pPr>
      <w:r>
        <w:rPr>
          <w:rFonts w:hint="eastAsia"/>
          <w:color w:val="auto"/>
          <w:sz w:val="24"/>
          <w:szCs w:val="24"/>
          <w:highlight w:val="none"/>
        </w:rPr>
        <w:t xml:space="preserve">31.4本项目的非主体、非关键性工作是否允许分包按以下第</w:t>
      </w:r>
      <w:r>
        <w:rPr>
          <w:rFonts w:hint="eastAsia"/>
          <w:color w:val="auto"/>
          <w:sz w:val="24"/>
          <w:szCs w:val="24"/>
          <w:highlight w:val="none"/>
          <w:u w:val="single"/>
        </w:rPr>
        <w:t xml:space="preserve"> 2 </w:t>
      </w:r>
      <w:r>
        <w:rPr>
          <w:rFonts w:hint="eastAsia"/>
          <w:color w:val="auto"/>
          <w:sz w:val="24"/>
          <w:szCs w:val="24"/>
          <w:highlight w:val="none"/>
        </w:rPr>
        <w:t xml:space="preserve">种方式确定：</w:t>
      </w:r>
      <w:r/>
    </w:p>
    <w:p>
      <w:pPr>
        <w:ind w:firstLine="720"/>
        <w:spacing w:line="560" w:lineRule="exact"/>
        <w:rPr>
          <w:color w:val="auto"/>
          <w:sz w:val="24"/>
          <w:szCs w:val="24"/>
          <w:highlight w:val="none"/>
          <w:u w:val="single"/>
        </w:rPr>
      </w:pPr>
      <w:r>
        <w:rPr>
          <w:rFonts w:hint="eastAsia"/>
          <w:color w:val="auto"/>
          <w:sz w:val="24"/>
          <w:szCs w:val="24"/>
          <w:highlight w:val="none"/>
        </w:rPr>
        <w:t xml:space="preserve">1.允许分包，允许大中型企业向一家或者多家小微企业分包，分包具体内容、金额或比例：</w:t>
      </w:r>
      <w:r>
        <w:rPr>
          <w:color w:val="auto"/>
          <w:sz w:val="24"/>
          <w:szCs w:val="24"/>
          <w:highlight w:val="none"/>
          <w:u w:val="single"/>
        </w:rPr>
        <w:t xml:space="preserve">大中型企业向小微企业分包的，如果分包意向协议约定小微企业的合同份额占到合同总金额30%以上的，对大中型企业的报价给予的扣除（扣除比例详见“评标办法与评审标准”-“（四）政府采购政策功能落实”条款），用扣除后的价格参加评审。</w:t>
      </w:r>
      <w:r/>
    </w:p>
    <w:p>
      <w:pPr>
        <w:ind w:firstLine="480"/>
        <w:spacing w:line="560" w:lineRule="exact"/>
        <w:rPr>
          <w:color w:val="auto"/>
          <w:sz w:val="24"/>
          <w:szCs w:val="24"/>
          <w:highlight w:val="none"/>
          <w:u w:val="single"/>
        </w:rPr>
      </w:pPr>
      <w:r>
        <w:rPr>
          <w:color w:val="auto"/>
          <w:sz w:val="24"/>
          <w:szCs w:val="24"/>
          <w:highlight w:val="none"/>
          <w:u w:val="single"/>
        </w:rPr>
        <w:t xml:space="preserve">备注：1、投标人须在投标文件中提供分包意向协议（格式自拟）；（1）分包意向协议要明确分包人的名称，分包内容，所占合同总金额比例等。（2）分包要求：投标人须上传真实、有效的中小企业预留份额合同原件扫描件</w:t>
      </w:r>
      <w:r>
        <w:rPr>
          <w:rFonts w:hint="eastAsia"/>
          <w:color w:val="auto"/>
          <w:sz w:val="24"/>
          <w:szCs w:val="24"/>
          <w:highlight w:val="none"/>
          <w:u w:val="single"/>
        </w:rPr>
        <w:t xml:space="preserve">。2、</w:t>
      </w:r>
      <w:r>
        <w:rPr>
          <w:color w:val="auto"/>
          <w:sz w:val="24"/>
          <w:szCs w:val="24"/>
          <w:highlight w:val="none"/>
          <w:u w:val="single"/>
        </w:rPr>
        <w:t xml:space="preserve">投标人须在《中小企业声明函》中填写签订分包意向协议的中小企业相关信息。须按《中小企业声明函》中的要求正确填写。</w:t>
      </w:r>
      <w:r/>
    </w:p>
    <w:p>
      <w:pPr>
        <w:ind w:firstLine="600"/>
        <w:spacing w:line="560" w:lineRule="exact"/>
        <w:rPr>
          <w:color w:val="auto"/>
          <w:sz w:val="24"/>
          <w:szCs w:val="24"/>
          <w:highlight w:val="none"/>
        </w:rPr>
      </w:pPr>
      <w:r>
        <w:rPr>
          <w:rFonts w:hint="eastAsia"/>
          <w:color w:val="auto"/>
          <w:sz w:val="24"/>
          <w:szCs w:val="24"/>
          <w:highlight w:val="none"/>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bCs/>
          <w:color w:val="auto"/>
          <w:sz w:val="24"/>
          <w:highlight w:val="none"/>
        </w:rPr>
      </w:pPr>
      <w:r>
        <w:rPr>
          <w:rFonts w:hint="eastAsia"/>
          <w:bCs/>
          <w:color w:val="auto"/>
          <w:sz w:val="24"/>
          <w:highlight w:val="none"/>
        </w:rPr>
        <w:t xml:space="preserve">31.4履约保证金</w:t>
      </w:r>
      <w:r/>
    </w:p>
    <w:p>
      <w:pPr>
        <w:ind w:firstLine="480"/>
        <w:spacing w:line="560" w:lineRule="exact"/>
        <w:rPr>
          <w:bCs/>
          <w:color w:val="auto"/>
          <w:sz w:val="24"/>
          <w:highlight w:val="none"/>
          <w:lang w:val="zh-CN"/>
        </w:rPr>
      </w:pPr>
      <w:r>
        <w:rPr>
          <w:rFonts w:hint="eastAsia"/>
          <w:bCs/>
          <w:color w:val="auto"/>
          <w:sz w:val="24"/>
          <w:highlight w:val="none"/>
          <w:lang w:val="zh-CN"/>
        </w:rPr>
        <w:t xml:space="preserve">按照以下第</w:t>
      </w:r>
      <w:r>
        <w:rPr>
          <w:rFonts w:hint="eastAsia"/>
          <w:bCs/>
          <w:color w:val="auto"/>
          <w:sz w:val="24"/>
          <w:highlight w:val="none"/>
          <w:u w:val="single"/>
        </w:rPr>
        <w:t xml:space="preserve"> 2 </w:t>
      </w:r>
      <w:r>
        <w:rPr>
          <w:rFonts w:hint="eastAsia"/>
          <w:bCs/>
          <w:color w:val="auto"/>
          <w:sz w:val="24"/>
          <w:highlight w:val="none"/>
          <w:lang w:val="zh-CN"/>
        </w:rPr>
        <w:t xml:space="preserve">方式确定履约保证收取方式。</w:t>
      </w:r>
      <w:r/>
    </w:p>
    <w:p>
      <w:pPr>
        <w:ind w:firstLine="480"/>
        <w:spacing w:line="560" w:lineRule="exact"/>
        <w:rPr>
          <w:bCs/>
          <w:color w:val="auto"/>
          <w:sz w:val="24"/>
          <w:highlight w:val="none"/>
          <w:lang w:val="zh-CN"/>
        </w:rPr>
      </w:pPr>
      <w:r>
        <w:rPr>
          <w:rFonts w:hint="eastAsia"/>
          <w:bCs/>
          <w:color w:val="auto"/>
          <w:sz w:val="24"/>
          <w:highlight w:val="none"/>
          <w:lang w:val="zh-CN"/>
        </w:rPr>
        <w:t xml:space="preserve">(1)不收取履约保证金。</w:t>
      </w:r>
      <w:r/>
    </w:p>
    <w:p>
      <w:pPr>
        <w:ind w:firstLine="480"/>
        <w:spacing w:line="560" w:lineRule="exact"/>
        <w:rPr>
          <w:bCs/>
          <w:color w:val="auto"/>
          <w:sz w:val="24"/>
          <w:highlight w:val="none"/>
          <w:lang w:val="zh-CN"/>
        </w:rPr>
      </w:pPr>
      <w:r>
        <w:rPr>
          <w:rFonts w:hint="eastAsia"/>
          <w:bCs/>
          <w:color w:val="auto"/>
          <w:sz w:val="24"/>
          <w:highlight w:val="none"/>
          <w:lang w:val="zh-CN"/>
        </w:rPr>
        <w:t xml:space="preserve">(2)履约保证金应在采购合同签订前提交，履约保证金的金额：按采购合同总价的</w:t>
      </w:r>
      <w:r>
        <w:rPr>
          <w:rFonts w:hint="eastAsia"/>
          <w:bCs/>
          <w:color w:val="auto"/>
          <w:sz w:val="24"/>
          <w:highlight w:val="none"/>
          <w:u w:val="single"/>
        </w:rPr>
        <w:t xml:space="preserve">10 </w:t>
      </w:r>
      <w:r>
        <w:rPr>
          <w:rFonts w:hint="eastAsia"/>
          <w:bCs/>
          <w:color w:val="auto"/>
          <w:sz w:val="24"/>
          <w:highlight w:val="none"/>
          <w:lang w:val="zh-CN"/>
        </w:rPr>
        <w:t xml:space="preserve">%计取（使用江苏政府采购电子履约保函（保险）代替缴纳履约保证金，按采购合同总价的</w:t>
      </w:r>
      <w:r>
        <w:rPr>
          <w:rFonts w:hint="eastAsia"/>
          <w:bCs/>
          <w:color w:val="auto"/>
          <w:sz w:val="24"/>
          <w:highlight w:val="none"/>
          <w:u w:val="single"/>
        </w:rPr>
        <w:t xml:space="preserve"> 6 </w:t>
      </w:r>
      <w:r>
        <w:rPr>
          <w:rFonts w:hint="eastAsia"/>
          <w:bCs/>
          <w:color w:val="auto"/>
          <w:sz w:val="24"/>
          <w:highlight w:val="none"/>
          <w:lang w:val="zh-CN"/>
        </w:rPr>
        <w:t xml:space="preserve">%）计取。</w:t>
      </w:r>
      <w:r/>
    </w:p>
    <w:p>
      <w:pPr>
        <w:ind w:firstLine="480"/>
        <w:spacing w:line="360" w:lineRule="auto"/>
        <w:rPr>
          <w:color w:val="auto"/>
          <w:sz w:val="24"/>
          <w:szCs w:val="24"/>
          <w:highlight w:val="none"/>
          <w:lang w:val="zh-CN"/>
        </w:rPr>
      </w:pPr>
      <w:r>
        <w:rPr>
          <w:rFonts w:hint="eastAsia"/>
          <w:color w:val="auto"/>
          <w:sz w:val="24"/>
          <w:szCs w:val="24"/>
          <w:highlight w:val="none"/>
          <w:lang w:val="zh-CN"/>
        </w:rPr>
        <w:t xml:space="preserve">除银行电汇、网上银行、数字人民币外，供应商还可选用银行保函、担保公司的保证担保或保险公司的保证保险等多种形式向采购人缴纳；</w:t>
      </w:r>
      <w:r/>
    </w:p>
    <w:p>
      <w:pPr>
        <w:ind w:firstLine="480"/>
        <w:spacing w:line="360" w:lineRule="auto"/>
        <w:rPr>
          <w:color w:val="auto"/>
          <w:sz w:val="24"/>
          <w:szCs w:val="24"/>
          <w:highlight w:val="none"/>
        </w:rPr>
      </w:pPr>
      <w:r>
        <w:rPr>
          <w:rFonts w:hint="eastAsia"/>
          <w:color w:val="auto"/>
          <w:sz w:val="24"/>
          <w:szCs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color w:val="auto"/>
          <w:sz w:val="24"/>
          <w:szCs w:val="24"/>
          <w:highlight w:val="none"/>
        </w:rPr>
      </w:pPr>
      <w:r>
        <w:rPr>
          <w:rFonts w:hint="eastAsia"/>
          <w:color w:val="auto"/>
          <w:sz w:val="24"/>
          <w:szCs w:val="24"/>
          <w:highlight w:val="none"/>
        </w:rPr>
        <w:t xml:space="preserve">履约保证金退还的条件：按以下第</w:t>
      </w:r>
      <w:r>
        <w:rPr>
          <w:rFonts w:hint="eastAsia"/>
          <w:color w:val="auto"/>
          <w:sz w:val="24"/>
          <w:szCs w:val="24"/>
          <w:highlight w:val="none"/>
          <w:u w:val="single"/>
        </w:rPr>
        <w:t xml:space="preserve">  b  </w:t>
      </w:r>
      <w:r>
        <w:rPr>
          <w:rFonts w:hint="eastAsia"/>
          <w:color w:val="auto"/>
          <w:sz w:val="24"/>
          <w:szCs w:val="24"/>
          <w:highlight w:val="none"/>
        </w:rPr>
        <w:t xml:space="preserve">种方式实行：</w:t>
      </w:r>
      <w:r/>
    </w:p>
    <w:p>
      <w:pPr>
        <w:ind w:firstLine="480"/>
        <w:spacing w:line="360" w:lineRule="auto"/>
        <w:rPr>
          <w:color w:val="auto"/>
          <w:sz w:val="24"/>
          <w:szCs w:val="24"/>
          <w:highlight w:val="none"/>
        </w:rPr>
      </w:pPr>
      <w:r>
        <w:rPr>
          <w:rFonts w:hint="eastAsia"/>
          <w:color w:val="auto"/>
          <w:sz w:val="24"/>
          <w:szCs w:val="24"/>
          <w:highlight w:val="none"/>
        </w:rPr>
        <w:t xml:space="preserve">a、货物类项目，项目验收合格，出具验收报告及履约保证金收据申请退付；</w:t>
      </w:r>
      <w:r/>
    </w:p>
    <w:p>
      <w:pPr>
        <w:ind w:firstLine="480"/>
        <w:spacing w:line="360" w:lineRule="auto"/>
        <w:rPr>
          <w:color w:val="auto"/>
          <w:sz w:val="24"/>
          <w:szCs w:val="24"/>
          <w:highlight w:val="none"/>
        </w:rPr>
      </w:pPr>
      <w:r>
        <w:rPr>
          <w:rFonts w:hint="eastAsia"/>
          <w:color w:val="auto"/>
          <w:sz w:val="24"/>
          <w:szCs w:val="24"/>
          <w:highlight w:val="none"/>
        </w:rPr>
        <w:t xml:space="preserve">b、服务类项目，项目履约期满评价合格，出具履约评价报告及履约保证金收据申请退付；</w:t>
      </w:r>
      <w:r/>
    </w:p>
    <w:p>
      <w:pPr>
        <w:ind w:firstLine="480"/>
        <w:spacing w:line="360" w:lineRule="auto"/>
        <w:rPr>
          <w:color w:val="auto"/>
          <w:sz w:val="24"/>
          <w:szCs w:val="24"/>
          <w:highlight w:val="none"/>
        </w:rPr>
      </w:pPr>
      <w:r>
        <w:rPr>
          <w:rFonts w:hint="eastAsia"/>
          <w:color w:val="auto"/>
          <w:sz w:val="24"/>
          <w:szCs w:val="24"/>
          <w:highlight w:val="none"/>
        </w:rPr>
        <w:t xml:space="preserve">c、工程类项目，项目完工验收合格，出具完工证明及履约保证金收据申请退付；履约保证金退还时间：采购单位收到投标人退付申请后5个工作日内退还；</w:t>
      </w:r>
      <w:r/>
    </w:p>
    <w:p>
      <w:pPr>
        <w:ind w:firstLine="480"/>
        <w:spacing w:line="360" w:lineRule="auto"/>
        <w:rPr>
          <w:color w:val="auto"/>
          <w:sz w:val="24"/>
          <w:szCs w:val="24"/>
          <w:highlight w:val="none"/>
        </w:rPr>
      </w:pPr>
      <w:r>
        <w:rPr>
          <w:rFonts w:hint="eastAsia"/>
          <w:color w:val="auto"/>
          <w:sz w:val="24"/>
          <w:szCs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hint="eastAsia"/>
          <w:color w:val="auto"/>
          <w:sz w:val="24"/>
          <w:szCs w:val="24"/>
          <w:highlight w:val="none"/>
        </w:rPr>
      </w:pPr>
      <w:r>
        <w:rPr>
          <w:rFonts w:hint="eastAsia"/>
          <w:color w:val="auto"/>
          <w:sz w:val="24"/>
          <w:szCs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600"/>
        <w:jc w:val="both"/>
        <w:keepLines/>
        <w:keepNext/>
        <w:spacing w:before="0" w:after="0" w:line="560" w:lineRule="exact"/>
        <w:widowControl w:val="off"/>
        <w:rPr>
          <w:rFonts w:hint="eastAsia" w:ascii="Times New Roman" w:hAnsi="Times New Roman" w:eastAsia="宋体" w:cs="Times New Roman"/>
          <w:b/>
          <w:bCs w:val="0"/>
          <w:color w:val="auto"/>
          <w:sz w:val="24"/>
          <w:szCs w:val="21"/>
          <w:highlight w:val="none"/>
          <w:lang w:val="zh-CN" w:eastAsia="zh-CN" w:bidi="ar-SA"/>
        </w:rPr>
        <w:outlineLvl w:val="3"/>
      </w:pPr>
      <w:r>
        <w:rPr>
          <w:rFonts w:hint="eastAsia" w:ascii="Times New Roman" w:hAnsi="Times New Roman" w:eastAsia="宋体" w:cs="Times New Roman"/>
          <w:b/>
          <w:bCs w:val="0"/>
          <w:color w:val="auto"/>
          <w:sz w:val="24"/>
          <w:szCs w:val="21"/>
          <w:highlight w:val="none"/>
          <w:lang w:val="zh-CN" w:eastAsia="zh-CN" w:bidi="ar-SA"/>
        </w:rPr>
        <w:t xml:space="preserve">履约保证金未按时缴纳的处理方式：缴纳履约保证金为签订合同的前提条件，供应商未按时缴纳履约保证金视为拒绝签订合同。依据《中华人民共和国政府采购法实施条例》第四十九条 中标或者成交供应商拒绝与采购人签订合同的，采购人可以按照评审报告推荐的中标或者成交候选人名单排序，确定下一候选人为中标或者成交供应商，也可以重新开展政府采购活动。</w:t>
      </w:r>
      <w:r/>
    </w:p>
    <w:p>
      <w:pPr>
        <w:ind w:firstLine="480"/>
        <w:spacing w:line="360" w:lineRule="auto"/>
        <w:rPr>
          <w:color w:val="auto"/>
          <w:sz w:val="24"/>
          <w:szCs w:val="24"/>
          <w:highlight w:val="none"/>
        </w:rPr>
      </w:pPr>
      <w:r>
        <w:rPr>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600"/>
        <w:keepLines/>
        <w:keepNext/>
        <w:spacing w:line="560" w:lineRule="exact"/>
        <w:rPr>
          <w:rFonts w:eastAsia="黑体"/>
          <w:bCs/>
          <w:color w:val="auto"/>
          <w:sz w:val="30"/>
          <w:szCs w:val="30"/>
          <w:highlight w:val="none"/>
        </w:rPr>
        <w:outlineLvl w:val="3"/>
      </w:pPr>
      <w:r>
        <w:rPr>
          <w:rFonts w:hint="eastAsia" w:eastAsia="黑体"/>
          <w:bCs/>
          <w:color w:val="auto"/>
          <w:sz w:val="30"/>
          <w:szCs w:val="30"/>
          <w:highlight w:val="none"/>
        </w:rPr>
        <w:t xml:space="preserve">32、服务（包含与服务相关的货物）的追加</w:t>
      </w:r>
      <w:r/>
    </w:p>
    <w:p>
      <w:pPr>
        <w:ind w:firstLine="480"/>
        <w:spacing w:line="560" w:lineRule="exact"/>
        <w:rPr>
          <w:color w:val="auto"/>
          <w:sz w:val="24"/>
          <w:szCs w:val="24"/>
          <w:highlight w:val="none"/>
        </w:rPr>
      </w:pPr>
      <w:r>
        <w:rPr>
          <w:rFonts w:hint="eastAsia"/>
          <w:color w:val="auto"/>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bookmarkEnd w:id="126"/>
      <w:r/>
      <w:bookmarkEnd w:id="127"/>
      <w:r/>
      <w:bookmarkEnd w:id="128"/>
      <w:r/>
      <w:r/>
    </w:p>
    <w:p>
      <w:pPr>
        <w:ind w:firstLine="600"/>
        <w:keepLines/>
        <w:keepNext/>
        <w:spacing w:line="560" w:lineRule="exact"/>
        <w:rPr>
          <w:rFonts w:eastAsia="黑体"/>
          <w:bCs/>
          <w:color w:val="auto"/>
          <w:sz w:val="30"/>
          <w:szCs w:val="30"/>
          <w:highlight w:val="none"/>
        </w:rPr>
        <w:outlineLvl w:val="3"/>
      </w:pPr>
      <w:r>
        <w:rPr>
          <w:rFonts w:hint="eastAsia" w:eastAsia="黑体"/>
          <w:bCs/>
          <w:color w:val="auto"/>
          <w:sz w:val="30"/>
          <w:szCs w:val="30"/>
          <w:highlight w:val="none"/>
        </w:rPr>
        <w:t xml:space="preserve">33、政府采购履约资金扶持政策</w:t>
      </w:r>
      <w:r/>
    </w:p>
    <w:p>
      <w:pPr>
        <w:ind w:firstLine="420"/>
        <w:spacing w:line="560" w:lineRule="exact"/>
        <w:rPr>
          <w:bCs/>
          <w:color w:val="auto"/>
          <w:sz w:val="24"/>
          <w:highlight w:val="none"/>
          <w:lang w:val="zh-CN"/>
        </w:rPr>
      </w:pPr>
      <w:r>
        <w:rPr>
          <w:rFonts w:hint="eastAsia"/>
          <w:bCs/>
          <w:color w:val="auto"/>
          <w:sz w:val="24"/>
          <w:highlight w:val="none"/>
        </w:rPr>
        <w:t xml:space="preserve">33.1依</w:t>
      </w:r>
      <w:r>
        <w:rPr>
          <w:rFonts w:hint="eastAsia"/>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02"/>
        <w:keepLines/>
        <w:keepNext/>
        <w:spacing w:line="560" w:lineRule="exact"/>
        <w:rPr>
          <w:rFonts w:eastAsia="黑体"/>
          <w:b/>
          <w:bCs/>
          <w:color w:val="auto"/>
          <w:sz w:val="30"/>
          <w:szCs w:val="30"/>
          <w:highlight w:val="none"/>
        </w:rPr>
        <w:outlineLvl w:val="3"/>
      </w:pPr>
      <w:r>
        <w:rPr>
          <w:rFonts w:hint="eastAsia" w:eastAsia="黑体"/>
          <w:b/>
          <w:bCs/>
          <w:color w:val="auto"/>
          <w:sz w:val="30"/>
          <w:szCs w:val="30"/>
          <w:highlight w:val="none"/>
        </w:rPr>
        <w:t xml:space="preserve">34、验收及付款</w:t>
      </w:r>
      <w:r/>
    </w:p>
    <w:p>
      <w:pPr>
        <w:ind w:firstLine="482"/>
        <w:spacing w:line="560" w:lineRule="exact"/>
        <w:rPr>
          <w:bCs/>
          <w:color w:val="auto"/>
          <w:sz w:val="24"/>
          <w:highlight w:val="none"/>
        </w:rPr>
      </w:pPr>
      <w:r>
        <w:rPr>
          <w:rFonts w:hint="eastAsia"/>
          <w:bCs/>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bCs/>
          <w:color w:val="auto"/>
          <w:sz w:val="24"/>
          <w:highlight w:val="none"/>
        </w:rPr>
      </w:pPr>
      <w:r>
        <w:rPr>
          <w:rFonts w:hint="eastAsia"/>
          <w:bCs/>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bCs/>
          <w:color w:val="auto"/>
          <w:sz w:val="24"/>
          <w:highlight w:val="none"/>
        </w:rPr>
      </w:pPr>
      <w:r>
        <w:rPr>
          <w:rFonts w:hint="eastAsia"/>
          <w:bCs/>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color w:val="auto"/>
          <w:sz w:val="24"/>
          <w:highlight w:val="none"/>
        </w:rPr>
      </w:pPr>
      <w:r>
        <w:rPr>
          <w:rFonts w:hint="eastAsia"/>
          <w:bCs/>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b/>
          <w:color w:val="auto"/>
          <w:sz w:val="24"/>
          <w:highlight w:val="none"/>
        </w:rPr>
      </w:pPr>
      <w:r>
        <w:rPr>
          <w:rFonts w:hint="eastAsia"/>
          <w:b/>
          <w:color w:val="auto"/>
          <w:sz w:val="24"/>
          <w:highlight w:val="none"/>
        </w:rPr>
        <w:t xml:space="preserve">35、付款</w:t>
      </w:r>
      <w:r/>
    </w:p>
    <w:p>
      <w:pPr>
        <w:ind w:firstLine="48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、在政府采购评审费、履约保证金、代理服务费和货款资金支付中，数字人民币作为支付方式之一。</w:t>
      </w:r>
      <w:r/>
    </w:p>
    <w:p>
      <w:pPr>
        <w:ind w:firstLine="482"/>
        <w:spacing w:line="560" w:lineRule="exact"/>
        <w:rPr>
          <w:bCs/>
          <w:color w:val="auto"/>
          <w:sz w:val="24"/>
          <w:highlight w:val="none"/>
        </w:rPr>
      </w:pPr>
      <w:r>
        <w:rPr>
          <w:rFonts w:hint="eastAsia"/>
          <w:bCs/>
          <w:color w:val="auto"/>
          <w:sz w:val="24"/>
          <w:highlight w:val="none"/>
        </w:rPr>
        <w:t xml:space="preserve">2、按照以下确定的付款方式，采购人及时办理付款手续。对于满足合同约定支付条件的，自收到发票后10个工作日内将资金支付到合同约定的供应商账户或供应商数字人民币账户。</w:t>
      </w:r>
      <w:r/>
    </w:p>
    <w:p>
      <w:pPr>
        <w:ind w:firstLine="482"/>
        <w:spacing w:line="560" w:lineRule="exact"/>
        <w:rPr>
          <w:bCs/>
          <w:color w:val="auto"/>
          <w:sz w:val="24"/>
          <w:highlight w:val="none"/>
        </w:rPr>
      </w:pPr>
      <w:r>
        <w:rPr>
          <w:rFonts w:hint="eastAsia"/>
          <w:bCs/>
          <w:color w:val="auto"/>
          <w:sz w:val="24"/>
          <w:highlight w:val="none"/>
        </w:rPr>
        <w:t xml:space="preserve">预付款：合同金额的10%，合同签订后按规定支付；</w:t>
      </w:r>
      <w:r/>
    </w:p>
    <w:p>
      <w:pPr>
        <w:ind w:firstLine="482"/>
        <w:spacing w:line="560" w:lineRule="exact"/>
        <w:rPr>
          <w:bCs/>
          <w:color w:val="auto"/>
          <w:sz w:val="24"/>
          <w:highlight w:val="none"/>
        </w:rPr>
      </w:pPr>
      <w:r>
        <w:rPr>
          <w:rFonts w:hint="eastAsia"/>
          <w:bCs/>
          <w:color w:val="auto"/>
          <w:sz w:val="24"/>
          <w:highlight w:val="none"/>
        </w:rPr>
        <w:t xml:space="preserve">进度款：全部完成抽检批次及出具报告等任务后，采购人在接收到中标人发票后10个工作日内将余款（考核后的）一次性支付给供应商。</w:t>
      </w:r>
      <w:r/>
    </w:p>
    <w:p>
      <w:pPr>
        <w:ind w:firstLine="482"/>
        <w:spacing w:line="560" w:lineRule="exact"/>
        <w:rPr>
          <w:b/>
          <w:color w:val="auto"/>
          <w:sz w:val="24"/>
          <w:highlight w:val="none"/>
        </w:rPr>
      </w:pPr>
      <w:r>
        <w:rPr>
          <w:rFonts w:hint="eastAsia"/>
          <w:b/>
          <w:color w:val="auto"/>
          <w:sz w:val="24"/>
          <w:highlight w:val="none"/>
        </w:rPr>
        <w:t xml:space="preserve">注：在签订合同时，中标人明确表示无需预付款或者主动要求降低预付款比例的金额，采购人可不适用预付款规定。</w:t>
      </w:r>
      <w:r/>
    </w:p>
    <w:p>
      <w:pPr>
        <w:pStyle w:val="920"/>
        <w:spacing w:after="145" w:line="360" w:lineRule="auto"/>
        <w:rPr>
          <w:rFonts w:ascii="Times New Roman" w:eastAsia="黑体"/>
          <w:bCs/>
          <w:color w:val="auto"/>
          <w:sz w:val="44"/>
          <w:highlight w:val="none"/>
        </w:rPr>
      </w:pPr>
      <w:r>
        <w:rPr>
          <w:rFonts w:hint="eastAsia" w:ascii="Times New Roman" w:eastAsia="黑体"/>
          <w:bCs/>
          <w:color w:val="auto"/>
          <w:sz w:val="44"/>
          <w:highlight w:val="none"/>
        </w:rPr>
        <w:br w:type="page" w:clear="all"/>
      </w:r>
      <w:bookmarkStart w:id="129" w:name="_Toc12395"/>
      <w:r>
        <w:rPr>
          <w:rFonts w:hint="eastAsia" w:ascii="Times New Roman" w:eastAsia="黑体"/>
          <w:bCs/>
          <w:color w:val="auto"/>
          <w:sz w:val="44"/>
          <w:highlight w:val="none"/>
        </w:rPr>
        <w:t xml:space="preserve">第三章  合同文本</w:t>
      </w:r>
      <w:bookmarkEnd w:id="129"/>
      <w:r/>
      <w:r/>
    </w:p>
    <w:p>
      <w:pPr>
        <w:pStyle w:val="1038"/>
        <w:ind w:firstLine="562"/>
        <w:jc w:val="center"/>
        <w:spacing w:line="50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泗阳县市场监督管理局2026年食品检验检测承检机构采购项目</w:t>
      </w:r>
      <w:r/>
    </w:p>
    <w:p>
      <w:pPr>
        <w:pStyle w:val="1038"/>
        <w:ind w:firstLine="602"/>
        <w:jc w:val="center"/>
        <w:spacing w:line="500" w:lineRule="exact"/>
        <w:widowControl/>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采购合同</w:t>
      </w:r>
      <w:r/>
    </w:p>
    <w:p>
      <w:pPr>
        <w:pStyle w:val="1052"/>
        <w:spacing w:line="580" w:lineRule="exact"/>
        <w:rPr>
          <w:rFonts w:ascii="宋体" w:hAnsi="宋体" w:cs="仿宋_GB2312"/>
          <w:color w:val="auto"/>
          <w:sz w:val="24"/>
          <w:szCs w:val="24"/>
          <w:highlight w:val="none"/>
        </w:rPr>
        <w:outlineLvl w:val="4"/>
      </w:pPr>
      <w:r>
        <w:rPr>
          <w:rFonts w:hint="eastAsia" w:ascii="宋体" w:hAnsi="宋体" w:cs="仿宋_GB2312"/>
          <w:color w:val="auto"/>
          <w:sz w:val="24"/>
          <w:szCs w:val="24"/>
          <w:highlight w:val="none"/>
        </w:rPr>
        <w:t xml:space="preserve">采购单位（全称）：</w:t>
      </w:r>
      <w:r>
        <w:rPr>
          <w:rFonts w:hint="eastAsia" w:ascii="宋体" w:hAnsi="宋体" w:cs="仿宋_GB2312"/>
          <w:color w:val="auto"/>
          <w:sz w:val="24"/>
          <w:szCs w:val="24"/>
          <w:highlight w:val="none"/>
          <w:u w:val="single"/>
        </w:rPr>
        <w:t xml:space="preserve">                          </w:t>
      </w:r>
      <w:r>
        <w:rPr>
          <w:rFonts w:hint="eastAsia" w:ascii="宋体" w:hAnsi="宋体" w:cs="仿宋_GB2312"/>
          <w:color w:val="auto"/>
          <w:sz w:val="24"/>
          <w:szCs w:val="24"/>
          <w:highlight w:val="none"/>
        </w:rPr>
        <w:t xml:space="preserve">（简称甲方）</w:t>
      </w:r>
      <w:r/>
    </w:p>
    <w:p>
      <w:pPr>
        <w:pStyle w:val="1052"/>
        <w:spacing w:line="580" w:lineRule="exact"/>
        <w:rPr>
          <w:rFonts w:ascii="宋体" w:hAnsi="宋体" w:cs="宋体"/>
          <w:b/>
          <w:bCs/>
          <w:color w:val="auto"/>
          <w:sz w:val="24"/>
          <w:highlight w:val="none"/>
        </w:rPr>
        <w:outlineLvl w:val="4"/>
      </w:pPr>
      <w:r>
        <w:rPr>
          <w:rFonts w:hint="eastAsia" w:ascii="宋体" w:hAnsi="宋体" w:cs="仿宋_GB2312"/>
          <w:color w:val="auto"/>
          <w:sz w:val="24"/>
          <w:szCs w:val="24"/>
          <w:highlight w:val="none"/>
        </w:rPr>
        <w:t xml:space="preserve">中标供应商（全称）：</w:t>
      </w:r>
      <w:r>
        <w:rPr>
          <w:rFonts w:hint="eastAsia" w:ascii="宋体" w:hAnsi="宋体" w:cs="仿宋_GB2312"/>
          <w:b/>
          <w:bCs/>
          <w:color w:val="auto"/>
          <w:sz w:val="24"/>
          <w:szCs w:val="24"/>
          <w:highlight w:val="none"/>
          <w:u w:val="single"/>
        </w:rPr>
        <w:t xml:space="preserve">                        </w:t>
      </w:r>
      <w:r>
        <w:rPr>
          <w:rFonts w:hint="eastAsia" w:ascii="宋体" w:hAnsi="宋体" w:cs="仿宋_GB2312"/>
          <w:color w:val="auto"/>
          <w:sz w:val="24"/>
          <w:szCs w:val="24"/>
          <w:highlight w:val="none"/>
        </w:rPr>
        <w:t xml:space="preserve">（简称乙方）</w:t>
      </w:r>
      <w:r/>
    </w:p>
    <w:p>
      <w:pPr>
        <w:pStyle w:val="1038"/>
        <w:ind w:firstLine="482"/>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第一条：</w:t>
      </w:r>
      <w:r>
        <w:rPr>
          <w:rFonts w:hint="eastAsia" w:ascii="宋体" w:hAnsi="宋体" w:cs="宋体"/>
          <w:color w:val="auto"/>
          <w:sz w:val="24"/>
          <w:highlight w:val="none"/>
        </w:rPr>
        <w:t xml:space="preserve">甲乙双方根据采购编号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公开招标采购结果及采购文件的要求，依照《中华人民共和国政府采购法》、《中华人民共和国民法典》等相关法律规定，遵循平等、自愿、公平和诚信的原则，经甲乙双方协商一致，签订本采购服务合同：</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第二条、委托人委托具体事项与具体要求：</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1、委托事项：泗阳县市场监督管理局202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年食品安全抽样、检验及其他；</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2、具体要求：食品抽检种类、品种、批次、项目和采样区域，以每个抽检周期实际安排为准。</w:t>
      </w:r>
      <w:r/>
    </w:p>
    <w:tbl>
      <w:tblPr>
        <w:tblStyle w:val="717"/>
        <w:tblW w:w="92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2191"/>
        <w:gridCol w:w="693"/>
        <w:gridCol w:w="1273"/>
        <w:gridCol w:w="1318"/>
        <w:gridCol w:w="1125"/>
        <w:gridCol w:w="2102"/>
      </w:tblGrid>
      <w:tr>
        <w:trPr>
          <w:trHeight w:val="795"/>
        </w:trPr>
        <w:tc>
          <w:tcPr>
            <w:tcW w:w="554" w:type="dxa"/>
            <w:vAlign w:val="center"/>
            <w:textDirection w:val="lrTb"/>
            <w:noWrap w:val="false"/>
          </w:tcPr>
          <w:p>
            <w:pPr>
              <w:pStyle w:val="1053"/>
              <w:jc w:val="center"/>
              <w:rPr>
                <w:color w:val="auto"/>
                <w:highlight w:val="none"/>
              </w:rPr>
            </w:pPr>
            <w:r>
              <w:rPr>
                <w:rFonts w:hint="eastAsia"/>
                <w:color w:val="auto"/>
                <w:highlight w:val="none"/>
              </w:rPr>
              <w:t xml:space="preserve">序</w:t>
            </w:r>
            <w:r/>
          </w:p>
          <w:p>
            <w:pPr>
              <w:pStyle w:val="1053"/>
              <w:jc w:val="center"/>
              <w:rPr>
                <w:color w:val="auto"/>
                <w:highlight w:val="none"/>
              </w:rPr>
            </w:pPr>
            <w:r>
              <w:rPr>
                <w:rFonts w:hint="eastAsia"/>
                <w:color w:val="auto"/>
                <w:highlight w:val="none"/>
              </w:rPr>
              <w:t xml:space="preserve">号</w:t>
            </w:r>
            <w:r/>
          </w:p>
        </w:tc>
        <w:tc>
          <w:tcPr>
            <w:tcW w:w="2191" w:type="dxa"/>
            <w:vAlign w:val="center"/>
            <w:textDirection w:val="lrTb"/>
            <w:noWrap w:val="false"/>
          </w:tcPr>
          <w:p>
            <w:pPr>
              <w:pStyle w:val="1053"/>
              <w:jc w:val="center"/>
              <w:rPr>
                <w:color w:val="auto"/>
                <w:highlight w:val="none"/>
              </w:rPr>
            </w:pPr>
            <w:r>
              <w:rPr>
                <w:rFonts w:hint="eastAsia"/>
                <w:color w:val="auto"/>
                <w:highlight w:val="none"/>
              </w:rPr>
              <w:t xml:space="preserve">委托事项</w:t>
            </w:r>
            <w:r/>
          </w:p>
        </w:tc>
        <w:tc>
          <w:tcPr>
            <w:tcW w:w="693" w:type="dxa"/>
            <w:vAlign w:val="center"/>
            <w:textDirection w:val="lrTb"/>
            <w:noWrap w:val="false"/>
          </w:tcPr>
          <w:p>
            <w:pPr>
              <w:pStyle w:val="1053"/>
              <w:jc w:val="center"/>
              <w:rPr>
                <w:color w:val="auto"/>
                <w:highlight w:val="none"/>
              </w:rPr>
            </w:pPr>
            <w:r>
              <w:rPr>
                <w:rFonts w:hint="eastAsia"/>
                <w:color w:val="auto"/>
                <w:highlight w:val="none"/>
              </w:rPr>
              <w:t xml:space="preserve">批次数量</w:t>
            </w:r>
            <w:r/>
          </w:p>
        </w:tc>
        <w:tc>
          <w:tcPr>
            <w:tcW w:w="1273" w:type="dxa"/>
            <w:vAlign w:val="center"/>
            <w:textDirection w:val="lrTb"/>
            <w:noWrap w:val="false"/>
          </w:tcPr>
          <w:p>
            <w:pPr>
              <w:pStyle w:val="1053"/>
              <w:jc w:val="center"/>
              <w:rPr>
                <w:color w:val="auto"/>
                <w:highlight w:val="none"/>
              </w:rPr>
            </w:pPr>
            <w:r>
              <w:rPr>
                <w:rFonts w:hint="eastAsia"/>
                <w:color w:val="auto"/>
                <w:highlight w:val="none"/>
              </w:rPr>
              <w:t xml:space="preserve">付费标准（元/批次）</w:t>
            </w:r>
            <w:r/>
          </w:p>
        </w:tc>
        <w:tc>
          <w:tcPr>
            <w:tcW w:w="1318" w:type="dxa"/>
            <w:vAlign w:val="center"/>
            <w:textDirection w:val="lrTb"/>
            <w:noWrap w:val="false"/>
          </w:tcPr>
          <w:p>
            <w:pPr>
              <w:pStyle w:val="1053"/>
              <w:jc w:val="center"/>
              <w:rPr>
                <w:color w:val="auto"/>
                <w:highlight w:val="none"/>
              </w:rPr>
            </w:pPr>
            <w:r>
              <w:rPr>
                <w:rFonts w:hint="eastAsia"/>
                <w:color w:val="auto"/>
                <w:highlight w:val="none"/>
              </w:rPr>
              <w:t xml:space="preserve">应付费金额（元）</w:t>
            </w:r>
            <w:r/>
          </w:p>
        </w:tc>
        <w:tc>
          <w:tcPr>
            <w:tcW w:w="1125" w:type="dxa"/>
            <w:vAlign w:val="center"/>
            <w:textDirection w:val="lrTb"/>
            <w:noWrap w:val="false"/>
          </w:tcPr>
          <w:p>
            <w:pPr>
              <w:pStyle w:val="1053"/>
              <w:jc w:val="center"/>
              <w:rPr>
                <w:color w:val="auto"/>
                <w:highlight w:val="none"/>
              </w:rPr>
            </w:pPr>
            <w:r>
              <w:rPr>
                <w:rFonts w:hint="eastAsia"/>
                <w:color w:val="auto"/>
                <w:highlight w:val="none"/>
              </w:rPr>
              <w:t xml:space="preserve">实收金额</w:t>
            </w:r>
            <w:r/>
          </w:p>
          <w:p>
            <w:pPr>
              <w:pStyle w:val="1053"/>
              <w:jc w:val="center"/>
              <w:rPr>
                <w:color w:val="auto"/>
                <w:highlight w:val="none"/>
              </w:rPr>
            </w:pPr>
            <w:r>
              <w:rPr>
                <w:rFonts w:hint="eastAsia"/>
                <w:color w:val="auto"/>
                <w:highlight w:val="none"/>
              </w:rPr>
              <w:t xml:space="preserve">（元）</w:t>
            </w:r>
            <w:r/>
          </w:p>
        </w:tc>
        <w:tc>
          <w:tcPr>
            <w:tcW w:w="2102" w:type="dxa"/>
            <w:vAlign w:val="center"/>
            <w:textDirection w:val="lrTb"/>
            <w:noWrap w:val="false"/>
          </w:tcPr>
          <w:p>
            <w:pPr>
              <w:pStyle w:val="1053"/>
              <w:jc w:val="center"/>
              <w:rPr>
                <w:color w:val="auto"/>
                <w:highlight w:val="none"/>
              </w:rPr>
            </w:pPr>
            <w:r>
              <w:rPr>
                <w:rFonts w:hint="eastAsia"/>
                <w:color w:val="auto"/>
                <w:highlight w:val="none"/>
              </w:rPr>
              <w:t xml:space="preserve">备注</w:t>
            </w:r>
            <w:r/>
          </w:p>
        </w:tc>
      </w:tr>
      <w:tr>
        <w:trPr/>
        <w:tc>
          <w:tcPr>
            <w:tcW w:w="554" w:type="dxa"/>
            <w:vAlign w:val="center"/>
            <w:textDirection w:val="lrTb"/>
            <w:noWrap w:val="false"/>
          </w:tcPr>
          <w:p>
            <w:pPr>
              <w:pStyle w:val="1038"/>
              <w:jc w:val="center"/>
              <w:spacing w:line="50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191" w:type="dxa"/>
            <w:vAlign w:val="center"/>
            <w:textDirection w:val="lrTb"/>
            <w:noWrap w:val="false"/>
          </w:tcPr>
          <w:p>
            <w:pPr>
              <w:pStyle w:val="1038"/>
              <w:jc w:val="center"/>
              <w:spacing w:line="50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食品（包含农产品）</w:t>
            </w:r>
            <w:r/>
          </w:p>
        </w:tc>
        <w:tc>
          <w:tcPr>
            <w:tcW w:w="693" w:type="dxa"/>
            <w:vAlign w:val="center"/>
            <w:textDirection w:val="lrTb"/>
            <w:noWrap w:val="false"/>
          </w:tcPr>
          <w:p>
            <w:pPr>
              <w:pStyle w:val="1038"/>
              <w:jc w:val="center"/>
              <w:spacing w:line="50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1273" w:type="dxa"/>
            <w:vAlign w:val="center"/>
            <w:textDirection w:val="lrTb"/>
            <w:noWrap w:val="false"/>
          </w:tcPr>
          <w:p>
            <w:pPr>
              <w:pStyle w:val="1038"/>
              <w:jc w:val="center"/>
              <w:spacing w:line="50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1318" w:type="dxa"/>
            <w:vAlign w:val="center"/>
            <w:textDirection w:val="lrTb"/>
            <w:noWrap w:val="false"/>
          </w:tcPr>
          <w:p>
            <w:pPr>
              <w:pStyle w:val="1038"/>
              <w:jc w:val="center"/>
              <w:spacing w:line="50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1125" w:type="dxa"/>
            <w:vAlign w:val="center"/>
            <w:textDirection w:val="lrTb"/>
            <w:noWrap w:val="false"/>
          </w:tcPr>
          <w:p>
            <w:pPr>
              <w:pStyle w:val="1038"/>
              <w:jc w:val="center"/>
              <w:spacing w:line="500" w:lineRule="exact"/>
              <w:widowControl/>
              <w:rPr>
                <w:rFonts w:ascii="宋体" w:hAnsi="宋体" w:cs="宋体"/>
                <w:bCs/>
                <w:color w:val="auto"/>
                <w:szCs w:val="21"/>
                <w:highlight w:val="none"/>
              </w:rPr>
            </w:pPr>
            <w:r>
              <w:rPr>
                <w:rFonts w:ascii="宋体" w:hAnsi="宋体" w:cs="宋体"/>
                <w:bCs/>
                <w:color w:val="auto"/>
                <w:szCs w:val="21"/>
                <w:highlight w:val="none"/>
              </w:rPr>
            </w:r>
            <w:r/>
          </w:p>
        </w:tc>
        <w:tc>
          <w:tcPr>
            <w:tcW w:w="2102" w:type="dxa"/>
            <w:vAlign w:val="center"/>
            <w:textDirection w:val="lrTb"/>
            <w:noWrap w:val="false"/>
          </w:tcPr>
          <w:p>
            <w:pPr>
              <w:pStyle w:val="1038"/>
              <w:jc w:val="center"/>
              <w:spacing w:line="500" w:lineRule="exact"/>
              <w:widowControl/>
              <w:rPr>
                <w:rFonts w:ascii="宋体" w:hAnsi="宋体" w:cs="宋体"/>
                <w:bCs/>
                <w:color w:val="auto"/>
                <w:szCs w:val="21"/>
                <w:highlight w:val="none"/>
              </w:rPr>
            </w:pPr>
            <w:r>
              <w:rPr>
                <w:rFonts w:hint="eastAsia" w:ascii="宋体" w:hAnsi="宋体" w:cs="宋体"/>
                <w:bCs/>
                <w:color w:val="auto"/>
                <w:szCs w:val="21"/>
                <w:highlight w:val="none"/>
              </w:rPr>
              <w:t xml:space="preserve">每批次费用为检验和购样费用的总和</w:t>
            </w:r>
            <w:r/>
          </w:p>
        </w:tc>
      </w:tr>
      <w:tr>
        <w:trPr>
          <w:trHeight w:val="672"/>
        </w:trPr>
        <w:tc>
          <w:tcPr>
            <w:tcW w:w="554" w:type="dxa"/>
            <w:textDirection w:val="lrTb"/>
            <w:noWrap w:val="false"/>
          </w:tcPr>
          <w:p>
            <w:pPr>
              <w:pStyle w:val="1038"/>
              <w:spacing w:line="50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W w:w="2191" w:type="dxa"/>
            <w:textDirection w:val="lrTb"/>
            <w:noWrap w:val="false"/>
          </w:tcPr>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以下空白</w:t>
            </w:r>
            <w:r/>
          </w:p>
        </w:tc>
        <w:tc>
          <w:tcPr>
            <w:tcW w:w="693" w:type="dxa"/>
            <w:textDirection w:val="lrTb"/>
            <w:noWrap w:val="false"/>
          </w:tcPr>
          <w:p>
            <w:pPr>
              <w:pStyle w:val="1038"/>
              <w:spacing w:line="50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W w:w="1273" w:type="dxa"/>
            <w:textDirection w:val="lrTb"/>
            <w:noWrap w:val="false"/>
          </w:tcPr>
          <w:p>
            <w:pPr>
              <w:pStyle w:val="1038"/>
              <w:spacing w:line="50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W w:w="1318" w:type="dxa"/>
            <w:textDirection w:val="lrTb"/>
            <w:noWrap w:val="false"/>
          </w:tcPr>
          <w:p>
            <w:pPr>
              <w:pStyle w:val="1038"/>
              <w:spacing w:line="50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W w:w="1125" w:type="dxa"/>
            <w:textDirection w:val="lrTb"/>
            <w:noWrap w:val="false"/>
          </w:tcPr>
          <w:p>
            <w:pPr>
              <w:pStyle w:val="1038"/>
              <w:spacing w:line="500" w:lineRule="exact"/>
              <w:widowControl/>
              <w:rPr>
                <w:rFonts w:ascii="宋体" w:hAnsi="宋体" w:cs="宋体"/>
                <w:b/>
                <w:bCs/>
                <w:color w:val="auto"/>
                <w:sz w:val="24"/>
                <w:highlight w:val="none"/>
              </w:rPr>
            </w:pPr>
            <w:r>
              <w:rPr>
                <w:rFonts w:ascii="宋体" w:hAnsi="宋体" w:cs="宋体"/>
                <w:b/>
                <w:bCs/>
                <w:color w:val="auto"/>
                <w:sz w:val="24"/>
                <w:highlight w:val="none"/>
              </w:rPr>
            </w:r>
            <w:r/>
          </w:p>
        </w:tc>
        <w:tc>
          <w:tcPr>
            <w:tcW w:w="2102" w:type="dxa"/>
            <w:textDirection w:val="lrTb"/>
            <w:noWrap w:val="false"/>
          </w:tcPr>
          <w:p>
            <w:pPr>
              <w:pStyle w:val="1038"/>
              <w:spacing w:line="500" w:lineRule="exact"/>
              <w:widowControl/>
              <w:rPr>
                <w:rFonts w:ascii="宋体" w:hAnsi="宋体" w:cs="宋体"/>
                <w:b/>
                <w:bCs/>
                <w:color w:val="auto"/>
                <w:sz w:val="24"/>
                <w:highlight w:val="none"/>
              </w:rPr>
            </w:pPr>
            <w:r>
              <w:rPr>
                <w:rFonts w:ascii="宋体" w:hAnsi="宋体" w:cs="宋体"/>
                <w:b/>
                <w:bCs/>
                <w:color w:val="auto"/>
                <w:sz w:val="24"/>
                <w:highlight w:val="none"/>
              </w:rPr>
            </w:r>
            <w:r/>
          </w:p>
        </w:tc>
      </w:tr>
    </w:tbl>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第三条 合同期限：</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   月   日至 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年   月    日。</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第四条 受托人应遵守如下约定：</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1、按以下要求进行抽检：按委托人要求进行食品的抽样和委托人要求的其它检测项目。</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受托人有将委托事务处理情况向委托方及时报告的义务，检验报告时间及报告方式：自接样之日起12个工作日内出具书面检验报告，并及时将检测报告、抽样单、抽样检测台账（电子版）及分析报告报送给委托方，报送时应将不合格报告区分放置，合格报告应出具3份，不合格报告应出具4份，不合格报告还需附有本批次抽检机构、抽检人员及检验人员相关资质。</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3、不将检测目标、检测过程及相关结果透漏给甲方以外的任何人员；</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4、保证按要求完成受委托事项，按时提交检验报告，并保证报告真实、准确。</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5、如受委托方在抽样、检测等环节出现以下失误或错漏，委托方可扣减或不予支付相应批次费用，且不可免除受委托方及时纠正、补救过错的责任：</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（1）抽检食品批次、种类等不符合委托方要求的，每批次扣减100元；</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（2）未按时进行抽检，抽检报告等未及时寄送给委托方的，每批次扣减100元；</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（3）抽检报告等存在错寄、漏寄的，每批次扣减100元；</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（4）抽检过程违反相关法律法规、抽检报告存在明显错误的，该批次不予支付相关费用；</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（5）抽样、检测等环节其它失误或错漏，委托方有权依据受委托方过错程度及损害后果进行处理；</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（6）若受委托方在抽样、检测等环节出现的失误或错漏造成严重后果，由此产生的责任及损失由受委托方承担。若委托方先行承担赔偿责任，可全额向受委托方追偿；</w:t>
      </w:r>
      <w:r/>
    </w:p>
    <w:p>
      <w:pPr>
        <w:pStyle w:val="1038"/>
        <w:ind w:firstLine="480"/>
        <w:spacing w:line="5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）当季度未按序时计划进度完成抽检工作任务，当季度按照中标价格的</w:t>
      </w:r>
      <w:r>
        <w:rPr>
          <w:rFonts w:hint="eastAsia" w:ascii="宋体" w:hAnsi="宋体" w:cs="宋体"/>
          <w:color w:val="auto"/>
          <w:sz w:val="24"/>
          <w:highlight w:val="none"/>
        </w:rPr>
        <w:t xml:space="preserve">80</w:t>
      </w:r>
      <w:r>
        <w:rPr>
          <w:rFonts w:hint="eastAsia" w:ascii="宋体" w:hAnsi="宋体" w:cs="宋体"/>
          <w:color w:val="auto"/>
          <w:sz w:val="24"/>
          <w:highlight w:val="none"/>
          <w:lang w:val="zh-CN"/>
        </w:rPr>
        <w:t xml:space="preserve">％予以结算。</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8</w:t>
      </w:r>
      <w:r>
        <w:rPr>
          <w:rFonts w:hint="eastAsia" w:ascii="宋体" w:hAnsi="宋体" w:cs="宋体"/>
          <w:color w:val="auto"/>
          <w:sz w:val="24"/>
          <w:highlight w:val="none"/>
          <w:lang w:val="zh-CN"/>
        </w:rPr>
        <w:t xml:space="preserve">）受委托方的</w:t>
      </w:r>
      <w:r>
        <w:rPr>
          <w:rFonts w:hint="eastAsia" w:ascii="宋体" w:hAnsi="宋体" w:cs="宋体"/>
          <w:color w:val="auto"/>
          <w:sz w:val="24"/>
          <w:highlight w:val="none"/>
        </w:rPr>
        <w:t xml:space="preserve">普通食品不合格率（不包含餐饮具）</w:t>
      </w:r>
      <w:r>
        <w:rPr>
          <w:rFonts w:hint="eastAsia" w:ascii="宋体" w:hAnsi="宋体" w:cs="宋体"/>
          <w:color w:val="auto"/>
          <w:sz w:val="24"/>
          <w:highlight w:val="none"/>
          <w:lang w:val="en-US" w:eastAsia="zh-CN"/>
        </w:rPr>
        <w:t xml:space="preserve">及</w:t>
      </w:r>
      <w:r>
        <w:rPr>
          <w:rFonts w:hint="eastAsia" w:ascii="Calibri" w:hAnsi="宋体" w:cs="宋体"/>
          <w:color w:val="auto"/>
          <w:sz w:val="24"/>
          <w:szCs w:val="24"/>
          <w:highlight w:val="none"/>
        </w:rPr>
        <w:t xml:space="preserve">农产品</w:t>
      </w:r>
      <w:r>
        <w:rPr>
          <w:rFonts w:hint="eastAsia" w:ascii="Calibri" w:hAnsi="宋体" w:cs="宋体"/>
          <w:color w:val="auto"/>
          <w:sz w:val="24"/>
          <w:szCs w:val="24"/>
          <w:highlight w:val="none"/>
          <w:lang w:val="zh-CN"/>
        </w:rPr>
        <w:t xml:space="preserve">不合格率</w:t>
      </w:r>
      <w:r>
        <w:rPr>
          <w:rFonts w:hint="eastAsia" w:hAnsi="宋体" w:cs="宋体"/>
          <w:color w:val="auto"/>
          <w:sz w:val="24"/>
          <w:szCs w:val="24"/>
          <w:highlight w:val="none"/>
          <w:lang w:val="en-US" w:eastAsia="zh-CN"/>
        </w:rPr>
        <w:t xml:space="preserve">根据采购人及上级部门有关要求适时调整</w:t>
      </w:r>
      <w:r>
        <w:rPr>
          <w:rFonts w:hint="eastAsia" w:ascii="宋体" w:hAnsi="宋体" w:cs="宋体"/>
          <w:color w:val="auto"/>
          <w:sz w:val="24"/>
          <w:highlight w:val="none"/>
          <w:lang w:val="zh-CN"/>
        </w:rPr>
        <w:t xml:space="preserve">，如若</w:t>
      </w:r>
      <w:r>
        <w:rPr>
          <w:rFonts w:hint="eastAsia" w:ascii="宋体" w:hAnsi="宋体" w:cs="宋体"/>
          <w:color w:val="auto"/>
          <w:sz w:val="24"/>
          <w:highlight w:val="none"/>
        </w:rPr>
        <w:t xml:space="preserve">低于</w:t>
      </w:r>
      <w:r>
        <w:rPr>
          <w:rFonts w:hint="eastAsia" w:ascii="宋体" w:hAnsi="宋体" w:cs="宋体"/>
          <w:color w:val="auto"/>
          <w:sz w:val="24"/>
          <w:highlight w:val="none"/>
          <w:lang w:val="en-US" w:eastAsia="zh-CN"/>
        </w:rPr>
        <w:t xml:space="preserve">规定标准</w:t>
      </w:r>
      <w:r>
        <w:rPr>
          <w:rFonts w:hint="eastAsia" w:ascii="宋体" w:hAnsi="宋体" w:cs="宋体"/>
          <w:color w:val="auto"/>
          <w:sz w:val="24"/>
          <w:highlight w:val="none"/>
        </w:rPr>
        <w:t xml:space="preserve">，按中标价格的90％支付。</w:t>
      </w:r>
      <w:r/>
    </w:p>
    <w:p>
      <w:pPr>
        <w:pStyle w:val="1038"/>
        <w:ind w:firstLine="480"/>
        <w:spacing w:line="5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）受委托方要严格把控抽检工作质量，认真对待国家、省、市有关部门数据筛查工作，数据筛查质量出现重大问题（省、市通报2次及以上）按中标价格的</w:t>
      </w:r>
      <w:r>
        <w:rPr>
          <w:rFonts w:hint="eastAsia" w:ascii="宋体" w:hAnsi="宋体" w:cs="宋体"/>
          <w:color w:val="auto"/>
          <w:sz w:val="24"/>
          <w:highlight w:val="none"/>
        </w:rPr>
        <w:t xml:space="preserve">90</w:t>
      </w:r>
      <w:r>
        <w:rPr>
          <w:rFonts w:hint="eastAsia" w:ascii="宋体" w:hAnsi="宋体" w:cs="宋体"/>
          <w:color w:val="auto"/>
          <w:sz w:val="24"/>
          <w:highlight w:val="none"/>
          <w:lang w:val="zh-CN"/>
        </w:rPr>
        <w:t xml:space="preserve">％支付。</w:t>
      </w:r>
      <w:r/>
    </w:p>
    <w:p>
      <w:pPr>
        <w:pStyle w:val="1038"/>
        <w:ind w:firstLine="480"/>
        <w:spacing w:line="5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）受委托方每批次检测项目数量要达到国抽细则要求和上级有关部门要求，未达标又拒不改正造成一定影响的，按中标价格的70％支付。</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如若上述（</w:t>
      </w:r>
      <w:r>
        <w:rPr>
          <w:rFonts w:hint="eastAsia" w:ascii="宋体" w:hAnsi="宋体" w:cs="宋体"/>
          <w:color w:val="auto"/>
          <w:sz w:val="24"/>
          <w:highlight w:val="none"/>
        </w:rPr>
        <w:t xml:space="preserve">7</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10</w:t>
      </w:r>
      <w:r>
        <w:rPr>
          <w:rFonts w:hint="eastAsia" w:ascii="宋体" w:hAnsi="宋体" w:cs="宋体"/>
          <w:color w:val="auto"/>
          <w:sz w:val="24"/>
          <w:highlight w:val="none"/>
          <w:lang w:val="zh-CN"/>
        </w:rPr>
        <w:t xml:space="preserve">）中同时未达要求两条及以上，酌情累加。</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6、在组织抽样检测过程中，抽检产品的种类、品种、批次、项目、抽样地点及样品处理不得随意调整；如因客观情况确需调整的，须征得委托方同意。</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7、按照有关法律法规、规范性文件和技术规范开展食品抽样检验检测。未经甲方同意，乙方不得少检或漏检，不得将委托检测的产品交由其他机构检测。</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8、食品检验检测发现的不合格品（问题样品）信息，受托方应在国家规定的时间内报告委托方。</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9、规范样品保存。应具备足够空间和规定环境保存样品，留样保存时间按照国家食品药品监督管理总局工作规范执行。</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10、参加委托方组织的与食品抽样检测工作有关的宣传、培训等活动。</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11、乙方未按要求参加甲方组织召开的会议的，按每次2000元进行罚款，所罚款项直接在项目款项支付时扣除。</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12、乙方为本项目配备的专职服务人员，具体如下：项目负责人：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；食品抽检工作的专职食品检验人员：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名：食品抽检工作的专职抽样人员：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名。</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项目组人员配备表（另附），上述人员不得随意更换，否则甲方有权解除合同并予以处罚。</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第五条 委托人应遵守如下约定：</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1、如实向受委托人介绍本协议所涉产品及相关情况；</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2、按时收取检验报告，并按约定的期限和方式支付委托费用。</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第六条  服务内容：</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（一）基本要求</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1.★有规范的抽样程序，质量控制严格的实验室管理制度。</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2.★投标人对投标文件的真实性负责，一旦发现有造假行为将取消中标资格，今后不得从事本区域的抽检监测任务，并承担相关法律责任。</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（二）检验工作的实施</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1、承检机构根据委托方要求，应在项目检测前向委托方提供完整的检测方案及项目预算报单（购样费用按实际发生数另计），经委托方对检验项目、批次安排、抽检区域等事项审核确认后才能予以实施。</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w:t>
      </w:r>
      <w:r>
        <w:rPr>
          <w:rFonts w:hint="eastAsia" w:hAnsi="宋体" w:cs="宋体"/>
          <w:color w:val="auto"/>
          <w:sz w:val="24"/>
          <w:szCs w:val="24"/>
          <w:highlight w:val="none"/>
          <w:lang w:val="zh-CN"/>
        </w:rPr>
        <w:t xml:space="preserve">检验依据和项目：</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1）承检机构应严格按</w:t>
      </w:r>
      <w:r>
        <w:rPr>
          <w:rFonts w:hint="eastAsia" w:ascii="Times New Roman" w:hAnsi="宋体" w:cs="宋体"/>
          <w:color w:val="auto"/>
          <w:sz w:val="24"/>
          <w:szCs w:val="24"/>
          <w:highlight w:val="none"/>
          <w:lang w:val="zh-CN"/>
        </w:rPr>
        <w:t xml:space="preserve">照《国家食品安全监督抽检实施细则（202</w:t>
      </w:r>
      <w:r>
        <w:rPr>
          <w:rFonts w:hint="eastAsia" w:ascii="Times New Roman" w:hAnsi="宋体" w:cs="宋体"/>
          <w:color w:val="auto"/>
          <w:sz w:val="24"/>
          <w:szCs w:val="24"/>
          <w:highlight w:val="none"/>
          <w:lang w:val="en-US" w:eastAsia="zh-CN"/>
        </w:rPr>
        <w:t xml:space="preserve">5</w:t>
      </w:r>
      <w:r>
        <w:rPr>
          <w:rFonts w:hint="eastAsia" w:ascii="Times New Roman" w:hAnsi="宋体" w:cs="宋体"/>
          <w:color w:val="auto"/>
          <w:sz w:val="24"/>
          <w:szCs w:val="24"/>
          <w:highlight w:val="none"/>
          <w:lang w:val="zh-CN"/>
        </w:rPr>
        <w:t xml:space="preserve">年版）》（</w:t>
      </w:r>
      <w:r>
        <w:rPr>
          <w:rFonts w:hint="eastAsia" w:ascii="Times New Roman" w:hAnsi="宋体" w:cs="宋体"/>
          <w:color w:val="auto"/>
          <w:sz w:val="24"/>
          <w:szCs w:val="24"/>
          <w:highlight w:val="none"/>
        </w:rPr>
        <w:t xml:space="preserve">如项目实施过程中发布新版细则按新版细则实施</w:t>
      </w:r>
      <w:r>
        <w:rPr>
          <w:rFonts w:hint="eastAsia" w:ascii="Times New Roman" w:hAnsi="宋体" w:cs="宋体"/>
          <w:color w:val="auto"/>
          <w:sz w:val="24"/>
          <w:szCs w:val="24"/>
          <w:highlight w:val="none"/>
          <w:lang w:val="zh-CN"/>
        </w:rPr>
        <w:t xml:space="preserve">）</w:t>
      </w:r>
      <w:r>
        <w:rPr>
          <w:rFonts w:hint="eastAsia" w:hAnsi="宋体" w:cs="宋体"/>
          <w:color w:val="auto"/>
          <w:sz w:val="24"/>
          <w:szCs w:val="24"/>
          <w:highlight w:val="none"/>
          <w:lang w:val="zh-CN"/>
        </w:rPr>
        <w:t xml:space="preserve">或相关标准规定的项目和检验方法开展检验工作，不得擅自修改实施细则中确定的检验方式，确保检验数据真实、准确、有效。检验项目根据《国家食品安全监督抽检实施细则（202</w:t>
      </w:r>
      <w:r>
        <w:rPr>
          <w:rFonts w:hint="eastAsia" w:hAnsi="宋体" w:cs="宋体"/>
          <w:color w:val="auto"/>
          <w:sz w:val="24"/>
          <w:szCs w:val="24"/>
          <w:highlight w:val="none"/>
          <w:lang w:val="en-US" w:eastAsia="zh-CN"/>
        </w:rPr>
        <w:t xml:space="preserve">5</w:t>
      </w:r>
      <w:r>
        <w:rPr>
          <w:rFonts w:hint="eastAsia" w:hAnsi="宋体" w:cs="宋体"/>
          <w:color w:val="auto"/>
          <w:sz w:val="24"/>
          <w:szCs w:val="24"/>
          <w:highlight w:val="none"/>
          <w:lang w:val="zh-CN"/>
        </w:rPr>
        <w:t xml:space="preserve">年版）》</w:t>
      </w:r>
      <w:r>
        <w:rPr>
          <w:rFonts w:hint="eastAsia" w:ascii="Times New Roman" w:hAnsi="宋体" w:cs="宋体"/>
          <w:color w:val="auto"/>
          <w:sz w:val="24"/>
          <w:szCs w:val="24"/>
          <w:highlight w:val="none"/>
          <w:lang w:val="zh-CN"/>
        </w:rPr>
        <w:t xml:space="preserve">（</w:t>
      </w:r>
      <w:r>
        <w:rPr>
          <w:rFonts w:hint="eastAsia" w:ascii="Times New Roman" w:hAnsi="宋体" w:cs="宋体"/>
          <w:color w:val="auto"/>
          <w:sz w:val="24"/>
          <w:szCs w:val="24"/>
          <w:highlight w:val="none"/>
        </w:rPr>
        <w:t xml:space="preserve">如项目实施过程中发布新版细则按新版细则实施</w:t>
      </w:r>
      <w:r>
        <w:rPr>
          <w:rFonts w:hint="eastAsia" w:ascii="Times New Roman" w:hAnsi="宋体" w:cs="宋体"/>
          <w:color w:val="auto"/>
          <w:sz w:val="24"/>
          <w:szCs w:val="24"/>
          <w:highlight w:val="none"/>
          <w:lang w:val="zh-CN"/>
        </w:rPr>
        <w:t xml:space="preserve">）</w:t>
      </w:r>
      <w:r>
        <w:rPr>
          <w:rFonts w:hint="eastAsia" w:hAnsi="宋体" w:cs="宋体"/>
          <w:color w:val="auto"/>
          <w:sz w:val="24"/>
          <w:szCs w:val="24"/>
          <w:highlight w:val="none"/>
          <w:lang w:val="zh-CN"/>
        </w:rPr>
        <w:t xml:space="preserve">规定，</w:t>
      </w:r>
      <w:r>
        <w:rPr>
          <w:rFonts w:hint="eastAsia" w:hAnsi="宋体" w:cs="宋体"/>
          <w:color w:val="auto"/>
          <w:sz w:val="24"/>
          <w:szCs w:val="24"/>
          <w:highlight w:val="none"/>
        </w:rPr>
        <w:t xml:space="preserve">进行全</w:t>
      </w:r>
      <w:r>
        <w:rPr>
          <w:rFonts w:hint="eastAsia" w:hAnsi="宋体" w:cs="宋体"/>
          <w:color w:val="auto"/>
          <w:sz w:val="24"/>
          <w:szCs w:val="24"/>
          <w:highlight w:val="none"/>
          <w:lang w:val="zh-CN"/>
        </w:rPr>
        <w:t xml:space="preserve">项目</w:t>
      </w:r>
      <w:r>
        <w:rPr>
          <w:rFonts w:hint="eastAsia" w:hAnsi="宋体" w:cs="宋体"/>
          <w:color w:val="auto"/>
          <w:sz w:val="24"/>
          <w:szCs w:val="24"/>
          <w:highlight w:val="none"/>
        </w:rPr>
        <w:t xml:space="preserve">检测</w:t>
      </w:r>
      <w:r>
        <w:rPr>
          <w:rFonts w:hint="eastAsia" w:hAnsi="宋体" w:cs="宋体"/>
          <w:color w:val="auto"/>
          <w:sz w:val="24"/>
          <w:szCs w:val="24"/>
          <w:highlight w:val="none"/>
          <w:lang w:val="zh-CN"/>
        </w:rPr>
        <w:t xml:space="preserve">。采样方应按照实际发生数向被抽检的市场生产经营主体支付样品购置费，不得收取检验费和其他任何费用。投标人应提供购样费用汇总表及经被抽样单位签字确认的收据或发票。</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2）根据国家各级部门的风险监测通报、媒体报道、网络舆情等信息对某类食品安全有反映时，可以通过书面方式要求抽检机构在《国家食品安全监督抽检实施细则（2025年版）》</w:t>
      </w:r>
      <w:r>
        <w:rPr>
          <w:rFonts w:hint="eastAsia" w:ascii="Times New Roman" w:hAnsi="宋体" w:cs="宋体"/>
          <w:color w:val="auto"/>
          <w:sz w:val="24"/>
          <w:szCs w:val="24"/>
          <w:highlight w:val="none"/>
          <w:lang w:val="zh-CN"/>
        </w:rPr>
        <w:t xml:space="preserve">（</w:t>
      </w:r>
      <w:r>
        <w:rPr>
          <w:rFonts w:hint="eastAsia" w:ascii="Times New Roman" w:hAnsi="宋体" w:cs="宋体"/>
          <w:color w:val="auto"/>
          <w:sz w:val="24"/>
          <w:szCs w:val="24"/>
          <w:highlight w:val="none"/>
        </w:rPr>
        <w:t xml:space="preserve">如项目实施过程中发布新版细则按新版细则实施</w:t>
      </w:r>
      <w:r>
        <w:rPr>
          <w:rFonts w:hint="eastAsia" w:ascii="Times New Roman" w:hAnsi="宋体" w:cs="宋体"/>
          <w:color w:val="auto"/>
          <w:sz w:val="24"/>
          <w:szCs w:val="24"/>
          <w:highlight w:val="none"/>
          <w:lang w:val="zh-CN"/>
        </w:rPr>
        <w:t xml:space="preserve">）</w:t>
      </w:r>
      <w:r>
        <w:rPr>
          <w:rFonts w:hint="eastAsia" w:hAnsi="宋体" w:cs="宋体"/>
          <w:color w:val="auto"/>
          <w:sz w:val="24"/>
          <w:szCs w:val="24"/>
          <w:highlight w:val="none"/>
          <w:lang w:val="zh-CN"/>
        </w:rPr>
        <w:t xml:space="preserve">以外增加检验项目参数，同时可以核减相同数量的规定检验项目参数。</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3）检验检测项目参数超出检验机构认证项目范围的，检验机构应书面要求替换具体项目参数或采取分包形式完成。</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4）检验报告应明确使用的检验方法，并与《国家食品安全监督抽检实施细则（2025年版）》</w:t>
      </w:r>
      <w:r>
        <w:rPr>
          <w:rFonts w:hint="eastAsia" w:ascii="Times New Roman" w:hAnsi="宋体" w:cs="宋体"/>
          <w:color w:val="auto"/>
          <w:sz w:val="24"/>
          <w:szCs w:val="24"/>
          <w:highlight w:val="none"/>
          <w:lang w:val="zh-CN"/>
        </w:rPr>
        <w:t xml:space="preserve">（</w:t>
      </w:r>
      <w:r>
        <w:rPr>
          <w:rFonts w:hint="eastAsia" w:ascii="Times New Roman" w:hAnsi="宋体" w:cs="宋体"/>
          <w:color w:val="auto"/>
          <w:sz w:val="24"/>
          <w:szCs w:val="24"/>
          <w:highlight w:val="none"/>
        </w:rPr>
        <w:t xml:space="preserve">如项目实施过程中发布新版细则按新版细则实施</w:t>
      </w:r>
      <w:r>
        <w:rPr>
          <w:rFonts w:hint="eastAsia" w:ascii="Times New Roman" w:hAnsi="宋体" w:cs="宋体"/>
          <w:color w:val="auto"/>
          <w:sz w:val="24"/>
          <w:szCs w:val="24"/>
          <w:highlight w:val="none"/>
          <w:lang w:val="zh-CN"/>
        </w:rPr>
        <w:t xml:space="preserve">）</w:t>
      </w:r>
      <w:r>
        <w:rPr>
          <w:rFonts w:hint="eastAsia" w:hAnsi="宋体" w:cs="宋体"/>
          <w:color w:val="auto"/>
          <w:sz w:val="24"/>
          <w:szCs w:val="24"/>
          <w:highlight w:val="none"/>
          <w:lang w:val="zh-CN"/>
        </w:rPr>
        <w:t xml:space="preserve">规定的检验方法一致。</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3.由承检机构负责抽样。承检机构在进行抽样时，应依据国家食品药品监管总局制定的《食品安全监督抽检监测和风险监测工作规范》规定的抽样方法及数量抽取、保存和运输，并严格按照委托方计划制定的产品类别、批次、时间、采样安排等要求开展抽检监测有关工作，计划产品类别、批次因非承检机构原因无法完成时，应通过适当方式向委托方请示变更种类及批次，经批准后实施。自备抽样工具和车辆，必须保证抽检、检测分离，抽样人员与检验人员不得为同一人。不得向被抽检企业收取检验费和其他任何费用。</w:t>
      </w:r>
      <w:r/>
    </w:p>
    <w:p>
      <w:pPr>
        <w:pStyle w:val="1054"/>
        <w:ind w:firstLine="482"/>
        <w:spacing w:line="500" w:lineRule="exact"/>
        <w:widowControl/>
        <w:rPr>
          <w:rFonts w:hAnsi="宋体" w:cs="宋体"/>
          <w:b/>
          <w:bCs/>
          <w:color w:val="auto"/>
          <w:sz w:val="24"/>
          <w:szCs w:val="24"/>
          <w:highlight w:val="none"/>
          <w:lang w:val="zh-CN"/>
        </w:rPr>
      </w:pPr>
      <w:r>
        <w:rPr>
          <w:rFonts w:hint="eastAsia" w:hAnsi="宋体" w:cs="宋体"/>
          <w:b/>
          <w:bCs/>
          <w:color w:val="auto"/>
          <w:sz w:val="24"/>
          <w:szCs w:val="24"/>
          <w:highlight w:val="none"/>
          <w:lang w:val="zh-CN"/>
        </w:rPr>
        <w:t xml:space="preserve">抽查工作分为以下七个阶段：</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1）由委托方在中标供应商中确定承检机构；</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2）抽样；</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3）检验、检验报告出具、上传平台以及检验结果的确认；</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4）异议处理工作；</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5）汇总材料及上报；</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6）后处理（后处理由执法部门处理）；</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7）公告。</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4.承检机构应在规定的时间内完成委托方部署的抽检监测工作，依法出具检验报告，上报数据至指定的数据平台，汇总样品抽检监测结果信息。</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5、承检方对其抽取的样品负责，检验结果反映对送检样品的真实评价。</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6、承检方由于虚假、错误检验数据和结论而给被检验人造成损失的，或者给社会带来不良影响的，承检方应当负责赔偿，并承担相应的法律责任。</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7.中标单位应接受委托方考核，具体考核标准在签订合同时商定。</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（三）检验结果的处理</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1.检验结论的出具：检验结果未发现所检项目不合格的，判定为产品本次抽查合格；检验结果发现所检项目不合格的，判定为产品本次抽查不合格；对暂未有判定依据的项目应出具检测数值、检测方法介绍、结果分析和处理建议。</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2.检验报告的提供：承检方应在检验完成并出具检验报告后2个工作日内通过国家食品安全抽检监测信息系统上报上传检验报告。上传不合格报告时应同步上传现场采样照片、被抽样单位营业执照、采样工作单、检验结果通知书等照片，并通过国抽信息系统准确对被抽检不合格样品食品经营和生产环节所属市场监管部门分流。同时，寄送全批次纸质检验报告原件2份至委托方保存。承检方根据被抽样单位的需求，及时提供纸质检验报告。</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3.检验任务工作总结的送达、告知：</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（1）寄（送）委托方：工作总结、《抽检情况一览表》和监督抽检信息公布代拟稿。</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（2）检验结果的评估：对检验结果判定为不合格的，承检机构要对不合格项目进行原因及危害性分析评估，并出具分析评估报告，提出下次检测意见和建议。</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（3）对样本异议的处理：</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①委托方接受被抽检人关于对抽样程序、检验判定依据有异议的《异议申请书》后依法组织调查，承检机构应按委托方要求在5日内提交书面答复。</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②委托方同意被抽检人复检申请后，应从已公告的复检机构名录中选取复检机构，复检机构与初检机构不得为同一机构。逾期未提出申请的，视为承认检验结果。承检机构要配合委托方开展复检。复检结果为最终结果。复检结果表明合格的，复检费用及由复检造成的其他费用支出由承担初检的承检机构承担；复检结论表明不合格的，复检费用由要求复检的申请人或单位承担。</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（4）涉及抽样的全部情况包括数据及结果，承检机构必须保密，不得向除委托方以外的任何单位和个人透露。</w:t>
      </w:r>
      <w:r/>
    </w:p>
    <w:p>
      <w:pPr>
        <w:pStyle w:val="1054"/>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（四）抽检服务要求</w:t>
      </w:r>
      <w:r/>
    </w:p>
    <w:p>
      <w:pPr>
        <w:pStyle w:val="1055"/>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rPr>
        <w:t xml:space="preserve">1.</w:t>
      </w:r>
      <w:r>
        <w:rPr>
          <w:rFonts w:hint="eastAsia" w:hAnsi="宋体" w:cs="宋体"/>
          <w:color w:val="auto"/>
          <w:sz w:val="24"/>
          <w:szCs w:val="24"/>
          <w:highlight w:val="none"/>
          <w:lang w:val="zh-CN"/>
        </w:rPr>
        <w:t xml:space="preserve">承检机构应按照委托方要求，按照序时计划进度开展抽检工作，每季度末最后两天提交当季度抽检工作分析报告，按照全年工作进度安排，承检机构须在三季度末完成全部抽检任务，四季度根据考核情况是否追加再行商定；</w:t>
      </w:r>
      <w:r/>
    </w:p>
    <w:p>
      <w:pPr>
        <w:pStyle w:val="1055"/>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2</w:t>
      </w:r>
      <w:r>
        <w:rPr>
          <w:rFonts w:hint="eastAsia" w:hAnsi="宋体" w:cs="宋体"/>
          <w:color w:val="auto"/>
          <w:sz w:val="24"/>
          <w:szCs w:val="24"/>
          <w:highlight w:val="none"/>
        </w:rPr>
        <w:t xml:space="preserve">.</w:t>
      </w:r>
      <w:r>
        <w:rPr>
          <w:rFonts w:hint="eastAsia" w:hAnsi="宋体" w:cs="宋体"/>
          <w:color w:val="auto"/>
          <w:sz w:val="24"/>
          <w:szCs w:val="24"/>
          <w:highlight w:val="none"/>
          <w:lang w:val="zh-CN"/>
        </w:rPr>
        <w:t xml:space="preserve">承检机构要秉着坚持“问题导向”、有效筛查发现问题食品的原则开展食品抽样工作，秉着审慎的态度开展抽样检验工作；</w:t>
      </w:r>
      <w:r/>
    </w:p>
    <w:p>
      <w:pPr>
        <w:pStyle w:val="1055"/>
        <w:ind w:firstLine="480"/>
        <w:spacing w:line="480" w:lineRule="exact"/>
        <w:widowControl/>
        <w:rPr>
          <w:rFonts w:hAnsi="宋体" w:cs="宋体"/>
          <w:strike/>
          <w:color w:val="auto"/>
          <w:sz w:val="24"/>
          <w:szCs w:val="24"/>
          <w:highlight w:val="none"/>
          <w:lang w:val="zh-CN"/>
        </w:rPr>
      </w:pPr>
      <w:r>
        <w:rPr>
          <w:rFonts w:hint="eastAsia" w:hAnsi="宋体" w:cs="宋体"/>
          <w:color w:val="auto"/>
          <w:sz w:val="24"/>
          <w:szCs w:val="24"/>
          <w:highlight w:val="none"/>
          <w:lang w:val="zh-CN"/>
        </w:rPr>
        <w:t xml:space="preserve">3</w:t>
      </w:r>
      <w:r>
        <w:rPr>
          <w:rFonts w:hint="eastAsia" w:hAnsi="宋体" w:cs="宋体"/>
          <w:color w:val="auto"/>
          <w:sz w:val="24"/>
          <w:szCs w:val="24"/>
          <w:highlight w:val="none"/>
        </w:rPr>
        <w:t xml:space="preserve">.</w:t>
      </w:r>
      <w:r>
        <w:rPr>
          <w:rFonts w:hint="eastAsia"/>
          <w:color w:val="auto"/>
          <w:highlight w:val="none"/>
        </w:rPr>
        <w:t xml:space="preserve"> </w:t>
      </w:r>
      <w:r>
        <w:rPr>
          <w:rFonts w:hint="eastAsia" w:hAnsi="宋体" w:cs="宋体"/>
          <w:color w:val="auto"/>
          <w:sz w:val="24"/>
          <w:szCs w:val="24"/>
          <w:highlight w:val="none"/>
          <w:lang w:val="zh-CN"/>
        </w:rPr>
        <w:t xml:space="preserve">承检机构</w:t>
      </w:r>
      <w:r>
        <w:rPr>
          <w:rFonts w:hint="eastAsia" w:hAnsi="宋体" w:cs="宋体"/>
          <w:color w:val="auto"/>
          <w:sz w:val="24"/>
          <w:szCs w:val="24"/>
          <w:highlight w:val="none"/>
          <w:lang w:val="en-US" w:eastAsia="zh-CN"/>
        </w:rPr>
        <w:t xml:space="preserve">检测</w:t>
      </w:r>
      <w:r>
        <w:rPr>
          <w:rFonts w:hint="eastAsia" w:hAnsi="宋体" w:cs="宋体"/>
          <w:color w:val="auto"/>
          <w:sz w:val="24"/>
          <w:szCs w:val="24"/>
          <w:highlight w:val="none"/>
          <w:lang w:val="zh-CN"/>
        </w:rPr>
        <w:t xml:space="preserve">普通食品不合格率（不包含餐饮具）</w:t>
      </w:r>
      <w:r>
        <w:rPr>
          <w:rFonts w:hint="eastAsia" w:hAnsi="宋体" w:cs="宋体"/>
          <w:color w:val="auto"/>
          <w:sz w:val="24"/>
          <w:szCs w:val="24"/>
          <w:highlight w:val="none"/>
          <w:lang w:val="en-US" w:eastAsia="zh-CN"/>
        </w:rPr>
        <w:t xml:space="preserve">及</w:t>
      </w:r>
      <w:r>
        <w:rPr>
          <w:rFonts w:hint="eastAsia" w:hAnsi="宋体" w:cs="宋体"/>
          <w:color w:val="auto"/>
          <w:sz w:val="24"/>
          <w:szCs w:val="24"/>
          <w:highlight w:val="none"/>
          <w:lang w:val="zh-CN"/>
        </w:rPr>
        <w:t xml:space="preserve">农产品不合格率</w:t>
      </w:r>
      <w:r>
        <w:rPr>
          <w:rFonts w:hint="eastAsia" w:hAnsi="宋体" w:cs="宋体"/>
          <w:color w:val="auto"/>
          <w:sz w:val="24"/>
          <w:szCs w:val="24"/>
          <w:highlight w:val="none"/>
          <w:lang w:val="en-US" w:eastAsia="zh-CN"/>
        </w:rPr>
        <w:t xml:space="preserve">应</w:t>
      </w:r>
      <w:r>
        <w:rPr>
          <w:rFonts w:hint="eastAsia" w:hAnsi="宋体" w:cs="宋体"/>
          <w:color w:val="auto"/>
          <w:sz w:val="24"/>
          <w:szCs w:val="24"/>
          <w:highlight w:val="none"/>
          <w:lang w:val="zh-CN"/>
        </w:rPr>
        <w:t xml:space="preserve">根据采购人及上级部门有关要求适时调整；</w:t>
      </w:r>
      <w:r/>
    </w:p>
    <w:p>
      <w:pPr>
        <w:pStyle w:val="1055"/>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4</w:t>
      </w:r>
      <w:r>
        <w:rPr>
          <w:rFonts w:hint="eastAsia" w:hAnsi="宋体" w:cs="宋体"/>
          <w:color w:val="auto"/>
          <w:sz w:val="24"/>
          <w:szCs w:val="24"/>
          <w:highlight w:val="none"/>
        </w:rPr>
        <w:t xml:space="preserve">.</w:t>
      </w:r>
      <w:r>
        <w:rPr>
          <w:rFonts w:hint="eastAsia" w:hAnsi="宋体" w:cs="宋体"/>
          <w:color w:val="auto"/>
          <w:sz w:val="24"/>
          <w:szCs w:val="24"/>
          <w:highlight w:val="none"/>
          <w:lang w:val="zh-CN"/>
        </w:rPr>
        <w:t xml:space="preserve">承检机构要严格把控抽检工作质量，认真对待国家、省、市有关部门数据筛查工作。</w:t>
      </w:r>
      <w:r/>
    </w:p>
    <w:p>
      <w:pPr>
        <w:pStyle w:val="1055"/>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5</w:t>
      </w:r>
      <w:r>
        <w:rPr>
          <w:rFonts w:hint="eastAsia" w:hAnsi="宋体" w:cs="宋体"/>
          <w:color w:val="auto"/>
          <w:sz w:val="24"/>
          <w:szCs w:val="24"/>
          <w:highlight w:val="none"/>
        </w:rPr>
        <w:t xml:space="preserve">.</w:t>
      </w:r>
      <w:r>
        <w:rPr>
          <w:rFonts w:hint="eastAsia" w:hAnsi="宋体" w:cs="宋体"/>
          <w:color w:val="auto"/>
          <w:sz w:val="24"/>
          <w:szCs w:val="24"/>
          <w:highlight w:val="none"/>
          <w:lang w:val="zh-CN"/>
        </w:rPr>
        <w:t xml:space="preserve">承检机构每批次检测项目数量要达到国抽细则要求和上级有关部门要求。</w:t>
      </w:r>
      <w:r/>
    </w:p>
    <w:p>
      <w:pPr>
        <w:pStyle w:val="1054"/>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（五）其他要求</w:t>
      </w:r>
      <w:r/>
    </w:p>
    <w:p>
      <w:pPr>
        <w:pStyle w:val="1054"/>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1、因违反抽样、检验、信息披露等相关规定的，委托方有权取消其承检资格并追究其经济赔偿责任和法律责任。</w:t>
      </w:r>
      <w:r/>
    </w:p>
    <w:p>
      <w:pPr>
        <w:pStyle w:val="1054"/>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2、中标单位未征得采购方同意，不得将检验任务外包或分包给其他检测机构检验，一经发现，立即取消承检机构资格，任何款项不予支付。原合同约定由其承检的批次数，由其余中标人承担。</w:t>
      </w:r>
      <w:r/>
    </w:p>
    <w:p>
      <w:pPr>
        <w:pStyle w:val="1054"/>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3、中标单位承检的检验任务必须由其投标文件中载明的实验室负责检验，否则视为违约，取消承检机构库资格，任何款项不予支付。原合同约定由其承检的批次数，由其余中标人承担。</w:t>
      </w:r>
      <w:r/>
    </w:p>
    <w:p>
      <w:pPr>
        <w:pStyle w:val="1054"/>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4、采样工具和车辆数量充足、质量精良，具有冷藏冷冻食品的运输车辆和设施。</w:t>
      </w:r>
      <w:r/>
    </w:p>
    <w:p>
      <w:pPr>
        <w:pStyle w:val="1054"/>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5、因中标单位原因造成的检测程序违法、检测结果错误，由此造成委托方不能有效使用检测报告，委托方有权拒绝支付该批次的费用。因中标单位原因造成的检测程序违法、检测结果错误，由此造成委托方在行政复议中被确认违法或行政诉讼败诉，立即终止合作。委托方有权根据检测单位的工作质量安排项目。</w:t>
      </w:r>
      <w:r/>
    </w:p>
    <w:p>
      <w:pPr>
        <w:pStyle w:val="1054"/>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6、在中标单位履行合同期间，如有实际工作需要，委托方有权按照中标价格改变检测产品及项目的权利。</w:t>
      </w:r>
      <w:r/>
    </w:p>
    <w:p>
      <w:pPr>
        <w:pStyle w:val="1054"/>
        <w:ind w:firstLine="480"/>
        <w:spacing w:line="48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7、为保证检验任务高效优质完成，承检机构需接受委托方组织的检查和考核，对于委托方在考核中提出的问题要及时进行整改，并提交整改报告。整改不到位的，委托方有权取消其承检资格。</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8、符合国家规定的承担食品安全抽检工作的其他要求。</w:t>
      </w:r>
      <w:r/>
    </w:p>
    <w:p>
      <w:pPr>
        <w:pStyle w:val="1038"/>
        <w:spacing w:line="5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第七条 其它合同责任：</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1、甲方应当为乙方履行合同提供必要的支持。</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2、乙方保证其对为履行本合同交付的工作成果、使用的技术手段或提供的服务 内容涉及的各方面均享有完全的法律权利或获得充分的授权。乙方因自身的权利瑕疵或侵权行为使得本合同履行侵犯任何第三方合法权益的，均由乙方承担相关责任。</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3、乙方在履行合同中产生的一切非因甲方过错导致的损失，均由乙方自行承担责任。</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4、甲乙双方均应指定专人作为本合同履行期间双方之间的联络人，所有一方向相对方正式知会事项的通知到达相对方指定联络人即视为到达对方。</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第九条  履约保证：</w:t>
      </w:r>
      <w:r/>
    </w:p>
    <w:p>
      <w:pPr>
        <w:ind w:firstLine="480"/>
        <w:spacing w:line="560" w:lineRule="exact"/>
        <w:rPr>
          <w:bCs/>
          <w:color w:val="auto"/>
          <w:sz w:val="24"/>
          <w:highlight w:val="none"/>
          <w:lang w:val="zh-CN"/>
        </w:rPr>
      </w:pPr>
      <w:r>
        <w:rPr>
          <w:rFonts w:hint="eastAsia" w:ascii="宋体" w:hAnsi="宋体" w:cs="宋体"/>
          <w:color w:val="auto"/>
          <w:sz w:val="24"/>
          <w:highlight w:val="none"/>
        </w:rPr>
        <w:t xml:space="preserve">（一）</w:t>
      </w:r>
      <w:r>
        <w:rPr>
          <w:rFonts w:hint="eastAsia"/>
          <w:bCs/>
          <w:color w:val="auto"/>
          <w:sz w:val="24"/>
          <w:highlight w:val="none"/>
          <w:lang w:val="zh-CN"/>
        </w:rPr>
        <w:t xml:space="preserve">履约保证金应在采购合同签订前提交，履约保证金的金额：按采购合同总价的</w:t>
      </w:r>
      <w:r>
        <w:rPr>
          <w:rFonts w:hint="eastAsia"/>
          <w:bCs/>
          <w:color w:val="auto"/>
          <w:sz w:val="24"/>
          <w:highlight w:val="none"/>
          <w:u w:val="single"/>
        </w:rPr>
        <w:t xml:space="preserve">10 </w:t>
      </w:r>
      <w:r>
        <w:rPr>
          <w:rFonts w:hint="eastAsia"/>
          <w:bCs/>
          <w:color w:val="auto"/>
          <w:sz w:val="24"/>
          <w:highlight w:val="none"/>
          <w:lang w:val="zh-CN"/>
        </w:rPr>
        <w:t xml:space="preserve">%计取（使用江苏政府采购电子履约保函（保险）代替缴纳履约保证金，按采购合同总价的</w:t>
      </w:r>
      <w:r>
        <w:rPr>
          <w:rFonts w:hint="eastAsia"/>
          <w:bCs/>
          <w:color w:val="auto"/>
          <w:sz w:val="24"/>
          <w:highlight w:val="none"/>
          <w:u w:val="single"/>
        </w:rPr>
        <w:t xml:space="preserve"> 6 </w:t>
      </w:r>
      <w:r>
        <w:rPr>
          <w:rFonts w:hint="eastAsia"/>
          <w:bCs/>
          <w:color w:val="auto"/>
          <w:sz w:val="24"/>
          <w:highlight w:val="none"/>
          <w:lang w:val="zh-CN"/>
        </w:rPr>
        <w:t xml:space="preserve">%）计取。</w:t>
      </w:r>
      <w:r/>
    </w:p>
    <w:p>
      <w:pPr>
        <w:ind w:firstLine="480"/>
        <w:spacing w:line="360" w:lineRule="auto"/>
        <w:rPr>
          <w:color w:val="auto"/>
          <w:sz w:val="24"/>
          <w:szCs w:val="24"/>
          <w:highlight w:val="none"/>
          <w:lang w:val="zh-CN"/>
        </w:rPr>
      </w:pPr>
      <w:r>
        <w:rPr>
          <w:rFonts w:hint="eastAsia"/>
          <w:color w:val="auto"/>
          <w:sz w:val="24"/>
          <w:szCs w:val="24"/>
          <w:highlight w:val="none"/>
          <w:lang w:val="zh-CN"/>
        </w:rPr>
        <w:t xml:space="preserve">除银行电汇、网上银行、数字人民币外，供应商还可选用银行保函、担保公司的保证担保或保险公司的保证保险等多种形式向采购人缴纳；</w:t>
      </w:r>
      <w:r/>
    </w:p>
    <w:p>
      <w:pPr>
        <w:ind w:firstLine="480"/>
        <w:spacing w:line="360" w:lineRule="auto"/>
        <w:rPr>
          <w:color w:val="auto"/>
          <w:sz w:val="24"/>
          <w:szCs w:val="24"/>
          <w:highlight w:val="none"/>
        </w:rPr>
      </w:pPr>
      <w:r>
        <w:rPr>
          <w:rFonts w:hint="eastAsia"/>
          <w:color w:val="auto"/>
          <w:sz w:val="24"/>
          <w:szCs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color w:val="auto"/>
          <w:sz w:val="24"/>
          <w:szCs w:val="24"/>
          <w:highlight w:val="none"/>
        </w:rPr>
      </w:pPr>
      <w:r>
        <w:rPr>
          <w:rFonts w:hint="eastAsia"/>
          <w:color w:val="auto"/>
          <w:sz w:val="24"/>
          <w:szCs w:val="24"/>
          <w:highlight w:val="none"/>
        </w:rPr>
        <w:t xml:space="preserve">履约保证金退还的条件：按以下第</w:t>
      </w:r>
      <w:r>
        <w:rPr>
          <w:rFonts w:hint="eastAsia"/>
          <w:color w:val="auto"/>
          <w:sz w:val="24"/>
          <w:szCs w:val="24"/>
          <w:highlight w:val="none"/>
          <w:u w:val="single"/>
        </w:rPr>
        <w:t xml:space="preserve">  b  </w:t>
      </w:r>
      <w:r>
        <w:rPr>
          <w:rFonts w:hint="eastAsia"/>
          <w:color w:val="auto"/>
          <w:sz w:val="24"/>
          <w:szCs w:val="24"/>
          <w:highlight w:val="none"/>
        </w:rPr>
        <w:t xml:space="preserve">种方式实行：</w:t>
      </w:r>
      <w:r/>
    </w:p>
    <w:p>
      <w:pPr>
        <w:ind w:firstLine="480"/>
        <w:spacing w:line="360" w:lineRule="auto"/>
        <w:rPr>
          <w:color w:val="auto"/>
          <w:sz w:val="24"/>
          <w:szCs w:val="24"/>
          <w:highlight w:val="none"/>
        </w:rPr>
      </w:pPr>
      <w:r>
        <w:rPr>
          <w:rFonts w:hint="eastAsia"/>
          <w:color w:val="auto"/>
          <w:sz w:val="24"/>
          <w:szCs w:val="24"/>
          <w:highlight w:val="none"/>
        </w:rPr>
        <w:t xml:space="preserve">a、货物类项目，项目验收合格，出具验收报告及履约保证金收据申请退付；</w:t>
      </w:r>
      <w:r/>
    </w:p>
    <w:p>
      <w:pPr>
        <w:ind w:firstLine="480"/>
        <w:spacing w:line="360" w:lineRule="auto"/>
        <w:rPr>
          <w:color w:val="auto"/>
          <w:sz w:val="24"/>
          <w:szCs w:val="24"/>
          <w:highlight w:val="none"/>
        </w:rPr>
      </w:pPr>
      <w:r>
        <w:rPr>
          <w:rFonts w:hint="eastAsia"/>
          <w:color w:val="auto"/>
          <w:sz w:val="24"/>
          <w:szCs w:val="24"/>
          <w:highlight w:val="none"/>
        </w:rPr>
        <w:t xml:space="preserve">b、服务类项目，项目履约期满评价合格，出具履约评价报告及履约保证金收据申请退付；</w:t>
      </w:r>
      <w:r/>
    </w:p>
    <w:p>
      <w:pPr>
        <w:ind w:firstLine="480"/>
        <w:spacing w:line="360" w:lineRule="auto"/>
        <w:rPr>
          <w:color w:val="auto"/>
          <w:sz w:val="24"/>
          <w:szCs w:val="24"/>
          <w:highlight w:val="none"/>
        </w:rPr>
      </w:pPr>
      <w:r>
        <w:rPr>
          <w:rFonts w:hint="eastAsia"/>
          <w:color w:val="auto"/>
          <w:sz w:val="24"/>
          <w:szCs w:val="24"/>
          <w:highlight w:val="none"/>
        </w:rPr>
        <w:t xml:space="preserve">c、工程类项目，项目完工验收合格，出具完工证明及履约保证金收据申请退付；</w:t>
      </w:r>
      <w:r/>
    </w:p>
    <w:p>
      <w:pPr>
        <w:ind w:firstLine="480"/>
        <w:spacing w:line="360" w:lineRule="auto"/>
        <w:rPr>
          <w:color w:val="auto"/>
          <w:sz w:val="24"/>
          <w:szCs w:val="24"/>
          <w:highlight w:val="none"/>
        </w:rPr>
      </w:pPr>
      <w:r>
        <w:rPr>
          <w:rFonts w:hint="eastAsia"/>
          <w:color w:val="auto"/>
          <w:sz w:val="24"/>
          <w:szCs w:val="24"/>
          <w:highlight w:val="none"/>
        </w:rPr>
        <w:t xml:space="preserve">履约保证金退还时间：采购单位收到投标人退付申请后5个工作日内退还；</w:t>
      </w:r>
      <w:r/>
    </w:p>
    <w:p>
      <w:pPr>
        <w:ind w:firstLine="480"/>
        <w:spacing w:line="360" w:lineRule="auto"/>
        <w:rPr>
          <w:color w:val="auto"/>
          <w:sz w:val="24"/>
          <w:szCs w:val="24"/>
          <w:highlight w:val="none"/>
        </w:rPr>
      </w:pPr>
      <w:r>
        <w:rPr>
          <w:rFonts w:hint="eastAsia"/>
          <w:color w:val="auto"/>
          <w:sz w:val="24"/>
          <w:szCs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color w:val="auto"/>
          <w:sz w:val="24"/>
          <w:szCs w:val="24"/>
          <w:highlight w:val="none"/>
        </w:rPr>
      </w:pPr>
      <w:r>
        <w:rPr>
          <w:rFonts w:hint="eastAsia"/>
          <w:color w:val="auto"/>
          <w:sz w:val="24"/>
          <w:szCs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360" w:lineRule="auto"/>
        <w:rPr>
          <w:color w:val="auto"/>
          <w:sz w:val="24"/>
          <w:szCs w:val="24"/>
          <w:highlight w:val="none"/>
        </w:rPr>
      </w:pPr>
      <w:r>
        <w:rPr>
          <w:color w:val="auto"/>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第十条、违约条款</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（一）乙方不按期完成合同约定的内容，应向甲方支付违约金，除甲方或不可抗力造成原因外，每延迟交付一天，按合同总价款的1-3‰支付违约金，违约金可直接从履约保证金中扣除；延期超过 3日，甲方有权强制解除合同并没收履约保证金。</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（二）非因甲方原因，乙方不履行本合同规定的义务，致使工作延误，甲方有权要求其强制履行或解除合同，并要求乙方等额赔偿由此造成的一切损失。</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（三）本项目不得转让分包，如有发生，除没收其履约保证金外，无条件清理退场，所造成的一切损失由乙方负责。</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（四）甲方未按约定期限付款的，除向乙方支付货款外，须按中国人民银行有关规定向乙方支付滞纳金。</w:t>
      </w:r>
      <w:r/>
    </w:p>
    <w:p>
      <w:pPr>
        <w:pStyle w:val="1038"/>
        <w:spacing w:line="5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第十一条 验收</w:t>
      </w:r>
      <w:r>
        <w:rPr>
          <w:rFonts w:hint="eastAsia" w:ascii="宋体" w:hAnsi="宋体" w:cs="宋体"/>
          <w:color w:val="auto"/>
          <w:sz w:val="24"/>
          <w:highlight w:val="none"/>
        </w:rPr>
        <w:t xml:space="preserve">：</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在合同履行期间，采购方有权依照招标文件相关要求对承检机构提供的相关服务或交付的工作成果进行阶段性验收或总体验收。如需委托第三方验收，验收费用由采购方承担。因承检机构提供的服务不符合标准导致采购方重复支出的验收费用，由承检机构承担。</w:t>
      </w:r>
      <w:r/>
    </w:p>
    <w:p>
      <w:pPr>
        <w:pStyle w:val="1054"/>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lang w:val="zh-CN"/>
        </w:rPr>
        <w:t xml:space="preserve">经验收不合格的，承检机构应当按照采购方要求在指定的合理期限内进行整改和完善，直至符合招标文件要求的相关标准。逾期不予整改或经整改仍不能符合相关要求，或者导致合同目的无法实现，采购方有权依照法律程序解除合同，并追究承检机构违约责任。</w:t>
      </w:r>
      <w:r/>
    </w:p>
    <w:p>
      <w:pPr>
        <w:pStyle w:val="1038"/>
        <w:spacing w:line="5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第十二条 付款方式</w:t>
      </w:r>
      <w:r>
        <w:rPr>
          <w:rFonts w:hint="eastAsia" w:ascii="宋体" w:hAnsi="宋体" w:cs="宋体"/>
          <w:color w:val="auto"/>
          <w:sz w:val="24"/>
          <w:highlight w:val="none"/>
        </w:rPr>
        <w:t xml:space="preserve">：</w:t>
      </w:r>
      <w:r/>
    </w:p>
    <w:p>
      <w:pPr>
        <w:ind w:firstLine="482"/>
        <w:spacing w:line="560" w:lineRule="exact"/>
        <w:rPr>
          <w:bCs/>
          <w:color w:val="auto"/>
          <w:sz w:val="24"/>
          <w:highlight w:val="none"/>
        </w:rPr>
      </w:pPr>
      <w:r>
        <w:rPr>
          <w:rFonts w:hint="eastAsia"/>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w:t>
      </w:r>
      <w:r>
        <w:rPr>
          <w:rFonts w:hint="eastAsia"/>
          <w:bCs/>
          <w:color w:val="auto"/>
          <w:sz w:val="24"/>
          <w:highlight w:val="none"/>
          <w:u w:val="single"/>
        </w:rPr>
        <w:t xml:space="preserve">合同金额的10%，合同签订后按规定支付；</w:t>
      </w:r>
      <w:r>
        <w:rPr>
          <w:rFonts w:hint="eastAsia" w:eastAsia="仿宋_GB2312" w:cs="仿宋_GB2312"/>
          <w:color w:val="auto"/>
          <w:sz w:val="24"/>
          <w:highlight w:val="none"/>
        </w:rPr>
        <w:t xml:space="preserve"> </w:t>
      </w:r>
      <w:r/>
    </w:p>
    <w:p>
      <w:pPr>
        <w:pStyle w:val="1056"/>
        <w:ind w:firstLine="480"/>
        <w:spacing w:line="500" w:lineRule="exact"/>
        <w:rPr>
          <w:rFonts w:ascii="宋体" w:hAnsi="宋体" w:cs="仿宋_GB2312"/>
          <w:color w:val="auto"/>
          <w:sz w:val="24"/>
          <w:szCs w:val="24"/>
          <w:highlight w:val="none"/>
          <w:u w:val="single"/>
        </w:rPr>
      </w:pPr>
      <w:r>
        <w:rPr>
          <w:rFonts w:hint="eastAsia" w:ascii="Times New Roman" w:hAnsi="Times New Roman"/>
          <w:bCs/>
          <w:color w:val="auto"/>
          <w:sz w:val="24"/>
          <w:highlight w:val="none"/>
        </w:rPr>
        <w:t xml:space="preserve">进度款：</w:t>
      </w:r>
      <w:r>
        <w:rPr>
          <w:rFonts w:hint="eastAsia" w:ascii="宋体" w:hAnsi="宋体"/>
          <w:color w:val="auto"/>
          <w:spacing w:val="-1"/>
          <w:sz w:val="24"/>
          <w:highlight w:val="none"/>
          <w:u w:val="single"/>
        </w:rPr>
        <w:t xml:space="preserve">全部完成抽检批次及出具报告等任务后，采购人在接收到中标人发票后10个工作日内将余款（考核后的）一次性支付给供应商</w:t>
      </w:r>
      <w:r>
        <w:rPr>
          <w:rFonts w:hint="eastAsia" w:ascii="宋体" w:hAnsi="宋体" w:cs="仿宋_GB2312"/>
          <w:color w:val="auto"/>
          <w:sz w:val="24"/>
          <w:szCs w:val="24"/>
          <w:highlight w:val="none"/>
          <w:u w:val="single"/>
        </w:rPr>
        <w:t xml:space="preserve">。</w:t>
      </w:r>
      <w:r/>
    </w:p>
    <w:p>
      <w:pPr>
        <w:pStyle w:val="1057"/>
        <w:ind w:firstLine="482"/>
        <w:spacing w:line="500" w:lineRule="exact"/>
        <w:widowControl/>
        <w:rPr>
          <w:rFonts w:hAnsi="宋体" w:cs="宋体" w:asciiTheme="minorHAnsi" w:eastAsiaTheme="minorEastAsia"/>
          <w:b/>
          <w:color w:val="auto"/>
          <w:sz w:val="24"/>
          <w:szCs w:val="24"/>
          <w:highlight w:val="none"/>
          <w:lang w:val="zh-CN"/>
        </w:rPr>
      </w:pPr>
      <w:r>
        <w:rPr>
          <w:rFonts w:hint="eastAsia" w:hAnsi="宋体" w:cs="宋体" w:asciiTheme="minorHAnsi" w:eastAsiaTheme="minorEastAsia"/>
          <w:b/>
          <w:color w:val="auto"/>
          <w:sz w:val="24"/>
          <w:szCs w:val="24"/>
          <w:highlight w:val="none"/>
          <w:lang w:val="zh-CN"/>
        </w:rPr>
        <w:t xml:space="preserve">注：在签订合同时，中标人明确表示无需预付款或者主动要求降低预付款比例的金额，采购人可不适用预付款规定。</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第十三条 保密条款</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乙方不得将在履行本合同中知悉的甲方任何信息随意泄露、擅自使用。</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如违反本条款规定，乙方应当承担如下责任：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1038"/>
        <w:spacing w:line="5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第十四条  组成本合同的文件包括：</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（一） 本合同条款；</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（二）采购文件和乙方的投标文件；</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（三）中标通知书；</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（四） 供应商在开标时的书面承诺等构成合同的组成部分。 </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上述合同文件内容互为补充，如有不明确，由甲方负责解释。</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第十五条  合同的生效：</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本合同经甲方、乙方签字盖章后生效，合同签订的内容不能超出招标文件和投标文件的实质性内容。</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第十六条  合同纠纷处理</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本合同执行过程中发生纠纷，由甲乙双方协商处理，若协商不成，双方一致同意作如下 </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处理：</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1、申请仲裁。选定仲裁机构为当地的仲裁委员会。</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2、提起诉讼。约定由采购人所在地法院管辖。</w:t>
      </w:r>
      <w:r/>
    </w:p>
    <w:p>
      <w:pPr>
        <w:pStyle w:val="1038"/>
        <w:spacing w:line="5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第十七条 其他附则：</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1、合同份数：本合同一式四份，甲乙双方各执一份，招标代理机构一份，政府采购管理部门一份。</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2、本合同一切未尽事宜，按合同法有关规定执行，无相关规定的，由甲乙双方协商解决。</w:t>
      </w:r>
      <w:r/>
    </w:p>
    <w:p>
      <w:pPr>
        <w:pStyle w:val="1038"/>
        <w:spacing w:line="5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第十八条  适用法律</w:t>
      </w:r>
      <w:r/>
    </w:p>
    <w:p>
      <w:pPr>
        <w:pStyle w:val="1038"/>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本合同应按照中华人民共和国的现行法律进行解释。</w:t>
      </w:r>
      <w:r/>
    </w:p>
    <w:p>
      <w:pPr>
        <w:pStyle w:val="1038"/>
        <w:ind w:firstLine="480"/>
        <w:spacing w:line="70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      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pStyle w:val="1038"/>
        <w:ind w:firstLine="480"/>
        <w:spacing w:line="700" w:lineRule="exact"/>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pStyle w:val="1038"/>
        <w:ind w:firstLine="480"/>
        <w:spacing w:line="70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法定（授权）代表人：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法定（授权）代表人：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pStyle w:val="1038"/>
        <w:ind w:firstLine="480"/>
        <w:spacing w:line="70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pStyle w:val="1038"/>
        <w:ind w:firstLine="480"/>
        <w:spacing w:line="700" w:lineRule="exact"/>
        <w:widowControl/>
        <w:tabs>
          <w:tab w:val="center" w:pos="4153" w:leader="none"/>
        </w:tabs>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pStyle w:val="1038"/>
        <w:ind w:firstLine="720"/>
        <w:spacing w:line="700" w:lineRule="exact"/>
        <w:widowControl/>
        <w:tabs>
          <w:tab w:val="center" w:pos="4153" w:leader="none"/>
        </w:tabs>
        <w:rPr>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920"/>
        <w:spacing w:after="145" w:line="360" w:lineRule="auto"/>
        <w:rPr>
          <w:rFonts w:ascii="Times New Roman"/>
          <w:color w:val="auto"/>
          <w:highlight w:val="none"/>
        </w:rPr>
      </w:pPr>
      <w:r>
        <w:rPr>
          <w:rFonts w:ascii="宋体" w:hAnsi="宋体"/>
          <w:b/>
          <w:color w:val="auto"/>
          <w:sz w:val="32"/>
          <w:szCs w:val="32"/>
          <w:highlight w:val="none"/>
        </w:rPr>
        <w:br w:type="page" w:clear="all"/>
      </w:r>
      <w:bookmarkStart w:id="130" w:name="_Hlt16619350"/>
      <w:r/>
      <w:bookmarkStart w:id="131" w:name="_Toc20433"/>
      <w:r>
        <w:rPr>
          <w:rFonts w:hint="eastAsia" w:ascii="Times New Roman" w:eastAsia="黑体"/>
          <w:bCs/>
          <w:color w:val="auto"/>
          <w:sz w:val="44"/>
          <w:highlight w:val="none"/>
        </w:rPr>
        <w:t xml:space="preserve">第</w:t>
      </w:r>
      <w:bookmarkEnd w:id="130"/>
      <w:r>
        <w:rPr>
          <w:rFonts w:hint="eastAsia" w:ascii="Times New Roman" w:eastAsia="黑体"/>
          <w:bCs/>
          <w:color w:val="auto"/>
          <w:sz w:val="44"/>
          <w:highlight w:val="none"/>
        </w:rPr>
        <w:t xml:space="preserve">四章 </w:t>
      </w:r>
      <w:r>
        <w:rPr>
          <w:rFonts w:ascii="Times New Roman" w:eastAsia="黑体"/>
          <w:bCs/>
          <w:color w:val="auto"/>
          <w:sz w:val="44"/>
          <w:highlight w:val="none"/>
        </w:rPr>
        <w:t xml:space="preserve"> </w:t>
      </w:r>
      <w:r>
        <w:rPr>
          <w:rFonts w:hint="eastAsia" w:ascii="Times New Roman" w:eastAsia="黑体"/>
          <w:bCs/>
          <w:color w:val="auto"/>
          <w:sz w:val="44"/>
          <w:highlight w:val="none"/>
        </w:rPr>
        <w:t xml:space="preserve">采购需求</w:t>
      </w:r>
      <w:bookmarkEnd w:id="131"/>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项目属性：服务类项目。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本项目采购标的对应的中小企业划分标准所属行业：其他未列明行业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本项目不接受进口产品。</w:t>
      </w:r>
      <w:r/>
    </w:p>
    <w:p>
      <w:pPr>
        <w:spacing w:line="500" w:lineRule="exact"/>
        <w:widowControl/>
        <w:rPr>
          <w:rFonts w:ascii="Calibri" w:hAnsi="宋体" w:cs="宋体"/>
          <w:b/>
          <w:bCs/>
          <w:color w:val="auto"/>
          <w:sz w:val="24"/>
          <w:szCs w:val="24"/>
          <w:highlight w:val="none"/>
          <w:lang w:val="zh-CN"/>
        </w:rPr>
      </w:pPr>
      <w:r>
        <w:rPr>
          <w:rFonts w:hint="eastAsia" w:ascii="Calibri" w:hAnsi="宋体" w:cs="宋体"/>
          <w:b/>
          <w:bCs/>
          <w:color w:val="auto"/>
          <w:sz w:val="24"/>
          <w:szCs w:val="24"/>
          <w:highlight w:val="none"/>
          <w:lang w:val="zh-CN"/>
        </w:rPr>
        <w:t xml:space="preserve">一、项目概况</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1、为顺利开展抽检工作，泗阳县市场监督管理局拟择优选取食品检验检测机构承担泗阳县市场监督管理局</w:t>
      </w:r>
      <w:r>
        <w:rPr>
          <w:rFonts w:ascii="Calibri" w:hAnsi="宋体" w:cs="宋体"/>
          <w:color w:val="auto"/>
          <w:sz w:val="24"/>
          <w:szCs w:val="24"/>
          <w:highlight w:val="none"/>
        </w:rPr>
        <w:t xml:space="preserve">202</w:t>
      </w:r>
      <w:r>
        <w:rPr>
          <w:rFonts w:hint="eastAsia" w:ascii="Calibri" w:hAnsi="宋体" w:cs="宋体"/>
          <w:color w:val="auto"/>
          <w:sz w:val="24"/>
          <w:szCs w:val="24"/>
          <w:highlight w:val="none"/>
        </w:rPr>
        <w:t xml:space="preserve">6</w:t>
      </w:r>
      <w:r>
        <w:rPr>
          <w:rFonts w:hint="eastAsia" w:ascii="Calibri" w:hAnsi="宋体" w:cs="宋体"/>
          <w:color w:val="auto"/>
          <w:sz w:val="24"/>
          <w:szCs w:val="24"/>
          <w:highlight w:val="none"/>
          <w:lang w:val="zh-CN"/>
        </w:rPr>
        <w:t xml:space="preserve">年食品安全抽检工作，监督抽检总批次</w:t>
      </w:r>
      <w:r>
        <w:rPr>
          <w:rFonts w:hint="eastAsia" w:ascii="Calibri" w:hAnsi="宋体" w:cs="宋体"/>
          <w:color w:val="auto"/>
          <w:sz w:val="24"/>
          <w:szCs w:val="24"/>
          <w:highlight w:val="none"/>
        </w:rPr>
        <w:t xml:space="preserve">约</w:t>
      </w:r>
      <w:r>
        <w:rPr>
          <w:rFonts w:hint="eastAsia" w:ascii="Calibri" w:hAnsi="宋体" w:cs="宋体"/>
          <w:color w:val="auto"/>
          <w:sz w:val="24"/>
          <w:szCs w:val="24"/>
          <w:highlight w:val="none"/>
          <w:lang w:val="zh-CN"/>
        </w:rPr>
        <w:t xml:space="preserve">为</w:t>
      </w:r>
      <w:r>
        <w:rPr>
          <w:rFonts w:hint="eastAsia" w:ascii="Calibri" w:hAnsi="宋体" w:cs="宋体"/>
          <w:color w:val="auto"/>
          <w:sz w:val="24"/>
          <w:szCs w:val="24"/>
          <w:highlight w:val="none"/>
        </w:rPr>
        <w:t xml:space="preserve">1500</w:t>
      </w:r>
      <w:r>
        <w:rPr>
          <w:rFonts w:hint="eastAsia" w:ascii="Calibri" w:hAnsi="宋体" w:cs="宋体"/>
          <w:color w:val="auto"/>
          <w:sz w:val="24"/>
          <w:szCs w:val="24"/>
          <w:highlight w:val="none"/>
          <w:lang w:val="zh-CN"/>
        </w:rPr>
        <w:t xml:space="preserve">批次，分</w:t>
      </w:r>
      <w:r>
        <w:rPr>
          <w:rFonts w:hint="eastAsia" w:ascii="Calibri" w:hAnsi="宋体" w:cs="宋体"/>
          <w:color w:val="auto"/>
          <w:sz w:val="24"/>
          <w:szCs w:val="24"/>
          <w:highlight w:val="none"/>
        </w:rPr>
        <w:t xml:space="preserve">为</w:t>
      </w:r>
      <w:r>
        <w:rPr>
          <w:rFonts w:hint="eastAsia" w:ascii="Calibri" w:hAnsi="宋体" w:cs="宋体"/>
          <w:color w:val="auto"/>
          <w:sz w:val="24"/>
          <w:szCs w:val="24"/>
          <w:highlight w:val="none"/>
          <w:lang w:val="en-US" w:eastAsia="zh-CN"/>
        </w:rPr>
        <w:t xml:space="preserve">4</w:t>
      </w:r>
      <w:r>
        <w:rPr>
          <w:rFonts w:hint="eastAsia" w:ascii="Calibri" w:hAnsi="宋体" w:cs="宋体"/>
          <w:color w:val="auto"/>
          <w:sz w:val="24"/>
          <w:szCs w:val="24"/>
          <w:highlight w:val="none"/>
          <w:lang w:val="zh-CN"/>
        </w:rPr>
        <w:t xml:space="preserve">个</w:t>
      </w:r>
      <w:r>
        <w:rPr>
          <w:rFonts w:hint="eastAsia" w:ascii="宋体" w:hAnsi="宋体" w:cs="宋体"/>
          <w:color w:val="auto"/>
          <w:sz w:val="24"/>
          <w:szCs w:val="24"/>
          <w:highlight w:val="none"/>
        </w:rPr>
        <w:t xml:space="preserve">采购包</w:t>
      </w:r>
      <w:r>
        <w:rPr>
          <w:rFonts w:hint="eastAsia" w:ascii="Calibri" w:hAnsi="宋体" w:cs="宋体"/>
          <w:color w:val="auto"/>
          <w:sz w:val="24"/>
          <w:szCs w:val="24"/>
          <w:highlight w:val="none"/>
          <w:lang w:val="zh-CN"/>
        </w:rPr>
        <w:t xml:space="preserve">以公开招标方式选择</w:t>
      </w:r>
      <w:r>
        <w:rPr>
          <w:rFonts w:hint="eastAsia" w:ascii="Calibri" w:hAnsi="宋体" w:cs="宋体"/>
          <w:color w:val="auto"/>
          <w:sz w:val="24"/>
          <w:szCs w:val="24"/>
          <w:highlight w:val="none"/>
          <w:lang w:val="en-US" w:eastAsia="zh-CN"/>
        </w:rPr>
        <w:t xml:space="preserve">4</w:t>
      </w:r>
      <w:r>
        <w:rPr>
          <w:rFonts w:hint="eastAsia" w:ascii="Calibri" w:hAnsi="宋体" w:cs="宋体"/>
          <w:color w:val="auto"/>
          <w:sz w:val="24"/>
          <w:szCs w:val="24"/>
          <w:highlight w:val="none"/>
          <w:lang w:val="zh-CN"/>
        </w:rPr>
        <w:t xml:space="preserve">家</w:t>
      </w:r>
      <w:r>
        <w:rPr>
          <w:rFonts w:hint="eastAsia" w:ascii="Calibri" w:hAnsi="宋体" w:cs="宋体"/>
          <w:color w:val="auto"/>
          <w:sz w:val="24"/>
          <w:szCs w:val="24"/>
          <w:highlight w:val="none"/>
        </w:rPr>
        <w:t xml:space="preserve">食品安全检测</w:t>
      </w:r>
      <w:r>
        <w:rPr>
          <w:rFonts w:hint="eastAsia" w:ascii="Calibri" w:hAnsi="宋体" w:cs="宋体"/>
          <w:color w:val="auto"/>
          <w:sz w:val="24"/>
          <w:szCs w:val="24"/>
          <w:highlight w:val="none"/>
          <w:lang w:val="zh-CN"/>
        </w:rPr>
        <w:t xml:space="preserve">机构。</w:t>
      </w:r>
      <w:r/>
    </w:p>
    <w:p>
      <w:pPr>
        <w:ind w:firstLine="480"/>
        <w:spacing w:line="500" w:lineRule="exact"/>
        <w:widowControl/>
        <w:rPr>
          <w:rFonts w:ascii="Calibri" w:hAnsi="宋体" w:cs="宋体"/>
          <w:color w:val="auto"/>
          <w:sz w:val="24"/>
          <w:szCs w:val="24"/>
          <w:highlight w:val="none"/>
          <w:lang w:val="zh-CN"/>
        </w:rPr>
      </w:pPr>
      <w:r>
        <w:rPr>
          <w:rFonts w:hint="eastAsia" w:ascii="宋体" w:hAnsi="宋体" w:cs="宋体"/>
          <w:color w:val="auto"/>
          <w:sz w:val="24"/>
          <w:szCs w:val="24"/>
          <w:highlight w:val="none"/>
        </w:rPr>
        <w:t xml:space="preserve">采购</w:t>
      </w:r>
      <w:r>
        <w:rPr>
          <w:rFonts w:hint="eastAsia" w:ascii="Calibri" w:hAnsi="宋体" w:cs="宋体"/>
          <w:color w:val="auto"/>
          <w:sz w:val="24"/>
          <w:szCs w:val="24"/>
          <w:highlight w:val="none"/>
          <w:lang w:val="zh-CN"/>
        </w:rPr>
        <w:t xml:space="preserve">包一：选取</w:t>
      </w:r>
      <w:r>
        <w:rPr>
          <w:rFonts w:hint="eastAsia" w:ascii="Calibri" w:hAnsi="宋体" w:cs="宋体"/>
          <w:color w:val="auto"/>
          <w:sz w:val="24"/>
          <w:szCs w:val="24"/>
          <w:highlight w:val="none"/>
        </w:rPr>
        <w:t xml:space="preserve">1</w:t>
      </w:r>
      <w:r>
        <w:rPr>
          <w:rFonts w:hint="eastAsia" w:ascii="Calibri" w:hAnsi="宋体" w:cs="宋体"/>
          <w:color w:val="auto"/>
          <w:sz w:val="24"/>
          <w:szCs w:val="24"/>
          <w:highlight w:val="none"/>
          <w:lang w:val="zh-CN"/>
        </w:rPr>
        <w:t xml:space="preserve">家食品检验检测机构承担食品安全抽检检测服务</w:t>
      </w:r>
      <w:r>
        <w:rPr>
          <w:rFonts w:hint="eastAsia" w:ascii="Calibri" w:hAnsi="宋体" w:cs="宋体"/>
          <w:color w:val="auto"/>
          <w:sz w:val="24"/>
          <w:szCs w:val="24"/>
          <w:highlight w:val="none"/>
        </w:rPr>
        <w:t xml:space="preserve">工作</w:t>
      </w:r>
      <w:r>
        <w:rPr>
          <w:rFonts w:hint="eastAsia" w:ascii="Calibri" w:hAnsi="宋体" w:cs="宋体"/>
          <w:color w:val="auto"/>
          <w:sz w:val="24"/>
          <w:szCs w:val="24"/>
          <w:highlight w:val="none"/>
          <w:lang w:val="zh-CN"/>
        </w:rPr>
        <w:t xml:space="preserve">，</w:t>
      </w:r>
      <w:r>
        <w:rPr>
          <w:rFonts w:hint="eastAsia" w:ascii="Calibri" w:hAnsi="宋体" w:cs="宋体"/>
          <w:color w:val="auto"/>
          <w:sz w:val="24"/>
          <w:szCs w:val="24"/>
          <w:highlight w:val="none"/>
        </w:rPr>
        <w:t xml:space="preserve">检测批次约400批次，最终以采购人实际委托批次核定；分包预算约28万元</w:t>
      </w:r>
      <w:r>
        <w:rPr>
          <w:rFonts w:hint="eastAsia" w:ascii="Calibri" w:hAnsi="宋体" w:cs="宋体"/>
          <w:color w:val="auto"/>
          <w:sz w:val="24"/>
          <w:szCs w:val="24"/>
          <w:highlight w:val="none"/>
          <w:lang w:val="zh-CN"/>
        </w:rPr>
        <w:t xml:space="preserve">；</w:t>
      </w:r>
      <w:r/>
    </w:p>
    <w:p>
      <w:pPr>
        <w:ind w:firstLine="480"/>
        <w:spacing w:line="500" w:lineRule="exact"/>
        <w:widowControl/>
        <w:rPr>
          <w:rFonts w:ascii="Calibri" w:hAnsi="宋体" w:cs="宋体"/>
          <w:color w:val="auto"/>
          <w:sz w:val="24"/>
          <w:szCs w:val="24"/>
          <w:highlight w:val="none"/>
          <w:lang w:val="zh-CN"/>
        </w:rPr>
      </w:pPr>
      <w:r>
        <w:rPr>
          <w:rFonts w:hint="eastAsia" w:ascii="宋体" w:hAnsi="宋体" w:cs="宋体"/>
          <w:color w:val="auto"/>
          <w:sz w:val="24"/>
          <w:szCs w:val="24"/>
          <w:highlight w:val="none"/>
        </w:rPr>
        <w:t xml:space="preserve">采购</w:t>
      </w:r>
      <w:r>
        <w:rPr>
          <w:rFonts w:hint="eastAsia" w:ascii="Calibri" w:hAnsi="宋体" w:cs="宋体"/>
          <w:color w:val="auto"/>
          <w:sz w:val="24"/>
          <w:szCs w:val="24"/>
          <w:highlight w:val="none"/>
          <w:lang w:val="zh-CN"/>
        </w:rPr>
        <w:t xml:space="preserve">包二：选取</w:t>
      </w:r>
      <w:r>
        <w:rPr>
          <w:rFonts w:hint="eastAsia" w:ascii="Calibri" w:hAnsi="宋体" w:cs="宋体"/>
          <w:color w:val="auto"/>
          <w:sz w:val="24"/>
          <w:szCs w:val="24"/>
          <w:highlight w:val="none"/>
        </w:rPr>
        <w:t xml:space="preserve">1</w:t>
      </w:r>
      <w:r>
        <w:rPr>
          <w:rFonts w:hint="eastAsia" w:ascii="Calibri" w:hAnsi="宋体" w:cs="宋体"/>
          <w:color w:val="auto"/>
          <w:sz w:val="24"/>
          <w:szCs w:val="24"/>
          <w:highlight w:val="none"/>
          <w:lang w:val="zh-CN"/>
        </w:rPr>
        <w:t xml:space="preserve">家食品检验检测机构承担食品安全抽检检测服务</w:t>
      </w:r>
      <w:r>
        <w:rPr>
          <w:rFonts w:hint="eastAsia" w:ascii="Calibri" w:hAnsi="宋体" w:cs="宋体"/>
          <w:color w:val="auto"/>
          <w:sz w:val="24"/>
          <w:szCs w:val="24"/>
          <w:highlight w:val="none"/>
        </w:rPr>
        <w:t xml:space="preserve">工作</w:t>
      </w:r>
      <w:r>
        <w:rPr>
          <w:rFonts w:hint="eastAsia" w:ascii="Calibri" w:hAnsi="宋体" w:cs="宋体"/>
          <w:color w:val="auto"/>
          <w:sz w:val="24"/>
          <w:szCs w:val="24"/>
          <w:highlight w:val="none"/>
          <w:lang w:val="zh-CN"/>
        </w:rPr>
        <w:t xml:space="preserve">，</w:t>
      </w:r>
      <w:r>
        <w:rPr>
          <w:rFonts w:hint="eastAsia" w:ascii="Calibri" w:hAnsi="宋体" w:cs="宋体"/>
          <w:color w:val="auto"/>
          <w:sz w:val="24"/>
          <w:szCs w:val="24"/>
          <w:highlight w:val="none"/>
        </w:rPr>
        <w:t xml:space="preserve">检测批次约400批次，最终以采购人实际委托批次核定；分包预算约28万元</w:t>
      </w:r>
      <w:r>
        <w:rPr>
          <w:rFonts w:hint="eastAsia" w:ascii="Calibri" w:hAnsi="宋体" w:cs="宋体"/>
          <w:color w:val="auto"/>
          <w:sz w:val="24"/>
          <w:szCs w:val="24"/>
          <w:highlight w:val="none"/>
          <w:lang w:val="zh-CN"/>
        </w:rPr>
        <w:t xml:space="preserve">；</w:t>
      </w:r>
      <w:r/>
    </w:p>
    <w:p>
      <w:pPr>
        <w:ind w:firstLine="480"/>
        <w:spacing w:line="500" w:lineRule="exact"/>
        <w:widowControl/>
        <w:rPr>
          <w:rFonts w:ascii="Calibri" w:hAnsi="宋体" w:cs="宋体"/>
          <w:color w:val="auto"/>
          <w:sz w:val="24"/>
          <w:szCs w:val="24"/>
          <w:highlight w:val="none"/>
          <w:lang w:val="zh-CN"/>
        </w:rPr>
      </w:pPr>
      <w:r>
        <w:rPr>
          <w:rFonts w:hint="eastAsia" w:ascii="宋体" w:hAnsi="宋体" w:cs="宋体"/>
          <w:color w:val="auto"/>
          <w:sz w:val="24"/>
          <w:szCs w:val="24"/>
          <w:highlight w:val="none"/>
        </w:rPr>
        <w:t xml:space="preserve">采购</w:t>
      </w:r>
      <w:r>
        <w:rPr>
          <w:rFonts w:hint="eastAsia" w:ascii="Calibri" w:hAnsi="宋体" w:cs="宋体"/>
          <w:color w:val="auto"/>
          <w:sz w:val="24"/>
          <w:szCs w:val="24"/>
          <w:highlight w:val="none"/>
          <w:lang w:val="zh-CN"/>
        </w:rPr>
        <w:t xml:space="preserve">包三：选取</w:t>
      </w:r>
      <w:r>
        <w:rPr>
          <w:rFonts w:hint="eastAsia" w:ascii="Calibri" w:hAnsi="宋体" w:cs="宋体"/>
          <w:color w:val="auto"/>
          <w:sz w:val="24"/>
          <w:szCs w:val="24"/>
          <w:highlight w:val="none"/>
        </w:rPr>
        <w:t xml:space="preserve">1</w:t>
      </w:r>
      <w:r>
        <w:rPr>
          <w:rFonts w:hint="eastAsia" w:ascii="Calibri" w:hAnsi="宋体" w:cs="宋体"/>
          <w:color w:val="auto"/>
          <w:sz w:val="24"/>
          <w:szCs w:val="24"/>
          <w:highlight w:val="none"/>
          <w:lang w:val="zh-CN"/>
        </w:rPr>
        <w:t xml:space="preserve">家食品检验检测机构承担食品安全抽检检测服务</w:t>
      </w:r>
      <w:r>
        <w:rPr>
          <w:rFonts w:hint="eastAsia" w:ascii="Calibri" w:hAnsi="宋体" w:cs="宋体"/>
          <w:color w:val="auto"/>
          <w:sz w:val="24"/>
          <w:szCs w:val="24"/>
          <w:highlight w:val="none"/>
        </w:rPr>
        <w:t xml:space="preserve">工作</w:t>
      </w:r>
      <w:r>
        <w:rPr>
          <w:rFonts w:hint="eastAsia" w:ascii="Calibri" w:hAnsi="宋体" w:cs="宋体"/>
          <w:color w:val="auto"/>
          <w:sz w:val="24"/>
          <w:szCs w:val="24"/>
          <w:highlight w:val="none"/>
          <w:lang w:val="zh-CN"/>
        </w:rPr>
        <w:t xml:space="preserve">，</w:t>
      </w:r>
      <w:r>
        <w:rPr>
          <w:rFonts w:hint="eastAsia" w:ascii="Calibri" w:hAnsi="宋体" w:cs="宋体"/>
          <w:color w:val="auto"/>
          <w:sz w:val="24"/>
          <w:szCs w:val="24"/>
          <w:highlight w:val="none"/>
        </w:rPr>
        <w:t xml:space="preserve">检测批次约400批次，最终以采购人实际委托批次核定；分包预算约28万元</w:t>
      </w:r>
      <w:r>
        <w:rPr>
          <w:rFonts w:hint="eastAsia" w:ascii="Calibri" w:hAnsi="宋体" w:cs="宋体"/>
          <w:color w:val="auto"/>
          <w:sz w:val="24"/>
          <w:szCs w:val="24"/>
          <w:highlight w:val="none"/>
          <w:lang w:val="zh-CN"/>
        </w:rPr>
        <w:t xml:space="preserve">；</w:t>
      </w:r>
      <w:r/>
    </w:p>
    <w:p>
      <w:pPr>
        <w:ind w:firstLine="480"/>
        <w:spacing w:line="500" w:lineRule="exact"/>
        <w:widowControl/>
        <w:rPr>
          <w:rFonts w:ascii="Calibri" w:hAnsi="宋体" w:cs="宋体"/>
          <w:color w:val="auto"/>
          <w:sz w:val="24"/>
          <w:szCs w:val="24"/>
          <w:highlight w:val="none"/>
          <w:lang w:val="zh-CN"/>
        </w:rPr>
      </w:pPr>
      <w:r>
        <w:rPr>
          <w:rFonts w:hint="eastAsia" w:ascii="宋体" w:hAnsi="宋体" w:cs="宋体"/>
          <w:color w:val="auto"/>
          <w:sz w:val="24"/>
          <w:szCs w:val="24"/>
          <w:highlight w:val="none"/>
        </w:rPr>
        <w:t xml:space="preserve">采购</w:t>
      </w:r>
      <w:r>
        <w:rPr>
          <w:rFonts w:hint="eastAsia" w:ascii="Calibri" w:hAnsi="宋体" w:cs="宋体"/>
          <w:color w:val="auto"/>
          <w:sz w:val="24"/>
          <w:szCs w:val="24"/>
          <w:highlight w:val="none"/>
          <w:lang w:val="zh-CN"/>
        </w:rPr>
        <w:t xml:space="preserve">包</w:t>
      </w:r>
      <w:r>
        <w:rPr>
          <w:rFonts w:hint="eastAsia" w:ascii="Calibri" w:hAnsi="宋体" w:cs="宋体"/>
          <w:color w:val="auto"/>
          <w:sz w:val="24"/>
          <w:szCs w:val="24"/>
          <w:highlight w:val="none"/>
        </w:rPr>
        <w:t xml:space="preserve">四</w:t>
      </w:r>
      <w:r>
        <w:rPr>
          <w:rFonts w:hint="eastAsia" w:ascii="Calibri" w:hAnsi="宋体" w:cs="宋体"/>
          <w:color w:val="auto"/>
          <w:sz w:val="24"/>
          <w:szCs w:val="24"/>
          <w:highlight w:val="none"/>
          <w:lang w:val="zh-CN"/>
        </w:rPr>
        <w:t xml:space="preserve">：选取</w:t>
      </w:r>
      <w:r>
        <w:rPr>
          <w:rFonts w:hint="eastAsia" w:ascii="Calibri" w:hAnsi="宋体" w:cs="宋体"/>
          <w:color w:val="auto"/>
          <w:sz w:val="24"/>
          <w:szCs w:val="24"/>
          <w:highlight w:val="none"/>
        </w:rPr>
        <w:t xml:space="preserve">1</w:t>
      </w:r>
      <w:r>
        <w:rPr>
          <w:rFonts w:hint="eastAsia" w:ascii="Calibri" w:hAnsi="宋体" w:cs="宋体"/>
          <w:color w:val="auto"/>
          <w:sz w:val="24"/>
          <w:szCs w:val="24"/>
          <w:highlight w:val="none"/>
          <w:lang w:val="zh-CN"/>
        </w:rPr>
        <w:t xml:space="preserve">家食品检验检测机构承担食品安全抽检检测服务</w:t>
      </w:r>
      <w:r>
        <w:rPr>
          <w:rFonts w:hint="eastAsia" w:ascii="Calibri" w:hAnsi="宋体" w:cs="宋体"/>
          <w:color w:val="auto"/>
          <w:sz w:val="24"/>
          <w:szCs w:val="24"/>
          <w:highlight w:val="none"/>
        </w:rPr>
        <w:t xml:space="preserve">工作</w:t>
      </w:r>
      <w:r>
        <w:rPr>
          <w:rFonts w:hint="eastAsia" w:ascii="Calibri" w:hAnsi="宋体" w:cs="宋体"/>
          <w:color w:val="auto"/>
          <w:sz w:val="24"/>
          <w:szCs w:val="24"/>
          <w:highlight w:val="none"/>
          <w:lang w:val="zh-CN"/>
        </w:rPr>
        <w:t xml:space="preserve">，</w:t>
      </w:r>
      <w:r>
        <w:rPr>
          <w:rFonts w:hint="eastAsia" w:ascii="Calibri" w:hAnsi="宋体" w:cs="宋体"/>
          <w:color w:val="auto"/>
          <w:sz w:val="24"/>
          <w:szCs w:val="24"/>
          <w:highlight w:val="none"/>
        </w:rPr>
        <w:t xml:space="preserve">检测批次约</w:t>
      </w:r>
      <w:r>
        <w:rPr>
          <w:rFonts w:hint="eastAsia" w:ascii="Calibri" w:hAnsi="宋体" w:cs="宋体"/>
          <w:color w:val="auto"/>
          <w:sz w:val="24"/>
          <w:szCs w:val="24"/>
          <w:highlight w:val="none"/>
          <w:lang w:val="en-US" w:eastAsia="zh-CN"/>
        </w:rPr>
        <w:t xml:space="preserve">300</w:t>
      </w:r>
      <w:r>
        <w:rPr>
          <w:rFonts w:hint="eastAsia" w:ascii="Calibri" w:hAnsi="宋体" w:cs="宋体"/>
          <w:color w:val="auto"/>
          <w:sz w:val="24"/>
          <w:szCs w:val="24"/>
          <w:highlight w:val="none"/>
        </w:rPr>
        <w:t xml:space="preserve">批次，最终以采购人实际委托批次核定；分包预算约</w:t>
      </w:r>
      <w:r>
        <w:rPr>
          <w:rFonts w:hint="eastAsia" w:ascii="Calibri" w:hAnsi="宋体" w:cs="宋体"/>
          <w:color w:val="auto"/>
          <w:sz w:val="24"/>
          <w:szCs w:val="24"/>
          <w:highlight w:val="none"/>
          <w:lang w:val="en-US" w:eastAsia="zh-CN"/>
        </w:rPr>
        <w:t xml:space="preserve">21</w:t>
      </w:r>
      <w:r>
        <w:rPr>
          <w:rFonts w:hint="eastAsia" w:ascii="Calibri" w:hAnsi="宋体" w:cs="宋体"/>
          <w:color w:val="auto"/>
          <w:sz w:val="24"/>
          <w:szCs w:val="24"/>
          <w:highlight w:val="none"/>
        </w:rPr>
        <w:t xml:space="preserve">万元</w:t>
      </w:r>
      <w:r>
        <w:rPr>
          <w:rFonts w:hint="eastAsia" w:ascii="Calibri" w:hAnsi="宋体" w:cs="宋体"/>
          <w:color w:val="auto"/>
          <w:sz w:val="24"/>
          <w:szCs w:val="24"/>
          <w:highlight w:val="none"/>
          <w:lang w:val="zh-CN"/>
        </w:rPr>
        <w:t xml:space="preserve">；</w:t>
      </w:r>
      <w:r/>
    </w:p>
    <w:p>
      <w:pPr>
        <w:ind w:firstLine="480"/>
        <w:spacing w:line="500" w:lineRule="exact"/>
        <w:widowControl/>
        <w:rPr>
          <w:rFonts w:ascii="Arial" w:hAnsi="宋体" w:cs="宋体"/>
          <w:color w:val="auto"/>
          <w:sz w:val="24"/>
          <w:szCs w:val="24"/>
          <w:highlight w:val="none"/>
        </w:rPr>
      </w:pPr>
      <w:r>
        <w:rPr>
          <w:rFonts w:hint="eastAsia" w:ascii="Arial" w:hAnsi="宋体" w:cs="宋体"/>
          <w:color w:val="auto"/>
          <w:sz w:val="24"/>
          <w:szCs w:val="24"/>
          <w:highlight w:val="none"/>
        </w:rPr>
        <w:t xml:space="preserve">投标人可以同时投上述</w:t>
      </w:r>
      <w:r>
        <w:rPr>
          <w:rFonts w:hint="eastAsia" w:ascii="Arial" w:hAnsi="宋体" w:cs="宋体"/>
          <w:color w:val="auto"/>
          <w:sz w:val="24"/>
          <w:szCs w:val="24"/>
          <w:highlight w:val="none"/>
          <w:lang w:val="en-US" w:eastAsia="zh-CN"/>
        </w:rPr>
        <w:t xml:space="preserve">4</w:t>
      </w:r>
      <w:r>
        <w:rPr>
          <w:rFonts w:hint="eastAsia" w:ascii="Arial" w:hAnsi="宋体" w:cs="宋体"/>
          <w:color w:val="auto"/>
          <w:sz w:val="24"/>
          <w:szCs w:val="24"/>
          <w:highlight w:val="none"/>
        </w:rPr>
        <w:t xml:space="preserve">个包，但最多只能中其中一个包。</w:t>
      </w:r>
      <w:r/>
    </w:p>
    <w:p>
      <w:pPr>
        <w:ind w:firstLine="480"/>
        <w:spacing w:line="500" w:lineRule="exact"/>
        <w:widowControl/>
        <w:rPr>
          <w:rFonts w:ascii="Arial" w:hAnsi="宋体" w:cs="宋体"/>
          <w:color w:val="auto"/>
          <w:sz w:val="24"/>
          <w:szCs w:val="24"/>
          <w:highlight w:val="none"/>
        </w:rPr>
      </w:pPr>
      <w:r>
        <w:rPr>
          <w:rFonts w:hint="eastAsia" w:ascii="Arial" w:hAnsi="宋体" w:cs="宋体"/>
          <w:color w:val="auto"/>
          <w:sz w:val="24"/>
          <w:szCs w:val="24"/>
          <w:highlight w:val="none"/>
        </w:rPr>
        <w:t xml:space="preserve">开标顺序：从</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包一到</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w:t>
      </w:r>
      <w:r>
        <w:rPr>
          <w:rFonts w:hint="eastAsia" w:ascii="Arial" w:hAnsi="宋体" w:cs="宋体"/>
          <w:color w:val="auto"/>
          <w:sz w:val="24"/>
          <w:szCs w:val="24"/>
          <w:highlight w:val="none"/>
          <w:lang w:val="en-US" w:eastAsia="zh-CN"/>
        </w:rPr>
        <w:t xml:space="preserve">四</w:t>
      </w:r>
      <w:r>
        <w:rPr>
          <w:rFonts w:hint="eastAsia" w:ascii="Arial" w:hAnsi="宋体" w:cs="宋体"/>
          <w:color w:val="auto"/>
          <w:sz w:val="24"/>
          <w:szCs w:val="24"/>
          <w:highlight w:val="none"/>
        </w:rPr>
        <w:t xml:space="preserve">依次开标，即先开</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包一，最后开</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w:t>
      </w:r>
      <w:r>
        <w:rPr>
          <w:rFonts w:hint="eastAsia" w:ascii="Arial" w:hAnsi="宋体" w:cs="宋体"/>
          <w:color w:val="auto"/>
          <w:sz w:val="24"/>
          <w:szCs w:val="24"/>
          <w:highlight w:val="none"/>
          <w:lang w:val="en-US" w:eastAsia="zh-CN"/>
        </w:rPr>
        <w:t xml:space="preserve">四</w:t>
      </w:r>
      <w:r>
        <w:rPr>
          <w:rFonts w:hint="eastAsia" w:ascii="Arial" w:hAnsi="宋体" w:cs="宋体"/>
          <w:color w:val="auto"/>
          <w:sz w:val="24"/>
          <w:szCs w:val="24"/>
          <w:highlight w:val="none"/>
        </w:rPr>
        <w:t xml:space="preserve">。</w:t>
      </w:r>
      <w:r/>
    </w:p>
    <w:p>
      <w:pPr>
        <w:ind w:firstLine="480"/>
        <w:spacing w:line="500" w:lineRule="exact"/>
        <w:widowControl/>
        <w:rPr>
          <w:rFonts w:ascii="Arial" w:hAnsi="宋体" w:cs="宋体"/>
          <w:color w:val="auto"/>
          <w:sz w:val="24"/>
          <w:szCs w:val="24"/>
          <w:highlight w:val="none"/>
        </w:rPr>
      </w:pPr>
      <w:r>
        <w:rPr>
          <w:rFonts w:hint="eastAsia" w:ascii="Arial" w:hAnsi="宋体" w:cs="宋体"/>
          <w:color w:val="auto"/>
          <w:sz w:val="24"/>
          <w:szCs w:val="24"/>
          <w:highlight w:val="none"/>
        </w:rPr>
        <w:t xml:space="preserve">定标顺序：同开标顺序。</w:t>
      </w:r>
      <w:r/>
    </w:p>
    <w:p>
      <w:pPr>
        <w:ind w:firstLine="480"/>
        <w:spacing w:line="500" w:lineRule="exact"/>
        <w:widowControl/>
        <w:rPr>
          <w:rFonts w:ascii="Arial" w:hAnsi="宋体" w:cs="宋体"/>
          <w:color w:val="auto"/>
          <w:sz w:val="24"/>
          <w:szCs w:val="24"/>
          <w:highlight w:val="none"/>
        </w:rPr>
      </w:pPr>
      <w:r>
        <w:rPr>
          <w:rFonts w:hint="eastAsia" w:ascii="Arial" w:hAnsi="宋体" w:cs="宋体"/>
          <w:color w:val="auto"/>
          <w:sz w:val="24"/>
          <w:szCs w:val="24"/>
          <w:highlight w:val="none"/>
        </w:rPr>
        <w:t xml:space="preserve">定标原则：投标人最多只能中一个包。投标人参与各</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包评标。如某投标人已在</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包一被推荐为中标人的，则</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包二不再推荐为中标人，以此类推。</w:t>
      </w:r>
      <w:r/>
    </w:p>
    <w:p>
      <w:pPr>
        <w:ind w:firstLine="480"/>
        <w:spacing w:line="500" w:lineRule="exact"/>
        <w:widowControl/>
        <w:rPr>
          <w:rFonts w:ascii="Arial" w:hAnsi="宋体" w:cs="宋体"/>
          <w:color w:val="auto"/>
          <w:sz w:val="24"/>
          <w:szCs w:val="24"/>
          <w:highlight w:val="none"/>
        </w:rPr>
      </w:pPr>
      <w:r>
        <w:rPr>
          <w:rFonts w:hint="eastAsia" w:ascii="Arial" w:hAnsi="宋体" w:cs="宋体"/>
          <w:color w:val="auto"/>
          <w:sz w:val="24"/>
          <w:szCs w:val="24"/>
          <w:highlight w:val="none"/>
        </w:rPr>
        <w:t xml:space="preserve">评审结束后，若其中一个</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包受到质疑投诉等原因，导致本</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包评审结果改变，但不影响其他</w:t>
      </w:r>
      <w:r>
        <w:rPr>
          <w:rFonts w:hint="eastAsia" w:ascii="宋体" w:hAnsi="宋体" w:cs="宋体"/>
          <w:color w:val="auto"/>
          <w:sz w:val="24"/>
          <w:szCs w:val="24"/>
          <w:highlight w:val="none"/>
        </w:rPr>
        <w:t xml:space="preserve">采购</w:t>
      </w:r>
      <w:r>
        <w:rPr>
          <w:rFonts w:hint="eastAsia" w:ascii="Arial" w:hAnsi="宋体" w:cs="宋体"/>
          <w:color w:val="auto"/>
          <w:sz w:val="24"/>
          <w:szCs w:val="24"/>
          <w:highlight w:val="none"/>
        </w:rPr>
        <w:t xml:space="preserve">包的评审。 </w:t>
      </w:r>
      <w:r/>
    </w:p>
    <w:p>
      <w:pPr>
        <w:ind w:firstLine="482"/>
        <w:spacing w:line="500" w:lineRule="exact"/>
        <w:widowControl/>
        <w:rPr>
          <w:rFonts w:ascii="Calibri" w:hAnsi="宋体" w:cs="宋体"/>
          <w:b/>
          <w:color w:val="auto"/>
          <w:sz w:val="24"/>
          <w:szCs w:val="24"/>
          <w:highlight w:val="none"/>
          <w:lang w:val="zh-CN"/>
        </w:rPr>
      </w:pPr>
      <w:r>
        <w:rPr>
          <w:rFonts w:hint="eastAsia" w:ascii="Calibri" w:hAnsi="宋体" w:cs="宋体"/>
          <w:b/>
          <w:color w:val="auto"/>
          <w:sz w:val="24"/>
          <w:szCs w:val="24"/>
          <w:highlight w:val="none"/>
          <w:lang w:val="zh-CN"/>
        </w:rPr>
        <w:t xml:space="preserve">备注：如中标单位检测</w:t>
      </w:r>
      <w:r>
        <w:rPr>
          <w:rFonts w:hint="eastAsia" w:ascii="Calibri" w:hAnsi="宋体" w:cs="宋体"/>
          <w:b/>
          <w:color w:val="auto"/>
          <w:sz w:val="24"/>
          <w:szCs w:val="24"/>
          <w:highlight w:val="none"/>
        </w:rPr>
        <w:t xml:space="preserve">结果</w:t>
      </w:r>
      <w:r>
        <w:rPr>
          <w:rFonts w:hint="eastAsia" w:ascii="Calibri" w:hAnsi="宋体" w:cs="宋体"/>
          <w:b/>
          <w:color w:val="auto"/>
          <w:sz w:val="24"/>
          <w:szCs w:val="24"/>
          <w:highlight w:val="none"/>
          <w:lang w:val="zh-CN"/>
        </w:rPr>
        <w:t xml:space="preserve">不准确或违反其它法律法规</w:t>
      </w:r>
      <w:r>
        <w:rPr>
          <w:rFonts w:hint="eastAsia" w:ascii="Calibri" w:hAnsi="宋体" w:cs="宋体"/>
          <w:b/>
          <w:color w:val="auto"/>
          <w:sz w:val="24"/>
          <w:szCs w:val="24"/>
          <w:highlight w:val="none"/>
        </w:rPr>
        <w:t xml:space="preserve">或</w:t>
      </w:r>
      <w:r>
        <w:rPr>
          <w:rFonts w:hint="eastAsia" w:ascii="Calibri" w:hAnsi="宋体" w:cs="宋体"/>
          <w:b/>
          <w:color w:val="auto"/>
          <w:sz w:val="24"/>
          <w:szCs w:val="24"/>
          <w:highlight w:val="none"/>
          <w:lang w:val="zh-CN"/>
        </w:rPr>
        <w:t xml:space="preserve">合同规定等，甲方有权调整检测批次数或解除合同。</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2.本项目价格为固定价格：</w:t>
      </w:r>
      <w:r>
        <w:rPr>
          <w:rFonts w:hint="eastAsia" w:ascii="Calibri" w:hAnsi="宋体" w:cs="宋体"/>
          <w:color w:val="auto"/>
          <w:sz w:val="24"/>
          <w:szCs w:val="24"/>
          <w:highlight w:val="none"/>
        </w:rPr>
        <w:t xml:space="preserve">700</w:t>
      </w:r>
      <w:r>
        <w:rPr>
          <w:rFonts w:hint="eastAsia" w:ascii="Calibri" w:hAnsi="宋体" w:cs="宋体"/>
          <w:color w:val="auto"/>
          <w:sz w:val="24"/>
          <w:szCs w:val="24"/>
          <w:highlight w:val="none"/>
          <w:lang w:val="zh-CN"/>
        </w:rPr>
        <w:t xml:space="preserve">元/批次。其中：检验费用</w:t>
      </w:r>
      <w:r>
        <w:rPr>
          <w:rFonts w:hint="eastAsia" w:ascii="Calibri" w:hAnsi="宋体" w:cs="宋体"/>
          <w:color w:val="auto"/>
          <w:sz w:val="24"/>
          <w:szCs w:val="24"/>
          <w:highlight w:val="none"/>
        </w:rPr>
        <w:t xml:space="preserve">640</w:t>
      </w:r>
      <w:r>
        <w:rPr>
          <w:rFonts w:hint="eastAsia" w:ascii="Calibri" w:hAnsi="宋体" w:cs="宋体"/>
          <w:color w:val="auto"/>
          <w:sz w:val="24"/>
          <w:szCs w:val="24"/>
          <w:highlight w:val="none"/>
          <w:lang w:val="zh-CN"/>
        </w:rPr>
        <w:t xml:space="preserve">元/批次，购样费用按照实际支出支付，平均不得高于60元/批次。费用为完成本项目的相关任务的全部费用，包含但不限于：采样和检测综合服务所需要的服务费、样品购买费、各种税费、人工、保险、劳保、利润、税金及合同包含的所有风险、责任等各项应有的所有费用。</w:t>
      </w:r>
      <w:r/>
    </w:p>
    <w:p>
      <w:pPr>
        <w:spacing w:line="500" w:lineRule="exact"/>
        <w:widowControl/>
        <w:rPr>
          <w:rFonts w:ascii="Calibri" w:hAnsi="宋体" w:cs="宋体"/>
          <w:color w:val="auto"/>
          <w:sz w:val="24"/>
          <w:szCs w:val="24"/>
          <w:highlight w:val="none"/>
          <w:lang w:val="zh-CN"/>
        </w:rPr>
      </w:pPr>
      <w:r>
        <w:rPr>
          <w:rFonts w:hint="eastAsia" w:ascii="Calibri" w:hAnsi="宋体" w:cs="宋体"/>
          <w:b/>
          <w:bCs/>
          <w:color w:val="auto"/>
          <w:sz w:val="24"/>
          <w:szCs w:val="24"/>
          <w:highlight w:val="none"/>
        </w:rPr>
        <w:t xml:space="preserve">二</w:t>
      </w:r>
      <w:r>
        <w:rPr>
          <w:rFonts w:hint="eastAsia" w:ascii="Calibri" w:hAnsi="宋体" w:cs="宋体"/>
          <w:b/>
          <w:bCs/>
          <w:color w:val="auto"/>
          <w:sz w:val="24"/>
          <w:szCs w:val="24"/>
          <w:highlight w:val="none"/>
          <w:lang w:val="zh-CN"/>
        </w:rPr>
        <w:t xml:space="preserve">、服务工作要求（★部分为实质性响应部分，未响应作无效标处理）</w:t>
      </w:r>
      <w:r/>
    </w:p>
    <w:p>
      <w:pPr>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rPr>
        <w:t xml:space="preserve">2.1</w:t>
      </w:r>
      <w:r>
        <w:rPr>
          <w:rFonts w:hint="eastAsia" w:hAnsi="宋体" w:cs="宋体"/>
          <w:color w:val="auto"/>
          <w:sz w:val="24"/>
          <w:szCs w:val="24"/>
          <w:highlight w:val="none"/>
          <w:lang w:val="zh-CN"/>
        </w:rPr>
        <w:t xml:space="preserve">基本要求</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2.1.</w:t>
      </w:r>
      <w:r>
        <w:rPr>
          <w:rFonts w:hint="eastAsia" w:ascii="Calibri" w:hAnsi="宋体" w:cs="宋体"/>
          <w:color w:val="auto"/>
          <w:sz w:val="24"/>
          <w:szCs w:val="24"/>
          <w:highlight w:val="none"/>
          <w:lang w:val="zh-CN"/>
        </w:rPr>
        <w:t xml:space="preserve">1.★有规范的抽样程序，质量控制严格的实验室管理制度。</w:t>
      </w:r>
      <w:r/>
    </w:p>
    <w:p>
      <w:pPr>
        <w:ind w:firstLine="480"/>
        <w:spacing w:line="500" w:lineRule="exact"/>
        <w:widowControl/>
        <w:rPr>
          <w:rFonts w:ascii="Calibri" w:hAnsi="宋体" w:cs="宋体"/>
          <w:b/>
          <w:bCs/>
          <w:color w:val="auto"/>
          <w:sz w:val="24"/>
          <w:szCs w:val="24"/>
          <w:highlight w:val="none"/>
          <w:lang w:val="zh-CN"/>
        </w:rPr>
      </w:pPr>
      <w:r>
        <w:rPr>
          <w:rFonts w:hint="eastAsia" w:ascii="Calibri" w:hAnsi="宋体" w:cs="宋体"/>
          <w:color w:val="auto"/>
          <w:sz w:val="24"/>
          <w:szCs w:val="24"/>
          <w:highlight w:val="none"/>
        </w:rPr>
        <w:t xml:space="preserve">2.1.</w:t>
      </w:r>
      <w:r>
        <w:rPr>
          <w:rFonts w:hint="eastAsia" w:ascii="Calibri" w:hAnsi="宋体" w:cs="宋体"/>
          <w:color w:val="auto"/>
          <w:sz w:val="24"/>
          <w:szCs w:val="24"/>
          <w:highlight w:val="none"/>
          <w:lang w:val="zh-CN"/>
        </w:rPr>
        <w:t xml:space="preserve">2.★投标人对投标文件的真实性负责，一旦发现有造假行为将取消中标资格，今后不得从事本区域的抽检监测任务，并承担相关法律责任。</w:t>
      </w:r>
      <w:r>
        <w:rPr>
          <w:rFonts w:hint="eastAsia" w:ascii="Calibri" w:hAnsi="宋体" w:cs="宋体"/>
          <w:b/>
          <w:bCs/>
          <w:color w:val="auto"/>
          <w:sz w:val="24"/>
          <w:szCs w:val="24"/>
          <w:highlight w:val="none"/>
          <w:lang w:val="zh-CN"/>
        </w:rPr>
        <w:t xml:space="preserve">（须提供承诺函，格式自拟）。</w:t>
      </w:r>
      <w:r/>
    </w:p>
    <w:p>
      <w:pPr>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rPr>
        <w:t xml:space="preserve">2.2</w:t>
      </w:r>
      <w:r>
        <w:rPr>
          <w:rFonts w:hint="eastAsia" w:hAnsi="宋体" w:cs="宋体"/>
          <w:color w:val="auto"/>
          <w:sz w:val="24"/>
          <w:szCs w:val="24"/>
          <w:highlight w:val="none"/>
          <w:lang w:val="zh-CN"/>
        </w:rPr>
        <w:t xml:space="preserve">检验工作的实施</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2.2.</w:t>
      </w:r>
      <w:r>
        <w:rPr>
          <w:rFonts w:hint="eastAsia" w:ascii="Calibri" w:hAnsi="宋体" w:cs="宋体"/>
          <w:color w:val="auto"/>
          <w:sz w:val="24"/>
          <w:szCs w:val="24"/>
          <w:highlight w:val="none"/>
          <w:lang w:val="zh-CN"/>
        </w:rPr>
        <w:t xml:space="preserve">1承检机构根据委托方要求，应在项目检测前向委托方提供完整的检测方案及项目预算报单（购样费用按实际发生数另计），经委托方对检验项目、批次安排、抽检区域等事项审核确认后才能予以实施。</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2.2.</w:t>
      </w:r>
      <w:r>
        <w:rPr>
          <w:rFonts w:hint="eastAsia" w:ascii="Calibri" w:hAnsi="宋体" w:cs="宋体"/>
          <w:color w:val="auto"/>
          <w:sz w:val="24"/>
          <w:szCs w:val="24"/>
          <w:highlight w:val="none"/>
          <w:lang w:val="zh-CN"/>
        </w:rPr>
        <w:t xml:space="preserve">2检验依据和项目：</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1）承检机构应严格按照《国家食品安全监督抽检实施细则（</w:t>
      </w:r>
      <w:r>
        <w:rPr>
          <w:rFonts w:hint="eastAsia" w:ascii="Calibri" w:hAnsi="宋体" w:cs="宋体"/>
          <w:color w:val="auto"/>
          <w:sz w:val="24"/>
          <w:szCs w:val="24"/>
          <w:highlight w:val="none"/>
          <w:lang w:eastAsia="zh-CN"/>
        </w:rPr>
        <w:t xml:space="preserve">2025年版</w:t>
      </w:r>
      <w:r>
        <w:rPr>
          <w:rFonts w:hint="eastAsia" w:ascii="Calibri" w:hAnsi="宋体" w:cs="宋体"/>
          <w:color w:val="auto"/>
          <w:sz w:val="24"/>
          <w:szCs w:val="24"/>
          <w:highlight w:val="none"/>
          <w:lang w:val="zh-CN"/>
        </w:rPr>
        <w:t xml:space="preserve">）》</w:t>
      </w:r>
      <w:r>
        <w:rPr>
          <w:rFonts w:hint="eastAsia" w:hAnsi="宋体" w:cs="宋体"/>
          <w:color w:val="auto"/>
          <w:sz w:val="24"/>
          <w:szCs w:val="24"/>
          <w:highlight w:val="none"/>
          <w:lang w:val="zh-CN"/>
        </w:rPr>
        <w:t xml:space="preserve">（</w:t>
      </w:r>
      <w:r>
        <w:rPr>
          <w:rFonts w:hint="eastAsia" w:hAnsi="宋体" w:cs="宋体"/>
          <w:color w:val="auto"/>
          <w:sz w:val="24"/>
          <w:szCs w:val="24"/>
          <w:highlight w:val="none"/>
        </w:rPr>
        <w:t xml:space="preserve">如项目实施过程中发布新版细则按新版细则实施</w:t>
      </w:r>
      <w:r>
        <w:rPr>
          <w:rFonts w:hint="eastAsia" w:hAnsi="宋体" w:cs="宋体"/>
          <w:color w:val="auto"/>
          <w:sz w:val="24"/>
          <w:szCs w:val="24"/>
          <w:highlight w:val="none"/>
          <w:lang w:val="zh-CN"/>
        </w:rPr>
        <w:t xml:space="preserve">）</w:t>
      </w:r>
      <w:r>
        <w:rPr>
          <w:rFonts w:hint="eastAsia" w:ascii="Calibri" w:hAnsi="宋体" w:cs="宋体"/>
          <w:color w:val="auto"/>
          <w:sz w:val="24"/>
          <w:szCs w:val="24"/>
          <w:highlight w:val="none"/>
          <w:lang w:val="zh-CN"/>
        </w:rPr>
        <w:t xml:space="preserve">或相关标准规定的项目和检验方法开展检验工作，不得擅自修改实施细则中确定的检验方式，确保检验数据真实、准确、有效。检验项目根据《国家食品安全监督抽检实施细则（2025年版）》</w:t>
      </w:r>
      <w:r>
        <w:rPr>
          <w:rFonts w:hint="eastAsia" w:hAnsi="宋体" w:cs="宋体"/>
          <w:color w:val="auto"/>
          <w:sz w:val="24"/>
          <w:szCs w:val="24"/>
          <w:highlight w:val="none"/>
          <w:lang w:val="zh-CN"/>
        </w:rPr>
        <w:t xml:space="preserve">（</w:t>
      </w:r>
      <w:r>
        <w:rPr>
          <w:rFonts w:hint="eastAsia" w:hAnsi="宋体" w:cs="宋体"/>
          <w:color w:val="auto"/>
          <w:sz w:val="24"/>
          <w:szCs w:val="24"/>
          <w:highlight w:val="none"/>
        </w:rPr>
        <w:t xml:space="preserve">如项目实施过程中发布新版细则按新版细则实施</w:t>
      </w:r>
      <w:r>
        <w:rPr>
          <w:rFonts w:hint="eastAsia" w:hAnsi="宋体" w:cs="宋体"/>
          <w:color w:val="auto"/>
          <w:sz w:val="24"/>
          <w:szCs w:val="24"/>
          <w:highlight w:val="none"/>
          <w:lang w:val="zh-CN"/>
        </w:rPr>
        <w:t xml:space="preserve">）</w:t>
      </w:r>
      <w:r>
        <w:rPr>
          <w:rFonts w:hint="eastAsia" w:ascii="Calibri" w:hAnsi="宋体" w:cs="宋体"/>
          <w:color w:val="auto"/>
          <w:sz w:val="24"/>
          <w:szCs w:val="24"/>
          <w:highlight w:val="none"/>
          <w:lang w:val="zh-CN"/>
        </w:rPr>
        <w:t xml:space="preserve">规定，进行全项目检测。采样方应按照实际发生数向被抽检的市场生产经营主体支付样品购置费，不得收取检验费和其他任何费用。投标人应提供购样费用汇总表及经被抽样单位签字确认的收据或发票。</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2）根据国家各级部门的风险监测通报、媒体报道、网络舆情等信息对某类食品安全有反映时，可以通过书面方式要求抽检机构在《国家食品安全监督抽检实施细则（2025年版）》</w:t>
      </w:r>
      <w:r>
        <w:rPr>
          <w:rFonts w:hint="eastAsia" w:hAnsi="宋体" w:cs="宋体"/>
          <w:color w:val="auto"/>
          <w:sz w:val="24"/>
          <w:szCs w:val="24"/>
          <w:highlight w:val="none"/>
          <w:lang w:val="zh-CN"/>
        </w:rPr>
        <w:t xml:space="preserve">（</w:t>
      </w:r>
      <w:r>
        <w:rPr>
          <w:rFonts w:hint="eastAsia" w:hAnsi="宋体" w:cs="宋体"/>
          <w:color w:val="auto"/>
          <w:sz w:val="24"/>
          <w:szCs w:val="24"/>
          <w:highlight w:val="none"/>
        </w:rPr>
        <w:t xml:space="preserve">如项目实施过程中发布新版细则按新版细则实施</w:t>
      </w:r>
      <w:r>
        <w:rPr>
          <w:rFonts w:hint="eastAsia" w:hAnsi="宋体" w:cs="宋体"/>
          <w:color w:val="auto"/>
          <w:sz w:val="24"/>
          <w:szCs w:val="24"/>
          <w:highlight w:val="none"/>
          <w:lang w:val="zh-CN"/>
        </w:rPr>
        <w:t xml:space="preserve">）</w:t>
      </w:r>
      <w:r>
        <w:rPr>
          <w:rFonts w:hint="eastAsia" w:ascii="Calibri" w:hAnsi="宋体" w:cs="宋体"/>
          <w:color w:val="auto"/>
          <w:sz w:val="24"/>
          <w:szCs w:val="24"/>
          <w:highlight w:val="none"/>
          <w:lang w:val="zh-CN"/>
        </w:rPr>
        <w:t xml:space="preserve">以外增加检验项目参数，同时可以核减相同数量的规定检验项目参数。</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3）检验检测项目参数超出检验机构认证项目范围的，检验机构应书面要求替换具体项目参数或采取分包形式完成。</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4）检验报告应明确使用的检验方法，并与《国家食品安全监督抽检实施细则（2025年版）》</w:t>
      </w:r>
      <w:r>
        <w:rPr>
          <w:rFonts w:hint="eastAsia" w:hAnsi="宋体" w:cs="宋体"/>
          <w:color w:val="auto"/>
          <w:sz w:val="24"/>
          <w:szCs w:val="24"/>
          <w:highlight w:val="none"/>
          <w:lang w:val="zh-CN"/>
        </w:rPr>
        <w:t xml:space="preserve">（</w:t>
      </w:r>
      <w:r>
        <w:rPr>
          <w:rFonts w:hint="eastAsia" w:hAnsi="宋体" w:cs="宋体"/>
          <w:color w:val="auto"/>
          <w:sz w:val="24"/>
          <w:szCs w:val="24"/>
          <w:highlight w:val="none"/>
        </w:rPr>
        <w:t xml:space="preserve">如项目实施过程中发布新版细则按新版细则实施</w:t>
      </w:r>
      <w:r>
        <w:rPr>
          <w:rFonts w:hint="eastAsia" w:hAnsi="宋体" w:cs="宋体"/>
          <w:color w:val="auto"/>
          <w:sz w:val="24"/>
          <w:szCs w:val="24"/>
          <w:highlight w:val="none"/>
          <w:lang w:val="zh-CN"/>
        </w:rPr>
        <w:t xml:space="preserve">）</w:t>
      </w:r>
      <w:r>
        <w:rPr>
          <w:rFonts w:hint="eastAsia" w:ascii="Calibri" w:hAnsi="宋体" w:cs="宋体"/>
          <w:color w:val="auto"/>
          <w:sz w:val="24"/>
          <w:szCs w:val="24"/>
          <w:highlight w:val="none"/>
          <w:lang w:val="zh-CN"/>
        </w:rPr>
        <w:t xml:space="preserve">规定的检验方法一致。</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2.2.</w:t>
      </w:r>
      <w:r>
        <w:rPr>
          <w:rFonts w:hint="eastAsia" w:ascii="Calibri" w:hAnsi="宋体" w:cs="宋体"/>
          <w:color w:val="auto"/>
          <w:sz w:val="24"/>
          <w:szCs w:val="24"/>
          <w:highlight w:val="none"/>
          <w:lang w:val="zh-CN"/>
        </w:rPr>
        <w:t xml:space="preserve">3由承检机构负责抽样。承检机构在进行抽样时，应依据国家食品药品监管总局制定的《食品安全监督抽检监测和风险监测工作规范》</w:t>
      </w:r>
      <w:r>
        <w:rPr>
          <w:rFonts w:hint="eastAsia" w:hAnsi="宋体" w:cs="宋体"/>
          <w:color w:val="auto"/>
          <w:sz w:val="24"/>
          <w:szCs w:val="24"/>
          <w:highlight w:val="none"/>
          <w:lang w:val="zh-CN"/>
        </w:rPr>
        <w:t xml:space="preserve">（</w:t>
      </w:r>
      <w:r>
        <w:rPr>
          <w:rFonts w:hint="eastAsia" w:hAnsi="宋体" w:cs="宋体"/>
          <w:color w:val="auto"/>
          <w:sz w:val="24"/>
          <w:szCs w:val="24"/>
          <w:highlight w:val="none"/>
        </w:rPr>
        <w:t xml:space="preserve">如项目实施过程中发布新版细则按新版细则实施</w:t>
      </w:r>
      <w:r>
        <w:rPr>
          <w:rFonts w:hint="eastAsia" w:hAnsi="宋体" w:cs="宋体"/>
          <w:color w:val="auto"/>
          <w:sz w:val="24"/>
          <w:szCs w:val="24"/>
          <w:highlight w:val="none"/>
          <w:lang w:val="zh-CN"/>
        </w:rPr>
        <w:t xml:space="preserve">）</w:t>
      </w:r>
      <w:r>
        <w:rPr>
          <w:rFonts w:hint="eastAsia" w:ascii="Calibri" w:hAnsi="宋体" w:cs="宋体"/>
          <w:color w:val="auto"/>
          <w:sz w:val="24"/>
          <w:szCs w:val="24"/>
          <w:highlight w:val="none"/>
          <w:lang w:val="zh-CN"/>
        </w:rPr>
        <w:t xml:space="preserve">规定的抽样方法及数量抽取、保存和运输，并严格按照委托方计划制定的产品类别、批次、时间、采样安排等要求开展抽检监测有关工作，计划产品类别、批次因非承检机构原因无法完成时，应通过适当方式向委托方请示变更种类及批次，经批准后实施。自备抽样工具和车辆，必须保证抽检、检测分离，抽样人员与检验人员不得为同一人。不得向被抽检企业收取检验费和其他任何费用。</w:t>
      </w:r>
      <w:r/>
    </w:p>
    <w:p>
      <w:pPr>
        <w:ind w:firstLine="482"/>
        <w:spacing w:line="500" w:lineRule="exact"/>
        <w:widowControl/>
        <w:rPr>
          <w:rFonts w:ascii="Calibri" w:hAnsi="宋体" w:cs="宋体"/>
          <w:b/>
          <w:bCs/>
          <w:color w:val="auto"/>
          <w:sz w:val="24"/>
          <w:szCs w:val="24"/>
          <w:highlight w:val="none"/>
          <w:lang w:val="zh-CN"/>
        </w:rPr>
      </w:pPr>
      <w:r>
        <w:rPr>
          <w:rFonts w:hint="eastAsia" w:ascii="Calibri" w:hAnsi="宋体" w:cs="宋体"/>
          <w:b/>
          <w:bCs/>
          <w:color w:val="auto"/>
          <w:sz w:val="24"/>
          <w:szCs w:val="24"/>
          <w:highlight w:val="none"/>
          <w:lang w:val="zh-CN"/>
        </w:rPr>
        <w:t xml:space="preserve">抽查工作分为以下七个阶段：</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1）由委托方在中标供应商中确定承检机构；</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2）抽样；</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3）检验、检验报告出具、上传平台以及检验结果的确认；</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4）异议处理工作；</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5）汇总材料及上报；</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6）后处理（后处理由执法部门处理）；</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7）公告。</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2.2.</w:t>
      </w:r>
      <w:r>
        <w:rPr>
          <w:rFonts w:hint="eastAsia" w:ascii="Calibri" w:hAnsi="宋体" w:cs="宋体"/>
          <w:color w:val="auto"/>
          <w:sz w:val="24"/>
          <w:szCs w:val="24"/>
          <w:highlight w:val="none"/>
          <w:lang w:val="zh-CN"/>
        </w:rPr>
        <w:t xml:space="preserve">4承检机构应在规定的时间内完成委托方部署的抽检监测工作，依法出具检验报告，上报数据至指定的数据平台，汇总样品抽检监测结果信息。</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2.2.</w:t>
      </w:r>
      <w:r>
        <w:rPr>
          <w:rFonts w:hint="eastAsia" w:ascii="Calibri" w:hAnsi="宋体" w:cs="宋体"/>
          <w:color w:val="auto"/>
          <w:sz w:val="24"/>
          <w:szCs w:val="24"/>
          <w:highlight w:val="none"/>
          <w:lang w:val="zh-CN"/>
        </w:rPr>
        <w:t xml:space="preserve">5承检方对其抽取的样品负责，检验结果反映对送检样品的真实评价。</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2.2.</w:t>
      </w:r>
      <w:r>
        <w:rPr>
          <w:rFonts w:hint="eastAsia" w:ascii="Calibri" w:hAnsi="宋体" w:cs="宋体"/>
          <w:color w:val="auto"/>
          <w:sz w:val="24"/>
          <w:szCs w:val="24"/>
          <w:highlight w:val="none"/>
          <w:lang w:val="zh-CN"/>
        </w:rPr>
        <w:t xml:space="preserve">6承检方由于虚假、错误检验数据和结论而给被检验人造成损失的，或者给社</w:t>
      </w:r>
      <w:r/>
    </w:p>
    <w:p>
      <w:pPr>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会带来不良影响的，承检方应当负责赔偿，并承担相应的法律责任。</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2.3</w:t>
      </w:r>
      <w:r>
        <w:rPr>
          <w:rFonts w:hint="eastAsia" w:ascii="Calibri" w:hAnsi="宋体" w:cs="宋体"/>
          <w:color w:val="auto"/>
          <w:sz w:val="24"/>
          <w:szCs w:val="24"/>
          <w:highlight w:val="none"/>
          <w:lang w:val="zh-CN"/>
        </w:rPr>
        <w:t xml:space="preserve">检验结果的处理</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2.3.</w:t>
      </w:r>
      <w:r>
        <w:rPr>
          <w:rFonts w:hint="eastAsia" w:ascii="Calibri" w:hAnsi="宋体" w:cs="宋体"/>
          <w:color w:val="auto"/>
          <w:sz w:val="24"/>
          <w:szCs w:val="24"/>
          <w:highlight w:val="none"/>
          <w:lang w:val="zh-CN"/>
        </w:rPr>
        <w:t xml:space="preserve">1.检验结论的出具：检验结果未发现所检项目不合格的，判定为产品本次抽查合格；检验结果发现所检项目不合格的，判定为产品本次抽查不合格；对暂未有判定依据的项目应出具检测数值、检测方法介绍、结果分析和处理建议。</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2.3.</w:t>
      </w:r>
      <w:r>
        <w:rPr>
          <w:rFonts w:hint="eastAsia" w:ascii="Calibri" w:hAnsi="宋体" w:cs="宋体"/>
          <w:color w:val="auto"/>
          <w:sz w:val="24"/>
          <w:szCs w:val="24"/>
          <w:highlight w:val="none"/>
          <w:lang w:val="zh-CN"/>
        </w:rPr>
        <w:t xml:space="preserve">2检验报告的提供：承检方应在检验完成并出具检验报告后2个工作日内通过国家食品安全抽检监测信息系统上报上传检验报告。上传不合格报告时应同步上传现场采样照片、被抽样单位营业执照、采样工作单、检验结果通知书等照片，并通过国抽信息系统准确对被抽检不合格样品食品经营和生产环节所属市场监管部门分流。同时，寄送全批次纸质检验报告原件2份至委托方保存。承检方根据被抽样单位的需求，及时提供纸质检验报告。</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2.3.</w:t>
      </w:r>
      <w:r>
        <w:rPr>
          <w:rFonts w:hint="eastAsia" w:ascii="Calibri" w:hAnsi="宋体" w:cs="宋体"/>
          <w:color w:val="auto"/>
          <w:sz w:val="24"/>
          <w:szCs w:val="24"/>
          <w:highlight w:val="none"/>
          <w:lang w:val="zh-CN"/>
        </w:rPr>
        <w:t xml:space="preserve">3.检验任务工作总结的送达、告知：</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1）寄（送）委托方：工作总结、《抽检情况一览表》和监督抽检信息公布代拟稿。</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2）检验结果的评估：对检验结果判定为不合格的，承检机构要对不合格项目进行原因及危害性分析评估，并出具分析评估报告，提出下次检测意见和建议。</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3）对样本异议的处理：</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①委托方接受被抽检人关于对抽样程序、检验判定依据有异议的《异议申请书》后依法组织调查，承检机构应按委托方要求在5日内提交书面答复。</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②委托方同意被抽检人复检申请后，应从已公告的复检机构名录中选取复检机构，复检机构与初检机构不得为同一机构。逾期未提出申请的，视为承认检验结果。承检机构要配合委托方开展复检。复检结果为最终结果。复检结果表明合格的，复检费用及由复检造成的其他费用支出由承担初检的承检机构承担；复检结论表明不合格的，复检费用由要求复检的申请人或单位承担。</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4）涉及抽样的全部情况包括数据及结果，承检机构必须保密，不得向除委托方以外的任何单位和个人透露。</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2.4</w:t>
      </w:r>
      <w:r>
        <w:rPr>
          <w:rFonts w:hint="eastAsia" w:ascii="Calibri" w:hAnsi="宋体" w:cs="宋体"/>
          <w:color w:val="auto"/>
          <w:sz w:val="24"/>
          <w:szCs w:val="24"/>
          <w:highlight w:val="none"/>
          <w:lang w:val="zh-CN"/>
        </w:rPr>
        <w:t xml:space="preserve">抽检服务要求</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2.4.1.</w:t>
      </w:r>
      <w:r>
        <w:rPr>
          <w:rFonts w:hint="eastAsia" w:ascii="Calibri" w:hAnsi="宋体" w:cs="宋体"/>
          <w:color w:val="auto"/>
          <w:sz w:val="24"/>
          <w:szCs w:val="24"/>
          <w:highlight w:val="none"/>
          <w:lang w:val="zh-CN"/>
        </w:rPr>
        <w:t xml:space="preserve">承检机构应按照委托方要求，按照序时计划进度开展抽检工作，每季度末最后两天提交当季度抽检工作分析报告，按照全年工作进度安排，承检机构须在三季度末完成全部抽检任务，四季度根据考核情况是否追加再行商定；</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2.4.</w:t>
      </w:r>
      <w:r>
        <w:rPr>
          <w:rFonts w:hint="eastAsia" w:ascii="Calibri" w:hAnsi="宋体" w:cs="宋体"/>
          <w:color w:val="auto"/>
          <w:sz w:val="24"/>
          <w:szCs w:val="24"/>
          <w:highlight w:val="none"/>
          <w:lang w:val="zh-CN"/>
        </w:rPr>
        <w:t xml:space="preserve">2</w:t>
      </w:r>
      <w:r>
        <w:rPr>
          <w:rFonts w:hint="eastAsia" w:ascii="Calibri" w:hAnsi="宋体" w:cs="宋体"/>
          <w:color w:val="auto"/>
          <w:sz w:val="24"/>
          <w:szCs w:val="24"/>
          <w:highlight w:val="none"/>
        </w:rPr>
        <w:t xml:space="preserve">.</w:t>
      </w:r>
      <w:r>
        <w:rPr>
          <w:rFonts w:hint="eastAsia" w:ascii="Calibri" w:hAnsi="宋体" w:cs="宋体"/>
          <w:color w:val="auto"/>
          <w:sz w:val="24"/>
          <w:szCs w:val="24"/>
          <w:highlight w:val="none"/>
          <w:lang w:val="zh-CN"/>
        </w:rPr>
        <w:t xml:space="preserve">承检机构要秉着坚持“问题导向”、有效筛查发现问题食品的原则开展食品抽样工作，秉着审慎的态度开展抽样检验工作；</w:t>
      </w:r>
      <w:r/>
    </w:p>
    <w:p>
      <w:pPr>
        <w:ind w:firstLine="480"/>
        <w:spacing w:line="500" w:lineRule="exact"/>
        <w:widowControl/>
        <w:rPr>
          <w:rFonts w:ascii="Calibri" w:hAnsi="宋体" w:cs="宋体"/>
          <w:strike/>
          <w:color w:val="auto"/>
          <w:sz w:val="24"/>
          <w:szCs w:val="24"/>
          <w:highlight w:val="none"/>
          <w:lang w:val="zh-CN"/>
        </w:rPr>
      </w:pPr>
      <w:r>
        <w:rPr>
          <w:rFonts w:hint="eastAsia" w:ascii="Calibri" w:hAnsi="宋体" w:cs="宋体"/>
          <w:color w:val="auto"/>
          <w:sz w:val="24"/>
          <w:szCs w:val="24"/>
          <w:highlight w:val="none"/>
        </w:rPr>
        <w:t xml:space="preserve">2.4.</w:t>
      </w:r>
      <w:r>
        <w:rPr>
          <w:rFonts w:hint="eastAsia" w:ascii="Calibri" w:hAnsi="宋体" w:cs="宋体"/>
          <w:color w:val="auto"/>
          <w:sz w:val="24"/>
          <w:szCs w:val="24"/>
          <w:highlight w:val="none"/>
          <w:lang w:val="zh-CN"/>
        </w:rPr>
        <w:t xml:space="preserve">3</w:t>
      </w:r>
      <w:r>
        <w:rPr>
          <w:rFonts w:hint="eastAsia" w:ascii="Calibri" w:hAnsi="宋体" w:cs="宋体"/>
          <w:color w:val="auto"/>
          <w:sz w:val="24"/>
          <w:szCs w:val="24"/>
          <w:highlight w:val="none"/>
        </w:rPr>
        <w:t xml:space="preserve">.普通食品不合格率（不包含餐饮具）</w:t>
      </w:r>
      <w:r>
        <w:rPr>
          <w:rFonts w:hint="eastAsia" w:ascii="Calibri" w:hAnsi="宋体" w:cs="宋体"/>
          <w:color w:val="auto"/>
          <w:sz w:val="24"/>
          <w:szCs w:val="24"/>
          <w:highlight w:val="none"/>
          <w:lang w:val="en-US" w:eastAsia="zh-CN"/>
        </w:rPr>
        <w:t xml:space="preserve">及</w:t>
      </w:r>
      <w:r>
        <w:rPr>
          <w:rFonts w:hint="eastAsia" w:ascii="Calibri" w:hAnsi="宋体" w:cs="宋体"/>
          <w:color w:val="auto"/>
          <w:sz w:val="24"/>
          <w:szCs w:val="24"/>
          <w:highlight w:val="none"/>
        </w:rPr>
        <w:t xml:space="preserve">农产品不合格率根据采购人及上级部门有关要求适时调整</w:t>
      </w:r>
      <w:r>
        <w:rPr>
          <w:rFonts w:hint="eastAsia" w:ascii="Calibri" w:hAnsi="宋体" w:cs="宋体"/>
          <w:color w:val="auto"/>
          <w:sz w:val="24"/>
          <w:szCs w:val="24"/>
          <w:highlight w:val="none"/>
          <w:lang w:val="zh-CN"/>
        </w:rPr>
        <w:t xml:space="preserve">；</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2.4.</w:t>
      </w:r>
      <w:r>
        <w:rPr>
          <w:rFonts w:hint="eastAsia" w:ascii="Calibri" w:hAnsi="宋体" w:cs="宋体"/>
          <w:color w:val="auto"/>
          <w:sz w:val="24"/>
          <w:szCs w:val="24"/>
          <w:highlight w:val="none"/>
          <w:lang w:val="zh-CN"/>
        </w:rPr>
        <w:t xml:space="preserve">4</w:t>
      </w:r>
      <w:r>
        <w:rPr>
          <w:rFonts w:hint="eastAsia" w:ascii="Calibri" w:hAnsi="宋体" w:cs="宋体"/>
          <w:color w:val="auto"/>
          <w:sz w:val="24"/>
          <w:szCs w:val="24"/>
          <w:highlight w:val="none"/>
        </w:rPr>
        <w:t xml:space="preserve">.</w:t>
      </w:r>
      <w:r>
        <w:rPr>
          <w:rFonts w:hint="eastAsia" w:ascii="Calibri" w:hAnsi="宋体" w:cs="宋体"/>
          <w:color w:val="auto"/>
          <w:sz w:val="24"/>
          <w:szCs w:val="24"/>
          <w:highlight w:val="none"/>
          <w:lang w:val="zh-CN"/>
        </w:rPr>
        <w:t xml:space="preserve">承检机构要严格把控抽检工作质量，认真对待国家、省、市有关部门数据筛查工作。</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2.4.</w:t>
      </w:r>
      <w:r>
        <w:rPr>
          <w:rFonts w:hint="eastAsia" w:ascii="Calibri" w:hAnsi="宋体" w:cs="宋体"/>
          <w:color w:val="auto"/>
          <w:sz w:val="24"/>
          <w:szCs w:val="24"/>
          <w:highlight w:val="none"/>
          <w:lang w:val="zh-CN"/>
        </w:rPr>
        <w:t xml:space="preserve">5</w:t>
      </w:r>
      <w:r>
        <w:rPr>
          <w:rFonts w:hint="eastAsia" w:ascii="Calibri" w:hAnsi="宋体" w:cs="宋体"/>
          <w:color w:val="auto"/>
          <w:sz w:val="24"/>
          <w:szCs w:val="24"/>
          <w:highlight w:val="none"/>
        </w:rPr>
        <w:t xml:space="preserve">.</w:t>
      </w:r>
      <w:r>
        <w:rPr>
          <w:rFonts w:hint="eastAsia" w:ascii="Calibri" w:hAnsi="宋体" w:cs="宋体"/>
          <w:color w:val="auto"/>
          <w:sz w:val="24"/>
          <w:szCs w:val="24"/>
          <w:highlight w:val="none"/>
          <w:lang w:val="zh-CN"/>
        </w:rPr>
        <w:t xml:space="preserve">承检机构每批次检测项目数量要达到国抽细则要求和上级有关部门要求。</w:t>
      </w:r>
      <w:r/>
    </w:p>
    <w:p>
      <w:pPr>
        <w:ind w:firstLine="480"/>
        <w:spacing w:line="500" w:lineRule="exact"/>
        <w:widowControl/>
        <w:rPr>
          <w:rFonts w:ascii="Calibri" w:hAnsi="宋体" w:cs="宋体"/>
          <w:color w:val="auto"/>
          <w:sz w:val="24"/>
          <w:szCs w:val="24"/>
          <w:highlight w:val="none"/>
        </w:rPr>
      </w:pPr>
      <w:r>
        <w:rPr>
          <w:rFonts w:hint="eastAsia" w:ascii="Calibri" w:hAnsi="宋体" w:cs="宋体"/>
          <w:color w:val="auto"/>
          <w:sz w:val="24"/>
          <w:szCs w:val="24"/>
          <w:highlight w:val="none"/>
        </w:rPr>
        <w:t xml:space="preserve">2.4.6.</w:t>
      </w:r>
      <w:r>
        <w:rPr>
          <w:rFonts w:hint="eastAsia" w:ascii="Calibri" w:hAnsi="宋体" w:cs="宋体"/>
          <w:color w:val="auto"/>
          <w:sz w:val="24"/>
          <w:szCs w:val="24"/>
          <w:highlight w:val="none"/>
          <w:lang w:val="zh-CN"/>
        </w:rPr>
        <w:t xml:space="preserve">承检机构</w:t>
      </w:r>
      <w:r>
        <w:rPr>
          <w:rFonts w:hint="eastAsia" w:ascii="Calibri" w:hAnsi="宋体" w:cs="宋体"/>
          <w:color w:val="auto"/>
          <w:sz w:val="24"/>
          <w:szCs w:val="24"/>
          <w:highlight w:val="none"/>
        </w:rPr>
        <w:t xml:space="preserve">在抽样、样品入库、检测等服务全过程进行录音、录像，确保过程留痕可追溯。</w:t>
      </w:r>
      <w:r/>
    </w:p>
    <w:p>
      <w:pPr>
        <w:spacing w:line="500" w:lineRule="exact"/>
        <w:widowControl/>
        <w:rPr>
          <w:rFonts w:ascii="Calibri" w:hAnsi="宋体" w:cs="宋体"/>
          <w:b/>
          <w:bCs/>
          <w:color w:val="auto"/>
          <w:sz w:val="24"/>
          <w:szCs w:val="24"/>
          <w:highlight w:val="none"/>
        </w:rPr>
      </w:pPr>
      <w:r>
        <w:rPr>
          <w:rFonts w:hint="eastAsia" w:ascii="Calibri" w:hAnsi="宋体" w:cs="宋体"/>
          <w:b/>
          <w:bCs/>
          <w:color w:val="auto"/>
          <w:sz w:val="24"/>
          <w:szCs w:val="24"/>
          <w:highlight w:val="none"/>
        </w:rPr>
        <w:t xml:space="preserve">三、技术要求</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3.1法律法规和技术规范</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本标准至少应满足以下法律法规、技术规范的要求：</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(1)《中华人民共和国食品安全法》(中华人民共和国主席令第 二十一号)</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(2)《中华人民共和国食品安全法实施条例》(中华人民共和国国务院令第721号)</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(3)《食品安全抽样检验管理办法》(国家市场监督管理总局令第15号)</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(4)《食品安全抽样检验工作规范》(市监食检发〔2023〕76号)  (5X 食用农产品抽样检验和核查处置规定》(国市监食检〔2020〕184号)</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(6)《市场监管总局办公厅关于推进食品抽检合格备份样品合理利用的通知》(市监食检发〔2021〕106号)</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(7)《江苏省食品安全条例》(2024年1月26日江苏省第十 四届人民代表大会第二次会议通过)</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(8)《全国食品安全监督抽检实施细则(</w:t>
      </w:r>
      <w:r>
        <w:rPr>
          <w:rFonts w:hint="eastAsia" w:hAnsi="宋体" w:cs="宋体"/>
          <w:color w:val="auto"/>
          <w:sz w:val="24"/>
          <w:szCs w:val="24"/>
          <w:highlight w:val="none"/>
          <w:lang w:eastAsia="zh-CN"/>
        </w:rPr>
        <w:t xml:space="preserve">2025年版</w:t>
      </w:r>
      <w:r>
        <w:rPr>
          <w:rFonts w:hint="eastAsia" w:hAnsi="宋体" w:cs="宋体"/>
          <w:color w:val="auto"/>
          <w:sz w:val="24"/>
          <w:szCs w:val="24"/>
          <w:highlight w:val="none"/>
        </w:rPr>
        <w:t xml:space="preserve">)》</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(9)《全国食品安全评价性抽检实施细则(</w:t>
      </w:r>
      <w:r>
        <w:rPr>
          <w:rFonts w:hint="eastAsia" w:hAnsi="宋体" w:cs="宋体"/>
          <w:color w:val="auto"/>
          <w:sz w:val="24"/>
          <w:szCs w:val="24"/>
          <w:highlight w:val="none"/>
          <w:lang w:eastAsia="zh-CN"/>
        </w:rPr>
        <w:t xml:space="preserve">2025年版</w:t>
      </w:r>
      <w:r>
        <w:rPr>
          <w:rFonts w:hint="eastAsia" w:hAnsi="宋体" w:cs="宋体"/>
          <w:color w:val="auto"/>
          <w:sz w:val="24"/>
          <w:szCs w:val="24"/>
          <w:highlight w:val="none"/>
        </w:rPr>
        <w:t xml:space="preserve">)》</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注：</w:t>
      </w:r>
      <w:r>
        <w:rPr>
          <w:rFonts w:hint="eastAsia" w:hAnsi="宋体" w:cs="宋体"/>
          <w:color w:val="auto"/>
          <w:sz w:val="24"/>
          <w:szCs w:val="24"/>
          <w:highlight w:val="none"/>
          <w:lang w:val="en-US" w:eastAsia="zh-CN"/>
        </w:rPr>
        <w:t xml:space="preserve">在项目实施过程中如</w:t>
      </w:r>
      <w:r>
        <w:rPr>
          <w:rFonts w:hint="eastAsia" w:hAnsi="宋体" w:cs="宋体"/>
          <w:color w:val="auto"/>
          <w:sz w:val="24"/>
          <w:szCs w:val="24"/>
          <w:highlight w:val="none"/>
        </w:rPr>
        <w:t xml:space="preserve">以上法律法规和技术规范如有更新，按最新要求执行。 </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3.2主要技术要求</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3.2.1抽样环节</w:t>
      </w:r>
      <w:r/>
    </w:p>
    <w:p>
      <w:pPr>
        <w:ind w:firstLine="480"/>
        <w:jc w:val="center"/>
        <w:spacing w:line="500" w:lineRule="exact"/>
        <w:widowControl/>
        <w:rPr>
          <w:rFonts w:hAnsi="宋体" w:cs="宋体"/>
          <w:color w:val="auto"/>
          <w:sz w:val="24"/>
          <w:szCs w:val="24"/>
          <w:highlight w:val="none"/>
        </w:rPr>
      </w:pPr>
      <w:r>
        <w:rPr>
          <w:rFonts w:ascii="Calibri" w:hAnsi="Calibri"/>
          <w:b/>
          <w:bCs/>
          <w:color w:val="auto"/>
          <w:spacing w:val="-4"/>
          <w:sz w:val="24"/>
          <w:szCs w:val="24"/>
          <w:highlight w:val="none"/>
        </w:rPr>
        <w:t xml:space="preserve">抽样环节主要技术内容和标准</w:t>
      </w:r>
      <w:r/>
    </w:p>
    <w:tbl>
      <w:tblPr>
        <w:tblStyle w:val="734"/>
        <w:tblW w:w="0" w:type="auto"/>
        <w:tblInd w:w="7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941"/>
        <w:gridCol w:w="1159"/>
        <w:gridCol w:w="6477"/>
      </w:tblGrid>
      <w:tr>
        <w:trPr/>
        <w:tc>
          <w:tcPr>
            <w:tcW w:w="696" w:type="dxa"/>
            <w:vAlign w:val="center"/>
            <w:textDirection w:val="lrTb"/>
            <w:noWrap w:val="false"/>
          </w:tcPr>
          <w:p>
            <w:pPr>
              <w:ind w:left="94"/>
              <w:jc w:val="center"/>
              <w:spacing w:before="114" w:line="221" w:lineRule="auto"/>
              <w:rPr>
                <w:rFonts w:hAnsi="宋体" w:cs="宋体"/>
                <w:color w:val="auto"/>
                <w:sz w:val="24"/>
                <w:szCs w:val="24"/>
                <w:highlight w:val="none"/>
                <w:lang w:eastAsia="en-US"/>
              </w:rPr>
            </w:pPr>
            <w:r>
              <w:rPr>
                <w:rFonts w:ascii="宋体" w:hAnsi="宋体" w:cs="宋体"/>
                <w:color w:val="auto"/>
                <w:spacing w:val="6"/>
                <w:highlight w:val="none"/>
                <w:lang w:eastAsia="en-US"/>
              </w:rPr>
              <w:t xml:space="preserve">序号</w:t>
            </w:r>
            <w:r/>
          </w:p>
        </w:tc>
        <w:tc>
          <w:tcPr>
            <w:gridSpan w:val="2"/>
            <w:tcW w:w="2100" w:type="dxa"/>
            <w:vAlign w:val="center"/>
            <w:textDirection w:val="lrTb"/>
            <w:noWrap w:val="false"/>
          </w:tcPr>
          <w:p>
            <w:pPr>
              <w:ind w:left="451"/>
              <w:jc w:val="center"/>
              <w:spacing w:before="113" w:line="219" w:lineRule="auto"/>
              <w:rPr>
                <w:rFonts w:hAnsi="宋体" w:cs="宋体"/>
                <w:color w:val="auto"/>
                <w:sz w:val="24"/>
                <w:szCs w:val="24"/>
                <w:highlight w:val="none"/>
                <w:lang w:eastAsia="en-US"/>
              </w:rPr>
            </w:pPr>
            <w:r>
              <w:rPr>
                <w:rFonts w:ascii="宋体" w:hAnsi="宋体" w:cs="宋体"/>
                <w:color w:val="auto"/>
                <w:spacing w:val="-2"/>
                <w:highlight w:val="none"/>
                <w:lang w:eastAsia="en-US"/>
              </w:rPr>
              <w:t xml:space="preserve">服务名称</w:t>
            </w:r>
            <w:r/>
          </w:p>
        </w:tc>
        <w:tc>
          <w:tcPr>
            <w:tcW w:w="6477" w:type="dxa"/>
            <w:vAlign w:val="center"/>
            <w:textDirection w:val="lrTb"/>
            <w:noWrap w:val="false"/>
          </w:tcPr>
          <w:p>
            <w:pPr>
              <w:jc w:val="center"/>
              <w:spacing w:before="110" w:line="219" w:lineRule="auto"/>
              <w:rPr>
                <w:rFonts w:hAnsi="宋体" w:cs="宋体"/>
                <w:color w:val="auto"/>
                <w:sz w:val="24"/>
                <w:szCs w:val="24"/>
                <w:highlight w:val="none"/>
                <w:lang w:eastAsia="en-US"/>
              </w:rPr>
            </w:pPr>
            <w:r>
              <w:rPr>
                <w:rFonts w:ascii="宋体" w:hAnsi="宋体" w:cs="宋体"/>
                <w:b/>
                <w:bCs/>
                <w:color w:val="auto"/>
                <w:spacing w:val="-4"/>
                <w:highlight w:val="none"/>
                <w:lang w:eastAsia="en-US"/>
              </w:rPr>
              <w:t xml:space="preserve">服务内容和标准</w:t>
            </w:r>
            <w:r/>
          </w:p>
        </w:tc>
      </w:tr>
      <w:tr>
        <w:trPr/>
        <w:tc>
          <w:tcPr>
            <w:tcW w:w="696" w:type="dxa"/>
            <w:vAlign w:val="center"/>
            <w:textDirection w:val="lrTb"/>
            <w:noWrap w:val="false"/>
          </w:tcPr>
          <w:p>
            <w:pPr>
              <w:ind w:left="255"/>
              <w:jc w:val="center"/>
              <w:spacing w:before="181" w:line="184" w:lineRule="auto"/>
              <w:rPr>
                <w:rFonts w:hAnsi="宋体" w:cs="宋体"/>
                <w:color w:val="auto"/>
                <w:sz w:val="24"/>
                <w:szCs w:val="24"/>
                <w:highlight w:val="none"/>
                <w:lang w:eastAsia="en-US"/>
              </w:rPr>
            </w:pPr>
            <w:r>
              <w:rPr>
                <w:rFonts w:ascii="宋体" w:hAnsi="宋体" w:cs="宋体"/>
                <w:color w:val="auto"/>
                <w:highlight w:val="none"/>
                <w:lang w:eastAsia="en-US"/>
              </w:rPr>
              <w:t xml:space="preserve">1</w:t>
            </w:r>
            <w:r/>
          </w:p>
        </w:tc>
        <w:tc>
          <w:tcPr>
            <w:gridSpan w:val="2"/>
            <w:tcW w:w="2100" w:type="dxa"/>
            <w:vAlign w:val="center"/>
            <w:textDirection w:val="lrTb"/>
            <w:noWrap w:val="false"/>
          </w:tcPr>
          <w:p>
            <w:pPr>
              <w:ind w:left="240"/>
              <w:jc w:val="center"/>
              <w:spacing w:before="128" w:line="219" w:lineRule="auto"/>
              <w:rPr>
                <w:rFonts w:hAnsi="宋体" w:cs="宋体"/>
                <w:color w:val="auto"/>
                <w:sz w:val="24"/>
                <w:szCs w:val="24"/>
                <w:highlight w:val="none"/>
                <w:lang w:eastAsia="en-US"/>
              </w:rPr>
            </w:pPr>
            <w:r>
              <w:rPr>
                <w:rFonts w:ascii="宋体" w:hAnsi="宋体" w:cs="宋体"/>
                <w:color w:val="auto"/>
                <w:spacing w:val="2"/>
                <w:highlight w:val="none"/>
                <w:lang w:eastAsia="en-US"/>
              </w:rPr>
              <w:t xml:space="preserve">抽样单位确定</w:t>
            </w:r>
            <w:r/>
          </w:p>
        </w:tc>
        <w:tc>
          <w:tcPr>
            <w:tcW w:w="6477" w:type="dxa"/>
            <w:textDirection w:val="lrTb"/>
            <w:noWrap w:val="false"/>
          </w:tcPr>
          <w:p>
            <w:pPr>
              <w:jc w:val="left"/>
              <w:spacing w:before="127" w:line="219" w:lineRule="auto"/>
              <w:rPr>
                <w:rFonts w:hAnsi="宋体" w:cs="宋体"/>
                <w:color w:val="auto"/>
                <w:sz w:val="24"/>
                <w:szCs w:val="24"/>
                <w:highlight w:val="none"/>
              </w:rPr>
            </w:pPr>
            <w:r>
              <w:rPr>
                <w:rFonts w:hint="eastAsia" w:ascii="宋体" w:hAnsi="宋体" w:cs="宋体"/>
                <w:color w:val="auto"/>
                <w:sz w:val="20"/>
                <w:szCs w:val="20"/>
                <w:highlight w:val="none"/>
              </w:rPr>
              <w:t xml:space="preserve">采购人委托中标供应商抽样。</w:t>
            </w:r>
            <w:r/>
          </w:p>
        </w:tc>
      </w:tr>
      <w:tr>
        <w:trPr/>
        <w:tc>
          <w:tcPr>
            <w:tcW w:w="696" w:type="dxa"/>
            <w:vAlign w:val="center"/>
            <w:textDirection w:val="lrTb"/>
            <w:noWrap w:val="false"/>
          </w:tcPr>
          <w:p>
            <w:pPr>
              <w:ind w:left="255"/>
              <w:jc w:val="center"/>
              <w:spacing w:before="252" w:line="183" w:lineRule="auto"/>
              <w:rPr>
                <w:rFonts w:hAnsi="宋体" w:cs="宋体"/>
                <w:color w:val="auto"/>
                <w:sz w:val="24"/>
                <w:szCs w:val="24"/>
                <w:highlight w:val="none"/>
                <w:lang w:eastAsia="en-US"/>
              </w:rPr>
            </w:pPr>
            <w:r>
              <w:rPr>
                <w:rFonts w:ascii="宋体" w:hAnsi="宋体" w:cs="宋体"/>
                <w:color w:val="auto"/>
                <w:highlight w:val="none"/>
                <w:lang w:eastAsia="en-US"/>
              </w:rPr>
              <w:t xml:space="preserve">2</w:t>
            </w:r>
            <w:r/>
          </w:p>
        </w:tc>
        <w:tc>
          <w:tcPr>
            <w:gridSpan w:val="2"/>
            <w:tcW w:w="2100" w:type="dxa"/>
            <w:vAlign w:val="center"/>
            <w:textDirection w:val="lrTb"/>
            <w:noWrap w:val="false"/>
          </w:tcPr>
          <w:p>
            <w:pPr>
              <w:ind w:left="351"/>
              <w:jc w:val="center"/>
              <w:spacing w:before="198" w:line="219" w:lineRule="auto"/>
              <w:rPr>
                <w:rFonts w:hAnsi="宋体" w:cs="宋体"/>
                <w:color w:val="auto"/>
                <w:sz w:val="24"/>
                <w:szCs w:val="24"/>
                <w:highlight w:val="none"/>
                <w:lang w:eastAsia="en-US"/>
              </w:rPr>
            </w:pPr>
            <w:r>
              <w:rPr>
                <w:rFonts w:ascii="宋体" w:hAnsi="宋体" w:cs="宋体"/>
                <w:color w:val="auto"/>
                <w:spacing w:val="-2"/>
                <w:highlight w:val="none"/>
                <w:lang w:eastAsia="en-US"/>
              </w:rPr>
              <w:t xml:space="preserve">抽样前准备</w:t>
            </w:r>
            <w:r/>
          </w:p>
        </w:tc>
        <w:tc>
          <w:tcPr>
            <w:tcW w:w="6477" w:type="dxa"/>
            <w:textDirection w:val="lrTb"/>
            <w:noWrap w:val="false"/>
          </w:tcPr>
          <w:p>
            <w:pPr>
              <w:jc w:val="left"/>
              <w:spacing w:before="198" w:line="219" w:lineRule="auto"/>
              <w:rPr>
                <w:rFonts w:hAnsi="宋体" w:cs="宋体"/>
                <w:color w:val="auto"/>
                <w:sz w:val="24"/>
                <w:szCs w:val="24"/>
                <w:highlight w:val="none"/>
              </w:rPr>
            </w:pPr>
            <w:r>
              <w:rPr>
                <w:rFonts w:hint="eastAsia" w:ascii="宋体" w:hAnsi="宋体" w:cs="宋体"/>
                <w:color w:val="auto"/>
                <w:spacing w:val="-5"/>
                <w:highlight w:val="none"/>
              </w:rPr>
              <w:t xml:space="preserve">抽样单位应当建立食品抽样管理制度，明确岗位职责、抽样流程和工作纪律。</w:t>
            </w:r>
            <w:r/>
          </w:p>
        </w:tc>
      </w:tr>
      <w:tr>
        <w:trPr/>
        <w:tc>
          <w:tcPr>
            <w:tcW w:w="696" w:type="dxa"/>
            <w:vAlign w:val="center"/>
            <w:textDirection w:val="lrTb"/>
            <w:noWrap w:val="false"/>
          </w:tcPr>
          <w:p>
            <w:pPr>
              <w:jc w:val="center"/>
              <w:spacing w:line="325" w:lineRule="auto"/>
              <w:rPr>
                <w:rFonts w:ascii="Arial" w:hAnsi="Calibri"/>
                <w:color w:val="auto"/>
                <w:szCs w:val="24"/>
                <w:highlight w:val="none"/>
              </w:rPr>
            </w:pPr>
            <w:r>
              <w:rPr>
                <w:rFonts w:ascii="Arial" w:hAnsi="Calibri"/>
                <w:color w:val="auto"/>
                <w:szCs w:val="24"/>
                <w:highlight w:val="none"/>
              </w:rPr>
            </w:r>
            <w:r/>
          </w:p>
          <w:p>
            <w:pPr>
              <w:jc w:val="center"/>
              <w:spacing w:line="326" w:lineRule="auto"/>
              <w:rPr>
                <w:rFonts w:ascii="Arial" w:hAnsi="Calibri"/>
                <w:color w:val="auto"/>
                <w:szCs w:val="24"/>
                <w:highlight w:val="none"/>
              </w:rPr>
            </w:pPr>
            <w:r>
              <w:rPr>
                <w:rFonts w:ascii="Arial" w:hAnsi="Calibri"/>
                <w:color w:val="auto"/>
                <w:szCs w:val="24"/>
                <w:highlight w:val="none"/>
              </w:rPr>
            </w:r>
            <w:r/>
          </w:p>
          <w:p>
            <w:pPr>
              <w:ind w:left="255"/>
              <w:jc w:val="center"/>
              <w:spacing w:before="68" w:line="183" w:lineRule="auto"/>
              <w:rPr>
                <w:rFonts w:hAnsi="宋体" w:cs="宋体"/>
                <w:color w:val="auto"/>
                <w:sz w:val="24"/>
                <w:szCs w:val="24"/>
                <w:highlight w:val="none"/>
                <w:lang w:eastAsia="en-US"/>
              </w:rPr>
            </w:pPr>
            <w:r>
              <w:rPr>
                <w:rFonts w:ascii="宋体" w:hAnsi="宋体" w:cs="宋体"/>
                <w:color w:val="auto"/>
                <w:highlight w:val="none"/>
                <w:lang w:eastAsia="en-US"/>
              </w:rPr>
              <w:t xml:space="preserve">3</w:t>
            </w:r>
            <w:r/>
          </w:p>
        </w:tc>
        <w:tc>
          <w:tcPr>
            <w:gridSpan w:val="2"/>
            <w:tcW w:w="2100" w:type="dxa"/>
            <w:vAlign w:val="center"/>
            <w:textDirection w:val="lrTb"/>
            <w:noWrap w:val="false"/>
          </w:tcPr>
          <w:p>
            <w:pPr>
              <w:jc w:val="center"/>
              <w:spacing w:line="298" w:lineRule="auto"/>
              <w:rPr>
                <w:rFonts w:ascii="Arial" w:hAnsi="Calibri"/>
                <w:color w:val="auto"/>
                <w:szCs w:val="24"/>
                <w:highlight w:val="none"/>
              </w:rPr>
            </w:pPr>
            <w:r>
              <w:rPr>
                <w:rFonts w:ascii="Arial" w:hAnsi="Calibri"/>
                <w:color w:val="auto"/>
                <w:szCs w:val="24"/>
                <w:highlight w:val="none"/>
              </w:rPr>
            </w:r>
            <w:r/>
          </w:p>
          <w:p>
            <w:pPr>
              <w:jc w:val="center"/>
              <w:spacing w:line="299" w:lineRule="auto"/>
              <w:rPr>
                <w:rFonts w:ascii="Arial" w:hAnsi="Calibri"/>
                <w:color w:val="auto"/>
                <w:szCs w:val="24"/>
                <w:highlight w:val="none"/>
              </w:rPr>
            </w:pPr>
            <w:r>
              <w:rPr>
                <w:rFonts w:ascii="Arial" w:hAnsi="Calibri"/>
                <w:color w:val="auto"/>
                <w:szCs w:val="24"/>
                <w:highlight w:val="none"/>
              </w:rPr>
            </w:r>
            <w:r/>
          </w:p>
          <w:p>
            <w:pPr>
              <w:ind w:left="240"/>
              <w:jc w:val="center"/>
              <w:spacing w:before="69" w:line="219" w:lineRule="auto"/>
              <w:rPr>
                <w:rFonts w:hAnsi="宋体" w:cs="宋体"/>
                <w:color w:val="auto"/>
                <w:sz w:val="24"/>
                <w:szCs w:val="24"/>
                <w:highlight w:val="none"/>
                <w:lang w:eastAsia="en-US"/>
              </w:rPr>
            </w:pPr>
            <w:r>
              <w:rPr>
                <w:rFonts w:ascii="宋体" w:hAnsi="宋体" w:cs="宋体"/>
                <w:color w:val="auto"/>
                <w:spacing w:val="2"/>
                <w:highlight w:val="none"/>
                <w:lang w:eastAsia="en-US"/>
              </w:rPr>
              <w:t xml:space="preserve">抽样人员确定</w:t>
            </w:r>
            <w:r/>
          </w:p>
        </w:tc>
        <w:tc>
          <w:tcPr>
            <w:tcW w:w="6477" w:type="dxa"/>
            <w:textDirection w:val="lrTb"/>
            <w:noWrap w:val="false"/>
          </w:tcPr>
          <w:p>
            <w:pPr>
              <w:ind w:right="4"/>
              <w:jc w:val="left"/>
              <w:spacing w:before="60" w:line="241" w:lineRule="auto"/>
              <w:rPr>
                <w:rFonts w:ascii="宋体" w:hAnsi="宋体" w:cs="宋体"/>
                <w:color w:val="auto"/>
                <w:highlight w:val="none"/>
              </w:rPr>
            </w:pPr>
            <w:r>
              <w:rPr>
                <w:rFonts w:hint="eastAsia" w:ascii="宋体" w:hAnsi="宋体" w:cs="宋体"/>
                <w:color w:val="auto"/>
                <w:highlight w:val="none"/>
              </w:rPr>
              <w:t xml:space="preserve">(1)独立的食品抽样人员数量、能力等要求与服务需求相匹配。</w:t>
            </w:r>
            <w:r/>
          </w:p>
          <w:p>
            <w:pPr>
              <w:ind w:right="4"/>
              <w:jc w:val="left"/>
              <w:spacing w:before="60" w:line="241" w:lineRule="auto"/>
              <w:rPr>
                <w:rFonts w:ascii="宋体" w:hAnsi="宋体" w:cs="宋体"/>
                <w:color w:val="auto"/>
                <w:highlight w:val="none"/>
              </w:rPr>
            </w:pPr>
            <w:r>
              <w:rPr>
                <w:rFonts w:hint="eastAsia" w:ascii="宋体" w:hAnsi="宋体" w:cs="宋体"/>
                <w:color w:val="auto"/>
                <w:highlight w:val="none"/>
              </w:rPr>
              <w:t xml:space="preserve">(2)实施抽检分离，随机确定抽样人员，抽样人员与检验人员不得为同一人。</w:t>
            </w:r>
            <w:r/>
          </w:p>
          <w:p>
            <w:pPr>
              <w:ind w:right="4"/>
              <w:jc w:val="left"/>
              <w:spacing w:before="60" w:line="241" w:lineRule="auto"/>
              <w:rPr>
                <w:rFonts w:ascii="宋体" w:hAnsi="宋体" w:cs="宋体"/>
                <w:color w:val="auto"/>
                <w:highlight w:val="none"/>
              </w:rPr>
            </w:pPr>
            <w:r>
              <w:rPr>
                <w:rFonts w:hint="eastAsia" w:ascii="宋体" w:hAnsi="宋体" w:cs="宋体"/>
                <w:color w:val="auto"/>
                <w:highlight w:val="none"/>
              </w:rPr>
              <w:t xml:space="preserve">(3)抽样人员执行抽样任务时不得少于两人。</w:t>
            </w:r>
            <w:r/>
          </w:p>
          <w:p>
            <w:pPr>
              <w:ind w:right="4"/>
              <w:jc w:val="left"/>
              <w:spacing w:before="60" w:line="241" w:lineRule="auto"/>
              <w:rPr>
                <w:rFonts w:hAnsi="宋体" w:cs="宋体"/>
                <w:color w:val="auto"/>
                <w:sz w:val="24"/>
                <w:szCs w:val="24"/>
                <w:highlight w:val="none"/>
              </w:rPr>
            </w:pPr>
            <w:r>
              <w:rPr>
                <w:rFonts w:hint="eastAsia" w:ascii="宋体" w:hAnsi="宋体" w:cs="宋体"/>
                <w:color w:val="auto"/>
                <w:highlight w:val="none"/>
              </w:rPr>
              <w:t xml:space="preserve">(4)在集中交易市场、商场、超市、便利店等销售场所开展的食用农产品监督抽检工作，委托抽样的应当不少于两名监管人员参与抽样。</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4</w:t>
            </w:r>
            <w:r/>
          </w:p>
        </w:tc>
        <w:tc>
          <w:tcPr>
            <w:gridSpan w:val="2"/>
            <w:tcW w:w="2100"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抽样前培训</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抽样前应当对抽样人员进行培训，并做好相关记录。抽样人员应当熟悉食品安全法律、法规、规章和食品安全标准等的相关规定，熟练使用国家食品安全抽 样检验信息系统。</w:t>
            </w:r>
            <w:r/>
          </w:p>
        </w:tc>
      </w:tr>
      <w:tr>
        <w:trPr>
          <w:trHeight w:val="2495"/>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5</w:t>
            </w:r>
            <w:r/>
          </w:p>
        </w:tc>
        <w:tc>
          <w:tcPr>
            <w:tcW w:w="941" w:type="dxa"/>
            <w:vAlign w:val="center"/>
            <w:vMerge w:val="restart"/>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现场</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抽样</w:t>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抽样告知</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(1)抽样工作不得预先通知食品生产经营者。</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(2)抽样人员应当按规定向被抽样单位出示有效身份证明文件、《食品安全抽样检验告知书》、《食品安全抽样检验任务委托书》,告知其依法享有的权利和应当承担的义务，并使用规范用语。</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6</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信息核查</w:t>
            </w:r>
            <w:r/>
          </w:p>
        </w:tc>
        <w:tc>
          <w:tcPr>
            <w:tcW w:w="6477" w:type="dxa"/>
            <w:textDirection w:val="lrTb"/>
            <w:noWrap w:val="false"/>
          </w:tcPr>
          <w:p>
            <w:pPr>
              <w:spacing w:line="500" w:lineRule="exact"/>
              <w:widowControl/>
              <w:rPr>
                <w:rFonts w:ascii="宋体" w:hAnsi="宋体" w:cs="宋体"/>
                <w:color w:val="auto"/>
                <w:highlight w:val="none"/>
              </w:rPr>
            </w:pPr>
            <w:r>
              <w:rPr>
                <w:rFonts w:ascii="Calibri" w:hAnsi="Calibri"/>
                <w:color w:val="auto"/>
                <w:spacing w:val="-4"/>
                <w:highlight w:val="none"/>
              </w:rPr>
              <w:t xml:space="preserve">抽样人员应当核查被抽样单位提供的营业执照、许可证等相关证件。必要时，</w:t>
            </w:r>
            <w:r>
              <w:rPr>
                <w:rFonts w:ascii="Calibri" w:hAnsi="Calibri"/>
                <w:color w:val="auto"/>
                <w:spacing w:val="11"/>
                <w:highlight w:val="none"/>
              </w:rPr>
              <w:t xml:space="preserve"> </w:t>
            </w:r>
            <w:r>
              <w:rPr>
                <w:rFonts w:ascii="Calibri" w:hAnsi="Calibri"/>
                <w:color w:val="auto"/>
                <w:spacing w:val="-2"/>
                <w:highlight w:val="none"/>
              </w:rPr>
              <w:t xml:space="preserve">可核查进货查验记录、合法进货凭证等可追溯信息。</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7</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ascii="Calibri" w:hAnsi="Calibri"/>
                <w:color w:val="auto"/>
                <w:spacing w:val="10"/>
                <w:highlight w:val="none"/>
              </w:rPr>
              <w:t xml:space="preserve">样品</w:t>
            </w:r>
            <w:r>
              <w:rPr>
                <w:rFonts w:ascii="Calibri" w:hAnsi="Calibri"/>
                <w:color w:val="auto"/>
                <w:spacing w:val="-2"/>
                <w:highlight w:val="none"/>
              </w:rPr>
              <w:t xml:space="preserve">抽取</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(1)抽样人员可以从食品经营者的经营场所、仓库以及食品生产者的成品库待销产品中随机抽取样品，不得由被抽样单位自行提供样品。</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(2)抽样数量原则上应当满足检验和复检的要求。</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(3)对易腐烂变质的蔬菜、水果等食用农产品样品，需进行均质备份样品的， 应当在现场抽样时主动向被抽样单位告知确认，在现场或实验室进行均质备份样品时，采取拍照或摄像等方式进行记录。</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(4)抽样现场的设备，包括平板、打印机、无菌袋、测温枪等类似设备应能满足项目需求。</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8</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ascii="Calibri" w:hAnsi="Calibri"/>
                <w:color w:val="auto"/>
                <w:spacing w:val="-4"/>
                <w:highlight w:val="none"/>
              </w:rPr>
              <w:t xml:space="preserve">封样</w:t>
            </w:r>
            <w:r>
              <w:rPr>
                <w:rFonts w:ascii="Calibri" w:hAnsi="Calibri"/>
                <w:color w:val="auto"/>
                <w:spacing w:val="-5"/>
                <w:highlight w:val="none"/>
              </w:rPr>
              <w:t xml:space="preserve">签字</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(1)抽样人员应当采取有效的防拆封措施，对检验样品和复检备份样品分别封样，并贴上《食品安全抽样检验封条》。</w:t>
            </w:r>
            <w:r/>
          </w:p>
          <w:p>
            <w:pPr>
              <w:spacing w:line="500" w:lineRule="exact"/>
              <w:widowControl/>
              <w:rPr>
                <w:rFonts w:ascii="Calibri" w:hAnsi="Calibri"/>
                <w:color w:val="auto"/>
                <w:highlight w:val="none"/>
              </w:rPr>
            </w:pPr>
            <w:r>
              <w:rPr>
                <w:rFonts w:hint="eastAsia" w:ascii="Calibri" w:hAnsi="Calibri"/>
                <w:color w:val="auto"/>
                <w:highlight w:val="none"/>
              </w:rPr>
              <w:t xml:space="preserve">(2)封条上应当由抽样人员(含参与抽样的监管人员)和被抽样单位签字或者盖章确认。</w:t>
            </w:r>
            <w:r/>
          </w:p>
          <w:p>
            <w:pPr>
              <w:spacing w:line="500" w:lineRule="exact"/>
              <w:widowControl/>
              <w:rPr>
                <w:rFonts w:ascii="宋体" w:hAnsi="宋体" w:cs="宋体"/>
                <w:color w:val="auto"/>
                <w:highlight w:val="none"/>
              </w:rPr>
            </w:pPr>
            <w:r>
              <w:rPr>
                <w:rFonts w:hint="eastAsia" w:ascii="Calibri" w:hAnsi="Calibri"/>
                <w:color w:val="auto"/>
                <w:highlight w:val="none"/>
              </w:rPr>
              <w:t xml:space="preserve">(3)食用农产品需在实验室均质后留存复检备份样品的，现场还应当填写一份信息完整、签字或者盖章确认的封条，用于封存均质后的备份样品。</w:t>
            </w:r>
            <w:r/>
          </w:p>
        </w:tc>
      </w:tr>
      <w:tr>
        <w:trPr>
          <w:trHeight w:val="3979"/>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9</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抽样单</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填写</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(1)抽样人员应当使用《食品安全抽样检验抽样单》,详细记录抽样信息，记录保存期限不得少于两年。</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(2)抽样文书应当字迹工整、清晰，容易辨认，不得随意更改。</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(3)抽样单填写完毕后，应当由抽样人员(含参与抽样的监管人员)和被抽样单位签字或盖章确认。</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(4)如需更改信息应当由被抽样单位确认，其中营业执照、经营许可证、生产 许可证等证照信息以及样品标称信息如需更改，由两名抽样人员签字或抽样单 位盖章确认即可。</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10</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现场信息</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采集</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(1)抽样人员应当通过拍照等方式对抽样场所、证照信息、贮存环境、样品信 息、农产品票证(如有)、防护措施等进行现场信息采集。</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(2)信息采集的设备，包括执法记录仪、相机等类似设备应能满足项目需求， 完整记录抽样现场过程(视频、音频、清晰照片)。</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11</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费用支付</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抽样人员应当向被抽样单位支付样品购置费并索取发票(或相关购物凭证)及 所购样品明细，可现场支付费用或先出具《食品安全抽样检验样品购置费用告 知书》随后支付费用。</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12</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ascii="Calibri" w:hAnsi="Calibri"/>
                <w:color w:val="auto"/>
                <w:spacing w:val="6"/>
                <w:highlight w:val="none"/>
              </w:rPr>
              <w:t xml:space="preserve">文书</w:t>
            </w:r>
            <w:r>
              <w:rPr>
                <w:rFonts w:ascii="Calibri" w:hAnsi="Calibri"/>
                <w:color w:val="auto"/>
                <w:spacing w:val="4"/>
                <w:highlight w:val="none"/>
              </w:rPr>
              <w:t xml:space="preserve">交付</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(1)抽样人员应当将填写完整的《食品安全抽样检验告知书》《食品安全抽样 检验抽样单》《食品安全抽样检验样品购置费用告知书》(如有)和《食品安 全抽样检验工作质量及工作纪律反馈单》交付被抽样单位。</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(2)应将被抽样单位在《食品安全抽样检验工作质量及工作纪律反馈单》上填 写完整的回执单收回。</w:t>
            </w:r>
            <w:r/>
          </w:p>
        </w:tc>
      </w:tr>
      <w:tr>
        <w:trPr>
          <w:trHeight w:val="6018"/>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13</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样品运输</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(1)抽取的样品应当由抽样人员携带或寄送至供应商，不得由被抽样单位自行 寄送样品。原则上样品应当在抽样完成后五个工作日内移交。食品安全标准或 其他相关规定对样品运输有特殊时限要求的，从其要求。因客观原因需延长送 样期限的，应当经采购人同意。</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(2)抽样人员应当根据样品特性和检验目的进行合理贮存、运输。</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(3)对于易碎，冷藏、冷冻或有其他特殊贮运条件等要求的样品，抽样人员应 当采取适当措施，保证样品运输过程符合标准或样品标示要求的运输条件。</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(4)用于样品运输的设备，如普通车辆、冷链运输车辆、车载冰箱、保温箱等 类似设备，其设备类型、运载能力和数量应能满足项目需求。</w:t>
            </w:r>
            <w:r/>
          </w:p>
        </w:tc>
      </w:tr>
      <w:tr>
        <w:trPr>
          <w:trHeight w:val="1999"/>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14</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特殊情形</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处理</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抽样人员应当按照食品安全抽样检验相关工作规范，对拒绝抽样、不予抽样、特殊情况等情形及时处置或报告。</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15</w:t>
            </w:r>
            <w:r/>
          </w:p>
        </w:tc>
        <w:tc>
          <w:tcPr>
            <w:tcW w:w="941" w:type="dxa"/>
            <w:vAlign w:val="center"/>
            <w:vMerge w:val="restart"/>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网络</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抽样</w:t>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信息核查</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抽样人员应当确认网络食品交易经营者或食品生产企业(含委托加工方、受委 托加工方)中至少有一方处于采购人监管辖区内，同时核查营业执照、许可证 等相关证件。</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16</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样品购买</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抽样人员使用已备案的账户登录网络交易平台，检索平台内的拟抽检食品，以 消费者身份购买样品，使用已备案的付款账户向被抽样单位支付费用(含样品 费、打包费、运输费等),索要支付凭证(发票或收据)。被抽样单位无法提</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供发票或收据的，网络支付截图和订单明细可作为购样凭证。</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17</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购买过程的信息采集</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购买样品过程中应当通过截图、拍照或者录像等方式采集样品展示页信息、网 页上被抽样单位的证照、支付记录、成功下单后的订单信息等。</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18</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拆包、查验及封样过程的信息采集</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(1)收到物流包裹后，由不少于两名抽样人员共同对物流单据记载的订单信息 进行核对，确认无误后拆包、查验，对检验样品和复检备份样品分别封样。</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(2)拆包、查验、封样过程应当拍照及录像，留存足以证明样品来源的关键影 像资料。</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(3)采集的信息应当包括包裹外包装及物流单据、拆包后样品状态、储存状态、 样品外观等。</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19</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文书填写</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及交付</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抽样人员应当完整填写《食品安全抽样检验抽样单》。《食品安全抽样检验抽 样单》和《食品安全抽样检验封条》不需要被抽样单位签字或盖章确认，也不 需要交付被抽样单位，如需更改信息可由两名抽样人员签名确认或抽样单位盖 章确认。</w:t>
            </w:r>
            <w:r/>
          </w:p>
        </w:tc>
      </w:tr>
      <w:tr>
        <w:trPr/>
        <w:tc>
          <w:tcPr>
            <w:tcW w:w="696"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20</w:t>
            </w:r>
            <w:r/>
          </w:p>
        </w:tc>
        <w:tc>
          <w:tcPr>
            <w:tcW w:w="941" w:type="dxa"/>
            <w:vAlign w:val="center"/>
            <w:vMerge w:val="continue"/>
            <w:textDirection w:val="lrTb"/>
            <w:noWrap w:val="false"/>
          </w:tcPr>
          <w:p>
            <w:pPr>
              <w:jc w:val="center"/>
              <w:spacing w:line="500" w:lineRule="exact"/>
              <w:widowControl/>
              <w:rPr>
                <w:rFonts w:ascii="宋体" w:hAnsi="宋体" w:cs="宋体"/>
                <w:color w:val="auto"/>
                <w:highlight w:val="none"/>
                <w:lang w:eastAsia="en-US"/>
              </w:rPr>
            </w:pPr>
            <w:r>
              <w:rPr>
                <w:rFonts w:ascii="宋体" w:hAnsi="宋体" w:cs="宋体"/>
                <w:color w:val="auto"/>
                <w:highlight w:val="none"/>
                <w:lang w:eastAsia="en-US"/>
              </w:rPr>
            </w:r>
            <w:r/>
          </w:p>
        </w:tc>
        <w:tc>
          <w:tcPr>
            <w:tcW w:w="11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特殊情况</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处理</w:t>
            </w:r>
            <w:r/>
          </w:p>
        </w:tc>
        <w:tc>
          <w:tcPr>
            <w:tcW w:w="6477"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(1)对于收到的食品为不同生产批次的，选取其中满足检验及复检要求的某一 批次食品为抽检样品，其余不同批次食品应当单独封样，同复检备份样品一并 管理，并在抽样单备注栏说明。</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(2)若无任何一批次满足检验及复检要求的，抽样单位可向采购人申请调整检 验项目等，经同意后可对某一批次样品进行检验。</w:t>
            </w:r>
            <w:r/>
          </w:p>
        </w:tc>
      </w:tr>
    </w:tbl>
    <w:p>
      <w:pPr>
        <w:ind w:firstLine="480"/>
        <w:spacing w:line="500" w:lineRule="exact"/>
        <w:widowControl/>
        <w:rPr>
          <w:rFonts w:hAnsi="宋体" w:cs="宋体"/>
          <w:color w:val="auto"/>
          <w:sz w:val="24"/>
          <w:szCs w:val="24"/>
          <w:highlight w:val="none"/>
        </w:rPr>
        <w:sectPr>
          <w:footerReference w:type="default" r:id="rId10"/>
          <w:footnotePr/>
          <w:endnotePr/>
          <w:type w:val="nextPage"/>
          <w:pgSz w:w="11820" w:h="16900" w:orient="portrait"/>
          <w:pgMar w:top="1436" w:right="955" w:bottom="1872" w:left="905" w:header="0" w:footer="1737" w:gutter="0"/>
          <w:cols w:num="1" w:sep="0" w:space="720" w:equalWidth="1"/>
          <w:docGrid w:linePitch="360"/>
        </w:sectPr>
      </w:pPr>
      <w:r>
        <w:rPr>
          <w:rFonts w:hAnsi="宋体" w:cs="宋体"/>
          <w:color w:val="auto"/>
          <w:sz w:val="24"/>
          <w:szCs w:val="24"/>
          <w:highlight w:val="none"/>
        </w:rPr>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3.2.2检验环节</w:t>
      </w:r>
      <w:r/>
    </w:p>
    <w:p>
      <w:pPr>
        <w:ind w:left="3238"/>
        <w:jc w:val="left"/>
        <w:spacing w:before="244" w:line="219" w:lineRule="auto"/>
        <w:rPr>
          <w:rFonts w:ascii="宋体" w:hAnsi="宋体" w:cs="宋体"/>
          <w:color w:val="auto"/>
          <w:sz w:val="24"/>
          <w:szCs w:val="24"/>
          <w:highlight w:val="none"/>
        </w:rPr>
      </w:pPr>
      <w:r>
        <w:rPr>
          <w:rFonts w:ascii="宋体" w:hAnsi="宋体" w:cs="宋体"/>
          <w:b/>
          <w:bCs/>
          <w:color w:val="auto"/>
          <w:spacing w:val="-4"/>
          <w:sz w:val="24"/>
          <w:szCs w:val="24"/>
          <w:highlight w:val="none"/>
        </w:rPr>
        <w:t xml:space="preserve">检验环节主要技术内容和标准</w:t>
      </w:r>
      <w:r/>
    </w:p>
    <w:tbl>
      <w:tblPr>
        <w:tblStyle w:val="734"/>
        <w:tblW w:w="93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759"/>
        <w:gridCol w:w="6872"/>
      </w:tblGrid>
      <w:tr>
        <w:trPr/>
        <w:tc>
          <w:tcPr>
            <w:tcW w:w="707" w:type="dxa"/>
            <w:vAlign w:val="center"/>
            <w:textDirection w:val="lrTb"/>
            <w:noWrap w:val="false"/>
          </w:tcPr>
          <w:p>
            <w:pPr>
              <w:jc w:val="center"/>
              <w:spacing w:line="500" w:lineRule="exact"/>
              <w:widowControl/>
              <w:rPr>
                <w:rFonts w:ascii="宋体" w:hAnsi="宋体" w:cs="宋体"/>
                <w:b/>
                <w:bCs/>
                <w:color w:val="auto"/>
                <w:highlight w:val="none"/>
                <w:lang w:eastAsia="en-US"/>
              </w:rPr>
            </w:pPr>
            <w:r>
              <w:rPr>
                <w:rFonts w:hint="eastAsia" w:ascii="宋体" w:hAnsi="宋体" w:cs="宋体"/>
                <w:b/>
                <w:bCs/>
                <w:color w:val="auto"/>
                <w:highlight w:val="none"/>
                <w:lang w:eastAsia="en-US"/>
              </w:rPr>
              <w:t xml:space="preserve">序号</w:t>
            </w:r>
            <w:r/>
          </w:p>
        </w:tc>
        <w:tc>
          <w:tcPr>
            <w:tcW w:w="1759" w:type="dxa"/>
            <w:vAlign w:val="center"/>
            <w:textDirection w:val="lrTb"/>
            <w:noWrap w:val="false"/>
          </w:tcPr>
          <w:p>
            <w:pPr>
              <w:jc w:val="center"/>
              <w:spacing w:line="500" w:lineRule="exact"/>
              <w:widowControl/>
              <w:rPr>
                <w:rFonts w:ascii="宋体" w:hAnsi="宋体" w:cs="宋体"/>
                <w:b/>
                <w:bCs/>
                <w:color w:val="auto"/>
                <w:highlight w:val="none"/>
                <w:lang w:eastAsia="en-US"/>
              </w:rPr>
            </w:pPr>
            <w:r>
              <w:rPr>
                <w:rFonts w:hint="eastAsia" w:ascii="宋体" w:hAnsi="宋体" w:cs="宋体"/>
                <w:b/>
                <w:bCs/>
                <w:color w:val="auto"/>
                <w:highlight w:val="none"/>
                <w:lang w:eastAsia="en-US"/>
              </w:rPr>
              <w:t xml:space="preserve">服务名称</w:t>
            </w:r>
            <w:r/>
          </w:p>
        </w:tc>
        <w:tc>
          <w:tcPr>
            <w:tcW w:w="6872" w:type="dxa"/>
            <w:vAlign w:val="center"/>
            <w:textDirection w:val="lrTb"/>
            <w:noWrap w:val="false"/>
          </w:tcPr>
          <w:p>
            <w:pPr>
              <w:jc w:val="center"/>
              <w:spacing w:line="500" w:lineRule="exact"/>
              <w:widowControl/>
              <w:rPr>
                <w:rFonts w:ascii="宋体" w:hAnsi="宋体" w:cs="宋体"/>
                <w:b/>
                <w:bCs/>
                <w:color w:val="auto"/>
                <w:highlight w:val="none"/>
                <w:lang w:eastAsia="en-US"/>
              </w:rPr>
            </w:pPr>
            <w:r>
              <w:rPr>
                <w:rFonts w:hint="eastAsia" w:ascii="宋体" w:hAnsi="宋体" w:cs="宋体"/>
                <w:b/>
                <w:bCs/>
                <w:color w:val="auto"/>
                <w:highlight w:val="none"/>
                <w:lang w:eastAsia="en-US"/>
              </w:rPr>
              <w:t xml:space="preserve">服务内容和标准</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供应商确定</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(1)采购人根据政府采购、食品安全等法律法规要求确定供应商。</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(2)未经采购人同意，供应商不得分包或者转包检验任务。</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2</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检验人员管理</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(1)食品检验人员数量、专业领域、工作年限等要求与服务需求相匹配。</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(2)建立检验人员持证上岗制度，加强食品安全法律法规、标准规范、质量控制要求、实验室安全与防护知识等方面的培训考核，确保检验人员能力持续满足承检工作需求。</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3</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样品接收与保存</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(1)供应商接收样品时，应当查验、记录样品的外观、状态、封条有无破损以及其他可能对检验结论产生影响的情况，并核对样品与抽样文书信息。样品移交时，规范填写《食品安全抽样检验样品移交确认单》。</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(2)对符合要求的样品，供应商应当在抽样后五个工作日内完成样品接收工作， 将检验样品和复检备份样品分别加贴相应标识后，按照要求入库存放。</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(3)对不符合要求的样品，如抽样文书信息与实际样品不符、样品数量不能满足检验或 复检要求、样品性状改变可能对检验结论产生影响、封条破损、封样缺少防拆封措施等情况，供应商应当拒绝接收并规范填写拒收理由，及时报告采购人。</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(4)抽样检验的样品由供应商保存。供应商应当建立样品保管制度，严禁样品被随意调换、拆封。对于复检备份样品的调取或使用，应当经相关负责人签字确认后方可进行。</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(5)样品储存场所容量、环境、温度控制等与服务需求相匹配。</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4</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检验过程</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(1)监督抽检和评价性抽检应当按照食品安全标准、注册或者备案的特殊食品产品技术要求以及国家有关规定确定的检验项目和检验方法进行。</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(2)风险监测工作中，在没有前款规定的检验方法的情况下，可以采用其他检验方法。</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(3)在不影响样品检验结果的前提下，供应商应当对检验样品采取相应的措施(如分装或者重新包装编号),以保证不会发生人为原因导致不公正的情况。</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(4)供应商应当按照标准或相关规定制备样品，必要时制定作业指导书，认真记录制样过程关键信息。</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(5)供应商应当建立检验结果复验程序(微生物、螨、寄生虫项目除外),在检验结果不合格或存疑等情况时，应当对同批次样品进行再次检验并保存原始记 录，确保数据准确可靠。</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(6)微生物项目不合格的，应当由微生物检验领域关键技术人员(与样品检验人员非同一人)对检验过程中影响结果的关键因素进行复核。</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(7)拟用于开展食品检验工作的实验场所面积、环境、布局和组成部分等与服务需求相匹配。</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(8)检验设备的仪器型号、等级、精密度、运行状况和数量应能满足项目需求</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5</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检验记录</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(1)检验原始记录必须如实填写，保证真实、准确、完整、清晰、可溯源，不得随意更改。</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(2)确有必要更改的，更改处应当经检验人员签字或盖章确认，采用电子化原始记录的，应当保留更改痕迹。</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6</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结果质量控制</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供应商应当选取加标回收、人员比对、设备比对或实验室间比对等质控方式确保数据的准确性。</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7</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检验报告</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(1)供应商应当按规定格式出具检验报告，检验报告应当内容真实完整、数据准确。</w:t>
            </w:r>
            <w:r/>
          </w:p>
          <w:p>
            <w:pPr>
              <w:spacing w:line="500" w:lineRule="exact"/>
              <w:widowControl/>
              <w:rPr>
                <w:rFonts w:ascii="宋体" w:hAnsi="宋体" w:cs="宋体"/>
                <w:color w:val="auto"/>
                <w:highlight w:val="none"/>
              </w:rPr>
            </w:pPr>
            <w:r>
              <w:rPr>
                <w:rFonts w:hint="eastAsia" w:ascii="宋体" w:hAnsi="宋体" w:cs="宋体"/>
                <w:color w:val="auto"/>
                <w:highlight w:val="none"/>
              </w:rPr>
              <w:t xml:space="preserve">(2)供应商应当自收到样品之日起二十个工作日内出具检验报告。采购人与供应商另有约定的，从其约定。</w:t>
            </w:r>
            <w:r/>
          </w:p>
          <w:p>
            <w:pPr>
              <w:spacing w:line="500" w:lineRule="exact"/>
              <w:widowControl/>
              <w:rPr>
                <w:rFonts w:ascii="宋体" w:hAnsi="宋体" w:cs="宋体"/>
                <w:color w:val="auto"/>
                <w:highlight w:val="none"/>
                <w:lang w:eastAsia="en-US"/>
              </w:rPr>
            </w:pPr>
            <w:r>
              <w:rPr>
                <w:rFonts w:hint="eastAsia" w:ascii="宋体" w:hAnsi="宋体" w:cs="宋体"/>
                <w:color w:val="auto"/>
                <w:highlight w:val="none"/>
              </w:rPr>
              <w:t xml:space="preserve">(3)食品安全抽样检验实行供应商与检验人负责制。供应商出具的食品安全检验报告应当加盖机构公章或检验检测专用章，并有检验人的签名或者盖章。</w:t>
            </w:r>
            <w:r>
              <w:rPr>
                <w:rFonts w:hint="eastAsia" w:ascii="宋体" w:hAnsi="宋体" w:cs="宋体"/>
                <w:color w:val="auto"/>
                <w:highlight w:val="none"/>
                <w:lang w:eastAsia="en-US"/>
              </w:rPr>
              <w:t xml:space="preserve">供应商和检验人对出具的检验报告负责。</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8</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检验过程</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特殊情况</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检验过程中遇有样品失效或者其他情况致使检验无法进行的，供应商必须如实记录有关情况，提供充分的证明材料，并将有关情况报告采购人。</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9</w:t>
            </w:r>
            <w:r/>
          </w:p>
        </w:tc>
        <w:tc>
          <w:tcPr>
            <w:tcW w:w="1759" w:type="dxa"/>
            <w:vAlign w:val="center"/>
            <w:textDirection w:val="lrTb"/>
            <w:noWrap w:val="false"/>
          </w:tcPr>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风险信息</w:t>
            </w:r>
            <w:r/>
          </w:p>
          <w:p>
            <w:pPr>
              <w:jc w:val="center"/>
              <w:spacing w:line="500" w:lineRule="exact"/>
              <w:widowControl/>
              <w:rPr>
                <w:rFonts w:ascii="宋体" w:hAnsi="宋体" w:cs="宋体"/>
                <w:color w:val="auto"/>
                <w:highlight w:val="none"/>
                <w:lang w:eastAsia="en-US"/>
              </w:rPr>
            </w:pPr>
            <w:r>
              <w:rPr>
                <w:rFonts w:hint="eastAsia" w:ascii="宋体" w:hAnsi="宋体" w:cs="宋体"/>
                <w:color w:val="auto"/>
                <w:highlight w:val="none"/>
                <w:lang w:eastAsia="en-US"/>
              </w:rPr>
              <w:t xml:space="preserve">限时报送</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10</w:t>
            </w:r>
            <w:r/>
          </w:p>
        </w:tc>
        <w:tc>
          <w:tcPr>
            <w:tcW w:w="1759"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合格样品、未发现问题样品检验报告的报送</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供应商应当在检验结论作出后七个工作日内将检验结论报送采购人。</w:t>
            </w:r>
            <w:r/>
          </w:p>
        </w:tc>
      </w:tr>
      <w:tr>
        <w:trPr/>
        <w:tc>
          <w:tcPr>
            <w:tcW w:w="707"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11</w:t>
            </w:r>
            <w:r/>
          </w:p>
        </w:tc>
        <w:tc>
          <w:tcPr>
            <w:tcW w:w="1759" w:type="dxa"/>
            <w:vAlign w:val="center"/>
            <w:textDirection w:val="lrTb"/>
            <w:noWrap w:val="false"/>
          </w:tcPr>
          <w:p>
            <w:pPr>
              <w:jc w:val="center"/>
              <w:spacing w:line="500" w:lineRule="exact"/>
              <w:widowControl/>
              <w:rPr>
                <w:rFonts w:ascii="宋体" w:hAnsi="宋体" w:cs="宋体"/>
                <w:color w:val="auto"/>
                <w:highlight w:val="none"/>
              </w:rPr>
            </w:pPr>
            <w:r>
              <w:rPr>
                <w:rFonts w:hint="eastAsia" w:ascii="宋体" w:hAnsi="宋体" w:cs="宋体"/>
                <w:color w:val="auto"/>
                <w:highlight w:val="none"/>
              </w:rPr>
              <w:t xml:space="preserve">不合格样品、问题样品检验报告的报送</w:t>
            </w:r>
            <w:r/>
          </w:p>
        </w:tc>
        <w:tc>
          <w:tcPr>
            <w:tcW w:w="6872" w:type="dxa"/>
            <w:textDirection w:val="lrTb"/>
            <w:noWrap w:val="false"/>
          </w:tcPr>
          <w:p>
            <w:pPr>
              <w:spacing w:line="500" w:lineRule="exact"/>
              <w:widowControl/>
              <w:rPr>
                <w:rFonts w:ascii="宋体" w:hAnsi="宋体" w:cs="宋体"/>
                <w:color w:val="auto"/>
                <w:highlight w:val="none"/>
              </w:rPr>
            </w:pPr>
            <w:r>
              <w:rPr>
                <w:rFonts w:hint="eastAsia" w:ascii="宋体" w:hAnsi="宋体" w:cs="宋体"/>
                <w:color w:val="auto"/>
                <w:highlight w:val="none"/>
              </w:rPr>
              <w:t xml:space="preserve">供应商应当在检验结论作出后两个工作日内将检验报告及《食品安全抽样检验告 知书》、《食品安全抽样检验抽样单》、《食品安全抽样检验结果通知书》、《食品安</w:t>
            </w:r>
            <w:r>
              <w:rPr>
                <w:rFonts w:ascii="Calibri" w:hAnsi="Calibri"/>
                <w:color w:val="auto"/>
                <w:spacing w:val="-3"/>
                <w:szCs w:val="24"/>
                <w:highlight w:val="none"/>
              </w:rPr>
              <w:t xml:space="preserve">全风险监测结果通知书》等有关材料报送采购人，并按照相关</w:t>
            </w:r>
            <w:r>
              <w:rPr>
                <w:rFonts w:ascii="Calibri" w:hAnsi="Calibri"/>
                <w:color w:val="auto"/>
                <w:spacing w:val="-4"/>
                <w:szCs w:val="24"/>
                <w:highlight w:val="none"/>
              </w:rPr>
              <w:t xml:space="preserve">规定及时配合通报。</w:t>
            </w:r>
            <w:r/>
          </w:p>
        </w:tc>
      </w:tr>
    </w:tbl>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3.2.3数据汇总、分析报告与复检环节</w:t>
      </w:r>
      <w:r/>
    </w:p>
    <w:p>
      <w:pPr>
        <w:ind w:firstLine="480"/>
        <w:spacing w:line="500" w:lineRule="exact"/>
        <w:widowControl/>
        <w:rPr>
          <w:rFonts w:hAnsi="宋体" w:cs="宋体"/>
          <w:b/>
          <w:bCs/>
          <w:color w:val="auto"/>
          <w:sz w:val="24"/>
          <w:szCs w:val="24"/>
          <w:highlight w:val="none"/>
        </w:rPr>
      </w:pPr>
      <w:r>
        <w:rPr>
          <w:rFonts w:hint="eastAsia" w:hAnsi="宋体" w:cs="宋体"/>
          <w:b/>
          <w:bCs/>
          <w:color w:val="auto"/>
          <w:sz w:val="24"/>
          <w:szCs w:val="24"/>
          <w:highlight w:val="none"/>
        </w:rPr>
        <w:t xml:space="preserve">数据处理上报、分析报告与复检环节主要技术内容和标准</w:t>
      </w:r>
      <w:r/>
    </w:p>
    <w:tbl>
      <w:tblPr>
        <w:tblStyle w:val="1034"/>
        <w:tblW w:w="89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4"/>
        <w:gridCol w:w="778"/>
        <w:gridCol w:w="736"/>
        <w:gridCol w:w="6641"/>
      </w:tblGrid>
      <w:tr>
        <w:trPr>
          <w:trHeight w:val="895"/>
        </w:trPr>
        <w:tc>
          <w:tcPr>
            <w:tcW w:w="784" w:type="dxa"/>
            <w:vAlign w:val="center"/>
            <w:textDirection w:val="lrTb"/>
            <w:noWrap w:val="false"/>
          </w:tcPr>
          <w:p>
            <w:pPr>
              <w:jc w:val="center"/>
              <w:spacing w:before="94" w:line="221" w:lineRule="auto"/>
              <w:rPr>
                <w:rFonts w:ascii="宋体" w:hAnsi="宋体" w:cs="宋体"/>
                <w:color w:val="auto"/>
                <w:highlight w:val="none"/>
                <w:lang w:eastAsia="en-US"/>
              </w:rPr>
            </w:pPr>
            <w:r>
              <w:rPr>
                <w:rFonts w:ascii="宋体" w:hAnsi="宋体" w:cs="宋体"/>
                <w:color w:val="auto"/>
                <w:spacing w:val="6"/>
                <w:highlight w:val="none"/>
                <w:lang w:eastAsia="en-US"/>
              </w:rPr>
              <w:t xml:space="preserve">序号</w:t>
            </w:r>
            <w:r/>
          </w:p>
        </w:tc>
        <w:tc>
          <w:tcPr>
            <w:gridSpan w:val="2"/>
            <w:tcW w:w="1514" w:type="dxa"/>
            <w:vAlign w:val="center"/>
            <w:textDirection w:val="lrTb"/>
            <w:noWrap w:val="false"/>
          </w:tcPr>
          <w:p>
            <w:pPr>
              <w:jc w:val="center"/>
              <w:spacing w:before="90" w:line="219" w:lineRule="auto"/>
              <w:rPr>
                <w:rFonts w:ascii="宋体" w:hAnsi="宋体" w:cs="宋体"/>
                <w:color w:val="auto"/>
                <w:highlight w:val="none"/>
                <w:lang w:eastAsia="en-US"/>
              </w:rPr>
            </w:pPr>
            <w:r>
              <w:rPr>
                <w:rFonts w:ascii="宋体" w:hAnsi="宋体" w:cs="宋体"/>
                <w:b/>
                <w:bCs/>
                <w:color w:val="auto"/>
                <w:spacing w:val="-4"/>
                <w:highlight w:val="none"/>
                <w:lang w:eastAsia="en-US"/>
              </w:rPr>
              <w:t xml:space="preserve">服务名称</w:t>
            </w:r>
            <w:r/>
          </w:p>
        </w:tc>
        <w:tc>
          <w:tcPr>
            <w:tcW w:w="6641" w:type="dxa"/>
            <w:vAlign w:val="center"/>
            <w:textDirection w:val="lrTb"/>
            <w:noWrap w:val="false"/>
          </w:tcPr>
          <w:p>
            <w:pPr>
              <w:jc w:val="center"/>
              <w:spacing w:before="90" w:line="219" w:lineRule="auto"/>
              <w:rPr>
                <w:rFonts w:ascii="宋体" w:hAnsi="宋体" w:cs="宋体"/>
                <w:color w:val="auto"/>
                <w:highlight w:val="none"/>
                <w:lang w:eastAsia="en-US"/>
              </w:rPr>
            </w:pPr>
            <w:r>
              <w:rPr>
                <w:rFonts w:ascii="宋体" w:hAnsi="宋体" w:cs="宋体"/>
                <w:b/>
                <w:bCs/>
                <w:color w:val="auto"/>
                <w:spacing w:val="-4"/>
                <w:highlight w:val="none"/>
                <w:lang w:eastAsia="en-US"/>
              </w:rPr>
              <w:t xml:space="preserve">服务内容和标准</w:t>
            </w:r>
            <w:r/>
          </w:p>
        </w:tc>
      </w:tr>
      <w:tr>
        <w:trPr>
          <w:trHeight w:val="1749"/>
        </w:trPr>
        <w:tc>
          <w:tcPr>
            <w:tcW w:w="784" w:type="dxa"/>
            <w:vAlign w:val="center"/>
            <w:textDirection w:val="lrTb"/>
            <w:noWrap w:val="false"/>
          </w:tcPr>
          <w:p>
            <w:pPr>
              <w:spacing w:before="68" w:line="184" w:lineRule="auto"/>
              <w:rPr>
                <w:rFonts w:ascii="宋体" w:hAnsi="宋体" w:cs="宋体"/>
                <w:color w:val="auto"/>
                <w:highlight w:val="none"/>
                <w:lang w:eastAsia="en-US"/>
              </w:rPr>
            </w:pPr>
            <w:r>
              <w:rPr>
                <w:rFonts w:ascii="宋体" w:hAnsi="宋体" w:cs="宋体"/>
                <w:color w:val="auto"/>
                <w:highlight w:val="none"/>
                <w:lang w:eastAsia="en-US"/>
              </w:rPr>
              <w:t xml:space="preserve">1</w:t>
            </w:r>
            <w:r/>
          </w:p>
        </w:tc>
        <w:tc>
          <w:tcPr>
            <w:gridSpan w:val="2"/>
            <w:tcW w:w="1514" w:type="dxa"/>
            <w:vAlign w:val="center"/>
            <w:textDirection w:val="lrTb"/>
            <w:noWrap w:val="false"/>
          </w:tcPr>
          <w:p>
            <w:pPr>
              <w:spacing w:before="68" w:line="219" w:lineRule="auto"/>
              <w:rPr>
                <w:rFonts w:ascii="宋体" w:hAnsi="宋体" w:cs="宋体"/>
                <w:color w:val="auto"/>
                <w:highlight w:val="none"/>
                <w:lang w:eastAsia="en-US"/>
              </w:rPr>
            </w:pPr>
            <w:r>
              <w:rPr>
                <w:rFonts w:ascii="宋体" w:hAnsi="宋体" w:cs="宋体"/>
                <w:color w:val="auto"/>
                <w:spacing w:val="4"/>
                <w:highlight w:val="none"/>
                <w:lang w:eastAsia="en-US"/>
              </w:rPr>
              <w:t xml:space="preserve">数据汇总</w:t>
            </w:r>
            <w:r/>
          </w:p>
        </w:tc>
        <w:tc>
          <w:tcPr>
            <w:tcW w:w="6641" w:type="dxa"/>
            <w:vAlign w:val="center"/>
            <w:textDirection w:val="lrTb"/>
            <w:noWrap w:val="false"/>
          </w:tcPr>
          <w:p>
            <w:pPr>
              <w:spacing w:line="500" w:lineRule="exact"/>
              <w:widowControl/>
              <w:rPr>
                <w:rFonts w:ascii="Calibri" w:hAnsi="Calibri"/>
                <w:color w:val="auto"/>
                <w:spacing w:val="-3"/>
                <w:szCs w:val="24"/>
                <w:highlight w:val="none"/>
              </w:rPr>
            </w:pPr>
            <w:r>
              <w:rPr>
                <w:rFonts w:ascii="Calibri" w:hAnsi="Calibri"/>
                <w:color w:val="auto"/>
                <w:spacing w:val="-3"/>
                <w:szCs w:val="24"/>
                <w:highlight w:val="none"/>
              </w:rPr>
              <w:t xml:space="preserve">数据统计分析、结果信息报送人员数量、能力等要求与服务需求相匹配。 根据采购人要求按时完成抽检数据的统计汇总和及时上报，并对数据质量负 责。</w:t>
            </w:r>
            <w:r/>
          </w:p>
        </w:tc>
      </w:tr>
      <w:tr>
        <w:trPr>
          <w:trHeight w:val="2700"/>
        </w:trPr>
        <w:tc>
          <w:tcPr>
            <w:tcW w:w="784" w:type="dxa"/>
            <w:vAlign w:val="center"/>
            <w:textDirection w:val="lrTb"/>
            <w:noWrap w:val="false"/>
          </w:tcPr>
          <w:p>
            <w:pPr>
              <w:spacing w:before="68" w:line="183" w:lineRule="auto"/>
              <w:rPr>
                <w:rFonts w:ascii="宋体" w:hAnsi="宋体" w:cs="宋体"/>
                <w:color w:val="auto"/>
                <w:highlight w:val="none"/>
                <w:lang w:eastAsia="en-US"/>
              </w:rPr>
            </w:pPr>
            <w:r>
              <w:rPr>
                <w:rFonts w:ascii="宋体" w:hAnsi="宋体" w:cs="宋体"/>
                <w:color w:val="auto"/>
                <w:highlight w:val="none"/>
                <w:lang w:eastAsia="en-US"/>
              </w:rPr>
              <w:t xml:space="preserve">2</w:t>
            </w:r>
            <w:r/>
          </w:p>
        </w:tc>
        <w:tc>
          <w:tcPr>
            <w:gridSpan w:val="2"/>
            <w:tcW w:w="1514" w:type="dxa"/>
            <w:vAlign w:val="center"/>
            <w:textDirection w:val="lrTb"/>
            <w:noWrap w:val="false"/>
          </w:tcPr>
          <w:p>
            <w:pPr>
              <w:spacing w:before="69" w:line="218" w:lineRule="auto"/>
              <w:rPr>
                <w:rFonts w:ascii="宋体" w:hAnsi="宋体" w:cs="宋体"/>
                <w:color w:val="auto"/>
                <w:highlight w:val="none"/>
                <w:lang w:eastAsia="en-US"/>
              </w:rPr>
            </w:pPr>
            <w:r>
              <w:rPr>
                <w:rFonts w:ascii="宋体" w:hAnsi="宋体" w:cs="宋体"/>
                <w:color w:val="auto"/>
                <w:spacing w:val="3"/>
                <w:highlight w:val="none"/>
                <w:lang w:eastAsia="en-US"/>
              </w:rPr>
              <w:t xml:space="preserve">分析报告</w:t>
            </w:r>
            <w:r/>
          </w:p>
        </w:tc>
        <w:tc>
          <w:tcPr>
            <w:tcW w:w="6641" w:type="dxa"/>
            <w:vAlign w:val="center"/>
            <w:textDirection w:val="lrTb"/>
            <w:noWrap w:val="false"/>
          </w:tcPr>
          <w:p>
            <w:pPr>
              <w:spacing w:line="500" w:lineRule="exact"/>
              <w:widowControl/>
              <w:rPr>
                <w:rFonts w:ascii="Calibri" w:hAnsi="Calibri"/>
                <w:color w:val="auto"/>
                <w:spacing w:val="-3"/>
                <w:szCs w:val="24"/>
                <w:highlight w:val="none"/>
              </w:rPr>
            </w:pPr>
            <w:r>
              <w:rPr>
                <w:rFonts w:ascii="Calibri" w:hAnsi="Calibri"/>
                <w:color w:val="auto"/>
                <w:spacing w:val="-3"/>
                <w:szCs w:val="24"/>
                <w:highlight w:val="none"/>
              </w:rPr>
              <w:t xml:space="preserve">(1)在检验工作完成后按采购人要求提供分析报告，包含但不限于任务抽 检情况、结果分析、风险警示、工作建议等方面内容。</w:t>
            </w:r>
            <w:r/>
          </w:p>
          <w:p>
            <w:pPr>
              <w:spacing w:line="500" w:lineRule="exact"/>
              <w:widowControl/>
              <w:rPr>
                <w:rFonts w:ascii="Calibri" w:hAnsi="Calibri"/>
                <w:color w:val="auto"/>
                <w:spacing w:val="-3"/>
                <w:szCs w:val="24"/>
                <w:highlight w:val="none"/>
              </w:rPr>
            </w:pPr>
            <w:r>
              <w:rPr>
                <w:rFonts w:ascii="Calibri" w:hAnsi="Calibri"/>
                <w:color w:val="auto"/>
                <w:spacing w:val="-3"/>
                <w:szCs w:val="24"/>
                <w:highlight w:val="none"/>
              </w:rPr>
              <w:t xml:space="preserve">(2)分析报告应当全面、详实、有针对性，风险提示清晰明确、建议切实 可行。</w:t>
            </w:r>
            <w:r/>
          </w:p>
        </w:tc>
      </w:tr>
      <w:tr>
        <w:trPr>
          <w:trHeight w:val="3405"/>
        </w:trPr>
        <w:tc>
          <w:tcPr>
            <w:tcW w:w="784" w:type="dxa"/>
            <w:vAlign w:val="center"/>
            <w:textDirection w:val="lrTb"/>
            <w:noWrap w:val="false"/>
          </w:tcPr>
          <w:p>
            <w:pPr>
              <w:jc w:val="center"/>
              <w:spacing w:before="68" w:line="183" w:lineRule="auto"/>
              <w:rPr>
                <w:rFonts w:ascii="宋体" w:hAnsi="宋体" w:cs="宋体"/>
                <w:color w:val="auto"/>
                <w:highlight w:val="none"/>
                <w:lang w:eastAsia="en-US"/>
              </w:rPr>
            </w:pPr>
            <w:r>
              <w:rPr>
                <w:rFonts w:ascii="宋体" w:hAnsi="宋体" w:cs="宋体"/>
                <w:color w:val="auto"/>
                <w:highlight w:val="none"/>
                <w:lang w:eastAsia="en-US"/>
              </w:rPr>
              <w:t xml:space="preserve">3</w:t>
            </w:r>
            <w:r/>
          </w:p>
        </w:tc>
        <w:tc>
          <w:tcPr>
            <w:tcBorders>
              <w:bottom w:val="none" w:color="000000" w:sz="4" w:space="0"/>
            </w:tcBorders>
            <w:tcW w:w="778" w:type="dxa"/>
            <w:vAlign w:val="center"/>
            <w:vMerge w:val="restart"/>
            <w:textDirection w:val="lrTb"/>
            <w:noWrap w:val="false"/>
          </w:tcPr>
          <w:p>
            <w:pPr>
              <w:spacing w:line="259"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spacing w:line="259"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spacing w:line="259"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spacing w:line="260"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spacing w:line="260"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ind w:left="121" w:right="128"/>
              <w:spacing w:before="68" w:line="257" w:lineRule="auto"/>
              <w:rPr>
                <w:rFonts w:ascii="宋体" w:hAnsi="宋体" w:cs="宋体"/>
                <w:color w:val="auto"/>
                <w:highlight w:val="none"/>
                <w:lang w:eastAsia="en-US"/>
              </w:rPr>
            </w:pPr>
            <w:r>
              <w:rPr>
                <w:rFonts w:ascii="宋体" w:hAnsi="宋体" w:cs="宋体"/>
                <w:color w:val="auto"/>
                <w:spacing w:val="4"/>
                <w:highlight w:val="none"/>
                <w:lang w:eastAsia="en-US"/>
              </w:rPr>
              <w:t xml:space="preserve">复检</w:t>
            </w:r>
            <w:r>
              <w:rPr>
                <w:rFonts w:ascii="宋体" w:hAnsi="宋体" w:cs="宋体"/>
                <w:color w:val="auto"/>
                <w:highlight w:val="none"/>
                <w:lang w:eastAsia="en-US"/>
              </w:rPr>
              <w:t xml:space="preserve"> </w:t>
            </w:r>
            <w:r>
              <w:rPr>
                <w:rFonts w:ascii="宋体" w:hAnsi="宋体" w:cs="宋体"/>
                <w:color w:val="auto"/>
                <w:spacing w:val="-4"/>
                <w:highlight w:val="none"/>
                <w:lang w:eastAsia="en-US"/>
              </w:rPr>
              <w:t xml:space="preserve">处理</w:t>
            </w:r>
            <w:r/>
          </w:p>
        </w:tc>
        <w:tc>
          <w:tcPr>
            <w:tcW w:w="736" w:type="dxa"/>
            <w:vAlign w:val="center"/>
            <w:textDirection w:val="lrTb"/>
            <w:noWrap w:val="false"/>
          </w:tcPr>
          <w:p>
            <w:pPr>
              <w:spacing w:line="250"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spacing w:line="250"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spacing w:line="251"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ind w:left="111" w:right="107"/>
              <w:spacing w:before="68" w:line="250" w:lineRule="auto"/>
              <w:rPr>
                <w:rFonts w:ascii="宋体" w:hAnsi="宋体" w:cs="宋体"/>
                <w:color w:val="auto"/>
                <w:highlight w:val="none"/>
                <w:lang w:eastAsia="en-US"/>
              </w:rPr>
            </w:pPr>
            <w:r>
              <w:rPr>
                <w:rFonts w:ascii="宋体" w:hAnsi="宋体" w:cs="宋体"/>
                <w:color w:val="auto"/>
                <w:spacing w:val="2"/>
                <w:highlight w:val="none"/>
                <w:lang w:eastAsia="en-US"/>
              </w:rPr>
              <w:t xml:space="preserve">复检备份</w:t>
            </w:r>
            <w:r>
              <w:rPr>
                <w:rFonts w:ascii="宋体" w:hAnsi="宋体" w:cs="宋体"/>
                <w:color w:val="auto"/>
                <w:spacing w:val="-2"/>
                <w:highlight w:val="none"/>
                <w:lang w:eastAsia="en-US"/>
              </w:rPr>
              <w:t xml:space="preserve">样品移交</w:t>
            </w:r>
            <w:r/>
          </w:p>
        </w:tc>
        <w:tc>
          <w:tcPr>
            <w:tcW w:w="6641" w:type="dxa"/>
            <w:vAlign w:val="center"/>
            <w:textDirection w:val="lrTb"/>
            <w:noWrap w:val="false"/>
          </w:tcPr>
          <w:p>
            <w:pPr>
              <w:spacing w:line="500" w:lineRule="exact"/>
              <w:widowControl/>
              <w:rPr>
                <w:rFonts w:ascii="Calibri" w:hAnsi="Calibri"/>
                <w:color w:val="auto"/>
                <w:spacing w:val="-3"/>
                <w:szCs w:val="24"/>
                <w:highlight w:val="none"/>
              </w:rPr>
            </w:pPr>
            <w:r>
              <w:rPr>
                <w:rFonts w:ascii="Calibri" w:hAnsi="Calibri"/>
                <w:color w:val="auto"/>
                <w:spacing w:val="-3"/>
                <w:szCs w:val="24"/>
                <w:highlight w:val="none"/>
              </w:rPr>
              <w:t xml:space="preserve">(1)初检机构应当自复检机构确定之日起三个工作日内，将备份样品移交  至复检机构并填写《复检备份样品确认单》。因客观原因不能按时移交的， 经受理复检的市场监管部门同意，可以延长三个工作日。</w:t>
            </w:r>
            <w:r/>
          </w:p>
          <w:p>
            <w:pPr>
              <w:spacing w:line="500" w:lineRule="exact"/>
              <w:widowControl/>
              <w:rPr>
                <w:rFonts w:ascii="Calibri" w:hAnsi="Calibri"/>
                <w:color w:val="auto"/>
                <w:spacing w:val="-3"/>
                <w:szCs w:val="24"/>
                <w:highlight w:val="none"/>
              </w:rPr>
            </w:pPr>
            <w:r>
              <w:rPr>
                <w:rFonts w:ascii="Calibri" w:hAnsi="Calibri"/>
                <w:color w:val="auto"/>
                <w:spacing w:val="-3"/>
                <w:szCs w:val="24"/>
                <w:highlight w:val="none"/>
              </w:rPr>
              <w:t xml:space="preserve">(2)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tc>
      </w:tr>
      <w:tr>
        <w:trPr>
          <w:trHeight w:val="1329"/>
        </w:trPr>
        <w:tc>
          <w:tcPr>
            <w:tcW w:w="784" w:type="dxa"/>
            <w:vAlign w:val="center"/>
            <w:textDirection w:val="lrTb"/>
            <w:noWrap w:val="false"/>
          </w:tcPr>
          <w:p>
            <w:pPr>
              <w:jc w:val="center"/>
              <w:spacing w:line="500" w:lineRule="exact"/>
              <w:widowControl/>
              <w:rPr>
                <w:rFonts w:ascii="Calibri" w:hAnsi="Calibri"/>
                <w:color w:val="auto"/>
                <w:spacing w:val="-3"/>
                <w:szCs w:val="24"/>
                <w:highlight w:val="none"/>
                <w:lang w:eastAsia="en-US"/>
              </w:rPr>
            </w:pPr>
            <w:r>
              <w:rPr>
                <w:rFonts w:ascii="Calibri" w:hAnsi="Calibri"/>
                <w:color w:val="auto"/>
                <w:spacing w:val="-3"/>
                <w:szCs w:val="24"/>
                <w:highlight w:val="none"/>
                <w:lang w:eastAsia="en-US"/>
              </w:rPr>
              <w:t xml:space="preserve">4</w:t>
            </w:r>
            <w:r/>
          </w:p>
        </w:tc>
        <w:tc>
          <w:tcPr>
            <w:tcBorders>
              <w:top w:val="none" w:color="000000" w:sz="4" w:space="0"/>
            </w:tcBorders>
            <w:tcW w:w="778" w:type="dxa"/>
            <w:vAlign w:val="center"/>
            <w:vMerge w:val="continue"/>
            <w:textDirection w:val="lrTb"/>
            <w:noWrap w:val="false"/>
          </w:tcPr>
          <w:p>
            <w:pPr>
              <w:spacing w:line="500" w:lineRule="exact"/>
              <w:widowControl/>
              <w:rPr>
                <w:rFonts w:ascii="Calibri" w:hAnsi="Calibri"/>
                <w:color w:val="auto"/>
                <w:spacing w:val="-3"/>
                <w:szCs w:val="24"/>
                <w:highlight w:val="none"/>
                <w:lang w:eastAsia="en-US"/>
              </w:rPr>
            </w:pPr>
            <w:r>
              <w:rPr>
                <w:rFonts w:ascii="Calibri" w:hAnsi="Calibri"/>
                <w:color w:val="auto"/>
                <w:spacing w:val="-3"/>
                <w:szCs w:val="24"/>
                <w:highlight w:val="none"/>
                <w:lang w:eastAsia="en-US"/>
              </w:rPr>
            </w:r>
            <w:r/>
          </w:p>
        </w:tc>
        <w:tc>
          <w:tcPr>
            <w:tcW w:w="736" w:type="dxa"/>
            <w:vAlign w:val="center"/>
            <w:textDirection w:val="lrTb"/>
            <w:noWrap w:val="false"/>
          </w:tcPr>
          <w:p>
            <w:pPr>
              <w:spacing w:line="500" w:lineRule="exact"/>
              <w:widowControl/>
              <w:rPr>
                <w:rFonts w:ascii="Calibri" w:hAnsi="Calibri"/>
                <w:color w:val="auto"/>
                <w:spacing w:val="-3"/>
                <w:szCs w:val="24"/>
                <w:highlight w:val="none"/>
                <w:lang w:eastAsia="en-US"/>
              </w:rPr>
            </w:pPr>
            <w:r>
              <w:rPr>
                <w:rFonts w:hint="eastAsia" w:ascii="Calibri" w:hAnsi="Calibri"/>
                <w:color w:val="auto"/>
                <w:spacing w:val="-3"/>
                <w:szCs w:val="24"/>
                <w:highlight w:val="none"/>
                <w:lang w:eastAsia="en-US"/>
              </w:rPr>
              <w:t xml:space="preserve">复检</w:t>
            </w:r>
            <w:r/>
          </w:p>
          <w:p>
            <w:pPr>
              <w:spacing w:line="500" w:lineRule="exact"/>
              <w:widowControl/>
              <w:rPr>
                <w:rFonts w:ascii="Calibri" w:hAnsi="Calibri"/>
                <w:color w:val="auto"/>
                <w:spacing w:val="-3"/>
                <w:szCs w:val="24"/>
                <w:highlight w:val="none"/>
                <w:lang w:eastAsia="en-US"/>
              </w:rPr>
            </w:pPr>
            <w:r>
              <w:rPr>
                <w:rFonts w:hint="eastAsia" w:ascii="Calibri" w:hAnsi="Calibri"/>
                <w:color w:val="auto"/>
                <w:spacing w:val="-3"/>
                <w:szCs w:val="24"/>
                <w:highlight w:val="none"/>
                <w:lang w:eastAsia="en-US"/>
              </w:rPr>
              <w:t xml:space="preserve">实施</w:t>
            </w:r>
            <w:r/>
          </w:p>
        </w:tc>
        <w:tc>
          <w:tcPr>
            <w:tcW w:w="6641" w:type="dxa"/>
            <w:vAlign w:val="center"/>
            <w:textDirection w:val="lrTb"/>
            <w:noWrap w:val="false"/>
          </w:tcPr>
          <w:p>
            <w:pPr>
              <w:spacing w:line="500" w:lineRule="exact"/>
              <w:widowControl/>
              <w:rPr>
                <w:rFonts w:ascii="Calibri" w:hAnsi="Calibri"/>
                <w:color w:val="auto"/>
                <w:spacing w:val="-3"/>
                <w:szCs w:val="24"/>
                <w:highlight w:val="none"/>
              </w:rPr>
            </w:pPr>
            <w:r>
              <w:rPr>
                <w:rFonts w:ascii="Calibri" w:hAnsi="Calibri"/>
                <w:color w:val="auto"/>
                <w:spacing w:val="-3"/>
                <w:szCs w:val="24"/>
                <w:highlight w:val="none"/>
              </w:rPr>
              <w:t xml:space="preserve">初检机构可以派员观察复检实施过程，复检机构应当予以配合。初检机构派  出观察复检过程的人员，应当遵守复检机构的相关规定，不得干扰复检工作。</w:t>
            </w:r>
            <w:r/>
          </w:p>
        </w:tc>
      </w:tr>
    </w:tbl>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3.2.4其他服务要求</w:t>
      </w:r>
      <w:r/>
    </w:p>
    <w:p>
      <w:pPr>
        <w:ind w:firstLine="480"/>
        <w:spacing w:line="500" w:lineRule="exact"/>
        <w:widowControl/>
        <w:rPr>
          <w:rFonts w:hint="eastAsia" w:hAnsi="宋体" w:cs="宋体"/>
          <w:color w:val="auto"/>
          <w:sz w:val="24"/>
          <w:szCs w:val="24"/>
          <w:highlight w:val="none"/>
          <w:lang w:val="en-US" w:eastAsia="zh-CN"/>
        </w:rPr>
      </w:pPr>
      <w:r>
        <w:rPr>
          <w:rFonts w:hint="eastAsia" w:hAnsi="宋体" w:cs="宋体"/>
          <w:color w:val="auto"/>
          <w:sz w:val="24"/>
          <w:szCs w:val="24"/>
          <w:highlight w:val="none"/>
        </w:rPr>
        <w:t xml:space="preserve">3.2.4.1</w:t>
      </w:r>
      <w:r>
        <w:rPr>
          <w:rFonts w:hint="eastAsia" w:hAnsi="宋体" w:cs="宋体"/>
          <w:color w:val="auto"/>
          <w:sz w:val="24"/>
          <w:szCs w:val="24"/>
          <w:highlight w:val="none"/>
          <w:lang w:val="en-US" w:eastAsia="zh-CN"/>
        </w:rPr>
        <w:t xml:space="preserve">检验检测的能力</w:t>
      </w:r>
      <w:r>
        <w:rPr>
          <w:rFonts w:hint="eastAsia" w:hAnsi="宋体" w:cs="宋体"/>
          <w:color w:val="auto"/>
          <w:sz w:val="24"/>
          <w:szCs w:val="24"/>
          <w:highlight w:val="none"/>
        </w:rPr>
        <w:t xml:space="preserve">覆盖</w:t>
      </w:r>
      <w:r>
        <w:rPr>
          <w:rFonts w:hint="eastAsia" w:hAnsi="宋体" w:cs="宋体"/>
          <w:color w:val="auto"/>
          <w:sz w:val="24"/>
          <w:szCs w:val="24"/>
          <w:highlight w:val="none"/>
          <w:lang w:val="en-US" w:eastAsia="zh-CN"/>
        </w:rPr>
        <w:t xml:space="preserve">要求</w:t>
      </w:r>
      <w:r>
        <w:rPr>
          <w:rFonts w:hint="eastAsia" w:hAnsi="宋体" w:cs="宋体"/>
          <w:color w:val="auto"/>
          <w:sz w:val="24"/>
          <w:szCs w:val="24"/>
          <w:highlight w:val="none"/>
        </w:rPr>
        <w:t xml:space="preserve">：</w:t>
      </w:r>
      <w:r>
        <w:rPr>
          <w:rFonts w:hint="eastAsia" w:hAnsi="宋体" w:cs="宋体"/>
          <w:color w:val="auto"/>
          <w:sz w:val="24"/>
          <w:szCs w:val="24"/>
          <w:highlight w:val="none"/>
          <w:lang w:val="en-US" w:eastAsia="zh-CN"/>
        </w:rPr>
        <w:t xml:space="preserve">投标人CMA检验机构资质认定证书附表中“检验检测的能力范围表”中应包含以下下表中所列内容：</w:t>
      </w:r>
      <w:r/>
    </w:p>
    <w:tbl>
      <w:tblPr>
        <w:tblStyle w:val="717"/>
        <w:tblW w:w="89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5"/>
        <w:gridCol w:w="4462"/>
        <w:gridCol w:w="3563"/>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t xml:space="preserve">检验标准（方法）名称</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default" w:ascii="宋体" w:hAnsi="宋体" w:eastAsia="宋体" w:cs="宋体"/>
                <w:i w:val="0"/>
                <w:iCs w:val="0"/>
                <w:color w:val="auto"/>
                <w:sz w:val="22"/>
                <w:szCs w:val="22"/>
                <w:highlight w:val="none"/>
                <w:u w:val="none"/>
                <w:lang w:val="en-US" w:eastAsia="zh-CN" w:bidi="ar"/>
              </w:rPr>
              <w:t xml:space="preserve">检验标准（方法）编</w:t>
            </w:r>
            <w:r>
              <w:rPr>
                <w:rFonts w:hint="eastAsia" w:ascii="宋体" w:hAnsi="宋体" w:eastAsia="宋体" w:cs="宋体"/>
                <w:i w:val="0"/>
                <w:iCs w:val="0"/>
                <w:color w:val="auto"/>
                <w:sz w:val="22"/>
                <w:szCs w:val="22"/>
                <w:highlight w:val="none"/>
                <w:u w:val="none"/>
                <w:lang w:val="en-US" w:eastAsia="zh-CN" w:bidi="ar"/>
              </w:rPr>
              <w:t xml:space="preserve">号</w:t>
            </w:r>
            <w:r>
              <w:rPr>
                <w:rFonts w:hint="default" w:ascii="宋体" w:hAnsi="宋体" w:eastAsia="宋体" w:cs="宋体"/>
                <w:i w:val="0"/>
                <w:iCs w:val="0"/>
                <w:color w:val="auto"/>
                <w:sz w:val="22"/>
                <w:szCs w:val="22"/>
                <w:highlight w:val="none"/>
                <w:u w:val="none"/>
                <w:lang w:val="en-US" w:eastAsia="zh-CN" w:bidi="ar"/>
              </w:rPr>
              <w:t xml:space="preserve">（含年</w:t>
            </w:r>
            <w:r>
              <w:rPr>
                <w:rFonts w:hint="eastAsia" w:ascii="宋体" w:hAnsi="宋体" w:eastAsia="宋体" w:cs="宋体"/>
                <w:i w:val="0"/>
                <w:iCs w:val="0"/>
                <w:color w:val="auto"/>
                <w:sz w:val="22"/>
                <w:szCs w:val="22"/>
                <w:highlight w:val="none"/>
                <w:u w:val="none"/>
                <w:lang w:val="en-US" w:eastAsia="zh-CN" w:bidi="ar"/>
              </w:rPr>
              <w:t xml:space="preserve">份</w:t>
            </w:r>
            <w:r>
              <w:rPr>
                <w:rFonts w:hint="default" w:ascii="宋体" w:hAnsi="宋体" w:eastAsia="宋体" w:cs="宋体"/>
                <w:i w:val="0"/>
                <w:iCs w:val="0"/>
                <w:color w:val="auto"/>
                <w:sz w:val="22"/>
                <w:szCs w:val="22"/>
                <w:highlight w:val="none"/>
                <w:u w:val="none"/>
                <w:lang w:val="en-US" w:eastAsia="zh-CN" w:bidi="ar"/>
              </w:rPr>
              <w:t xml:space="preserve">）</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食品微生物学检验 沙门氏菌检验</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4789.4-2024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食品中总砷及无机砷的测定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5009.11-2024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食盐指标的测定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5009.42-2025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食品中酸价的测定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5009.229-2025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食品中蛋白质的测定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5009.5-2025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食品中脲酶的测定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5009.183-2025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食品中甲醛的测定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5009.307-2025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食品中多元素的测定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5009.268-2025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食品中对羟基苯甲酸酯类的测定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5009.31-2025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食品中丙酸钠、丙酸钙的测定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5009.120-2025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食品微生物学检验 大肠菌群计数</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4789.3-2025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食品微生物学检验 单核细胞增生李斯特氏菌检验</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4789.30-2025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食品微生物学检验 大肠埃希氏菌计数</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4789.38-2025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食品安全国家标准　食品中左旋肉碱的测定</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5009.300-2025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赤砂糖中蔗糖分试验方法</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QB/T 8040-2024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赤砂糖中还原糖分试验方法</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QB/T 8040-2024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赤砂糖中不溶于水杂质试验方法</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QB/T 8040-2024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赤砂糖中干燥失重试验方法</w:t>
            </w:r>
            <w:r/>
          </w:p>
        </w:tc>
        <w:tc>
          <w:tcPr>
            <w:shd w:val="clear" w:color="auto" w:fill="auto"/>
            <w:tcBorders>
              <w:top w:val="single" w:color="000000" w:sz="4" w:space="0"/>
              <w:left w:val="single" w:color="000000" w:sz="4" w:space="0"/>
              <w:bottom w:val="single" w:color="000000" w:sz="4" w:space="0"/>
              <w:right w:val="single" w:color="000000" w:sz="4" w:space="0"/>
            </w:tcBorders>
            <w:tcW w:w="3563" w:type="dxa"/>
            <w:vAlign w:val="center"/>
            <w:textDirection w:val="lrTb"/>
            <w:noWrap w:val="false"/>
          </w:tcPr>
          <w:p>
            <w:pPr>
              <w:jc w:val="center"/>
              <w:keepLines w:val="0"/>
              <w:keepNext w:val="0"/>
              <w:widowControl/>
              <w:rPr>
                <w:rFonts w:hint="default" w:ascii="方正仿宋简体" w:hAnsi="方正仿宋简体" w:eastAsia="方正仿宋简体" w:cs="方正仿宋简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QB/T 8040-2024</w:t>
            </w:r>
            <w:r/>
          </w:p>
        </w:tc>
      </w:tr>
    </w:tbl>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投标人</w:t>
      </w:r>
      <w:r>
        <w:rPr>
          <w:rFonts w:hint="eastAsia" w:hAnsi="宋体" w:cs="宋体"/>
          <w:color w:val="auto"/>
          <w:sz w:val="24"/>
          <w:szCs w:val="24"/>
          <w:highlight w:val="none"/>
          <w:lang w:val="en-US" w:eastAsia="zh-CN"/>
        </w:rPr>
        <w:t xml:space="preserve">应在投标文件中以表格形式逐项列出单位CMA资质证书附表中与上述各项对应情况，</w:t>
      </w:r>
      <w:r>
        <w:rPr>
          <w:rFonts w:hint="eastAsia" w:hAnsi="宋体" w:cs="宋体"/>
          <w:color w:val="auto"/>
          <w:sz w:val="24"/>
          <w:szCs w:val="24"/>
          <w:highlight w:val="none"/>
        </w:rPr>
        <w:t xml:space="preserve">标明对应资质附件表中的页码</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并在投标文件中附</w:t>
      </w:r>
      <w:r>
        <w:rPr>
          <w:rFonts w:hint="eastAsia" w:hAnsi="宋体" w:cs="宋体"/>
          <w:color w:val="auto"/>
          <w:sz w:val="24"/>
          <w:szCs w:val="24"/>
          <w:highlight w:val="none"/>
        </w:rPr>
        <w:t xml:space="preserve">资质证书原件扫描件、实验室项目资质表</w:t>
      </w:r>
      <w:r>
        <w:rPr>
          <w:rFonts w:hint="eastAsia" w:hAnsi="宋体" w:cs="宋体"/>
          <w:color w:val="auto"/>
          <w:sz w:val="24"/>
          <w:szCs w:val="24"/>
          <w:highlight w:val="none"/>
          <w:lang w:val="en-US" w:eastAsia="zh-CN"/>
        </w:rPr>
        <w:t xml:space="preserve">与上述检测项目相对应检测项目页的原件扫描件</w:t>
      </w:r>
      <w:r>
        <w:rPr>
          <w:rFonts w:hint="eastAsia" w:hAnsi="宋体" w:cs="宋体"/>
          <w:color w:val="auto"/>
          <w:sz w:val="24"/>
          <w:szCs w:val="24"/>
          <w:highlight w:val="none"/>
        </w:rPr>
        <w:t xml:space="preserve">。中标供应商在中标公示发布之日起五日内需提供检测资质及资质附表原件供采购人核查，如与投标文件所提供的不一致，视为提供虚假材料谋取中标，取消中标资格，并追究其相关责任。</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3.2.4.2供应商应具有食品安全监督抽检和风险监测工作相适应的实验场所，检测实验室场所能够按照检验参数类别、产品类别和功能类别进行功能区划分，各功能区设备应合理布局，在投标时应提供实验室功能区平面图、设备布局图，并对各功能区划分及设备布局进行说明，</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3.2.4.3供应商自有与食品安全监督抽检和风险监测工作相适应的在计量检定/校准有效期内的检验检测仪器设备，用于食品检验的设备主要包括：</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（1）液相色谱串联质谱联用仪；</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（2）气相色谱质谱联用仪；</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（3）电感耦合等离子体质谱仪；</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（4）离子色谱仪；</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（5）高效液相色谱仪；</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（6）气相色谱仪；</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（7）原子吸收光谱仪；</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（8）原子荧光光谱仪；</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（9）PCR检测仪；</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3.2.4.4人员团队配置：因食品安全检测项目种类繁多，检测专业性较高，鉴于项目实施的特殊性，为保证服务质量及服务效率，投标供应商应为本项目配备足够数量的相关专业技术人员，相关人员应专职设置，不得兼任，具体要求如下：</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（1）投标单位须为本项目配备专职项目负责人1名，须有丰富的食品检测工作经验及与食品检测工作相适应的技术职称。</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（2）投标单位需为本项目配备</w:t>
      </w:r>
      <w:r>
        <w:rPr>
          <w:rFonts w:hint="eastAsia" w:hAnsi="宋体" w:cs="宋体"/>
          <w:color w:val="auto"/>
          <w:sz w:val="24"/>
          <w:szCs w:val="24"/>
          <w:highlight w:val="none"/>
          <w:lang w:val="zh-CN"/>
        </w:rPr>
        <w:t xml:space="preserve">专职采样人员</w:t>
      </w:r>
      <w:r>
        <w:rPr>
          <w:rFonts w:hint="eastAsia" w:hAnsi="宋体" w:cs="宋体"/>
          <w:color w:val="auto"/>
          <w:sz w:val="24"/>
          <w:szCs w:val="24"/>
          <w:highlight w:val="none"/>
        </w:rPr>
        <w:t xml:space="preserve">服务团队，专职</w:t>
      </w:r>
      <w:r>
        <w:rPr>
          <w:rFonts w:hint="eastAsia" w:hAnsi="宋体" w:cs="宋体"/>
          <w:color w:val="auto"/>
          <w:sz w:val="24"/>
          <w:szCs w:val="24"/>
          <w:highlight w:val="none"/>
          <w:lang w:val="zh-CN"/>
        </w:rPr>
        <w:t xml:space="preserve">采样人员应当具备与食品安全抽样相适应的专业</w:t>
      </w:r>
      <w:r>
        <w:rPr>
          <w:rFonts w:hint="eastAsia" w:hAnsi="宋体" w:cs="宋体"/>
          <w:color w:val="auto"/>
          <w:sz w:val="24"/>
          <w:szCs w:val="24"/>
          <w:highlight w:val="none"/>
        </w:rPr>
        <w:t xml:space="preserve">技术能力</w:t>
      </w:r>
      <w:r>
        <w:rPr>
          <w:rFonts w:hint="eastAsia" w:hAnsi="宋体" w:cs="宋体"/>
          <w:color w:val="auto"/>
          <w:sz w:val="24"/>
          <w:szCs w:val="24"/>
          <w:highlight w:val="none"/>
          <w:lang w:val="zh-CN"/>
        </w:rPr>
        <w:t xml:space="preserve">，同时应具有</w:t>
      </w:r>
      <w:r>
        <w:rPr>
          <w:rFonts w:hint="eastAsia" w:hAnsi="宋体" w:cs="宋体"/>
          <w:color w:val="auto"/>
          <w:sz w:val="24"/>
          <w:szCs w:val="24"/>
          <w:highlight w:val="none"/>
        </w:rPr>
        <w:t xml:space="preserve">丰富</w:t>
      </w:r>
      <w:r>
        <w:rPr>
          <w:rFonts w:hint="eastAsia" w:hAnsi="宋体" w:cs="宋体"/>
          <w:color w:val="auto"/>
          <w:sz w:val="24"/>
          <w:szCs w:val="24"/>
          <w:highlight w:val="none"/>
          <w:lang w:val="zh-CN"/>
        </w:rPr>
        <w:t xml:space="preserve">的采样工作服务经验</w:t>
      </w:r>
      <w:r>
        <w:rPr>
          <w:rFonts w:hint="eastAsia" w:hAnsi="宋体" w:cs="宋体"/>
          <w:color w:val="auto"/>
          <w:sz w:val="24"/>
          <w:szCs w:val="24"/>
          <w:highlight w:val="none"/>
        </w:rPr>
        <w:t xml:space="preserve">。</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（3）投标单位需为本项目配备</w:t>
      </w:r>
      <w:r>
        <w:rPr>
          <w:rFonts w:hint="eastAsia" w:hAnsi="宋体" w:cs="宋体"/>
          <w:color w:val="auto"/>
          <w:sz w:val="24"/>
          <w:szCs w:val="24"/>
          <w:highlight w:val="none"/>
          <w:lang w:val="zh-CN"/>
        </w:rPr>
        <w:t xml:space="preserve">专职检验人员</w:t>
      </w:r>
      <w:r>
        <w:rPr>
          <w:rFonts w:hint="eastAsia" w:hAnsi="宋体" w:cs="宋体"/>
          <w:color w:val="auto"/>
          <w:sz w:val="24"/>
          <w:szCs w:val="24"/>
          <w:highlight w:val="none"/>
        </w:rPr>
        <w:t xml:space="preserve">服务团队，专职检验人员应当具备与食品安全检测相适应的专业技术能力，同时应具有丰富的检测工作服务经验。</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3.2.4.5采样运输能力</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rPr>
        <w:t xml:space="preserve">为保证抽检工作的实施，投标供应商应配备满足食品安全监督抽检工作要求的</w:t>
      </w:r>
      <w:r>
        <w:rPr>
          <w:rFonts w:hint="eastAsia" w:hAnsi="宋体" w:cs="宋体"/>
          <w:color w:val="auto"/>
          <w:sz w:val="24"/>
          <w:szCs w:val="24"/>
          <w:highlight w:val="none"/>
          <w:lang w:val="en-US" w:eastAsia="zh-CN"/>
        </w:rPr>
        <w:t xml:space="preserve">相关设备，包括但不限于如下设备：（1）用于抽样过程取证的执法记录仪；（2）专业抽样车辆；（3）专业冷藏车</w:t>
      </w:r>
      <w:r>
        <w:rPr>
          <w:rFonts w:hint="eastAsia" w:hAnsi="宋体" w:cs="宋体"/>
          <w:color w:val="auto"/>
          <w:sz w:val="24"/>
          <w:szCs w:val="24"/>
          <w:highlight w:val="none"/>
        </w:rPr>
        <w:t xml:space="preserve">。</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3.2.4.6检测服务方案：投标人应根据项目特定编制检测服务方案，包括项目整体组织机构、抽样方案、检测方案、档案管理方案等方面内容。</w:t>
      </w:r>
      <w:r/>
    </w:p>
    <w:p>
      <w:pPr>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rPr>
        <w:t xml:space="preserve">3.2.4.7 质量控制方案：投标人应针对本项目编制切实可行的质量控制方案，包括质量控制组织管理机构、质量控制制度、质量控制流程措施、岗位职责等方面。</w:t>
      </w:r>
      <w:r/>
    </w:p>
    <w:p>
      <w:pPr>
        <w:ind w:firstLine="480"/>
        <w:spacing w:line="500" w:lineRule="exact"/>
        <w:widowControl/>
        <w:rPr>
          <w:rFonts w:hAnsi="宋体" w:cs="宋体"/>
          <w:color w:val="auto"/>
          <w:sz w:val="24"/>
          <w:szCs w:val="24"/>
          <w:highlight w:val="none"/>
          <w:lang w:val="zh-CN"/>
        </w:rPr>
      </w:pPr>
      <w:r>
        <w:rPr>
          <w:rFonts w:hint="eastAsia" w:hAnsi="宋体" w:cs="宋体"/>
          <w:color w:val="auto"/>
          <w:sz w:val="24"/>
          <w:szCs w:val="24"/>
          <w:highlight w:val="none"/>
        </w:rPr>
        <w:t xml:space="preserve">3.2.4.8突发事件应急处置预案：投标人提供突发事件应急方案（包括对应急事件的处置预案、组织情况、响应速度、质量控制等内容）。 </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3.2.4.9其他伴随、增值服务：为进一步提升检测服务效能，投标人可在采购需求约定实施食品抽检服务任务之外为采购人提供其他相关伴随、增值服务并进行书面承诺，包括承诺在服务期内额外免费提供食品抽检服务及食品安全检测相关培训服务等。</w:t>
      </w:r>
      <w:r/>
    </w:p>
    <w:p>
      <w:pPr>
        <w:ind w:firstLine="480"/>
        <w:spacing w:line="500" w:lineRule="exact"/>
        <w:widowControl/>
        <w:rPr>
          <w:rFonts w:hint="eastAsia" w:hAnsi="宋体" w:cs="宋体"/>
          <w:color w:val="auto"/>
          <w:sz w:val="24"/>
          <w:szCs w:val="24"/>
          <w:highlight w:val="none"/>
        </w:rPr>
      </w:pPr>
      <w:r>
        <w:rPr>
          <w:rFonts w:hint="eastAsia" w:hAnsi="宋体" w:cs="宋体"/>
          <w:color w:val="auto"/>
          <w:sz w:val="24"/>
          <w:szCs w:val="24"/>
          <w:highlight w:val="none"/>
        </w:rPr>
        <w:t xml:space="preserve">3.2.4.10应急响应时间：</w:t>
      </w:r>
      <w:r>
        <w:rPr>
          <w:rFonts w:hint="eastAsia" w:hAnsi="宋体" w:cs="宋体"/>
          <w:color w:val="auto"/>
          <w:sz w:val="24"/>
          <w:szCs w:val="24"/>
          <w:highlight w:val="none"/>
          <w:rtl w:val="0"/>
          <w:lang w:val="en-US" w:eastAsia="zh-CN"/>
        </w:rPr>
        <w:t xml:space="preserve">因食品检验检测的特殊要求，为保证特殊情况下投标人接到应急通知后的应急响应，投标人需</w:t>
      </w:r>
      <w:r>
        <w:rPr>
          <w:rFonts w:hint="eastAsia" w:hAnsi="宋体" w:cs="宋体"/>
          <w:color w:val="auto"/>
          <w:sz w:val="24"/>
          <w:szCs w:val="24"/>
          <w:highlight w:val="none"/>
        </w:rPr>
        <w:t xml:space="preserve">提供9:00-17:30时间段内从检验地址到采购单位的导航驾车模式截图。</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3.2.4.11合格备份样品再利用工作</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为避免浪费，供应商应对</w:t>
      </w:r>
      <w:r>
        <w:rPr>
          <w:rFonts w:hint="eastAsia" w:hAnsi="宋体" w:cs="宋体"/>
          <w:color w:val="auto"/>
          <w:sz w:val="24"/>
          <w:szCs w:val="24"/>
          <w:highlight w:val="none"/>
        </w:rPr>
        <w:t xml:space="preserve">合格备份样品</w:t>
      </w:r>
      <w:r>
        <w:rPr>
          <w:rFonts w:hint="eastAsia" w:hAnsi="宋体" w:cs="宋体"/>
          <w:color w:val="auto"/>
          <w:sz w:val="24"/>
          <w:szCs w:val="24"/>
          <w:highlight w:val="none"/>
          <w:lang w:val="en-US" w:eastAsia="zh-CN"/>
        </w:rPr>
        <w:t xml:space="preserve">展开</w:t>
      </w:r>
      <w:r>
        <w:rPr>
          <w:rFonts w:hint="eastAsia" w:hAnsi="宋体" w:cs="宋体"/>
          <w:color w:val="auto"/>
          <w:sz w:val="24"/>
          <w:szCs w:val="24"/>
          <w:highlight w:val="none"/>
        </w:rPr>
        <w:t xml:space="preserve">再利用工作</w:t>
      </w:r>
      <w:r>
        <w:rPr>
          <w:rFonts w:hint="eastAsia" w:hAnsi="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提供相关制度文件、开展情况说明及相关证明材料等</w:t>
      </w:r>
      <w:r>
        <w:rPr>
          <w:rFonts w:hint="eastAsia" w:hAnsi="宋体" w:cs="宋体"/>
          <w:color w:val="auto"/>
          <w:sz w:val="24"/>
          <w:szCs w:val="24"/>
          <w:highlight w:val="none"/>
        </w:rPr>
        <w:t xml:space="preserve">。</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3.2.4.1</w:t>
      </w:r>
      <w:r>
        <w:rPr>
          <w:rFonts w:hint="eastAsia" w:hAnsi="宋体" w:cs="宋体"/>
          <w:color w:val="auto"/>
          <w:sz w:val="24"/>
          <w:szCs w:val="24"/>
          <w:highlight w:val="none"/>
          <w:lang w:val="en-US" w:eastAsia="zh-CN"/>
        </w:rPr>
        <w:t xml:space="preserve">2</w:t>
      </w:r>
      <w:r>
        <w:rPr>
          <w:rFonts w:hint="eastAsia" w:hAnsi="宋体" w:cs="宋体"/>
          <w:color w:val="auto"/>
          <w:sz w:val="24"/>
          <w:szCs w:val="24"/>
          <w:highlight w:val="none"/>
        </w:rPr>
        <w:t xml:space="preserve">企业技术能力：因食品抽检工作的专业技术性，投标单位相关科研能力尤为重要，如取得相关技术成果的，请提供相关证明材料。</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3.2.4.1</w:t>
      </w:r>
      <w:r>
        <w:rPr>
          <w:rFonts w:hint="eastAsia" w:hAnsi="宋体" w:cs="宋体"/>
          <w:color w:val="auto"/>
          <w:sz w:val="24"/>
          <w:szCs w:val="24"/>
          <w:highlight w:val="none"/>
          <w:lang w:val="en-US" w:eastAsia="zh-CN"/>
        </w:rPr>
        <w:t xml:space="preserve">3</w:t>
      </w:r>
      <w:r>
        <w:rPr>
          <w:rFonts w:hint="eastAsia" w:hAnsi="宋体" w:cs="宋体"/>
          <w:color w:val="auto"/>
          <w:sz w:val="24"/>
          <w:szCs w:val="24"/>
          <w:highlight w:val="none"/>
        </w:rPr>
        <w:t xml:space="preserve">类似服务经验：响应单位应具备丰富的类似</w:t>
      </w:r>
      <w:r>
        <w:rPr>
          <w:rFonts w:hint="eastAsia" w:hAnsi="宋体" w:cs="宋体"/>
          <w:color w:val="auto"/>
          <w:sz w:val="24"/>
          <w:szCs w:val="24"/>
          <w:highlight w:val="none"/>
          <w:lang w:val="en-US" w:eastAsia="zh-CN"/>
        </w:rPr>
        <w:t xml:space="preserve">项目</w:t>
      </w:r>
      <w:r>
        <w:rPr>
          <w:rFonts w:hint="eastAsia" w:hAnsi="宋体" w:cs="宋体"/>
          <w:color w:val="auto"/>
          <w:sz w:val="24"/>
          <w:szCs w:val="24"/>
          <w:highlight w:val="none"/>
        </w:rPr>
        <w:t xml:space="preserve">服务经验，并在投标文件中提供业绩相关证明材料。</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3.2.4.1</w:t>
      </w:r>
      <w:r>
        <w:rPr>
          <w:rFonts w:hint="eastAsia" w:hAnsi="宋体" w:cs="宋体"/>
          <w:color w:val="auto"/>
          <w:sz w:val="24"/>
          <w:szCs w:val="24"/>
          <w:highlight w:val="none"/>
          <w:lang w:val="en-US" w:eastAsia="zh-CN"/>
        </w:rPr>
        <w:t xml:space="preserve">4</w:t>
      </w:r>
      <w:r>
        <w:rPr>
          <w:rFonts w:hint="eastAsia" w:hAnsi="宋体" w:cs="宋体"/>
          <w:color w:val="auto"/>
          <w:sz w:val="24"/>
          <w:szCs w:val="24"/>
          <w:highlight w:val="none"/>
        </w:rPr>
        <w:t xml:space="preserve">工作质量状况：在以往承担食品安全抽检任务中，未存在因工作质量问题被通报的情况。</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3.2.5管理考核</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在服务周期内，供应商应确保其能力水平持续满足法律、法规、标准、规范性文件和采购人的要求，并接受采购人组织的数据质量考 核、日常考核和技术考核等。</w:t>
      </w:r>
      <w:r/>
    </w:p>
    <w:p>
      <w:pPr>
        <w:ind w:firstLine="480"/>
        <w:spacing w:line="500" w:lineRule="exact"/>
        <w:widowControl/>
        <w:rPr>
          <w:rFonts w:hAnsi="宋体" w:cs="宋体"/>
          <w:color w:val="auto"/>
          <w:sz w:val="24"/>
          <w:szCs w:val="24"/>
          <w:highlight w:val="none"/>
        </w:rPr>
      </w:pPr>
      <w:r>
        <w:rPr>
          <w:color w:val="auto"/>
          <w:highlight w:val="none"/>
        </w:rPr>
        <w:fldChar w:fldCharType="begin"/>
      </w:r>
      <w:r>
        <w:rPr>
          <w:color w:val="auto"/>
          <w:highlight w:val="none"/>
        </w:rPr>
        <w:instrText xml:space="preserve"> HYPERLINK "4.2.5.1" </w:instrText>
      </w:r>
      <w:r>
        <w:rPr>
          <w:color w:val="auto"/>
          <w:highlight w:val="none"/>
        </w:rPr>
        <w:fldChar w:fldCharType="separate"/>
      </w:r>
      <w:r>
        <w:rPr>
          <w:rFonts w:hint="eastAsia" w:hAnsi="宋体" w:cs="宋体"/>
          <w:color w:val="auto"/>
          <w:sz w:val="24"/>
          <w:szCs w:val="24"/>
          <w:highlight w:val="none"/>
        </w:rPr>
        <w:t xml:space="preserve">3.2.5.1</w:t>
      </w:r>
      <w:r>
        <w:rPr>
          <w:rFonts w:hint="eastAsia" w:hAnsi="宋体" w:cs="宋体"/>
          <w:color w:val="auto"/>
          <w:sz w:val="24"/>
          <w:szCs w:val="24"/>
          <w:highlight w:val="none"/>
        </w:rPr>
        <w:fldChar w:fldCharType="end"/>
      </w:r>
      <w:r>
        <w:rPr>
          <w:rFonts w:hint="eastAsia" w:hAnsi="宋体" w:cs="宋体"/>
          <w:color w:val="auto"/>
          <w:sz w:val="24"/>
          <w:szCs w:val="24"/>
          <w:highlight w:val="none"/>
        </w:rPr>
        <w:t xml:space="preserve">数据质量考核</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采购人对供应商在国家食品安全抽样检验信息系统中填报的抽样检验数据的准确性、规范性、及时性等进行抽查。</w:t>
      </w:r>
      <w:r/>
    </w:p>
    <w:p>
      <w:pPr>
        <w:ind w:firstLine="480"/>
        <w:spacing w:line="500" w:lineRule="exact"/>
        <w:widowControl/>
        <w:rPr>
          <w:rFonts w:hAnsi="宋体" w:cs="宋体"/>
          <w:color w:val="auto"/>
          <w:sz w:val="24"/>
          <w:szCs w:val="24"/>
          <w:highlight w:val="none"/>
        </w:rPr>
      </w:pPr>
      <w:r>
        <w:rPr>
          <w:color w:val="auto"/>
          <w:highlight w:val="none"/>
        </w:rPr>
        <w:fldChar w:fldCharType="begin"/>
      </w:r>
      <w:r>
        <w:rPr>
          <w:color w:val="auto"/>
          <w:highlight w:val="none"/>
        </w:rPr>
        <w:instrText xml:space="preserve"> HYPERLINK "4.2.5.2" </w:instrText>
      </w:r>
      <w:r>
        <w:rPr>
          <w:color w:val="auto"/>
          <w:highlight w:val="none"/>
        </w:rPr>
        <w:fldChar w:fldCharType="separate"/>
      </w:r>
      <w:r>
        <w:rPr>
          <w:rFonts w:hint="eastAsia" w:hAnsi="宋体" w:cs="宋体"/>
          <w:color w:val="auto"/>
          <w:sz w:val="24"/>
          <w:szCs w:val="24"/>
          <w:highlight w:val="none"/>
        </w:rPr>
        <w:t xml:space="preserve">3.2.5.2</w:t>
      </w:r>
      <w:r>
        <w:rPr>
          <w:rFonts w:hint="eastAsia" w:hAnsi="宋体" w:cs="宋体"/>
          <w:color w:val="auto"/>
          <w:sz w:val="24"/>
          <w:szCs w:val="24"/>
          <w:highlight w:val="none"/>
        </w:rPr>
        <w:fldChar w:fldCharType="end"/>
      </w:r>
      <w:r>
        <w:rPr>
          <w:rFonts w:hint="eastAsia" w:hAnsi="宋体" w:cs="宋体"/>
          <w:color w:val="auto"/>
          <w:sz w:val="24"/>
          <w:szCs w:val="24"/>
          <w:highlight w:val="none"/>
        </w:rPr>
        <w:t xml:space="preserve"> 日常考核</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采购人对供应商在任务执行过程中开展的管理考核，包括任务完成时效、均衡推进、问题发现率、复检异议认可、抽样覆盖率、抽样方案和分析报告质量、重大问题及时报告、应急服务响应等相关情况。</w:t>
      </w:r>
      <w:r/>
    </w:p>
    <w:p>
      <w:pPr>
        <w:ind w:firstLine="480"/>
        <w:spacing w:line="500" w:lineRule="exact"/>
        <w:widowControl/>
        <w:rPr>
          <w:rFonts w:hAnsi="宋体" w:cs="宋体"/>
          <w:color w:val="auto"/>
          <w:sz w:val="24"/>
          <w:szCs w:val="24"/>
          <w:highlight w:val="none"/>
        </w:rPr>
      </w:pPr>
      <w:r>
        <w:rPr>
          <w:color w:val="auto"/>
          <w:highlight w:val="none"/>
        </w:rPr>
        <w:fldChar w:fldCharType="begin"/>
      </w:r>
      <w:r>
        <w:rPr>
          <w:color w:val="auto"/>
          <w:highlight w:val="none"/>
        </w:rPr>
        <w:instrText xml:space="preserve"> HYPERLINK "4.2.5.3" </w:instrText>
      </w:r>
      <w:r>
        <w:rPr>
          <w:color w:val="auto"/>
          <w:highlight w:val="none"/>
        </w:rPr>
        <w:fldChar w:fldCharType="separate"/>
      </w:r>
      <w:r>
        <w:rPr>
          <w:rFonts w:hint="eastAsia" w:hAnsi="宋体" w:cs="宋体"/>
          <w:color w:val="auto"/>
          <w:sz w:val="24"/>
          <w:szCs w:val="24"/>
          <w:highlight w:val="none"/>
        </w:rPr>
        <w:t xml:space="preserve">3.2.5.3</w:t>
      </w:r>
      <w:r>
        <w:rPr>
          <w:rFonts w:hint="eastAsia" w:hAnsi="宋体" w:cs="宋体"/>
          <w:color w:val="auto"/>
          <w:sz w:val="24"/>
          <w:szCs w:val="24"/>
          <w:highlight w:val="none"/>
        </w:rPr>
        <w:fldChar w:fldCharType="end"/>
      </w:r>
      <w:r>
        <w:rPr>
          <w:rFonts w:hint="eastAsia" w:hAnsi="宋体" w:cs="宋体"/>
          <w:color w:val="auto"/>
          <w:sz w:val="24"/>
          <w:szCs w:val="24"/>
          <w:highlight w:val="none"/>
        </w:rPr>
        <w:t xml:space="preserve">技术考核</w:t>
      </w:r>
      <w:r/>
    </w:p>
    <w:p>
      <w:pPr>
        <w:ind w:firstLine="480"/>
        <w:spacing w:line="500" w:lineRule="exact"/>
        <w:widowControl/>
        <w:rPr>
          <w:rFonts w:hAnsi="宋体" w:cs="宋体"/>
          <w:color w:val="auto"/>
          <w:sz w:val="24"/>
          <w:szCs w:val="24"/>
          <w:highlight w:val="none"/>
        </w:rPr>
      </w:pPr>
      <w:r>
        <w:rPr>
          <w:rFonts w:hint="eastAsia" w:hAnsi="宋体" w:cs="宋体"/>
          <w:color w:val="auto"/>
          <w:sz w:val="24"/>
          <w:szCs w:val="24"/>
          <w:highlight w:val="none"/>
        </w:rPr>
        <w:t xml:space="preserve">采购人对供应商在任务执行过程中开展的专项考核，包括盲样考核、留样复核、报告考核、现场检查、飞行检查等。</w:t>
      </w:r>
      <w:r/>
    </w:p>
    <w:p>
      <w:pPr>
        <w:spacing w:line="500" w:lineRule="exact"/>
        <w:widowControl/>
        <w:rPr>
          <w:rFonts w:ascii="Calibri" w:hAnsi="宋体" w:cs="宋体"/>
          <w:b/>
          <w:bCs/>
          <w:color w:val="auto"/>
          <w:sz w:val="24"/>
          <w:szCs w:val="24"/>
          <w:highlight w:val="none"/>
        </w:rPr>
      </w:pPr>
      <w:r>
        <w:rPr>
          <w:rFonts w:hint="eastAsia" w:ascii="Calibri" w:hAnsi="宋体" w:cs="宋体"/>
          <w:b/>
          <w:bCs/>
          <w:color w:val="auto"/>
          <w:sz w:val="24"/>
          <w:szCs w:val="24"/>
          <w:highlight w:val="none"/>
        </w:rPr>
        <w:t xml:space="preserve">四</w:t>
      </w:r>
      <w:r>
        <w:rPr>
          <w:rFonts w:hint="eastAsia" w:ascii="Calibri" w:hAnsi="宋体" w:cs="宋体"/>
          <w:b/>
          <w:bCs/>
          <w:color w:val="auto"/>
          <w:sz w:val="24"/>
          <w:szCs w:val="24"/>
          <w:highlight w:val="none"/>
          <w:lang w:val="zh-CN"/>
        </w:rPr>
        <w:t xml:space="preserve">、</w:t>
      </w:r>
      <w:r>
        <w:rPr>
          <w:rFonts w:hint="eastAsia" w:ascii="Calibri" w:hAnsi="宋体" w:cs="宋体"/>
          <w:b/>
          <w:bCs/>
          <w:color w:val="auto"/>
          <w:sz w:val="24"/>
          <w:szCs w:val="24"/>
          <w:highlight w:val="none"/>
        </w:rPr>
        <w:t xml:space="preserve">商务要求：</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4.1</w:t>
      </w:r>
      <w:r>
        <w:rPr>
          <w:rFonts w:hint="eastAsia" w:ascii="Calibri" w:hAnsi="宋体" w:cs="宋体"/>
          <w:color w:val="auto"/>
          <w:sz w:val="24"/>
          <w:szCs w:val="24"/>
          <w:highlight w:val="none"/>
          <w:lang w:val="zh-CN"/>
        </w:rPr>
        <w:t xml:space="preserve">.服务期限：</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服务期限要求：合同签订后1年</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检测结果（报告）提交：按照规定的时限（一般自样品收到之日起12个工作日内）完成检验检测任务，并汇总样品抽样和检验结果信息。（中标机构需按照泗阳县市场监督管理局要求使用国家食品安全抽检监测信息系统）</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4.</w:t>
      </w:r>
      <w:r>
        <w:rPr>
          <w:rFonts w:hint="eastAsia" w:ascii="Calibri" w:hAnsi="宋体" w:cs="宋体"/>
          <w:color w:val="auto"/>
          <w:sz w:val="24"/>
          <w:szCs w:val="24"/>
          <w:highlight w:val="none"/>
        </w:rPr>
        <w:t xml:space="preserve">2</w:t>
      </w:r>
      <w:r>
        <w:rPr>
          <w:rFonts w:hint="eastAsia" w:ascii="Calibri" w:hAnsi="宋体" w:cs="宋体"/>
          <w:color w:val="auto"/>
          <w:sz w:val="24"/>
          <w:szCs w:val="24"/>
          <w:highlight w:val="none"/>
          <w:lang w:val="zh-CN"/>
        </w:rPr>
        <w:t xml:space="preserve">实施地点：采购人指定地点。</w:t>
      </w:r>
      <w:r/>
    </w:p>
    <w:p>
      <w:pPr>
        <w:ind w:firstLine="480"/>
        <w:spacing w:line="500" w:lineRule="exact"/>
        <w:widowControl/>
        <w:rPr>
          <w:rFonts w:hint="default" w:ascii="Calibri" w:hAnsi="宋体" w:eastAsia="宋体" w:cs="宋体"/>
          <w:color w:val="auto"/>
          <w:sz w:val="24"/>
          <w:szCs w:val="24"/>
          <w:highlight w:val="none"/>
          <w:lang w:val="en-US" w:eastAsia="zh-CN"/>
        </w:rPr>
      </w:pPr>
      <w:r>
        <w:rPr>
          <w:rFonts w:hint="eastAsia" w:ascii="Calibri" w:hAnsi="宋体" w:cs="宋体"/>
          <w:color w:val="auto"/>
          <w:sz w:val="24"/>
          <w:szCs w:val="24"/>
          <w:highlight w:val="none"/>
        </w:rPr>
        <w:t xml:space="preserve">4.3项目服务范围：</w:t>
      </w:r>
      <w:r>
        <w:rPr>
          <w:rFonts w:hint="eastAsia" w:ascii="Calibri" w:hAnsi="宋体" w:cs="宋体"/>
          <w:color w:val="auto"/>
          <w:sz w:val="24"/>
          <w:szCs w:val="24"/>
          <w:highlight w:val="none"/>
          <w:lang w:val="en-US" w:eastAsia="zh-CN"/>
        </w:rPr>
        <w:t xml:space="preserve">按采购人要求。</w:t>
      </w:r>
      <w:r/>
    </w:p>
    <w:p>
      <w:pPr>
        <w:ind w:firstLine="482"/>
        <w:spacing w:line="500" w:lineRule="exact"/>
        <w:widowControl/>
        <w:rPr>
          <w:rFonts w:ascii="Calibri" w:hAnsi="宋体" w:cs="宋体"/>
          <w:b/>
          <w:bCs/>
          <w:color w:val="auto"/>
          <w:sz w:val="24"/>
          <w:szCs w:val="24"/>
          <w:highlight w:val="none"/>
          <w:lang w:val="zh-CN"/>
        </w:rPr>
      </w:pPr>
      <w:r>
        <w:rPr>
          <w:rFonts w:hint="eastAsia" w:ascii="Calibri" w:hAnsi="宋体" w:cs="宋体"/>
          <w:b/>
          <w:bCs/>
          <w:color w:val="auto"/>
          <w:sz w:val="24"/>
          <w:szCs w:val="24"/>
          <w:highlight w:val="none"/>
        </w:rPr>
        <w:t xml:space="preserve">4.4</w:t>
      </w:r>
      <w:r>
        <w:rPr>
          <w:rFonts w:hint="eastAsia" w:ascii="Calibri" w:hAnsi="宋体" w:cs="宋体"/>
          <w:b/>
          <w:bCs/>
          <w:color w:val="auto"/>
          <w:sz w:val="24"/>
          <w:szCs w:val="24"/>
          <w:highlight w:val="none"/>
          <w:lang w:val="zh-CN"/>
        </w:rPr>
        <w:t xml:space="preserve">付款方式：</w:t>
      </w:r>
      <w:r/>
    </w:p>
    <w:p>
      <w:pPr>
        <w:ind w:firstLine="482"/>
        <w:spacing w:line="560" w:lineRule="exact"/>
        <w:rPr>
          <w:bCs/>
          <w:color w:val="auto"/>
          <w:sz w:val="24"/>
          <w:highlight w:val="none"/>
        </w:rPr>
      </w:pPr>
      <w:r>
        <w:rPr>
          <w:rFonts w:hint="eastAsia"/>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2"/>
        <w:spacing w:line="560" w:lineRule="exact"/>
        <w:rPr>
          <w:rFonts w:eastAsia="仿宋_GB2312" w:cs="仿宋_GB2312"/>
          <w:color w:val="auto"/>
          <w:sz w:val="24"/>
          <w:highlight w:val="none"/>
        </w:rPr>
      </w:pPr>
      <w:r>
        <w:rPr>
          <w:rFonts w:hint="eastAsia"/>
          <w:bCs/>
          <w:color w:val="auto"/>
          <w:sz w:val="24"/>
          <w:highlight w:val="none"/>
        </w:rPr>
        <w:t xml:space="preserve">预付款：</w:t>
      </w:r>
      <w:r>
        <w:rPr>
          <w:rFonts w:hint="eastAsia"/>
          <w:bCs/>
          <w:color w:val="auto"/>
          <w:sz w:val="24"/>
          <w:highlight w:val="none"/>
          <w:u w:val="single"/>
        </w:rPr>
        <w:t xml:space="preserve">合同金额的10%，合同签订后按规定支付；</w:t>
      </w:r>
      <w:r>
        <w:rPr>
          <w:rFonts w:hint="eastAsia" w:eastAsia="仿宋_GB2312" w:cs="仿宋_GB2312"/>
          <w:color w:val="auto"/>
          <w:sz w:val="24"/>
          <w:highlight w:val="none"/>
        </w:rPr>
        <w:t xml:space="preserve"> </w:t>
      </w:r>
      <w:r/>
    </w:p>
    <w:p>
      <w:pPr>
        <w:ind w:firstLine="480"/>
        <w:spacing w:line="500" w:lineRule="exact"/>
        <w:rPr>
          <w:rFonts w:ascii="宋体" w:hAnsi="宋体" w:cs="仿宋_GB2312"/>
          <w:color w:val="auto"/>
          <w:sz w:val="24"/>
          <w:szCs w:val="24"/>
          <w:highlight w:val="none"/>
          <w:u w:val="single"/>
        </w:rPr>
      </w:pPr>
      <w:r>
        <w:rPr>
          <w:rFonts w:hint="eastAsia"/>
          <w:bCs/>
          <w:color w:val="auto"/>
          <w:sz w:val="24"/>
          <w:szCs w:val="22"/>
          <w:highlight w:val="none"/>
        </w:rPr>
        <w:t xml:space="preserve">进度款：</w:t>
      </w:r>
      <w:r>
        <w:rPr>
          <w:rFonts w:hint="eastAsia" w:ascii="宋体" w:hAnsi="宋体"/>
          <w:color w:val="auto"/>
          <w:spacing w:val="-1"/>
          <w:sz w:val="24"/>
          <w:szCs w:val="22"/>
          <w:highlight w:val="none"/>
          <w:u w:val="single"/>
        </w:rPr>
        <w:t xml:space="preserve">全部完成抽检批次及出具报告等任务后，采购人在接收到中标人发票后10个工作日内将余款（考核后的）一次性支付给供应商</w:t>
      </w:r>
      <w:r>
        <w:rPr>
          <w:rFonts w:hint="eastAsia" w:ascii="宋体" w:hAnsi="宋体" w:cs="仿宋_GB2312"/>
          <w:color w:val="auto"/>
          <w:sz w:val="24"/>
          <w:szCs w:val="24"/>
          <w:highlight w:val="none"/>
          <w:u w:val="single"/>
        </w:rPr>
        <w:t xml:space="preserve">。</w:t>
      </w:r>
      <w:r/>
    </w:p>
    <w:p>
      <w:pPr>
        <w:ind w:firstLine="482"/>
        <w:spacing w:line="500" w:lineRule="exact"/>
        <w:widowControl/>
        <w:rPr>
          <w:rFonts w:ascii="Arial" w:hAnsi="宋体" w:cs="宋体"/>
          <w:b/>
          <w:color w:val="auto"/>
          <w:sz w:val="24"/>
          <w:szCs w:val="24"/>
          <w:highlight w:val="none"/>
          <w:lang w:val="zh-CN"/>
        </w:rPr>
      </w:pPr>
      <w:r>
        <w:rPr>
          <w:rFonts w:hint="eastAsia" w:ascii="Arial" w:hAnsi="宋体" w:cs="宋体"/>
          <w:b/>
          <w:color w:val="auto"/>
          <w:sz w:val="24"/>
          <w:szCs w:val="24"/>
          <w:highlight w:val="none"/>
          <w:lang w:val="zh-CN"/>
        </w:rPr>
        <w:t xml:space="preserve">注：在签订合同时，中标人明确表示无需预付款或者主动要求降低预付款比例的金额，采购人可不适用预付款规定。</w:t>
      </w:r>
      <w:r/>
    </w:p>
    <w:p>
      <w:pPr>
        <w:ind w:firstLine="482"/>
        <w:spacing w:line="500" w:lineRule="exact"/>
        <w:widowControl/>
        <w:rPr>
          <w:rFonts w:ascii="Calibri" w:hAnsi="宋体" w:cs="宋体"/>
          <w:b/>
          <w:bCs/>
          <w:color w:val="auto"/>
          <w:sz w:val="24"/>
          <w:szCs w:val="24"/>
          <w:highlight w:val="none"/>
          <w:lang w:val="zh-CN"/>
        </w:rPr>
      </w:pPr>
      <w:r>
        <w:rPr>
          <w:rFonts w:hint="eastAsia" w:ascii="Calibri" w:hAnsi="宋体" w:cs="宋体"/>
          <w:b/>
          <w:bCs/>
          <w:color w:val="auto"/>
          <w:sz w:val="24"/>
          <w:szCs w:val="24"/>
          <w:highlight w:val="none"/>
        </w:rPr>
        <w:t xml:space="preserve">4.5履约</w:t>
      </w:r>
      <w:r>
        <w:rPr>
          <w:rFonts w:hint="eastAsia" w:ascii="Calibri" w:hAnsi="宋体" w:cs="宋体"/>
          <w:b/>
          <w:bCs/>
          <w:color w:val="auto"/>
          <w:sz w:val="24"/>
          <w:szCs w:val="24"/>
          <w:highlight w:val="none"/>
          <w:lang w:val="zh-CN"/>
        </w:rPr>
        <w:t xml:space="preserve">验收：</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在合同履行期间，采购方有权依照招标文件相关要求对承检机构提供的相关服务或交付的工作成果进行阶段性验收或总体验收。如需委托第三方验收，验收费用由采购方承担。因承检机构提供的服务不符合标准导致采购方重复支出的验收费用，由承检机构承担。</w:t>
      </w:r>
      <w:r/>
    </w:p>
    <w:p>
      <w:pPr>
        <w:ind w:firstLine="480"/>
        <w:spacing w:line="500" w:lineRule="exact"/>
        <w:rPr>
          <w:rFonts w:ascii="Calibri" w:hAnsi="宋体" w:eastAsia="Times New Roman" w:cs="宋体"/>
          <w:color w:val="auto"/>
          <w:sz w:val="24"/>
          <w:szCs w:val="24"/>
          <w:highlight w:val="none"/>
          <w:lang w:val="zh-CN"/>
        </w:rPr>
      </w:pPr>
      <w:r>
        <w:rPr>
          <w:rFonts w:hint="eastAsia" w:ascii="Calibri" w:hAnsi="宋体" w:eastAsia="Times New Roman" w:cs="宋体"/>
          <w:color w:val="auto"/>
          <w:sz w:val="24"/>
          <w:szCs w:val="24"/>
          <w:highlight w:val="none"/>
          <w:lang w:val="zh-CN"/>
        </w:rPr>
        <w:t xml:space="preserve">经验收不合格的，承检机构应当按照采购方要求在指定的合理期限内进行整改和完善，直至符合招标文件要求的相关标准。逾期不予整改或经整改仍不能符合相关要求，或者导致合同目的无法实现，采购方有权依照法律程序解除合同，并追究承检机构违约责任。</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4.5</w:t>
      </w:r>
      <w:r>
        <w:rPr>
          <w:rFonts w:hint="eastAsia" w:ascii="Calibri" w:hAnsi="宋体" w:cs="宋体"/>
          <w:color w:val="auto"/>
          <w:sz w:val="24"/>
          <w:szCs w:val="24"/>
          <w:highlight w:val="none"/>
          <w:lang w:val="zh-CN"/>
        </w:rPr>
        <w:t xml:space="preserve">.1验收程序</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原则上按照通知验收、机构自查、验收评审、综合评价、整改复查的流程组织开展验收工作。</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4.5</w:t>
      </w:r>
      <w:r>
        <w:rPr>
          <w:rFonts w:hint="eastAsia" w:ascii="Calibri" w:hAnsi="宋体" w:cs="宋体"/>
          <w:color w:val="auto"/>
          <w:sz w:val="24"/>
          <w:szCs w:val="24"/>
          <w:highlight w:val="none"/>
          <w:lang w:val="zh-CN"/>
        </w:rPr>
        <w:t xml:space="preserve">.2验收内容</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验收内容</w:t>
      </w:r>
      <w:r>
        <w:rPr>
          <w:rFonts w:hint="eastAsia" w:ascii="Calibri" w:hAnsi="宋体" w:cs="宋体"/>
          <w:color w:val="auto"/>
          <w:sz w:val="24"/>
          <w:szCs w:val="24"/>
          <w:highlight w:val="none"/>
        </w:rPr>
        <w:t xml:space="preserve">主要</w:t>
      </w:r>
      <w:r>
        <w:rPr>
          <w:rFonts w:hint="eastAsia" w:ascii="Calibri" w:hAnsi="宋体" w:cs="宋体"/>
          <w:color w:val="auto"/>
          <w:sz w:val="24"/>
          <w:szCs w:val="24"/>
          <w:highlight w:val="none"/>
          <w:lang w:val="zh-CN"/>
        </w:rPr>
        <w:t xml:space="preserve">包括：计划执行情况、任务完成质量、分析报告质量、 机构综合考核情况以及合同规定的其他履约情况等，</w:t>
      </w:r>
      <w:r>
        <w:rPr>
          <w:rFonts w:hint="eastAsia" w:ascii="Calibri" w:hAnsi="宋体" w:cs="宋体"/>
          <w:color w:val="auto"/>
          <w:sz w:val="24"/>
          <w:szCs w:val="24"/>
          <w:highlight w:val="none"/>
        </w:rPr>
        <w:t xml:space="preserve">具体详见下表：</w:t>
      </w:r>
      <w:r/>
    </w:p>
    <w:p>
      <w:pPr>
        <w:ind w:left="3598"/>
        <w:jc w:val="left"/>
        <w:spacing w:before="96" w:line="219" w:lineRule="auto"/>
        <w:rPr>
          <w:rFonts w:ascii="宋体" w:hAnsi="宋体" w:cs="宋体"/>
          <w:color w:val="auto"/>
          <w:sz w:val="25"/>
          <w:szCs w:val="25"/>
          <w:highlight w:val="none"/>
          <w:lang w:eastAsia="en-US"/>
        </w:rPr>
      </w:pPr>
      <w:r>
        <w:rPr>
          <w:rFonts w:ascii="宋体" w:hAnsi="宋体" w:cs="宋体"/>
          <w:b/>
          <w:bCs/>
          <w:color w:val="auto"/>
          <w:spacing w:val="-4"/>
          <w:sz w:val="25"/>
          <w:szCs w:val="25"/>
          <w:highlight w:val="none"/>
          <w:lang w:eastAsia="en-US"/>
        </w:rPr>
        <w:t xml:space="preserve">履约验收项目表</w:t>
      </w:r>
      <w:r/>
    </w:p>
    <w:p>
      <w:pPr>
        <w:jc w:val="left"/>
        <w:spacing w:line="25" w:lineRule="auto"/>
        <w:widowControl/>
        <w:rPr>
          <w:rFonts w:ascii="Arial" w:hAnsi="Arial" w:eastAsia="Arial" w:cs="Arial"/>
          <w:color w:val="auto"/>
          <w:sz w:val="2"/>
          <w:highlight w:val="none"/>
          <w:lang w:eastAsia="en-US"/>
        </w:rPr>
      </w:pPr>
      <w:r>
        <w:rPr>
          <w:rFonts w:ascii="Arial" w:hAnsi="Arial" w:eastAsia="Arial" w:cs="Arial"/>
          <w:color w:val="auto"/>
          <w:sz w:val="2"/>
          <w:highlight w:val="none"/>
          <w:lang w:eastAsia="en-US"/>
        </w:rPr>
      </w:r>
      <w:r/>
    </w:p>
    <w:tbl>
      <w:tblPr>
        <w:tblStyle w:val="1034"/>
        <w:tblW w:w="89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1"/>
        <w:gridCol w:w="1118"/>
        <w:gridCol w:w="1459"/>
        <w:gridCol w:w="4627"/>
        <w:gridCol w:w="1084"/>
      </w:tblGrid>
      <w:tr>
        <w:trPr>
          <w:trHeight w:val="374"/>
        </w:trPr>
        <w:tc>
          <w:tcPr>
            <w:tcW w:w="621" w:type="dxa"/>
            <w:textDirection w:val="lrTb"/>
            <w:noWrap w:val="false"/>
          </w:tcPr>
          <w:p>
            <w:pPr>
              <w:ind w:left="157"/>
              <w:jc w:val="left"/>
              <w:spacing w:before="91" w:line="221" w:lineRule="auto"/>
              <w:rPr>
                <w:rFonts w:ascii="宋体" w:hAnsi="宋体" w:cs="宋体"/>
                <w:color w:val="auto"/>
                <w:sz w:val="20"/>
                <w:szCs w:val="20"/>
                <w:highlight w:val="none"/>
                <w:lang w:eastAsia="en-US"/>
              </w:rPr>
            </w:pPr>
            <w:r>
              <w:rPr>
                <w:rFonts w:ascii="宋体" w:hAnsi="宋体" w:cs="宋体"/>
                <w:b/>
                <w:bCs/>
                <w:color w:val="auto"/>
                <w:spacing w:val="-4"/>
                <w:sz w:val="20"/>
                <w:szCs w:val="20"/>
                <w:highlight w:val="none"/>
                <w:lang w:eastAsia="en-US"/>
              </w:rPr>
              <w:t xml:space="preserve">序号</w:t>
            </w:r>
            <w:r/>
          </w:p>
        </w:tc>
        <w:tc>
          <w:tcPr>
            <w:gridSpan w:val="2"/>
            <w:tcW w:w="2577" w:type="dxa"/>
            <w:textDirection w:val="lrTb"/>
            <w:noWrap w:val="false"/>
          </w:tcPr>
          <w:p>
            <w:pPr>
              <w:ind w:left="753"/>
              <w:jc w:val="left"/>
              <w:spacing w:before="90" w:line="219" w:lineRule="auto"/>
              <w:rPr>
                <w:rFonts w:ascii="宋体" w:hAnsi="宋体" w:cs="宋体"/>
                <w:color w:val="auto"/>
                <w:sz w:val="20"/>
                <w:szCs w:val="20"/>
                <w:highlight w:val="none"/>
                <w:lang w:eastAsia="en-US"/>
              </w:rPr>
            </w:pPr>
            <w:r>
              <w:rPr>
                <w:rFonts w:ascii="宋体" w:hAnsi="宋体" w:cs="宋体"/>
                <w:b/>
                <w:bCs/>
                <w:color w:val="auto"/>
                <w:spacing w:val="-4"/>
                <w:sz w:val="20"/>
                <w:szCs w:val="20"/>
                <w:highlight w:val="none"/>
                <w:lang w:eastAsia="en-US"/>
              </w:rPr>
              <w:t xml:space="preserve">验收内容</w:t>
            </w:r>
            <w:r/>
          </w:p>
        </w:tc>
        <w:tc>
          <w:tcPr>
            <w:tcW w:w="4627" w:type="dxa"/>
            <w:textDirection w:val="lrTb"/>
            <w:noWrap w:val="false"/>
          </w:tcPr>
          <w:p>
            <w:pPr>
              <w:ind w:left="1976"/>
              <w:jc w:val="left"/>
              <w:spacing w:before="90" w:line="219" w:lineRule="auto"/>
              <w:rPr>
                <w:rFonts w:ascii="宋体" w:hAnsi="宋体" w:cs="宋体"/>
                <w:color w:val="auto"/>
                <w:sz w:val="20"/>
                <w:szCs w:val="20"/>
                <w:highlight w:val="none"/>
                <w:lang w:eastAsia="en-US"/>
              </w:rPr>
            </w:pPr>
            <w:r>
              <w:rPr>
                <w:rFonts w:ascii="宋体" w:hAnsi="宋体" w:cs="宋体"/>
                <w:b/>
                <w:bCs/>
                <w:color w:val="auto"/>
                <w:spacing w:val="-4"/>
                <w:sz w:val="20"/>
                <w:szCs w:val="20"/>
                <w:highlight w:val="none"/>
                <w:lang w:eastAsia="en-US"/>
              </w:rPr>
              <w:t xml:space="preserve">验收标准</w:t>
            </w:r>
            <w:r/>
          </w:p>
        </w:tc>
        <w:tc>
          <w:tcPr>
            <w:tcW w:w="1084" w:type="dxa"/>
            <w:textDirection w:val="lrTb"/>
            <w:noWrap w:val="false"/>
          </w:tcPr>
          <w:p>
            <w:pPr>
              <w:ind w:left="132"/>
              <w:jc w:val="left"/>
              <w:spacing w:before="89" w:line="219" w:lineRule="auto"/>
              <w:rPr>
                <w:rFonts w:ascii="宋体" w:hAnsi="宋体" w:cs="宋体"/>
                <w:color w:val="auto"/>
                <w:sz w:val="20"/>
                <w:szCs w:val="20"/>
                <w:highlight w:val="none"/>
                <w:lang w:eastAsia="en-US"/>
              </w:rPr>
            </w:pPr>
            <w:r>
              <w:rPr>
                <w:rFonts w:ascii="宋体" w:hAnsi="宋体" w:cs="宋体"/>
                <w:b/>
                <w:bCs/>
                <w:color w:val="auto"/>
                <w:spacing w:val="-4"/>
                <w:sz w:val="20"/>
                <w:szCs w:val="20"/>
                <w:highlight w:val="none"/>
                <w:lang w:eastAsia="en-US"/>
              </w:rPr>
              <w:t xml:space="preserve">证明材料</w:t>
            </w:r>
            <w:r/>
          </w:p>
        </w:tc>
      </w:tr>
      <w:tr>
        <w:trPr>
          <w:trHeight w:val="619"/>
        </w:trPr>
        <w:tc>
          <w:tcPr>
            <w:tcW w:w="621" w:type="dxa"/>
            <w:vAlign w:val="center"/>
            <w:textDirection w:val="lrTb"/>
            <w:noWrap w:val="false"/>
          </w:tcPr>
          <w:p>
            <w:pPr>
              <w:jc w:val="center"/>
              <w:spacing w:before="259" w:line="184"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1</w:t>
            </w:r>
            <w:r/>
          </w:p>
        </w:tc>
        <w:tc>
          <w:tcPr>
            <w:gridSpan w:val="2"/>
            <w:tcW w:w="2577" w:type="dxa"/>
            <w:textDirection w:val="lrTb"/>
            <w:noWrap w:val="false"/>
          </w:tcPr>
          <w:p>
            <w:pPr>
              <w:ind w:left="550"/>
              <w:jc w:val="left"/>
              <w:spacing w:before="209" w:line="219" w:lineRule="auto"/>
              <w:rPr>
                <w:rFonts w:ascii="宋体" w:hAnsi="宋体" w:cs="宋体"/>
                <w:color w:val="auto"/>
                <w:sz w:val="20"/>
                <w:szCs w:val="20"/>
                <w:highlight w:val="none"/>
                <w:lang w:eastAsia="en-US"/>
              </w:rPr>
            </w:pPr>
            <w:r>
              <w:rPr>
                <w:rFonts w:ascii="宋体" w:hAnsi="宋体" w:cs="宋体"/>
                <w:color w:val="auto"/>
                <w:spacing w:val="-2"/>
                <w:sz w:val="20"/>
                <w:szCs w:val="20"/>
                <w:highlight w:val="none"/>
                <w:lang w:eastAsia="en-US"/>
              </w:rPr>
              <w:t xml:space="preserve">计划执行情况</w:t>
            </w:r>
            <w:r/>
          </w:p>
        </w:tc>
        <w:tc>
          <w:tcPr>
            <w:tcW w:w="4627" w:type="dxa"/>
            <w:textDirection w:val="lrTb"/>
            <w:noWrap w:val="false"/>
          </w:tcPr>
          <w:p>
            <w:pPr>
              <w:ind w:left="83" w:right="87"/>
              <w:jc w:val="left"/>
              <w:spacing w:before="69" w:line="249"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抽检的类型、品种、批次、区域、环节、场所等符合采购人的要求。</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r>
        <w:trPr>
          <w:trHeight w:val="349"/>
        </w:trPr>
        <w:tc>
          <w:tcPr>
            <w:tcW w:w="621" w:type="dxa"/>
            <w:vAlign w:val="center"/>
            <w:textDirection w:val="lrTb"/>
            <w:noWrap w:val="false"/>
          </w:tcPr>
          <w:p>
            <w:pPr>
              <w:jc w:val="center"/>
              <w:spacing w:before="131" w:line="183"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2</w:t>
            </w:r>
            <w:r/>
          </w:p>
        </w:tc>
        <w:tc>
          <w:tcPr>
            <w:gridSpan w:val="2"/>
            <w:tcW w:w="2577" w:type="dxa"/>
            <w:textDirection w:val="lrTb"/>
            <w:noWrap w:val="false"/>
          </w:tcPr>
          <w:p>
            <w:pPr>
              <w:ind w:left="550"/>
              <w:jc w:val="left"/>
              <w:spacing w:before="80" w:line="219" w:lineRule="auto"/>
              <w:rPr>
                <w:rFonts w:ascii="宋体" w:hAnsi="宋体" w:cs="宋体"/>
                <w:color w:val="auto"/>
                <w:sz w:val="20"/>
                <w:szCs w:val="20"/>
                <w:highlight w:val="none"/>
                <w:lang w:eastAsia="en-US"/>
              </w:rPr>
            </w:pPr>
            <w:r>
              <w:rPr>
                <w:rFonts w:ascii="宋体" w:hAnsi="宋体" w:cs="宋体"/>
                <w:color w:val="auto"/>
                <w:spacing w:val="-1"/>
                <w:sz w:val="20"/>
                <w:szCs w:val="20"/>
                <w:highlight w:val="none"/>
                <w:lang w:eastAsia="en-US"/>
              </w:rPr>
              <w:t xml:space="preserve">任务完成时限</w:t>
            </w:r>
            <w:r/>
          </w:p>
        </w:tc>
        <w:tc>
          <w:tcPr>
            <w:tcW w:w="4627" w:type="dxa"/>
            <w:textDirection w:val="lrTb"/>
            <w:noWrap w:val="false"/>
          </w:tcPr>
          <w:p>
            <w:pPr>
              <w:ind w:left="83"/>
              <w:jc w:val="left"/>
              <w:spacing w:before="78" w:line="219" w:lineRule="auto"/>
              <w:rPr>
                <w:rFonts w:ascii="宋体" w:hAnsi="宋体" w:cs="宋体"/>
                <w:color w:val="auto"/>
                <w:sz w:val="20"/>
                <w:szCs w:val="20"/>
                <w:highlight w:val="none"/>
              </w:rPr>
            </w:pPr>
            <w:r>
              <w:rPr>
                <w:rFonts w:ascii="宋体" w:hAnsi="宋体" w:cs="宋体"/>
                <w:color w:val="auto"/>
                <w:sz w:val="20"/>
                <w:szCs w:val="20"/>
                <w:highlight w:val="none"/>
              </w:rPr>
              <w:t xml:space="preserve">任务完成时限和均衡推进度符合采购人的要</w:t>
            </w:r>
            <w:r>
              <w:rPr>
                <w:rFonts w:ascii="宋体" w:hAnsi="宋体" w:cs="宋体"/>
                <w:color w:val="auto"/>
                <w:spacing w:val="-1"/>
                <w:sz w:val="20"/>
                <w:szCs w:val="20"/>
                <w:highlight w:val="none"/>
              </w:rPr>
              <w:t xml:space="preserve">求。</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r>
        <w:trPr>
          <w:trHeight w:val="369"/>
        </w:trPr>
        <w:tc>
          <w:tcPr>
            <w:tcW w:w="621" w:type="dxa"/>
            <w:vAlign w:val="center"/>
            <w:textDirection w:val="lrTb"/>
            <w:noWrap w:val="false"/>
          </w:tcPr>
          <w:p>
            <w:pPr>
              <w:jc w:val="center"/>
              <w:spacing w:before="142" w:line="183"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3</w:t>
            </w:r>
            <w:r/>
          </w:p>
        </w:tc>
        <w:tc>
          <w:tcPr>
            <w:tcBorders>
              <w:bottom w:val="none" w:color="000000" w:sz="4" w:space="0"/>
            </w:tcBorders>
            <w:tcW w:w="1118" w:type="dxa"/>
            <w:vMerge w:val="restart"/>
            <w:textDirection w:val="lrTb"/>
            <w:noWrap w:val="false"/>
          </w:tcPr>
          <w:p>
            <w:pPr>
              <w:jc w:val="left"/>
              <w:spacing w:line="423" w:lineRule="auto"/>
              <w:widowControl/>
              <w:rPr>
                <w:rFonts w:ascii="Arial" w:hAnsi="Arial" w:eastAsia="Arial" w:cs="Arial"/>
                <w:color w:val="auto"/>
                <w:highlight w:val="none"/>
                <w:lang w:eastAsia="en-US"/>
              </w:rPr>
            </w:pPr>
            <w:r>
              <w:rPr>
                <w:rFonts w:ascii="Arial" w:hAnsi="Arial" w:eastAsia="Arial" w:cs="Arial"/>
                <w:color w:val="auto"/>
                <w:highlight w:val="none"/>
                <w:lang w:eastAsia="en-US"/>
              </w:rPr>
            </w:r>
            <w:r/>
          </w:p>
          <w:p>
            <w:pPr>
              <w:ind w:left="339" w:right="155" w:hanging="199"/>
              <w:spacing w:before="65" w:line="246" w:lineRule="auto"/>
              <w:rPr>
                <w:rFonts w:ascii="宋体" w:hAnsi="宋体" w:cs="宋体"/>
                <w:color w:val="auto"/>
                <w:sz w:val="20"/>
                <w:szCs w:val="20"/>
                <w:highlight w:val="none"/>
                <w:lang w:eastAsia="en-US"/>
              </w:rPr>
            </w:pPr>
            <w:r>
              <w:rPr>
                <w:rFonts w:ascii="宋体" w:hAnsi="宋体" w:cs="宋体"/>
                <w:color w:val="auto"/>
                <w:spacing w:val="-2"/>
                <w:sz w:val="20"/>
                <w:szCs w:val="20"/>
                <w:highlight w:val="none"/>
                <w:lang w:eastAsia="en-US"/>
              </w:rPr>
              <w:t xml:space="preserve">任务完成</w:t>
            </w:r>
            <w:r>
              <w:rPr>
                <w:rFonts w:ascii="宋体" w:hAnsi="宋体" w:cs="宋体"/>
                <w:color w:val="auto"/>
                <w:spacing w:val="-3"/>
                <w:sz w:val="20"/>
                <w:szCs w:val="20"/>
                <w:highlight w:val="none"/>
                <w:lang w:eastAsia="en-US"/>
              </w:rPr>
              <w:t xml:space="preserve">质量</w:t>
            </w:r>
            <w:r/>
          </w:p>
        </w:tc>
        <w:tc>
          <w:tcPr>
            <w:tcW w:w="1459" w:type="dxa"/>
            <w:textDirection w:val="lrTb"/>
            <w:noWrap w:val="false"/>
          </w:tcPr>
          <w:p>
            <w:pPr>
              <w:ind w:left="101"/>
              <w:jc w:val="left"/>
              <w:spacing w:before="91" w:line="219" w:lineRule="auto"/>
              <w:rPr>
                <w:rFonts w:ascii="宋体" w:hAnsi="宋体" w:cs="宋体"/>
                <w:color w:val="auto"/>
                <w:sz w:val="20"/>
                <w:szCs w:val="20"/>
                <w:highlight w:val="none"/>
                <w:lang w:eastAsia="en-US"/>
              </w:rPr>
            </w:pPr>
            <w:r>
              <w:rPr>
                <w:rFonts w:ascii="宋体" w:hAnsi="宋体" w:cs="宋体"/>
                <w:color w:val="auto"/>
                <w:spacing w:val="1"/>
                <w:sz w:val="20"/>
                <w:szCs w:val="20"/>
                <w:highlight w:val="none"/>
                <w:lang w:eastAsia="en-US"/>
              </w:rPr>
              <w:t xml:space="preserve">问题发现率</w:t>
            </w:r>
            <w:r/>
          </w:p>
        </w:tc>
        <w:tc>
          <w:tcPr>
            <w:tcW w:w="4627" w:type="dxa"/>
            <w:textDirection w:val="lrTb"/>
            <w:noWrap w:val="false"/>
          </w:tcPr>
          <w:p>
            <w:pPr>
              <w:ind w:left="83"/>
              <w:jc w:val="left"/>
              <w:spacing w:before="89" w:line="219"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不合格/问题样品发现率符合采购要求。</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r>
        <w:trPr>
          <w:trHeight w:val="609"/>
        </w:trPr>
        <w:tc>
          <w:tcPr>
            <w:tcW w:w="621" w:type="dxa"/>
            <w:vAlign w:val="center"/>
            <w:textDirection w:val="lrTb"/>
            <w:noWrap w:val="false"/>
          </w:tcPr>
          <w:p>
            <w:pPr>
              <w:jc w:val="center"/>
              <w:spacing w:before="263" w:line="183"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4</w:t>
            </w:r>
            <w:r/>
          </w:p>
        </w:tc>
        <w:tc>
          <w:tcPr>
            <w:tcBorders>
              <w:top w:val="none" w:color="000000" w:sz="4" w:space="0"/>
              <w:bottom w:val="none" w:color="000000" w:sz="4" w:space="0"/>
            </w:tcBorders>
            <w:tcW w:w="1118" w:type="dxa"/>
            <w:vMerge w:val="continue"/>
            <w:textDirection w:val="lrTb"/>
            <w:noWrap w:val="false"/>
          </w:tcPr>
          <w:p>
            <w:pPr>
              <w:jc w:val="left"/>
              <w:widowControl/>
              <w:rPr>
                <w:rFonts w:ascii="Arial" w:hAnsi="Arial" w:eastAsia="Arial" w:cs="Arial"/>
                <w:color w:val="auto"/>
                <w:highlight w:val="none"/>
                <w:lang w:eastAsia="en-US"/>
              </w:rPr>
            </w:pPr>
            <w:r>
              <w:rPr>
                <w:rFonts w:ascii="Arial" w:hAnsi="Arial" w:eastAsia="Arial" w:cs="Arial"/>
                <w:color w:val="auto"/>
                <w:highlight w:val="none"/>
                <w:lang w:eastAsia="en-US"/>
              </w:rPr>
            </w:r>
            <w:r/>
          </w:p>
        </w:tc>
        <w:tc>
          <w:tcPr>
            <w:tcW w:w="1459" w:type="dxa"/>
            <w:textDirection w:val="lrTb"/>
            <w:noWrap w:val="false"/>
          </w:tcPr>
          <w:p>
            <w:pPr>
              <w:ind w:left="201"/>
              <w:jc w:val="left"/>
              <w:spacing w:before="212" w:line="219" w:lineRule="auto"/>
              <w:rPr>
                <w:rFonts w:ascii="宋体" w:hAnsi="宋体" w:cs="宋体"/>
                <w:color w:val="auto"/>
                <w:sz w:val="20"/>
                <w:szCs w:val="20"/>
                <w:highlight w:val="none"/>
                <w:lang w:eastAsia="en-US"/>
              </w:rPr>
            </w:pPr>
            <w:r>
              <w:rPr>
                <w:rFonts w:ascii="宋体" w:hAnsi="宋体" w:cs="宋体"/>
                <w:color w:val="auto"/>
                <w:spacing w:val="-2"/>
                <w:sz w:val="20"/>
                <w:szCs w:val="20"/>
                <w:highlight w:val="none"/>
                <w:lang w:eastAsia="en-US"/>
              </w:rPr>
              <w:t xml:space="preserve">数据质量</w:t>
            </w:r>
            <w:r/>
          </w:p>
        </w:tc>
        <w:tc>
          <w:tcPr>
            <w:tcW w:w="4627" w:type="dxa"/>
            <w:textDirection w:val="lrTb"/>
            <w:noWrap w:val="false"/>
          </w:tcPr>
          <w:p>
            <w:pPr>
              <w:ind w:left="83" w:right="87"/>
              <w:jc w:val="left"/>
              <w:spacing w:before="72" w:line="243"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被抽查数据的准确性、规范性以及数据退修率等符合采购人的要求。</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r>
        <w:trPr>
          <w:trHeight w:val="399"/>
        </w:trPr>
        <w:tc>
          <w:tcPr>
            <w:tcW w:w="621" w:type="dxa"/>
            <w:vAlign w:val="center"/>
            <w:textDirection w:val="lrTb"/>
            <w:noWrap w:val="false"/>
          </w:tcPr>
          <w:p>
            <w:pPr>
              <w:jc w:val="center"/>
              <w:spacing w:before="155" w:line="182"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5</w:t>
            </w:r>
            <w:r/>
          </w:p>
        </w:tc>
        <w:tc>
          <w:tcPr>
            <w:tcBorders>
              <w:top w:val="none" w:color="000000" w:sz="4" w:space="0"/>
            </w:tcBorders>
            <w:tcW w:w="1118" w:type="dxa"/>
            <w:vMerge w:val="continue"/>
            <w:textDirection w:val="lrTb"/>
            <w:noWrap w:val="false"/>
          </w:tcPr>
          <w:p>
            <w:pPr>
              <w:jc w:val="left"/>
              <w:widowControl/>
              <w:rPr>
                <w:rFonts w:ascii="Arial" w:hAnsi="Arial" w:eastAsia="Arial" w:cs="Arial"/>
                <w:color w:val="auto"/>
                <w:highlight w:val="none"/>
                <w:lang w:eastAsia="en-US"/>
              </w:rPr>
            </w:pPr>
            <w:r>
              <w:rPr>
                <w:rFonts w:ascii="Arial" w:hAnsi="Arial" w:eastAsia="Arial" w:cs="Arial"/>
                <w:color w:val="auto"/>
                <w:highlight w:val="none"/>
                <w:lang w:eastAsia="en-US"/>
              </w:rPr>
            </w:r>
            <w:r/>
          </w:p>
        </w:tc>
        <w:tc>
          <w:tcPr>
            <w:tcW w:w="1459" w:type="dxa"/>
            <w:textDirection w:val="lrTb"/>
            <w:noWrap w:val="false"/>
          </w:tcPr>
          <w:p>
            <w:pPr>
              <w:ind w:left="201"/>
              <w:jc w:val="left"/>
              <w:spacing w:before="103" w:line="219" w:lineRule="auto"/>
              <w:rPr>
                <w:rFonts w:ascii="宋体" w:hAnsi="宋体" w:cs="宋体"/>
                <w:color w:val="auto"/>
                <w:sz w:val="20"/>
                <w:szCs w:val="20"/>
                <w:highlight w:val="none"/>
                <w:lang w:eastAsia="en-US"/>
              </w:rPr>
            </w:pPr>
            <w:r>
              <w:rPr>
                <w:rFonts w:ascii="宋体" w:hAnsi="宋体" w:cs="宋体"/>
                <w:color w:val="auto"/>
                <w:spacing w:val="2"/>
                <w:sz w:val="20"/>
                <w:szCs w:val="20"/>
                <w:highlight w:val="none"/>
                <w:lang w:eastAsia="en-US"/>
              </w:rPr>
              <w:t xml:space="preserve">复检异议</w:t>
            </w:r>
            <w:r/>
          </w:p>
        </w:tc>
        <w:tc>
          <w:tcPr>
            <w:tcW w:w="4627" w:type="dxa"/>
            <w:textDirection w:val="lrTb"/>
            <w:noWrap w:val="false"/>
          </w:tcPr>
          <w:p>
            <w:pPr>
              <w:ind w:left="83"/>
              <w:jc w:val="left"/>
              <w:spacing w:before="103" w:line="219"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复检被推翻原结论、异议被认可的情况。</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r>
        <w:trPr>
          <w:trHeight w:val="689"/>
        </w:trPr>
        <w:tc>
          <w:tcPr>
            <w:tcW w:w="621" w:type="dxa"/>
            <w:vAlign w:val="center"/>
            <w:textDirection w:val="lrTb"/>
            <w:noWrap w:val="false"/>
          </w:tcPr>
          <w:p>
            <w:pPr>
              <w:jc w:val="center"/>
              <w:spacing w:before="305" w:line="183"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6</w:t>
            </w:r>
            <w:r/>
          </w:p>
        </w:tc>
        <w:tc>
          <w:tcPr>
            <w:gridSpan w:val="2"/>
            <w:tcW w:w="2577" w:type="dxa"/>
            <w:textDirection w:val="lrTb"/>
            <w:noWrap w:val="false"/>
          </w:tcPr>
          <w:p>
            <w:pPr>
              <w:ind w:left="550"/>
              <w:jc w:val="left"/>
              <w:spacing w:before="252" w:line="218" w:lineRule="auto"/>
              <w:rPr>
                <w:rFonts w:ascii="宋体" w:hAnsi="宋体" w:cs="宋体"/>
                <w:color w:val="auto"/>
                <w:sz w:val="20"/>
                <w:szCs w:val="20"/>
                <w:highlight w:val="none"/>
                <w:lang w:eastAsia="en-US"/>
              </w:rPr>
            </w:pPr>
            <w:r>
              <w:rPr>
                <w:rFonts w:ascii="宋体" w:hAnsi="宋体" w:cs="宋体"/>
                <w:color w:val="auto"/>
                <w:spacing w:val="-2"/>
                <w:sz w:val="20"/>
                <w:szCs w:val="20"/>
                <w:highlight w:val="none"/>
                <w:lang w:eastAsia="en-US"/>
              </w:rPr>
              <w:t xml:space="preserve">分析报告质量</w:t>
            </w:r>
            <w:r/>
          </w:p>
        </w:tc>
        <w:tc>
          <w:tcPr>
            <w:tcW w:w="4627" w:type="dxa"/>
            <w:textDirection w:val="lrTb"/>
            <w:noWrap w:val="false"/>
          </w:tcPr>
          <w:p>
            <w:pPr>
              <w:ind w:left="83"/>
              <w:jc w:val="left"/>
              <w:spacing w:before="122" w:line="257" w:lineRule="auto"/>
              <w:rPr>
                <w:rFonts w:ascii="宋体" w:hAnsi="宋体" w:cs="宋体"/>
                <w:color w:val="auto"/>
                <w:sz w:val="20"/>
                <w:szCs w:val="20"/>
                <w:highlight w:val="none"/>
              </w:rPr>
            </w:pPr>
            <w:r>
              <w:rPr>
                <w:rFonts w:ascii="宋体" w:hAnsi="宋体" w:cs="宋体"/>
                <w:color w:val="auto"/>
                <w:spacing w:val="-5"/>
                <w:sz w:val="20"/>
                <w:szCs w:val="20"/>
                <w:highlight w:val="none"/>
              </w:rPr>
              <w:t xml:space="preserve">分析报告全面、详实、有针对性，风险提示清晰明确、</w:t>
            </w:r>
            <w:r>
              <w:rPr>
                <w:rFonts w:ascii="宋体" w:hAnsi="宋体" w:cs="宋体"/>
                <w:color w:val="auto"/>
                <w:sz w:val="20"/>
                <w:szCs w:val="20"/>
                <w:highlight w:val="none"/>
              </w:rPr>
              <w:t xml:space="preserve"> </w:t>
            </w:r>
            <w:r>
              <w:rPr>
                <w:rFonts w:ascii="宋体" w:hAnsi="宋体" w:cs="宋体"/>
                <w:color w:val="auto"/>
                <w:spacing w:val="-4"/>
                <w:sz w:val="20"/>
                <w:szCs w:val="20"/>
                <w:highlight w:val="none"/>
              </w:rPr>
              <w:t xml:space="preserve">建议切实可行，符合采购人的要求。</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r>
        <w:trPr>
          <w:trHeight w:val="649"/>
        </w:trPr>
        <w:tc>
          <w:tcPr>
            <w:tcW w:w="621" w:type="dxa"/>
            <w:vAlign w:val="center"/>
            <w:textDirection w:val="lrTb"/>
            <w:noWrap w:val="false"/>
          </w:tcPr>
          <w:p>
            <w:pPr>
              <w:jc w:val="center"/>
              <w:spacing w:before="287" w:line="182"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7</w:t>
            </w:r>
            <w:r/>
          </w:p>
        </w:tc>
        <w:tc>
          <w:tcPr>
            <w:gridSpan w:val="2"/>
            <w:tcW w:w="2577" w:type="dxa"/>
            <w:textDirection w:val="lrTb"/>
            <w:noWrap w:val="false"/>
          </w:tcPr>
          <w:p>
            <w:pPr>
              <w:ind w:left="850" w:right="363" w:hanging="499"/>
              <w:jc w:val="left"/>
              <w:spacing w:before="114" w:line="242"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服务保障支撑监管</w:t>
            </w:r>
            <w:r>
              <w:rPr>
                <w:rFonts w:ascii="宋体" w:hAnsi="宋体" w:cs="宋体"/>
                <w:color w:val="auto"/>
                <w:sz w:val="20"/>
                <w:szCs w:val="20"/>
                <w:highlight w:val="none"/>
              </w:rPr>
              <w:t xml:space="preserve"> </w:t>
            </w:r>
            <w:r>
              <w:rPr>
                <w:rFonts w:ascii="宋体" w:hAnsi="宋体" w:cs="宋体"/>
                <w:color w:val="auto"/>
                <w:spacing w:val="2"/>
                <w:sz w:val="20"/>
                <w:szCs w:val="20"/>
                <w:highlight w:val="none"/>
              </w:rPr>
              <w:t xml:space="preserve">的情况</w:t>
            </w:r>
            <w:r/>
          </w:p>
        </w:tc>
        <w:tc>
          <w:tcPr>
            <w:tcW w:w="4627" w:type="dxa"/>
            <w:textDirection w:val="lrTb"/>
            <w:noWrap w:val="false"/>
          </w:tcPr>
          <w:p>
            <w:pPr>
              <w:ind w:left="83" w:right="87"/>
              <w:jc w:val="left"/>
              <w:spacing w:before="95" w:line="251"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应急响应、服务保障等监管特殊要求符合采购人的要求。</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r>
        <w:trPr>
          <w:trHeight w:val="399"/>
        </w:trPr>
        <w:tc>
          <w:tcPr>
            <w:tcW w:w="621" w:type="dxa"/>
            <w:vAlign w:val="center"/>
            <w:textDirection w:val="lrTb"/>
            <w:noWrap w:val="false"/>
          </w:tcPr>
          <w:p>
            <w:pPr>
              <w:jc w:val="center"/>
              <w:spacing w:before="157" w:line="183"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8</w:t>
            </w:r>
            <w:r/>
          </w:p>
        </w:tc>
        <w:tc>
          <w:tcPr>
            <w:gridSpan w:val="2"/>
            <w:tcW w:w="2577" w:type="dxa"/>
            <w:textDirection w:val="lrTb"/>
            <w:noWrap w:val="false"/>
          </w:tcPr>
          <w:p>
            <w:pPr>
              <w:ind w:left="550"/>
              <w:jc w:val="left"/>
              <w:spacing w:before="106" w:line="219" w:lineRule="auto"/>
              <w:rPr>
                <w:rFonts w:ascii="宋体" w:hAnsi="宋体" w:cs="宋体"/>
                <w:color w:val="auto"/>
                <w:sz w:val="20"/>
                <w:szCs w:val="20"/>
                <w:highlight w:val="none"/>
                <w:lang w:eastAsia="en-US"/>
              </w:rPr>
            </w:pPr>
            <w:r>
              <w:rPr>
                <w:rFonts w:ascii="宋体" w:hAnsi="宋体" w:cs="宋体"/>
                <w:color w:val="auto"/>
                <w:spacing w:val="-2"/>
                <w:sz w:val="20"/>
                <w:szCs w:val="20"/>
                <w:highlight w:val="none"/>
                <w:lang w:eastAsia="en-US"/>
              </w:rPr>
              <w:t xml:space="preserve">工作纪律情况</w:t>
            </w:r>
            <w:r/>
          </w:p>
        </w:tc>
        <w:tc>
          <w:tcPr>
            <w:tcW w:w="4627" w:type="dxa"/>
            <w:textDirection w:val="lrTb"/>
            <w:noWrap w:val="false"/>
          </w:tcPr>
          <w:p>
            <w:pPr>
              <w:jc w:val="right"/>
              <w:spacing w:before="104" w:line="219" w:lineRule="auto"/>
              <w:rPr>
                <w:rFonts w:ascii="宋体" w:hAnsi="宋体" w:cs="宋体"/>
                <w:color w:val="auto"/>
                <w:sz w:val="20"/>
                <w:szCs w:val="20"/>
                <w:highlight w:val="none"/>
              </w:rPr>
            </w:pPr>
            <w:r>
              <w:rPr>
                <w:rFonts w:ascii="宋体" w:hAnsi="宋体" w:cs="宋体"/>
                <w:color w:val="auto"/>
                <w:spacing w:val="-5"/>
                <w:sz w:val="20"/>
                <w:szCs w:val="20"/>
                <w:highlight w:val="none"/>
              </w:rPr>
              <w:t xml:space="preserve">遵守法律法规、抽样和检验纪律等符合采购人的要求。</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r>
        <w:trPr>
          <w:trHeight w:val="609"/>
        </w:trPr>
        <w:tc>
          <w:tcPr>
            <w:tcW w:w="621" w:type="dxa"/>
            <w:vAlign w:val="center"/>
            <w:textDirection w:val="lrTb"/>
            <w:noWrap w:val="false"/>
          </w:tcPr>
          <w:p>
            <w:pPr>
              <w:jc w:val="center"/>
              <w:spacing w:before="268" w:line="183" w:lineRule="auto"/>
              <w:rPr>
                <w:rFonts w:ascii="宋体" w:hAnsi="宋体" w:cs="宋体"/>
                <w:color w:val="auto"/>
                <w:sz w:val="20"/>
                <w:szCs w:val="20"/>
                <w:highlight w:val="none"/>
                <w:lang w:eastAsia="en-US"/>
              </w:rPr>
            </w:pPr>
            <w:r>
              <w:rPr>
                <w:rFonts w:ascii="宋体" w:hAnsi="宋体" w:cs="宋体"/>
                <w:color w:val="auto"/>
                <w:sz w:val="20"/>
                <w:szCs w:val="20"/>
                <w:highlight w:val="none"/>
                <w:lang w:eastAsia="en-US"/>
              </w:rPr>
              <w:t xml:space="preserve">9</w:t>
            </w:r>
            <w:r/>
          </w:p>
        </w:tc>
        <w:tc>
          <w:tcPr>
            <w:gridSpan w:val="2"/>
            <w:tcW w:w="2577" w:type="dxa"/>
            <w:textDirection w:val="lrTb"/>
            <w:noWrap w:val="false"/>
          </w:tcPr>
          <w:p>
            <w:pPr>
              <w:ind w:left="550" w:right="564" w:firstLine="99"/>
              <w:jc w:val="left"/>
              <w:spacing w:before="76" w:line="241" w:lineRule="auto"/>
              <w:rPr>
                <w:rFonts w:ascii="宋体" w:hAnsi="宋体" w:cs="宋体"/>
                <w:color w:val="auto"/>
                <w:sz w:val="20"/>
                <w:szCs w:val="20"/>
                <w:highlight w:val="none"/>
              </w:rPr>
            </w:pPr>
            <w:r>
              <w:rPr>
                <w:rFonts w:ascii="宋体" w:hAnsi="宋体" w:cs="宋体"/>
                <w:color w:val="auto"/>
                <w:spacing w:val="3"/>
                <w:sz w:val="20"/>
                <w:szCs w:val="20"/>
                <w:highlight w:val="none"/>
              </w:rPr>
              <w:t xml:space="preserve">合同规定的</w:t>
            </w:r>
            <w:r>
              <w:rPr>
                <w:rFonts w:ascii="宋体" w:hAnsi="宋体" w:cs="宋体"/>
                <w:color w:val="auto"/>
                <w:sz w:val="20"/>
                <w:szCs w:val="20"/>
                <w:highlight w:val="none"/>
              </w:rPr>
              <w:t xml:space="preserve"> </w:t>
            </w:r>
            <w:r>
              <w:rPr>
                <w:rFonts w:ascii="宋体" w:hAnsi="宋体" w:cs="宋体"/>
                <w:color w:val="auto"/>
                <w:spacing w:val="-2"/>
                <w:sz w:val="20"/>
                <w:szCs w:val="20"/>
                <w:highlight w:val="none"/>
              </w:rPr>
              <w:t xml:space="preserve">其他履约情况</w:t>
            </w:r>
            <w:r/>
          </w:p>
        </w:tc>
        <w:tc>
          <w:tcPr>
            <w:tcW w:w="4627" w:type="dxa"/>
            <w:textDirection w:val="lrTb"/>
            <w:noWrap w:val="false"/>
          </w:tcPr>
          <w:p>
            <w:pPr>
              <w:ind w:left="83"/>
              <w:jc w:val="left"/>
              <w:spacing w:before="216" w:line="219" w:lineRule="auto"/>
              <w:rPr>
                <w:rFonts w:ascii="宋体" w:hAnsi="宋体" w:cs="宋体"/>
                <w:color w:val="auto"/>
                <w:sz w:val="20"/>
                <w:szCs w:val="20"/>
                <w:highlight w:val="none"/>
                <w:lang w:eastAsia="en-US"/>
              </w:rPr>
            </w:pPr>
            <w:r>
              <w:rPr>
                <w:rFonts w:ascii="宋体" w:hAnsi="宋体" w:cs="宋体"/>
                <w:color w:val="auto"/>
                <w:spacing w:val="-1"/>
                <w:sz w:val="20"/>
                <w:szCs w:val="20"/>
                <w:highlight w:val="none"/>
                <w:lang w:eastAsia="en-US"/>
              </w:rPr>
              <w:t xml:space="preserve">符合合同书要求。</w:t>
            </w:r>
            <w:r/>
          </w:p>
        </w:tc>
        <w:tc>
          <w:tcPr>
            <w:tcW w:w="1084" w:type="dxa"/>
            <w:textDirection w:val="lrTb"/>
            <w:noWrap w:val="false"/>
          </w:tcPr>
          <w:p>
            <w:pPr>
              <w:jc w:val="left"/>
              <w:widowControl/>
              <w:rPr>
                <w:rFonts w:ascii="Arial" w:hAnsi="Arial" w:eastAsia="Arial" w:cs="Arial"/>
                <w:color w:val="auto"/>
                <w:highlight w:val="none"/>
                <w:lang w:eastAsia="en-US"/>
              </w:rPr>
            </w:pPr>
            <w:r>
              <w:rPr>
                <w:rFonts w:ascii="Arial" w:hAnsi="Arial" w:eastAsia="Arial" w:cs="Arial"/>
                <w:color w:val="auto"/>
                <w:highlight w:val="none"/>
                <w:lang w:eastAsia="en-US"/>
              </w:rPr>
            </w:r>
            <w:r/>
          </w:p>
        </w:tc>
      </w:tr>
      <w:tr>
        <w:trPr>
          <w:trHeight w:val="624"/>
        </w:trPr>
        <w:tc>
          <w:tcPr>
            <w:tcW w:w="621" w:type="dxa"/>
            <w:vAlign w:val="center"/>
            <w:textDirection w:val="lrTb"/>
            <w:noWrap w:val="false"/>
          </w:tcPr>
          <w:p>
            <w:pPr>
              <w:jc w:val="center"/>
              <w:spacing w:before="65" w:line="184" w:lineRule="auto"/>
              <w:rPr>
                <w:rFonts w:ascii="宋体" w:hAnsi="宋体" w:cs="宋体"/>
                <w:color w:val="auto"/>
                <w:sz w:val="20"/>
                <w:szCs w:val="20"/>
                <w:highlight w:val="none"/>
                <w:lang w:eastAsia="en-US"/>
              </w:rPr>
            </w:pPr>
            <w:r>
              <w:rPr>
                <w:rFonts w:ascii="宋体" w:hAnsi="宋体" w:cs="宋体"/>
                <w:color w:val="auto"/>
                <w:spacing w:val="-6"/>
                <w:sz w:val="20"/>
                <w:szCs w:val="20"/>
                <w:highlight w:val="none"/>
                <w:lang w:eastAsia="en-US"/>
              </w:rPr>
              <w:t xml:space="preserve">10</w:t>
            </w:r>
            <w:r/>
          </w:p>
        </w:tc>
        <w:tc>
          <w:tcPr>
            <w:gridSpan w:val="2"/>
            <w:tcW w:w="2577" w:type="dxa"/>
            <w:textDirection w:val="lrTb"/>
            <w:noWrap w:val="false"/>
          </w:tcPr>
          <w:p>
            <w:pPr>
              <w:ind w:left="550" w:right="340" w:hanging="199"/>
              <w:jc w:val="left"/>
              <w:spacing w:before="87" w:line="243" w:lineRule="auto"/>
              <w:rPr>
                <w:rFonts w:ascii="宋体" w:hAnsi="宋体" w:cs="宋体"/>
                <w:color w:val="auto"/>
                <w:sz w:val="20"/>
                <w:szCs w:val="20"/>
                <w:highlight w:val="none"/>
              </w:rPr>
            </w:pPr>
            <w:r>
              <w:rPr>
                <w:rFonts w:ascii="宋体" w:hAnsi="宋体" w:cs="宋体"/>
                <w:color w:val="auto"/>
                <w:spacing w:val="1"/>
                <w:sz w:val="20"/>
                <w:szCs w:val="20"/>
                <w:highlight w:val="none"/>
              </w:rPr>
              <w:t xml:space="preserve">采购人认为需要的</w:t>
            </w:r>
            <w:r>
              <w:rPr>
                <w:rFonts w:ascii="宋体" w:hAnsi="宋体" w:cs="宋体"/>
                <w:color w:val="auto"/>
                <w:spacing w:val="6"/>
                <w:sz w:val="20"/>
                <w:szCs w:val="20"/>
                <w:highlight w:val="none"/>
              </w:rPr>
              <w:t xml:space="preserve"> </w:t>
            </w:r>
            <w:r>
              <w:rPr>
                <w:rFonts w:ascii="宋体" w:hAnsi="宋体" w:cs="宋体"/>
                <w:color w:val="auto"/>
                <w:spacing w:val="-2"/>
                <w:sz w:val="20"/>
                <w:szCs w:val="20"/>
                <w:highlight w:val="none"/>
              </w:rPr>
              <w:t xml:space="preserve">其他验收内容</w:t>
            </w:r>
            <w:r/>
          </w:p>
        </w:tc>
        <w:tc>
          <w:tcPr>
            <w:tcW w:w="4627" w:type="dxa"/>
            <w:textDirection w:val="lrTb"/>
            <w:noWrap w:val="false"/>
          </w:tcPr>
          <w:p>
            <w:pPr>
              <w:jc w:val="left"/>
              <w:spacing w:before="224" w:line="224" w:lineRule="auto"/>
              <w:rPr>
                <w:rFonts w:ascii="宋体" w:hAnsi="宋体" w:cs="宋体"/>
                <w:color w:val="auto"/>
                <w:sz w:val="20"/>
                <w:szCs w:val="20"/>
                <w:highlight w:val="none"/>
              </w:rPr>
            </w:pPr>
            <w:r>
              <w:rPr>
                <w:rFonts w:hint="eastAsia" w:ascii="宋体" w:hAnsi="宋体" w:cs="宋体"/>
                <w:color w:val="auto"/>
                <w:sz w:val="20"/>
                <w:szCs w:val="20"/>
                <w:highlight w:val="none"/>
              </w:rPr>
              <w:t xml:space="preserve">根据项目最终实际进行验收</w:t>
            </w:r>
            <w:r/>
          </w:p>
        </w:tc>
        <w:tc>
          <w:tcPr>
            <w:tcW w:w="1084" w:type="dxa"/>
            <w:textDirection w:val="lrTb"/>
            <w:noWrap w:val="false"/>
          </w:tcPr>
          <w:p>
            <w:pPr>
              <w:jc w:val="left"/>
              <w:widowControl/>
              <w:rPr>
                <w:rFonts w:ascii="Arial" w:hAnsi="Arial" w:eastAsia="Arial" w:cs="Arial"/>
                <w:color w:val="auto"/>
                <w:highlight w:val="none"/>
              </w:rPr>
            </w:pPr>
            <w:r>
              <w:rPr>
                <w:rFonts w:ascii="Arial" w:hAnsi="Arial" w:eastAsia="Arial" w:cs="Arial"/>
                <w:color w:val="auto"/>
                <w:highlight w:val="none"/>
              </w:rPr>
            </w:r>
            <w:r/>
          </w:p>
        </w:tc>
      </w:tr>
    </w:tbl>
    <w:p>
      <w:pPr>
        <w:spacing w:line="500" w:lineRule="exact"/>
        <w:widowControl/>
        <w:rPr>
          <w:rFonts w:ascii="Calibri" w:hAnsi="宋体" w:cs="宋体"/>
          <w:b/>
          <w:bCs/>
          <w:color w:val="auto"/>
          <w:sz w:val="24"/>
          <w:szCs w:val="24"/>
          <w:highlight w:val="none"/>
        </w:rPr>
      </w:pPr>
      <w:r>
        <w:rPr>
          <w:rFonts w:hint="eastAsia" w:ascii="Calibri" w:hAnsi="宋体" w:cs="宋体"/>
          <w:b/>
          <w:bCs/>
          <w:color w:val="auto"/>
          <w:sz w:val="24"/>
          <w:szCs w:val="24"/>
          <w:highlight w:val="none"/>
        </w:rPr>
        <w:t xml:space="preserve">五、项目履约要求</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1因违反抽样、检验、信息披露等相关规定的，委托方有权取消其承检资格并追究其经济赔偿责任和法律责任。</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2中标单位未征得采购方同意，不得将检验任务外包或分包给其他检测机构检验，一经发现，立即取消承检机构资格，任何款项不予支付。原合同约定由其承检的批次数，由其余中标人承担。</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3中标单位承检的检验任务必须由其投标文件中载明的实验室负责检验，否则视为违约，取消承检机构库资格，任何款项不予支付。原合同约定由其承检的批次数，由其余中标人承担。</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4采样工具和车辆数量充足、质量精良，具有冷藏冷冻食品的运输车辆和设施。</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lang w:val="zh-CN"/>
        </w:rPr>
        <w:t xml:space="preserve">5</w:t>
      </w: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因中标单位原因造成的检测程序违法、检测结果错误，由此造成委托方不能有效使用检测报告，委托方有权拒绝支付该批次的费用。因中标单位原因造成的检测程序违法、检测结果错误，由此造成委托方在行政复议中被确认违法或行政诉讼败诉，立即终止合作。委托方有权根据检测单位的工作质量安排项目。</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6在中标单位履行合同期间，如有实际工作需要，委托方有权按照中标价格改变检测产品及项目的权利。</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7为保证检验任务高效优质完成，承检机构需接受委托方组织的检查和考核，对于委托方在考核中提出的问题要及时进行整改，并提交整改报告。整改不到位的，委托方有权取消其承检资格。</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8符合国家规定的承担食品安全抽检工作的其他要求。</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5.9</w:t>
      </w:r>
      <w:r>
        <w:rPr>
          <w:rFonts w:hint="eastAsia" w:ascii="Calibri" w:hAnsi="宋体" w:cs="宋体"/>
          <w:color w:val="auto"/>
          <w:sz w:val="24"/>
          <w:szCs w:val="24"/>
          <w:highlight w:val="none"/>
          <w:lang w:val="zh-CN"/>
        </w:rPr>
        <w:t xml:space="preserve">投标人应在规定时间内完成采购人部署的抽样检验工作，必须保证抽检过程公平、公正，依法出具检验报告，汇总样品抽检结果信息，提交抽检工作分析总结报告。出现检验事故的，立即终止承检任务。</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5.10</w:t>
      </w:r>
      <w:r>
        <w:rPr>
          <w:rFonts w:hint="eastAsia" w:ascii="Calibri" w:hAnsi="宋体" w:cs="宋体"/>
          <w:color w:val="auto"/>
          <w:sz w:val="24"/>
          <w:szCs w:val="24"/>
          <w:highlight w:val="none"/>
          <w:lang w:val="zh-CN"/>
        </w:rPr>
        <w:t xml:space="preserve">为保证检验任务高效优质地完成，投标人须接受采购人组织的各种形式的检查和考核，对于采购人在考核中提出的问题要及时进行整改，并提交整改报告。整改不到位的，采购人有权终止合同并保留追究其经济赔偿责任和法律责任的权利。</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5.11</w:t>
      </w:r>
      <w:r>
        <w:rPr>
          <w:rFonts w:hint="eastAsia" w:ascii="Calibri" w:hAnsi="宋体" w:cs="宋体"/>
          <w:color w:val="auto"/>
          <w:sz w:val="24"/>
          <w:szCs w:val="24"/>
          <w:highlight w:val="none"/>
          <w:lang w:val="zh-CN"/>
        </w:rPr>
        <w:t xml:space="preserve">若违反抽样、检验、信息披露等相关规定的，采购人有权终止合同，取消中标人承检任务并追究其经济赔偿责任和法律责任。</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5.12</w:t>
      </w:r>
      <w:r>
        <w:rPr>
          <w:rFonts w:hint="eastAsia" w:ascii="Calibri" w:hAnsi="宋体" w:cs="宋体"/>
          <w:color w:val="auto"/>
          <w:sz w:val="24"/>
          <w:szCs w:val="24"/>
          <w:highlight w:val="none"/>
          <w:lang w:val="zh-CN"/>
        </w:rPr>
        <w:t xml:space="preserve">中标人不得拒绝采购人委托的抽检任务，否则视为违约。</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5.13</w:t>
      </w:r>
      <w:r>
        <w:rPr>
          <w:rFonts w:hint="eastAsia" w:ascii="Calibri" w:hAnsi="宋体" w:cs="宋体"/>
          <w:color w:val="auto"/>
          <w:sz w:val="24"/>
          <w:szCs w:val="24"/>
          <w:highlight w:val="none"/>
          <w:lang w:val="zh-CN"/>
        </w:rPr>
        <w:t xml:space="preserve">采购人有权按服务响应、履约情况、考核情况等因素综合评定后调整服务任务。</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5.14</w:t>
      </w:r>
      <w:r>
        <w:rPr>
          <w:rFonts w:hint="eastAsia" w:ascii="Calibri" w:hAnsi="宋体" w:cs="宋体"/>
          <w:color w:val="auto"/>
          <w:sz w:val="24"/>
          <w:szCs w:val="24"/>
          <w:highlight w:val="none"/>
          <w:lang w:val="zh-CN"/>
        </w:rPr>
        <w:t xml:space="preserve">中标的承检机构有下列情形之一的，采购人有权终止、解除合同，收回按照合同支付的抽样检验费用，供应商还须赔偿采购人因此遭受的损失：</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w:t>
      </w:r>
      <w:r>
        <w:rPr>
          <w:rFonts w:hint="eastAsia" w:ascii="Calibri" w:hAnsi="宋体" w:cs="宋体"/>
          <w:color w:val="auto"/>
          <w:sz w:val="24"/>
          <w:szCs w:val="24"/>
          <w:highlight w:val="none"/>
        </w:rPr>
        <w:t xml:space="preserve">4</w:t>
      </w:r>
      <w:r>
        <w:rPr>
          <w:rFonts w:hint="eastAsia" w:ascii="Calibri" w:hAnsi="宋体" w:cs="宋体"/>
          <w:color w:val="auto"/>
          <w:sz w:val="24"/>
          <w:szCs w:val="24"/>
          <w:highlight w:val="none"/>
          <w:lang w:val="zh-CN"/>
        </w:rPr>
        <w:t xml:space="preserve">.1出具虚假检验报告、不实检验报告的；</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w:t>
      </w:r>
      <w:r>
        <w:rPr>
          <w:rFonts w:hint="eastAsia" w:ascii="Calibri" w:hAnsi="宋体" w:cs="宋体"/>
          <w:color w:val="auto"/>
          <w:sz w:val="24"/>
          <w:szCs w:val="24"/>
          <w:highlight w:val="none"/>
        </w:rPr>
        <w:t xml:space="preserve">4</w:t>
      </w:r>
      <w:r>
        <w:rPr>
          <w:rFonts w:hint="eastAsia" w:ascii="Calibri" w:hAnsi="宋体" w:cs="宋体"/>
          <w:color w:val="auto"/>
          <w:sz w:val="24"/>
          <w:szCs w:val="24"/>
          <w:highlight w:val="none"/>
          <w:lang w:val="zh-CN"/>
        </w:rPr>
        <w:t xml:space="preserve">.2利用抽样检验工作之便牟取不正当利益的；</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w:t>
      </w:r>
      <w:r>
        <w:rPr>
          <w:rFonts w:hint="eastAsia" w:ascii="Calibri" w:hAnsi="宋体" w:cs="宋体"/>
          <w:color w:val="auto"/>
          <w:sz w:val="24"/>
          <w:szCs w:val="24"/>
          <w:highlight w:val="none"/>
        </w:rPr>
        <w:t xml:space="preserve">4</w:t>
      </w:r>
      <w:r>
        <w:rPr>
          <w:rFonts w:hint="eastAsia" w:ascii="Calibri" w:hAnsi="宋体" w:cs="宋体"/>
          <w:color w:val="auto"/>
          <w:sz w:val="24"/>
          <w:szCs w:val="24"/>
          <w:highlight w:val="none"/>
          <w:lang w:val="zh-CN"/>
        </w:rPr>
        <w:t xml:space="preserve">.3违反规定事先通知被抽检食品生产经营者的；</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w:t>
      </w:r>
      <w:r>
        <w:rPr>
          <w:rFonts w:hint="eastAsia" w:ascii="Calibri" w:hAnsi="宋体" w:cs="宋体"/>
          <w:color w:val="auto"/>
          <w:sz w:val="24"/>
          <w:szCs w:val="24"/>
          <w:highlight w:val="none"/>
        </w:rPr>
        <w:t xml:space="preserve">4</w:t>
      </w:r>
      <w:r>
        <w:rPr>
          <w:rFonts w:hint="eastAsia" w:ascii="Calibri" w:hAnsi="宋体" w:cs="宋体"/>
          <w:color w:val="auto"/>
          <w:sz w:val="24"/>
          <w:szCs w:val="24"/>
          <w:highlight w:val="none"/>
          <w:lang w:val="zh-CN"/>
        </w:rPr>
        <w:t xml:space="preserve">.4谎报、瞒报、擅自发布食品安全抽样检验信息的；</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w:t>
      </w:r>
      <w:r>
        <w:rPr>
          <w:rFonts w:hint="eastAsia" w:ascii="Calibri" w:hAnsi="宋体" w:cs="宋体"/>
          <w:color w:val="auto"/>
          <w:sz w:val="24"/>
          <w:szCs w:val="24"/>
          <w:highlight w:val="none"/>
        </w:rPr>
        <w:t xml:space="preserve">4</w:t>
      </w:r>
      <w:r>
        <w:rPr>
          <w:rFonts w:hint="eastAsia" w:ascii="Calibri" w:hAnsi="宋体" w:cs="宋体"/>
          <w:color w:val="auto"/>
          <w:sz w:val="24"/>
          <w:szCs w:val="24"/>
          <w:highlight w:val="none"/>
          <w:lang w:val="zh-CN"/>
        </w:rPr>
        <w:t xml:space="preserve">.5因自身原因，未按照规定的时限和程序报告不合格检验结论，造成严重后果的；</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w:t>
      </w:r>
      <w:r>
        <w:rPr>
          <w:rFonts w:hint="eastAsia" w:ascii="Calibri" w:hAnsi="宋体" w:cs="宋体"/>
          <w:color w:val="auto"/>
          <w:sz w:val="24"/>
          <w:szCs w:val="24"/>
          <w:highlight w:val="none"/>
        </w:rPr>
        <w:t xml:space="preserve">4</w:t>
      </w:r>
      <w:r>
        <w:rPr>
          <w:rFonts w:hint="eastAsia" w:ascii="Calibri" w:hAnsi="宋体" w:cs="宋体"/>
          <w:color w:val="auto"/>
          <w:sz w:val="24"/>
          <w:szCs w:val="24"/>
          <w:highlight w:val="none"/>
          <w:lang w:val="zh-CN"/>
        </w:rPr>
        <w:t xml:space="preserve">.6超资质范围出具检验报告的；</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w:t>
      </w:r>
      <w:r>
        <w:rPr>
          <w:rFonts w:hint="eastAsia" w:ascii="Calibri" w:hAnsi="宋体" w:cs="宋体"/>
          <w:color w:val="auto"/>
          <w:sz w:val="24"/>
          <w:szCs w:val="24"/>
          <w:highlight w:val="none"/>
        </w:rPr>
        <w:t xml:space="preserve">4</w:t>
      </w:r>
      <w:r>
        <w:rPr>
          <w:rFonts w:hint="eastAsia" w:ascii="Calibri" w:hAnsi="宋体" w:cs="宋体"/>
          <w:color w:val="auto"/>
          <w:sz w:val="24"/>
          <w:szCs w:val="24"/>
          <w:highlight w:val="none"/>
          <w:lang w:val="zh-CN"/>
        </w:rPr>
        <w:t xml:space="preserve">.7存在物料不平衡情况的；</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5.</w:t>
      </w:r>
      <w:r>
        <w:rPr>
          <w:rFonts w:hint="eastAsia" w:ascii="Calibri" w:hAnsi="宋体" w:cs="宋体"/>
          <w:color w:val="auto"/>
          <w:sz w:val="24"/>
          <w:szCs w:val="24"/>
          <w:highlight w:val="none"/>
          <w:lang w:val="zh-CN"/>
        </w:rPr>
        <w:t xml:space="preserve">1</w:t>
      </w:r>
      <w:r>
        <w:rPr>
          <w:rFonts w:hint="eastAsia" w:ascii="Calibri" w:hAnsi="宋体" w:cs="宋体"/>
          <w:color w:val="auto"/>
          <w:sz w:val="24"/>
          <w:szCs w:val="24"/>
          <w:highlight w:val="none"/>
        </w:rPr>
        <w:t xml:space="preserve">4</w:t>
      </w:r>
      <w:r>
        <w:rPr>
          <w:rFonts w:hint="eastAsia" w:ascii="Calibri" w:hAnsi="宋体" w:cs="宋体"/>
          <w:color w:val="auto"/>
          <w:sz w:val="24"/>
          <w:szCs w:val="24"/>
          <w:highlight w:val="none"/>
          <w:lang w:val="zh-CN"/>
        </w:rPr>
        <w:t xml:space="preserve">.8有其他违法违规行为的。</w:t>
      </w:r>
      <w:r/>
    </w:p>
    <w:p>
      <w:pPr>
        <w:spacing w:line="500" w:lineRule="exact"/>
        <w:widowControl/>
        <w:rPr>
          <w:rFonts w:ascii="Calibri" w:hAnsi="宋体" w:cs="宋体"/>
          <w:b/>
          <w:bCs/>
          <w:color w:val="auto"/>
          <w:sz w:val="24"/>
          <w:szCs w:val="24"/>
          <w:highlight w:val="none"/>
          <w:lang w:val="zh-CN"/>
        </w:rPr>
      </w:pPr>
      <w:r>
        <w:rPr>
          <w:rFonts w:hint="eastAsia" w:ascii="Calibri" w:hAnsi="宋体" w:cs="宋体"/>
          <w:b/>
          <w:bCs/>
          <w:color w:val="auto"/>
          <w:sz w:val="24"/>
          <w:szCs w:val="24"/>
          <w:highlight w:val="none"/>
        </w:rPr>
        <w:t xml:space="preserve">六</w:t>
      </w:r>
      <w:r>
        <w:rPr>
          <w:rFonts w:hint="eastAsia" w:ascii="Calibri" w:hAnsi="宋体" w:cs="宋体"/>
          <w:b/>
          <w:bCs/>
          <w:color w:val="auto"/>
          <w:sz w:val="24"/>
          <w:szCs w:val="24"/>
          <w:highlight w:val="none"/>
          <w:lang w:val="zh-CN"/>
        </w:rPr>
        <w:t xml:space="preserve">、保密要求</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6.</w:t>
      </w:r>
      <w:r>
        <w:rPr>
          <w:rFonts w:hint="eastAsia" w:ascii="Calibri" w:hAnsi="宋体" w:cs="宋体"/>
          <w:color w:val="auto"/>
          <w:sz w:val="24"/>
          <w:szCs w:val="24"/>
          <w:highlight w:val="none"/>
          <w:lang w:val="zh-CN"/>
        </w:rPr>
        <w:t xml:space="preserve">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6.2</w:t>
      </w:r>
      <w:r>
        <w:rPr>
          <w:rFonts w:hint="eastAsia" w:ascii="Calibri" w:hAnsi="宋体" w:cs="宋体"/>
          <w:color w:val="auto"/>
          <w:sz w:val="24"/>
          <w:szCs w:val="24"/>
          <w:highlight w:val="none"/>
          <w:lang w:val="zh-CN"/>
        </w:rPr>
        <w:t xml:space="preserve">服务人员不得以任何形式将档案资料（包括纸质档和电子档）带出指定工作现场，不得以任何形式进行泄漏、传播。</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6.3</w:t>
      </w:r>
      <w:r>
        <w:rPr>
          <w:rFonts w:hint="eastAsia" w:ascii="Calibri" w:hAnsi="宋体" w:cs="宋体"/>
          <w:color w:val="auto"/>
          <w:sz w:val="24"/>
          <w:szCs w:val="24"/>
          <w:highlight w:val="none"/>
          <w:lang w:val="zh-CN"/>
        </w:rPr>
        <w:t xml:space="preserve">供应商应对其服务人员保密义务承担责任，如因其服务人员违反保密义务导致采购人产生损失或支出费用的，采购人有权要求供应商承担责任。</w:t>
      </w:r>
      <w:r/>
    </w:p>
    <w:p>
      <w:pPr>
        <w:ind w:firstLine="480"/>
        <w:spacing w:line="500" w:lineRule="exact"/>
        <w:widowControl/>
        <w:rPr>
          <w:rFonts w:ascii="Calibri" w:hAnsi="宋体" w:cs="宋体"/>
          <w:color w:val="auto"/>
          <w:sz w:val="24"/>
          <w:szCs w:val="24"/>
          <w:highlight w:val="none"/>
          <w:lang w:val="zh-CN"/>
        </w:rPr>
      </w:pPr>
      <w:r>
        <w:rPr>
          <w:rFonts w:hint="eastAsia" w:ascii="Calibri" w:hAnsi="宋体" w:cs="宋体"/>
          <w:color w:val="auto"/>
          <w:sz w:val="24"/>
          <w:szCs w:val="24"/>
          <w:highlight w:val="none"/>
        </w:rPr>
        <w:t xml:space="preserve">6.4</w:t>
      </w:r>
      <w:r>
        <w:rPr>
          <w:rFonts w:hint="eastAsia" w:ascii="Calibri" w:hAnsi="宋体" w:cs="宋体"/>
          <w:color w:val="auto"/>
          <w:sz w:val="24"/>
          <w:szCs w:val="24"/>
          <w:highlight w:val="none"/>
          <w:lang w:val="zh-CN"/>
        </w:rPr>
        <w:t xml:space="preserve">供应商及其服务人员的保密期限为永久，不因本项目所签订的文件或合同的终止而终止。</w:t>
      </w:r>
      <w:r/>
    </w:p>
    <w:p>
      <w:pPr>
        <w:rPr>
          <w:rFonts w:eastAsia="黑体"/>
          <w:bCs/>
          <w:color w:val="auto"/>
          <w:sz w:val="44"/>
          <w:highlight w:val="none"/>
        </w:rPr>
      </w:pPr>
      <w:r>
        <w:rPr>
          <w:rFonts w:hint="eastAsia" w:eastAsia="黑体"/>
          <w:bCs/>
          <w:color w:val="auto"/>
          <w:sz w:val="44"/>
          <w:highlight w:val="none"/>
        </w:rPr>
        <w:br w:type="page" w:clear="all"/>
      </w:r>
      <w:r/>
    </w:p>
    <w:p>
      <w:pPr>
        <w:pStyle w:val="920"/>
        <w:spacing w:after="145" w:line="360" w:lineRule="auto"/>
        <w:rPr>
          <w:rFonts w:ascii="Times New Roman" w:eastAsia="黑体"/>
          <w:bCs/>
          <w:color w:val="auto"/>
          <w:sz w:val="44"/>
          <w:highlight w:val="none"/>
        </w:rPr>
      </w:pPr>
      <w:r/>
      <w:bookmarkStart w:id="132" w:name="_Toc5439"/>
      <w:r>
        <w:rPr>
          <w:rFonts w:hint="eastAsia" w:ascii="Times New Roman" w:eastAsia="黑体"/>
          <w:bCs/>
          <w:color w:val="auto"/>
          <w:sz w:val="44"/>
          <w:highlight w:val="none"/>
        </w:rPr>
        <w:t xml:space="preserve">第五章  评标方法与评标标准</w:t>
      </w:r>
      <w:bookmarkEnd w:id="132"/>
      <w:r/>
      <w:r/>
    </w:p>
    <w:p>
      <w:pPr>
        <w:spacing w:line="360" w:lineRule="auto"/>
        <w:rPr>
          <w:rFonts w:eastAsia="仿宋_GB2312"/>
          <w:color w:val="auto"/>
          <w:sz w:val="24"/>
          <w:highlight w:val="none"/>
        </w:rPr>
      </w:pPr>
      <w:r>
        <w:rPr>
          <w:rFonts w:hint="eastAsia" w:eastAsia="仿宋_GB2312"/>
          <w:b/>
          <w:color w:val="auto"/>
          <w:sz w:val="28"/>
          <w:szCs w:val="22"/>
          <w:highlight w:val="none"/>
        </w:rPr>
        <w:t xml:space="preserve">一、资格审查。</w:t>
      </w:r>
      <w:r>
        <w:rPr>
          <w:rFonts w:hint="eastAsia"/>
          <w:color w:val="auto"/>
          <w:sz w:val="24"/>
          <w:highlight w:val="none"/>
        </w:rPr>
        <w:t xml:space="preserve">资格审查人员按照下列指标对各投标人的资格进行审查，未通过审查的为无效标，不参与评标。</w:t>
      </w:r>
      <w:r/>
    </w:p>
    <w:tbl>
      <w:tblPr>
        <w:tblStyle w:val="717"/>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color w:val="auto"/>
                <w:szCs w:val="22"/>
                <w:highlight w:val="none"/>
              </w:rPr>
            </w:pPr>
            <w:r>
              <w:rPr>
                <w:color w:val="auto"/>
                <w:szCs w:val="22"/>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color w:val="auto"/>
                <w:szCs w:val="22"/>
                <w:highlight w:val="none"/>
              </w:rPr>
            </w:pPr>
            <w:r>
              <w:rPr>
                <w:color w:val="auto"/>
                <w:szCs w:val="22"/>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不接受联合体投标</w:t>
            </w:r>
            <w:r/>
          </w:p>
        </w:tc>
      </w:tr>
    </w:tbl>
    <w:p>
      <w:pPr>
        <w:spacing w:line="360" w:lineRule="auto"/>
        <w:rPr>
          <w:rFonts w:eastAsia="仿宋_GB2312"/>
          <w:color w:val="auto"/>
          <w:sz w:val="24"/>
          <w:highlight w:val="none"/>
        </w:rPr>
      </w:pPr>
      <w:r>
        <w:rPr>
          <w:rFonts w:hint="eastAsia" w:eastAsia="仿宋_GB2312"/>
          <w:b/>
          <w:color w:val="auto"/>
          <w:sz w:val="28"/>
          <w:szCs w:val="22"/>
          <w:highlight w:val="none"/>
        </w:rPr>
        <w:t xml:space="preserve">二、符合性审查。</w:t>
      </w:r>
      <w:r>
        <w:rPr>
          <w:rFonts w:hint="eastAsia"/>
          <w:color w:val="auto"/>
          <w:sz w:val="24"/>
          <w:highlight w:val="none"/>
        </w:rPr>
        <w:t xml:space="preserve">评标委员会首先按照下列指标对各投标人的投标文件进行符合性审查，未通过审查的为无效标，不再参与评审。</w:t>
      </w:r>
      <w:r/>
    </w:p>
    <w:tbl>
      <w:tblPr>
        <w:tblStyle w:val="717"/>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spacing w:line="360" w:lineRule="auto"/>
              <w:rPr>
                <w:color w:val="auto"/>
                <w:szCs w:val="22"/>
                <w:highlight w:val="none"/>
              </w:rPr>
            </w:pPr>
            <w:r>
              <w:rPr>
                <w:color w:val="auto"/>
                <w:szCs w:val="22"/>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spacing w:line="360" w:lineRule="auto"/>
              <w:rPr>
                <w:color w:val="auto"/>
                <w:szCs w:val="22"/>
                <w:highlight w:val="none"/>
              </w:rPr>
            </w:pPr>
            <w:r>
              <w:rPr>
                <w:color w:val="auto"/>
                <w:szCs w:val="22"/>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360" w:lineRule="auto"/>
              <w:rPr>
                <w:color w:val="auto"/>
                <w:szCs w:val="22"/>
                <w:highlight w:val="none"/>
              </w:rPr>
            </w:pPr>
            <w:r>
              <w:rPr>
                <w:color w:val="auto"/>
                <w:szCs w:val="22"/>
                <w:highlight w:val="none"/>
              </w:rPr>
              <w:t xml:space="preserve">符合招标文件要求</w:t>
            </w:r>
            <w:r/>
          </w:p>
        </w:tc>
      </w:tr>
    </w:tbl>
    <w:p>
      <w:pPr>
        <w:spacing w:line="360" w:lineRule="auto"/>
        <w:rPr>
          <w:rFonts w:eastAsia="仿宋_GB2312"/>
          <w:b/>
          <w:color w:val="auto"/>
          <w:sz w:val="28"/>
          <w:szCs w:val="22"/>
          <w:highlight w:val="none"/>
        </w:rPr>
      </w:pPr>
      <w:r>
        <w:rPr>
          <w:rFonts w:hint="eastAsia" w:eastAsia="仿宋_GB2312"/>
          <w:b/>
          <w:color w:val="auto"/>
          <w:sz w:val="28"/>
          <w:szCs w:val="22"/>
          <w:highlight w:val="none"/>
        </w:rPr>
        <w:t xml:space="preserve">三、评分办法—综合评分法</w:t>
      </w:r>
      <w:r/>
    </w:p>
    <w:p>
      <w:pPr>
        <w:ind w:firstLine="241"/>
        <w:spacing w:line="360" w:lineRule="auto"/>
        <w:rPr>
          <w:color w:val="auto"/>
          <w:sz w:val="24"/>
          <w:highlight w:val="none"/>
        </w:rPr>
      </w:pPr>
      <w:r>
        <w:rPr>
          <w:rFonts w:hint="eastAsia" w:eastAsia="仿宋_GB2312"/>
          <w:b/>
          <w:color w:val="auto"/>
          <w:sz w:val="24"/>
          <w:highlight w:val="none"/>
        </w:rPr>
        <w:t xml:space="preserve">（一）评标办法：</w:t>
      </w:r>
      <w:r>
        <w:rPr>
          <w:rFonts w:hint="eastAsia"/>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中标候选人。投标文件满足招标文件全部实质性要求，且评审后排序第一的投标人为第一中标候选人，依次类推。</w:t>
      </w:r>
      <w:r/>
    </w:p>
    <w:p>
      <w:pPr>
        <w:ind w:firstLine="480"/>
        <w:spacing w:line="360" w:lineRule="auto"/>
        <w:rPr>
          <w:color w:val="auto"/>
          <w:sz w:val="24"/>
          <w:highlight w:val="none"/>
        </w:rPr>
      </w:pPr>
      <w:r>
        <w:rPr>
          <w:rFonts w:hint="eastAsia"/>
          <w:color w:val="auto"/>
          <w:sz w:val="24"/>
          <w:highlight w:val="none"/>
        </w:rPr>
        <w:t xml:space="preserve">综合评分保留至小数点后两位。</w:t>
      </w:r>
      <w:r/>
    </w:p>
    <w:p>
      <w:pPr>
        <w:numPr>
          <w:ilvl w:val="0"/>
          <w:numId w:val="5"/>
        </w:numPr>
        <w:ind w:firstLine="241"/>
        <w:jc w:val="left"/>
        <w:spacing w:line="360" w:lineRule="auto"/>
        <w:rPr>
          <w:color w:val="auto"/>
          <w:sz w:val="24"/>
          <w:highlight w:val="none"/>
        </w:rPr>
      </w:pPr>
      <w:r>
        <w:rPr>
          <w:rFonts w:hint="eastAsia" w:eastAsia="仿宋_GB2312"/>
          <w:b/>
          <w:color w:val="auto"/>
          <w:sz w:val="24"/>
          <w:highlight w:val="none"/>
        </w:rPr>
        <w:t xml:space="preserve">详细评审。</w:t>
      </w:r>
      <w:r>
        <w:rPr>
          <w:rFonts w:hint="eastAsia"/>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jc w:val="left"/>
        <w:spacing w:line="360" w:lineRule="auto"/>
        <w:rPr>
          <w:color w:val="auto"/>
          <w:sz w:val="24"/>
          <w:highlight w:val="none"/>
        </w:rPr>
      </w:pPr>
      <w:r>
        <w:rPr>
          <w:color w:val="auto"/>
          <w:sz w:val="24"/>
          <w:highlight w:val="none"/>
        </w:rPr>
      </w:r>
      <w:r/>
    </w:p>
    <w:p>
      <w:pPr>
        <w:jc w:val="left"/>
        <w:spacing w:line="360" w:lineRule="auto"/>
        <w:rPr>
          <w:color w:val="auto"/>
          <w:sz w:val="24"/>
          <w:highlight w:val="none"/>
        </w:rPr>
      </w:pPr>
      <w:r>
        <w:rPr>
          <w:color w:val="auto"/>
          <w:sz w:val="24"/>
          <w:highlight w:val="none"/>
        </w:rPr>
      </w:r>
      <w:r/>
    </w:p>
    <w:p>
      <w:pPr>
        <w:jc w:val="left"/>
        <w:spacing w:line="360" w:lineRule="auto"/>
        <w:rPr>
          <w:color w:val="auto"/>
          <w:sz w:val="24"/>
          <w:highlight w:val="none"/>
        </w:rPr>
      </w:pPr>
      <w:r>
        <w:rPr>
          <w:color w:val="auto"/>
          <w:sz w:val="24"/>
          <w:highlight w:val="none"/>
        </w:rPr>
      </w:r>
      <w:r/>
    </w:p>
    <w:p>
      <w:pPr>
        <w:jc w:val="left"/>
        <w:spacing w:line="360" w:lineRule="auto"/>
        <w:rPr>
          <w:color w:val="auto"/>
          <w:sz w:val="24"/>
          <w:highlight w:val="none"/>
        </w:rPr>
      </w:pPr>
      <w:r>
        <w:rPr>
          <w:color w:val="auto"/>
          <w:sz w:val="24"/>
          <w:highlight w:val="none"/>
        </w:rPr>
      </w:r>
      <w:r/>
    </w:p>
    <w:p>
      <w:pPr>
        <w:jc w:val="left"/>
        <w:spacing w:line="360" w:lineRule="auto"/>
        <w:rPr>
          <w:color w:val="auto"/>
          <w:sz w:val="24"/>
          <w:highlight w:val="none"/>
        </w:rPr>
      </w:pPr>
      <w:r>
        <w:rPr>
          <w:color w:val="auto"/>
          <w:sz w:val="24"/>
          <w:highlight w:val="none"/>
        </w:rPr>
      </w:r>
      <w:r/>
    </w:p>
    <w:p>
      <w:pPr>
        <w:jc w:val="left"/>
        <w:spacing w:line="360" w:lineRule="auto"/>
        <w:rPr>
          <w:color w:val="auto"/>
          <w:sz w:val="24"/>
          <w:highlight w:val="none"/>
        </w:rPr>
      </w:pPr>
      <w:r>
        <w:rPr>
          <w:color w:val="auto"/>
          <w:sz w:val="24"/>
          <w:highlight w:val="none"/>
        </w:rPr>
      </w:r>
      <w:r/>
    </w:p>
    <w:tbl>
      <w:tblPr>
        <w:tblStyle w:val="1034"/>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25"/>
        <w:gridCol w:w="1106"/>
        <w:gridCol w:w="846"/>
        <w:gridCol w:w="6335"/>
      </w:tblGrid>
      <w:tr>
        <w:trPr>
          <w:jc w:val="center"/>
          <w:trHeight w:val="321"/>
          <w:tblHeader/>
        </w:trPr>
        <w:tc>
          <w:tcPr>
            <w:gridSpan w:val="2"/>
            <w:tcW w:w="2231" w:type="dxa"/>
            <w:textDirection w:val="lrTb"/>
            <w:noWrap w:val="false"/>
          </w:tcPr>
          <w:p>
            <w:pPr>
              <w:spacing w:before="57" w:line="228" w:lineRule="auto"/>
              <w:rPr>
                <w:rFonts w:ascii="宋体" w:hAnsi="宋体" w:cs="宋体"/>
                <w:b/>
                <w:color w:val="auto"/>
                <w:szCs w:val="24"/>
                <w:highlight w:val="none"/>
              </w:rPr>
            </w:pPr>
            <w:r>
              <w:rPr>
                <w:rFonts w:ascii="宋体" w:hAnsi="宋体" w:cs="宋体"/>
                <w:b/>
                <w:color w:val="auto"/>
                <w:spacing w:val="7"/>
                <w:szCs w:val="24"/>
                <w:highlight w:val="none"/>
              </w:rPr>
              <w:t xml:space="preserve">评审因素</w:t>
            </w:r>
            <w:r/>
          </w:p>
        </w:tc>
        <w:tc>
          <w:tcPr>
            <w:tcW w:w="846" w:type="dxa"/>
            <w:textDirection w:val="lrTb"/>
            <w:noWrap w:val="false"/>
          </w:tcPr>
          <w:p>
            <w:pPr>
              <w:ind w:left="236"/>
              <w:spacing w:before="57" w:line="228" w:lineRule="auto"/>
              <w:rPr>
                <w:rFonts w:ascii="宋体" w:hAnsi="宋体" w:cs="宋体"/>
                <w:b/>
                <w:color w:val="auto"/>
                <w:szCs w:val="24"/>
                <w:highlight w:val="none"/>
              </w:rPr>
            </w:pPr>
            <w:r>
              <w:rPr>
                <w:rFonts w:ascii="宋体" w:hAnsi="宋体" w:cs="宋体"/>
                <w:b/>
                <w:color w:val="auto"/>
                <w:spacing w:val="3"/>
                <w:szCs w:val="24"/>
                <w:highlight w:val="none"/>
              </w:rPr>
              <w:t xml:space="preserve">分数</w:t>
            </w:r>
            <w:r/>
          </w:p>
        </w:tc>
        <w:tc>
          <w:tcPr>
            <w:tcW w:w="6335" w:type="dxa"/>
            <w:textDirection w:val="lrTb"/>
            <w:noWrap w:val="false"/>
          </w:tcPr>
          <w:p>
            <w:pPr>
              <w:ind w:left="1796"/>
              <w:spacing w:before="57" w:line="229" w:lineRule="auto"/>
              <w:rPr>
                <w:rFonts w:ascii="宋体" w:hAnsi="宋体" w:cs="宋体"/>
                <w:b/>
                <w:color w:val="auto"/>
                <w:szCs w:val="24"/>
                <w:highlight w:val="none"/>
              </w:rPr>
            </w:pPr>
            <w:r>
              <w:rPr>
                <w:rFonts w:ascii="宋体" w:hAnsi="宋体" w:cs="宋体"/>
                <w:b/>
                <w:color w:val="auto"/>
                <w:spacing w:val="7"/>
                <w:szCs w:val="24"/>
                <w:highlight w:val="none"/>
              </w:rPr>
              <w:t xml:space="preserve">评审标准</w:t>
            </w:r>
            <w:r/>
          </w:p>
        </w:tc>
      </w:tr>
      <w:tr>
        <w:trPr>
          <w:jc w:val="center"/>
          <w:trHeight w:val="1753"/>
        </w:trPr>
        <w:tc>
          <w:tcPr>
            <w:tcW w:w="1125" w:type="dxa"/>
            <w:vAlign w:val="center"/>
            <w:vMerge w:val="restart"/>
            <w:textDirection w:val="lrTb"/>
            <w:noWrap w:val="false"/>
          </w:tcPr>
          <w:p>
            <w:pPr>
              <w:ind w:left="13"/>
              <w:jc w:val="center"/>
              <w:spacing w:before="65" w:line="228" w:lineRule="auto"/>
              <w:rPr>
                <w:rFonts w:ascii="宋体" w:hAnsi="宋体" w:cs="宋体"/>
                <w:color w:val="auto"/>
                <w:szCs w:val="24"/>
                <w:highlight w:val="none"/>
              </w:rPr>
            </w:pPr>
            <w:r>
              <w:rPr>
                <w:rFonts w:ascii="宋体" w:hAnsi="宋体" w:cs="宋体"/>
                <w:color w:val="auto"/>
                <w:spacing w:val="7"/>
                <w:szCs w:val="24"/>
                <w:highlight w:val="none"/>
              </w:rPr>
              <w:t xml:space="preserve">技术响应</w:t>
            </w:r>
            <w:r/>
          </w:p>
        </w:tc>
        <w:tc>
          <w:tcPr>
            <w:tcW w:w="1106" w:type="dxa"/>
            <w:vAlign w:val="center"/>
            <w:textDirection w:val="lrTb"/>
            <w:noWrap w:val="false"/>
          </w:tcPr>
          <w:p>
            <w:pPr>
              <w:ind w:left="12"/>
              <w:jc w:val="center"/>
              <w:spacing w:before="65" w:line="229" w:lineRule="auto"/>
              <w:rPr>
                <w:rFonts w:ascii="宋体" w:hAnsi="宋体" w:cs="宋体"/>
                <w:color w:val="auto"/>
                <w:szCs w:val="24"/>
                <w:highlight w:val="none"/>
              </w:rPr>
            </w:pPr>
            <w:r>
              <w:rPr>
                <w:rFonts w:hint="eastAsia" w:ascii="宋体" w:hAnsi="宋体" w:cs="宋体"/>
                <w:color w:val="auto"/>
                <w:spacing w:val="7"/>
                <w:szCs w:val="24"/>
                <w:highlight w:val="none"/>
                <w:lang w:val="en-US" w:eastAsia="zh-CN"/>
              </w:rPr>
              <w:t xml:space="preserve">检验检测的能力</w:t>
            </w:r>
            <w:r>
              <w:rPr>
                <w:rFonts w:hint="eastAsia" w:ascii="宋体" w:hAnsi="宋体" w:cs="宋体"/>
                <w:color w:val="auto"/>
                <w:spacing w:val="7"/>
                <w:szCs w:val="24"/>
                <w:highlight w:val="none"/>
              </w:rPr>
              <w:t xml:space="preserve">覆盖</w:t>
            </w:r>
            <w:r/>
          </w:p>
        </w:tc>
        <w:tc>
          <w:tcPr>
            <w:tcW w:w="846" w:type="dxa"/>
            <w:vAlign w:val="center"/>
            <w:textDirection w:val="lrTb"/>
            <w:noWrap w:val="false"/>
          </w:tcPr>
          <w:p>
            <w:pPr>
              <w:ind w:left="18"/>
              <w:jc w:val="center"/>
              <w:spacing w:before="65" w:line="229" w:lineRule="auto"/>
              <w:rPr>
                <w:rFonts w:ascii="宋体" w:hAnsi="宋体" w:cs="宋体"/>
                <w:color w:val="auto"/>
                <w:szCs w:val="24"/>
                <w:highlight w:val="none"/>
              </w:rPr>
            </w:pPr>
            <w:r>
              <w:rPr>
                <w:rFonts w:ascii="Calibri" w:hAnsi="Calibri" w:eastAsia="Calibri" w:cs="Calibri"/>
                <w:color w:val="auto"/>
                <w:szCs w:val="24"/>
                <w:highlight w:val="none"/>
              </w:rPr>
              <w:t xml:space="preserve">10.00</w:t>
            </w:r>
            <w:r>
              <w:rPr>
                <w:rFonts w:ascii="宋体" w:hAnsi="宋体" w:cs="宋体"/>
                <w:color w:val="auto"/>
                <w:szCs w:val="24"/>
                <w:highlight w:val="none"/>
              </w:rPr>
              <w:t xml:space="preserve">分</w:t>
            </w:r>
            <w:r/>
          </w:p>
        </w:tc>
        <w:tc>
          <w:tcPr>
            <w:tcW w:w="6335" w:type="dxa"/>
            <w:textDirection w:val="lrTb"/>
            <w:noWrap w:val="false"/>
          </w:tcPr>
          <w:p>
            <w:pPr>
              <w:ind w:left="8" w:firstLine="10"/>
              <w:spacing w:before="53" w:line="285" w:lineRule="auto"/>
              <w:rPr>
                <w:rFonts w:hint="default" w:ascii="Calibri" w:hAnsi="Calibri" w:cs="Calibri"/>
                <w:color w:val="auto"/>
                <w:spacing w:val="4"/>
                <w:szCs w:val="24"/>
                <w:highlight w:val="none"/>
                <w:lang w:val="en-US" w:eastAsia="zh-CN"/>
              </w:rPr>
            </w:pPr>
            <w:r>
              <w:rPr>
                <w:rFonts w:hint="eastAsia" w:ascii="Calibri" w:hAnsi="Calibri" w:cs="Calibri"/>
                <w:color w:val="auto"/>
                <w:spacing w:val="4"/>
                <w:szCs w:val="24"/>
                <w:highlight w:val="none"/>
                <w:lang w:val="en-US" w:eastAsia="zh-CN"/>
              </w:rPr>
              <w:t xml:space="preserve">投标人CMA检验机构资质认定证书附表中“检验检测的能力范围表”中的“依据的标准(方法)名称及编号(含年号)”涵盖招标文件采购需求“供应商检验检测的能力范围表”中全部“依据的标准(方法)名称及编号(含年号)”的得10分，每缺少1项扣1分，如缺少5项的则本项得0分，本项最高得10分。</w:t>
            </w:r>
            <w:r/>
          </w:p>
          <w:p>
            <w:pPr>
              <w:ind w:left="8" w:firstLine="10"/>
              <w:spacing w:before="53" w:line="285" w:lineRule="auto"/>
              <w:rPr>
                <w:rFonts w:ascii="宋体" w:hAnsi="宋体" w:cs="宋体"/>
                <w:color w:val="auto"/>
                <w:szCs w:val="24"/>
                <w:highlight w:val="none"/>
              </w:rPr>
            </w:pPr>
            <w:r>
              <w:rPr>
                <w:rFonts w:hint="eastAsia" w:ascii="Calibri" w:hAnsi="Calibri" w:cs="Calibri"/>
                <w:color w:val="auto"/>
                <w:spacing w:val="4"/>
                <w:szCs w:val="24"/>
                <w:highlight w:val="none"/>
                <w:lang w:val="en-US" w:eastAsia="zh-CN"/>
              </w:rPr>
              <w:t xml:space="preserve">备注：提供资质证书及检验检测机构资质认定证书附表原件扫描件，并以表格形式逐项列出相关项目对应情况并标明对应检验检测机构资质认定证书附表中的页码（格式自拟），评委现场核对，证明资料不完整或不一致的不计分。</w:t>
            </w:r>
            <w:r/>
          </w:p>
        </w:tc>
      </w:tr>
      <w:tr>
        <w:trPr>
          <w:jc w:val="center"/>
          <w:trHeight w:val="3011"/>
        </w:trPr>
        <w:tc>
          <w:tcPr>
            <w:tcW w:w="1125" w:type="dxa"/>
            <w:vMerge w:val="continue"/>
            <w:textDirection w:val="lrTb"/>
            <w:noWrap w:val="false"/>
          </w:tcPr>
          <w:p>
            <w:pPr>
              <w:rPr>
                <w:rFonts w:ascii="Arial" w:hAnsi="Arial" w:cs="Arial"/>
                <w:color w:val="auto"/>
                <w:szCs w:val="24"/>
                <w:highlight w:val="none"/>
              </w:rPr>
            </w:pPr>
            <w:r>
              <w:rPr>
                <w:rFonts w:ascii="Arial" w:hAnsi="Arial" w:cs="Arial"/>
                <w:color w:val="auto"/>
                <w:szCs w:val="24"/>
                <w:highlight w:val="none"/>
              </w:rPr>
            </w:r>
            <w:r/>
          </w:p>
        </w:tc>
        <w:tc>
          <w:tcPr>
            <w:tcW w:w="1106" w:type="dxa"/>
            <w:vAlign w:val="center"/>
            <w:textDirection w:val="lrTb"/>
            <w:noWrap w:val="false"/>
          </w:tcPr>
          <w:p>
            <w:pPr>
              <w:ind w:left="12"/>
              <w:jc w:val="center"/>
              <w:spacing w:before="65" w:line="229" w:lineRule="auto"/>
              <w:rPr>
                <w:rFonts w:ascii="宋体" w:hAnsi="宋体" w:cs="宋体"/>
                <w:color w:val="auto"/>
                <w:szCs w:val="24"/>
                <w:highlight w:val="none"/>
              </w:rPr>
            </w:pPr>
            <w:r>
              <w:rPr>
                <w:rFonts w:ascii="宋体" w:hAnsi="宋体" w:cs="宋体"/>
                <w:color w:val="auto"/>
                <w:spacing w:val="7"/>
                <w:szCs w:val="24"/>
                <w:highlight w:val="none"/>
              </w:rPr>
              <w:t xml:space="preserve">实验室</w:t>
            </w:r>
            <w:r>
              <w:rPr>
                <w:rFonts w:hint="eastAsia" w:ascii="宋体" w:hAnsi="宋体" w:cs="宋体"/>
                <w:color w:val="auto"/>
                <w:spacing w:val="7"/>
                <w:szCs w:val="24"/>
                <w:highlight w:val="none"/>
              </w:rPr>
              <w:t xml:space="preserve">场所</w:t>
            </w:r>
            <w:r>
              <w:rPr>
                <w:rFonts w:ascii="宋体" w:hAnsi="宋体" w:cs="宋体"/>
                <w:color w:val="auto"/>
                <w:spacing w:val="7"/>
                <w:szCs w:val="24"/>
                <w:highlight w:val="none"/>
              </w:rPr>
              <w:t xml:space="preserve">情况比较</w:t>
            </w:r>
            <w:r/>
          </w:p>
        </w:tc>
        <w:tc>
          <w:tcPr>
            <w:tcW w:w="846" w:type="dxa"/>
            <w:vAlign w:val="center"/>
            <w:textDirection w:val="lrTb"/>
            <w:noWrap w:val="false"/>
          </w:tcPr>
          <w:p>
            <w:pPr>
              <w:ind w:left="18"/>
              <w:jc w:val="center"/>
              <w:spacing w:before="65" w:line="229" w:lineRule="auto"/>
              <w:rPr>
                <w:rFonts w:ascii="宋体" w:hAnsi="宋体" w:cs="宋体"/>
                <w:color w:val="auto"/>
                <w:szCs w:val="24"/>
                <w:highlight w:val="none"/>
              </w:rPr>
            </w:pPr>
            <w:r>
              <w:rPr>
                <w:rFonts w:hint="eastAsia" w:ascii="Calibri" w:hAnsi="Calibri" w:cs="Calibri"/>
                <w:color w:val="auto"/>
                <w:szCs w:val="24"/>
                <w:highlight w:val="none"/>
              </w:rPr>
              <w:t xml:space="preserve">10</w:t>
            </w:r>
            <w:r>
              <w:rPr>
                <w:rFonts w:ascii="Calibri" w:hAnsi="Calibri" w:eastAsia="Calibri" w:cs="Calibri"/>
                <w:color w:val="auto"/>
                <w:szCs w:val="24"/>
                <w:highlight w:val="none"/>
              </w:rPr>
              <w:t xml:space="preserve">.00</w:t>
            </w:r>
            <w:r>
              <w:rPr>
                <w:rFonts w:ascii="宋体" w:hAnsi="宋体" w:cs="宋体"/>
                <w:color w:val="auto"/>
                <w:szCs w:val="24"/>
                <w:highlight w:val="none"/>
              </w:rPr>
              <w:t xml:space="preserve">分</w:t>
            </w:r>
            <w:r/>
          </w:p>
        </w:tc>
        <w:tc>
          <w:tcPr>
            <w:tcW w:w="6335" w:type="dxa"/>
            <w:textDirection w:val="lrTb"/>
            <w:noWrap w:val="false"/>
          </w:tcPr>
          <w:p>
            <w:pPr>
              <w:ind w:left="8" w:firstLine="10"/>
              <w:spacing w:before="53" w:line="285" w:lineRule="auto"/>
              <w:rPr>
                <w:rFonts w:ascii="宋体" w:hAnsi="宋体" w:cs="宋体"/>
                <w:color w:val="auto"/>
                <w:szCs w:val="24"/>
                <w:highlight w:val="none"/>
              </w:rPr>
            </w:pPr>
            <w:r>
              <w:rPr>
                <w:rFonts w:hint="eastAsia" w:ascii="宋体" w:hAnsi="宋体" w:cs="宋体"/>
                <w:color w:val="auto"/>
                <w:szCs w:val="24"/>
                <w:highlight w:val="none"/>
              </w:rPr>
              <w:t xml:space="preserve">供应商</w:t>
            </w:r>
            <w:r>
              <w:rPr>
                <w:rFonts w:ascii="宋体" w:hAnsi="宋体" w:cs="宋体"/>
                <w:color w:val="auto"/>
                <w:szCs w:val="24"/>
                <w:highlight w:val="none"/>
              </w:rPr>
              <w:t xml:space="preserve">具备食品安全监督抽检和风险监测工作相适应</w:t>
            </w:r>
            <w:r>
              <w:rPr>
                <w:rFonts w:ascii="宋体" w:hAnsi="宋体" w:cs="宋体"/>
                <w:color w:val="auto"/>
                <w:spacing w:val="5"/>
                <w:szCs w:val="24"/>
                <w:highlight w:val="none"/>
              </w:rPr>
              <w:t xml:space="preserve">的实验场所</w:t>
            </w:r>
            <w:r>
              <w:rPr>
                <w:rFonts w:hint="eastAsia" w:ascii="宋体" w:hAnsi="宋体" w:cs="宋体"/>
                <w:color w:val="auto"/>
                <w:spacing w:val="5"/>
                <w:szCs w:val="24"/>
                <w:highlight w:val="none"/>
              </w:rPr>
              <w:t xml:space="preserve">，</w:t>
            </w:r>
            <w:r>
              <w:rPr>
                <w:rFonts w:ascii="宋体" w:hAnsi="宋体" w:cs="宋体"/>
                <w:color w:val="auto"/>
                <w:spacing w:val="5"/>
                <w:szCs w:val="24"/>
                <w:highlight w:val="none"/>
              </w:rPr>
              <w:t xml:space="preserve">检测实验室场所能够按照检验参数类别、产品类别和功能类别进行功能区划分，各功能区设备布局合理等方面</w:t>
            </w:r>
            <w:r>
              <w:rPr>
                <w:rFonts w:hint="eastAsia" w:ascii="宋体" w:hAnsi="宋体" w:cs="宋体"/>
                <w:color w:val="auto"/>
                <w:spacing w:val="5"/>
                <w:szCs w:val="24"/>
                <w:highlight w:val="none"/>
              </w:rPr>
              <w:t xml:space="preserve">。</w:t>
            </w:r>
            <w:r>
              <w:rPr>
                <w:rFonts w:ascii="宋体" w:hAnsi="宋体" w:cs="宋体"/>
                <w:color w:val="auto"/>
                <w:spacing w:val="5"/>
                <w:szCs w:val="24"/>
                <w:highlight w:val="none"/>
              </w:rPr>
              <w:t xml:space="preserve">评委根据供应商提</w:t>
            </w:r>
            <w:r>
              <w:rPr>
                <w:rFonts w:ascii="宋体" w:hAnsi="宋体" w:cs="宋体"/>
                <w:color w:val="auto"/>
                <w:szCs w:val="24"/>
                <w:highlight w:val="none"/>
              </w:rPr>
              <w:t xml:space="preserve">供的具体内容进行打分</w:t>
            </w:r>
            <w:r>
              <w:rPr>
                <w:rFonts w:hint="eastAsia" w:ascii="宋体" w:hAnsi="宋体" w:cs="宋体"/>
                <w:color w:val="auto"/>
                <w:szCs w:val="24"/>
                <w:highlight w:val="none"/>
              </w:rPr>
              <w:t xml:space="preserve">，</w:t>
            </w:r>
            <w:r>
              <w:rPr>
                <w:rFonts w:ascii="宋体" w:hAnsi="宋体" w:cs="宋体"/>
                <w:color w:val="auto"/>
                <w:szCs w:val="24"/>
                <w:highlight w:val="none"/>
              </w:rPr>
              <w:t xml:space="preserve">功能区划分</w:t>
            </w:r>
            <w:r>
              <w:rPr>
                <w:rFonts w:hint="eastAsia" w:ascii="宋体" w:hAnsi="宋体" w:cs="宋体"/>
                <w:color w:val="auto"/>
                <w:szCs w:val="24"/>
                <w:highlight w:val="none"/>
              </w:rPr>
              <w:t xml:space="preserve">、</w:t>
            </w:r>
            <w:r>
              <w:rPr>
                <w:rFonts w:ascii="宋体" w:hAnsi="宋体" w:cs="宋体"/>
                <w:color w:val="auto"/>
                <w:szCs w:val="24"/>
                <w:highlight w:val="none"/>
              </w:rPr>
              <w:t xml:space="preserve">布局合理</w:t>
            </w:r>
            <w:r>
              <w:rPr>
                <w:rFonts w:hint="eastAsia" w:ascii="宋体" w:hAnsi="宋体" w:cs="宋体"/>
                <w:color w:val="auto"/>
                <w:szCs w:val="24"/>
                <w:highlight w:val="none"/>
              </w:rPr>
              <w:t xml:space="preserve">，</w:t>
            </w:r>
            <w:r>
              <w:rPr>
                <w:rFonts w:ascii="宋体" w:hAnsi="宋体" w:cs="宋体"/>
                <w:color w:val="auto"/>
                <w:spacing w:val="4"/>
                <w:szCs w:val="24"/>
                <w:highlight w:val="none"/>
              </w:rPr>
              <w:t xml:space="preserve">优于采购文件需求的得</w:t>
            </w:r>
            <w:r>
              <w:rPr>
                <w:rFonts w:hint="eastAsia" w:ascii="Calibri" w:hAnsi="Calibri" w:cs="Calibri"/>
                <w:color w:val="auto"/>
                <w:spacing w:val="4"/>
                <w:szCs w:val="24"/>
                <w:highlight w:val="none"/>
              </w:rPr>
              <w:t xml:space="preserve">10</w:t>
            </w:r>
            <w:r>
              <w:rPr>
                <w:rFonts w:ascii="宋体" w:hAnsi="宋体" w:cs="宋体"/>
                <w:color w:val="auto"/>
                <w:spacing w:val="4"/>
                <w:szCs w:val="24"/>
                <w:highlight w:val="none"/>
              </w:rPr>
              <w:t xml:space="preserve">分</w:t>
            </w:r>
            <w:r>
              <w:rPr>
                <w:rFonts w:hint="eastAsia" w:ascii="宋体" w:hAnsi="宋体" w:cs="宋体"/>
                <w:color w:val="auto"/>
                <w:spacing w:val="4"/>
                <w:szCs w:val="24"/>
                <w:highlight w:val="none"/>
              </w:rPr>
              <w:t xml:space="preserve">；</w:t>
            </w:r>
            <w:r>
              <w:rPr>
                <w:rFonts w:ascii="宋体" w:hAnsi="宋体" w:cs="宋体"/>
                <w:color w:val="auto"/>
                <w:spacing w:val="4"/>
                <w:szCs w:val="24"/>
                <w:highlight w:val="none"/>
              </w:rPr>
              <w:t xml:space="preserve">功能区划</w:t>
            </w:r>
            <w:r>
              <w:rPr>
                <w:rFonts w:ascii="宋体" w:hAnsi="宋体" w:cs="宋体"/>
                <w:color w:val="auto"/>
                <w:szCs w:val="24"/>
                <w:highlight w:val="none"/>
              </w:rPr>
              <w:t xml:space="preserve">分</w:t>
            </w:r>
            <w:r>
              <w:rPr>
                <w:rFonts w:hint="eastAsia" w:ascii="宋体" w:hAnsi="宋体" w:cs="宋体"/>
                <w:color w:val="auto"/>
                <w:szCs w:val="24"/>
                <w:highlight w:val="none"/>
              </w:rPr>
              <w:t xml:space="preserve">、</w:t>
            </w:r>
            <w:r>
              <w:rPr>
                <w:rFonts w:ascii="宋体" w:hAnsi="宋体" w:cs="宋体"/>
                <w:color w:val="auto"/>
                <w:szCs w:val="24"/>
                <w:highlight w:val="none"/>
              </w:rPr>
              <w:t xml:space="preserve">布局较合理</w:t>
            </w:r>
            <w:r>
              <w:rPr>
                <w:rFonts w:hint="eastAsia" w:ascii="宋体" w:hAnsi="宋体" w:cs="宋体"/>
                <w:color w:val="auto"/>
                <w:szCs w:val="24"/>
                <w:highlight w:val="none"/>
              </w:rPr>
              <w:t xml:space="preserve">，</w:t>
            </w:r>
            <w:r>
              <w:rPr>
                <w:rFonts w:ascii="宋体" w:hAnsi="宋体" w:cs="宋体"/>
                <w:color w:val="auto"/>
                <w:szCs w:val="24"/>
                <w:highlight w:val="none"/>
              </w:rPr>
              <w:t xml:space="preserve">满足采购文件需求的得</w:t>
            </w:r>
            <w:r>
              <w:rPr>
                <w:rFonts w:hint="eastAsia" w:ascii="Calibri" w:hAnsi="Calibri" w:cs="Calibri"/>
                <w:color w:val="auto"/>
                <w:szCs w:val="24"/>
                <w:highlight w:val="none"/>
              </w:rPr>
              <w:t xml:space="preserve">8</w:t>
            </w:r>
            <w:r>
              <w:rPr>
                <w:rFonts w:ascii="宋体" w:hAnsi="宋体" w:cs="宋体"/>
                <w:color w:val="auto"/>
                <w:spacing w:val="3"/>
                <w:szCs w:val="24"/>
                <w:highlight w:val="none"/>
              </w:rPr>
              <w:t xml:space="preserve">分</w:t>
            </w:r>
            <w:r>
              <w:rPr>
                <w:rFonts w:hint="eastAsia" w:ascii="宋体" w:hAnsi="宋体" w:cs="宋体"/>
                <w:color w:val="auto"/>
                <w:spacing w:val="3"/>
                <w:szCs w:val="24"/>
                <w:highlight w:val="none"/>
              </w:rPr>
              <w:t xml:space="preserve">；</w:t>
            </w:r>
            <w:r>
              <w:rPr>
                <w:rFonts w:ascii="宋体" w:hAnsi="宋体" w:cs="宋体"/>
                <w:color w:val="auto"/>
                <w:spacing w:val="3"/>
                <w:szCs w:val="24"/>
                <w:highlight w:val="none"/>
              </w:rPr>
              <w:t xml:space="preserve">功能区划分</w:t>
            </w:r>
            <w:r>
              <w:rPr>
                <w:rFonts w:hint="eastAsia" w:ascii="宋体" w:hAnsi="宋体" w:cs="宋体"/>
                <w:color w:val="auto"/>
                <w:spacing w:val="3"/>
                <w:szCs w:val="24"/>
                <w:highlight w:val="none"/>
              </w:rPr>
              <w:t xml:space="preserve">、</w:t>
            </w:r>
            <w:r>
              <w:rPr>
                <w:rFonts w:ascii="宋体" w:hAnsi="宋体" w:cs="宋体"/>
                <w:color w:val="auto"/>
                <w:spacing w:val="3"/>
                <w:szCs w:val="24"/>
                <w:highlight w:val="none"/>
              </w:rPr>
              <w:t xml:space="preserve">布局一般</w:t>
            </w:r>
            <w:r>
              <w:rPr>
                <w:rFonts w:hint="eastAsia" w:ascii="宋体" w:hAnsi="宋体" w:cs="宋体"/>
                <w:color w:val="auto"/>
                <w:spacing w:val="3"/>
                <w:szCs w:val="24"/>
                <w:highlight w:val="none"/>
              </w:rPr>
              <w:t xml:space="preserve">，</w:t>
            </w:r>
            <w:r>
              <w:rPr>
                <w:rFonts w:ascii="宋体" w:hAnsi="宋体" w:cs="宋体"/>
                <w:color w:val="auto"/>
                <w:spacing w:val="3"/>
                <w:szCs w:val="24"/>
                <w:highlight w:val="none"/>
              </w:rPr>
              <w:t xml:space="preserve">通过后期优化能够满足采购文件需求的得</w:t>
            </w:r>
            <w:r>
              <w:rPr>
                <w:rFonts w:hint="eastAsia" w:ascii="Calibri" w:hAnsi="Calibri" w:cs="Calibri"/>
                <w:color w:val="auto"/>
                <w:spacing w:val="3"/>
                <w:szCs w:val="24"/>
                <w:highlight w:val="none"/>
              </w:rPr>
              <w:t xml:space="preserve">6</w:t>
            </w:r>
            <w:r>
              <w:rPr>
                <w:rFonts w:ascii="宋体" w:hAnsi="宋体" w:cs="宋体"/>
                <w:color w:val="auto"/>
                <w:spacing w:val="3"/>
                <w:szCs w:val="24"/>
                <w:highlight w:val="none"/>
              </w:rPr>
              <w:t xml:space="preserve">分</w:t>
            </w:r>
            <w:r>
              <w:rPr>
                <w:rFonts w:hint="eastAsia" w:ascii="宋体" w:hAnsi="宋体" w:cs="宋体"/>
                <w:color w:val="auto"/>
                <w:spacing w:val="3"/>
                <w:szCs w:val="24"/>
                <w:highlight w:val="none"/>
              </w:rPr>
              <w:t xml:space="preserve">；</w:t>
            </w:r>
            <w:r>
              <w:rPr>
                <w:rFonts w:ascii="宋体" w:hAnsi="宋体" w:cs="宋体"/>
                <w:color w:val="auto"/>
                <w:spacing w:val="2"/>
                <w:szCs w:val="24"/>
                <w:highlight w:val="none"/>
              </w:rPr>
              <w:t xml:space="preserve">其他情</w:t>
            </w:r>
            <w:r>
              <w:rPr>
                <w:rFonts w:ascii="宋体" w:hAnsi="宋体" w:cs="宋体"/>
                <w:color w:val="auto"/>
                <w:szCs w:val="24"/>
                <w:highlight w:val="none"/>
              </w:rPr>
              <w:t xml:space="preserve">况或没有内容不得分</w:t>
            </w:r>
            <w:r>
              <w:rPr>
                <w:rFonts w:hint="eastAsia" w:ascii="宋体" w:hAnsi="宋体" w:cs="宋体"/>
                <w:color w:val="auto"/>
                <w:szCs w:val="24"/>
                <w:highlight w:val="none"/>
              </w:rPr>
              <w:t xml:space="preserve">。</w:t>
            </w:r>
            <w:r/>
          </w:p>
          <w:p>
            <w:pPr>
              <w:ind w:left="8" w:firstLine="10"/>
              <w:spacing w:before="53" w:line="285" w:lineRule="auto"/>
              <w:rPr>
                <w:rFonts w:ascii="宋体" w:hAnsi="宋体" w:cs="宋体"/>
                <w:color w:val="auto"/>
                <w:szCs w:val="24"/>
                <w:highlight w:val="none"/>
              </w:rPr>
            </w:pPr>
            <w:r>
              <w:rPr>
                <w:rFonts w:hint="eastAsia" w:ascii="宋体" w:hAnsi="宋体" w:cs="宋体"/>
                <w:color w:val="auto"/>
                <w:szCs w:val="24"/>
                <w:highlight w:val="none"/>
              </w:rPr>
              <w:t xml:space="preserve">备注：供应商应提供</w:t>
            </w:r>
            <w:r>
              <w:rPr>
                <w:rFonts w:ascii="宋体" w:hAnsi="宋体" w:cs="宋体"/>
                <w:color w:val="auto"/>
                <w:szCs w:val="24"/>
                <w:highlight w:val="none"/>
              </w:rPr>
              <w:t xml:space="preserve">实验室功能区平面图</w:t>
            </w:r>
            <w:r>
              <w:rPr>
                <w:rFonts w:hint="eastAsia" w:ascii="宋体" w:hAnsi="宋体" w:cs="宋体"/>
                <w:color w:val="auto"/>
                <w:szCs w:val="24"/>
                <w:highlight w:val="none"/>
              </w:rPr>
              <w:t xml:space="preserve">、</w:t>
            </w:r>
            <w:r>
              <w:rPr>
                <w:rFonts w:ascii="宋体" w:hAnsi="宋体" w:cs="宋体"/>
                <w:color w:val="auto"/>
                <w:spacing w:val="5"/>
                <w:szCs w:val="24"/>
                <w:highlight w:val="none"/>
              </w:rPr>
              <w:t xml:space="preserve">设备布局图并对各功能区划分及设备布局进行说</w:t>
            </w:r>
            <w:r>
              <w:rPr>
                <w:rFonts w:ascii="宋体" w:hAnsi="宋体" w:cs="宋体"/>
                <w:color w:val="auto"/>
                <w:spacing w:val="4"/>
                <w:szCs w:val="24"/>
                <w:highlight w:val="none"/>
              </w:rPr>
              <w:t xml:space="preserve">明</w:t>
            </w:r>
            <w:r>
              <w:rPr>
                <w:rFonts w:hint="eastAsia" w:ascii="宋体" w:hAnsi="宋体" w:cs="宋体"/>
                <w:color w:val="auto"/>
                <w:spacing w:val="4"/>
                <w:szCs w:val="24"/>
                <w:highlight w:val="none"/>
              </w:rPr>
              <w:t xml:space="preserve">，</w:t>
            </w:r>
            <w:r>
              <w:rPr>
                <w:rFonts w:ascii="宋体" w:hAnsi="宋体" w:cs="宋体"/>
                <w:color w:val="auto"/>
                <w:spacing w:val="4"/>
                <w:szCs w:val="24"/>
                <w:highlight w:val="none"/>
              </w:rPr>
              <w:t xml:space="preserve">否则不得分。 </w:t>
            </w:r>
            <w:r/>
          </w:p>
        </w:tc>
      </w:tr>
      <w:tr>
        <w:trPr>
          <w:jc w:val="center"/>
          <w:trHeight w:val="336"/>
        </w:trPr>
        <w:tc>
          <w:tcPr>
            <w:tcW w:w="1125" w:type="dxa"/>
            <w:vMerge w:val="continue"/>
            <w:textDirection w:val="lrTb"/>
            <w:noWrap w:val="false"/>
          </w:tcPr>
          <w:p>
            <w:pPr>
              <w:rPr>
                <w:rFonts w:ascii="Arial" w:hAnsi="Arial" w:cs="Arial"/>
                <w:color w:val="auto"/>
                <w:szCs w:val="24"/>
                <w:highlight w:val="none"/>
              </w:rPr>
            </w:pPr>
            <w:r>
              <w:rPr>
                <w:rFonts w:ascii="Arial" w:hAnsi="Arial" w:cs="Arial"/>
                <w:color w:val="auto"/>
                <w:szCs w:val="24"/>
                <w:highlight w:val="none"/>
              </w:rPr>
            </w:r>
            <w:r/>
          </w:p>
        </w:tc>
        <w:tc>
          <w:tcPr>
            <w:tcW w:w="1106" w:type="dxa"/>
            <w:vAlign w:val="center"/>
            <w:textDirection w:val="lrTb"/>
            <w:noWrap w:val="false"/>
          </w:tcPr>
          <w:p>
            <w:pPr>
              <w:ind w:left="12"/>
              <w:jc w:val="center"/>
              <w:spacing w:before="65" w:line="229" w:lineRule="auto"/>
              <w:rPr>
                <w:rFonts w:ascii="宋体" w:hAnsi="宋体" w:cs="宋体"/>
                <w:color w:val="auto"/>
                <w:spacing w:val="7"/>
                <w:szCs w:val="24"/>
                <w:highlight w:val="none"/>
              </w:rPr>
            </w:pPr>
            <w:r>
              <w:rPr>
                <w:rFonts w:hint="eastAsia" w:ascii="宋体" w:hAnsi="宋体" w:cs="宋体"/>
                <w:color w:val="auto"/>
                <w:spacing w:val="7"/>
                <w:szCs w:val="24"/>
                <w:highlight w:val="none"/>
              </w:rPr>
              <w:t xml:space="preserve">实验室设备配备</w:t>
            </w:r>
            <w:r/>
          </w:p>
        </w:tc>
        <w:tc>
          <w:tcPr>
            <w:tcW w:w="846" w:type="dxa"/>
            <w:vAlign w:val="center"/>
            <w:textDirection w:val="lrTb"/>
            <w:noWrap w:val="false"/>
          </w:tcPr>
          <w:p>
            <w:pPr>
              <w:ind w:left="18"/>
              <w:jc w:val="center"/>
              <w:spacing w:before="65" w:line="229" w:lineRule="auto"/>
              <w:rPr>
                <w:rFonts w:ascii="Calibri" w:hAnsi="Calibri" w:cs="Calibri"/>
                <w:color w:val="auto"/>
                <w:szCs w:val="24"/>
                <w:highlight w:val="none"/>
              </w:rPr>
            </w:pPr>
            <w:r>
              <w:rPr>
                <w:rFonts w:hint="eastAsia" w:ascii="Calibri" w:hAnsi="Calibri" w:cs="Calibri"/>
                <w:color w:val="auto"/>
                <w:szCs w:val="24"/>
                <w:highlight w:val="none"/>
                <w:lang w:val="en-US" w:eastAsia="zh-CN"/>
              </w:rPr>
              <w:t xml:space="preserve">10</w:t>
            </w:r>
            <w:r>
              <w:rPr>
                <w:rFonts w:hint="eastAsia" w:ascii="Calibri" w:hAnsi="Calibri" w:cs="Calibri"/>
                <w:color w:val="auto"/>
                <w:szCs w:val="24"/>
                <w:highlight w:val="none"/>
              </w:rPr>
              <w:t xml:space="preserve">.00分</w:t>
            </w:r>
            <w:r/>
          </w:p>
        </w:tc>
        <w:tc>
          <w:tcPr>
            <w:tcW w:w="6335" w:type="dxa"/>
            <w:textDirection w:val="lrTb"/>
            <w:noWrap w:val="false"/>
          </w:tcPr>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1、</w:t>
            </w:r>
            <w:r>
              <w:rPr>
                <w:rFonts w:hint="eastAsia" w:ascii="Calibri" w:hAnsi="Calibri" w:eastAsia="Calibri" w:cs="Calibri"/>
                <w:color w:val="auto"/>
                <w:spacing w:val="4"/>
                <w:szCs w:val="24"/>
                <w:highlight w:val="none"/>
              </w:rPr>
              <w:t xml:space="preserve">投标人</w:t>
            </w:r>
            <w:r>
              <w:rPr>
                <w:rFonts w:ascii="Calibri" w:hAnsi="Calibri" w:eastAsia="Calibri" w:cs="Calibri"/>
                <w:color w:val="auto"/>
                <w:spacing w:val="4"/>
                <w:szCs w:val="24"/>
                <w:highlight w:val="none"/>
              </w:rPr>
              <w:t xml:space="preserve">应配备满足采购人检验检测项目需求的自有检验设备：</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（1）液相色谱串联质谱联用仪；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（2）气相色谱质谱联用仪；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（3）电感耦合等离子体质谱仪；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（4）离子色谱仪；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（5）高效液相色谱仪；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（6）气相色谱仪；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（7）原子吸收光谱仪；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（8）原子荧光光谱仪；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（9）PCR检测仪；</w:t>
            </w:r>
            <w:r/>
          </w:p>
          <w:p>
            <w:pPr>
              <w:ind w:left="8" w:firstLine="10"/>
              <w:spacing w:before="53" w:line="285" w:lineRule="auto"/>
              <w:rPr>
                <w:rFonts w:ascii="Calibri" w:hAnsi="Calibri" w:eastAsia="Calibri" w:cs="Calibri"/>
                <w:color w:val="auto"/>
                <w:spacing w:val="4"/>
                <w:szCs w:val="24"/>
                <w:highlight w:val="none"/>
              </w:rPr>
            </w:pPr>
            <w:r>
              <w:rPr>
                <w:rFonts w:hint="eastAsia" w:ascii="Calibri" w:hAnsi="Calibri" w:eastAsia="Calibri" w:cs="Calibri"/>
                <w:color w:val="auto"/>
                <w:spacing w:val="4"/>
                <w:szCs w:val="24"/>
                <w:highlight w:val="none"/>
              </w:rPr>
              <w:t xml:space="preserve">具备以上</w:t>
            </w:r>
            <w:r>
              <w:rPr>
                <w:rFonts w:ascii="Calibri" w:hAnsi="Calibri" w:eastAsia="Calibri" w:cs="Calibri"/>
                <w:color w:val="auto"/>
                <w:spacing w:val="4"/>
                <w:szCs w:val="24"/>
                <w:highlight w:val="none"/>
              </w:rPr>
              <w:t xml:space="preserve">9类设备每类同时配备至少1台</w:t>
            </w:r>
            <w:r>
              <w:rPr>
                <w:rFonts w:hint="eastAsia" w:ascii="Calibri" w:hAnsi="Calibri" w:eastAsia="Calibri" w:cs="Calibri"/>
                <w:color w:val="auto"/>
                <w:spacing w:val="4"/>
                <w:szCs w:val="24"/>
                <w:highlight w:val="none"/>
              </w:rPr>
              <w:t xml:space="preserve">，得</w:t>
            </w:r>
            <w:r>
              <w:rPr>
                <w:rFonts w:hint="eastAsia" w:ascii="Calibri" w:hAnsi="Calibri" w:cs="Calibri"/>
                <w:color w:val="auto"/>
                <w:spacing w:val="4"/>
                <w:szCs w:val="24"/>
                <w:highlight w:val="none"/>
                <w:lang w:val="en-US" w:eastAsia="zh-CN"/>
              </w:rPr>
              <w:t xml:space="preserve">7</w:t>
            </w:r>
            <w:r>
              <w:rPr>
                <w:rFonts w:hint="eastAsia" w:ascii="Calibri" w:hAnsi="Calibri" w:eastAsia="Calibri" w:cs="Calibri"/>
                <w:color w:val="auto"/>
                <w:spacing w:val="4"/>
                <w:szCs w:val="24"/>
                <w:highlight w:val="none"/>
              </w:rPr>
              <w:t xml:space="preserve">分；具备以上</w:t>
            </w:r>
            <w:r>
              <w:rPr>
                <w:rFonts w:ascii="Calibri" w:hAnsi="Calibri" w:eastAsia="Calibri" w:cs="Calibri"/>
                <w:color w:val="auto"/>
                <w:spacing w:val="4"/>
                <w:szCs w:val="24"/>
                <w:highlight w:val="none"/>
              </w:rPr>
              <w:t xml:space="preserve">8</w:t>
            </w:r>
            <w:r>
              <w:rPr>
                <w:rFonts w:hint="eastAsia" w:ascii="Calibri" w:hAnsi="Calibri" w:eastAsia="Calibri" w:cs="Calibri"/>
                <w:color w:val="auto"/>
                <w:spacing w:val="4"/>
                <w:szCs w:val="24"/>
                <w:highlight w:val="none"/>
              </w:rPr>
              <w:t xml:space="preserve">类设备每类同时配备至少1台，得</w:t>
            </w:r>
            <w:r>
              <w:rPr>
                <w:rFonts w:hint="eastAsia" w:ascii="Calibri" w:hAnsi="Calibri" w:cs="Calibri"/>
                <w:color w:val="auto"/>
                <w:spacing w:val="4"/>
                <w:szCs w:val="24"/>
                <w:highlight w:val="none"/>
                <w:lang w:val="en-US" w:eastAsia="zh-CN"/>
              </w:rPr>
              <w:t xml:space="preserve">5</w:t>
            </w:r>
            <w:r>
              <w:rPr>
                <w:rFonts w:hint="eastAsia" w:ascii="Calibri" w:hAnsi="Calibri" w:eastAsia="Calibri" w:cs="Calibri"/>
                <w:color w:val="auto"/>
                <w:spacing w:val="4"/>
                <w:szCs w:val="24"/>
                <w:highlight w:val="none"/>
              </w:rPr>
              <w:t xml:space="preserve">分；具备以上</w:t>
            </w:r>
            <w:r>
              <w:rPr>
                <w:rFonts w:ascii="Calibri" w:hAnsi="Calibri" w:eastAsia="Calibri" w:cs="Calibri"/>
                <w:color w:val="auto"/>
                <w:spacing w:val="4"/>
                <w:szCs w:val="24"/>
                <w:highlight w:val="none"/>
              </w:rPr>
              <w:t xml:space="preserve">7</w:t>
            </w:r>
            <w:r>
              <w:rPr>
                <w:rFonts w:hint="eastAsia" w:ascii="Calibri" w:hAnsi="Calibri" w:eastAsia="Calibri" w:cs="Calibri"/>
                <w:color w:val="auto"/>
                <w:spacing w:val="4"/>
                <w:szCs w:val="24"/>
                <w:highlight w:val="none"/>
              </w:rPr>
              <w:t xml:space="preserve">类设备每类同时配备至少1台，得</w:t>
            </w:r>
            <w:r>
              <w:rPr>
                <w:rFonts w:hint="eastAsia" w:ascii="Calibri" w:hAnsi="Calibri" w:cs="Calibri"/>
                <w:color w:val="auto"/>
                <w:spacing w:val="4"/>
                <w:szCs w:val="24"/>
                <w:highlight w:val="none"/>
                <w:lang w:val="en-US" w:eastAsia="zh-CN"/>
              </w:rPr>
              <w:t xml:space="preserve">3</w:t>
            </w:r>
            <w:r>
              <w:rPr>
                <w:rFonts w:hint="eastAsia" w:ascii="Calibri" w:hAnsi="Calibri" w:eastAsia="Calibri" w:cs="Calibri"/>
                <w:color w:val="auto"/>
                <w:spacing w:val="4"/>
                <w:szCs w:val="24"/>
                <w:highlight w:val="none"/>
              </w:rPr>
              <w:t xml:space="preserve">分；其他不得分。</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2、在满足前述检验设备能力要求的基础上对多配备的设备评分：</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（1）液相色谱串联质谱联用仪；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（2）气相色谱质谱联用仪；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（3）电感耦合等离子体质谱仪；</w:t>
            </w:r>
            <w:r/>
          </w:p>
          <w:p>
            <w:pPr>
              <w:ind w:left="8" w:firstLine="10"/>
              <w:spacing w:before="53" w:line="285" w:lineRule="auto"/>
              <w:rPr>
                <w:rFonts w:ascii="Calibri" w:hAnsi="Calibri" w:eastAsia="Calibri" w:cs="Calibri"/>
                <w:color w:val="auto"/>
                <w:spacing w:val="4"/>
                <w:szCs w:val="24"/>
                <w:highlight w:val="none"/>
              </w:rPr>
            </w:pPr>
            <w:r>
              <w:rPr>
                <w:rFonts w:ascii="Calibri" w:hAnsi="Calibri" w:eastAsia="Calibri" w:cs="Calibri"/>
                <w:color w:val="auto"/>
                <w:spacing w:val="4"/>
                <w:szCs w:val="24"/>
                <w:highlight w:val="none"/>
              </w:rPr>
              <w:t xml:space="preserve">以上3类设备</w:t>
            </w:r>
            <w:r>
              <w:rPr>
                <w:rFonts w:hint="eastAsia" w:ascii="Calibri" w:hAnsi="Calibri" w:eastAsia="Calibri" w:cs="Calibri"/>
                <w:color w:val="auto"/>
                <w:spacing w:val="4"/>
                <w:szCs w:val="24"/>
                <w:highlight w:val="none"/>
              </w:rPr>
              <w:t xml:space="preserve">在满足条款1中每类</w:t>
            </w:r>
            <w:r>
              <w:rPr>
                <w:rFonts w:ascii="Calibri" w:hAnsi="Calibri" w:eastAsia="Calibri" w:cs="Calibri"/>
                <w:color w:val="auto"/>
                <w:spacing w:val="4"/>
                <w:szCs w:val="24"/>
                <w:highlight w:val="none"/>
              </w:rPr>
              <w:t xml:space="preserve">同时配备</w:t>
            </w:r>
            <w:r>
              <w:rPr>
                <w:rFonts w:hint="eastAsia" w:ascii="Calibri" w:hAnsi="Calibri" w:eastAsia="Calibri" w:cs="Calibri"/>
                <w:color w:val="auto"/>
                <w:spacing w:val="4"/>
                <w:szCs w:val="24"/>
                <w:highlight w:val="none"/>
              </w:rPr>
              <w:t xml:space="preserve">至少1台的基础上，每多配置1台</w:t>
            </w:r>
            <w:r>
              <w:rPr>
                <w:rFonts w:hint="eastAsia" w:ascii="Calibri" w:hAnsi="Calibri" w:cs="Calibri"/>
                <w:color w:val="auto"/>
                <w:spacing w:val="4"/>
                <w:szCs w:val="24"/>
                <w:highlight w:val="none"/>
                <w:lang w:val="en-US" w:eastAsia="zh-CN"/>
              </w:rPr>
              <w:t xml:space="preserve">上述3类设备中任意1类设备</w:t>
            </w:r>
            <w:r>
              <w:rPr>
                <w:rFonts w:hint="eastAsia" w:ascii="Calibri" w:hAnsi="Calibri" w:eastAsia="Calibri" w:cs="Calibri"/>
                <w:color w:val="auto"/>
                <w:spacing w:val="4"/>
                <w:szCs w:val="24"/>
                <w:highlight w:val="none"/>
              </w:rPr>
              <w:t xml:space="preserve">得1分，最多不超过3分，</w:t>
            </w:r>
            <w:r>
              <w:rPr>
                <w:rFonts w:ascii="Calibri" w:hAnsi="Calibri" w:eastAsia="Calibri" w:cs="Calibri"/>
                <w:color w:val="auto"/>
                <w:spacing w:val="4"/>
                <w:szCs w:val="24"/>
                <w:highlight w:val="none"/>
              </w:rPr>
              <w:t xml:space="preserve">不满足不得分；</w:t>
            </w:r>
            <w:r/>
          </w:p>
          <w:p>
            <w:pPr>
              <w:ind w:left="8" w:firstLine="10"/>
              <w:spacing w:before="53" w:line="285" w:lineRule="auto"/>
              <w:rPr>
                <w:rFonts w:hint="default" w:ascii="Calibri" w:hAnsi="Calibri" w:eastAsia="Calibri" w:cs="Calibri"/>
                <w:color w:val="auto"/>
                <w:spacing w:val="4"/>
                <w:szCs w:val="24"/>
                <w:highlight w:val="none"/>
              </w:rPr>
            </w:pPr>
            <w:r>
              <w:rPr>
                <w:rFonts w:hint="default" w:ascii="Calibri" w:hAnsi="Calibri" w:eastAsia="Calibri" w:cs="Calibri"/>
                <w:color w:val="auto"/>
                <w:spacing w:val="4"/>
                <w:szCs w:val="24"/>
                <w:highlight w:val="none"/>
              </w:rPr>
              <w:t xml:space="preserve">注：</w:t>
            </w:r>
            <w:r>
              <w:rPr>
                <w:rFonts w:hint="eastAsia" w:ascii="Calibri" w:hAnsi="Calibri" w:eastAsia="Calibri" w:cs="Calibri"/>
                <w:color w:val="auto"/>
                <w:spacing w:val="4"/>
                <w:szCs w:val="24"/>
                <w:highlight w:val="none"/>
              </w:rPr>
              <w:t xml:space="preserve">1.须</w:t>
            </w:r>
            <w:r>
              <w:rPr>
                <w:rFonts w:hint="default" w:ascii="Calibri" w:hAnsi="Calibri" w:eastAsia="Calibri" w:cs="Calibri"/>
                <w:color w:val="auto"/>
                <w:spacing w:val="4"/>
                <w:szCs w:val="24"/>
                <w:highlight w:val="none"/>
              </w:rPr>
              <w:t xml:space="preserve">提供有效的检定或校准证书和购置发票、设备</w:t>
            </w:r>
            <w:r>
              <w:rPr>
                <w:rFonts w:hint="eastAsia" w:ascii="Calibri" w:hAnsi="Calibri" w:eastAsia="Calibri" w:cs="Calibri"/>
                <w:color w:val="auto"/>
                <w:spacing w:val="4"/>
                <w:szCs w:val="24"/>
                <w:highlight w:val="none"/>
              </w:rPr>
              <w:t xml:space="preserve">实物</w:t>
            </w:r>
            <w:r>
              <w:rPr>
                <w:rFonts w:hint="default" w:ascii="Calibri" w:hAnsi="Calibri" w:eastAsia="Calibri" w:cs="Calibri"/>
                <w:color w:val="auto"/>
                <w:spacing w:val="4"/>
                <w:szCs w:val="24"/>
                <w:highlight w:val="none"/>
              </w:rPr>
              <w:t xml:space="preserve">照片等，表明能有效应用在食品检验检测上。</w:t>
            </w:r>
            <w:r/>
          </w:p>
          <w:p>
            <w:pPr>
              <w:ind w:left="8" w:firstLine="10"/>
              <w:spacing w:before="53" w:line="285" w:lineRule="auto"/>
              <w:rPr>
                <w:rFonts w:ascii="Calibri" w:hAnsi="Calibri" w:eastAsia="Calibri" w:cs="Calibri"/>
                <w:color w:val="auto"/>
                <w:spacing w:val="4"/>
                <w:szCs w:val="24"/>
                <w:highlight w:val="none"/>
              </w:rPr>
            </w:pPr>
            <w:r>
              <w:rPr>
                <w:rFonts w:hint="eastAsia" w:ascii="Calibri" w:hAnsi="Calibri" w:eastAsia="Calibri" w:cs="Calibri"/>
                <w:color w:val="auto"/>
                <w:spacing w:val="4"/>
                <w:szCs w:val="24"/>
                <w:highlight w:val="none"/>
                <w:lang w:val="zh-CN"/>
              </w:rPr>
              <w:t xml:space="preserve">2. 以上所有证明材料均须扫描件并加盖投标人</w:t>
            </w:r>
            <w:r>
              <w:rPr>
                <w:rFonts w:hint="eastAsia" w:ascii="Calibri" w:hAnsi="Calibri" w:cs="Calibri"/>
                <w:color w:val="auto"/>
                <w:spacing w:val="4"/>
                <w:szCs w:val="24"/>
                <w:highlight w:val="none"/>
                <w:lang w:val="en-US" w:eastAsia="zh-CN"/>
              </w:rPr>
              <w:t xml:space="preserve">公</w:t>
            </w:r>
            <w:r>
              <w:rPr>
                <w:rFonts w:hint="eastAsia" w:ascii="Calibri" w:hAnsi="Calibri" w:eastAsia="Calibri" w:cs="Calibri"/>
                <w:color w:val="auto"/>
                <w:spacing w:val="4"/>
                <w:szCs w:val="24"/>
                <w:highlight w:val="none"/>
                <w:lang w:val="zh-CN"/>
              </w:rPr>
              <w:t xml:space="preserve">章。</w:t>
            </w:r>
            <w:r/>
          </w:p>
        </w:tc>
      </w:tr>
      <w:tr>
        <w:trPr>
          <w:jc w:val="center"/>
          <w:trHeight w:val="194"/>
        </w:trPr>
        <w:tc>
          <w:tcPr>
            <w:tcW w:w="1125" w:type="dxa"/>
            <w:vMerge w:val="continue"/>
            <w:textDirection w:val="lrTb"/>
            <w:noWrap w:val="false"/>
          </w:tcPr>
          <w:p>
            <w:pPr>
              <w:rPr>
                <w:rFonts w:ascii="Arial" w:hAnsi="Arial" w:cs="Arial"/>
                <w:color w:val="auto"/>
                <w:szCs w:val="24"/>
                <w:highlight w:val="none"/>
              </w:rPr>
            </w:pPr>
            <w:r>
              <w:rPr>
                <w:rFonts w:ascii="Arial" w:hAnsi="Arial" w:cs="Arial"/>
                <w:color w:val="auto"/>
                <w:szCs w:val="24"/>
                <w:highlight w:val="none"/>
              </w:rPr>
            </w:r>
            <w:r/>
          </w:p>
        </w:tc>
        <w:tc>
          <w:tcPr>
            <w:tcW w:w="1106" w:type="dxa"/>
            <w:vAlign w:val="center"/>
            <w:textDirection w:val="lrTb"/>
            <w:noWrap w:val="false"/>
          </w:tcPr>
          <w:p>
            <w:pPr>
              <w:ind w:left="12"/>
              <w:jc w:val="center"/>
              <w:spacing w:before="65" w:line="229" w:lineRule="auto"/>
              <w:rPr>
                <w:rFonts w:ascii="宋体" w:hAnsi="宋体" w:cs="宋体"/>
                <w:color w:val="auto"/>
                <w:spacing w:val="7"/>
                <w:szCs w:val="24"/>
                <w:highlight w:val="none"/>
              </w:rPr>
            </w:pPr>
            <w:r>
              <w:rPr>
                <w:rFonts w:hint="eastAsia" w:ascii="宋体" w:hAnsi="宋体" w:cs="宋体"/>
                <w:color w:val="auto"/>
                <w:spacing w:val="7"/>
                <w:szCs w:val="24"/>
                <w:highlight w:val="none"/>
              </w:rPr>
              <w:t xml:space="preserve">企业技术能力</w:t>
            </w:r>
            <w:r/>
          </w:p>
        </w:tc>
        <w:tc>
          <w:tcPr>
            <w:tcW w:w="846" w:type="dxa"/>
            <w:vAlign w:val="center"/>
            <w:textDirection w:val="lrTb"/>
            <w:noWrap w:val="false"/>
          </w:tcPr>
          <w:p>
            <w:pPr>
              <w:ind w:left="18"/>
              <w:jc w:val="center"/>
              <w:spacing w:before="65" w:line="229" w:lineRule="auto"/>
              <w:rPr>
                <w:rFonts w:ascii="Calibri" w:hAnsi="Calibri" w:cs="Calibri"/>
                <w:color w:val="auto"/>
                <w:szCs w:val="24"/>
                <w:highlight w:val="none"/>
              </w:rPr>
            </w:pPr>
            <w:r>
              <w:rPr>
                <w:rFonts w:hint="eastAsia" w:ascii="Calibri" w:hAnsi="Calibri" w:cs="Calibri"/>
                <w:color w:val="auto"/>
                <w:szCs w:val="24"/>
                <w:highlight w:val="none"/>
                <w:lang w:val="en-US" w:eastAsia="zh-CN"/>
              </w:rPr>
              <w:t xml:space="preserve">5</w:t>
            </w:r>
            <w:r>
              <w:rPr>
                <w:rFonts w:hint="eastAsia" w:ascii="Calibri" w:hAnsi="Calibri" w:cs="Calibri"/>
                <w:color w:val="auto"/>
                <w:szCs w:val="24"/>
                <w:highlight w:val="none"/>
              </w:rPr>
              <w:t xml:space="preserve">.00分</w:t>
            </w:r>
            <w:r/>
          </w:p>
        </w:tc>
        <w:tc>
          <w:tcPr>
            <w:tcW w:w="6335" w:type="dxa"/>
            <w:textDirection w:val="lrTb"/>
            <w:noWrap w:val="false"/>
          </w:tcPr>
          <w:p>
            <w:pPr>
              <w:ind w:left="8" w:right="4" w:firstLine="10"/>
              <w:spacing w:before="51" w:line="283" w:lineRule="auto"/>
              <w:rPr>
                <w:rFonts w:ascii="宋体" w:hAnsi="宋体" w:cs="宋体"/>
                <w:color w:val="auto"/>
                <w:spacing w:val="17"/>
                <w:szCs w:val="24"/>
                <w:highlight w:val="none"/>
              </w:rPr>
            </w:pPr>
            <w:r>
              <w:rPr>
                <w:rFonts w:hint="eastAsia" w:ascii="Calibri" w:hAnsi="Calibri" w:cs="Calibri"/>
                <w:color w:val="auto"/>
                <w:spacing w:val="8"/>
                <w:szCs w:val="24"/>
                <w:highlight w:val="none"/>
              </w:rPr>
              <w:t xml:space="preserve">1</w:t>
            </w:r>
            <w:r>
              <w:rPr>
                <w:rFonts w:ascii="Calibri" w:hAnsi="Calibri" w:eastAsia="Calibri" w:cs="Calibri"/>
                <w:color w:val="auto"/>
                <w:spacing w:val="-23"/>
                <w:szCs w:val="24"/>
                <w:highlight w:val="none"/>
              </w:rPr>
              <w:t xml:space="preserve"> </w:t>
            </w:r>
            <w:r>
              <w:rPr>
                <w:rFonts w:ascii="宋体" w:hAnsi="宋体" w:cs="宋体"/>
                <w:color w:val="auto"/>
                <w:spacing w:val="8"/>
                <w:szCs w:val="24"/>
                <w:highlight w:val="none"/>
              </w:rPr>
              <w:t xml:space="preserve">、投标人有食品检测技术相关专利的</w:t>
            </w:r>
            <w:r>
              <w:rPr>
                <w:rFonts w:ascii="宋体" w:hAnsi="宋体" w:cs="宋体"/>
                <w:color w:val="auto"/>
                <w:spacing w:val="-2"/>
                <w:szCs w:val="24"/>
                <w:highlight w:val="none"/>
              </w:rPr>
              <w:t xml:space="preserve">每项得</w:t>
            </w:r>
            <w:r>
              <w:rPr>
                <w:rFonts w:hint="eastAsia" w:ascii="Calibri" w:hAnsi="Calibri" w:cs="Calibri"/>
                <w:color w:val="auto"/>
                <w:spacing w:val="-2"/>
                <w:szCs w:val="24"/>
                <w:highlight w:val="none"/>
              </w:rPr>
              <w:t xml:space="preserve">1</w:t>
            </w:r>
            <w:r>
              <w:rPr>
                <w:rFonts w:ascii="宋体" w:hAnsi="宋体" w:cs="宋体"/>
                <w:color w:val="auto"/>
                <w:spacing w:val="-2"/>
                <w:szCs w:val="24"/>
                <w:highlight w:val="none"/>
              </w:rPr>
              <w:t xml:space="preserve">分，最高得</w:t>
            </w:r>
            <w:r>
              <w:rPr>
                <w:rFonts w:hint="eastAsia" w:ascii="宋体" w:hAnsi="宋体" w:cs="宋体"/>
                <w:color w:val="auto"/>
                <w:spacing w:val="-30"/>
                <w:szCs w:val="24"/>
                <w:highlight w:val="none"/>
                <w:lang w:val="en-US" w:eastAsia="zh-CN"/>
              </w:rPr>
              <w:t xml:space="preserve">3</w:t>
            </w:r>
            <w:r>
              <w:rPr>
                <w:rFonts w:ascii="宋体" w:hAnsi="宋体" w:cs="宋体"/>
                <w:color w:val="auto"/>
                <w:spacing w:val="-2"/>
                <w:szCs w:val="24"/>
                <w:highlight w:val="none"/>
              </w:rPr>
              <w:t xml:space="preserve">分。（须上传专利证书原</w:t>
            </w:r>
            <w:r>
              <w:rPr>
                <w:rFonts w:ascii="宋体" w:hAnsi="宋体" w:cs="宋体"/>
                <w:color w:val="auto"/>
                <w:spacing w:val="3"/>
                <w:szCs w:val="24"/>
                <w:highlight w:val="none"/>
              </w:rPr>
              <w:t xml:space="preserve">件扫描件</w:t>
            </w:r>
            <w:r>
              <w:rPr>
                <w:rFonts w:ascii="宋体" w:hAnsi="宋体" w:cs="宋体"/>
                <w:color w:val="auto"/>
                <w:spacing w:val="-48"/>
                <w:szCs w:val="24"/>
                <w:highlight w:val="none"/>
              </w:rPr>
              <w:t xml:space="preserve">）；</w:t>
            </w:r>
            <w:r>
              <w:rPr>
                <w:rFonts w:ascii="宋体" w:hAnsi="宋体" w:cs="宋体"/>
                <w:color w:val="auto"/>
                <w:spacing w:val="17"/>
                <w:szCs w:val="24"/>
                <w:highlight w:val="none"/>
              </w:rPr>
              <w:t xml:space="preserve"> </w:t>
            </w:r>
            <w:r/>
          </w:p>
          <w:p>
            <w:pPr>
              <w:numPr>
                <w:ilvl w:val="0"/>
                <w:numId w:val="6"/>
              </w:numPr>
              <w:ind w:left="8" w:firstLine="10"/>
              <w:spacing w:before="53" w:line="285" w:lineRule="auto"/>
              <w:rPr>
                <w:rFonts w:ascii="宋体" w:hAnsi="宋体" w:cs="宋体"/>
                <w:color w:val="auto"/>
                <w:spacing w:val="2"/>
                <w:szCs w:val="24"/>
                <w:highlight w:val="none"/>
              </w:rPr>
            </w:pPr>
            <w:r>
              <w:rPr>
                <w:rFonts w:ascii="宋体" w:hAnsi="宋体" w:cs="宋体"/>
                <w:color w:val="auto"/>
                <w:spacing w:val="3"/>
                <w:szCs w:val="24"/>
                <w:highlight w:val="none"/>
              </w:rPr>
              <w:t xml:space="preserve">参与国家、行业、地方食品相关</w:t>
            </w:r>
            <w:r>
              <w:rPr>
                <w:rFonts w:ascii="宋体" w:hAnsi="宋体" w:cs="宋体"/>
                <w:color w:val="auto"/>
                <w:spacing w:val="9"/>
                <w:szCs w:val="24"/>
                <w:highlight w:val="none"/>
              </w:rPr>
              <w:t xml:space="preserve">检查方法、标准制定</w:t>
            </w:r>
            <w:r>
              <w:rPr>
                <w:rFonts w:hint="eastAsia" w:ascii="宋体" w:hAnsi="宋体" w:cs="宋体"/>
                <w:color w:val="auto"/>
                <w:spacing w:val="6"/>
                <w:szCs w:val="24"/>
                <w:highlight w:val="none"/>
              </w:rPr>
              <w:t xml:space="preserve">每有一个得1分，本项目最高得</w:t>
            </w:r>
            <w:r>
              <w:rPr>
                <w:rFonts w:hint="eastAsia" w:ascii="宋体" w:hAnsi="宋体" w:cs="宋体"/>
                <w:color w:val="auto"/>
                <w:spacing w:val="6"/>
                <w:szCs w:val="24"/>
                <w:highlight w:val="none"/>
                <w:lang w:val="en-US" w:eastAsia="zh-CN"/>
              </w:rPr>
              <w:t xml:space="preserve">2</w:t>
            </w:r>
            <w:r>
              <w:rPr>
                <w:rFonts w:hint="eastAsia" w:ascii="宋体" w:hAnsi="宋体" w:cs="宋体"/>
                <w:color w:val="auto"/>
                <w:spacing w:val="6"/>
                <w:szCs w:val="24"/>
                <w:highlight w:val="none"/>
              </w:rPr>
              <w:t xml:space="preserve">分。</w:t>
            </w:r>
            <w:r>
              <w:rPr>
                <w:rFonts w:ascii="宋体" w:hAnsi="宋体" w:cs="宋体"/>
                <w:color w:val="auto"/>
                <w:spacing w:val="9"/>
                <w:szCs w:val="24"/>
                <w:highlight w:val="none"/>
              </w:rPr>
              <w:t xml:space="preserve">（</w:t>
            </w:r>
            <w:r>
              <w:rPr>
                <w:rFonts w:hint="eastAsia" w:ascii="宋体" w:hAnsi="宋体" w:cs="宋体"/>
                <w:color w:val="auto"/>
                <w:spacing w:val="2"/>
                <w:szCs w:val="24"/>
                <w:highlight w:val="none"/>
              </w:rPr>
              <w:t xml:space="preserve">须上传相关标准的证明材料或标准文本原件扫描件</w:t>
            </w:r>
            <w:r>
              <w:rPr>
                <w:rFonts w:ascii="宋体" w:hAnsi="宋体" w:cs="宋体"/>
                <w:color w:val="auto"/>
                <w:spacing w:val="2"/>
                <w:szCs w:val="24"/>
                <w:highlight w:val="none"/>
              </w:rPr>
              <w:t xml:space="preserve">）</w:t>
            </w:r>
            <w:r/>
          </w:p>
          <w:p>
            <w:pPr>
              <w:ind w:left="18"/>
              <w:spacing w:before="53" w:line="285" w:lineRule="auto"/>
              <w:rPr>
                <w:rFonts w:ascii="宋体" w:hAnsi="宋体" w:cs="宋体"/>
                <w:color w:val="auto"/>
                <w:spacing w:val="2"/>
                <w:szCs w:val="24"/>
                <w:highlight w:val="none"/>
              </w:rPr>
            </w:pPr>
            <w:r>
              <w:rPr>
                <w:rFonts w:hint="eastAsia" w:ascii="宋体" w:hAnsi="宋体" w:cs="宋体"/>
                <w:color w:val="auto"/>
                <w:spacing w:val="2"/>
                <w:szCs w:val="24"/>
                <w:highlight w:val="none"/>
              </w:rPr>
              <w:t xml:space="preserve">备注：</w:t>
            </w:r>
            <w:r>
              <w:rPr>
                <w:rFonts w:ascii="Calibri" w:hAnsi="Calibri"/>
                <w:color w:val="auto"/>
                <w:szCs w:val="22"/>
                <w:highlight w:val="none"/>
              </w:rPr>
              <w:t xml:space="preserve">中标人提供的上述证明材料随中标结果同步公开。</w:t>
            </w:r>
            <w:r/>
          </w:p>
        </w:tc>
      </w:tr>
      <w:tr>
        <w:trPr>
          <w:jc w:val="center"/>
          <w:trHeight w:val="1216"/>
        </w:trPr>
        <w:tc>
          <w:tcPr>
            <w:tcW w:w="1125" w:type="dxa"/>
            <w:vAlign w:val="center"/>
            <w:vMerge w:val="continue"/>
            <w:textDirection w:val="lrTb"/>
            <w:noWrap w:val="false"/>
          </w:tcPr>
          <w:p>
            <w:pPr>
              <w:jc w:val="center"/>
              <w:rPr>
                <w:rFonts w:ascii="Arial" w:hAnsi="Arial" w:cs="Arial"/>
                <w:color w:val="auto"/>
                <w:szCs w:val="24"/>
                <w:highlight w:val="none"/>
              </w:rPr>
            </w:pPr>
            <w:r>
              <w:rPr>
                <w:rFonts w:ascii="Arial" w:hAnsi="Arial" w:cs="Arial"/>
                <w:color w:val="auto"/>
                <w:szCs w:val="24"/>
                <w:highlight w:val="none"/>
              </w:rPr>
            </w:r>
            <w:r/>
          </w:p>
        </w:tc>
        <w:tc>
          <w:tcPr>
            <w:tcW w:w="1106" w:type="dxa"/>
            <w:vAlign w:val="center"/>
            <w:textDirection w:val="lrTb"/>
            <w:noWrap w:val="false"/>
          </w:tcPr>
          <w:p>
            <w:pPr>
              <w:ind w:left="9"/>
              <w:jc w:val="center"/>
              <w:spacing w:before="65" w:line="230" w:lineRule="auto"/>
              <w:rPr>
                <w:rFonts w:ascii="宋体" w:hAnsi="宋体" w:cs="宋体"/>
                <w:color w:val="auto"/>
                <w:szCs w:val="24"/>
                <w:highlight w:val="none"/>
              </w:rPr>
            </w:pPr>
            <w:r>
              <w:rPr>
                <w:rFonts w:ascii="宋体" w:hAnsi="宋体" w:cs="宋体"/>
                <w:color w:val="auto"/>
                <w:spacing w:val="6"/>
                <w:szCs w:val="24"/>
                <w:highlight w:val="none"/>
              </w:rPr>
              <w:t xml:space="preserve">人员配备</w:t>
            </w:r>
            <w:r/>
          </w:p>
        </w:tc>
        <w:tc>
          <w:tcPr>
            <w:tcW w:w="846" w:type="dxa"/>
            <w:vAlign w:val="center"/>
            <w:textDirection w:val="lrTb"/>
            <w:noWrap w:val="false"/>
          </w:tcPr>
          <w:p>
            <w:pPr>
              <w:ind w:left="18"/>
              <w:jc w:val="center"/>
              <w:spacing w:before="65" w:line="229" w:lineRule="auto"/>
              <w:rPr>
                <w:rFonts w:ascii="宋体" w:hAnsi="宋体" w:cs="宋体"/>
                <w:color w:val="auto"/>
                <w:szCs w:val="24"/>
                <w:highlight w:val="none"/>
              </w:rPr>
            </w:pPr>
            <w:r>
              <w:rPr>
                <w:rFonts w:hint="eastAsia" w:ascii="Calibri" w:hAnsi="Calibri" w:cs="Calibri"/>
                <w:color w:val="auto"/>
                <w:szCs w:val="24"/>
                <w:highlight w:val="none"/>
              </w:rPr>
              <w:t xml:space="preserve">12</w:t>
            </w:r>
            <w:r>
              <w:rPr>
                <w:rFonts w:ascii="Calibri" w:hAnsi="Calibri" w:eastAsia="Calibri" w:cs="Calibri"/>
                <w:color w:val="auto"/>
                <w:szCs w:val="24"/>
                <w:highlight w:val="none"/>
              </w:rPr>
              <w:t xml:space="preserve">.00</w:t>
            </w:r>
            <w:r>
              <w:rPr>
                <w:rFonts w:ascii="宋体" w:hAnsi="宋体" w:cs="宋体"/>
                <w:color w:val="auto"/>
                <w:szCs w:val="24"/>
                <w:highlight w:val="none"/>
              </w:rPr>
              <w:t xml:space="preserve">分</w:t>
            </w:r>
            <w:r/>
          </w:p>
        </w:tc>
        <w:tc>
          <w:tcPr>
            <w:tcW w:w="6335" w:type="dxa"/>
            <w:textDirection w:val="lrTb"/>
            <w:noWrap w:val="false"/>
          </w:tcPr>
          <w:p>
            <w:pPr>
              <w:spacing w:line="420" w:lineRule="atLeast"/>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项目负责人：</w:t>
            </w:r>
            <w:r>
              <w:rPr>
                <w:rFonts w:hint="eastAsia" w:ascii="宋体" w:hAnsi="宋体" w:cs="宋体"/>
                <w:color w:val="auto"/>
                <w:highlight w:val="none"/>
              </w:rPr>
              <w:t xml:space="preserve">具</w:t>
            </w:r>
            <w:r>
              <w:rPr>
                <w:rFonts w:hint="eastAsia" w:ascii="宋体" w:hAnsi="宋体" w:cs="宋体"/>
                <w:color w:val="auto"/>
                <w:highlight w:val="none"/>
                <w:lang w:val="zh-CN"/>
              </w:rPr>
              <w:t xml:space="preserve">有食品检测工作服务经验且具有正高级职称的得</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分；有食品检测工作服务经验且具有副高级职称的得</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分；</w:t>
            </w:r>
            <w:r>
              <w:rPr>
                <w:rFonts w:hint="eastAsia" w:ascii="宋体" w:hAnsi="宋体" w:cs="宋体"/>
                <w:color w:val="auto"/>
                <w:highlight w:val="none"/>
              </w:rPr>
              <w:t xml:space="preserve">本项最高得2分</w:t>
            </w:r>
            <w:r>
              <w:rPr>
                <w:rFonts w:hint="eastAsia" w:ascii="宋体" w:hAnsi="宋体" w:cs="宋体"/>
                <w:color w:val="auto"/>
                <w:highlight w:val="none"/>
                <w:lang w:val="zh-CN"/>
              </w:rPr>
              <w:t xml:space="preserve">。投标文件中须提供项目负责人的工作履历、职称证书</w:t>
            </w:r>
            <w:r>
              <w:rPr>
                <w:rFonts w:hint="eastAsia" w:ascii="宋体" w:hAnsi="宋体" w:cs="宋体"/>
                <w:color w:val="auto"/>
                <w:highlight w:val="none"/>
                <w:lang w:val="en-US" w:eastAsia="zh-CN"/>
              </w:rPr>
              <w:t xml:space="preserve">原件彩色</w:t>
            </w:r>
            <w:r>
              <w:rPr>
                <w:rFonts w:hint="eastAsia" w:ascii="宋体" w:hAnsi="宋体" w:cs="宋体"/>
                <w:color w:val="auto"/>
                <w:highlight w:val="none"/>
              </w:rPr>
              <w:t xml:space="preserve">扫描件</w:t>
            </w:r>
            <w:r>
              <w:rPr>
                <w:rFonts w:hint="eastAsia" w:ascii="宋体" w:hAnsi="宋体" w:cs="宋体"/>
                <w:color w:val="auto"/>
                <w:highlight w:val="none"/>
                <w:lang w:val="zh-CN"/>
              </w:rPr>
              <w:t xml:space="preserve">及本企业为该员工缴纳的社保缴费的证明材料（</w:t>
            </w:r>
            <w:r>
              <w:rPr>
                <w:rFonts w:hint="eastAsia" w:ascii="宋体" w:hAnsi="宋体" w:cs="宋体"/>
                <w:color w:val="auto"/>
                <w:highlight w:val="none"/>
              </w:rPr>
              <w:t xml:space="preserve">上述人员必须为本单位人员，须在</w:t>
            </w:r>
            <w:r>
              <w:rPr>
                <w:rFonts w:hint="eastAsia" w:ascii="宋体" w:hAnsi="宋体" w:cs="宋体"/>
                <w:color w:val="auto"/>
                <w:highlight w:val="none"/>
                <w:lang w:val="zh-CN"/>
              </w:rPr>
              <w:t xml:space="preserve">响应文件中提供</w:t>
            </w:r>
            <w:r>
              <w:rPr>
                <w:rFonts w:hint="eastAsia" w:ascii="宋体" w:hAnsi="宋体" w:cs="宋体"/>
                <w:color w:val="auto"/>
                <w:highlight w:val="none"/>
              </w:rPr>
              <w:t xml:space="preserve">劳动合同以及</w:t>
            </w:r>
            <w:r>
              <w:rPr>
                <w:rFonts w:hint="eastAsia" w:ascii="宋体" w:hAnsi="宋体" w:cs="宋体"/>
                <w:color w:val="auto"/>
                <w:highlight w:val="none"/>
                <w:lang w:val="zh-CN"/>
              </w:rPr>
              <w:t xml:space="preserve">自招标公告发出之日起前6个月内</w:t>
            </w:r>
            <w:r>
              <w:rPr>
                <w:rFonts w:hint="eastAsia" w:ascii="宋体" w:hAnsi="宋体" w:cs="宋体"/>
                <w:color w:val="auto"/>
                <w:highlight w:val="none"/>
              </w:rPr>
              <w:t xml:space="preserve">任意1</w:t>
            </w:r>
            <w:r>
              <w:rPr>
                <w:rFonts w:hint="eastAsia" w:ascii="宋体" w:hAnsi="宋体" w:cs="宋体"/>
                <w:color w:val="auto"/>
                <w:highlight w:val="none"/>
                <w:lang w:val="zh-CN"/>
              </w:rPr>
              <w:t xml:space="preserve">个月</w:t>
            </w:r>
            <w:r>
              <w:rPr>
                <w:rFonts w:hint="eastAsia" w:ascii="宋体" w:hAnsi="宋体" w:cs="宋体"/>
                <w:color w:val="auto"/>
                <w:highlight w:val="none"/>
              </w:rPr>
              <w:t xml:space="preserve">投标人为其缴纳</w:t>
            </w:r>
            <w:r>
              <w:rPr>
                <w:rFonts w:hint="eastAsia" w:ascii="宋体" w:hAnsi="宋体" w:cs="宋体"/>
                <w:color w:val="auto"/>
                <w:highlight w:val="none"/>
                <w:lang w:val="zh-CN"/>
              </w:rPr>
              <w:t xml:space="preserve">的社保证明材料，社保证明以社保主管部门出具的证明为准或网上查询证明为准）。证明资料不完整或不一致的不计分。</w:t>
            </w:r>
            <w:r/>
          </w:p>
          <w:p>
            <w:pPr>
              <w:spacing w:line="420" w:lineRule="atLeast"/>
              <w:rPr>
                <w:rFonts w:ascii="宋体" w:hAnsi="宋体" w:cs="宋体"/>
                <w:color w:val="auto"/>
                <w:highlight w:val="none"/>
              </w:rPr>
            </w:pPr>
            <w:r>
              <w:rPr>
                <w:rFonts w:hint="eastAsia" w:ascii="宋体" w:hAnsi="宋体" w:cs="宋体"/>
                <w:color w:val="auto"/>
                <w:highlight w:val="none"/>
              </w:rPr>
              <w:t xml:space="preserve">2、项目组人员（项目负责人除外）：</w:t>
            </w:r>
            <w:r/>
          </w:p>
          <w:p>
            <w:pPr>
              <w:spacing w:line="420" w:lineRule="atLeas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w:t>
            </w:r>
            <w:r>
              <w:rPr>
                <w:rFonts w:hint="eastAsia" w:ascii="宋体" w:hAnsi="宋体" w:cs="宋体"/>
                <w:color w:val="auto"/>
                <w:highlight w:val="none"/>
              </w:rPr>
              <w:t xml:space="preserve">项目组人员中</w:t>
            </w:r>
            <w:r>
              <w:rPr>
                <w:rFonts w:hint="eastAsia" w:ascii="宋体" w:hAnsi="宋体" w:cs="宋体"/>
                <w:color w:val="auto"/>
                <w:highlight w:val="none"/>
                <w:lang w:val="zh-CN"/>
              </w:rPr>
              <w:t xml:space="preserve">具有</w:t>
            </w:r>
            <w:r>
              <w:rPr>
                <w:rFonts w:hint="eastAsia" w:ascii="宋体" w:hAnsi="宋体" w:cs="宋体"/>
                <w:color w:val="auto"/>
                <w:highlight w:val="none"/>
              </w:rPr>
              <w:t xml:space="preserve">硕士及以上学历的，每有1人加</w:t>
            </w:r>
            <w:r>
              <w:rPr>
                <w:rFonts w:hint="eastAsia" w:ascii="宋体" w:hAnsi="宋体" w:cs="宋体"/>
                <w:color w:val="auto"/>
                <w:highlight w:val="none"/>
                <w:lang w:val="en-US" w:eastAsia="zh-CN"/>
              </w:rPr>
              <w:t xml:space="preserve">0.75</w:t>
            </w:r>
            <w:r>
              <w:rPr>
                <w:rFonts w:hint="eastAsia" w:ascii="宋体" w:hAnsi="宋体" w:cs="宋体"/>
                <w:color w:val="auto"/>
                <w:highlight w:val="none"/>
              </w:rPr>
              <w:t xml:space="preserve">分，最高加</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val="zh-CN"/>
              </w:rPr>
              <w:t xml:space="preserve">本科及以上学历的，</w:t>
            </w:r>
            <w:r>
              <w:rPr>
                <w:rFonts w:hint="eastAsia" w:ascii="宋体" w:hAnsi="宋体" w:cs="宋体"/>
                <w:color w:val="auto"/>
                <w:highlight w:val="none"/>
              </w:rPr>
              <w:t xml:space="preserve">每有1人加</w:t>
            </w:r>
            <w:r>
              <w:rPr>
                <w:rFonts w:hint="eastAsia" w:ascii="宋体" w:hAnsi="宋体" w:cs="宋体"/>
                <w:color w:val="auto"/>
                <w:highlight w:val="none"/>
                <w:lang w:val="en-US" w:eastAsia="zh-CN"/>
              </w:rPr>
              <w:t xml:space="preserve">0.5</w:t>
            </w:r>
            <w:r>
              <w:rPr>
                <w:rFonts w:hint="eastAsia" w:ascii="宋体" w:hAnsi="宋体" w:cs="宋体"/>
                <w:color w:val="auto"/>
                <w:highlight w:val="none"/>
              </w:rPr>
              <w:t xml:space="preserve">分，最高加</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分；本项</w:t>
            </w:r>
            <w:r>
              <w:rPr>
                <w:rFonts w:hint="eastAsia" w:ascii="宋体" w:hAnsi="宋体" w:cs="宋体"/>
                <w:color w:val="auto"/>
                <w:highlight w:val="none"/>
                <w:lang w:val="en-US" w:eastAsia="zh-CN"/>
              </w:rPr>
              <w:t xml:space="preserve">总分</w:t>
            </w:r>
            <w:r>
              <w:rPr>
                <w:rFonts w:hint="eastAsia" w:ascii="宋体" w:hAnsi="宋体" w:cs="宋体"/>
                <w:color w:val="auto"/>
                <w:highlight w:val="none"/>
              </w:rPr>
              <w:t xml:space="preserve">最高加4分。（在投标文件中提供相关人员学历证明材料原件</w:t>
            </w:r>
            <w:r>
              <w:rPr>
                <w:rFonts w:hint="eastAsia" w:ascii="宋体" w:hAnsi="宋体" w:cs="宋体"/>
                <w:color w:val="auto"/>
                <w:highlight w:val="none"/>
                <w:lang w:val="en-US" w:eastAsia="zh-CN"/>
              </w:rPr>
              <w:t xml:space="preserve">彩色</w:t>
            </w:r>
            <w:r>
              <w:rPr>
                <w:rFonts w:hint="eastAsia" w:ascii="宋体" w:hAnsi="宋体" w:cs="宋体"/>
                <w:color w:val="auto"/>
                <w:highlight w:val="none"/>
              </w:rPr>
              <w:t xml:space="preserve">扫描件，学历证明材料是指毕业证书和学位证书</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二者缺一不可</w:t>
            </w:r>
            <w:r>
              <w:rPr>
                <w:rFonts w:hint="eastAsia" w:ascii="宋体" w:hAnsi="宋体" w:cs="宋体"/>
                <w:color w:val="auto"/>
                <w:highlight w:val="none"/>
              </w:rPr>
              <w:t xml:space="preserve">）</w:t>
            </w:r>
            <w:r/>
          </w:p>
          <w:p>
            <w:pPr>
              <w:spacing w:line="420" w:lineRule="atLeast"/>
              <w:rPr>
                <w:rFonts w:ascii="宋体" w:hAnsi="宋体" w:cs="宋体"/>
                <w:color w:val="auto"/>
                <w:highlight w:val="none"/>
                <w:lang w:val="zh-CN"/>
              </w:rPr>
            </w:pPr>
            <w:r>
              <w:rPr>
                <w:rFonts w:hint="eastAsia" w:ascii="宋体" w:hAnsi="宋体" w:cs="宋体"/>
                <w:color w:val="auto"/>
                <w:highlight w:val="none"/>
              </w:rPr>
              <w:t xml:space="preserve">（2）项目组人员中具有副高级及以上</w:t>
            </w:r>
            <w:r>
              <w:rPr>
                <w:rFonts w:hint="eastAsia" w:ascii="宋体" w:hAnsi="宋体" w:cs="宋体"/>
                <w:color w:val="auto"/>
                <w:highlight w:val="none"/>
                <w:lang w:val="zh-CN"/>
              </w:rPr>
              <w:t xml:space="preserve">技术职称</w:t>
            </w:r>
            <w:r>
              <w:rPr>
                <w:rFonts w:hint="eastAsia" w:ascii="宋体" w:hAnsi="宋体" w:cs="宋体"/>
                <w:color w:val="auto"/>
                <w:highlight w:val="none"/>
              </w:rPr>
              <w:t xml:space="preserve">的</w:t>
            </w:r>
            <w:r>
              <w:rPr>
                <w:rFonts w:hint="eastAsia" w:ascii="宋体" w:hAnsi="宋体" w:cs="宋体"/>
                <w:color w:val="auto"/>
                <w:highlight w:val="none"/>
                <w:lang w:val="zh-CN"/>
              </w:rPr>
              <w:t xml:space="preserve">，每有1人加</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分，</w:t>
            </w:r>
            <w:r>
              <w:rPr>
                <w:rFonts w:hint="eastAsia" w:ascii="宋体" w:hAnsi="宋体" w:cs="宋体"/>
                <w:color w:val="auto"/>
                <w:highlight w:val="none"/>
              </w:rPr>
              <w:t xml:space="preserve">最高加</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分；具有中级技术职称的，</w:t>
            </w:r>
            <w:r>
              <w:rPr>
                <w:rFonts w:hint="eastAsia" w:ascii="宋体" w:hAnsi="宋体" w:cs="宋体"/>
                <w:color w:val="auto"/>
                <w:highlight w:val="none"/>
                <w:lang w:val="zh-CN"/>
              </w:rPr>
              <w:t xml:space="preserve">每有1人加</w:t>
            </w:r>
            <w:r>
              <w:rPr>
                <w:rFonts w:hint="eastAsia" w:ascii="宋体" w:hAnsi="宋体" w:cs="宋体"/>
                <w:color w:val="auto"/>
                <w:highlight w:val="none"/>
              </w:rPr>
              <w:t xml:space="preserve">0.5</w:t>
            </w:r>
            <w:r>
              <w:rPr>
                <w:rFonts w:hint="eastAsia" w:ascii="宋体" w:hAnsi="宋体" w:cs="宋体"/>
                <w:color w:val="auto"/>
                <w:highlight w:val="none"/>
                <w:lang w:val="zh-CN"/>
              </w:rPr>
              <w:t xml:space="preserve">分，</w:t>
            </w:r>
            <w:r>
              <w:rPr>
                <w:rFonts w:hint="eastAsia" w:ascii="宋体" w:hAnsi="宋体" w:cs="宋体"/>
                <w:color w:val="auto"/>
                <w:highlight w:val="none"/>
              </w:rPr>
              <w:t xml:space="preserve">最高加</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val="zh-CN"/>
              </w:rPr>
              <w:t xml:space="preserve">本项</w:t>
            </w:r>
            <w:r>
              <w:rPr>
                <w:rFonts w:hint="eastAsia" w:ascii="宋体" w:hAnsi="宋体" w:cs="宋体"/>
                <w:color w:val="auto"/>
                <w:highlight w:val="none"/>
              </w:rPr>
              <w:t xml:space="preserve">总分</w:t>
            </w:r>
            <w:r>
              <w:rPr>
                <w:rFonts w:hint="eastAsia" w:ascii="宋体" w:hAnsi="宋体" w:cs="宋体"/>
                <w:color w:val="auto"/>
                <w:highlight w:val="none"/>
                <w:lang w:val="zh-CN"/>
              </w:rPr>
              <w:t xml:space="preserve">最高</w:t>
            </w:r>
            <w:r>
              <w:rPr>
                <w:rFonts w:hint="eastAsia" w:ascii="宋体" w:hAnsi="宋体" w:cs="宋体"/>
                <w:color w:val="auto"/>
                <w:highlight w:val="none"/>
              </w:rPr>
              <w:t xml:space="preserve">6</w:t>
            </w:r>
            <w:r>
              <w:rPr>
                <w:rFonts w:hint="eastAsia" w:ascii="宋体" w:hAnsi="宋体" w:cs="宋体"/>
                <w:color w:val="auto"/>
                <w:highlight w:val="none"/>
                <w:lang w:val="zh-CN"/>
              </w:rPr>
              <w:t xml:space="preserve">分。（</w:t>
            </w:r>
            <w:r>
              <w:rPr>
                <w:rFonts w:hint="eastAsia" w:ascii="宋体" w:hAnsi="宋体" w:cs="宋体"/>
                <w:color w:val="auto"/>
                <w:highlight w:val="none"/>
              </w:rPr>
              <w:t xml:space="preserve">投标文件中</w:t>
            </w:r>
            <w:r>
              <w:rPr>
                <w:rFonts w:hint="eastAsia" w:ascii="宋体" w:hAnsi="宋体" w:cs="宋体"/>
                <w:color w:val="auto"/>
                <w:highlight w:val="none"/>
                <w:lang w:val="zh-CN"/>
              </w:rPr>
              <w:t xml:space="preserve">提供相关人员职称证书原件</w:t>
            </w:r>
            <w:r>
              <w:rPr>
                <w:rFonts w:hint="eastAsia" w:ascii="宋体" w:hAnsi="宋体" w:cs="宋体"/>
                <w:color w:val="auto"/>
                <w:highlight w:val="none"/>
                <w:lang w:val="en-US" w:eastAsia="zh-CN"/>
              </w:rPr>
              <w:t xml:space="preserve">彩色</w:t>
            </w:r>
            <w:r>
              <w:rPr>
                <w:rFonts w:hint="eastAsia" w:ascii="宋体" w:hAnsi="宋体" w:cs="宋体"/>
                <w:color w:val="auto"/>
                <w:highlight w:val="none"/>
                <w:lang w:val="zh-CN"/>
              </w:rPr>
              <w:t xml:space="preserve">扫描件） </w:t>
            </w:r>
            <w:r/>
          </w:p>
          <w:p>
            <w:pPr>
              <w:spacing w:line="420" w:lineRule="atLeast"/>
              <w:rPr>
                <w:rFonts w:ascii="宋体" w:hAnsi="宋体" w:cs="宋体"/>
                <w:color w:val="auto"/>
                <w:highlight w:val="none"/>
                <w:lang w:val="zh-CN"/>
              </w:rPr>
            </w:pPr>
            <w:r>
              <w:rPr>
                <w:rFonts w:hint="eastAsia" w:ascii="宋体" w:hAnsi="宋体" w:cs="宋体"/>
                <w:color w:val="auto"/>
                <w:highlight w:val="none"/>
              </w:rPr>
              <w:t xml:space="preserve">备</w:t>
            </w:r>
            <w:r>
              <w:rPr>
                <w:rFonts w:hint="eastAsia" w:ascii="宋体" w:hAnsi="宋体" w:cs="宋体"/>
                <w:color w:val="auto"/>
                <w:highlight w:val="none"/>
                <w:lang w:val="zh-CN"/>
              </w:rPr>
              <w:t xml:space="preserve">注：</w:t>
            </w:r>
            <w:r/>
          </w:p>
          <w:p>
            <w:pPr>
              <w:numPr>
                <w:ilvl w:val="0"/>
                <w:numId w:val="7"/>
              </w:numPr>
              <w:spacing w:line="420" w:lineRule="atLeast"/>
              <w:rPr>
                <w:rFonts w:ascii="宋体" w:hAnsi="宋体" w:cs="宋体"/>
                <w:color w:val="auto"/>
                <w:highlight w:val="none"/>
                <w:lang w:val="zh-CN"/>
              </w:rPr>
            </w:pPr>
            <w:r>
              <w:rPr>
                <w:rFonts w:hint="eastAsia" w:ascii="宋体" w:hAnsi="宋体" w:cs="宋体"/>
                <w:color w:val="auto"/>
                <w:highlight w:val="none"/>
                <w:lang w:val="zh-CN"/>
              </w:rPr>
              <w:t xml:space="preserve">提供以上拟派人员详细名单及证书、</w:t>
            </w:r>
            <w:r>
              <w:rPr>
                <w:rFonts w:hint="eastAsia" w:ascii="宋体" w:hAnsi="宋体" w:cs="宋体"/>
                <w:color w:val="auto"/>
                <w:highlight w:val="none"/>
              </w:rPr>
              <w:t xml:space="preserve">证件</w:t>
            </w:r>
            <w:r>
              <w:rPr>
                <w:rFonts w:hint="eastAsia" w:ascii="宋体" w:hAnsi="宋体" w:cs="宋体"/>
                <w:color w:val="auto"/>
                <w:highlight w:val="none"/>
                <w:lang w:val="zh-CN"/>
              </w:rPr>
              <w:t xml:space="preserve">索引表以便于评委查询。</w:t>
            </w:r>
            <w:r/>
          </w:p>
          <w:p>
            <w:pPr>
              <w:numPr>
                <w:ilvl w:val="0"/>
                <w:numId w:val="7"/>
              </w:numPr>
              <w:spacing w:line="420" w:lineRule="atLeast"/>
              <w:rPr>
                <w:rFonts w:ascii="宋体" w:hAnsi="宋体" w:cs="宋体"/>
                <w:color w:val="auto"/>
                <w:highlight w:val="none"/>
                <w:lang w:val="zh-CN"/>
              </w:rPr>
            </w:pPr>
            <w:r>
              <w:rPr>
                <w:rFonts w:hint="eastAsia" w:ascii="宋体" w:hAnsi="宋体" w:cs="宋体"/>
                <w:color w:val="auto"/>
                <w:highlight w:val="none"/>
                <w:lang w:val="zh-CN"/>
              </w:rPr>
              <w:t xml:space="preserve">上述</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（1）、</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（2）项</w:t>
            </w:r>
            <w:r>
              <w:rPr>
                <w:rFonts w:hint="eastAsia" w:ascii="宋体" w:hAnsi="宋体" w:cs="宋体"/>
                <w:color w:val="auto"/>
                <w:highlight w:val="none"/>
              </w:rPr>
              <w:t xml:space="preserve">应按</w:t>
            </w:r>
            <w:r>
              <w:rPr>
                <w:rFonts w:hint="eastAsia" w:ascii="宋体" w:hAnsi="宋体" w:cs="宋体"/>
                <w:color w:val="auto"/>
                <w:highlight w:val="none"/>
                <w:lang w:val="zh-CN"/>
              </w:rPr>
              <w:t xml:space="preserve">专职食品检验人员和专职抽样人员</w:t>
            </w:r>
            <w:r>
              <w:rPr>
                <w:rFonts w:hint="eastAsia" w:ascii="宋体" w:hAnsi="宋体" w:cs="宋体"/>
                <w:color w:val="auto"/>
                <w:highlight w:val="none"/>
              </w:rPr>
              <w:t xml:space="preserve">分别专职配置，</w:t>
            </w:r>
            <w:r>
              <w:rPr>
                <w:rFonts w:hint="eastAsia" w:ascii="宋体" w:hAnsi="宋体" w:cs="宋体"/>
                <w:color w:val="auto"/>
                <w:highlight w:val="none"/>
                <w:lang w:val="zh-CN"/>
              </w:rPr>
              <w:t xml:space="preserve">不得为同一人；</w:t>
            </w:r>
            <w:r/>
          </w:p>
          <w:p>
            <w:pPr>
              <w:spacing w:line="420" w:lineRule="atLeast"/>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在评审上述第</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w:t>
            </w:r>
            <w:r>
              <w:rPr>
                <w:rFonts w:hint="eastAsia" w:ascii="宋体" w:hAnsi="宋体" w:cs="宋体"/>
                <w:color w:val="auto"/>
                <w:highlight w:val="none"/>
              </w:rPr>
              <w:t xml:space="preserve">分项评审</w:t>
            </w:r>
            <w:r>
              <w:rPr>
                <w:rFonts w:hint="eastAsia" w:ascii="宋体" w:hAnsi="宋体" w:cs="宋体"/>
                <w:color w:val="auto"/>
                <w:highlight w:val="none"/>
                <w:lang w:val="zh-CN"/>
              </w:rPr>
              <w:t xml:space="preserve">时，如同一人员有多项证书的不重复计分，只按最高得分项计分一次；</w:t>
            </w:r>
            <w:r/>
          </w:p>
          <w:p>
            <w:pPr>
              <w:spacing w:line="420" w:lineRule="atLeast"/>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供应商</w:t>
            </w:r>
            <w:r>
              <w:rPr>
                <w:rFonts w:hint="eastAsia" w:ascii="宋体" w:hAnsi="宋体" w:cs="宋体"/>
                <w:color w:val="auto"/>
                <w:highlight w:val="none"/>
              </w:rPr>
              <w:t xml:space="preserve">在投标</w:t>
            </w:r>
            <w:r>
              <w:rPr>
                <w:rFonts w:hint="eastAsia" w:ascii="宋体" w:hAnsi="宋体" w:cs="宋体"/>
                <w:color w:val="auto"/>
                <w:highlight w:val="none"/>
                <w:lang w:val="zh-CN"/>
              </w:rPr>
              <w:t xml:space="preserve">文件中提供</w:t>
            </w:r>
            <w:r>
              <w:rPr>
                <w:rFonts w:hint="eastAsia" w:ascii="宋体" w:hAnsi="宋体" w:cs="宋体"/>
                <w:color w:val="auto"/>
                <w:highlight w:val="none"/>
              </w:rPr>
              <w:t xml:space="preserve">项目组</w:t>
            </w:r>
            <w:r>
              <w:rPr>
                <w:rFonts w:hint="eastAsia" w:ascii="宋体" w:hAnsi="宋体" w:cs="宋体"/>
                <w:color w:val="auto"/>
                <w:highlight w:val="none"/>
                <w:lang w:val="zh-CN"/>
              </w:rPr>
              <w:t xml:space="preserve">人员名单、人员社保证明（</w:t>
            </w:r>
            <w:r>
              <w:rPr>
                <w:rFonts w:hint="eastAsia" w:ascii="宋体" w:hAnsi="宋体" w:cs="宋体"/>
                <w:color w:val="auto"/>
                <w:highlight w:val="none"/>
              </w:rPr>
              <w:t xml:space="preserve">上述人员必须为本单位人员，须在投标</w:t>
            </w:r>
            <w:r>
              <w:rPr>
                <w:rFonts w:hint="eastAsia" w:ascii="宋体" w:hAnsi="宋体" w:cs="宋体"/>
                <w:color w:val="auto"/>
                <w:highlight w:val="none"/>
                <w:lang w:val="zh-CN"/>
              </w:rPr>
              <w:t xml:space="preserve">文件中提供</w:t>
            </w:r>
            <w:r>
              <w:rPr>
                <w:rFonts w:hint="eastAsia" w:ascii="宋体" w:hAnsi="宋体" w:cs="宋体"/>
                <w:color w:val="auto"/>
                <w:highlight w:val="none"/>
              </w:rPr>
              <w:t xml:space="preserve">劳动合同以及</w:t>
            </w:r>
            <w:r>
              <w:rPr>
                <w:rFonts w:hint="eastAsia" w:ascii="宋体" w:hAnsi="宋体" w:cs="宋体"/>
                <w:color w:val="auto"/>
                <w:highlight w:val="none"/>
                <w:lang w:val="zh-CN"/>
              </w:rPr>
              <w:t xml:space="preserve">自招标公告发出之日起前6个月内</w:t>
            </w:r>
            <w:r>
              <w:rPr>
                <w:rFonts w:hint="eastAsia" w:ascii="宋体" w:hAnsi="宋体" w:cs="宋体"/>
                <w:color w:val="auto"/>
                <w:highlight w:val="none"/>
              </w:rPr>
              <w:t xml:space="preserve">任意1</w:t>
            </w:r>
            <w:r>
              <w:rPr>
                <w:rFonts w:hint="eastAsia" w:ascii="宋体" w:hAnsi="宋体" w:cs="宋体"/>
                <w:color w:val="auto"/>
                <w:highlight w:val="none"/>
                <w:lang w:val="zh-CN"/>
              </w:rPr>
              <w:t xml:space="preserve">个月</w:t>
            </w:r>
            <w:r>
              <w:rPr>
                <w:rFonts w:hint="eastAsia" w:ascii="宋体" w:hAnsi="宋体" w:cs="宋体"/>
                <w:color w:val="auto"/>
                <w:highlight w:val="none"/>
              </w:rPr>
              <w:t xml:space="preserve">投标人为其缴纳</w:t>
            </w:r>
            <w:r>
              <w:rPr>
                <w:rFonts w:hint="eastAsia" w:ascii="宋体" w:hAnsi="宋体" w:cs="宋体"/>
                <w:color w:val="auto"/>
                <w:highlight w:val="none"/>
                <w:lang w:val="zh-CN"/>
              </w:rPr>
              <w:t xml:space="preserve">的社保证明材料，社保证明以社保主管部门出具的证明为准或网上查询证明为准）。</w:t>
            </w:r>
            <w:r/>
          </w:p>
          <w:p>
            <w:pPr>
              <w:spacing w:line="420" w:lineRule="atLeast"/>
              <w:rPr>
                <w:rFonts w:ascii="宋体" w:hAnsi="宋体" w:cs="宋体"/>
                <w:color w:val="auto"/>
                <w:szCs w:val="24"/>
                <w:highlight w:val="none"/>
              </w:rPr>
            </w:pPr>
            <w:r>
              <w:rPr>
                <w:rFonts w:hint="eastAsia" w:ascii="宋体" w:hAnsi="宋体" w:cs="宋体"/>
                <w:color w:val="auto"/>
                <w:highlight w:val="none"/>
              </w:rPr>
              <w:t xml:space="preserve">5、</w:t>
            </w:r>
            <w:r>
              <w:rPr>
                <w:rFonts w:hint="eastAsia" w:ascii="宋体" w:hAnsi="宋体" w:cs="宋体"/>
                <w:color w:val="auto"/>
                <w:highlight w:val="none"/>
                <w:lang w:val="zh-CN"/>
              </w:rPr>
              <w:t xml:space="preserve">中标人提供的上述证明材料随中标结果同步公开。</w:t>
            </w:r>
            <w:r/>
          </w:p>
        </w:tc>
      </w:tr>
      <w:tr>
        <w:trPr>
          <w:jc w:val="center"/>
          <w:trHeight w:val="1601"/>
        </w:trPr>
        <w:tc>
          <w:tcPr>
            <w:tcW w:w="1125" w:type="dxa"/>
            <w:vAlign w:val="center"/>
            <w:vMerge w:val="restart"/>
            <w:textDirection w:val="lrTb"/>
            <w:noWrap w:val="false"/>
          </w:tcPr>
          <w:p>
            <w:pPr>
              <w:ind w:left="12" w:right="84" w:firstLine="4"/>
              <w:jc w:val="center"/>
              <w:spacing w:before="214" w:line="258" w:lineRule="auto"/>
              <w:rPr>
                <w:rFonts w:ascii="宋体" w:hAnsi="宋体" w:cs="宋体"/>
                <w:color w:val="auto"/>
                <w:szCs w:val="24"/>
                <w:highlight w:val="none"/>
              </w:rPr>
            </w:pPr>
            <w:r>
              <w:rPr>
                <w:rFonts w:ascii="宋体" w:hAnsi="宋体" w:cs="宋体"/>
                <w:color w:val="auto"/>
                <w:spacing w:val="8"/>
                <w:szCs w:val="24"/>
                <w:highlight w:val="none"/>
              </w:rPr>
              <w:t xml:space="preserve">企业经营业绩、信</w:t>
            </w:r>
            <w:r>
              <w:rPr>
                <w:rFonts w:ascii="宋体" w:hAnsi="宋体" w:cs="宋体"/>
                <w:color w:val="auto"/>
                <w:spacing w:val="1"/>
                <w:szCs w:val="24"/>
                <w:highlight w:val="none"/>
              </w:rPr>
              <w:t xml:space="preserve"> 誉</w:t>
            </w:r>
            <w:r/>
          </w:p>
        </w:tc>
        <w:tc>
          <w:tcPr>
            <w:tcW w:w="1106" w:type="dxa"/>
            <w:vAlign w:val="center"/>
            <w:textDirection w:val="lrTb"/>
            <w:noWrap w:val="false"/>
          </w:tcPr>
          <w:p>
            <w:pPr>
              <w:ind w:left="10"/>
              <w:jc w:val="center"/>
              <w:spacing w:before="65" w:line="229" w:lineRule="auto"/>
              <w:rPr>
                <w:rFonts w:ascii="宋体" w:hAnsi="宋体" w:cs="宋体"/>
                <w:color w:val="auto"/>
                <w:szCs w:val="24"/>
                <w:highlight w:val="none"/>
              </w:rPr>
            </w:pPr>
            <w:r>
              <w:rPr>
                <w:rFonts w:ascii="宋体" w:hAnsi="宋体" w:cs="宋体"/>
                <w:color w:val="auto"/>
                <w:spacing w:val="6"/>
                <w:szCs w:val="24"/>
                <w:highlight w:val="none"/>
              </w:rPr>
              <w:t xml:space="preserve">企业业绩</w:t>
            </w:r>
            <w:r/>
          </w:p>
        </w:tc>
        <w:tc>
          <w:tcPr>
            <w:tcW w:w="846" w:type="dxa"/>
            <w:vAlign w:val="center"/>
            <w:textDirection w:val="lrTb"/>
            <w:noWrap w:val="false"/>
          </w:tcPr>
          <w:p>
            <w:pPr>
              <w:ind w:left="18"/>
              <w:jc w:val="center"/>
              <w:spacing w:before="65" w:line="229" w:lineRule="auto"/>
              <w:rPr>
                <w:rFonts w:ascii="宋体" w:hAnsi="宋体" w:cs="宋体"/>
                <w:strike/>
                <w:color w:val="auto"/>
                <w:szCs w:val="24"/>
                <w:highlight w:val="none"/>
              </w:rPr>
            </w:pPr>
            <w:r>
              <w:rPr>
                <w:rFonts w:hint="eastAsia" w:ascii="Calibri" w:hAnsi="Calibri" w:cs="Calibri"/>
                <w:color w:val="auto"/>
                <w:szCs w:val="24"/>
                <w:highlight w:val="none"/>
                <w:lang w:val="en-US" w:eastAsia="zh-CN"/>
              </w:rPr>
              <w:t xml:space="preserve">4</w:t>
            </w:r>
            <w:r>
              <w:rPr>
                <w:rFonts w:hint="eastAsia" w:ascii="Calibri" w:hAnsi="Calibri" w:cs="Calibri"/>
                <w:color w:val="auto"/>
                <w:szCs w:val="24"/>
                <w:highlight w:val="none"/>
              </w:rPr>
              <w:t xml:space="preserve">.00</w:t>
            </w:r>
            <w:r>
              <w:rPr>
                <w:rFonts w:ascii="宋体" w:hAnsi="宋体" w:cs="宋体"/>
                <w:color w:val="auto"/>
                <w:szCs w:val="24"/>
                <w:highlight w:val="none"/>
              </w:rPr>
              <w:t xml:space="preserve">分</w:t>
            </w:r>
            <w:r/>
          </w:p>
          <w:p>
            <w:pPr>
              <w:ind w:left="18"/>
              <w:jc w:val="center"/>
              <w:spacing w:before="65" w:line="229" w:lineRule="auto"/>
              <w:rPr>
                <w:rFonts w:ascii="宋体" w:hAnsi="宋体" w:cs="宋体"/>
                <w:color w:val="auto"/>
                <w:szCs w:val="24"/>
                <w:highlight w:val="none"/>
              </w:rPr>
            </w:pPr>
            <w:r>
              <w:rPr>
                <w:rFonts w:ascii="宋体" w:hAnsi="宋体" w:cs="宋体"/>
                <w:color w:val="auto"/>
                <w:szCs w:val="24"/>
                <w:highlight w:val="none"/>
              </w:rPr>
            </w:r>
            <w:r/>
          </w:p>
        </w:tc>
        <w:tc>
          <w:tcPr>
            <w:tcW w:w="6335" w:type="dxa"/>
            <w:textDirection w:val="lrTb"/>
            <w:noWrap w:val="false"/>
          </w:tcPr>
          <w:p>
            <w:pPr>
              <w:ind w:left="18" w:right="4"/>
              <w:spacing w:before="51" w:line="283" w:lineRule="auto"/>
              <w:rPr>
                <w:rFonts w:ascii="宋体" w:hAnsi="宋体" w:cs="宋体"/>
                <w:color w:val="auto"/>
                <w:spacing w:val="8"/>
                <w:szCs w:val="24"/>
                <w:highlight w:val="none"/>
              </w:rPr>
            </w:pPr>
            <w:r>
              <w:rPr>
                <w:rFonts w:hint="eastAsia" w:ascii="宋体" w:hAnsi="宋体" w:eastAsia="宋体" w:cs="宋体"/>
                <w:color w:val="auto"/>
                <w:spacing w:val="8"/>
                <w:szCs w:val="24"/>
                <w:highlight w:val="none"/>
                <w:rtl w:val="0"/>
                <w:lang w:val="zh-CN" w:eastAsia="zh-CN"/>
              </w:rPr>
              <w:t xml:space="preserve">投标人自2023年1月1日以来（以合同签订时间为准）承担过类似本项目业绩</w:t>
            </w:r>
            <w:r>
              <w:rPr>
                <w:rFonts w:hint="eastAsia" w:ascii="宋体" w:hAnsi="宋体" w:eastAsia="宋体" w:cs="宋体"/>
                <w:color w:val="auto"/>
                <w:spacing w:val="8"/>
                <w:szCs w:val="24"/>
                <w:highlight w:val="none"/>
                <w:rtl w:val="0"/>
                <w:lang w:val="en-US" w:eastAsia="zh-CN"/>
              </w:rPr>
              <w:t xml:space="preserve">的，</w:t>
            </w:r>
            <w:r>
              <w:rPr>
                <w:rFonts w:hint="eastAsia" w:ascii="宋体" w:hAnsi="宋体" w:eastAsia="宋体" w:cs="宋体"/>
                <w:color w:val="auto"/>
                <w:spacing w:val="8"/>
                <w:szCs w:val="24"/>
                <w:highlight w:val="none"/>
                <w:rtl w:val="0"/>
                <w:lang w:val="zh-CN" w:eastAsia="zh-CN"/>
              </w:rPr>
              <w:t xml:space="preserve">每</w:t>
            </w:r>
            <w:r>
              <w:rPr>
                <w:rFonts w:hint="eastAsia" w:ascii="宋体" w:hAnsi="宋体" w:eastAsia="宋体" w:cs="宋体"/>
                <w:color w:val="auto"/>
                <w:spacing w:val="8"/>
                <w:szCs w:val="24"/>
                <w:highlight w:val="none"/>
                <w:rtl w:val="0"/>
                <w:lang w:val="en-US" w:eastAsia="zh-CN"/>
              </w:rPr>
              <w:t xml:space="preserve">有一</w:t>
            </w:r>
            <w:r>
              <w:rPr>
                <w:rFonts w:hint="eastAsia" w:ascii="宋体" w:hAnsi="宋体" w:eastAsia="宋体" w:cs="宋体"/>
                <w:color w:val="auto"/>
                <w:spacing w:val="8"/>
                <w:szCs w:val="24"/>
                <w:highlight w:val="none"/>
                <w:rtl w:val="0"/>
                <w:lang w:val="zh-CN" w:eastAsia="zh-CN"/>
              </w:rPr>
              <w:t xml:space="preserve">个得</w:t>
            </w:r>
            <w:r>
              <w:rPr>
                <w:rFonts w:hint="eastAsia" w:ascii="宋体" w:hAnsi="宋体" w:cs="宋体"/>
                <w:color w:val="auto"/>
                <w:spacing w:val="8"/>
                <w:szCs w:val="24"/>
                <w:highlight w:val="none"/>
                <w:rtl w:val="0"/>
                <w:lang w:val="en-US" w:eastAsia="zh-CN"/>
              </w:rPr>
              <w:t xml:space="preserve">1</w:t>
            </w:r>
            <w:r>
              <w:rPr>
                <w:rFonts w:hint="eastAsia" w:ascii="宋体" w:hAnsi="宋体" w:eastAsia="宋体" w:cs="宋体"/>
                <w:color w:val="auto"/>
                <w:spacing w:val="8"/>
                <w:szCs w:val="24"/>
                <w:highlight w:val="none"/>
                <w:rtl w:val="0"/>
                <w:lang w:val="zh-CN" w:eastAsia="zh-CN"/>
              </w:rPr>
              <w:t xml:space="preserve">分，本项最高得</w:t>
            </w:r>
            <w:r>
              <w:rPr>
                <w:rFonts w:hint="eastAsia" w:ascii="宋体" w:hAnsi="宋体" w:cs="宋体"/>
                <w:color w:val="auto"/>
                <w:spacing w:val="8"/>
                <w:szCs w:val="24"/>
                <w:highlight w:val="none"/>
                <w:rtl w:val="0"/>
                <w:lang w:val="en-US" w:eastAsia="zh-CN"/>
              </w:rPr>
              <w:t xml:space="preserve">4</w:t>
            </w:r>
            <w:r>
              <w:rPr>
                <w:rFonts w:hint="eastAsia" w:ascii="宋体" w:hAnsi="宋体" w:eastAsia="宋体" w:cs="宋体"/>
                <w:color w:val="auto"/>
                <w:spacing w:val="8"/>
                <w:szCs w:val="24"/>
                <w:highlight w:val="none"/>
                <w:rtl w:val="0"/>
                <w:lang w:val="zh-CN" w:eastAsia="zh-CN"/>
              </w:rPr>
              <w:t xml:space="preserve">分。（备注：1、需在投标文件中提供任务委托书或抽检合同原件扫描件作为证明材料；2、中标人提供的上述证明材料随中标结果同步公开。）</w:t>
            </w:r>
            <w:r/>
          </w:p>
        </w:tc>
      </w:tr>
      <w:tr>
        <w:trPr>
          <w:jc w:val="center"/>
          <w:trHeight w:val="1668"/>
        </w:trPr>
        <w:tc>
          <w:tcPr>
            <w:tcW w:w="1125" w:type="dxa"/>
            <w:vMerge w:val="continue"/>
            <w:textDirection w:val="lrTb"/>
            <w:noWrap w:val="false"/>
          </w:tcPr>
          <w:p>
            <w:pPr>
              <w:rPr>
                <w:rFonts w:ascii="Arial" w:hAnsi="Arial" w:cs="Arial"/>
                <w:color w:val="auto"/>
                <w:szCs w:val="24"/>
                <w:highlight w:val="none"/>
              </w:rPr>
            </w:pPr>
            <w:r>
              <w:rPr>
                <w:rFonts w:ascii="Arial" w:hAnsi="Arial" w:cs="Arial"/>
                <w:color w:val="auto"/>
                <w:szCs w:val="24"/>
                <w:highlight w:val="none"/>
              </w:rPr>
            </w:r>
            <w:r/>
          </w:p>
        </w:tc>
        <w:tc>
          <w:tcPr>
            <w:tcW w:w="1106" w:type="dxa"/>
            <w:vAlign w:val="center"/>
            <w:textDirection w:val="lrTb"/>
            <w:noWrap w:val="false"/>
          </w:tcPr>
          <w:p>
            <w:pPr>
              <w:ind w:left="10"/>
              <w:jc w:val="center"/>
              <w:spacing w:before="65" w:line="229" w:lineRule="auto"/>
              <w:rPr>
                <w:rFonts w:hint="eastAsia" w:ascii="宋体" w:hAnsi="宋体" w:eastAsia="宋体" w:cs="宋体"/>
                <w:color w:val="auto"/>
                <w:spacing w:val="6"/>
                <w:szCs w:val="24"/>
                <w:highlight w:val="none"/>
                <w:lang w:val="en-US" w:eastAsia="zh-CN"/>
              </w:rPr>
            </w:pPr>
            <w:r>
              <w:rPr>
                <w:rFonts w:hint="eastAsia" w:ascii="宋体" w:hAnsi="宋体" w:eastAsia="宋体" w:cs="宋体"/>
                <w:color w:val="auto"/>
                <w:spacing w:val="6"/>
                <w:szCs w:val="24"/>
                <w:highlight w:val="none"/>
              </w:rPr>
              <w:t xml:space="preserve">合格备份样品再利用工作</w:t>
            </w:r>
            <w:r/>
          </w:p>
        </w:tc>
        <w:tc>
          <w:tcPr>
            <w:tcW w:w="846" w:type="dxa"/>
            <w:vAlign w:val="center"/>
            <w:textDirection w:val="lrTb"/>
            <w:noWrap w:val="false"/>
          </w:tcPr>
          <w:p>
            <w:pPr>
              <w:ind w:left="5"/>
              <w:jc w:val="center"/>
              <w:spacing w:before="65" w:line="229" w:lineRule="auto"/>
              <w:rPr>
                <w:rFonts w:ascii="宋体" w:hAnsi="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.00分</w:t>
            </w:r>
            <w:r/>
          </w:p>
        </w:tc>
        <w:tc>
          <w:tcPr>
            <w:tcW w:w="6335" w:type="dxa"/>
            <w:textDirection w:val="lrTb"/>
            <w:noWrap w:val="false"/>
          </w:tcPr>
          <w:p>
            <w:pPr>
              <w:ind w:left="18" w:right="4"/>
              <w:spacing w:before="51" w:line="283" w:lineRule="auto"/>
              <w:rPr>
                <w:rFonts w:hint="default" w:ascii="宋体" w:hAnsi="宋体" w:cs="宋体"/>
                <w:color w:val="auto"/>
                <w:spacing w:val="8"/>
                <w:szCs w:val="24"/>
                <w:highlight w:val="none"/>
                <w:rtl w:val="0"/>
              </w:rPr>
            </w:pPr>
            <w:r>
              <w:rPr>
                <w:rFonts w:hint="eastAsia" w:ascii="宋体" w:hAnsi="宋体" w:cs="宋体"/>
                <w:color w:val="auto"/>
                <w:spacing w:val="8"/>
                <w:szCs w:val="24"/>
                <w:highlight w:val="none"/>
                <w:rtl w:val="0"/>
                <w:lang w:val="zh-CN" w:eastAsia="zh-CN"/>
              </w:rPr>
              <w:t xml:space="preserve">自</w:t>
            </w:r>
            <w:r>
              <w:rPr>
                <w:rFonts w:hint="eastAsia" w:ascii="宋体" w:hAnsi="宋体" w:cs="宋体"/>
                <w:color w:val="auto"/>
                <w:spacing w:val="8"/>
                <w:szCs w:val="24"/>
                <w:highlight w:val="none"/>
                <w:rtl w:val="0"/>
                <w:lang w:val="en-US" w:eastAsia="zh-CN"/>
              </w:rPr>
              <w:t xml:space="preserve">2023</w:t>
            </w:r>
            <w:r>
              <w:rPr>
                <w:rFonts w:hint="eastAsia" w:ascii="宋体" w:hAnsi="宋体" w:cs="宋体"/>
                <w:color w:val="auto"/>
                <w:spacing w:val="8"/>
                <w:szCs w:val="24"/>
                <w:highlight w:val="none"/>
                <w:rtl w:val="0"/>
                <w:lang w:val="zh-CN" w:eastAsia="zh-CN"/>
              </w:rPr>
              <w:t xml:space="preserve">年1月1日以来，</w:t>
            </w:r>
            <w:r>
              <w:rPr>
                <w:rFonts w:hint="eastAsia" w:ascii="宋体" w:hAnsi="宋体" w:cs="宋体"/>
                <w:color w:val="auto"/>
                <w:spacing w:val="8"/>
                <w:szCs w:val="24"/>
                <w:highlight w:val="none"/>
                <w:rtl w:val="0"/>
                <w:lang w:val="en-US" w:eastAsia="zh-CN"/>
              </w:rPr>
              <w:t xml:space="preserve">供应商：</w:t>
            </w:r>
            <w:r/>
          </w:p>
          <w:p>
            <w:pPr>
              <w:ind w:left="18" w:right="4"/>
              <w:spacing w:before="51" w:line="283" w:lineRule="auto"/>
              <w:rPr>
                <w:rFonts w:hint="eastAsia" w:ascii="宋体" w:hAnsi="宋体" w:cs="宋体"/>
                <w:color w:val="auto"/>
                <w:spacing w:val="8"/>
                <w:szCs w:val="24"/>
                <w:highlight w:val="none"/>
                <w:rtl w:val="0"/>
              </w:rPr>
            </w:pPr>
            <w:r>
              <w:rPr>
                <w:rFonts w:hint="eastAsia" w:ascii="宋体" w:hAnsi="宋体" w:cs="宋体"/>
                <w:color w:val="auto"/>
                <w:spacing w:val="8"/>
                <w:szCs w:val="24"/>
                <w:highlight w:val="none"/>
                <w:rtl w:val="0"/>
                <w:lang w:val="zh-CN" w:eastAsia="zh-CN"/>
              </w:rPr>
              <w:t xml:space="preserve">1、建立抽检合格备份样品再利用工作制度的得</w:t>
            </w:r>
            <w:r>
              <w:rPr>
                <w:rFonts w:hint="eastAsia" w:ascii="宋体" w:hAnsi="宋体" w:cs="宋体"/>
                <w:color w:val="auto"/>
                <w:spacing w:val="8"/>
                <w:szCs w:val="24"/>
                <w:highlight w:val="none"/>
                <w:rtl w:val="0"/>
                <w:lang w:val="en-US" w:eastAsia="zh-CN"/>
              </w:rPr>
              <w:t xml:space="preserve">1</w:t>
            </w:r>
            <w:r>
              <w:rPr>
                <w:rFonts w:hint="eastAsia" w:ascii="宋体" w:hAnsi="宋体" w:cs="宋体"/>
                <w:color w:val="auto"/>
                <w:spacing w:val="8"/>
                <w:szCs w:val="24"/>
                <w:highlight w:val="none"/>
                <w:rtl w:val="0"/>
                <w:lang w:val="zh-CN" w:eastAsia="zh-CN"/>
              </w:rPr>
              <w:t xml:space="preserve">分；</w:t>
            </w:r>
            <w:r/>
          </w:p>
          <w:p>
            <w:pPr>
              <w:ind w:left="18" w:right="4"/>
              <w:spacing w:before="51" w:line="283" w:lineRule="auto"/>
              <w:rPr>
                <w:rFonts w:hint="eastAsia" w:ascii="宋体" w:hAnsi="宋体" w:cs="宋体"/>
                <w:color w:val="auto"/>
                <w:spacing w:val="8"/>
                <w:szCs w:val="24"/>
                <w:highlight w:val="none"/>
                <w:rtl w:val="0"/>
              </w:rPr>
            </w:pPr>
            <w:r>
              <w:rPr>
                <w:rFonts w:hint="eastAsia" w:ascii="宋体" w:hAnsi="宋体" w:cs="宋体"/>
                <w:color w:val="auto"/>
                <w:spacing w:val="8"/>
                <w:szCs w:val="24"/>
                <w:highlight w:val="none"/>
                <w:rtl w:val="0"/>
                <w:lang w:val="zh-CN" w:eastAsia="zh-CN"/>
              </w:rPr>
              <w:t xml:space="preserve">2、已实际开展备份样品再利用工作的得</w:t>
            </w:r>
            <w:r>
              <w:rPr>
                <w:rFonts w:hint="eastAsia" w:ascii="宋体" w:hAnsi="宋体" w:cs="宋体"/>
                <w:color w:val="auto"/>
                <w:spacing w:val="8"/>
                <w:szCs w:val="24"/>
                <w:highlight w:val="none"/>
                <w:rtl w:val="0"/>
                <w:lang w:val="en-US" w:eastAsia="zh-CN"/>
              </w:rPr>
              <w:t xml:space="preserve">1</w:t>
            </w:r>
            <w:r>
              <w:rPr>
                <w:rFonts w:hint="eastAsia" w:ascii="宋体" w:hAnsi="宋体" w:cs="宋体"/>
                <w:color w:val="auto"/>
                <w:spacing w:val="8"/>
                <w:szCs w:val="24"/>
                <w:highlight w:val="none"/>
                <w:rtl w:val="0"/>
                <w:lang w:val="zh-CN" w:eastAsia="zh-CN"/>
              </w:rPr>
              <w:t xml:space="preserve">分；</w:t>
            </w:r>
            <w:r/>
          </w:p>
          <w:p>
            <w:pPr>
              <w:ind w:left="18" w:right="4"/>
              <w:spacing w:before="51" w:line="283" w:lineRule="auto"/>
              <w:rPr>
                <w:rFonts w:hint="eastAsia" w:ascii="宋体" w:hAnsi="宋体" w:cs="宋体"/>
                <w:color w:val="auto"/>
                <w:spacing w:val="8"/>
                <w:szCs w:val="24"/>
                <w:highlight w:val="none"/>
                <w:rtl w:val="0"/>
              </w:rPr>
            </w:pPr>
            <w:r>
              <w:rPr>
                <w:rFonts w:hint="eastAsia" w:ascii="宋体" w:hAnsi="宋体" w:cs="宋体"/>
                <w:color w:val="auto"/>
                <w:spacing w:val="8"/>
                <w:szCs w:val="24"/>
                <w:highlight w:val="none"/>
                <w:rtl w:val="0"/>
                <w:lang w:val="zh-CN" w:eastAsia="zh-CN"/>
              </w:rPr>
              <w:t xml:space="preserve">3、工作取得良好社会效果（提供媒体报道、受益方出具的感谢信等证明材料）的得</w:t>
            </w:r>
            <w:r>
              <w:rPr>
                <w:rFonts w:hint="eastAsia" w:ascii="宋体" w:hAnsi="宋体" w:cs="宋体"/>
                <w:color w:val="auto"/>
                <w:spacing w:val="8"/>
                <w:szCs w:val="24"/>
                <w:highlight w:val="none"/>
                <w:rtl w:val="0"/>
                <w:lang w:val="en-US" w:eastAsia="zh-CN"/>
              </w:rPr>
              <w:t xml:space="preserve">1</w:t>
            </w:r>
            <w:r>
              <w:rPr>
                <w:rFonts w:hint="eastAsia" w:ascii="宋体" w:hAnsi="宋体" w:cs="宋体"/>
                <w:color w:val="auto"/>
                <w:spacing w:val="8"/>
                <w:szCs w:val="24"/>
                <w:highlight w:val="none"/>
                <w:rtl w:val="0"/>
                <w:lang w:val="zh-CN" w:eastAsia="zh-CN"/>
              </w:rPr>
              <w:t xml:space="preserve">分。</w:t>
            </w:r>
            <w:r/>
          </w:p>
          <w:p>
            <w:pPr>
              <w:ind w:left="18" w:right="4"/>
              <w:spacing w:before="51" w:line="283" w:lineRule="auto"/>
              <w:rPr>
                <w:rFonts w:ascii="宋体" w:hAnsi="宋体" w:cs="宋体"/>
                <w:color w:val="auto"/>
                <w:spacing w:val="8"/>
                <w:szCs w:val="24"/>
                <w:highlight w:val="none"/>
              </w:rPr>
            </w:pPr>
            <w:r>
              <w:rPr>
                <w:rFonts w:hint="eastAsia" w:ascii="宋体" w:hAnsi="宋体" w:cs="宋体"/>
                <w:color w:val="auto"/>
                <w:spacing w:val="8"/>
                <w:szCs w:val="24"/>
                <w:highlight w:val="none"/>
                <w:rtl w:val="0"/>
                <w:lang w:val="zh-CN" w:eastAsia="zh-CN"/>
              </w:rPr>
              <w:t xml:space="preserve">注：提供制度文件、开展情况说明及相关证明材料扫描件，加盖公章。</w:t>
            </w:r>
            <w:r/>
          </w:p>
        </w:tc>
      </w:tr>
      <w:tr>
        <w:trPr>
          <w:jc w:val="center"/>
          <w:trHeight w:val="420"/>
        </w:trPr>
        <w:tc>
          <w:tcPr>
            <w:tcBorders>
              <w:bottom w:val="single" w:color="auto" w:sz="4" w:space="0"/>
            </w:tcBorders>
            <w:tcW w:w="1125" w:type="dxa"/>
            <w:vAlign w:val="center"/>
            <w:vMerge w:val="restart"/>
            <w:textDirection w:val="lrTb"/>
            <w:noWrap w:val="false"/>
          </w:tcPr>
          <w:p>
            <w:pPr>
              <w:ind w:left="16"/>
              <w:jc w:val="center"/>
              <w:spacing w:before="65" w:line="229" w:lineRule="auto"/>
              <w:rPr>
                <w:rFonts w:ascii="宋体" w:hAnsi="宋体" w:cs="宋体"/>
                <w:color w:val="auto"/>
                <w:szCs w:val="24"/>
                <w:highlight w:val="none"/>
              </w:rPr>
            </w:pPr>
            <w:r>
              <w:rPr>
                <w:rFonts w:hint="eastAsia" w:ascii="宋体" w:hAnsi="宋体" w:cs="宋体"/>
                <w:color w:val="auto"/>
                <w:szCs w:val="24"/>
                <w:highlight w:val="none"/>
              </w:rPr>
              <w:t xml:space="preserve">项目实施方案</w:t>
            </w:r>
            <w:r/>
          </w:p>
          <w:p>
            <w:pPr>
              <w:ind w:left="16"/>
              <w:jc w:val="center"/>
              <w:spacing w:before="65" w:line="229" w:lineRule="auto"/>
              <w:rPr>
                <w:rFonts w:ascii="宋体" w:hAnsi="宋体" w:cs="宋体"/>
                <w:color w:val="auto"/>
                <w:szCs w:val="24"/>
                <w:highlight w:val="none"/>
              </w:rPr>
            </w:pPr>
            <w:r>
              <w:rPr>
                <w:rFonts w:ascii="宋体" w:hAnsi="宋体" w:cs="宋体"/>
                <w:color w:val="auto"/>
                <w:szCs w:val="24"/>
                <w:highlight w:val="none"/>
              </w:rPr>
            </w:r>
            <w:r/>
          </w:p>
        </w:tc>
        <w:tc>
          <w:tcPr>
            <w:tcBorders>
              <w:bottom w:val="single" w:color="auto" w:sz="4" w:space="0"/>
            </w:tcBorders>
            <w:tcW w:w="1106" w:type="dxa"/>
            <w:vAlign w:val="center"/>
            <w:textDirection w:val="lrTb"/>
            <w:noWrap w:val="false"/>
          </w:tcPr>
          <w:p>
            <w:pPr>
              <w:ind w:left="8"/>
              <w:jc w:val="center"/>
              <w:spacing w:before="65" w:line="228" w:lineRule="auto"/>
              <w:rPr>
                <w:rFonts w:ascii="宋体" w:hAnsi="宋体" w:cs="宋体"/>
                <w:color w:val="auto"/>
                <w:szCs w:val="24"/>
                <w:highlight w:val="none"/>
              </w:rPr>
            </w:pPr>
            <w:r>
              <w:rPr>
                <w:rFonts w:hint="eastAsia" w:ascii="宋体" w:hAnsi="宋体" w:cs="宋体"/>
                <w:color w:val="auto"/>
                <w:spacing w:val="8"/>
                <w:szCs w:val="24"/>
                <w:highlight w:val="none"/>
              </w:rPr>
              <w:t xml:space="preserve">检测服务</w:t>
            </w:r>
            <w:r>
              <w:rPr>
                <w:rFonts w:ascii="宋体" w:hAnsi="宋体" w:cs="宋体"/>
                <w:color w:val="auto"/>
                <w:spacing w:val="8"/>
                <w:szCs w:val="24"/>
                <w:highlight w:val="none"/>
              </w:rPr>
              <w:t xml:space="preserve">方案</w:t>
            </w:r>
            <w:r/>
          </w:p>
        </w:tc>
        <w:tc>
          <w:tcPr>
            <w:tcBorders>
              <w:bottom w:val="single" w:color="auto" w:sz="4" w:space="0"/>
            </w:tcBorders>
            <w:tcW w:w="846" w:type="dxa"/>
            <w:vAlign w:val="center"/>
            <w:textDirection w:val="lrTb"/>
            <w:noWrap w:val="false"/>
          </w:tcPr>
          <w:p>
            <w:pPr>
              <w:ind w:left="18"/>
              <w:jc w:val="center"/>
              <w:spacing w:before="65" w:line="229" w:lineRule="auto"/>
              <w:rPr>
                <w:rFonts w:ascii="宋体" w:hAnsi="宋体" w:cs="宋体"/>
                <w:color w:val="auto"/>
                <w:szCs w:val="24"/>
                <w:highlight w:val="none"/>
              </w:rPr>
            </w:pPr>
            <w:r>
              <w:rPr>
                <w:rFonts w:ascii="Calibri" w:hAnsi="Calibri" w:eastAsia="Calibri" w:cs="Calibri"/>
                <w:color w:val="auto"/>
                <w:szCs w:val="24"/>
                <w:highlight w:val="none"/>
              </w:rPr>
              <w:t xml:space="preserve">1</w:t>
            </w:r>
            <w:r>
              <w:rPr>
                <w:rFonts w:hint="eastAsia" w:ascii="Calibri" w:hAnsi="Calibri" w:cs="Calibri"/>
                <w:color w:val="auto"/>
                <w:szCs w:val="24"/>
                <w:highlight w:val="none"/>
              </w:rPr>
              <w:t xml:space="preserve">0</w:t>
            </w:r>
            <w:r>
              <w:rPr>
                <w:rFonts w:ascii="Calibri" w:hAnsi="Calibri" w:eastAsia="Calibri" w:cs="Calibri"/>
                <w:color w:val="auto"/>
                <w:szCs w:val="24"/>
                <w:highlight w:val="none"/>
              </w:rPr>
              <w:t xml:space="preserve">.00</w:t>
            </w:r>
            <w:r>
              <w:rPr>
                <w:rFonts w:ascii="宋体" w:hAnsi="宋体" w:cs="宋体"/>
                <w:color w:val="auto"/>
                <w:szCs w:val="24"/>
                <w:highlight w:val="none"/>
              </w:rPr>
              <w:t xml:space="preserve">分</w:t>
            </w:r>
            <w:r/>
          </w:p>
        </w:tc>
        <w:tc>
          <w:tcPr>
            <w:tcBorders>
              <w:bottom w:val="single" w:color="auto" w:sz="4" w:space="0"/>
            </w:tcBorders>
            <w:tcW w:w="6335" w:type="dxa"/>
            <w:textDirection w:val="lrTb"/>
            <w:noWrap w:val="false"/>
          </w:tcPr>
          <w:p>
            <w:pPr>
              <w:spacing w:line="420" w:lineRule="atLeast"/>
              <w:rPr>
                <w:rFonts w:ascii="宋体" w:hAnsi="宋体" w:cs="宋体"/>
                <w:bCs/>
                <w:color w:val="auto"/>
                <w:highlight w:val="none"/>
              </w:rPr>
            </w:pPr>
            <w:r>
              <w:rPr>
                <w:rFonts w:hint="eastAsia" w:ascii="宋体" w:hAnsi="宋体" w:cs="宋体"/>
                <w:bCs/>
                <w:color w:val="auto"/>
                <w:highlight w:val="none"/>
              </w:rPr>
              <w:t xml:space="preserve">根据采购需求，</w:t>
            </w:r>
            <w:r>
              <w:rPr>
                <w:rFonts w:hint="eastAsia" w:ascii="宋体" w:hAnsi="宋体" w:cs="宋体"/>
                <w:bCs/>
                <w:color w:val="auto"/>
                <w:highlight w:val="none"/>
                <w:lang w:val="zh-CN"/>
              </w:rPr>
              <w:t xml:space="preserve">投标人</w:t>
            </w:r>
            <w:r>
              <w:rPr>
                <w:rFonts w:hint="eastAsia" w:ascii="宋体" w:hAnsi="宋体" w:cs="宋体"/>
                <w:bCs/>
                <w:color w:val="auto"/>
                <w:highlight w:val="none"/>
              </w:rPr>
              <w:t xml:space="preserve">应</w:t>
            </w:r>
            <w:r>
              <w:rPr>
                <w:rFonts w:hint="eastAsia" w:ascii="宋体" w:hAnsi="宋体" w:cs="宋体"/>
                <w:bCs/>
                <w:color w:val="auto"/>
                <w:highlight w:val="none"/>
                <w:lang w:val="zh-CN"/>
              </w:rPr>
              <w:t xml:space="preserve">针对本项目</w:t>
            </w:r>
            <w:r>
              <w:rPr>
                <w:rFonts w:hint="eastAsia" w:ascii="宋体" w:hAnsi="宋体" w:cs="宋体"/>
                <w:bCs/>
                <w:color w:val="auto"/>
                <w:highlight w:val="none"/>
              </w:rPr>
              <w:t xml:space="preserve">编制切实可行的</w:t>
            </w:r>
            <w:r>
              <w:rPr>
                <w:rFonts w:hint="eastAsia" w:ascii="宋体" w:hAnsi="宋体" w:cs="宋体"/>
                <w:color w:val="auto"/>
                <w:spacing w:val="8"/>
                <w:szCs w:val="24"/>
                <w:highlight w:val="none"/>
              </w:rPr>
              <w:t xml:space="preserve">检测服务</w:t>
            </w:r>
            <w:r>
              <w:rPr>
                <w:rFonts w:ascii="宋体" w:hAnsi="宋体" w:cs="宋体"/>
                <w:color w:val="auto"/>
                <w:spacing w:val="8"/>
                <w:szCs w:val="24"/>
                <w:highlight w:val="none"/>
              </w:rPr>
              <w:t xml:space="preserve">方案</w:t>
            </w:r>
            <w:r>
              <w:rPr>
                <w:rFonts w:hint="eastAsia" w:ascii="宋体" w:hAnsi="宋体" w:cs="宋体"/>
                <w:color w:val="auto"/>
                <w:spacing w:val="8"/>
                <w:szCs w:val="24"/>
                <w:highlight w:val="none"/>
              </w:rPr>
              <w:t xml:space="preserve">，包括项目整体组织机构、</w:t>
            </w:r>
            <w:r>
              <w:rPr>
                <w:rFonts w:hint="eastAsia" w:ascii="宋体" w:hAnsi="宋体" w:cs="宋体"/>
                <w:bCs/>
                <w:color w:val="auto"/>
                <w:highlight w:val="none"/>
                <w:lang w:val="zh-CN"/>
              </w:rPr>
              <w:t xml:space="preserve">抽样方案、检测方案、</w:t>
            </w:r>
            <w:r>
              <w:rPr>
                <w:rFonts w:hint="eastAsia" w:ascii="宋体" w:hAnsi="宋体" w:cs="宋体"/>
                <w:bCs/>
                <w:color w:val="auto"/>
                <w:highlight w:val="none"/>
              </w:rPr>
              <w:t xml:space="preserve">档案管理方案等方面</w:t>
            </w:r>
            <w:r>
              <w:rPr>
                <w:rFonts w:hint="eastAsia" w:ascii="宋体" w:hAnsi="宋体" w:cs="宋体"/>
                <w:bCs/>
                <w:color w:val="auto"/>
                <w:highlight w:val="none"/>
                <w:lang w:val="zh-CN"/>
              </w:rPr>
              <w:t xml:space="preserve">，</w:t>
            </w:r>
            <w:r>
              <w:rPr>
                <w:rFonts w:ascii="宋体" w:hAnsi="宋体" w:cs="宋体"/>
                <w:color w:val="auto"/>
                <w:spacing w:val="9"/>
                <w:szCs w:val="24"/>
                <w:highlight w:val="none"/>
              </w:rPr>
              <w:t xml:space="preserve">由评委进行打分</w:t>
            </w:r>
            <w:r>
              <w:rPr>
                <w:rFonts w:hint="eastAsia" w:ascii="宋体" w:hAnsi="宋体" w:cs="宋体"/>
                <w:color w:val="auto"/>
                <w:spacing w:val="9"/>
                <w:szCs w:val="24"/>
                <w:highlight w:val="none"/>
              </w:rPr>
              <w:t xml:space="preserve">。</w:t>
            </w:r>
            <w:r/>
          </w:p>
          <w:p>
            <w:pPr>
              <w:spacing w:line="420" w:lineRule="atLeast"/>
              <w:rPr>
                <w:rFonts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1</w:t>
            </w:r>
            <w:r>
              <w:rPr>
                <w:rFonts w:hint="eastAsia" w:ascii="宋体" w:hAnsi="宋体" w:cs="宋体"/>
                <w:bCs/>
                <w:color w:val="auto"/>
                <w:highlight w:val="none"/>
                <w:lang w:val="zh-CN"/>
              </w:rPr>
              <w:t xml:space="preserve">）组织机构完整，管理责任清晰；</w:t>
            </w:r>
            <w:r>
              <w:rPr>
                <w:rFonts w:hint="eastAsia" w:ascii="宋体" w:hAnsi="宋体" w:cs="宋体"/>
                <w:bCs/>
                <w:color w:val="auto"/>
                <w:highlight w:val="none"/>
              </w:rPr>
              <w:t xml:space="preserve">抽样方案、检测</w:t>
            </w:r>
            <w:r>
              <w:rPr>
                <w:rFonts w:hint="eastAsia" w:ascii="宋体" w:hAnsi="宋体" w:cs="宋体"/>
                <w:bCs/>
                <w:color w:val="auto"/>
                <w:highlight w:val="none"/>
                <w:lang w:val="zh-CN"/>
              </w:rPr>
              <w:t xml:space="preserve">方案方案及作业流程规范，措施</w:t>
            </w:r>
            <w:r>
              <w:rPr>
                <w:rFonts w:hint="eastAsia" w:ascii="宋体" w:hAnsi="宋体" w:cs="宋体"/>
                <w:bCs/>
                <w:color w:val="auto"/>
                <w:highlight w:val="none"/>
              </w:rPr>
              <w:t xml:space="preserve">合理、</w:t>
            </w:r>
            <w:r>
              <w:rPr>
                <w:rFonts w:hint="eastAsia" w:ascii="宋体" w:hAnsi="宋体" w:cs="宋体"/>
                <w:bCs/>
                <w:color w:val="auto"/>
                <w:highlight w:val="none"/>
                <w:lang w:val="zh-CN"/>
              </w:rPr>
              <w:t xml:space="preserve">有效扎实；</w:t>
            </w:r>
            <w:r>
              <w:rPr>
                <w:rFonts w:hint="eastAsia" w:ascii="宋体" w:hAnsi="宋体" w:cs="宋体"/>
                <w:bCs/>
                <w:color w:val="auto"/>
                <w:highlight w:val="none"/>
              </w:rPr>
              <w:t xml:space="preserve">档案管理</w:t>
            </w:r>
            <w:r>
              <w:rPr>
                <w:rFonts w:hint="eastAsia" w:ascii="宋体" w:hAnsi="宋体" w:cs="宋体"/>
                <w:bCs/>
                <w:color w:val="auto"/>
                <w:highlight w:val="none"/>
                <w:lang w:val="zh-CN"/>
              </w:rPr>
              <w:t xml:space="preserve">方案</w:t>
            </w:r>
            <w:r>
              <w:rPr>
                <w:rFonts w:hint="eastAsia" w:ascii="宋体" w:hAnsi="宋体" w:cs="宋体"/>
                <w:bCs/>
                <w:color w:val="auto"/>
                <w:highlight w:val="none"/>
              </w:rPr>
              <w:t xml:space="preserve">完善、制度齐全；且贴合项目本身特点，</w:t>
            </w:r>
            <w:r>
              <w:rPr>
                <w:rFonts w:hint="eastAsia" w:ascii="宋体" w:hAnsi="宋体" w:cs="宋体"/>
                <w:bCs/>
                <w:color w:val="auto"/>
                <w:highlight w:val="none"/>
                <w:lang w:val="zh-CN"/>
              </w:rPr>
              <w:t xml:space="preserve">优于采购需求的得10分；</w:t>
            </w:r>
            <w:r/>
          </w:p>
          <w:p>
            <w:pPr>
              <w:spacing w:line="420" w:lineRule="atLeast"/>
              <w:rPr>
                <w:rFonts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2</w:t>
            </w:r>
            <w:r>
              <w:rPr>
                <w:rFonts w:hint="eastAsia" w:ascii="宋体" w:hAnsi="宋体" w:cs="宋体"/>
                <w:bCs/>
                <w:color w:val="auto"/>
                <w:highlight w:val="none"/>
                <w:lang w:val="zh-CN"/>
              </w:rPr>
              <w:t xml:space="preserve">）组织机构的架构基本完整，管理责任较为清晰；</w:t>
            </w:r>
            <w:r>
              <w:rPr>
                <w:rFonts w:hint="eastAsia" w:ascii="宋体" w:hAnsi="宋体" w:cs="宋体"/>
                <w:bCs/>
                <w:color w:val="auto"/>
                <w:highlight w:val="none"/>
              </w:rPr>
              <w:t xml:space="preserve">抽样方案、检测</w:t>
            </w:r>
            <w:r>
              <w:rPr>
                <w:rFonts w:hint="eastAsia" w:ascii="宋体" w:hAnsi="宋体" w:cs="宋体"/>
                <w:bCs/>
                <w:color w:val="auto"/>
                <w:highlight w:val="none"/>
                <w:lang w:val="zh-CN"/>
              </w:rPr>
              <w:t xml:space="preserve">方案方案及作业流程</w:t>
            </w:r>
            <w:r>
              <w:rPr>
                <w:rFonts w:hint="eastAsia" w:ascii="宋体" w:hAnsi="宋体" w:cs="宋体"/>
                <w:bCs/>
                <w:color w:val="auto"/>
                <w:highlight w:val="none"/>
              </w:rPr>
              <w:t xml:space="preserve">基本</w:t>
            </w:r>
            <w:r>
              <w:rPr>
                <w:rFonts w:hint="eastAsia" w:ascii="宋体" w:hAnsi="宋体" w:cs="宋体"/>
                <w:bCs/>
                <w:color w:val="auto"/>
                <w:highlight w:val="none"/>
                <w:lang w:val="zh-CN"/>
              </w:rPr>
              <w:t xml:space="preserve">规范，措施</w:t>
            </w:r>
            <w:r>
              <w:rPr>
                <w:rFonts w:hint="eastAsia" w:ascii="宋体" w:hAnsi="宋体" w:cs="宋体"/>
                <w:bCs/>
                <w:color w:val="auto"/>
                <w:highlight w:val="none"/>
              </w:rPr>
              <w:t xml:space="preserve">基本合理</w:t>
            </w: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档案管理</w:t>
            </w:r>
            <w:r>
              <w:rPr>
                <w:rFonts w:hint="eastAsia" w:ascii="宋体" w:hAnsi="宋体" w:cs="宋体"/>
                <w:bCs/>
                <w:color w:val="auto"/>
                <w:highlight w:val="none"/>
                <w:lang w:val="zh-CN"/>
              </w:rPr>
              <w:t xml:space="preserve">方案</w:t>
            </w:r>
            <w:r>
              <w:rPr>
                <w:rFonts w:hint="eastAsia" w:ascii="宋体" w:hAnsi="宋体" w:cs="宋体"/>
                <w:bCs/>
                <w:color w:val="auto"/>
                <w:highlight w:val="none"/>
              </w:rPr>
              <w:t xml:space="preserve">基本完善、有基本制度；</w:t>
            </w:r>
            <w:r>
              <w:rPr>
                <w:rFonts w:hint="eastAsia" w:ascii="宋体" w:hAnsi="宋体" w:cs="宋体"/>
                <w:bCs/>
                <w:color w:val="auto"/>
                <w:highlight w:val="none"/>
                <w:lang w:val="zh-CN"/>
              </w:rPr>
              <w:t xml:space="preserve">基本可以满足需求的7分；</w:t>
            </w:r>
            <w:r/>
          </w:p>
          <w:p>
            <w:pPr>
              <w:spacing w:line="420" w:lineRule="atLeast"/>
              <w:rPr>
                <w:rFonts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3</w:t>
            </w:r>
            <w:r>
              <w:rPr>
                <w:rFonts w:hint="eastAsia" w:ascii="宋体" w:hAnsi="宋体" w:cs="宋体"/>
                <w:bCs/>
                <w:color w:val="auto"/>
                <w:highlight w:val="none"/>
                <w:lang w:val="zh-CN"/>
              </w:rPr>
              <w:t xml:space="preserve">）组织机构的架构有缺失，管理责任模糊；</w:t>
            </w:r>
            <w:r>
              <w:rPr>
                <w:rFonts w:hint="eastAsia" w:ascii="宋体" w:hAnsi="宋体" w:cs="宋体"/>
                <w:bCs/>
                <w:color w:val="auto"/>
                <w:highlight w:val="none"/>
              </w:rPr>
              <w:t xml:space="preserve">抽样方案、检测</w:t>
            </w:r>
            <w:r>
              <w:rPr>
                <w:rFonts w:hint="eastAsia" w:ascii="宋体" w:hAnsi="宋体" w:cs="宋体"/>
                <w:bCs/>
                <w:color w:val="auto"/>
                <w:highlight w:val="none"/>
                <w:lang w:val="zh-CN"/>
              </w:rPr>
              <w:t xml:space="preserve">方案方案及作业流程有瑕疵；</w:t>
            </w:r>
            <w:r>
              <w:rPr>
                <w:rFonts w:hint="eastAsia" w:ascii="宋体" w:hAnsi="宋体" w:cs="宋体"/>
                <w:bCs/>
                <w:color w:val="auto"/>
                <w:highlight w:val="none"/>
              </w:rPr>
              <w:t xml:space="preserve">档案管理</w:t>
            </w:r>
            <w:r>
              <w:rPr>
                <w:rFonts w:hint="eastAsia" w:ascii="宋体" w:hAnsi="宋体" w:cs="宋体"/>
                <w:bCs/>
                <w:color w:val="auto"/>
                <w:highlight w:val="none"/>
                <w:lang w:val="zh-CN"/>
              </w:rPr>
              <w:t xml:space="preserve">方案</w:t>
            </w:r>
            <w:r>
              <w:rPr>
                <w:rFonts w:hint="eastAsia" w:ascii="宋体" w:hAnsi="宋体" w:cs="宋体"/>
                <w:bCs/>
                <w:color w:val="auto"/>
                <w:highlight w:val="none"/>
              </w:rPr>
              <w:t xml:space="preserve">不完善；</w:t>
            </w:r>
            <w:r>
              <w:rPr>
                <w:rFonts w:hint="eastAsia" w:ascii="宋体" w:hAnsi="宋体" w:cs="宋体"/>
                <w:bCs/>
                <w:color w:val="auto"/>
                <w:highlight w:val="none"/>
                <w:lang w:val="zh-CN"/>
              </w:rPr>
              <w:t xml:space="preserve">但是后期可以通过完善修改使其基本满足项目需求的，得4分；</w:t>
            </w:r>
            <w:r/>
          </w:p>
          <w:p>
            <w:pPr>
              <w:spacing w:line="420" w:lineRule="atLeast"/>
              <w:rPr>
                <w:rFonts w:ascii="宋体" w:hAnsi="宋体" w:cs="宋体"/>
                <w:color w:val="auto"/>
                <w:szCs w:val="24"/>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4</w:t>
            </w:r>
            <w:r>
              <w:rPr>
                <w:rFonts w:hint="eastAsia" w:ascii="宋体" w:hAnsi="宋体" w:cs="宋体"/>
                <w:bCs/>
                <w:color w:val="auto"/>
                <w:highlight w:val="none"/>
                <w:lang w:val="zh-CN"/>
              </w:rPr>
              <w:t xml:space="preserve">）内容根本性错误与本次采购无任何关联的或未提供任何内容的不得分；</w:t>
            </w:r>
            <w:r/>
          </w:p>
        </w:tc>
      </w:tr>
      <w:tr>
        <w:trPr>
          <w:jc w:val="center"/>
          <w:trHeight w:val="463"/>
        </w:trPr>
        <w:tc>
          <w:tcPr>
            <w:tcW w:w="1125" w:type="dxa"/>
            <w:vAlign w:val="center"/>
            <w:vMerge w:val="continue"/>
            <w:textDirection w:val="lrTb"/>
            <w:noWrap w:val="false"/>
          </w:tcPr>
          <w:p>
            <w:pPr>
              <w:ind w:left="16"/>
              <w:jc w:val="center"/>
              <w:spacing w:before="65" w:line="229" w:lineRule="auto"/>
              <w:rPr>
                <w:rFonts w:ascii="宋体" w:hAnsi="宋体" w:cs="宋体"/>
                <w:color w:val="auto"/>
                <w:szCs w:val="24"/>
                <w:highlight w:val="none"/>
              </w:rPr>
            </w:pPr>
            <w:r>
              <w:rPr>
                <w:rFonts w:ascii="宋体" w:hAnsi="宋体" w:cs="宋体"/>
                <w:color w:val="auto"/>
                <w:szCs w:val="24"/>
                <w:highlight w:val="none"/>
              </w:rPr>
            </w:r>
            <w:r/>
          </w:p>
        </w:tc>
        <w:tc>
          <w:tcPr>
            <w:tcBorders>
              <w:bottom w:val="single" w:color="auto" w:sz="4" w:space="0"/>
            </w:tcBorders>
            <w:tcW w:w="1106" w:type="dxa"/>
            <w:vAlign w:val="center"/>
            <w:textDirection w:val="lrTb"/>
            <w:noWrap w:val="false"/>
          </w:tcPr>
          <w:p>
            <w:pPr>
              <w:ind w:left="8"/>
              <w:jc w:val="center"/>
              <w:spacing w:before="65" w:line="228" w:lineRule="auto"/>
              <w:rPr>
                <w:rFonts w:ascii="宋体" w:hAnsi="宋体" w:cs="宋体"/>
                <w:color w:val="auto"/>
                <w:spacing w:val="8"/>
                <w:szCs w:val="24"/>
                <w:highlight w:val="none"/>
              </w:rPr>
            </w:pPr>
            <w:r>
              <w:rPr>
                <w:rFonts w:hint="eastAsia" w:ascii="宋体" w:hAnsi="宋体" w:cs="宋体"/>
                <w:color w:val="auto"/>
                <w:spacing w:val="8"/>
                <w:szCs w:val="24"/>
                <w:highlight w:val="none"/>
              </w:rPr>
              <w:t xml:space="preserve">质量控制</w:t>
            </w:r>
            <w:r/>
          </w:p>
          <w:p>
            <w:pPr>
              <w:ind w:left="8"/>
              <w:jc w:val="center"/>
              <w:spacing w:before="65" w:line="228" w:lineRule="auto"/>
              <w:rPr>
                <w:rFonts w:ascii="宋体" w:hAnsi="宋体" w:cs="宋体"/>
                <w:color w:val="auto"/>
                <w:spacing w:val="8"/>
                <w:szCs w:val="24"/>
                <w:highlight w:val="none"/>
              </w:rPr>
            </w:pPr>
            <w:r>
              <w:rPr>
                <w:rFonts w:hint="eastAsia" w:ascii="宋体" w:hAnsi="宋体" w:cs="宋体"/>
                <w:color w:val="auto"/>
                <w:spacing w:val="8"/>
                <w:szCs w:val="24"/>
                <w:highlight w:val="none"/>
              </w:rPr>
              <w:t xml:space="preserve">方案</w:t>
            </w:r>
            <w:r/>
          </w:p>
        </w:tc>
        <w:tc>
          <w:tcPr>
            <w:tcBorders>
              <w:bottom w:val="single" w:color="auto" w:sz="4" w:space="0"/>
            </w:tcBorders>
            <w:tcW w:w="846" w:type="dxa"/>
            <w:vAlign w:val="center"/>
            <w:textDirection w:val="lrTb"/>
            <w:noWrap w:val="false"/>
          </w:tcPr>
          <w:p>
            <w:pPr>
              <w:ind w:left="18"/>
              <w:jc w:val="center"/>
              <w:spacing w:before="65" w:line="229" w:lineRule="auto"/>
              <w:rPr>
                <w:rFonts w:ascii="Calibri" w:hAnsi="Calibri" w:cs="Calibri"/>
                <w:color w:val="auto"/>
                <w:szCs w:val="24"/>
                <w:highlight w:val="none"/>
              </w:rPr>
            </w:pPr>
            <w:r>
              <w:rPr>
                <w:rFonts w:hint="eastAsia" w:ascii="Calibri" w:hAnsi="Calibri" w:cs="Calibri"/>
                <w:color w:val="auto"/>
                <w:szCs w:val="24"/>
                <w:highlight w:val="none"/>
              </w:rPr>
              <w:t xml:space="preserve">10.00分</w:t>
            </w:r>
            <w:r/>
          </w:p>
        </w:tc>
        <w:tc>
          <w:tcPr>
            <w:tcBorders>
              <w:bottom w:val="single" w:color="auto" w:sz="4" w:space="0"/>
            </w:tcBorders>
            <w:tcW w:w="6335" w:type="dxa"/>
            <w:textDirection w:val="lrTb"/>
            <w:noWrap w:val="false"/>
          </w:tcPr>
          <w:p>
            <w:pPr>
              <w:spacing w:line="420" w:lineRule="atLeast"/>
              <w:rPr>
                <w:rFonts w:ascii="宋体" w:hAnsi="宋体" w:cs="宋体"/>
                <w:bCs/>
                <w:color w:val="auto"/>
                <w:highlight w:val="none"/>
              </w:rPr>
            </w:pPr>
            <w:r>
              <w:rPr>
                <w:rFonts w:hint="eastAsia" w:ascii="宋体" w:hAnsi="宋体" w:cs="宋体"/>
                <w:bCs/>
                <w:color w:val="auto"/>
                <w:highlight w:val="none"/>
              </w:rPr>
              <w:t xml:space="preserve">根据采购需求，</w:t>
            </w:r>
            <w:r>
              <w:rPr>
                <w:rFonts w:hint="eastAsia" w:ascii="宋体" w:hAnsi="宋体" w:cs="宋体"/>
                <w:bCs/>
                <w:color w:val="auto"/>
                <w:highlight w:val="none"/>
                <w:lang w:val="zh-CN"/>
              </w:rPr>
              <w:t xml:space="preserve">投标人</w:t>
            </w:r>
            <w:r>
              <w:rPr>
                <w:rFonts w:hint="eastAsia" w:ascii="宋体" w:hAnsi="宋体" w:cs="宋体"/>
                <w:bCs/>
                <w:color w:val="auto"/>
                <w:highlight w:val="none"/>
              </w:rPr>
              <w:t xml:space="preserve">应</w:t>
            </w:r>
            <w:r>
              <w:rPr>
                <w:rFonts w:hint="eastAsia" w:ascii="宋体" w:hAnsi="宋体" w:cs="宋体"/>
                <w:bCs/>
                <w:color w:val="auto"/>
                <w:highlight w:val="none"/>
                <w:lang w:val="zh-CN"/>
              </w:rPr>
              <w:t xml:space="preserve">针对本项目</w:t>
            </w:r>
            <w:r>
              <w:rPr>
                <w:rFonts w:hint="eastAsia" w:ascii="宋体" w:hAnsi="宋体" w:cs="宋体"/>
                <w:bCs/>
                <w:color w:val="auto"/>
                <w:highlight w:val="none"/>
              </w:rPr>
              <w:t xml:space="preserve">编制切实可行的</w:t>
            </w:r>
            <w:r>
              <w:rPr>
                <w:rFonts w:hint="eastAsia" w:ascii="宋体" w:hAnsi="宋体" w:cs="宋体"/>
                <w:bCs/>
                <w:color w:val="auto"/>
                <w:highlight w:val="none"/>
                <w:lang w:val="zh-CN"/>
              </w:rPr>
              <w:t xml:space="preserve">质量控制方案</w:t>
            </w:r>
            <w:r>
              <w:rPr>
                <w:rFonts w:hint="eastAsia" w:ascii="宋体" w:hAnsi="宋体" w:cs="宋体"/>
                <w:color w:val="auto"/>
                <w:spacing w:val="8"/>
                <w:szCs w:val="24"/>
                <w:highlight w:val="none"/>
              </w:rPr>
              <w:t xml:space="preserve">，包括质量控制组织管理机构、</w:t>
            </w:r>
            <w:r>
              <w:rPr>
                <w:rFonts w:hint="eastAsia" w:ascii="宋体" w:hAnsi="宋体" w:cs="宋体"/>
                <w:bCs/>
                <w:color w:val="auto"/>
                <w:highlight w:val="none"/>
              </w:rPr>
              <w:t xml:space="preserve">质量控制制度、质量控制流程措施</w:t>
            </w: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岗位职责等方面</w:t>
            </w:r>
            <w:r>
              <w:rPr>
                <w:rFonts w:hint="eastAsia" w:ascii="宋体" w:hAnsi="宋体" w:cs="宋体"/>
                <w:bCs/>
                <w:color w:val="auto"/>
                <w:highlight w:val="none"/>
                <w:lang w:val="zh-CN"/>
              </w:rPr>
              <w:t xml:space="preserve">，</w:t>
            </w:r>
            <w:r>
              <w:rPr>
                <w:rFonts w:ascii="宋体" w:hAnsi="宋体" w:cs="宋体"/>
                <w:color w:val="auto"/>
                <w:spacing w:val="9"/>
                <w:szCs w:val="24"/>
                <w:highlight w:val="none"/>
              </w:rPr>
              <w:t xml:space="preserve">由评委进行打分</w:t>
            </w:r>
            <w:r>
              <w:rPr>
                <w:rFonts w:hint="eastAsia" w:ascii="宋体" w:hAnsi="宋体" w:cs="宋体"/>
                <w:color w:val="auto"/>
                <w:spacing w:val="9"/>
                <w:szCs w:val="24"/>
                <w:highlight w:val="none"/>
              </w:rPr>
              <w:t xml:space="preserve">。</w:t>
            </w:r>
            <w:r/>
          </w:p>
          <w:p>
            <w:pPr>
              <w:spacing w:line="420" w:lineRule="atLeast"/>
              <w:rPr>
                <w:rFonts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1</w:t>
            </w:r>
            <w:r>
              <w:rPr>
                <w:rFonts w:hint="eastAsia" w:ascii="宋体" w:hAnsi="宋体" w:cs="宋体"/>
                <w:bCs/>
                <w:color w:val="auto"/>
                <w:highlight w:val="none"/>
                <w:lang w:val="zh-CN"/>
              </w:rPr>
              <w:t xml:space="preserve">）质量控制方案</w:t>
            </w:r>
            <w:r>
              <w:rPr>
                <w:rFonts w:hint="eastAsia" w:ascii="宋体" w:hAnsi="宋体" w:cs="宋体"/>
                <w:bCs/>
                <w:color w:val="auto"/>
                <w:highlight w:val="none"/>
              </w:rPr>
              <w:t xml:space="preserve">内容</w:t>
            </w:r>
            <w:r>
              <w:rPr>
                <w:rFonts w:hint="eastAsia" w:ascii="宋体" w:hAnsi="宋体" w:cs="宋体"/>
                <w:bCs/>
                <w:color w:val="auto"/>
                <w:highlight w:val="none"/>
                <w:lang w:val="zh-CN"/>
              </w:rPr>
              <w:t xml:space="preserve">全面完整，</w:t>
            </w:r>
            <w:r>
              <w:rPr>
                <w:rFonts w:hint="eastAsia" w:ascii="宋体" w:hAnsi="宋体" w:cs="宋体"/>
                <w:color w:val="auto"/>
                <w:spacing w:val="8"/>
                <w:szCs w:val="24"/>
                <w:highlight w:val="none"/>
              </w:rPr>
              <w:t xml:space="preserve">质量控制组织管理机构完善，质量控制流程措施合理，岗位职责明确，质量控制制度完善，质量控制方案整体</w:t>
            </w:r>
            <w:r>
              <w:rPr>
                <w:rFonts w:hint="eastAsia" w:ascii="宋体" w:hAnsi="宋体" w:cs="宋体"/>
                <w:bCs/>
                <w:color w:val="auto"/>
                <w:highlight w:val="none"/>
                <w:lang w:val="zh-CN"/>
              </w:rPr>
              <w:t xml:space="preserve">可行性高的得</w:t>
            </w:r>
            <w:r>
              <w:rPr>
                <w:rFonts w:hint="eastAsia" w:ascii="宋体" w:hAnsi="宋体" w:cs="宋体"/>
                <w:bCs/>
                <w:color w:val="auto"/>
                <w:highlight w:val="none"/>
              </w:rPr>
              <w:t xml:space="preserve">10</w:t>
            </w:r>
            <w:r>
              <w:rPr>
                <w:rFonts w:hint="eastAsia" w:ascii="宋体" w:hAnsi="宋体" w:cs="宋体"/>
                <w:bCs/>
                <w:color w:val="auto"/>
                <w:highlight w:val="none"/>
                <w:lang w:val="zh-CN"/>
              </w:rPr>
              <w:t xml:space="preserve">分；</w:t>
            </w:r>
            <w:r/>
          </w:p>
          <w:p>
            <w:pPr>
              <w:spacing w:line="420" w:lineRule="atLeast"/>
              <w:rPr>
                <w:rFonts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2</w:t>
            </w:r>
            <w:r>
              <w:rPr>
                <w:rFonts w:hint="eastAsia" w:ascii="宋体" w:hAnsi="宋体" w:cs="宋体"/>
                <w:bCs/>
                <w:color w:val="auto"/>
                <w:highlight w:val="none"/>
                <w:lang w:val="zh-CN"/>
              </w:rPr>
              <w:t xml:space="preserve">）质量控制方案</w:t>
            </w:r>
            <w:r>
              <w:rPr>
                <w:rFonts w:hint="eastAsia" w:ascii="宋体" w:hAnsi="宋体" w:cs="宋体"/>
                <w:bCs/>
                <w:color w:val="auto"/>
                <w:highlight w:val="none"/>
              </w:rPr>
              <w:t xml:space="preserve">内容较为</w:t>
            </w:r>
            <w:r>
              <w:rPr>
                <w:rFonts w:hint="eastAsia" w:ascii="宋体" w:hAnsi="宋体" w:cs="宋体"/>
                <w:bCs/>
                <w:color w:val="auto"/>
                <w:highlight w:val="none"/>
                <w:lang w:val="zh-CN"/>
              </w:rPr>
              <w:t xml:space="preserve">完整，</w:t>
            </w:r>
            <w:r>
              <w:rPr>
                <w:rFonts w:hint="eastAsia" w:ascii="宋体" w:hAnsi="宋体" w:cs="宋体"/>
                <w:color w:val="auto"/>
                <w:spacing w:val="8"/>
                <w:szCs w:val="24"/>
                <w:highlight w:val="none"/>
              </w:rPr>
              <w:t xml:space="preserve">质量控制组织管理机构基本完善，质量控制流程措施基本合理，岗位职责基本清晰，质量控制制度基本完善，质量控制方案整体</w:t>
            </w:r>
            <w:r>
              <w:rPr>
                <w:rFonts w:hint="eastAsia" w:ascii="宋体" w:hAnsi="宋体" w:cs="宋体"/>
                <w:bCs/>
                <w:color w:val="auto"/>
                <w:highlight w:val="none"/>
                <w:lang w:val="zh-CN"/>
              </w:rPr>
              <w:t xml:space="preserve">可行性较高的得</w:t>
            </w:r>
            <w:r>
              <w:rPr>
                <w:rFonts w:hint="eastAsia" w:ascii="宋体" w:hAnsi="宋体" w:cs="宋体"/>
                <w:bCs/>
                <w:color w:val="auto"/>
                <w:highlight w:val="none"/>
              </w:rPr>
              <w:t xml:space="preserve">7</w:t>
            </w:r>
            <w:r>
              <w:rPr>
                <w:rFonts w:hint="eastAsia" w:ascii="宋体" w:hAnsi="宋体" w:cs="宋体"/>
                <w:bCs/>
                <w:color w:val="auto"/>
                <w:highlight w:val="none"/>
                <w:lang w:val="zh-CN"/>
              </w:rPr>
              <w:t xml:space="preserve">分；</w:t>
            </w:r>
            <w:r/>
          </w:p>
          <w:p>
            <w:pPr>
              <w:spacing w:line="420" w:lineRule="atLeast"/>
              <w:rPr>
                <w:rFonts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3</w:t>
            </w:r>
            <w:r>
              <w:rPr>
                <w:rFonts w:hint="eastAsia" w:ascii="宋体" w:hAnsi="宋体" w:cs="宋体"/>
                <w:bCs/>
                <w:color w:val="auto"/>
                <w:highlight w:val="none"/>
                <w:lang w:val="zh-CN"/>
              </w:rPr>
              <w:t xml:space="preserve">）质量控制方案</w:t>
            </w:r>
            <w:r>
              <w:rPr>
                <w:rFonts w:hint="eastAsia" w:ascii="宋体" w:hAnsi="宋体" w:cs="宋体"/>
                <w:bCs/>
                <w:color w:val="auto"/>
                <w:highlight w:val="none"/>
              </w:rPr>
              <w:t xml:space="preserve">内容不够全面</w:t>
            </w:r>
            <w:r>
              <w:rPr>
                <w:rFonts w:hint="eastAsia" w:ascii="宋体" w:hAnsi="宋体" w:cs="宋体"/>
                <w:bCs/>
                <w:color w:val="auto"/>
                <w:highlight w:val="none"/>
                <w:lang w:val="zh-CN"/>
              </w:rPr>
              <w:t xml:space="preserve">完整，</w:t>
            </w:r>
            <w:r>
              <w:rPr>
                <w:rFonts w:hint="eastAsia" w:ascii="宋体" w:hAnsi="宋体" w:cs="宋体"/>
                <w:color w:val="auto"/>
                <w:spacing w:val="8"/>
                <w:szCs w:val="24"/>
                <w:highlight w:val="none"/>
              </w:rPr>
              <w:t xml:space="preserve">质量控制组织管理机构不够完善，质量控制流程措施不够合理，岗位职责不清晰，质量控制制度不完善，质量控制方案整体存在瑕疵、</w:t>
            </w:r>
            <w:r>
              <w:rPr>
                <w:rFonts w:hint="eastAsia" w:ascii="宋体" w:hAnsi="宋体" w:cs="宋体"/>
                <w:bCs/>
                <w:color w:val="auto"/>
                <w:highlight w:val="none"/>
                <w:lang w:val="zh-CN"/>
              </w:rPr>
              <w:t xml:space="preserve">可行性较低但是后期可以通过补充修改使其基本可以满足项目的基本需求的，得</w:t>
            </w:r>
            <w:r>
              <w:rPr>
                <w:rFonts w:hint="eastAsia" w:ascii="宋体" w:hAnsi="宋体" w:cs="宋体"/>
                <w:bCs/>
                <w:color w:val="auto"/>
                <w:highlight w:val="none"/>
              </w:rPr>
              <w:t xml:space="preserve">4</w:t>
            </w:r>
            <w:r>
              <w:rPr>
                <w:rFonts w:hint="eastAsia" w:ascii="宋体" w:hAnsi="宋体" w:cs="宋体"/>
                <w:bCs/>
                <w:color w:val="auto"/>
                <w:highlight w:val="none"/>
                <w:lang w:val="zh-CN"/>
              </w:rPr>
              <w:t xml:space="preserve">分；</w:t>
            </w:r>
            <w:r/>
          </w:p>
          <w:p>
            <w:pPr>
              <w:spacing w:line="420" w:lineRule="atLeast"/>
              <w:rPr>
                <w:rFonts w:ascii="宋体" w:hAnsi="宋体" w:cs="宋体"/>
                <w:color w:val="auto"/>
                <w:spacing w:val="7"/>
                <w:szCs w:val="24"/>
                <w:highlight w:val="none"/>
              </w:rPr>
            </w:pPr>
            <w:r>
              <w:rPr>
                <w:rFonts w:hint="eastAsia" w:ascii="宋体" w:hAnsi="宋体" w:cs="宋体"/>
                <w:bCs/>
                <w:color w:val="auto"/>
                <w:highlight w:val="none"/>
                <w:lang w:val="zh-CN"/>
              </w:rPr>
              <w:t xml:space="preserve">（4）内容根本性错误与本次采购无任何关联的或未提供任何内容的不得分；</w:t>
            </w:r>
            <w:r/>
          </w:p>
        </w:tc>
      </w:tr>
      <w:tr>
        <w:trPr>
          <w:jc w:val="center"/>
          <w:trHeight w:val="945"/>
        </w:trPr>
        <w:tc>
          <w:tcPr>
            <w:tcW w:w="1125" w:type="dxa"/>
            <w:vMerge w:val="continue"/>
            <w:textDirection w:val="lrTb"/>
            <w:noWrap w:val="false"/>
          </w:tcPr>
          <w:p>
            <w:pPr>
              <w:rPr>
                <w:rFonts w:ascii="Arial" w:hAnsi="Arial" w:cs="Arial"/>
                <w:color w:val="auto"/>
                <w:szCs w:val="24"/>
                <w:highlight w:val="none"/>
              </w:rPr>
            </w:pPr>
            <w:r>
              <w:rPr>
                <w:rFonts w:ascii="Arial" w:hAnsi="Arial" w:cs="Arial"/>
                <w:color w:val="auto"/>
                <w:szCs w:val="24"/>
                <w:highlight w:val="none"/>
              </w:rPr>
            </w:r>
            <w:r/>
          </w:p>
        </w:tc>
        <w:tc>
          <w:tcPr>
            <w:tcW w:w="1106" w:type="dxa"/>
            <w:vAlign w:val="center"/>
            <w:textDirection w:val="lrTb"/>
            <w:noWrap w:val="false"/>
          </w:tcPr>
          <w:p>
            <w:pPr>
              <w:ind w:left="7"/>
              <w:jc w:val="center"/>
              <w:spacing w:before="65" w:line="229" w:lineRule="auto"/>
              <w:rPr>
                <w:rFonts w:ascii="宋体" w:hAnsi="宋体" w:cs="宋体"/>
                <w:color w:val="auto"/>
                <w:szCs w:val="24"/>
                <w:highlight w:val="none"/>
              </w:rPr>
            </w:pPr>
            <w:r>
              <w:rPr>
                <w:rFonts w:ascii="宋体" w:hAnsi="宋体" w:cs="宋体"/>
                <w:color w:val="auto"/>
                <w:spacing w:val="7"/>
                <w:szCs w:val="24"/>
                <w:highlight w:val="none"/>
              </w:rPr>
              <w:t xml:space="preserve">应急方案</w:t>
            </w:r>
            <w:r/>
          </w:p>
        </w:tc>
        <w:tc>
          <w:tcPr>
            <w:tcW w:w="846" w:type="dxa"/>
            <w:vAlign w:val="center"/>
            <w:textDirection w:val="lrTb"/>
            <w:noWrap w:val="false"/>
          </w:tcPr>
          <w:p>
            <w:pPr>
              <w:ind w:left="8"/>
              <w:jc w:val="center"/>
              <w:spacing w:before="65" w:line="229" w:lineRule="auto"/>
              <w:rPr>
                <w:rFonts w:ascii="宋体" w:hAnsi="宋体" w:cs="宋体"/>
                <w:color w:val="auto"/>
                <w:szCs w:val="24"/>
                <w:highlight w:val="none"/>
              </w:rPr>
            </w:pPr>
            <w:r>
              <w:rPr>
                <w:rFonts w:hint="eastAsia" w:ascii="Calibri" w:hAnsi="Calibri" w:eastAsia="宋体" w:cs="Calibri"/>
                <w:color w:val="auto"/>
                <w:spacing w:val="1"/>
                <w:szCs w:val="24"/>
                <w:highlight w:val="none"/>
                <w:lang w:val="en-US" w:eastAsia="zh-CN"/>
              </w:rPr>
              <w:t xml:space="preserve">8</w:t>
            </w:r>
            <w:r>
              <w:rPr>
                <w:rFonts w:ascii="Calibri" w:hAnsi="Calibri" w:eastAsia="Calibri" w:cs="Calibri"/>
                <w:color w:val="auto"/>
                <w:spacing w:val="1"/>
                <w:szCs w:val="24"/>
                <w:highlight w:val="none"/>
              </w:rPr>
              <w:t xml:space="preserve">.00</w:t>
            </w:r>
            <w:r>
              <w:rPr>
                <w:rFonts w:ascii="宋体" w:hAnsi="宋体" w:cs="宋体"/>
                <w:color w:val="auto"/>
                <w:spacing w:val="1"/>
                <w:szCs w:val="24"/>
                <w:highlight w:val="none"/>
              </w:rPr>
              <w:t xml:space="preserve">分</w:t>
            </w:r>
            <w:r/>
          </w:p>
        </w:tc>
        <w:tc>
          <w:tcPr>
            <w:tcW w:w="6335" w:type="dxa"/>
            <w:textDirection w:val="lrTb"/>
            <w:noWrap w:val="false"/>
          </w:tcPr>
          <w:p>
            <w:pPr>
              <w:spacing w:line="420" w:lineRule="atLeast"/>
              <w:rPr>
                <w:rFonts w:ascii="宋体" w:hAnsi="宋体" w:cs="宋体"/>
                <w:color w:val="auto"/>
                <w:highlight w:val="none"/>
                <w:lang w:val="zh-CN"/>
              </w:rPr>
            </w:pPr>
            <w:r>
              <w:rPr>
                <w:rFonts w:hint="eastAsia" w:ascii="宋体" w:hAnsi="宋体" w:cs="宋体"/>
                <w:color w:val="auto"/>
                <w:highlight w:val="none"/>
                <w:lang w:val="zh-CN"/>
              </w:rPr>
              <w:t xml:space="preserve">考察投标人对食品应急抽检计划实施的保障情况。根据各投标人在投标文件对应急事件的处置预案、组织情况、响应速度、质量控制等内容，由评委进行打分。</w:t>
            </w:r>
            <w:r/>
          </w:p>
          <w:p>
            <w:pPr>
              <w:spacing w:line="420" w:lineRule="atLeast"/>
              <w:rPr>
                <w:rFonts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）应急方案根据不同情况分别编写，</w:t>
            </w:r>
            <w:r>
              <w:rPr>
                <w:rFonts w:ascii="宋体" w:hAnsi="宋体" w:cs="宋体"/>
                <w:color w:val="auto"/>
                <w:highlight w:val="none"/>
                <w:lang w:val="zh-CN"/>
              </w:rPr>
              <w:t xml:space="preserve">内容构思缜密、符合实际、完整详细，能够针对本项目主要工作内容要求而细化制定方案，完全可以满足</w:t>
            </w:r>
            <w:r>
              <w:rPr>
                <w:rFonts w:hint="eastAsia" w:ascii="宋体" w:hAnsi="宋体" w:cs="宋体"/>
                <w:color w:val="auto"/>
                <w:highlight w:val="none"/>
                <w:lang w:val="zh-CN"/>
              </w:rPr>
              <w:t xml:space="preserve">项目可能遇见的应急情况的，</w:t>
            </w:r>
            <w:r>
              <w:rPr>
                <w:rFonts w:ascii="宋体" w:hAnsi="宋体" w:cs="宋体"/>
                <w:color w:val="auto"/>
                <w:highlight w:val="none"/>
                <w:lang w:val="zh-CN"/>
              </w:rPr>
              <w:t xml:space="preserve">得</w:t>
            </w:r>
            <w:r>
              <w:rPr>
                <w:rFonts w:hint="eastAsia" w:ascii="宋体" w:hAnsi="宋体" w:cs="宋体"/>
                <w:color w:val="auto"/>
                <w:highlight w:val="none"/>
                <w:lang w:val="en-US" w:eastAsia="zh-CN"/>
              </w:rPr>
              <w:t xml:space="preserve">8</w:t>
            </w:r>
            <w:r>
              <w:rPr>
                <w:rFonts w:ascii="宋体" w:hAnsi="宋体" w:cs="宋体"/>
                <w:color w:val="auto"/>
                <w:highlight w:val="none"/>
                <w:lang w:val="zh-CN"/>
              </w:rPr>
              <w:t xml:space="preserve">分</w:t>
            </w:r>
            <w:r/>
          </w:p>
          <w:p>
            <w:pPr>
              <w:spacing w:line="420" w:lineRule="atLeast"/>
              <w:rPr>
                <w:rFonts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）应急方案</w:t>
            </w:r>
            <w:r>
              <w:rPr>
                <w:rFonts w:ascii="宋体" w:hAnsi="宋体" w:cs="宋体"/>
                <w:color w:val="auto"/>
                <w:highlight w:val="none"/>
                <w:lang w:val="zh-CN"/>
              </w:rPr>
              <w:t xml:space="preserve">内容具有比较好的可行性、合理性、能够满足常规的突发情况使用，基本满足本项目采购需求内容，方案制定比较完整和实用的得</w:t>
            </w:r>
            <w:r>
              <w:rPr>
                <w:rFonts w:hint="eastAsia" w:ascii="宋体" w:hAnsi="宋体" w:cs="宋体"/>
                <w:color w:val="auto"/>
                <w:highlight w:val="none"/>
                <w:lang w:val="en-US" w:eastAsia="zh-CN"/>
              </w:rPr>
              <w:t xml:space="preserve">6</w:t>
            </w:r>
            <w:r>
              <w:rPr>
                <w:rFonts w:ascii="宋体" w:hAnsi="宋体" w:cs="宋体"/>
                <w:color w:val="auto"/>
                <w:highlight w:val="none"/>
                <w:lang w:val="zh-CN"/>
              </w:rPr>
              <w:t xml:space="preserve">分；</w:t>
            </w:r>
            <w:r/>
          </w:p>
          <w:p>
            <w:pPr>
              <w:spacing w:line="420" w:lineRule="atLeast"/>
              <w:rPr>
                <w:rFonts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3</w:t>
            </w:r>
            <w:r>
              <w:rPr>
                <w:rFonts w:hint="eastAsia" w:ascii="宋体" w:hAnsi="宋体" w:cs="宋体"/>
                <w:color w:val="auto"/>
                <w:highlight w:val="none"/>
                <w:lang w:val="zh-CN"/>
              </w:rPr>
              <w:t xml:space="preserve">）没有根据不同情况分别编写，</w:t>
            </w:r>
            <w:r>
              <w:rPr>
                <w:rFonts w:ascii="宋体" w:hAnsi="宋体" w:cs="宋体"/>
                <w:color w:val="auto"/>
                <w:highlight w:val="none"/>
                <w:lang w:val="zh-CN"/>
              </w:rPr>
              <w:t xml:space="preserve">方案比较模糊，没有针对项目主要需求进行编制，内容有偏差，不全面，不完整，但是后期可以通过补充修改使其基本可以满足项目的基本需求的，得4</w:t>
            </w:r>
            <w:r>
              <w:rPr>
                <w:rFonts w:hint="eastAsia" w:ascii="宋体" w:hAnsi="宋体" w:cs="宋体"/>
                <w:color w:val="auto"/>
                <w:highlight w:val="none"/>
                <w:lang w:val="zh-CN"/>
              </w:rPr>
              <w:t xml:space="preserve">分。</w:t>
            </w:r>
            <w:r/>
          </w:p>
          <w:p>
            <w:pPr>
              <w:spacing w:line="420" w:lineRule="atLeast"/>
              <w:rPr>
                <w:rFonts w:ascii="宋体" w:hAnsi="宋体" w:cs="宋体"/>
                <w:color w:val="auto"/>
                <w:szCs w:val="24"/>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4</w:t>
            </w:r>
            <w:r>
              <w:rPr>
                <w:rFonts w:hint="eastAsia" w:ascii="宋体" w:hAnsi="宋体" w:cs="宋体"/>
                <w:color w:val="auto"/>
                <w:highlight w:val="none"/>
                <w:lang w:val="zh-CN"/>
              </w:rPr>
              <w:t xml:space="preserve">）内容根本性错误与本次采购无任何关联的或未提供任何内容的不得分。</w:t>
            </w:r>
            <w:r/>
          </w:p>
        </w:tc>
      </w:tr>
      <w:tr>
        <w:trPr>
          <w:jc w:val="center"/>
          <w:trHeight w:val="90"/>
        </w:trPr>
        <w:tc>
          <w:tcPr>
            <w:tcW w:w="1125" w:type="dxa"/>
            <w:vMerge w:val="continue"/>
            <w:textDirection w:val="lrTb"/>
            <w:noWrap w:val="false"/>
          </w:tcPr>
          <w:p>
            <w:pPr>
              <w:rPr>
                <w:rFonts w:ascii="Arial" w:hAnsi="Arial" w:cs="Arial"/>
                <w:color w:val="auto"/>
                <w:szCs w:val="24"/>
                <w:highlight w:val="none"/>
              </w:rPr>
            </w:pPr>
            <w:r>
              <w:rPr>
                <w:rFonts w:ascii="Arial" w:hAnsi="Arial" w:cs="Arial"/>
                <w:color w:val="auto"/>
                <w:szCs w:val="24"/>
                <w:highlight w:val="none"/>
              </w:rPr>
            </w:r>
            <w:r/>
          </w:p>
        </w:tc>
        <w:tc>
          <w:tcPr>
            <w:tcW w:w="1106" w:type="dxa"/>
            <w:vAlign w:val="center"/>
            <w:textDirection w:val="lrTb"/>
            <w:noWrap w:val="false"/>
          </w:tcPr>
          <w:p>
            <w:pPr>
              <w:ind w:left="8" w:right="83"/>
              <w:jc w:val="center"/>
              <w:spacing w:before="65" w:line="258" w:lineRule="auto"/>
              <w:rPr>
                <w:rFonts w:ascii="宋体" w:hAnsi="宋体" w:cs="宋体"/>
                <w:color w:val="auto"/>
                <w:szCs w:val="24"/>
                <w:highlight w:val="none"/>
              </w:rPr>
            </w:pPr>
            <w:r>
              <w:rPr>
                <w:rFonts w:ascii="宋体" w:hAnsi="宋体" w:cs="宋体"/>
                <w:color w:val="auto"/>
                <w:spacing w:val="8"/>
                <w:szCs w:val="24"/>
                <w:highlight w:val="none"/>
              </w:rPr>
              <w:t xml:space="preserve">其他伴随</w:t>
            </w:r>
            <w:r>
              <w:rPr>
                <w:rFonts w:hint="eastAsia" w:ascii="宋体" w:hAnsi="宋体" w:cs="宋体"/>
                <w:color w:val="auto"/>
                <w:spacing w:val="8"/>
                <w:szCs w:val="24"/>
                <w:highlight w:val="none"/>
              </w:rPr>
              <w:t xml:space="preserve">、</w:t>
            </w:r>
            <w:r>
              <w:rPr>
                <w:rFonts w:ascii="宋体" w:hAnsi="宋体" w:cs="宋体"/>
                <w:color w:val="auto"/>
                <w:spacing w:val="8"/>
                <w:szCs w:val="24"/>
                <w:highlight w:val="none"/>
              </w:rPr>
              <w:t xml:space="preserve">增值服</w:t>
            </w:r>
            <w:r>
              <w:rPr>
                <w:rFonts w:ascii="宋体" w:hAnsi="宋体" w:cs="宋体"/>
                <w:color w:val="auto"/>
                <w:szCs w:val="24"/>
                <w:highlight w:val="none"/>
              </w:rPr>
              <w:t xml:space="preserve">务</w:t>
            </w:r>
            <w:r/>
          </w:p>
        </w:tc>
        <w:tc>
          <w:tcPr>
            <w:tcW w:w="846" w:type="dxa"/>
            <w:vAlign w:val="center"/>
            <w:textDirection w:val="lrTb"/>
            <w:noWrap w:val="false"/>
          </w:tcPr>
          <w:p>
            <w:pPr>
              <w:ind w:left="10"/>
              <w:jc w:val="center"/>
              <w:spacing w:before="65" w:line="229" w:lineRule="auto"/>
              <w:rPr>
                <w:rFonts w:ascii="宋体" w:hAnsi="宋体" w:cs="宋体"/>
                <w:color w:val="auto"/>
                <w:szCs w:val="24"/>
                <w:highlight w:val="none"/>
              </w:rPr>
            </w:pPr>
            <w:r>
              <w:rPr>
                <w:rFonts w:hint="eastAsia" w:ascii="Calibri" w:hAnsi="Calibri" w:eastAsia="宋体" w:cs="Calibri"/>
                <w:color w:val="auto"/>
                <w:szCs w:val="24"/>
                <w:highlight w:val="none"/>
                <w:lang w:val="en-US" w:eastAsia="zh-CN"/>
              </w:rPr>
              <w:t xml:space="preserve">4</w:t>
            </w:r>
            <w:r>
              <w:rPr>
                <w:rFonts w:ascii="Calibri" w:hAnsi="Calibri" w:eastAsia="Calibri" w:cs="Calibri"/>
                <w:color w:val="auto"/>
                <w:szCs w:val="24"/>
                <w:highlight w:val="none"/>
              </w:rPr>
              <w:t xml:space="preserve">.00</w:t>
            </w:r>
            <w:r>
              <w:rPr>
                <w:rFonts w:ascii="宋体" w:hAnsi="宋体" w:cs="宋体"/>
                <w:color w:val="auto"/>
                <w:szCs w:val="24"/>
                <w:highlight w:val="none"/>
              </w:rPr>
              <w:t xml:space="preserve">分</w:t>
            </w:r>
            <w:r/>
          </w:p>
        </w:tc>
        <w:tc>
          <w:tcPr>
            <w:tcW w:w="6335" w:type="dxa"/>
            <w:textDirection w:val="lrTb"/>
            <w:noWrap w:val="false"/>
          </w:tcPr>
          <w:p>
            <w:pPr>
              <w:spacing w:line="420" w:lineRule="atLeast"/>
              <w:rPr>
                <w:rFonts w:ascii="宋体" w:hAnsi="宋体" w:cs="宋体"/>
                <w:color w:val="auto"/>
                <w:highlight w:val="none"/>
                <w:lang w:val="zh-CN"/>
              </w:rPr>
            </w:pPr>
            <w:r>
              <w:rPr>
                <w:rFonts w:hint="eastAsia" w:ascii="宋体" w:hAnsi="宋体" w:cs="宋体"/>
                <w:color w:val="auto"/>
                <w:highlight w:val="none"/>
                <w:lang w:val="zh-CN"/>
              </w:rPr>
              <w:t xml:space="preserve">根据供应商在采购需求约定实施食品抽检服务之外为采购人提供相关增值服务进行评分。</w:t>
            </w:r>
            <w:r/>
          </w:p>
          <w:p>
            <w:pPr>
              <w:spacing w:line="420" w:lineRule="atLeast"/>
              <w:rPr>
                <w:rFonts w:ascii="宋体" w:hAnsi="宋体" w:cs="宋体"/>
                <w:color w:val="auto"/>
                <w:highlight w:val="none"/>
                <w:lang w:val="zh-CN"/>
              </w:rPr>
            </w:pPr>
            <w:r>
              <w:rPr>
                <w:rFonts w:hint="eastAsia" w:ascii="宋体" w:hAnsi="宋体" w:cs="宋体"/>
                <w:color w:val="auto"/>
                <w:highlight w:val="none"/>
                <w:lang w:val="zh-CN"/>
              </w:rPr>
              <w:t xml:space="preserve">1、承诺在服务期内额外免费提供食品抽检服务达50批次及以上的得 </w:t>
            </w:r>
            <w:r>
              <w:rPr>
                <w:rFonts w:hint="eastAsia" w:ascii="宋体" w:hAnsi="宋体" w:cs="宋体"/>
                <w:color w:val="auto"/>
                <w:highlight w:val="none"/>
              </w:rPr>
              <w:t xml:space="preserve">3</w:t>
            </w:r>
            <w:r>
              <w:rPr>
                <w:rFonts w:hint="eastAsia" w:ascii="宋体" w:hAnsi="宋体" w:cs="宋体"/>
                <w:color w:val="auto"/>
                <w:highlight w:val="none"/>
                <w:lang w:val="zh-CN"/>
              </w:rPr>
              <w:t xml:space="preserve">分；本项最高得 3分。 </w:t>
            </w:r>
            <w:r/>
          </w:p>
          <w:p>
            <w:pPr>
              <w:spacing w:line="420" w:lineRule="atLeast"/>
              <w:rPr>
                <w:rFonts w:ascii="宋体" w:hAnsi="宋体" w:cs="宋体"/>
                <w:color w:val="auto"/>
                <w:szCs w:val="24"/>
                <w:highlight w:val="none"/>
              </w:rPr>
            </w:pPr>
            <w:r>
              <w:rPr>
                <w:rFonts w:hint="eastAsia" w:ascii="宋体" w:hAnsi="宋体" w:cs="宋体"/>
                <w:color w:val="auto"/>
                <w:highlight w:val="none"/>
                <w:lang w:val="zh-CN"/>
              </w:rPr>
              <w:t xml:space="preserve">2 、承诺在服务期内免费提供不少于1次食品安全检测相关培训服务的得 1分，本项最高得 1分。</w:t>
            </w:r>
            <w:r/>
          </w:p>
        </w:tc>
      </w:tr>
      <w:tr>
        <w:trPr>
          <w:jc w:val="center"/>
          <w:trHeight w:val="1726"/>
        </w:trPr>
        <w:tc>
          <w:tcPr>
            <w:tcW w:w="1125" w:type="dxa"/>
            <w:vAlign w:val="center"/>
            <w:vMerge w:val="restart"/>
            <w:textDirection w:val="lrTb"/>
            <w:noWrap w:val="false"/>
          </w:tcPr>
          <w:p>
            <w:pPr>
              <w:ind w:left="13"/>
              <w:jc w:val="center"/>
              <w:spacing w:before="65" w:line="229" w:lineRule="auto"/>
              <w:rPr>
                <w:rFonts w:ascii="宋体" w:hAnsi="宋体" w:cs="宋体"/>
                <w:color w:val="auto"/>
                <w:szCs w:val="24"/>
                <w:highlight w:val="none"/>
              </w:rPr>
            </w:pPr>
            <w:r>
              <w:rPr>
                <w:rFonts w:ascii="宋体" w:hAnsi="宋体" w:cs="宋体"/>
                <w:color w:val="auto"/>
                <w:spacing w:val="4"/>
                <w:szCs w:val="24"/>
                <w:highlight w:val="none"/>
              </w:rPr>
              <w:t xml:space="preserve">其他</w:t>
            </w:r>
            <w:r/>
          </w:p>
        </w:tc>
        <w:tc>
          <w:tcPr>
            <w:tcW w:w="1106" w:type="dxa"/>
            <w:vAlign w:val="center"/>
            <w:textDirection w:val="lrTb"/>
            <w:noWrap w:val="false"/>
          </w:tcPr>
          <w:p>
            <w:pPr>
              <w:ind w:left="7"/>
              <w:jc w:val="center"/>
              <w:spacing w:before="65" w:line="228" w:lineRule="auto"/>
              <w:rPr>
                <w:rFonts w:hint="eastAsia" w:ascii="宋体" w:hAnsi="宋体" w:cs="宋体"/>
                <w:color w:val="auto"/>
                <w:spacing w:val="7"/>
                <w:szCs w:val="24"/>
                <w:highlight w:val="none"/>
              </w:rPr>
            </w:pPr>
            <w:r>
              <w:rPr>
                <w:rFonts w:hint="eastAsia" w:ascii="宋体" w:hAnsi="宋体" w:cs="宋体"/>
                <w:color w:val="auto"/>
                <w:spacing w:val="7"/>
                <w:szCs w:val="24"/>
                <w:highlight w:val="none"/>
              </w:rPr>
              <w:t xml:space="preserve">采样运输</w:t>
            </w:r>
            <w:r/>
          </w:p>
          <w:p>
            <w:pPr>
              <w:ind w:left="7"/>
              <w:jc w:val="center"/>
              <w:spacing w:before="65" w:line="228" w:lineRule="auto"/>
              <w:rPr>
                <w:rFonts w:ascii="宋体" w:hAnsi="宋体" w:cs="宋体"/>
                <w:color w:val="auto"/>
                <w:szCs w:val="24"/>
                <w:highlight w:val="none"/>
              </w:rPr>
            </w:pPr>
            <w:r>
              <w:rPr>
                <w:rFonts w:hint="eastAsia" w:ascii="宋体" w:hAnsi="宋体" w:cs="宋体"/>
                <w:color w:val="auto"/>
                <w:spacing w:val="7"/>
                <w:szCs w:val="24"/>
                <w:highlight w:val="none"/>
              </w:rPr>
              <w:t xml:space="preserve">能力</w:t>
            </w:r>
            <w:r/>
          </w:p>
        </w:tc>
        <w:tc>
          <w:tcPr>
            <w:tcW w:w="846" w:type="dxa"/>
            <w:vAlign w:val="center"/>
            <w:textDirection w:val="lrTb"/>
            <w:noWrap w:val="false"/>
          </w:tcPr>
          <w:p>
            <w:pPr>
              <w:ind w:left="10"/>
              <w:jc w:val="center"/>
              <w:spacing w:before="65" w:line="229" w:lineRule="auto"/>
              <w:rPr>
                <w:rFonts w:ascii="宋体" w:hAnsi="宋体" w:cs="宋体"/>
                <w:color w:val="auto"/>
                <w:szCs w:val="24"/>
                <w:highlight w:val="none"/>
              </w:rPr>
            </w:pPr>
            <w:r>
              <w:rPr>
                <w:rFonts w:hint="eastAsia" w:ascii="Calibri" w:hAnsi="Calibri" w:cs="Calibri"/>
                <w:color w:val="auto"/>
                <w:szCs w:val="24"/>
                <w:highlight w:val="none"/>
                <w:lang w:val="en-US" w:eastAsia="zh-CN"/>
              </w:rPr>
              <w:t xml:space="preserve">6</w:t>
            </w:r>
            <w:r>
              <w:rPr>
                <w:rFonts w:ascii="Calibri" w:hAnsi="Calibri" w:eastAsia="Calibri" w:cs="Calibri"/>
                <w:color w:val="auto"/>
                <w:szCs w:val="24"/>
                <w:highlight w:val="none"/>
              </w:rPr>
              <w:t xml:space="preserve">.00</w:t>
            </w:r>
            <w:r>
              <w:rPr>
                <w:rFonts w:ascii="宋体" w:hAnsi="宋体" w:cs="宋体"/>
                <w:color w:val="auto"/>
                <w:szCs w:val="24"/>
                <w:highlight w:val="none"/>
              </w:rPr>
              <w:t xml:space="preserve">分</w:t>
            </w:r>
            <w:r/>
          </w:p>
        </w:tc>
        <w:tc>
          <w:tcPr>
            <w:tcW w:w="6335" w:type="dxa"/>
            <w:textDirection w:val="lrTb"/>
            <w:noWrap w:val="false"/>
          </w:tcPr>
          <w:p>
            <w:pPr>
              <w:spacing w:line="420" w:lineRule="atLeast"/>
              <w:rPr>
                <w:rFonts w:hint="eastAsia" w:ascii="宋体" w:hAnsi="宋体" w:eastAsia="宋体" w:cs="宋体"/>
                <w:color w:val="auto"/>
                <w:highlight w:val="none"/>
                <w:rtl w:val="0"/>
                <w:lang w:val="en-US" w:eastAsia="zh-CN"/>
              </w:rPr>
            </w:pPr>
            <w:r>
              <w:rPr>
                <w:rFonts w:hint="eastAsia" w:ascii="宋体" w:hAnsi="宋体" w:eastAsia="宋体" w:cs="宋体"/>
                <w:color w:val="auto"/>
                <w:highlight w:val="none"/>
                <w:rtl w:val="0"/>
                <w:lang w:val="en-US" w:eastAsia="zh-CN"/>
              </w:rPr>
              <w:t xml:space="preserve">满足食品安全监督抽检和风险监测工作要求的抽样工具、车辆及特殊贮存条件要求的运输设备等</w:t>
            </w:r>
            <w:r>
              <w:rPr>
                <w:rFonts w:hint="eastAsia" w:ascii="宋体" w:hAnsi="宋体" w:cs="宋体"/>
                <w:color w:val="auto"/>
                <w:highlight w:val="none"/>
                <w:rtl w:val="0"/>
                <w:lang w:val="en-US" w:eastAsia="zh-CN"/>
              </w:rPr>
              <w:t xml:space="preserve">，配备</w:t>
            </w:r>
            <w:r>
              <w:rPr>
                <w:rFonts w:hint="eastAsia" w:ascii="宋体" w:hAnsi="宋体" w:eastAsia="宋体" w:cs="宋体"/>
                <w:color w:val="auto"/>
                <w:highlight w:val="none"/>
                <w:rtl w:val="0"/>
                <w:lang w:val="en-US" w:eastAsia="zh-CN"/>
              </w:rPr>
              <w:t xml:space="preserve">用于抽样过程取证的执法记录仪</w:t>
            </w:r>
            <w:r>
              <w:rPr>
                <w:rFonts w:hint="eastAsia" w:ascii="宋体" w:hAnsi="宋体" w:cs="宋体"/>
                <w:color w:val="auto"/>
                <w:highlight w:val="none"/>
                <w:rtl w:val="0"/>
                <w:lang w:val="en-US" w:eastAsia="zh-CN"/>
              </w:rPr>
              <w:t xml:space="preserve">的，每有一部得0.5分，最高得1分；配备</w:t>
            </w:r>
            <w:r>
              <w:rPr>
                <w:rFonts w:hint="eastAsia" w:ascii="宋体" w:hAnsi="宋体" w:eastAsia="宋体" w:cs="宋体"/>
                <w:color w:val="auto"/>
                <w:highlight w:val="none"/>
                <w:rtl w:val="0"/>
                <w:lang w:val="en-US" w:eastAsia="zh-CN"/>
              </w:rPr>
              <w:t xml:space="preserve">专业抽样车辆</w:t>
            </w:r>
            <w:r>
              <w:rPr>
                <w:rFonts w:hint="eastAsia" w:ascii="宋体" w:hAnsi="宋体" w:cs="宋体"/>
                <w:color w:val="auto"/>
                <w:highlight w:val="none"/>
                <w:rtl w:val="0"/>
                <w:lang w:val="en-US" w:eastAsia="zh-CN"/>
              </w:rPr>
              <w:t xml:space="preserve">的，</w:t>
            </w:r>
            <w:r>
              <w:rPr>
                <w:rFonts w:hint="eastAsia" w:ascii="宋体" w:hAnsi="宋体" w:eastAsia="宋体" w:cs="宋体"/>
                <w:color w:val="auto"/>
                <w:highlight w:val="none"/>
                <w:rtl w:val="0"/>
                <w:lang w:val="en-US" w:eastAsia="zh-CN"/>
              </w:rPr>
              <w:t xml:space="preserve">每有一辆得1分，最高</w:t>
            </w:r>
            <w:r>
              <w:rPr>
                <w:rFonts w:hint="eastAsia" w:ascii="宋体" w:hAnsi="宋体" w:cs="宋体"/>
                <w:color w:val="auto"/>
                <w:highlight w:val="none"/>
                <w:rtl w:val="0"/>
                <w:lang w:val="en-US" w:eastAsia="zh-CN"/>
              </w:rPr>
              <w:t xml:space="preserve">得3</w:t>
            </w:r>
            <w:r>
              <w:rPr>
                <w:rFonts w:hint="eastAsia" w:ascii="宋体" w:hAnsi="宋体" w:eastAsia="宋体" w:cs="宋体"/>
                <w:color w:val="auto"/>
                <w:highlight w:val="none"/>
                <w:rtl w:val="0"/>
                <w:lang w:val="en-US" w:eastAsia="zh-CN"/>
              </w:rPr>
              <w:t xml:space="preserve">分；除</w:t>
            </w:r>
            <w:r>
              <w:rPr>
                <w:rFonts w:hint="eastAsia" w:ascii="宋体" w:hAnsi="宋体" w:cs="宋体"/>
                <w:color w:val="auto"/>
                <w:highlight w:val="none"/>
                <w:rtl w:val="0"/>
                <w:lang w:val="en-US" w:eastAsia="zh-CN"/>
              </w:rPr>
              <w:t xml:space="preserve">抽样</w:t>
            </w:r>
            <w:r>
              <w:rPr>
                <w:rFonts w:hint="eastAsia" w:ascii="宋体" w:hAnsi="宋体" w:eastAsia="宋体" w:cs="宋体"/>
                <w:color w:val="auto"/>
                <w:highlight w:val="none"/>
                <w:rtl w:val="0"/>
                <w:lang w:val="en-US" w:eastAsia="zh-CN"/>
              </w:rPr>
              <w:t xml:space="preserve">车辆外</w:t>
            </w:r>
            <w:r>
              <w:rPr>
                <w:rFonts w:hint="eastAsia" w:ascii="宋体" w:hAnsi="宋体" w:cs="宋体"/>
                <w:color w:val="auto"/>
                <w:highlight w:val="none"/>
                <w:rtl w:val="0"/>
                <w:lang w:val="en-US" w:eastAsia="zh-CN"/>
              </w:rPr>
              <w:t xml:space="preserve">配备专业</w:t>
            </w:r>
            <w:r>
              <w:rPr>
                <w:rFonts w:hint="eastAsia" w:ascii="宋体" w:hAnsi="宋体" w:eastAsia="宋体" w:cs="宋体"/>
                <w:color w:val="auto"/>
                <w:highlight w:val="none"/>
                <w:rtl w:val="0"/>
                <w:lang w:val="en-US" w:eastAsia="zh-CN"/>
              </w:rPr>
              <w:t xml:space="preserve">冷藏车的，每有一辆得1分，最高2分；本项满分</w:t>
            </w:r>
            <w:r>
              <w:rPr>
                <w:rFonts w:hint="eastAsia" w:ascii="宋体" w:hAnsi="宋体" w:cs="宋体"/>
                <w:color w:val="auto"/>
                <w:highlight w:val="none"/>
                <w:rtl w:val="0"/>
                <w:lang w:val="en-US" w:eastAsia="zh-CN"/>
              </w:rPr>
              <w:t xml:space="preserve">6</w:t>
            </w:r>
            <w:r>
              <w:rPr>
                <w:rFonts w:hint="eastAsia" w:ascii="宋体" w:hAnsi="宋体" w:eastAsia="宋体" w:cs="宋体"/>
                <w:color w:val="auto"/>
                <w:highlight w:val="none"/>
                <w:rtl w:val="0"/>
                <w:lang w:val="en-US" w:eastAsia="zh-CN"/>
              </w:rPr>
              <w:t xml:space="preserve">分。</w:t>
            </w:r>
            <w:r/>
          </w:p>
          <w:p>
            <w:pPr>
              <w:spacing w:line="420" w:lineRule="atLeast"/>
              <w:rPr>
                <w:rFonts w:hint="default" w:ascii="宋体" w:hAnsi="宋体" w:cs="宋体"/>
                <w:color w:val="auto"/>
                <w:highlight w:val="none"/>
                <w:rtl w:val="0"/>
                <w:lang w:val="en-US" w:eastAsia="zh-CN"/>
              </w:rPr>
            </w:pPr>
            <w:r>
              <w:rPr>
                <w:rFonts w:hint="eastAsia" w:ascii="宋体" w:hAnsi="宋体" w:cs="宋体"/>
                <w:color w:val="auto"/>
                <w:highlight w:val="none"/>
                <w:rtl w:val="0"/>
                <w:lang w:val="en-US" w:eastAsia="zh-CN"/>
              </w:rPr>
              <w:t xml:space="preserve">备注：1、提供</w:t>
            </w:r>
            <w:r>
              <w:rPr>
                <w:rFonts w:hint="eastAsia" w:ascii="宋体" w:hAnsi="宋体" w:eastAsia="宋体" w:cs="宋体"/>
                <w:color w:val="auto"/>
                <w:highlight w:val="none"/>
                <w:rtl w:val="0"/>
                <w:lang w:val="en-US" w:eastAsia="zh-CN"/>
              </w:rPr>
              <w:t xml:space="preserve">执法记录仪</w:t>
            </w:r>
            <w:r>
              <w:rPr>
                <w:rFonts w:hint="eastAsia" w:ascii="宋体" w:hAnsi="宋体" w:cs="宋体"/>
                <w:color w:val="auto"/>
                <w:highlight w:val="none"/>
                <w:rtl w:val="0"/>
                <w:lang w:val="en-US" w:eastAsia="zh-CN"/>
              </w:rPr>
              <w:t xml:space="preserve">有效购置发票扫描件。</w:t>
            </w:r>
            <w:r/>
          </w:p>
          <w:p>
            <w:pPr>
              <w:ind w:firstLine="630"/>
              <w:spacing w:line="420" w:lineRule="atLeast"/>
              <w:rPr>
                <w:rFonts w:hint="eastAsia" w:ascii="宋体" w:hAnsi="宋体" w:eastAsia="宋体" w:cs="宋体"/>
                <w:color w:val="auto"/>
                <w:highlight w:val="none"/>
                <w:rtl w:val="0"/>
                <w:lang w:val="en-US" w:eastAsia="zh-CN"/>
              </w:rPr>
            </w:pPr>
            <w:r>
              <w:rPr>
                <w:rFonts w:hint="eastAsia" w:ascii="宋体" w:hAnsi="宋体" w:cs="宋体"/>
                <w:color w:val="auto"/>
                <w:highlight w:val="none"/>
                <w:rtl w:val="0"/>
                <w:lang w:val="en-US" w:eastAsia="zh-CN"/>
              </w:rPr>
              <w:t xml:space="preserve">2、</w:t>
            </w:r>
            <w:r>
              <w:rPr>
                <w:rFonts w:hint="eastAsia" w:ascii="宋体" w:hAnsi="宋体" w:eastAsia="宋体" w:cs="宋体"/>
                <w:color w:val="auto"/>
                <w:highlight w:val="none"/>
                <w:rtl w:val="0"/>
                <w:lang w:val="en-US" w:eastAsia="zh-CN"/>
              </w:rPr>
              <w:t xml:space="preserve">提供车辆相关证明文件：自有车辆提供车辆行驶证及购买发票</w:t>
            </w:r>
            <w:r>
              <w:rPr>
                <w:rFonts w:hint="eastAsia" w:ascii="宋体" w:hAnsi="宋体" w:cs="宋体"/>
                <w:color w:val="auto"/>
                <w:highlight w:val="none"/>
                <w:rtl w:val="0"/>
                <w:lang w:val="en-US" w:eastAsia="zh-CN"/>
              </w:rPr>
              <w:t xml:space="preserve">扫描件</w:t>
            </w:r>
            <w:r>
              <w:rPr>
                <w:rFonts w:hint="eastAsia" w:ascii="宋体" w:hAnsi="宋体" w:eastAsia="宋体" w:cs="宋体"/>
                <w:color w:val="auto"/>
                <w:highlight w:val="none"/>
                <w:rtl w:val="0"/>
                <w:lang w:val="en-US" w:eastAsia="zh-CN"/>
              </w:rPr>
              <w:t xml:space="preserve">，租赁车辆提供租赁合同及购买发票</w:t>
            </w:r>
            <w:r>
              <w:rPr>
                <w:rFonts w:hint="eastAsia" w:ascii="宋体" w:hAnsi="宋体" w:cs="宋体"/>
                <w:color w:val="auto"/>
                <w:highlight w:val="none"/>
                <w:rtl w:val="0"/>
                <w:lang w:val="en-US" w:eastAsia="zh-CN"/>
              </w:rPr>
              <w:t xml:space="preserve">扫描件</w:t>
            </w:r>
            <w:r>
              <w:rPr>
                <w:rFonts w:hint="eastAsia" w:ascii="宋体" w:hAnsi="宋体" w:eastAsia="宋体" w:cs="宋体"/>
                <w:color w:val="auto"/>
                <w:highlight w:val="none"/>
                <w:rtl w:val="0"/>
                <w:lang w:val="en-US" w:eastAsia="zh-CN"/>
              </w:rPr>
              <w:t xml:space="preserve">，租赁合同期限需租赁期须覆盖整个招标任务履行期；冷藏车除前述文件外，还需提供具有冷藏功能证明文件，如制冷设施照片等，否则不得分。</w:t>
            </w:r>
            <w:r/>
          </w:p>
        </w:tc>
      </w:tr>
      <w:tr>
        <w:trPr>
          <w:jc w:val="center"/>
          <w:trHeight w:val="1108"/>
        </w:trPr>
        <w:tc>
          <w:tcPr>
            <w:tcW w:w="1125" w:type="dxa"/>
            <w:vMerge w:val="continue"/>
            <w:textDirection w:val="lrTb"/>
            <w:noWrap w:val="false"/>
          </w:tcPr>
          <w:p>
            <w:pPr>
              <w:rPr>
                <w:rFonts w:ascii="Arial" w:hAnsi="Arial" w:cs="Arial"/>
                <w:color w:val="auto"/>
                <w:szCs w:val="24"/>
                <w:highlight w:val="none"/>
              </w:rPr>
            </w:pPr>
            <w:r>
              <w:rPr>
                <w:rFonts w:ascii="Arial" w:hAnsi="Arial" w:cs="Arial"/>
                <w:color w:val="auto"/>
                <w:szCs w:val="24"/>
                <w:highlight w:val="none"/>
              </w:rPr>
            </w:r>
            <w:r/>
          </w:p>
        </w:tc>
        <w:tc>
          <w:tcPr>
            <w:tcW w:w="1106" w:type="dxa"/>
            <w:vAlign w:val="center"/>
            <w:textDirection w:val="lrTb"/>
            <w:noWrap w:val="false"/>
          </w:tcPr>
          <w:p>
            <w:pPr>
              <w:jc w:val="center"/>
              <w:spacing w:before="65" w:line="231" w:lineRule="auto"/>
              <w:rPr>
                <w:rFonts w:ascii="宋体" w:hAnsi="宋体" w:cs="宋体"/>
                <w:color w:val="auto"/>
                <w:szCs w:val="24"/>
                <w:highlight w:val="none"/>
              </w:rPr>
            </w:pPr>
            <w:r>
              <w:rPr>
                <w:rFonts w:hint="eastAsia" w:ascii="宋体" w:hAnsi="宋体" w:eastAsia="宋体" w:cs="宋体"/>
                <w:color w:val="auto"/>
                <w:sz w:val="21"/>
                <w:szCs w:val="21"/>
                <w:highlight w:val="none"/>
                <w:rtl w:val="0"/>
                <w:lang w:val="en-US" w:eastAsia="zh-CN" w:bidi="ar-SA"/>
              </w:rPr>
              <w:t xml:space="preserve">应急响应时间</w:t>
            </w:r>
            <w:r/>
          </w:p>
        </w:tc>
        <w:tc>
          <w:tcPr>
            <w:tcW w:w="846" w:type="dxa"/>
            <w:vAlign w:val="center"/>
            <w:textDirection w:val="lrTb"/>
            <w:noWrap w:val="false"/>
          </w:tcPr>
          <w:p>
            <w:pPr>
              <w:jc w:val="center"/>
              <w:spacing w:before="65" w:line="229" w:lineRule="auto"/>
              <w:rPr>
                <w:rFonts w:ascii="Calibri" w:hAnsi="Calibri" w:cs="Calibri"/>
                <w:color w:val="auto"/>
                <w:spacing w:val="1"/>
                <w:szCs w:val="24"/>
                <w:highlight w:val="none"/>
              </w:rPr>
            </w:pPr>
            <w:r>
              <w:rPr>
                <w:rFonts w:ascii="Calibri" w:hAnsi="Calibri" w:cs="Calibri"/>
                <w:color w:val="auto"/>
                <w:spacing w:val="1"/>
                <w:szCs w:val="24"/>
                <w:highlight w:val="none"/>
              </w:rPr>
            </w:r>
            <w:r/>
          </w:p>
          <w:p>
            <w:pPr>
              <w:jc w:val="center"/>
              <w:spacing w:before="65" w:line="229" w:lineRule="auto"/>
              <w:rPr>
                <w:rFonts w:ascii="Calibri" w:hAnsi="Calibri" w:cs="Calibri"/>
                <w:color w:val="auto"/>
                <w:spacing w:val="1"/>
                <w:szCs w:val="24"/>
                <w:highlight w:val="none"/>
              </w:rPr>
            </w:pPr>
            <w:r>
              <w:rPr>
                <w:rFonts w:ascii="Calibri" w:hAnsi="Calibri" w:cs="Calibri"/>
                <w:color w:val="auto"/>
                <w:spacing w:val="1"/>
                <w:szCs w:val="24"/>
                <w:highlight w:val="none"/>
              </w:rPr>
            </w:r>
            <w:r/>
          </w:p>
          <w:p>
            <w:pPr>
              <w:jc w:val="center"/>
              <w:spacing w:before="65" w:line="229" w:lineRule="auto"/>
              <w:rPr>
                <w:rFonts w:ascii="宋体" w:hAnsi="宋体" w:cs="宋体"/>
                <w:color w:val="auto"/>
                <w:spacing w:val="1"/>
                <w:szCs w:val="24"/>
                <w:highlight w:val="none"/>
              </w:rPr>
            </w:pPr>
            <w:r>
              <w:rPr>
                <w:rFonts w:hint="eastAsia" w:ascii="Calibri" w:hAnsi="Calibri" w:eastAsia="宋体" w:cs="Calibri"/>
                <w:color w:val="auto"/>
                <w:spacing w:val="1"/>
                <w:szCs w:val="24"/>
                <w:highlight w:val="none"/>
                <w:lang w:val="en-US" w:eastAsia="zh-CN"/>
              </w:rPr>
              <w:t xml:space="preserve">8</w:t>
            </w:r>
            <w:r>
              <w:rPr>
                <w:rFonts w:ascii="Calibri" w:hAnsi="Calibri" w:eastAsia="Calibri" w:cs="Calibri"/>
                <w:color w:val="auto"/>
                <w:spacing w:val="1"/>
                <w:szCs w:val="24"/>
                <w:highlight w:val="none"/>
              </w:rPr>
              <w:t xml:space="preserve">.00</w:t>
            </w:r>
            <w:r>
              <w:rPr>
                <w:rFonts w:ascii="宋体" w:hAnsi="宋体" w:cs="宋体"/>
                <w:color w:val="auto"/>
                <w:spacing w:val="1"/>
                <w:szCs w:val="24"/>
                <w:highlight w:val="none"/>
              </w:rPr>
              <w:t xml:space="preserve">分</w:t>
            </w:r>
            <w:r/>
          </w:p>
          <w:p>
            <w:pPr>
              <w:ind w:left="8"/>
              <w:jc w:val="center"/>
              <w:spacing w:before="65" w:line="229" w:lineRule="auto"/>
              <w:rPr>
                <w:rFonts w:ascii="宋体" w:hAnsi="宋体" w:cs="宋体"/>
                <w:color w:val="auto"/>
                <w:spacing w:val="1"/>
                <w:szCs w:val="24"/>
                <w:highlight w:val="none"/>
              </w:rPr>
            </w:pPr>
            <w:r>
              <w:rPr>
                <w:rFonts w:ascii="宋体" w:hAnsi="宋体" w:cs="宋体"/>
                <w:color w:val="auto"/>
                <w:spacing w:val="1"/>
                <w:szCs w:val="24"/>
                <w:highlight w:val="none"/>
              </w:rPr>
            </w:r>
            <w:r/>
          </w:p>
          <w:p>
            <w:pPr>
              <w:ind w:left="8"/>
              <w:jc w:val="center"/>
              <w:spacing w:before="65" w:line="229" w:lineRule="auto"/>
              <w:rPr>
                <w:rFonts w:ascii="宋体" w:hAnsi="宋体" w:cs="宋体"/>
                <w:color w:val="auto"/>
                <w:spacing w:val="1"/>
                <w:szCs w:val="24"/>
                <w:highlight w:val="none"/>
              </w:rPr>
            </w:pPr>
            <w:r>
              <w:rPr>
                <w:rFonts w:ascii="宋体" w:hAnsi="宋体" w:cs="宋体"/>
                <w:color w:val="auto"/>
                <w:spacing w:val="1"/>
                <w:szCs w:val="24"/>
                <w:highlight w:val="none"/>
              </w:rPr>
            </w:r>
            <w:r/>
          </w:p>
        </w:tc>
        <w:tc>
          <w:tcPr>
            <w:tcW w:w="6335" w:type="dxa"/>
            <w:textDirection w:val="lrTb"/>
            <w:noWrap w:val="false"/>
          </w:tcPr>
          <w:p>
            <w:pPr>
              <w:spacing w:line="420" w:lineRule="atLeast"/>
              <w:rPr>
                <w:rFonts w:hint="eastAsia" w:ascii="宋体" w:hAnsi="宋体" w:cs="宋体"/>
                <w:color w:val="auto"/>
                <w:highlight w:val="none"/>
                <w:lang w:val="zh-CN"/>
              </w:rPr>
            </w:pPr>
            <w:r>
              <w:rPr>
                <w:rFonts w:hint="eastAsia" w:ascii="Calibri" w:hAnsi="Calibri"/>
                <w:color w:val="auto"/>
                <w:sz w:val="21"/>
                <w:szCs w:val="22"/>
                <w:highlight w:val="none"/>
                <w:rtl w:val="0"/>
                <w:lang w:val="en-US" w:eastAsia="zh-CN" w:bidi="ar-SA"/>
              </w:rPr>
              <w:t xml:space="preserve">因食品检验检测的特殊要求，</w:t>
            </w:r>
            <w:r>
              <w:rPr>
                <w:rFonts w:hint="eastAsia" w:ascii="宋体" w:hAnsi="宋体" w:cs="宋体"/>
                <w:color w:val="auto"/>
                <w:highlight w:val="none"/>
                <w:lang w:val="zh-CN"/>
              </w:rPr>
              <w:t xml:space="preserve">投标人接到采购人通知后机动车响应时间(从检验地址到采购单位)响应时间</w:t>
            </w:r>
            <w:r>
              <w:rPr>
                <w:rFonts w:hint="eastAsia" w:ascii="宋体" w:hAnsi="宋体" w:cs="宋体"/>
                <w:color w:val="auto"/>
                <w:highlight w:val="none"/>
                <w:lang w:val="en-US" w:eastAsia="zh-CN"/>
              </w:rPr>
              <w:t xml:space="preserve">5</w:t>
            </w:r>
            <w:r>
              <w:rPr>
                <w:rFonts w:hint="eastAsia" w:ascii="宋体" w:hAnsi="宋体" w:cs="宋体"/>
                <w:color w:val="auto"/>
                <w:highlight w:val="none"/>
                <w:lang w:val="zh-CN"/>
              </w:rPr>
              <w:t xml:space="preserve">小时(含)以内得</w:t>
            </w:r>
            <w:r>
              <w:rPr>
                <w:rFonts w:hint="eastAsia" w:ascii="宋体" w:hAnsi="宋体" w:cs="宋体"/>
                <w:color w:val="auto"/>
                <w:highlight w:val="none"/>
                <w:lang w:val="en-US" w:eastAsia="zh-CN"/>
              </w:rPr>
              <w:t xml:space="preserve">8</w:t>
            </w:r>
            <w:r>
              <w:rPr>
                <w:rFonts w:hint="eastAsia" w:ascii="宋体" w:hAnsi="宋体" w:cs="宋体"/>
                <w:color w:val="auto"/>
                <w:highlight w:val="none"/>
                <w:lang w:val="zh-CN"/>
              </w:rPr>
              <w:t xml:space="preserve">分；响应时间</w:t>
            </w:r>
            <w:r>
              <w:rPr>
                <w:rFonts w:hint="eastAsia" w:ascii="宋体" w:hAnsi="宋体" w:cs="宋体"/>
                <w:color w:val="auto"/>
                <w:highlight w:val="none"/>
                <w:lang w:val="en-US" w:eastAsia="zh-CN"/>
              </w:rPr>
              <w:t xml:space="preserve">5</w:t>
            </w:r>
            <w:r>
              <w:rPr>
                <w:rFonts w:hint="eastAsia" w:ascii="宋体" w:hAnsi="宋体" w:cs="宋体"/>
                <w:color w:val="auto"/>
                <w:highlight w:val="none"/>
                <w:lang w:val="zh-CN"/>
              </w:rPr>
              <w:t xml:space="preserve">小时(不含)至</w:t>
            </w:r>
            <w:r>
              <w:rPr>
                <w:rFonts w:hint="eastAsia" w:ascii="宋体" w:hAnsi="宋体" w:cs="宋体"/>
                <w:color w:val="auto"/>
                <w:highlight w:val="none"/>
                <w:lang w:val="en-US" w:eastAsia="zh-CN"/>
              </w:rPr>
              <w:t xml:space="preserve">8</w:t>
            </w:r>
            <w:r>
              <w:rPr>
                <w:rFonts w:hint="eastAsia" w:ascii="宋体" w:hAnsi="宋体" w:cs="宋体"/>
                <w:color w:val="auto"/>
                <w:highlight w:val="none"/>
                <w:lang w:val="zh-CN"/>
              </w:rPr>
              <w:t xml:space="preserve">小时(含)的得</w:t>
            </w:r>
            <w:r>
              <w:rPr>
                <w:rFonts w:hint="eastAsia" w:ascii="宋体" w:hAnsi="宋体" w:cs="宋体"/>
                <w:color w:val="auto"/>
                <w:highlight w:val="none"/>
                <w:lang w:val="en-US" w:eastAsia="zh-CN"/>
              </w:rPr>
              <w:t xml:space="preserve">5</w:t>
            </w:r>
            <w:r>
              <w:rPr>
                <w:rFonts w:hint="eastAsia" w:ascii="宋体" w:hAnsi="宋体" w:cs="宋体"/>
                <w:color w:val="auto"/>
                <w:highlight w:val="none"/>
                <w:lang w:val="zh-CN"/>
              </w:rPr>
              <w:t xml:space="preserve">分；响应时间超过</w:t>
            </w:r>
            <w:r>
              <w:rPr>
                <w:rFonts w:hint="eastAsia" w:ascii="宋体" w:hAnsi="宋体" w:cs="宋体"/>
                <w:color w:val="auto"/>
                <w:highlight w:val="none"/>
                <w:lang w:val="en-US" w:eastAsia="zh-CN"/>
              </w:rPr>
              <w:t xml:space="preserve">8</w:t>
            </w:r>
            <w:r>
              <w:rPr>
                <w:rFonts w:hint="eastAsia" w:ascii="宋体" w:hAnsi="宋体" w:cs="宋体"/>
                <w:color w:val="auto"/>
                <w:highlight w:val="none"/>
                <w:lang w:val="zh-CN"/>
              </w:rPr>
              <w:t xml:space="preserve">小时的得</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CN"/>
              </w:rPr>
              <w:t xml:space="preserve">分；本项最高得</w:t>
            </w:r>
            <w:r>
              <w:rPr>
                <w:rFonts w:hint="eastAsia" w:ascii="宋体" w:hAnsi="宋体" w:cs="宋体"/>
                <w:color w:val="auto"/>
                <w:highlight w:val="none"/>
                <w:lang w:val="en-US" w:eastAsia="zh-CN"/>
              </w:rPr>
              <w:t xml:space="preserve">8</w:t>
            </w:r>
            <w:r>
              <w:rPr>
                <w:rFonts w:hint="eastAsia" w:ascii="宋体" w:hAnsi="宋体" w:cs="宋体"/>
                <w:color w:val="auto"/>
                <w:highlight w:val="none"/>
                <w:lang w:val="zh-CN"/>
              </w:rPr>
              <w:t xml:space="preserve">分。</w:t>
            </w:r>
            <w:r/>
          </w:p>
          <w:p>
            <w:pPr>
              <w:spacing w:line="420" w:lineRule="atLeast"/>
              <w:rPr>
                <w:rFonts w:hint="eastAsia" w:ascii="宋体" w:hAnsi="宋体" w:cs="宋体"/>
                <w:color w:val="auto"/>
                <w:highlight w:val="none"/>
                <w:lang w:val="zh-CN"/>
              </w:rPr>
            </w:pPr>
            <w:r>
              <w:rPr>
                <w:rFonts w:hint="eastAsia" w:ascii="宋体" w:hAnsi="宋体" w:eastAsia="宋体" w:cs="宋体"/>
                <w:color w:val="auto"/>
                <w:sz w:val="21"/>
                <w:szCs w:val="21"/>
                <w:highlight w:val="none"/>
                <w:rtl w:val="0"/>
                <w:lang w:val="en-US" w:eastAsia="zh-CN" w:bidi="ar-SA"/>
              </w:rPr>
              <w:t xml:space="preserve">注：（1）核心证明材料：</w:t>
            </w:r>
            <w:r>
              <w:rPr>
                <w:rFonts w:hint="eastAsia" w:ascii="宋体" w:hAnsi="宋体" w:cs="宋体"/>
                <w:color w:val="auto"/>
                <w:highlight w:val="none"/>
                <w:lang w:val="zh-CN"/>
              </w:rPr>
              <w:t xml:space="preserve">需提供响应文件递交截止日前1个月内，3次不同日期9:00-17:30时段的导航截图（清晰显示：出发地、目的地、实时路况标签、精确驾车时间、截图时间、软件名称水印），加盖供应商公章，导航时间以三次导航平均时间为准；</w:t>
            </w:r>
            <w:r/>
          </w:p>
          <w:p>
            <w:pPr>
              <w:spacing w:line="420" w:lineRule="atLeast"/>
              <w:rPr>
                <w:rFonts w:hint="default" w:ascii="宋体" w:hAnsi="宋体" w:eastAsia="宋体" w:cs="宋体"/>
                <w:color w:val="auto"/>
                <w:highlight w:val="none"/>
                <w:lang w:val="en-US" w:eastAsia="zh-CN"/>
              </w:rPr>
            </w:pPr>
            <w:r>
              <w:rPr>
                <w:rFonts w:hint="eastAsia" w:ascii="宋体" w:hAnsi="宋体" w:cs="宋体"/>
                <w:color w:val="auto"/>
                <w:highlight w:val="none"/>
                <w:lang w:val="zh-CN"/>
              </w:rPr>
              <w:t xml:space="preserve">（2）供应商检验地址应与法人或者其他组织的营业执照、事业单位法人登记证书的地址一致。采购单位</w:t>
            </w:r>
            <w:r>
              <w:rPr>
                <w:rFonts w:hint="eastAsia" w:ascii="宋体" w:hAnsi="宋体" w:cs="宋体"/>
                <w:color w:val="auto"/>
                <w:highlight w:val="none"/>
                <w:lang w:val="en-US" w:eastAsia="zh-CN"/>
              </w:rPr>
              <w:t xml:space="preserve">地址：泗阳县行政服务中心（</w:t>
            </w:r>
            <w:r>
              <w:rPr>
                <w:rFonts w:hint="eastAsia" w:ascii="宋体" w:hAnsi="宋体" w:cs="宋体"/>
                <w:color w:val="auto"/>
                <w:highlight w:val="none"/>
                <w:lang w:val="zh-CN"/>
              </w:rPr>
              <w:t xml:space="preserve">宿迁市泗阳县北京中路20号</w:t>
            </w:r>
            <w:r>
              <w:rPr>
                <w:rFonts w:hint="eastAsia" w:ascii="宋体" w:hAnsi="宋体" w:cs="宋体"/>
                <w:color w:val="auto"/>
                <w:highlight w:val="none"/>
                <w:lang w:val="en-US" w:eastAsia="zh-CN"/>
              </w:rPr>
              <w:t xml:space="preserve">）</w:t>
            </w:r>
            <w:r>
              <w:rPr>
                <w:rFonts w:hint="eastAsia" w:ascii="宋体" w:hAnsi="宋体" w:cs="宋体"/>
                <w:color w:val="auto"/>
                <w:highlight w:val="none"/>
                <w:lang w:val="zh-CN"/>
              </w:rPr>
              <w:t xml:space="preserve">。</w:t>
            </w:r>
            <w:r/>
          </w:p>
          <w:p>
            <w:pPr>
              <w:spacing w:line="420" w:lineRule="atLeast"/>
              <w:rPr>
                <w:color w:val="auto"/>
                <w:highlight w:val="none"/>
              </w:rPr>
            </w:pPr>
            <w:r>
              <w:rPr>
                <w:rFonts w:hint="eastAsia" w:ascii="宋体" w:hAnsi="宋体" w:cs="宋体"/>
                <w:color w:val="auto"/>
                <w:highlight w:val="none"/>
                <w:lang w:val="zh-CN"/>
              </w:rPr>
              <w:t xml:space="preserve">（3）所有证明材料须真实有效，不得伪造，若评标委员会核实材料虚假，按无效标处理；未提供核心证明材料且无合法替代证明材料的，本项不得分。</w:t>
            </w:r>
            <w:r/>
          </w:p>
        </w:tc>
      </w:tr>
    </w:tbl>
    <w:p>
      <w:pPr>
        <w:jc w:val="left"/>
        <w:spacing w:line="360" w:lineRule="auto"/>
        <w:rPr>
          <w:color w:val="auto"/>
          <w:sz w:val="24"/>
          <w:highlight w:val="none"/>
        </w:rPr>
      </w:pPr>
      <w:r>
        <w:rPr>
          <w:color w:val="auto"/>
          <w:sz w:val="24"/>
          <w:highlight w:val="none"/>
        </w:rPr>
      </w:r>
      <w:r/>
    </w:p>
    <w:p>
      <w:pPr>
        <w:ind w:firstLine="241"/>
        <w:spacing w:line="360" w:lineRule="auto"/>
        <w:rPr>
          <w:rFonts w:eastAsia="仿宋_GB2312"/>
          <w:b/>
          <w:color w:val="auto"/>
          <w:sz w:val="24"/>
          <w:highlight w:val="none"/>
        </w:rPr>
      </w:pPr>
      <w:r>
        <w:rPr>
          <w:rFonts w:hint="eastAsia" w:eastAsia="仿宋_GB2312"/>
          <w:b/>
          <w:color w:val="auto"/>
          <w:sz w:val="24"/>
          <w:highlight w:val="none"/>
        </w:rPr>
        <w:t xml:space="preserve">（三）评标结果。</w:t>
      </w:r>
      <w:r>
        <w:rPr>
          <w:rFonts w:hint="eastAsia" w:eastAsia="仿宋_GB2312"/>
          <w:color w:val="auto"/>
          <w:sz w:val="24"/>
          <w:highlight w:val="none"/>
        </w:rPr>
        <w:t xml:space="preserve">评标委员会按照本办法规定推荐中标候选人，并形成评标报告。</w:t>
      </w:r>
      <w:r/>
    </w:p>
    <w:p>
      <w:pPr>
        <w:ind w:firstLine="241"/>
        <w:spacing w:line="360" w:lineRule="auto"/>
        <w:rPr>
          <w:rFonts w:eastAsia="仿宋_GB2312"/>
          <w:b/>
          <w:color w:val="auto"/>
          <w:sz w:val="24"/>
          <w:highlight w:val="none"/>
        </w:rPr>
      </w:pPr>
      <w:r>
        <w:rPr>
          <w:rFonts w:hint="eastAsia" w:eastAsia="仿宋_GB2312"/>
          <w:b/>
          <w:color w:val="auto"/>
          <w:sz w:val="24"/>
          <w:highlight w:val="none"/>
        </w:rPr>
        <w:t xml:space="preserve">（四）政府采购政策功能落实</w:t>
      </w:r>
      <w:r/>
    </w:p>
    <w:p>
      <w:pPr>
        <w:ind w:firstLine="241"/>
        <w:spacing w:line="360" w:lineRule="auto"/>
        <w:rPr>
          <w:b/>
          <w:color w:val="auto"/>
          <w:sz w:val="24"/>
          <w:highlight w:val="none"/>
        </w:rPr>
      </w:pPr>
      <w:r>
        <w:rPr>
          <w:rFonts w:hint="eastAsia" w:eastAsia="仿宋_GB2312"/>
          <w:b/>
          <w:bCs/>
          <w:color w:val="auto"/>
          <w:sz w:val="24"/>
          <w:highlight w:val="none"/>
        </w:rPr>
        <w:t xml:space="preserve">本项目落实的政府</w:t>
      </w:r>
      <w:r>
        <w:rPr>
          <w:rFonts w:hint="eastAsia" w:eastAsia="仿宋_GB2312"/>
          <w:b/>
          <w:color w:val="auto"/>
          <w:sz w:val="24"/>
          <w:highlight w:val="none"/>
        </w:rPr>
        <w:t xml:space="preserve">采购</w:t>
      </w:r>
      <w:r>
        <w:rPr>
          <w:rFonts w:hint="eastAsia" w:eastAsia="仿宋_GB2312"/>
          <w:b/>
          <w:bCs/>
          <w:color w:val="auto"/>
          <w:sz w:val="24"/>
          <w:highlight w:val="none"/>
        </w:rPr>
        <w:t xml:space="preserve">政策对应以下序号为</w:t>
      </w:r>
      <w:r>
        <w:rPr>
          <w:rFonts w:hint="eastAsia" w:eastAsia="仿宋_GB2312"/>
          <w:b/>
          <w:bCs/>
          <w:color w:val="auto"/>
          <w:sz w:val="24"/>
          <w:highlight w:val="none"/>
          <w:u w:val="single"/>
        </w:rPr>
        <w:t xml:space="preserve">1、2</w:t>
      </w:r>
      <w:r/>
    </w:p>
    <w:p>
      <w:pPr>
        <w:numPr>
          <w:ilvl w:val="0"/>
          <w:numId w:val="8"/>
        </w:numPr>
        <w:ind w:firstLine="480"/>
        <w:spacing w:line="360" w:lineRule="auto"/>
        <w:rPr>
          <w:rFonts w:cs="仿宋_GB2312"/>
          <w:color w:val="auto"/>
          <w:sz w:val="24"/>
          <w:highlight w:val="none"/>
        </w:rPr>
      </w:pPr>
      <w:r>
        <w:rPr>
          <w:rFonts w:hint="eastAsia" w:cs="仿宋_GB2312"/>
          <w:color w:val="auto"/>
          <w:sz w:val="24"/>
          <w:highlight w:val="none"/>
        </w:rPr>
        <w:t xml:space="preserve">采购本国货物、工程和服务</w:t>
      </w:r>
      <w:r/>
    </w:p>
    <w:p>
      <w:pPr>
        <w:ind w:firstLine="480"/>
        <w:spacing w:line="360" w:lineRule="auto"/>
        <w:rPr>
          <w:rFonts w:cs="仿宋_GB2312"/>
          <w:color w:val="auto"/>
          <w:sz w:val="24"/>
          <w:highlight w:val="none"/>
        </w:rPr>
      </w:pPr>
      <w:r>
        <w:rPr>
          <w:rFonts w:hint="eastAsia"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360" w:lineRule="auto"/>
        <w:rPr>
          <w:rFonts w:cs="仿宋_GB2312"/>
          <w:color w:val="auto"/>
          <w:sz w:val="24"/>
          <w:highlight w:val="none"/>
        </w:rPr>
      </w:pPr>
      <w:r>
        <w:rPr>
          <w:rFonts w:hint="eastAsia" w:cs="仿宋_GB2312"/>
          <w:color w:val="auto"/>
          <w:sz w:val="24"/>
          <w:highlight w:val="none"/>
        </w:rPr>
        <w:t xml:space="preserve">2、</w:t>
      </w:r>
      <w:r>
        <w:rPr>
          <w:rFonts w:cs="仿宋_GB2312"/>
          <w:color w:val="auto"/>
          <w:sz w:val="24"/>
          <w:highlight w:val="none"/>
        </w:rPr>
        <w:t xml:space="preserve">中小企业政策</w:t>
      </w:r>
      <w:r/>
    </w:p>
    <w:p>
      <w:pPr>
        <w:ind w:firstLine="480"/>
        <w:spacing w:line="360" w:lineRule="auto"/>
        <w:rPr>
          <w:color w:val="auto"/>
          <w:sz w:val="24"/>
          <w:highlight w:val="none"/>
        </w:rPr>
      </w:pPr>
      <w:r>
        <w:rPr>
          <w:rFonts w:hint="eastAsia"/>
          <w:color w:val="auto"/>
          <w:sz w:val="24"/>
          <w:highlight w:val="none"/>
        </w:rPr>
        <w:t xml:space="preserve">本项目按以下第</w:t>
      </w:r>
      <w:r>
        <w:rPr>
          <w:rFonts w:hint="eastAsia"/>
          <w:color w:val="auto"/>
          <w:sz w:val="24"/>
          <w:highlight w:val="none"/>
          <w:u w:val="single"/>
        </w:rPr>
        <w:t xml:space="preserve">1</w:t>
      </w:r>
      <w:r>
        <w:rPr>
          <w:rFonts w:hint="eastAsia"/>
          <w:color w:val="auto"/>
          <w:sz w:val="24"/>
          <w:highlight w:val="none"/>
        </w:rPr>
        <w:t xml:space="preserve">种政策确定本项目落实的中小企业政策：</w:t>
      </w:r>
      <w:r/>
    </w:p>
    <w:p>
      <w:pPr>
        <w:ind w:firstLine="480"/>
        <w:spacing w:line="360" w:lineRule="auto"/>
        <w:rPr>
          <w:color w:val="auto"/>
          <w:sz w:val="24"/>
          <w:highlight w:val="none"/>
        </w:rPr>
      </w:pPr>
      <w:r>
        <w:rPr>
          <w:rFonts w:hint="eastAsia"/>
          <w:color w:val="auto"/>
          <w:sz w:val="24"/>
          <w:highlight w:val="none"/>
        </w:rPr>
        <w:t xml:space="preserve">（1）本项目专门面向中小企业（含监狱企业、残疾人福利企业）采购。</w:t>
      </w:r>
      <w:r/>
    </w:p>
    <w:p>
      <w:pPr>
        <w:ind w:firstLine="480"/>
        <w:spacing w:line="360" w:lineRule="auto"/>
        <w:rPr>
          <w:color w:val="auto"/>
          <w:sz w:val="24"/>
          <w:highlight w:val="none"/>
        </w:rPr>
      </w:pPr>
      <w:r>
        <w:rPr>
          <w:rFonts w:hint="eastAsia"/>
          <w:color w:val="auto"/>
          <w:sz w:val="24"/>
          <w:highlight w:val="none"/>
        </w:rPr>
        <w:t xml:space="preserve">（2）</w:t>
      </w:r>
      <w:r>
        <w:rPr>
          <w:rFonts w:hint="eastAsia" w:cs="仿宋_GB2312"/>
          <w:color w:val="auto"/>
          <w:sz w:val="24"/>
          <w:highlight w:val="none"/>
        </w:rPr>
        <w:t xml:space="preserve">投标人提供的服务符合下列情形的，对小微企业报价给予</w:t>
      </w:r>
      <w:r>
        <w:rPr>
          <w:rFonts w:hint="eastAsia" w:cs="仿宋_GB2312"/>
          <w:color w:val="auto"/>
          <w:sz w:val="24"/>
          <w:highlight w:val="none"/>
          <w:u w:val="single"/>
        </w:rPr>
        <w:t xml:space="preserve">10%</w:t>
      </w:r>
      <w:r>
        <w:rPr>
          <w:rFonts w:hint="eastAsia" w:cs="仿宋_GB2312"/>
          <w:color w:val="auto"/>
          <w:sz w:val="24"/>
          <w:highlight w:val="none"/>
        </w:rPr>
        <w:t xml:space="preserve">的扣除，用扣除后的价格参加评审。</w:t>
      </w:r>
      <w:r/>
    </w:p>
    <w:p>
      <w:pPr>
        <w:ind w:firstLine="480"/>
        <w:spacing w:line="360" w:lineRule="auto"/>
        <w:rPr>
          <w:color w:val="auto"/>
          <w:sz w:val="24"/>
          <w:highlight w:val="none"/>
        </w:rPr>
      </w:pPr>
      <w:r>
        <w:rPr>
          <w:rFonts w:hint="eastAsia" w:cs="仿宋_GB2312"/>
          <w:color w:val="auto"/>
          <w:sz w:val="24"/>
          <w:highlight w:val="none"/>
        </w:rPr>
        <w:t xml:space="preserve">在服务采购项目中，服务由中小企业承接，即提供服务的人员为中小企业依照《中华人民共和国民法典》订立劳动合同的从业人员。</w:t>
      </w:r>
      <w:r/>
    </w:p>
    <w:p>
      <w:pPr>
        <w:ind w:firstLine="480"/>
        <w:spacing w:line="360" w:lineRule="auto"/>
        <w:rPr>
          <w:color w:val="auto"/>
          <w:sz w:val="24"/>
          <w:highlight w:val="none"/>
        </w:rPr>
      </w:pPr>
      <w:r>
        <w:rPr>
          <w:rFonts w:hint="eastAsia"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360" w:lineRule="auto"/>
        <w:rPr>
          <w:color w:val="auto"/>
          <w:sz w:val="24"/>
          <w:highlight w:val="none"/>
        </w:rPr>
      </w:pPr>
      <w:r>
        <w:rPr>
          <w:rFonts w:hint="eastAsia"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auto"/>
          <w:sz w:val="24"/>
          <w:highlight w:val="none"/>
        </w:rPr>
      </w:pPr>
      <w:r>
        <w:rPr>
          <w:rFonts w:hint="eastAsia"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color w:val="auto"/>
          <w:sz w:val="24"/>
          <w:highlight w:val="none"/>
        </w:rPr>
      </w:pPr>
      <w:r>
        <w:rPr>
          <w:rFonts w:hint="eastAsia"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360" w:lineRule="auto"/>
        <w:rPr>
          <w:rFonts w:cs="仿宋_GB2312"/>
          <w:color w:val="auto"/>
          <w:sz w:val="24"/>
          <w:highlight w:val="none"/>
        </w:rPr>
      </w:pPr>
      <w:r>
        <w:rPr>
          <w:rFonts w:hint="eastAsia" w:cs="仿宋_GB2312"/>
          <w:color w:val="auto"/>
          <w:sz w:val="24"/>
          <w:highlight w:val="none"/>
        </w:rPr>
        <w:t xml:space="preserve">3、政府采购节能产品、环境标志产品</w:t>
      </w:r>
      <w:r/>
    </w:p>
    <w:p>
      <w:pPr>
        <w:ind w:firstLine="480"/>
        <w:spacing w:line="360" w:lineRule="auto"/>
        <w:rPr>
          <w:rFonts w:cs="仿宋_GB2312"/>
          <w:color w:val="auto"/>
          <w:sz w:val="24"/>
          <w:highlight w:val="none"/>
        </w:rPr>
      </w:pPr>
      <w:r>
        <w:rPr>
          <w:rFonts w:hint="eastAsia"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cs="仿宋_GB2312"/>
          <w:color w:val="auto"/>
          <w:sz w:val="24"/>
          <w:highlight w:val="none"/>
        </w:rPr>
      </w:pPr>
      <w:r>
        <w:rPr>
          <w:rFonts w:hint="eastAsia"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cs="仿宋_GB2312"/>
          <w:color w:val="auto"/>
          <w:sz w:val="24"/>
          <w:highlight w:val="none"/>
        </w:rPr>
      </w:pPr>
      <w:r>
        <w:rPr>
          <w:rFonts w:hint="eastAsia" w:cs="仿宋_GB2312"/>
          <w:color w:val="auto"/>
          <w:sz w:val="24"/>
          <w:highlight w:val="none"/>
        </w:rPr>
        <w:t xml:space="preserve">（3）采购人拟采购的产品属于优先采购的节能环保品目清单范围的，按以下条件优先采购：</w:t>
      </w:r>
      <w:r/>
    </w:p>
    <w:p>
      <w:pPr>
        <w:ind w:firstLine="480"/>
        <w:spacing w:line="360" w:lineRule="auto"/>
        <w:rPr>
          <w:rFonts w:cs="仿宋_GB2312"/>
          <w:color w:val="auto"/>
          <w:sz w:val="24"/>
          <w:highlight w:val="none"/>
        </w:rPr>
      </w:pPr>
      <w:r>
        <w:rPr>
          <w:rFonts w:hint="eastAsia" w:cs="仿宋_GB2312"/>
          <w:color w:val="auto"/>
          <w:sz w:val="24"/>
          <w:highlight w:val="none"/>
        </w:rPr>
        <w:t xml:space="preserve">采用综合评分法的项目，对提供有效节能环保证书的投标人加分。</w:t>
      </w:r>
      <w:r/>
    </w:p>
    <w:p>
      <w:pPr>
        <w:ind w:firstLine="480"/>
        <w:spacing w:line="360" w:lineRule="auto"/>
        <w:rPr>
          <w:rFonts w:cs="仿宋_GB2312"/>
          <w:color w:val="auto"/>
          <w:sz w:val="24"/>
          <w:highlight w:val="none"/>
        </w:rPr>
      </w:pPr>
      <w:r>
        <w:rPr>
          <w:rFonts w:hint="eastAsia" w:cs="仿宋_GB2312"/>
          <w:color w:val="auto"/>
          <w:sz w:val="24"/>
          <w:highlight w:val="none"/>
        </w:rPr>
        <w:t xml:space="preserve">采用最低评标价法的项目，同等条件下优先推荐提供有效节能环保证书多的投标人为中标人。</w:t>
      </w:r>
      <w:r/>
    </w:p>
    <w:p>
      <w:pPr>
        <w:ind w:firstLine="480"/>
        <w:spacing w:line="360" w:lineRule="auto"/>
        <w:rPr>
          <w:rFonts w:cs="仿宋_GB2312"/>
          <w:color w:val="auto"/>
          <w:sz w:val="24"/>
          <w:highlight w:val="none"/>
        </w:rPr>
      </w:pPr>
      <w:r>
        <w:rPr>
          <w:rFonts w:hint="eastAsia" w:cs="仿宋_GB2312"/>
          <w:color w:val="auto"/>
          <w:sz w:val="24"/>
          <w:highlight w:val="none"/>
        </w:rPr>
        <w:t xml:space="preserve">4、商品包装、快递包装政府采购需求标准（试行）</w:t>
      </w:r>
      <w:r/>
    </w:p>
    <w:p>
      <w:pPr>
        <w:ind w:firstLine="480"/>
        <w:spacing w:line="360" w:lineRule="auto"/>
        <w:rPr>
          <w:rFonts w:cs="仿宋_GB2312"/>
          <w:color w:val="auto"/>
          <w:sz w:val="24"/>
          <w:highlight w:val="none"/>
        </w:rPr>
      </w:pPr>
      <w:r>
        <w:rPr>
          <w:rFonts w:hint="eastAsia"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360" w:lineRule="auto"/>
        <w:rPr>
          <w:rFonts w:cs="仿宋_GB2312"/>
          <w:color w:val="auto"/>
          <w:sz w:val="24"/>
          <w:highlight w:val="none"/>
        </w:rPr>
      </w:pPr>
      <w:r>
        <w:rPr>
          <w:rFonts w:hint="eastAsia" w:cs="仿宋_GB2312"/>
          <w:color w:val="auto"/>
          <w:sz w:val="24"/>
          <w:highlight w:val="none"/>
        </w:rPr>
        <w:t xml:space="preserve">5、绿色数据中心政府采购需求标准（试行）</w:t>
      </w:r>
      <w:r/>
    </w:p>
    <w:p>
      <w:pPr>
        <w:ind w:firstLine="480"/>
        <w:spacing w:line="360" w:lineRule="auto"/>
        <w:rPr>
          <w:color w:val="auto"/>
          <w:highlight w:val="none"/>
        </w:rPr>
      </w:pPr>
      <w:r>
        <w:rPr>
          <w:rFonts w:hint="eastAsia"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997"/>
        <w:rPr>
          <w:rFonts w:ascii="Times New Roman" w:hAnsi="Times New Roman"/>
          <w:color w:val="auto"/>
          <w:highlight w:val="none"/>
        </w:rPr>
      </w:pPr>
      <w:r>
        <w:rPr>
          <w:rFonts w:ascii="Times New Roman" w:hAnsi="Times New Roman"/>
          <w:color w:val="auto"/>
          <w:highlight w:val="none"/>
        </w:rPr>
      </w:r>
      <w:r/>
    </w:p>
    <w:p>
      <w:pPr>
        <w:rPr>
          <w:rFonts w:hint="eastAsia" w:ascii="Times New Roman" w:eastAsia="黑体"/>
          <w:bCs/>
          <w:color w:val="auto"/>
          <w:sz w:val="44"/>
          <w:highlight w:val="none"/>
        </w:rPr>
      </w:pPr>
      <w:r>
        <w:rPr>
          <w:rFonts w:hint="eastAsia" w:ascii="Times New Roman" w:eastAsia="黑体"/>
          <w:bCs/>
          <w:color w:val="auto"/>
          <w:sz w:val="44"/>
          <w:highlight w:val="none"/>
        </w:rPr>
        <w:br w:type="page" w:clear="all"/>
      </w:r>
      <w:r/>
    </w:p>
    <w:p>
      <w:pPr>
        <w:pStyle w:val="920"/>
        <w:rPr>
          <w:rFonts w:ascii="Times New Roman" w:eastAsia="黑体"/>
          <w:bCs/>
          <w:color w:val="auto"/>
          <w:sz w:val="44"/>
          <w:highlight w:val="none"/>
        </w:rPr>
      </w:pPr>
      <w:r/>
      <w:bookmarkStart w:id="133" w:name="_Toc8384"/>
      <w:r>
        <w:rPr>
          <w:rFonts w:hint="eastAsia" w:ascii="Times New Roman" w:eastAsia="黑体"/>
          <w:bCs/>
          <w:color w:val="auto"/>
          <w:sz w:val="44"/>
          <w:highlight w:val="none"/>
        </w:rPr>
        <w:t xml:space="preserve">第六章  投标文件格式</w:t>
      </w:r>
      <w:bookmarkEnd w:id="133"/>
      <w:r>
        <w:rPr>
          <w:rFonts w:hint="eastAsia" w:ascii="Times New Roman" w:eastAsia="黑体"/>
          <w:bCs/>
          <w:color w:val="auto"/>
          <w:sz w:val="44"/>
          <w:highlight w:val="none"/>
        </w:rPr>
        <w:t xml:space="preserve"> </w:t>
      </w:r>
      <w:r/>
    </w:p>
    <w:p>
      <w:pPr>
        <w:jc w:val="center"/>
        <w:rPr>
          <w:b/>
          <w:color w:val="auto"/>
          <w:sz w:val="72"/>
          <w:highlight w:val="none"/>
        </w:rPr>
      </w:pPr>
      <w:r/>
      <w:bookmarkStart w:id="134" w:name="_Hlt26955039"/>
      <w:r/>
      <w:bookmarkEnd w:id="134"/>
      <w:r/>
      <w:bookmarkStart w:id="135" w:name="_Hlt26671244"/>
      <w:r/>
      <w:bookmarkEnd w:id="135"/>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72"/>
          <w:highlight w:val="none"/>
        </w:rPr>
      </w:pPr>
      <w:r>
        <w:rPr>
          <w:rFonts w:hint="eastAsia"/>
          <w:b/>
          <w:color w:val="auto"/>
          <w:sz w:val="72"/>
          <w:highlight w:val="none"/>
        </w:rPr>
        <w:t xml:space="preserve">投  标  文  件</w:t>
      </w:r>
      <w:r/>
    </w:p>
    <w:p>
      <w:pPr>
        <w:jc w:val="center"/>
        <w:rPr>
          <w:b/>
          <w:color w:val="auto"/>
          <w:sz w:val="72"/>
          <w:highlight w:val="none"/>
        </w:rPr>
      </w:pPr>
      <w:r>
        <w:rPr>
          <w:b/>
          <w:color w:val="auto"/>
          <w:sz w:val="72"/>
          <w:highlight w:val="none"/>
        </w:rPr>
      </w:r>
      <w:r/>
    </w:p>
    <w:p>
      <w:pPr>
        <w:jc w:val="center"/>
        <w:rPr>
          <w:b/>
          <w:color w:val="auto"/>
          <w:sz w:val="72"/>
          <w:highlight w:val="none"/>
        </w:rPr>
      </w:pPr>
      <w:r>
        <w:rPr>
          <w:b/>
          <w:color w:val="auto"/>
          <w:sz w:val="72"/>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jc w:val="center"/>
        <w:rPr>
          <w:b/>
          <w:color w:val="auto"/>
          <w:sz w:val="36"/>
          <w:highlight w:val="none"/>
        </w:rPr>
      </w:pPr>
      <w:r>
        <w:rPr>
          <w:b/>
          <w:color w:val="auto"/>
          <w:sz w:val="36"/>
          <w:highlight w:val="none"/>
        </w:rPr>
      </w:r>
      <w:r/>
    </w:p>
    <w:p>
      <w:pPr>
        <w:ind w:firstLine="1084"/>
        <w:rPr>
          <w:b/>
          <w:color w:val="auto"/>
          <w:sz w:val="36"/>
          <w:highlight w:val="none"/>
        </w:rPr>
      </w:pPr>
      <w:r>
        <w:rPr>
          <w:rFonts w:hint="eastAsia"/>
          <w:b/>
          <w:color w:val="auto"/>
          <w:sz w:val="36"/>
          <w:highlight w:val="none"/>
        </w:rPr>
        <w:t xml:space="preserve">项 目 名 称：</w:t>
      </w:r>
      <w:r>
        <w:rPr>
          <w:rFonts w:hint="eastAsia"/>
          <w:b/>
          <w:color w:val="auto"/>
          <w:sz w:val="36"/>
          <w:highlight w:val="none"/>
          <w:u w:val="single"/>
        </w:rPr>
        <w:t xml:space="preserve">               </w:t>
      </w:r>
      <w:r/>
    </w:p>
    <w:p>
      <w:pPr>
        <w:ind w:firstLine="1084"/>
        <w:rPr>
          <w:b/>
          <w:color w:val="auto"/>
          <w:sz w:val="36"/>
          <w:highlight w:val="none"/>
          <w:u w:val="single"/>
        </w:rPr>
      </w:pPr>
      <w:r>
        <w:rPr>
          <w:rFonts w:hint="eastAsia"/>
          <w:b/>
          <w:color w:val="auto"/>
          <w:sz w:val="36"/>
          <w:highlight w:val="none"/>
        </w:rPr>
        <w:t xml:space="preserve">项 目 编 号：</w:t>
      </w:r>
      <w:r>
        <w:rPr>
          <w:rFonts w:hint="eastAsia"/>
          <w:b/>
          <w:color w:val="auto"/>
          <w:sz w:val="36"/>
          <w:highlight w:val="none"/>
          <w:u w:val="single"/>
        </w:rPr>
        <w:t xml:space="preserve">               </w:t>
      </w:r>
      <w:r/>
    </w:p>
    <w:p>
      <w:pPr>
        <w:rPr>
          <w:b/>
          <w:color w:val="auto"/>
          <w:sz w:val="36"/>
          <w:highlight w:val="none"/>
          <w:u w:val="single"/>
        </w:rPr>
      </w:pPr>
      <w:r>
        <w:rPr>
          <w:rFonts w:hint="eastAsia"/>
          <w:b/>
          <w:color w:val="auto"/>
          <w:sz w:val="36"/>
          <w:highlight w:val="none"/>
        </w:rPr>
        <w:t xml:space="preserve">      投标人名称 ：</w:t>
      </w:r>
      <w:r>
        <w:rPr>
          <w:rFonts w:hint="eastAsia"/>
          <w:b/>
          <w:color w:val="auto"/>
          <w:sz w:val="36"/>
          <w:highlight w:val="none"/>
          <w:u w:val="single"/>
        </w:rPr>
        <w:t xml:space="preserve">（加盖CA电子公章）</w:t>
      </w:r>
      <w:r/>
    </w:p>
    <w:p>
      <w:pPr>
        <w:rPr>
          <w:b/>
          <w:color w:val="auto"/>
          <w:sz w:val="36"/>
          <w:highlight w:val="none"/>
          <w:u w:val="single"/>
        </w:rPr>
      </w:pPr>
      <w:r>
        <w:rPr>
          <w:rFonts w:hint="eastAsia"/>
          <w:b/>
          <w:color w:val="auto"/>
          <w:sz w:val="36"/>
          <w:highlight w:val="none"/>
        </w:rPr>
        <w:t xml:space="preserve">      日      期 ：</w:t>
      </w:r>
      <w:r>
        <w:rPr>
          <w:rFonts w:hint="eastAsia"/>
          <w:b/>
          <w:color w:val="auto"/>
          <w:sz w:val="36"/>
          <w:highlight w:val="none"/>
          <w:u w:val="single"/>
        </w:rPr>
        <w:t xml:space="preserve">               </w:t>
      </w:r>
      <w:r/>
    </w:p>
    <w:p>
      <w:pPr>
        <w:jc w:val="center"/>
        <w:spacing w:line="440" w:lineRule="exact"/>
        <w:rPr>
          <w:b/>
          <w:bCs/>
          <w:color w:val="auto"/>
          <w:sz w:val="32"/>
          <w:szCs w:val="32"/>
          <w:highlight w:val="none"/>
        </w:rPr>
      </w:pPr>
      <w:r>
        <w:rPr>
          <w:b/>
          <w:bCs/>
          <w:color w:val="auto"/>
          <w:sz w:val="32"/>
          <w:szCs w:val="32"/>
          <w:highlight w:val="none"/>
        </w:rPr>
      </w:r>
      <w:r/>
    </w:p>
    <w:p>
      <w:pPr>
        <w:spacing w:line="440" w:lineRule="exact"/>
        <w:rPr>
          <w:color w:val="auto"/>
          <w:highlight w:val="none"/>
        </w:rPr>
      </w:pPr>
      <w:r>
        <w:rPr>
          <w:color w:val="auto"/>
          <w:highlight w:val="none"/>
        </w:rPr>
      </w:r>
      <w:r/>
    </w:p>
    <w:p>
      <w:pPr>
        <w:jc w:val="center"/>
        <w:spacing w:line="440" w:lineRule="exact"/>
        <w:rPr>
          <w:b/>
          <w:color w:val="auto"/>
          <w:sz w:val="36"/>
          <w:highlight w:val="none"/>
          <w:u w:val="single"/>
        </w:rPr>
      </w:pPr>
      <w:r>
        <w:rPr>
          <w:b/>
          <w:color w:val="auto"/>
          <w:sz w:val="36"/>
          <w:highlight w:val="none"/>
          <w:u w:val="single"/>
        </w:rPr>
      </w:r>
      <w:r/>
    </w:p>
    <w:p>
      <w:pPr>
        <w:jc w:val="center"/>
        <w:spacing w:line="440" w:lineRule="exact"/>
        <w:rPr>
          <w:b/>
          <w:color w:val="auto"/>
          <w:sz w:val="36"/>
          <w:highlight w:val="none"/>
          <w:u w:val="single"/>
        </w:rPr>
      </w:pPr>
      <w:r>
        <w:rPr>
          <w:b/>
          <w:color w:val="auto"/>
          <w:sz w:val="36"/>
          <w:highlight w:val="none"/>
          <w:u w:val="single"/>
        </w:rPr>
      </w:r>
      <w:r/>
    </w:p>
    <w:p>
      <w:pPr>
        <w:jc w:val="center"/>
        <w:spacing w:line="440" w:lineRule="exact"/>
        <w:rPr>
          <w:b/>
          <w:color w:val="auto"/>
          <w:sz w:val="36"/>
          <w:highlight w:val="none"/>
          <w:u w:val="single"/>
        </w:rPr>
      </w:pPr>
      <w:r>
        <w:rPr>
          <w:b/>
          <w:color w:val="auto"/>
          <w:sz w:val="36"/>
          <w:highlight w:val="none"/>
          <w:u w:val="single"/>
        </w:rPr>
      </w:r>
      <w:r/>
    </w:p>
    <w:p>
      <w:pPr>
        <w:jc w:val="center"/>
        <w:spacing w:line="440" w:lineRule="exact"/>
        <w:rPr>
          <w:b/>
          <w:color w:val="auto"/>
          <w:sz w:val="36"/>
          <w:highlight w:val="none"/>
          <w:u w:val="single"/>
        </w:rPr>
      </w:pPr>
      <w:r>
        <w:rPr>
          <w:b/>
          <w:color w:val="auto"/>
          <w:sz w:val="36"/>
          <w:highlight w:val="none"/>
          <w:u w:val="single"/>
        </w:rPr>
      </w:r>
      <w:r/>
    </w:p>
    <w:p>
      <w:pPr>
        <w:jc w:val="center"/>
        <w:spacing w:line="440" w:lineRule="exact"/>
        <w:rPr>
          <w:b/>
          <w:color w:val="auto"/>
          <w:sz w:val="36"/>
          <w:highlight w:val="none"/>
          <w:u w:val="single"/>
        </w:rPr>
      </w:pPr>
      <w:r>
        <w:rPr>
          <w:b/>
          <w:color w:val="auto"/>
          <w:sz w:val="36"/>
          <w:highlight w:val="none"/>
          <w:u w:val="single"/>
        </w:rPr>
      </w:r>
      <w:r/>
    </w:p>
    <w:p>
      <w:pPr>
        <w:jc w:val="center"/>
        <w:spacing w:line="440" w:lineRule="exact"/>
        <w:rPr>
          <w:b/>
          <w:color w:val="auto"/>
          <w:sz w:val="36"/>
          <w:highlight w:val="none"/>
          <w:u w:val="single"/>
        </w:rPr>
      </w:pPr>
      <w:r>
        <w:rPr>
          <w:b/>
          <w:color w:val="auto"/>
          <w:sz w:val="36"/>
          <w:highlight w:val="none"/>
          <w:u w:val="single"/>
        </w:rPr>
      </w:r>
      <w:r/>
    </w:p>
    <w:p>
      <w:pPr>
        <w:jc w:val="center"/>
        <w:spacing w:line="440" w:lineRule="exact"/>
        <w:rPr>
          <w:b/>
          <w:bCs/>
          <w:color w:val="auto"/>
          <w:sz w:val="32"/>
          <w:szCs w:val="32"/>
          <w:highlight w:val="none"/>
        </w:rPr>
      </w:pPr>
      <w:r>
        <w:rPr>
          <w:rFonts w:hint="eastAsia"/>
          <w:b/>
          <w:bCs/>
          <w:color w:val="auto"/>
          <w:sz w:val="32"/>
          <w:szCs w:val="32"/>
          <w:highlight w:val="none"/>
        </w:rPr>
        <w:t xml:space="preserve">投标文件目录</w:t>
      </w:r>
      <w:r/>
    </w:p>
    <w:p>
      <w:pPr>
        <w:jc w:val="center"/>
        <w:spacing w:line="440" w:lineRule="exact"/>
        <w:rPr>
          <w:b/>
          <w:bCs/>
          <w:color w:val="auto"/>
          <w:sz w:val="32"/>
          <w:szCs w:val="32"/>
          <w:highlight w:val="none"/>
        </w:rPr>
      </w:pPr>
      <w:r>
        <w:rPr>
          <w:b/>
          <w:bCs/>
          <w:color w:val="auto"/>
          <w:sz w:val="32"/>
          <w:szCs w:val="32"/>
          <w:highlight w:val="none"/>
        </w:rPr>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一、投标声明及承诺函</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二、投标人基本情况</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三、法人授权书</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四、开标一览表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五、投标报价明细表</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六、中小企业声明函</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rPr>
        <w:t xml:space="preserve">七、技术要求响应及偏离表</w:t>
      </w:r>
      <w:r/>
    </w:p>
    <w:p>
      <w:pPr>
        <w:ind w:firstLine="560"/>
        <w:spacing w:line="600" w:lineRule="exact"/>
        <w:rPr>
          <w:rFonts w:hint="eastAsia" w:cs="宋体"/>
          <w:color w:val="auto"/>
          <w:sz w:val="28"/>
          <w:szCs w:val="28"/>
          <w:highlight w:val="none"/>
        </w:rPr>
      </w:pPr>
      <w:r>
        <w:rPr>
          <w:rFonts w:hint="eastAsia" w:cs="宋体"/>
          <w:color w:val="auto"/>
          <w:sz w:val="28"/>
          <w:szCs w:val="28"/>
          <w:highlight w:val="none"/>
          <w:lang w:val="en-US" w:eastAsia="zh-CN"/>
        </w:rPr>
        <w:t xml:space="preserve">八</w:t>
      </w:r>
      <w:r>
        <w:rPr>
          <w:rFonts w:hint="eastAsia" w:cs="宋体"/>
          <w:color w:val="auto"/>
          <w:sz w:val="28"/>
          <w:szCs w:val="28"/>
          <w:highlight w:val="none"/>
        </w:rPr>
        <w:t xml:space="preserve">、</w:t>
      </w:r>
      <w:r>
        <w:rPr>
          <w:rFonts w:hint="eastAsia" w:cs="宋体"/>
          <w:color w:val="auto"/>
          <w:sz w:val="28"/>
          <w:szCs w:val="28"/>
          <w:highlight w:val="none"/>
          <w:lang w:val="en-US" w:eastAsia="zh-CN"/>
        </w:rPr>
        <w:t xml:space="preserve">商务</w:t>
      </w:r>
      <w:r>
        <w:rPr>
          <w:rFonts w:hint="eastAsia" w:cs="宋体"/>
          <w:color w:val="auto"/>
          <w:sz w:val="28"/>
          <w:szCs w:val="28"/>
          <w:highlight w:val="none"/>
        </w:rPr>
        <w:t xml:space="preserve">响应偏离表</w:t>
      </w:r>
      <w:r/>
    </w:p>
    <w:p>
      <w:pPr>
        <w:ind w:firstLine="560"/>
        <w:spacing w:line="600" w:lineRule="exact"/>
        <w:rPr>
          <w:rFonts w:cs="宋体"/>
          <w:color w:val="auto"/>
          <w:sz w:val="28"/>
          <w:szCs w:val="28"/>
          <w:highlight w:val="none"/>
        </w:rPr>
      </w:pPr>
      <w:r>
        <w:rPr>
          <w:rFonts w:hint="eastAsia" w:cs="宋体"/>
          <w:color w:val="auto"/>
          <w:sz w:val="28"/>
          <w:szCs w:val="28"/>
          <w:highlight w:val="none"/>
          <w:lang w:val="en-US" w:eastAsia="zh-CN"/>
        </w:rPr>
        <w:t xml:space="preserve">九</w:t>
      </w:r>
      <w:r>
        <w:rPr>
          <w:rFonts w:hint="eastAsia" w:cs="宋体"/>
          <w:color w:val="auto"/>
          <w:sz w:val="28"/>
          <w:szCs w:val="28"/>
          <w:highlight w:val="none"/>
        </w:rPr>
        <w:t xml:space="preserve">、项目组成员</w:t>
      </w:r>
      <w:r/>
    </w:p>
    <w:p>
      <w:pPr>
        <w:ind w:firstLine="560"/>
        <w:spacing w:line="600" w:lineRule="exact"/>
        <w:rPr>
          <w:rFonts w:cs="宋体"/>
          <w:color w:val="auto"/>
          <w:sz w:val="28"/>
          <w:szCs w:val="28"/>
          <w:highlight w:val="none"/>
        </w:rPr>
      </w:pPr>
      <w:r>
        <w:rPr>
          <w:rFonts w:hint="eastAsia" w:cs="宋体"/>
          <w:color w:val="auto"/>
          <w:sz w:val="28"/>
          <w:szCs w:val="28"/>
          <w:highlight w:val="none"/>
          <w:lang w:val="en-US" w:eastAsia="zh-CN"/>
        </w:rPr>
        <w:t xml:space="preserve">十</w:t>
      </w:r>
      <w:r>
        <w:rPr>
          <w:rFonts w:hint="eastAsia" w:cs="宋体"/>
          <w:color w:val="auto"/>
          <w:sz w:val="28"/>
          <w:szCs w:val="28"/>
          <w:highlight w:val="none"/>
        </w:rPr>
        <w:t xml:space="preserve">、企业业绩</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w:t>
      </w:r>
      <w:r>
        <w:rPr>
          <w:rFonts w:hint="eastAsia" w:cs="宋体"/>
          <w:color w:val="auto"/>
          <w:sz w:val="28"/>
          <w:szCs w:val="28"/>
          <w:highlight w:val="none"/>
          <w:lang w:val="en-US" w:eastAsia="zh-CN"/>
        </w:rPr>
        <w:t xml:space="preserve">一</w:t>
      </w:r>
      <w:r>
        <w:rPr>
          <w:rFonts w:hint="eastAsia" w:cs="宋体"/>
          <w:color w:val="auto"/>
          <w:sz w:val="28"/>
          <w:szCs w:val="28"/>
          <w:highlight w:val="none"/>
        </w:rPr>
        <w:t xml:space="preserve">、项目实施方案</w:t>
      </w:r>
      <w:r/>
    </w:p>
    <w:p>
      <w:pPr>
        <w:ind w:firstLine="560"/>
        <w:spacing w:line="600" w:lineRule="exact"/>
        <w:rPr>
          <w:rFonts w:cs="宋体"/>
          <w:color w:val="auto"/>
          <w:sz w:val="28"/>
          <w:szCs w:val="28"/>
          <w:highlight w:val="none"/>
        </w:rPr>
      </w:pPr>
      <w:r>
        <w:rPr>
          <w:rFonts w:hint="eastAsia" w:cs="宋体"/>
          <w:color w:val="auto"/>
          <w:sz w:val="28"/>
          <w:szCs w:val="28"/>
          <w:highlight w:val="none"/>
        </w:rPr>
        <w:t xml:space="preserve">十</w:t>
      </w:r>
      <w:r>
        <w:rPr>
          <w:rFonts w:hint="eastAsia" w:cs="宋体"/>
          <w:color w:val="auto"/>
          <w:sz w:val="28"/>
          <w:szCs w:val="28"/>
          <w:highlight w:val="none"/>
          <w:lang w:val="en-US" w:eastAsia="zh-CN"/>
        </w:rPr>
        <w:t xml:space="preserve">二</w:t>
      </w:r>
      <w:r>
        <w:rPr>
          <w:rFonts w:hint="eastAsia" w:cs="宋体"/>
          <w:color w:val="auto"/>
          <w:sz w:val="28"/>
          <w:szCs w:val="28"/>
          <w:highlight w:val="none"/>
        </w:rPr>
        <w:t xml:space="preserve">、投标所需其他材料</w:t>
      </w:r>
      <w:r/>
    </w:p>
    <w:p>
      <w:pPr>
        <w:pStyle w:val="970"/>
        <w:rPr>
          <w:rFonts w:ascii="Times New Roman" w:hAnsi="Times New Roman"/>
          <w:caps/>
          <w:color w:val="auto"/>
          <w:highlight w:val="none"/>
        </w:rPr>
      </w:pPr>
      <w:r>
        <w:rPr>
          <w:rFonts w:ascii="Times New Roman" w:hAnsi="Times New Roman"/>
          <w:caps/>
          <w:color w:val="auto"/>
          <w:highlight w:val="none"/>
        </w:rPr>
      </w:r>
      <w:r/>
    </w:p>
    <w:p>
      <w:pPr>
        <w:pStyle w:val="922"/>
        <w:spacing w:before="0" w:after="0" w:line="360" w:lineRule="auto"/>
        <w:rPr>
          <w:rFonts w:asciiTheme="minorEastAsia" w:hAnsiTheme="minorEastAsia" w:eastAsiaTheme="minorEastAsia"/>
          <w:b w:val="0"/>
          <w:bCs w:val="0"/>
          <w:color w:val="auto"/>
          <w:highlight w:val="none"/>
        </w:rPr>
      </w:pPr>
      <w:r>
        <w:rPr>
          <w:color w:val="auto"/>
          <w:highlight w:val="none"/>
        </w:rPr>
        <w:br w:type="page" w:clear="all"/>
      </w:r>
      <w:bookmarkStart w:id="136" w:name="_Toc22221"/>
      <w:r>
        <w:rPr>
          <w:rFonts w:hint="eastAsia" w:asciiTheme="minorEastAsia" w:hAnsiTheme="minorEastAsia" w:eastAsiaTheme="minorEastAsia"/>
          <w:b w:val="0"/>
          <w:bCs w:val="0"/>
          <w:color w:val="auto"/>
          <w:highlight w:val="none"/>
        </w:rPr>
        <w:t xml:space="preserve">一、投标声明及承诺函</w:t>
      </w:r>
      <w:bookmarkEnd w:id="136"/>
      <w:r/>
      <w:r/>
    </w:p>
    <w:p>
      <w:pPr>
        <w:pStyle w:val="1035"/>
        <w:jc w:val="left"/>
        <w:spacing w:line="500" w:lineRule="exact"/>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u w:val="single"/>
        </w:rPr>
        <w:t xml:space="preserve">（采购单位名称）：</w:t>
      </w:r>
      <w:r/>
    </w:p>
    <w:p>
      <w:pPr>
        <w:pStyle w:val="1035"/>
        <w:ind w:firstLine="480"/>
        <w:jc w:val="left"/>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根据已收到的项目编号为</w:t>
      </w:r>
      <w:r>
        <w:rPr>
          <w:rFonts w:hint="eastAsia" w:cs="宋体" w:asciiTheme="minorEastAsia" w:hAnsiTheme="minorEastAsia" w:eastAsiaTheme="minorEastAsia"/>
          <w:color w:val="auto"/>
          <w:sz w:val="24"/>
          <w:szCs w:val="24"/>
          <w:highlight w:val="none"/>
          <w:u w:val="single"/>
          <w:lang w:eastAsia="zh-CN"/>
        </w:rPr>
        <w:t xml:space="preserve">JSZC-321323-JSZC-G2026-0007</w:t>
      </w:r>
      <w:r>
        <w:rPr>
          <w:rFonts w:hint="eastAsia" w:asciiTheme="minorEastAsia" w:hAnsiTheme="minorEastAsia" w:eastAsiaTheme="minorEastAsia"/>
          <w:color w:val="auto"/>
          <w:sz w:val="24"/>
          <w:szCs w:val="24"/>
          <w:highlight w:val="none"/>
        </w:rPr>
        <w:t xml:space="preserve">的</w:t>
      </w:r>
      <w:r>
        <w:rPr>
          <w:rFonts w:hint="eastAsia" w:cs="宋体" w:asciiTheme="minorEastAsia" w:hAnsiTheme="minorEastAsia" w:eastAsiaTheme="minorEastAsia"/>
          <w:color w:val="auto"/>
          <w:sz w:val="24"/>
          <w:szCs w:val="24"/>
          <w:highlight w:val="none"/>
          <w:u w:val="single"/>
        </w:rPr>
        <w:t xml:space="preserve">泗阳县市场监督管理局2026年食品检验检测承检机构采购项目</w:t>
      </w:r>
      <w:r>
        <w:rPr>
          <w:rFonts w:hint="eastAsia" w:asciiTheme="minorEastAsia" w:hAnsiTheme="minorEastAsia" w:eastAsiaTheme="minorEastAsia"/>
          <w:color w:val="auto"/>
          <w:sz w:val="24"/>
          <w:szCs w:val="24"/>
          <w:highlight w:val="none"/>
        </w:rPr>
        <w:t xml:space="preserve">的招标文件，我方在参加本项目招投标活动中，特做出如下承诺：</w:t>
      </w:r>
      <w:r/>
    </w:p>
    <w:p>
      <w:pPr>
        <w:pStyle w:val="1035"/>
        <w:ind w:firstLine="480"/>
        <w:jc w:val="left"/>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szCs w:val="24"/>
          <w:highlight w:val="none"/>
        </w:rPr>
        <w:t xml:space="preserve">一、我方</w:t>
      </w:r>
      <w:r>
        <w:rPr>
          <w:rFonts w:asciiTheme="minorEastAsia" w:hAnsiTheme="minorEastAsia" w:eastAsiaTheme="minorEastAsia"/>
          <w:color w:val="auto"/>
          <w:sz w:val="24"/>
          <w:highlight w:val="none"/>
        </w:rPr>
        <w:t xml:space="preserve">具备《中华人民共和国政府采购法》第二十二条第一款规定的6项条件；</w:t>
      </w:r>
      <w:r/>
    </w:p>
    <w:p>
      <w:pPr>
        <w:pStyle w:val="1035"/>
        <w:ind w:firstLine="480"/>
        <w:jc w:val="left"/>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5"/>
        <w:ind w:firstLine="480"/>
        <w:jc w:val="left"/>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三、我方按招标文件要求提交投标文件，响应招标文件规定的投标有效期；</w:t>
      </w:r>
      <w:r/>
    </w:p>
    <w:p>
      <w:pPr>
        <w:pStyle w:val="1035"/>
        <w:ind w:firstLine="480"/>
        <w:jc w:val="left"/>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35"/>
        <w:ind w:firstLine="480"/>
        <w:jc w:val="left"/>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五、我方若违背本声明及承诺约定，经查实，自愿接受采购人及相关主管部门相应的规定处理，并依法承担相应的法律责任。</w:t>
      </w:r>
      <w:r/>
    </w:p>
    <w:p>
      <w:pPr>
        <w:pStyle w:val="1035"/>
        <w:ind w:firstLine="480"/>
        <w:jc w:val="left"/>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六、我方同意采购人、采购代理机构将本声明及承诺函上网公开。</w:t>
      </w:r>
      <w:r/>
    </w:p>
    <w:p>
      <w:pPr>
        <w:pStyle w:val="1035"/>
        <w:ind w:firstLine="480"/>
        <w:jc w:val="left"/>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1035"/>
        <w:jc w:val="left"/>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1035"/>
        <w:ind w:firstLine="480"/>
        <w:jc w:val="left"/>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投标人名称：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（加盖CA电子公章）</w:t>
      </w:r>
      <w:r/>
    </w:p>
    <w:p>
      <w:pPr>
        <w:pStyle w:val="1035"/>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sz w:val="24"/>
          <w:szCs w:val="24"/>
          <w:highlight w:val="none"/>
        </w:rPr>
        <w:t xml:space="preserve">日期：    年    月   日</w:t>
      </w:r>
      <w:r/>
    </w:p>
    <w:p>
      <w:pPr>
        <w:pStyle w:val="922"/>
        <w:spacing w:before="0" w:after="0" w:line="360" w:lineRule="auto"/>
        <w:rPr>
          <w:b w:val="0"/>
          <w:bCs w:val="0"/>
          <w:color w:val="auto"/>
          <w:highlight w:val="none"/>
        </w:rPr>
      </w:pPr>
      <w:r>
        <w:rPr>
          <w:color w:val="auto"/>
          <w:highlight w:val="none"/>
        </w:rPr>
        <w:br w:type="page" w:clear="all"/>
      </w:r>
      <w:bookmarkStart w:id="137" w:name="_Toc10019"/>
      <w:r>
        <w:rPr>
          <w:rFonts w:hint="eastAsia"/>
          <w:b w:val="0"/>
          <w:bCs w:val="0"/>
          <w:color w:val="auto"/>
          <w:highlight w:val="none"/>
        </w:rPr>
        <w:t xml:space="preserve">二、投标人基本情况</w:t>
      </w:r>
      <w:bookmarkEnd w:id="137"/>
      <w:r/>
      <w:r/>
    </w:p>
    <w:p>
      <w:pPr>
        <w:pStyle w:val="1038"/>
        <w:jc w:val="center"/>
        <w:rPr>
          <w:rFonts w:ascii="Times New Roman" w:hAnsi="Times New Roman"/>
          <w:color w:val="auto"/>
          <w:sz w:val="44"/>
          <w:szCs w:val="44"/>
          <w:highlight w:val="none"/>
        </w:rPr>
      </w:pPr>
      <w:r>
        <w:rPr>
          <w:rFonts w:hint="eastAsia" w:ascii="Times New Roman" w:hAnsi="Times New Roman"/>
          <w:color w:val="auto"/>
          <w:sz w:val="44"/>
          <w:szCs w:val="44"/>
          <w:highlight w:val="none"/>
        </w:rPr>
        <w:t xml:space="preserve">投标人基本情况表</w:t>
      </w: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投标人名称</w:t>
            </w:r>
            <w:r/>
          </w:p>
        </w:tc>
        <w:tc>
          <w:tcPr>
            <w:gridSpan w:val="3"/>
            <w:tcW w:w="6998"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法定代表人</w:t>
            </w:r>
            <w:r/>
          </w:p>
        </w:tc>
        <w:tc>
          <w:tcPr>
            <w:tcW w:w="3118"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注册地区</w:t>
            </w:r>
            <w:r/>
          </w:p>
        </w:tc>
        <w:tc>
          <w:tcPr>
            <w:tcW w:w="2604"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地址</w:t>
            </w:r>
            <w:r/>
          </w:p>
        </w:tc>
        <w:tc>
          <w:tcPr>
            <w:tcW w:w="3118"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邮政编码</w:t>
            </w:r>
            <w:r/>
          </w:p>
        </w:tc>
        <w:tc>
          <w:tcPr>
            <w:tcW w:w="2604"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成立时间</w:t>
            </w:r>
            <w:r/>
          </w:p>
        </w:tc>
        <w:tc>
          <w:tcPr>
            <w:tcW w:w="3118"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单位性质</w:t>
            </w:r>
            <w:r/>
          </w:p>
        </w:tc>
        <w:tc>
          <w:tcPr>
            <w:tcW w:w="2604"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注册号或社会信用代码</w:t>
            </w:r>
            <w:r/>
          </w:p>
        </w:tc>
        <w:tc>
          <w:tcPr>
            <w:tcW w:w="3118"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注册资本（万元）</w:t>
            </w:r>
            <w:r/>
          </w:p>
        </w:tc>
        <w:tc>
          <w:tcPr>
            <w:tcW w:w="2604"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投标人类别</w:t>
            </w:r>
            <w:r/>
          </w:p>
        </w:tc>
        <w:tc>
          <w:tcPr>
            <w:gridSpan w:val="3"/>
            <w:tcW w:w="6998"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开户银行</w:t>
            </w:r>
            <w:r/>
          </w:p>
        </w:tc>
        <w:tc>
          <w:tcPr>
            <w:tcW w:w="3118"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账号</w:t>
            </w:r>
            <w:r/>
          </w:p>
        </w:tc>
        <w:tc>
          <w:tcPr>
            <w:tcW w:w="2604"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c>
          <w:tcPr>
            <w:tcW w:w="152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联系人</w:t>
            </w:r>
            <w:r/>
          </w:p>
        </w:tc>
        <w:tc>
          <w:tcPr>
            <w:tcW w:w="3118"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c>
          <w:tcPr>
            <w:tcW w:w="1276"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联系电话</w:t>
            </w:r>
            <w:r/>
          </w:p>
        </w:tc>
        <w:tc>
          <w:tcPr>
            <w:tcW w:w="2604" w:type="dxa"/>
            <w:vAlign w:val="center"/>
            <w:textDirection w:val="lrTb"/>
            <w:noWrap w:val="false"/>
          </w:tcPr>
          <w:p>
            <w:pPr>
              <w:pStyle w:val="1038"/>
              <w:jc w:val="center"/>
              <w:spacing w:line="60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2376"/>
        </w:trPr>
        <w:tc>
          <w:tcPr>
            <w:tcW w:w="1526" w:type="dxa"/>
            <w:vAlign w:val="center"/>
            <w:textDirection w:val="lrTb"/>
            <w:noWrap w:val="false"/>
          </w:tcPr>
          <w:p>
            <w:pPr>
              <w:pStyle w:val="1038"/>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经营范围</w:t>
            </w:r>
            <w:r/>
          </w:p>
        </w:tc>
        <w:tc>
          <w:tcPr>
            <w:gridSpan w:val="3"/>
            <w:tcW w:w="6998" w:type="dxa"/>
            <w:textDirection w:val="lrTb"/>
            <w:noWrap w:val="false"/>
          </w:tcPr>
          <w:p>
            <w:pPr>
              <w:pStyle w:val="1038"/>
              <w:ind w:firstLine="1432"/>
              <w:spacing w:line="560" w:lineRule="exact"/>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r>
            <w:r/>
          </w:p>
        </w:tc>
      </w:tr>
      <w:tr>
        <w:trPr>
          <w:trHeight w:val="1134"/>
        </w:trPr>
        <w:tc>
          <w:tcPr>
            <w:tcW w:w="1526" w:type="dxa"/>
            <w:vAlign w:val="center"/>
            <w:textDirection w:val="lrTb"/>
            <w:noWrap w:val="false"/>
          </w:tcPr>
          <w:p>
            <w:pPr>
              <w:pStyle w:val="1038"/>
              <w:jc w:val="center"/>
              <w:spacing w:line="56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备注</w:t>
            </w:r>
            <w:r/>
          </w:p>
        </w:tc>
        <w:tc>
          <w:tcPr>
            <w:gridSpan w:val="3"/>
            <w:tcW w:w="6998" w:type="dxa"/>
            <w:vAlign w:val="center"/>
            <w:textDirection w:val="lrTb"/>
            <w:noWrap w:val="false"/>
          </w:tcPr>
          <w:p>
            <w:pPr>
              <w:pStyle w:val="1038"/>
              <w:jc w:val="center"/>
              <w:spacing w:line="500" w:lineRule="exact"/>
              <w:rPr>
                <w:rFonts w:ascii="Times New Roman" w:hAnsi="Times New Roman" w:eastAsia="仿宋_GB2312"/>
                <w:color w:val="auto"/>
                <w:sz w:val="24"/>
                <w:szCs w:val="24"/>
                <w:highlight w:val="none"/>
              </w:rPr>
            </w:pPr>
            <w:r>
              <w:rPr>
                <w:rFonts w:hint="eastAsia" w:ascii="Times New Roman" w:hAnsi="Times New Roman" w:eastAsia="仿宋_GB2312"/>
                <w:color w:val="auto"/>
                <w:sz w:val="24"/>
                <w:szCs w:val="24"/>
                <w:highlight w:val="none"/>
              </w:rPr>
              <w:t xml:space="preserve">无需提供营业执照等证明材料</w:t>
            </w:r>
            <w:r/>
          </w:p>
        </w:tc>
      </w:tr>
    </w:tbl>
    <w:p>
      <w:pPr>
        <w:ind w:firstLine="480"/>
        <w:spacing w:line="440" w:lineRule="exact"/>
        <w:rPr>
          <w:color w:val="auto"/>
          <w:sz w:val="24"/>
          <w:highlight w:val="none"/>
        </w:rPr>
      </w:pPr>
      <w:r>
        <w:rPr>
          <w:color w:val="auto"/>
          <w:sz w:val="24"/>
          <w:highlight w:val="none"/>
        </w:rPr>
      </w:r>
      <w:r/>
    </w:p>
    <w:p>
      <w:pPr>
        <w:ind w:firstLine="480"/>
        <w:spacing w:line="440" w:lineRule="exact"/>
        <w:rPr>
          <w:color w:val="auto"/>
          <w:sz w:val="24"/>
          <w:highlight w:val="none"/>
        </w:rPr>
      </w:pPr>
      <w:r>
        <w:rPr>
          <w:color w:val="auto"/>
          <w:sz w:val="24"/>
          <w:highlight w:val="none"/>
        </w:rPr>
      </w:r>
      <w:r/>
    </w:p>
    <w:p>
      <w:pPr>
        <w:rPr>
          <w:color w:val="auto"/>
          <w:highlight w:val="none"/>
        </w:rPr>
      </w:pPr>
      <w:r>
        <w:rPr>
          <w:color w:val="auto"/>
          <w:highlight w:val="none"/>
        </w:rPr>
        <w:br w:type="page" w:clear="all"/>
      </w:r>
      <w:r/>
    </w:p>
    <w:p>
      <w:pPr>
        <w:pStyle w:val="922"/>
        <w:spacing w:before="0" w:after="0" w:line="360" w:lineRule="auto"/>
        <w:rPr>
          <w:color w:val="auto"/>
          <w:highlight w:val="none"/>
        </w:rPr>
      </w:pPr>
      <w:r/>
      <w:bookmarkStart w:id="138" w:name="_Toc10782"/>
      <w:r>
        <w:rPr>
          <w:rFonts w:hint="eastAsia"/>
          <w:b w:val="0"/>
          <w:color w:val="auto"/>
          <w:highlight w:val="none"/>
        </w:rPr>
        <w:t xml:space="preserve">三、法人授权书</w:t>
      </w:r>
      <w:bookmarkEnd w:id="138"/>
      <w:r/>
      <w:r/>
    </w:p>
    <w:p>
      <w:pPr>
        <w:pStyle w:val="1006"/>
        <w:ind w:firstLine="480"/>
        <w:spacing w:line="600" w:lineRule="exact"/>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lang w:eastAsia="zh-CN"/>
        </w:rPr>
        <w:t xml:space="preserve">JSZC-321323-JSZC-G2026-0007</w:t>
      </w:r>
      <w:r>
        <w:rPr>
          <w:rFonts w:hint="eastAsia"/>
          <w:color w:val="auto"/>
          <w:sz w:val="24"/>
          <w:szCs w:val="24"/>
          <w:highlight w:val="none"/>
        </w:rPr>
        <w:t xml:space="preserve">号项目采购活动的合法代理人，以本单位名义全权处理一切与该项目采购有关的事务。</w:t>
      </w:r>
      <w:r/>
    </w:p>
    <w:p>
      <w:pPr>
        <w:pStyle w:val="1006"/>
        <w:ind w:firstLine="480"/>
        <w:spacing w:line="600" w:lineRule="exact"/>
        <w:rPr>
          <w:color w:val="auto"/>
          <w:sz w:val="24"/>
          <w:szCs w:val="24"/>
          <w:highlight w:val="none"/>
        </w:rPr>
      </w:pPr>
      <w:r>
        <w:rPr>
          <w:rFonts w:hint="eastAsia"/>
          <w:color w:val="auto"/>
          <w:sz w:val="24"/>
          <w:szCs w:val="24"/>
          <w:highlight w:val="none"/>
        </w:rPr>
        <w:t xml:space="preserve">本授权书于______年____月____日起生效，特此声明。</w:t>
      </w:r>
      <w:r/>
    </w:p>
    <w:p>
      <w:pPr>
        <w:pStyle w:val="1006"/>
        <w:ind w:firstLine="0"/>
        <w:spacing w:line="600" w:lineRule="exact"/>
        <w:rPr>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06"/>
        <w:ind w:firstLine="0"/>
        <w:spacing w:line="600" w:lineRule="exact"/>
        <w:rPr>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pStyle w:val="1006"/>
        <w:ind w:firstLine="1200"/>
        <w:spacing w:line="600" w:lineRule="exact"/>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pStyle w:val="1006"/>
        <w:ind w:firstLine="480"/>
        <w:spacing w:line="600" w:lineRule="exact"/>
        <w:rPr>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06"/>
        <w:ind w:firstLine="480"/>
        <w:spacing w:line="600" w:lineRule="exact"/>
        <w:rPr>
          <w:color w:val="auto"/>
          <w:sz w:val="24"/>
          <w:szCs w:val="24"/>
          <w:highlight w:val="none"/>
        </w:rPr>
      </w:pPr>
      <w:r>
        <w:rPr>
          <w:rFonts w:hint="eastAsia"/>
          <w:color w:val="auto"/>
          <w:sz w:val="24"/>
          <w:szCs w:val="24"/>
          <w:highlight w:val="none"/>
        </w:rPr>
        <w:t xml:space="preserve">      日期：</w:t>
      </w:r>
      <w:bookmarkStart w:id="139" w:name="_Hlt26671380"/>
      <w:r/>
      <w:bookmarkEnd w:id="139"/>
      <w:r/>
      <w:bookmarkStart w:id="140" w:name="_Hlt26955070"/>
      <w:r/>
      <w:bookmarkEnd w:id="140"/>
      <w:r/>
      <w:bookmarkStart w:id="141" w:name="_格式3__银行出具的资信证明"/>
      <w:r/>
      <w:bookmarkEnd w:id="141"/>
      <w:r>
        <w:rPr>
          <w:rFonts w:hint="eastAsia"/>
          <w:color w:val="auto"/>
          <w:sz w:val="24"/>
          <w:szCs w:val="24"/>
          <w:highlight w:val="none"/>
          <w:u w:val="single"/>
        </w:rPr>
        <w:t xml:space="preserve">                                         </w:t>
      </w:r>
      <w:r/>
    </w:p>
    <w:p>
      <w:pPr>
        <w:pStyle w:val="923"/>
        <w:rPr>
          <w:i/>
          <w:color w:val="auto"/>
          <w:sz w:val="24"/>
          <w:szCs w:val="24"/>
          <w:highlight w:val="none"/>
          <w:u w:val="single"/>
        </w:rPr>
      </w:pPr>
      <w:r>
        <w:rPr>
          <w:i/>
          <w:color w:val="auto"/>
          <w:sz w:val="24"/>
          <w:szCs w:val="24"/>
          <w:highlight w:val="none"/>
          <w:u w:val="single"/>
        </w:rPr>
      </w:r>
      <w:r/>
    </w:p>
    <w:p>
      <w:pPr>
        <w:pStyle w:val="923"/>
        <w:ind w:firstLine="0"/>
        <w:rPr>
          <w:color w:val="auto"/>
          <w:highlight w:val="none"/>
        </w:rPr>
      </w:pPr>
      <w:r>
        <w:rPr>
          <w:color w:val="auto"/>
          <w:highlight w:val="none"/>
        </w:rPr>
      </w:r>
      <w:r/>
    </w:p>
    <w:p>
      <w:pPr>
        <w:spacing w:line="460" w:lineRule="exact"/>
        <w:rPr>
          <w:rFonts w:eastAsia="楷体"/>
          <w:bCs/>
          <w:color w:val="auto"/>
          <w:sz w:val="24"/>
          <w:szCs w:val="24"/>
          <w:highlight w:val="none"/>
        </w:rPr>
      </w:pPr>
      <w:r>
        <w:rPr>
          <w:rFonts w:eastAsia="楷体"/>
          <w:bCs/>
          <w:color w:val="auto"/>
          <w:sz w:val="24"/>
          <w:szCs w:val="24"/>
          <w:highlight w:val="none"/>
        </w:rPr>
      </w:r>
      <w:r/>
    </w:p>
    <w:p>
      <w:pPr>
        <w:spacing w:line="460" w:lineRule="exact"/>
        <w:rPr>
          <w:bCs/>
          <w:color w:val="auto"/>
          <w:sz w:val="24"/>
          <w:highlight w:val="none"/>
        </w:rPr>
      </w:pPr>
      <w:r>
        <w:rPr>
          <w:bCs/>
          <w:color w:val="auto"/>
          <w:sz w:val="24"/>
          <w:highlight w:val="none"/>
        </w:rPr>
      </w:r>
      <w:r/>
    </w:p>
    <w:p>
      <w:pPr>
        <w:pStyle w:val="922"/>
        <w:spacing w:before="0" w:after="0" w:line="360" w:lineRule="auto"/>
        <w:rPr>
          <w:b w:val="0"/>
          <w:color w:val="auto"/>
          <w:highlight w:val="none"/>
        </w:rPr>
      </w:pPr>
      <w:r>
        <w:rPr>
          <w:bCs w:val="0"/>
          <w:color w:val="auto"/>
          <w:sz w:val="24"/>
          <w:highlight w:val="none"/>
        </w:rPr>
        <w:br w:type="page" w:clear="all"/>
      </w:r>
      <w:bookmarkStart w:id="142" w:name="_Toc8938"/>
      <w:r>
        <w:rPr>
          <w:rFonts w:hint="eastAsia"/>
          <w:b w:val="0"/>
          <w:color w:val="auto"/>
          <w:highlight w:val="none"/>
        </w:rPr>
        <w:t xml:space="preserve">四、开标一览表（单价）</w:t>
      </w:r>
      <w:bookmarkEnd w:id="142"/>
      <w:r/>
      <w:r/>
    </w:p>
    <w:p>
      <w:pPr>
        <w:ind w:firstLine="482"/>
        <w:spacing w:line="600" w:lineRule="exact"/>
        <w:rPr>
          <w:color w:val="auto"/>
          <w:sz w:val="24"/>
          <w:szCs w:val="24"/>
          <w:highlight w:val="none"/>
        </w:rPr>
      </w:pPr>
      <w:r>
        <w:rPr>
          <w:rFonts w:hint="eastAsia"/>
          <w:color w:val="auto"/>
          <w:sz w:val="24"/>
          <w:szCs w:val="24"/>
          <w:highlight w:val="none"/>
        </w:rPr>
        <w:t xml:space="preserve">投标人全称（加盖CA电子签章）：</w:t>
      </w:r>
      <w:r/>
    </w:p>
    <w:p>
      <w:pPr>
        <w:ind w:firstLine="482"/>
        <w:spacing w:line="600" w:lineRule="exact"/>
        <w:rPr>
          <w:color w:val="auto"/>
          <w:sz w:val="24"/>
          <w:szCs w:val="24"/>
          <w:highlight w:val="none"/>
        </w:rPr>
      </w:pPr>
      <w:r>
        <w:rPr>
          <w:rFonts w:hint="eastAsia"/>
          <w:color w:val="auto"/>
          <w:sz w:val="24"/>
          <w:szCs w:val="24"/>
          <w:highlight w:val="none"/>
        </w:rPr>
        <w:t xml:space="preserve">项目名称：泗阳县市场监督管理局2026年食品检验检测承检机构采购项目</w:t>
      </w:r>
      <w:r/>
    </w:p>
    <w:p>
      <w:pPr>
        <w:ind w:firstLine="482"/>
        <w:spacing w:line="600" w:lineRule="exact"/>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JSZC-321323-JSZC-G2026-0007</w:t>
      </w:r>
      <w:r/>
    </w:p>
    <w:p>
      <w:pPr>
        <w:ind w:firstLine="482"/>
        <w:spacing w:line="600" w:lineRule="exact"/>
        <w:rPr>
          <w:color w:val="auto"/>
          <w:sz w:val="24"/>
          <w:szCs w:val="24"/>
          <w:highlight w:val="none"/>
        </w:rPr>
      </w:pPr>
      <w:r>
        <w:rPr>
          <w:rFonts w:hint="eastAsia"/>
          <w:color w:val="auto"/>
          <w:sz w:val="24"/>
          <w:szCs w:val="24"/>
          <w:highlight w:val="none"/>
        </w:rPr>
        <w:t xml:space="preserve">分包号：采购包*                         </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color w:val="auto"/>
                <w:sz w:val="24"/>
                <w:szCs w:val="24"/>
                <w:highlight w:val="none"/>
              </w:rPr>
            </w:pPr>
            <w:r>
              <w:rPr>
                <w:rFonts w:hint="eastAsia" w:cs="宋体"/>
                <w:color w:val="auto"/>
                <w:sz w:val="24"/>
                <w:szCs w:val="24"/>
                <w:highlight w:val="none"/>
              </w:rPr>
              <w:t xml:space="preserve">                     </w:t>
            </w:r>
            <w:r>
              <w:rPr>
                <w:rFonts w:ascii="宋体" w:hAnsi="宋体" w:cs="宋体"/>
                <w:color w:val="auto"/>
                <w:sz w:val="24"/>
                <w:szCs w:val="24"/>
                <w:highlight w:val="none"/>
              </w:rPr>
              <w:t xml:space="preserve">投标总报价（单价）</w:t>
            </w:r>
            <w:r/>
          </w:p>
        </w:tc>
      </w:tr>
      <w:tr>
        <w:trPr>
          <w:cantSplit/>
          <w:trHeight w:val="612"/>
        </w:trPr>
        <w:tc>
          <w:tcPr>
            <w:tcW w:w="8206" w:type="dxa"/>
            <w:vAlign w:val="center"/>
            <w:textDirection w:val="lrTb"/>
            <w:noWrap w:val="false"/>
          </w:tcPr>
          <w:p>
            <w:pPr>
              <w:pStyle w:val="1008"/>
              <w:ind w:firstLine="0"/>
              <w:spacing w:before="0" w:after="0" w:line="500" w:lineRule="exact"/>
              <w:rPr>
                <w:rFonts w:ascii="Times New Roman" w:hAnsi="Times New Roman"/>
                <w:color w:val="auto"/>
                <w:szCs w:val="21"/>
                <w:highlight w:val="none"/>
              </w:rPr>
            </w:pPr>
            <w:r>
              <w:rPr>
                <w:rFonts w:hint="eastAsia" w:ascii="Times New Roman" w:hAnsi="Times New Roman" w:cs="宋体"/>
                <w:color w:val="auto"/>
                <w:highlight w:val="none"/>
              </w:rPr>
              <w:t xml:space="preserve">小写：                             （人民币：元）</w:t>
            </w:r>
            <w:r/>
          </w:p>
        </w:tc>
      </w:tr>
      <w:tr>
        <w:trPr>
          <w:cantSplit/>
          <w:trHeight w:val="612"/>
        </w:trPr>
        <w:tc>
          <w:tcPr>
            <w:tcW w:w="8206" w:type="dxa"/>
            <w:vAlign w:val="center"/>
            <w:textDirection w:val="lrTb"/>
            <w:noWrap w:val="false"/>
          </w:tcPr>
          <w:p>
            <w:pPr>
              <w:pStyle w:val="1008"/>
              <w:ind w:firstLine="0"/>
              <w:spacing w:before="0" w:after="0" w:line="500" w:lineRule="exact"/>
              <w:rPr>
                <w:rFonts w:ascii="Times New Roman" w:hAnsi="Times New Roman" w:cs="宋体"/>
                <w:color w:val="auto"/>
                <w:highlight w:val="none"/>
              </w:rPr>
            </w:pPr>
            <w:r>
              <w:rPr>
                <w:rFonts w:hint="eastAsia" w:ascii="Times New Roman" w:hAnsi="Times New Roman" w:cs="宋体"/>
                <w:color w:val="auto"/>
                <w:highlight w:val="none"/>
              </w:rPr>
              <w:t xml:space="preserve">备注：</w:t>
            </w:r>
            <w:r/>
          </w:p>
        </w:tc>
      </w:tr>
    </w:tbl>
    <w:p>
      <w:pPr>
        <w:rPr>
          <w:color w:val="auto"/>
          <w:sz w:val="24"/>
          <w:szCs w:val="24"/>
          <w:highlight w:val="none"/>
        </w:rPr>
      </w:pPr>
      <w:r>
        <w:rPr>
          <w:color w:val="auto"/>
          <w:sz w:val="24"/>
          <w:szCs w:val="24"/>
          <w:highlight w:val="none"/>
        </w:rPr>
      </w:r>
      <w:r/>
    </w:p>
    <w:p>
      <w:pPr>
        <w:ind w:firstLine="480"/>
        <w:rPr>
          <w:color w:val="auto"/>
          <w:sz w:val="24"/>
          <w:szCs w:val="24"/>
          <w:highlight w:val="none"/>
        </w:rPr>
      </w:pPr>
      <w:r>
        <w:rPr>
          <w:rFonts w:hint="eastAsia"/>
          <w:color w:val="auto"/>
          <w:sz w:val="24"/>
          <w:szCs w:val="24"/>
          <w:highlight w:val="none"/>
        </w:rPr>
        <w:t xml:space="preserve">                                             日期：  </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ind w:firstLine="480"/>
        <w:rPr>
          <w:color w:val="auto"/>
          <w:sz w:val="24"/>
          <w:szCs w:val="24"/>
          <w:highlight w:val="none"/>
        </w:rPr>
      </w:pPr>
      <w:r>
        <w:rPr>
          <w:color w:val="auto"/>
          <w:sz w:val="24"/>
          <w:szCs w:val="24"/>
          <w:highlight w:val="none"/>
        </w:rPr>
      </w:r>
      <w:r/>
    </w:p>
    <w:p>
      <w:pPr>
        <w:ind w:firstLine="480"/>
        <w:rPr>
          <w:color w:val="auto"/>
          <w:sz w:val="24"/>
          <w:szCs w:val="24"/>
          <w:highlight w:val="none"/>
        </w:rPr>
      </w:pPr>
      <w:r>
        <w:rPr>
          <w:color w:val="auto"/>
          <w:sz w:val="24"/>
          <w:szCs w:val="24"/>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bCs/>
          <w:color w:val="auto"/>
          <w:sz w:val="24"/>
          <w:highlight w:val="none"/>
        </w:rPr>
      </w:pPr>
      <w:r>
        <w:rPr>
          <w:rFonts w:hint="eastAsia"/>
          <w:color w:val="auto"/>
          <w:highlight w:val="none"/>
        </w:rPr>
        <w:br w:type="page" w:clear="all"/>
      </w:r>
      <w:r/>
    </w:p>
    <w:p>
      <w:pPr>
        <w:pStyle w:val="922"/>
        <w:spacing w:before="0" w:after="0" w:line="360" w:lineRule="auto"/>
        <w:rPr>
          <w:b w:val="0"/>
          <w:color w:val="auto"/>
          <w:highlight w:val="none"/>
        </w:rPr>
      </w:pPr>
      <w:r/>
      <w:bookmarkStart w:id="143" w:name="_Toc23103"/>
      <w:r>
        <w:rPr>
          <w:rFonts w:hint="eastAsia"/>
          <w:b w:val="0"/>
          <w:color w:val="auto"/>
          <w:highlight w:val="none"/>
        </w:rPr>
        <w:t xml:space="preserve">五、投标报价明细表</w:t>
      </w:r>
      <w:bookmarkEnd w:id="143"/>
      <w:r/>
      <w:r/>
    </w:p>
    <w:tbl>
      <w:tblPr>
        <w:tblStyle w:val="717"/>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704"/>
        <w:gridCol w:w="1134"/>
        <w:gridCol w:w="1418"/>
        <w:gridCol w:w="1559"/>
        <w:gridCol w:w="1290"/>
      </w:tblGrid>
      <w:tr>
        <w:trPr>
          <w:cantSplit/>
          <w:trHeight w:val="820"/>
        </w:trPr>
        <w:tc>
          <w:tcPr>
            <w:tcW w:w="948" w:type="dxa"/>
            <w:vAlign w:val="center"/>
            <w:vMerge w:val="restart"/>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70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3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2</w:t>
            </w:r>
            <w:r/>
          </w:p>
        </w:tc>
        <w:tc>
          <w:tcPr>
            <w:tcW w:w="141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3</w:t>
            </w:r>
            <w:r/>
          </w:p>
        </w:tc>
        <w:tc>
          <w:tcPr>
            <w:tcW w:w="1559"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4</w:t>
            </w:r>
            <w:r/>
          </w:p>
        </w:tc>
        <w:tc>
          <w:tcPr>
            <w:tcW w:w="129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5</w:t>
            </w:r>
            <w:r/>
          </w:p>
        </w:tc>
      </w:tr>
      <w:tr>
        <w:trPr>
          <w:cantSplit/>
          <w:trHeight w:val="840"/>
        </w:trPr>
        <w:tc>
          <w:tcPr>
            <w:tcW w:w="948"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270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服务费用简述</w:t>
            </w:r>
            <w:r/>
          </w:p>
        </w:tc>
        <w:tc>
          <w:tcPr>
            <w:tcW w:w="113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41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单价（元）</w:t>
            </w:r>
            <w:r/>
          </w:p>
        </w:tc>
        <w:tc>
          <w:tcPr>
            <w:tcW w:w="155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总价（元）</w:t>
            </w:r>
            <w:r/>
          </w:p>
        </w:tc>
        <w:tc>
          <w:tcPr>
            <w:tcW w:w="12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1532"/>
        </w:trPr>
        <w:tc>
          <w:tcPr>
            <w:tcW w:w="94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70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检验费用</w:t>
            </w:r>
            <w:r/>
          </w:p>
        </w:tc>
        <w:tc>
          <w:tcPr>
            <w:tcW w:w="1134"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400</w:t>
            </w:r>
            <w:r/>
          </w:p>
        </w:tc>
        <w:tc>
          <w:tcPr>
            <w:tcW w:w="141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640</w:t>
            </w:r>
            <w:r/>
          </w:p>
        </w:tc>
        <w:tc>
          <w:tcPr>
            <w:tcW w:w="155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256000</w:t>
            </w:r>
            <w:r/>
          </w:p>
        </w:tc>
        <w:tc>
          <w:tcPr>
            <w:tcW w:w="1290" w:type="dxa"/>
            <w:vAlign w:val="center"/>
            <w:vMerge w:val="restart"/>
            <w:textDirection w:val="lrTb"/>
            <w:noWrap w:val="false"/>
          </w:tcPr>
          <w:p>
            <w:pPr>
              <w:jc w:val="center"/>
              <w:spacing w:line="0" w:lineRule="atLeast"/>
              <w:rPr>
                <w:rFonts w:ascii="宋体" w:hAnsi="宋体"/>
                <w:color w:val="auto"/>
                <w:sz w:val="24"/>
                <w:szCs w:val="24"/>
                <w:highlight w:val="none"/>
              </w:rPr>
            </w:pPr>
            <w:r>
              <w:rPr>
                <w:rFonts w:hint="eastAsia" w:ascii="Calibri" w:hAnsi="宋体" w:cs="宋体"/>
                <w:color w:val="auto"/>
                <w:sz w:val="24"/>
                <w:szCs w:val="24"/>
                <w:highlight w:val="none"/>
                <w:lang w:val="zh-CN"/>
              </w:rPr>
              <w:t xml:space="preserve">本项目价格为固定价格：</w:t>
            </w:r>
            <w:r>
              <w:rPr>
                <w:rFonts w:hint="eastAsia" w:ascii="Calibri" w:hAnsi="宋体" w:cs="宋体"/>
                <w:color w:val="auto"/>
                <w:sz w:val="24"/>
                <w:szCs w:val="24"/>
                <w:highlight w:val="none"/>
              </w:rPr>
              <w:t xml:space="preserve">700</w:t>
            </w:r>
            <w:r>
              <w:rPr>
                <w:rFonts w:hint="eastAsia" w:ascii="Calibri" w:hAnsi="宋体" w:cs="宋体"/>
                <w:color w:val="auto"/>
                <w:sz w:val="24"/>
                <w:szCs w:val="24"/>
                <w:highlight w:val="none"/>
                <w:lang w:val="zh-CN"/>
              </w:rPr>
              <w:t xml:space="preserve">元/批次。其中：检验费用</w:t>
            </w:r>
            <w:r>
              <w:rPr>
                <w:rFonts w:hint="eastAsia" w:ascii="Calibri" w:hAnsi="宋体" w:cs="宋体"/>
                <w:color w:val="auto"/>
                <w:sz w:val="24"/>
                <w:szCs w:val="24"/>
                <w:highlight w:val="none"/>
              </w:rPr>
              <w:t xml:space="preserve">640</w:t>
            </w:r>
            <w:r>
              <w:rPr>
                <w:rFonts w:hint="eastAsia" w:ascii="Calibri" w:hAnsi="宋体" w:cs="宋体"/>
                <w:color w:val="auto"/>
                <w:sz w:val="24"/>
                <w:szCs w:val="24"/>
                <w:highlight w:val="none"/>
                <w:lang w:val="zh-CN"/>
              </w:rPr>
              <w:t xml:space="preserve">元/批次，购样费用按照实际支出支付，平均不得高于60元/批次。</w:t>
            </w:r>
            <w:r/>
          </w:p>
        </w:tc>
      </w:tr>
      <w:tr>
        <w:trPr>
          <w:cantSplit/>
          <w:trHeight w:val="1383"/>
        </w:trPr>
        <w:tc>
          <w:tcPr>
            <w:tcW w:w="94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704" w:type="dxa"/>
            <w:vAlign w:val="center"/>
            <w:textDirection w:val="lrTb"/>
            <w:noWrap w:val="false"/>
          </w:tcPr>
          <w:p>
            <w:pPr>
              <w:jc w:val="center"/>
              <w:widowControl/>
              <w:rPr>
                <w:rFonts w:ascii="宋体" w:hAnsi="宋体"/>
                <w:color w:val="auto"/>
                <w:sz w:val="24"/>
                <w:szCs w:val="24"/>
                <w:highlight w:val="none"/>
              </w:rPr>
            </w:pPr>
            <w:r>
              <w:rPr>
                <w:rFonts w:hint="eastAsia" w:ascii="宋体" w:hAnsi="宋体" w:cs="宋体"/>
                <w:color w:val="auto"/>
                <w:sz w:val="24"/>
                <w:szCs w:val="24"/>
                <w:highlight w:val="none"/>
              </w:rPr>
              <w:t xml:space="preserve">购样费用</w:t>
            </w:r>
            <w:r/>
          </w:p>
        </w:tc>
        <w:tc>
          <w:tcPr>
            <w:tcW w:w="113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400</w:t>
            </w:r>
            <w:r/>
          </w:p>
        </w:tc>
        <w:tc>
          <w:tcPr>
            <w:tcW w:w="141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60</w:t>
            </w:r>
            <w:r/>
          </w:p>
        </w:tc>
        <w:tc>
          <w:tcPr>
            <w:tcW w:w="155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24000</w:t>
            </w:r>
            <w:r/>
          </w:p>
        </w:tc>
        <w:tc>
          <w:tcPr>
            <w:tcW w:w="1290"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tcW w:w="2704" w:type="dxa"/>
            <w:vAlign w:val="center"/>
            <w:textDirection w:val="lrTb"/>
            <w:noWrap w:val="false"/>
          </w:tcPr>
          <w:p>
            <w:pPr>
              <w:jc w:val="center"/>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13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700</w:t>
            </w:r>
            <w:r/>
          </w:p>
        </w:tc>
        <w:tc>
          <w:tcPr>
            <w:tcW w:w="1559"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280000</w:t>
            </w:r>
            <w:r/>
          </w:p>
        </w:tc>
        <w:tc>
          <w:tcPr>
            <w:tcW w:w="1290"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trHeight w:val="487"/>
        </w:trPr>
        <w:tc>
          <w:tcPr>
            <w:gridSpan w:val="5"/>
            <w:tcW w:w="7763"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投标总报价（单价）（人民币：元）</w:t>
            </w:r>
            <w:r/>
          </w:p>
        </w:tc>
        <w:tc>
          <w:tcPr>
            <w:tcW w:w="12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700</w:t>
            </w:r>
            <w:r/>
          </w:p>
        </w:tc>
      </w:tr>
    </w:tbl>
    <w:p>
      <w:pPr>
        <w:rPr>
          <w:rFonts w:hint="eastAsia" w:eastAsia="宋体"/>
          <w:color w:val="auto"/>
          <w:sz w:val="24"/>
          <w:szCs w:val="24"/>
          <w:highlight w:val="none"/>
          <w:lang w:eastAsia="zh-CN"/>
        </w:rPr>
      </w:pPr>
      <w:r>
        <w:rPr>
          <w:rFonts w:hint="eastAsia"/>
          <w:color w:val="auto"/>
          <w:sz w:val="24"/>
          <w:szCs w:val="24"/>
          <w:highlight w:val="none"/>
        </w:rPr>
        <w:t xml:space="preserve">备注：1.“投标总报价”应包括本项目服务过程中所发生的一切费用，包括但不限于投标报价、培训费用、人工费等以及为完成招标文件规定的技术支撑服务工作所涉及到的一切相关费用。</w:t>
      </w:r>
      <w:r>
        <w:rPr>
          <w:rFonts w:hint="eastAsia"/>
          <w:color w:val="auto"/>
          <w:sz w:val="24"/>
          <w:szCs w:val="24"/>
          <w:highlight w:val="none"/>
          <w:lang w:eastAsia="zh-CN"/>
        </w:rPr>
        <w:t xml:space="preserve">（</w:t>
      </w:r>
      <w:r>
        <w:rPr>
          <w:rFonts w:hint="eastAsia" w:ascii="宋体" w:hAnsi="宋体"/>
          <w:color w:val="ff0000"/>
          <w:sz w:val="24"/>
          <w:szCs w:val="24"/>
          <w:highlight w:val="none"/>
          <w:lang w:val="en-US" w:eastAsia="zh-CN"/>
        </w:rPr>
        <w:t xml:space="preserve">采购包4数量为300，在编制表格时，单价不变，总价对应调整</w:t>
      </w:r>
      <w:r>
        <w:rPr>
          <w:rFonts w:hint="eastAsia"/>
          <w:color w:val="auto"/>
          <w:sz w:val="24"/>
          <w:szCs w:val="24"/>
          <w:highlight w:val="none"/>
          <w:lang w:eastAsia="zh-CN"/>
        </w:rPr>
        <w:t xml:space="preserve">）</w:t>
      </w:r>
      <w:r/>
    </w:p>
    <w:p>
      <w:pPr>
        <w:rPr>
          <w:color w:val="auto"/>
          <w:sz w:val="24"/>
          <w:szCs w:val="24"/>
          <w:highlight w:val="none"/>
        </w:rPr>
      </w:pPr>
      <w:r>
        <w:rPr>
          <w:rFonts w:hint="eastAsia"/>
          <w:color w:val="auto"/>
          <w:sz w:val="24"/>
          <w:szCs w:val="24"/>
          <w:highlight w:val="none"/>
        </w:rPr>
        <w:t xml:space="preserve">2. “投标分项报价表”中“投标总报价（单价）”数额应当与“开标一览表”中“投标总报价（单价）”数额一致。</w:t>
      </w:r>
      <w:r/>
    </w:p>
    <w:p>
      <w:pPr>
        <w:pStyle w:val="922"/>
        <w:spacing w:before="0" w:after="0" w:line="360" w:lineRule="auto"/>
        <w:rPr>
          <w:b w:val="0"/>
          <w:color w:val="auto"/>
          <w:highlight w:val="none"/>
        </w:rPr>
      </w:pPr>
      <w:r>
        <w:rPr>
          <w:rFonts w:cs="宋体"/>
          <w:strike/>
          <w:color w:val="auto"/>
          <w:highlight w:val="none"/>
        </w:rPr>
        <w:br w:type="page" w:clear="all"/>
      </w:r>
      <w:bookmarkStart w:id="144" w:name="_Toc6726"/>
      <w:r>
        <w:rPr>
          <w:rFonts w:hint="eastAsia"/>
          <w:b w:val="0"/>
          <w:color w:val="auto"/>
          <w:highlight w:val="none"/>
        </w:rPr>
        <w:t xml:space="preserve">六、中小企业声明函（服务）</w:t>
      </w:r>
      <w:bookmarkEnd w:id="144"/>
      <w:r/>
      <w:r/>
    </w:p>
    <w:p>
      <w:pPr>
        <w:ind w:firstLine="360"/>
        <w:spacing w:line="360" w:lineRule="auto"/>
        <w:rPr>
          <w:color w:val="auto"/>
          <w:sz w:val="24"/>
          <w:szCs w:val="24"/>
          <w:highlight w:val="none"/>
        </w:rPr>
      </w:pPr>
      <w:r>
        <w:rPr>
          <w:color w:val="auto"/>
          <w:sz w:val="24"/>
          <w:szCs w:val="24"/>
          <w:highlight w:val="none"/>
        </w:rPr>
      </w:r>
      <w:r/>
    </w:p>
    <w:p>
      <w:pPr>
        <w:ind w:firstLine="360"/>
        <w:spacing w:line="360" w:lineRule="auto"/>
        <w:rPr>
          <w:color w:val="auto"/>
          <w:sz w:val="24"/>
          <w:szCs w:val="24"/>
          <w:highlight w:val="none"/>
          <w:u w:val="single"/>
        </w:rPr>
      </w:pPr>
      <w:r>
        <w:rPr>
          <w:rFonts w:hint="eastAsia"/>
          <w:color w:val="auto"/>
          <w:sz w:val="24"/>
          <w:szCs w:val="24"/>
          <w:highlight w:val="none"/>
        </w:rPr>
        <w:t xml:space="preserve">本公司（联合体）郑重声明，根据《政府采购促进中小企业发展管理办法》(财库[2020]46号)的规定，本公司（联合体）参加江苏省政府采购代理机构组织的</w:t>
      </w:r>
      <w:r>
        <w:rPr>
          <w:rFonts w:hint="eastAsia"/>
          <w:color w:val="auto"/>
          <w:sz w:val="24"/>
          <w:szCs w:val="24"/>
          <w:highlight w:val="none"/>
          <w:u w:val="single"/>
        </w:rPr>
        <w:t xml:space="preserve">（单位名称）</w:t>
      </w:r>
      <w:r>
        <w:rPr>
          <w:rFonts w:hint="eastAsia"/>
          <w:color w:val="auto"/>
          <w:sz w:val="24"/>
          <w:szCs w:val="24"/>
          <w:highlight w:val="none"/>
        </w:rPr>
        <w:t xml:space="preserve">采购编号为</w:t>
      </w:r>
      <w:r>
        <w:rPr>
          <w:rFonts w:hint="eastAsia"/>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u w:val="single"/>
        </w:rPr>
        <w:t xml:space="preserve">泗阳县市场监督管理局2026年食品检验检测承检机构采购项目</w:t>
      </w:r>
      <w:r>
        <w:rPr>
          <w:rFonts w:hint="eastAsia"/>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i/>
          <w:color w:val="auto"/>
          <w:sz w:val="24"/>
          <w:szCs w:val="24"/>
          <w:highlight w:val="none"/>
          <w:u w:val="single"/>
        </w:rPr>
      </w:pPr>
      <w:r>
        <w:rPr>
          <w:rFonts w:hint="eastAsia"/>
          <w:color w:val="auto"/>
          <w:sz w:val="24"/>
          <w:szCs w:val="24"/>
          <w:highlight w:val="none"/>
        </w:rPr>
        <w:t xml:space="preserve">1.</w:t>
      </w:r>
      <w:r>
        <w:rPr>
          <w:rFonts w:hint="eastAsia"/>
          <w:color w:val="auto"/>
          <w:sz w:val="24"/>
          <w:szCs w:val="24"/>
          <w:highlight w:val="none"/>
          <w:u w:val="single"/>
        </w:rPr>
        <w:t xml:space="preserve">（标的名称）</w:t>
      </w:r>
      <w:r>
        <w:rPr>
          <w:rFonts w:hint="eastAsia"/>
          <w:i/>
          <w:color w:val="auto"/>
          <w:sz w:val="24"/>
          <w:szCs w:val="24"/>
          <w:highlight w:val="none"/>
        </w:rPr>
        <w:t xml:space="preserve">，</w:t>
      </w:r>
      <w:r>
        <w:rPr>
          <w:rFonts w:hint="eastAsia"/>
          <w:color w:val="auto"/>
          <w:sz w:val="24"/>
          <w:szCs w:val="24"/>
          <w:highlight w:val="none"/>
        </w:rPr>
        <w:t xml:space="preserve">属于</w:t>
      </w:r>
      <w:r>
        <w:rPr>
          <w:rFonts w:hint="eastAsia"/>
          <w:color w:val="auto"/>
          <w:sz w:val="24"/>
          <w:szCs w:val="24"/>
          <w:highlight w:val="none"/>
          <w:u w:val="single"/>
        </w:rPr>
        <w:t xml:space="preserve">       </w:t>
      </w:r>
      <w:r>
        <w:rPr>
          <w:rFonts w:hint="eastAsia"/>
          <w:color w:val="auto"/>
          <w:sz w:val="24"/>
          <w:szCs w:val="24"/>
          <w:highlight w:val="none"/>
        </w:rPr>
        <w:t xml:space="preserve">行业；承接企业为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hint="eastAsia"/>
          <w:color w:val="auto"/>
          <w:sz w:val="24"/>
          <w:szCs w:val="24"/>
          <w:highlight w:val="none"/>
          <w:u w:val="single"/>
        </w:rPr>
        <w:t xml:space="preserve">（中型企业、小型企业、微型企业）；</w:t>
      </w:r>
      <w:r/>
    </w:p>
    <w:p>
      <w:pPr>
        <w:ind w:firstLine="360"/>
        <w:spacing w:line="360" w:lineRule="auto"/>
        <w:rPr>
          <w:i/>
          <w:color w:val="auto"/>
          <w:sz w:val="24"/>
          <w:szCs w:val="24"/>
          <w:highlight w:val="none"/>
          <w:u w:val="single"/>
        </w:rPr>
      </w:pPr>
      <w:r>
        <w:rPr>
          <w:rFonts w:hint="eastAsia"/>
          <w:color w:val="auto"/>
          <w:sz w:val="24"/>
          <w:szCs w:val="24"/>
          <w:highlight w:val="none"/>
        </w:rPr>
        <w:t xml:space="preserve">2.</w:t>
      </w:r>
      <w:r>
        <w:rPr>
          <w:rFonts w:hint="eastAsia"/>
          <w:color w:val="auto"/>
          <w:sz w:val="24"/>
          <w:szCs w:val="24"/>
          <w:highlight w:val="none"/>
          <w:u w:val="single"/>
        </w:rPr>
        <w:t xml:space="preserve">（标的名称）</w:t>
      </w:r>
      <w:r>
        <w:rPr>
          <w:rFonts w:hint="eastAsia"/>
          <w:i/>
          <w:color w:val="auto"/>
          <w:sz w:val="24"/>
          <w:szCs w:val="24"/>
          <w:highlight w:val="none"/>
        </w:rPr>
        <w:t xml:space="preserve">，</w:t>
      </w:r>
      <w:r>
        <w:rPr>
          <w:rFonts w:hint="eastAsia"/>
          <w:color w:val="auto"/>
          <w:sz w:val="24"/>
          <w:szCs w:val="24"/>
          <w:highlight w:val="none"/>
        </w:rPr>
        <w:t xml:space="preserve">属于</w:t>
      </w:r>
      <w:r>
        <w:rPr>
          <w:rFonts w:hint="eastAsia"/>
          <w:color w:val="auto"/>
          <w:sz w:val="24"/>
          <w:szCs w:val="24"/>
          <w:highlight w:val="none"/>
          <w:u w:val="single"/>
        </w:rPr>
        <w:t xml:space="preserve">       </w:t>
      </w:r>
      <w:r>
        <w:rPr>
          <w:rFonts w:hint="eastAsia"/>
          <w:color w:val="auto"/>
          <w:sz w:val="24"/>
          <w:szCs w:val="24"/>
          <w:highlight w:val="none"/>
        </w:rPr>
        <w:t xml:space="preserve">行业；承接企业为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w:t>
      </w:r>
      <w:r>
        <w:rPr>
          <w:rFonts w:hint="eastAsia"/>
          <w:color w:val="auto"/>
          <w:sz w:val="24"/>
          <w:szCs w:val="24"/>
          <w:highlight w:val="none"/>
          <w:vertAlign w:val="superscript"/>
        </w:rPr>
        <w:t xml:space="preserve">1</w:t>
      </w:r>
      <w:r>
        <w:rPr>
          <w:rFonts w:hint="eastAsia"/>
          <w:color w:val="auto"/>
          <w:sz w:val="24"/>
          <w:szCs w:val="24"/>
          <w:highlight w:val="none"/>
        </w:rPr>
        <w:t xml:space="preserve">，属于</w:t>
      </w:r>
      <w:r>
        <w:rPr>
          <w:rFonts w:hint="eastAsia"/>
          <w:color w:val="auto"/>
          <w:sz w:val="24"/>
          <w:szCs w:val="24"/>
          <w:highlight w:val="none"/>
          <w:u w:val="single"/>
        </w:rPr>
        <w:t xml:space="preserve">（中型企业、小型企业、微型企业）；</w:t>
      </w:r>
      <w:r/>
    </w:p>
    <w:p>
      <w:pPr>
        <w:ind w:firstLine="360"/>
        <w:spacing w:line="360" w:lineRule="auto"/>
        <w:rPr>
          <w:color w:val="auto"/>
          <w:sz w:val="24"/>
          <w:szCs w:val="24"/>
          <w:highlight w:val="none"/>
        </w:rPr>
      </w:pPr>
      <w:r>
        <w:rPr>
          <w:rFonts w:hint="eastAsia"/>
          <w:color w:val="auto"/>
          <w:sz w:val="24"/>
          <w:szCs w:val="24"/>
          <w:highlight w:val="none"/>
        </w:rPr>
        <w:t xml:space="preserve">……</w:t>
      </w:r>
      <w:r/>
    </w:p>
    <w:p>
      <w:pPr>
        <w:ind w:firstLine="357"/>
        <w:spacing w:line="36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357"/>
        <w:spacing w:line="360" w:lineRule="exact"/>
        <w:rPr>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ind w:firstLine="357"/>
        <w:spacing w:line="360" w:lineRule="exact"/>
        <w:rPr>
          <w:color w:val="auto"/>
          <w:sz w:val="24"/>
          <w:szCs w:val="24"/>
          <w:highlight w:val="none"/>
        </w:rPr>
      </w:pPr>
      <w:r>
        <w:rPr>
          <w:rFonts w:hint="eastAsia"/>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spacing w:line="360" w:lineRule="auto"/>
        <w:rPr>
          <w:color w:val="auto"/>
          <w:sz w:val="24"/>
          <w:szCs w:val="24"/>
          <w:highlight w:val="none"/>
        </w:rPr>
      </w:pPr>
      <w:r>
        <w:rPr>
          <w:color w:val="auto"/>
          <w:sz w:val="24"/>
          <w:szCs w:val="24"/>
          <w:highlight w:val="none"/>
        </w:rPr>
      </w:r>
      <w:r/>
    </w:p>
    <w:p>
      <w:pPr>
        <w:ind w:right="180" w:firstLine="360"/>
        <w:jc w:val="right"/>
        <w:spacing w:line="360" w:lineRule="auto"/>
        <w:rPr>
          <w:color w:val="auto"/>
          <w:sz w:val="24"/>
          <w:szCs w:val="24"/>
          <w:highlight w:val="none"/>
        </w:rPr>
      </w:pPr>
      <w:r>
        <w:rPr>
          <w:rFonts w:hint="eastAsia"/>
          <w:color w:val="auto"/>
          <w:sz w:val="24"/>
          <w:szCs w:val="24"/>
          <w:highlight w:val="none"/>
        </w:rPr>
        <w:t xml:space="preserve">企业名称：（加盖CA电子公章）</w:t>
      </w:r>
      <w:r/>
    </w:p>
    <w:p>
      <w:pPr>
        <w:jc w:val="right"/>
        <w:spacing w:line="360" w:lineRule="auto"/>
        <w:rPr>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jc w:val="center"/>
        <w:rPr>
          <w:rFonts w:ascii="黑体" w:hAnsi="黑体" w:eastAsia="黑体"/>
          <w:color w:val="auto"/>
          <w:sz w:val="32"/>
          <w:szCs w:val="32"/>
          <w:highlight w:val="none"/>
        </w:rPr>
      </w:pPr>
      <w:r>
        <w:rPr>
          <w:rFonts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残疾人福利性单位声明函</w:t>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olor w:val="auto"/>
          <w:sz w:val="24"/>
          <w:highlight w:val="none"/>
          <w:u w:val="single"/>
        </w:rPr>
        <w:t xml:space="preserve">     </w:t>
      </w:r>
      <w:r>
        <w:rPr>
          <w:rFonts w:hint="eastAsia"/>
          <w:color w:val="auto"/>
          <w:sz w:val="24"/>
          <w:highlight w:val="none"/>
        </w:rPr>
        <w:t xml:space="preserve">的</w:t>
      </w:r>
      <w:r>
        <w:rPr>
          <w:rFonts w:hint="eastAsia"/>
          <w:color w:val="auto"/>
          <w:sz w:val="24"/>
          <w:highlight w:val="none"/>
          <w:u w:val="single"/>
        </w:rPr>
        <w:t xml:space="preserve">       </w:t>
      </w:r>
      <w:r>
        <w:rPr>
          <w:rFonts w:hint="eastAsia"/>
          <w:color w:val="auto"/>
          <w:sz w:val="24"/>
          <w:highlight w:val="none"/>
        </w:rPr>
        <w:t xml:space="preserve">项目采购活动由本单位提供服务。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39"/>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szCs w:val="24"/>
          <w:highlight w:val="none"/>
        </w:rPr>
      </w:pPr>
      <w:r>
        <w:rPr>
          <w:rFonts w:hint="eastAsia"/>
          <w:color w:val="auto"/>
          <w:sz w:val="24"/>
          <w:szCs w:val="24"/>
          <w:highlight w:val="none"/>
        </w:rPr>
        <w:t xml:space="preserve">企业名称：（加盖CA电子公章）</w:t>
      </w:r>
      <w:r/>
    </w:p>
    <w:p>
      <w:pPr>
        <w:jc w:val="right"/>
        <w:spacing w:line="360" w:lineRule="auto"/>
        <w:rPr>
          <w:color w:val="auto"/>
          <w:sz w:val="24"/>
          <w:szCs w:val="24"/>
          <w:highlight w:val="none"/>
        </w:rPr>
      </w:pPr>
      <w:r>
        <w:rPr>
          <w:rFonts w:hint="eastAsia"/>
          <w:color w:val="auto"/>
          <w:sz w:val="24"/>
          <w:szCs w:val="24"/>
          <w:highlight w:val="none"/>
        </w:rPr>
        <w:t xml:space="preserve">日  期：</w:t>
      </w:r>
      <w:r>
        <w:rPr>
          <w:rFonts w:hint="eastAsia"/>
          <w:color w:val="auto"/>
          <w:sz w:val="24"/>
          <w:szCs w:val="24"/>
          <w:highlight w:val="none"/>
          <w:u w:val="single"/>
        </w:rPr>
        <w:t xml:space="preserve">       </w:t>
      </w:r>
      <w:r>
        <w:rPr>
          <w:rFonts w:hint="eastAsia"/>
          <w:color w:val="auto"/>
          <w:sz w:val="24"/>
          <w:szCs w:val="24"/>
          <w:highlight w:val="none"/>
        </w:rPr>
        <w:t xml:space="preserve">年___月___日</w:t>
      </w:r>
      <w:r/>
    </w:p>
    <w:p>
      <w:pPr>
        <w:pStyle w:val="922"/>
        <w:numPr>
          <w:ilvl w:val="0"/>
          <w:numId w:val="9"/>
        </w:numPr>
        <w:spacing w:before="0" w:after="0" w:line="360" w:lineRule="auto"/>
        <w:rPr>
          <w:rFonts w:hint="eastAsia"/>
          <w:b w:val="0"/>
          <w:color w:val="auto"/>
          <w:highlight w:val="none"/>
        </w:rPr>
      </w:pPr>
      <w:r>
        <w:rPr>
          <w:rFonts w:eastAsia="黑体"/>
          <w:b w:val="0"/>
          <w:color w:val="auto"/>
          <w:highlight w:val="none"/>
        </w:rPr>
        <w:br w:type="page" w:clear="all"/>
      </w:r>
      <w:bookmarkStart w:id="145" w:name="_Toc1682"/>
      <w:r>
        <w:rPr>
          <w:rFonts w:hint="eastAsia"/>
          <w:b w:val="0"/>
          <w:color w:val="auto"/>
          <w:highlight w:val="none"/>
        </w:rPr>
        <w:t xml:space="preserve">技术要求响应及偏离表</w:t>
      </w:r>
      <w:bookmarkEnd w:id="145"/>
      <w:r/>
      <w:r/>
    </w:p>
    <w:p>
      <w:pPr>
        <w:jc w:val="center"/>
        <w:widowControl w:val="off"/>
        <w:rPr>
          <w:rFonts w:hint="default" w:ascii="Calibri" w:hAnsi="Calibri" w:eastAsia="宋体" w:cs="Times New Roman"/>
          <w:color w:val="auto"/>
          <w:sz w:val="32"/>
          <w:szCs w:val="32"/>
          <w:highlight w:val="none"/>
          <w:lang w:val="en-US" w:eastAsia="zh-CN" w:bidi="ar-SA"/>
        </w:rPr>
      </w:pPr>
      <w:r>
        <w:rPr>
          <w:rFonts w:hint="eastAsia" w:ascii="Calibri" w:hAnsi="Calibri" w:eastAsia="宋体" w:cs="Times New Roman"/>
          <w:color w:val="auto"/>
          <w:sz w:val="32"/>
          <w:szCs w:val="32"/>
          <w:highlight w:val="none"/>
          <w:lang w:val="en-US" w:eastAsia="zh-CN" w:bidi="ar-SA"/>
        </w:rPr>
        <w:t xml:space="preserve">技术响应偏离表</w:t>
      </w:r>
      <w:r/>
    </w:p>
    <w:p>
      <w:pPr>
        <w:jc w:val="center"/>
        <w:widowControl w:val="off"/>
        <w:rPr>
          <w:rFonts w:hint="default" w:ascii="宋体" w:hAnsi="宋体" w:eastAsia="宋体" w:cs="Times New Roman"/>
          <w:b/>
          <w:bCs/>
          <w:color w:val="auto"/>
          <w:sz w:val="24"/>
          <w:szCs w:val="28"/>
          <w:highlight w:val="none"/>
          <w:lang w:val="en-US" w:eastAsia="zh-CN" w:bidi="ar-SA"/>
        </w:rPr>
      </w:pPr>
      <w:r>
        <w:rPr>
          <w:rFonts w:hint="default" w:ascii="宋体" w:hAnsi="宋体" w:eastAsia="宋体" w:cs="Times New Roman"/>
          <w:b/>
          <w:bCs/>
          <w:color w:val="auto"/>
          <w:sz w:val="24"/>
          <w:szCs w:val="28"/>
          <w:highlight w:val="none"/>
          <w:lang w:val="en-US" w:eastAsia="zh-CN" w:bidi="ar-SA"/>
        </w:rPr>
      </w:r>
      <w:r/>
    </w:p>
    <w:tbl>
      <w:tblPr>
        <w:tblStyle w:val="717"/>
        <w:tblW w:w="9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2625"/>
        <w:gridCol w:w="2175"/>
        <w:gridCol w:w="2439"/>
      </w:tblGrid>
      <w:tr>
        <w:trPr>
          <w:jc w:val="center"/>
          <w:trHeight w:val="665"/>
        </w:trPr>
        <w:tc>
          <w:tcPr>
            <w:tcW w:w="2374" w:type="dxa"/>
            <w:vAlign w:val="center"/>
            <w:textDirection w:val="lrTb"/>
            <w:noWrap w:val="false"/>
          </w:tcPr>
          <w:p>
            <w:pPr>
              <w:jc w:val="center"/>
              <w:spacing w:before="100" w:beforeAutospacing="1" w:line="560" w:lineRule="exact"/>
              <w:widowControl/>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 xml:space="preserve">招标文件内容</w:t>
            </w:r>
            <w:r/>
          </w:p>
        </w:tc>
        <w:tc>
          <w:tcPr>
            <w:tcW w:w="2625" w:type="dxa"/>
            <w:vAlign w:val="center"/>
            <w:textDirection w:val="lrTb"/>
            <w:noWrap w:val="false"/>
          </w:tcPr>
          <w:p>
            <w:pPr>
              <w:jc w:val="center"/>
              <w:spacing w:before="100" w:beforeAutospacing="1" w:line="560" w:lineRule="exact"/>
              <w:widowControl/>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 xml:space="preserve">投标文件内容</w:t>
            </w:r>
            <w:r/>
          </w:p>
        </w:tc>
        <w:tc>
          <w:tcPr>
            <w:tcW w:w="2175" w:type="dxa"/>
            <w:vAlign w:val="center"/>
            <w:textDirection w:val="lrTb"/>
            <w:noWrap w:val="false"/>
          </w:tcPr>
          <w:p>
            <w:pPr>
              <w:jc w:val="center"/>
              <w:spacing w:before="100" w:beforeAutospacing="1" w:line="560" w:lineRule="exact"/>
              <w:widowControl/>
              <w:rPr>
                <w:rFonts w:hint="eastAsia"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 xml:space="preserve">偏离情况</w:t>
            </w:r>
            <w:r/>
          </w:p>
        </w:tc>
        <w:tc>
          <w:tcPr>
            <w:tcW w:w="2439" w:type="dxa"/>
            <w:vAlign w:val="center"/>
            <w:textDirection w:val="lrTb"/>
            <w:noWrap w:val="false"/>
          </w:tcPr>
          <w:p>
            <w:pPr>
              <w:jc w:val="center"/>
              <w:spacing w:before="100" w:beforeAutospacing="1" w:line="560" w:lineRule="exact"/>
              <w:widowControl/>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 xml:space="preserve">偏离内容及说明</w:t>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17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43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17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43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17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43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17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43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17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43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17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43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17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43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17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43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bl>
    <w:p>
      <w:pPr>
        <w:ind w:firstLine="3480"/>
        <w:jc w:val="left"/>
        <w:spacing w:line="600" w:lineRule="exact"/>
        <w:rPr>
          <w:rFonts w:hint="default" w:ascii="方正小标宋_GBK" w:hAnsi="Times New Roman" w:eastAsia="方正小标宋_GBK" w:cs="Times New Roman"/>
          <w:b/>
          <w:bCs/>
          <w:color w:val="auto"/>
          <w:sz w:val="32"/>
          <w:szCs w:val="32"/>
          <w:highlight w:val="none"/>
        </w:rPr>
      </w:pPr>
      <w:r>
        <w:rPr>
          <w:rFonts w:hint="eastAsia" w:ascii="宋体" w:hAnsi="宋体" w:eastAsia="宋体" w:cs="Times New Roman"/>
          <w:color w:val="auto"/>
          <w:sz w:val="24"/>
          <w:highlight w:val="none"/>
        </w:rPr>
        <w:t xml:space="preserve">单位名称：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w:t>
      </w:r>
      <w:r>
        <w:rPr>
          <w:rFonts w:hint="eastAsia" w:ascii="Times New Roman" w:hAnsi="Times New Roman" w:eastAsia="宋体" w:cs="Times New Roman"/>
          <w:color w:val="auto"/>
          <w:sz w:val="24"/>
          <w:szCs w:val="24"/>
          <w:highlight w:val="none"/>
        </w:rPr>
        <w:t xml:space="preserve">加盖</w:t>
      </w:r>
      <w:r>
        <w:rPr>
          <w:rFonts w:hint="default" w:ascii="Times New Roman" w:hAnsi="Times New Roman" w:eastAsia="宋体" w:cs="Times New Roman"/>
          <w:color w:val="auto"/>
          <w:sz w:val="24"/>
          <w:szCs w:val="24"/>
          <w:highlight w:val="none"/>
        </w:rPr>
        <w:t xml:space="preserve">CA</w:t>
      </w:r>
      <w:r>
        <w:rPr>
          <w:rFonts w:hint="eastAsia" w:ascii="Times New Roman" w:hAnsi="Times New Roman" w:eastAsia="宋体" w:cs="Times New Roman"/>
          <w:color w:val="auto"/>
          <w:sz w:val="24"/>
          <w:szCs w:val="24"/>
          <w:highlight w:val="none"/>
        </w:rPr>
        <w:t xml:space="preserve">电子签章</w:t>
      </w:r>
      <w:r>
        <w:rPr>
          <w:rFonts w:hint="eastAsia" w:ascii="宋体" w:hAnsi="宋体" w:eastAsia="宋体" w:cs="Times New Roman"/>
          <w:color w:val="auto"/>
          <w:sz w:val="24"/>
          <w:highlight w:val="none"/>
        </w:rPr>
        <w:t xml:space="preserve">）</w:t>
      </w:r>
      <w:r/>
    </w:p>
    <w:p>
      <w:pPr>
        <w:ind w:firstLine="482"/>
        <w:jc w:val="both"/>
        <w:widowControl w:val="off"/>
        <w:rPr>
          <w:rFonts w:hint="default" w:ascii="宋体" w:hAnsi="宋体" w:eastAsia="宋体" w:cs="Times New Roman"/>
          <w:b/>
          <w:bCs/>
          <w:color w:val="auto"/>
          <w:sz w:val="24"/>
          <w:szCs w:val="28"/>
          <w:highlight w:val="none"/>
          <w:lang w:val="en-US" w:eastAsia="zh-CN" w:bidi="ar-SA"/>
        </w:rPr>
      </w:pPr>
      <w:r>
        <w:rPr>
          <w:rFonts w:hint="default" w:ascii="宋体" w:hAnsi="宋体" w:eastAsia="宋体" w:cs="Times New Roman"/>
          <w:b/>
          <w:bCs/>
          <w:color w:val="auto"/>
          <w:sz w:val="24"/>
          <w:szCs w:val="28"/>
          <w:highlight w:val="none"/>
          <w:lang w:val="en-US" w:eastAsia="zh-CN" w:bidi="ar-SA"/>
        </w:rPr>
      </w:r>
      <w:r/>
    </w:p>
    <w:p>
      <w:pPr>
        <w:jc w:val="both"/>
        <w:widowControl w:val="off"/>
        <w:rPr>
          <w:rFonts w:hint="default" w:ascii="宋体" w:hAnsi="宋体" w:eastAsia="宋体" w:cs="Times New Roman"/>
          <w:b/>
          <w:bCs/>
          <w:color w:val="auto"/>
          <w:sz w:val="24"/>
          <w:szCs w:val="28"/>
          <w:highlight w:val="none"/>
          <w:lang w:val="en-US" w:eastAsia="zh-CN" w:bidi="ar-SA"/>
        </w:rPr>
      </w:pPr>
      <w:r>
        <w:rPr>
          <w:rFonts w:hint="eastAsia" w:ascii="宋体" w:hAnsi="宋体" w:eastAsia="宋体" w:cs="Times New Roman"/>
          <w:b/>
          <w:bCs/>
          <w:color w:val="auto"/>
          <w:sz w:val="24"/>
          <w:szCs w:val="28"/>
          <w:highlight w:val="none"/>
          <w:lang w:val="en-US" w:eastAsia="zh-CN" w:bidi="ar-SA"/>
        </w:rPr>
        <w:t xml:space="preserve">1、凡投标文件中所投货物或服务与招标文件有偏离的（包括正偏离，用+号表示和负偏离，用-号表示），均应在此表中详细列出并说明具体偏离情况（内容较多的可以标注见投标文件第几页），未在此表中列出的视同完全满足招标文件要求。</w:t>
      </w:r>
      <w:r/>
    </w:p>
    <w:p>
      <w:pPr>
        <w:jc w:val="both"/>
        <w:spacing w:line="360" w:lineRule="auto"/>
        <w:widowControl w:val="off"/>
        <w:rPr>
          <w:rFonts w:hint="default" w:ascii="宋体" w:hAnsi="宋体" w:eastAsia="宋体" w:cs="Times New Roman"/>
          <w:b/>
          <w:bCs/>
          <w:color w:val="auto"/>
          <w:sz w:val="24"/>
          <w:szCs w:val="28"/>
          <w:highlight w:val="none"/>
          <w:lang w:val="en-US" w:eastAsia="zh-CN" w:bidi="ar-SA"/>
        </w:rPr>
      </w:pPr>
      <w:r>
        <w:rPr>
          <w:rFonts w:hint="eastAsia" w:ascii="宋体" w:hAnsi="宋体" w:eastAsia="宋体" w:cs="Times New Roman"/>
          <w:b/>
          <w:bCs/>
          <w:color w:val="auto"/>
          <w:sz w:val="24"/>
          <w:szCs w:val="28"/>
          <w:highlight w:val="none"/>
          <w:lang w:val="en-US" w:eastAsia="zh-CN" w:bidi="ar-SA"/>
        </w:rPr>
        <w:t xml:space="preserve">2、供应商所投产品如与招标文件要求的规格及配置不一致，则须在上表偏离说明中详细注明。</w:t>
      </w:r>
      <w:r/>
    </w:p>
    <w:p>
      <w:pPr>
        <w:jc w:val="both"/>
        <w:widowControl w:val="off"/>
        <w:rPr>
          <w:rFonts w:hint="default" w:ascii="Calibri" w:hAnsi="Calibri" w:eastAsia="宋体" w:cs="Times New Roman"/>
          <w:color w:val="auto"/>
          <w:sz w:val="21"/>
          <w:szCs w:val="22"/>
          <w:highlight w:val="none"/>
          <w:lang w:val="en-US" w:eastAsia="zh-CN" w:bidi="ar-SA"/>
        </w:rPr>
      </w:pPr>
      <w:r>
        <w:rPr>
          <w:rFonts w:hint="eastAsia" w:ascii="宋体" w:hAnsi="宋体" w:eastAsia="宋体" w:cs="Times New Roman"/>
          <w:b/>
          <w:bCs/>
          <w:color w:val="auto"/>
          <w:sz w:val="24"/>
          <w:szCs w:val="28"/>
          <w:highlight w:val="none"/>
          <w:lang w:val="en-US" w:eastAsia="zh-CN" w:bidi="ar-SA"/>
        </w:rPr>
        <w:t xml:space="preserve">3、响应部分可后附详细说明及技术资料，并注明投标文件中对应的页码范围。</w:t>
      </w:r>
      <w:r/>
    </w:p>
    <w:p>
      <w:pPr>
        <w:pStyle w:val="922"/>
        <w:spacing w:before="0" w:after="0" w:line="360" w:lineRule="auto"/>
        <w:rPr>
          <w:rFonts w:hint="default" w:eastAsia="宋体"/>
          <w:b w:val="0"/>
          <w:color w:val="auto"/>
          <w:highlight w:val="none"/>
          <w:lang w:val="en-US" w:eastAsia="zh-CN"/>
        </w:rPr>
      </w:pPr>
      <w:r>
        <w:rPr>
          <w:color w:val="auto"/>
          <w:highlight w:val="none"/>
        </w:rPr>
        <w:br w:type="page" w:clear="all"/>
      </w:r>
      <w:bookmarkStart w:id="146" w:name="_Toc24888"/>
      <w:r>
        <w:rPr>
          <w:rFonts w:hint="eastAsia"/>
          <w:b w:val="0"/>
          <w:color w:val="auto"/>
          <w:highlight w:val="none"/>
          <w:lang w:val="en-US" w:eastAsia="zh-CN"/>
        </w:rPr>
        <w:t xml:space="preserve">八</w:t>
      </w:r>
      <w:r>
        <w:rPr>
          <w:rFonts w:hint="eastAsia"/>
          <w:b w:val="0"/>
          <w:color w:val="auto"/>
          <w:highlight w:val="none"/>
        </w:rPr>
        <w:t xml:space="preserve">、</w:t>
      </w:r>
      <w:r>
        <w:rPr>
          <w:rFonts w:hint="eastAsia"/>
          <w:b w:val="0"/>
          <w:color w:val="auto"/>
          <w:highlight w:val="none"/>
          <w:lang w:val="en-US" w:eastAsia="zh-CN"/>
        </w:rPr>
        <w:t xml:space="preserve">商务响应偏离表</w:t>
      </w:r>
      <w:bookmarkEnd w:id="146"/>
      <w:r/>
      <w:r/>
    </w:p>
    <w:p>
      <w:pPr>
        <w:jc w:val="center"/>
        <w:widowControl w:val="off"/>
        <w:rPr>
          <w:rFonts w:hint="default" w:ascii="Calibri" w:hAnsi="Calibri" w:eastAsia="宋体" w:cs="Times New Roman"/>
          <w:color w:val="auto"/>
          <w:sz w:val="32"/>
          <w:szCs w:val="32"/>
          <w:highlight w:val="none"/>
          <w:lang w:val="en-US" w:eastAsia="zh-CN" w:bidi="ar-SA"/>
        </w:rPr>
      </w:pPr>
      <w:r>
        <w:rPr>
          <w:rFonts w:hint="eastAsia" w:ascii="Calibri" w:hAnsi="Calibri" w:cs="Times New Roman"/>
          <w:color w:val="auto"/>
          <w:sz w:val="32"/>
          <w:szCs w:val="32"/>
          <w:highlight w:val="none"/>
          <w:lang w:val="en-US" w:eastAsia="zh-CN" w:bidi="ar-SA"/>
        </w:rPr>
        <w:t xml:space="preserve">商务</w:t>
      </w:r>
      <w:r>
        <w:rPr>
          <w:rFonts w:hint="eastAsia" w:ascii="Calibri" w:hAnsi="Calibri" w:eastAsia="宋体" w:cs="Times New Roman"/>
          <w:color w:val="auto"/>
          <w:sz w:val="32"/>
          <w:szCs w:val="32"/>
          <w:highlight w:val="none"/>
          <w:lang w:val="en-US" w:eastAsia="zh-CN" w:bidi="ar-SA"/>
        </w:rPr>
        <w:t xml:space="preserve">响应偏离表</w:t>
      </w:r>
      <w:r/>
    </w:p>
    <w:p>
      <w:pPr>
        <w:jc w:val="center"/>
        <w:widowControl w:val="off"/>
        <w:rPr>
          <w:rFonts w:hint="default" w:ascii="宋体" w:hAnsi="宋体" w:eastAsia="宋体" w:cs="Times New Roman"/>
          <w:b/>
          <w:bCs/>
          <w:color w:val="auto"/>
          <w:sz w:val="24"/>
          <w:szCs w:val="28"/>
          <w:highlight w:val="none"/>
          <w:lang w:val="en-US" w:eastAsia="zh-CN" w:bidi="ar-SA"/>
        </w:rPr>
      </w:pPr>
      <w:r>
        <w:rPr>
          <w:rFonts w:hint="default" w:ascii="宋体" w:hAnsi="宋体" w:eastAsia="宋体" w:cs="Times New Roman"/>
          <w:b/>
          <w:bCs/>
          <w:color w:val="auto"/>
          <w:sz w:val="24"/>
          <w:szCs w:val="28"/>
          <w:highlight w:val="none"/>
          <w:lang w:val="en-US" w:eastAsia="zh-CN" w:bidi="ar-SA"/>
        </w:rPr>
      </w:r>
      <w:r/>
    </w:p>
    <w:tbl>
      <w:tblPr>
        <w:tblStyle w:val="717"/>
        <w:tblW w:w="9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2625"/>
        <w:gridCol w:w="2035"/>
        <w:gridCol w:w="2579"/>
      </w:tblGrid>
      <w:tr>
        <w:trPr>
          <w:jc w:val="center"/>
          <w:trHeight w:val="665"/>
        </w:trPr>
        <w:tc>
          <w:tcPr>
            <w:tcW w:w="2374" w:type="dxa"/>
            <w:vAlign w:val="center"/>
            <w:textDirection w:val="lrTb"/>
            <w:noWrap w:val="false"/>
          </w:tcPr>
          <w:p>
            <w:pPr>
              <w:jc w:val="center"/>
              <w:spacing w:before="100" w:beforeAutospacing="1" w:line="560" w:lineRule="exact"/>
              <w:widowControl/>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 xml:space="preserve">招标文件内容</w:t>
            </w:r>
            <w:r/>
          </w:p>
        </w:tc>
        <w:tc>
          <w:tcPr>
            <w:tcW w:w="2625" w:type="dxa"/>
            <w:vAlign w:val="center"/>
            <w:textDirection w:val="lrTb"/>
            <w:noWrap w:val="false"/>
          </w:tcPr>
          <w:p>
            <w:pPr>
              <w:jc w:val="center"/>
              <w:spacing w:before="100" w:beforeAutospacing="1" w:line="560" w:lineRule="exact"/>
              <w:widowControl/>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 xml:space="preserve">投标文件内容</w:t>
            </w:r>
            <w:r/>
          </w:p>
        </w:tc>
        <w:tc>
          <w:tcPr>
            <w:tcW w:w="2035" w:type="dxa"/>
            <w:vAlign w:val="center"/>
            <w:textDirection w:val="lrTb"/>
            <w:noWrap w:val="false"/>
          </w:tcPr>
          <w:p>
            <w:pPr>
              <w:jc w:val="center"/>
              <w:spacing w:before="100" w:beforeAutospacing="1" w:line="560" w:lineRule="exact"/>
              <w:widowControl/>
              <w:rPr>
                <w:rFonts w:hint="eastAsia"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 xml:space="preserve">偏离情况</w:t>
            </w:r>
            <w:r/>
          </w:p>
        </w:tc>
        <w:tc>
          <w:tcPr>
            <w:tcW w:w="2579" w:type="dxa"/>
            <w:vAlign w:val="center"/>
            <w:textDirection w:val="lrTb"/>
            <w:noWrap w:val="false"/>
          </w:tcPr>
          <w:p>
            <w:pPr>
              <w:jc w:val="center"/>
              <w:spacing w:before="100" w:beforeAutospacing="1" w:line="560" w:lineRule="exact"/>
              <w:widowControl/>
              <w:rPr>
                <w:rFonts w:hint="default" w:ascii="仿宋_GB2312" w:hAnsi="Calibri" w:eastAsia="仿宋_GB2312" w:cs="Times New Roman"/>
                <w:color w:val="auto"/>
                <w:sz w:val="28"/>
                <w:szCs w:val="28"/>
                <w:highlight w:val="none"/>
                <w:lang w:val="en-US" w:eastAsia="zh-CN" w:bidi="ar-SA"/>
              </w:rPr>
            </w:pPr>
            <w:r>
              <w:rPr>
                <w:rFonts w:hint="eastAsia" w:ascii="仿宋_GB2312" w:hAnsi="Calibri" w:eastAsia="仿宋_GB2312" w:cs="Times New Roman"/>
                <w:color w:val="auto"/>
                <w:sz w:val="28"/>
                <w:szCs w:val="28"/>
                <w:highlight w:val="none"/>
                <w:lang w:val="en-US" w:eastAsia="zh-CN" w:bidi="ar-SA"/>
              </w:rPr>
              <w:t xml:space="preserve">偏离内容及说明</w:t>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03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57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03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57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03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57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03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57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03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57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03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57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03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57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r>
        <w:trPr>
          <w:jc w:val="center"/>
          <w:trHeight w:val="665"/>
        </w:trPr>
        <w:tc>
          <w:tcPr>
            <w:tcW w:w="2374"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62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035"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c>
          <w:tcPr>
            <w:tcW w:w="2579" w:type="dxa"/>
            <w:vAlign w:val="center"/>
            <w:textDirection w:val="lrTb"/>
            <w:noWrap w:val="false"/>
          </w:tcPr>
          <w:p>
            <w:pPr>
              <w:jc w:val="center"/>
              <w:spacing w:line="560" w:lineRule="exact"/>
              <w:widowControl w:val="off"/>
              <w:rPr>
                <w:rFonts w:hint="default" w:ascii="仿宋_GB2312" w:hAnsi="Calibri" w:eastAsia="仿宋_GB2312" w:cs="Times New Roman"/>
                <w:color w:val="auto"/>
                <w:sz w:val="24"/>
                <w:szCs w:val="22"/>
                <w:highlight w:val="none"/>
                <w:lang w:val="en-US" w:eastAsia="zh-CN" w:bidi="ar-SA"/>
              </w:rPr>
            </w:pPr>
            <w:r>
              <w:rPr>
                <w:rFonts w:hint="default" w:ascii="仿宋_GB2312" w:hAnsi="Calibri" w:eastAsia="仿宋_GB2312" w:cs="Times New Roman"/>
                <w:color w:val="auto"/>
                <w:sz w:val="24"/>
                <w:szCs w:val="22"/>
                <w:highlight w:val="none"/>
                <w:lang w:val="en-US" w:eastAsia="zh-CN" w:bidi="ar-SA"/>
              </w:rPr>
            </w:r>
            <w:r/>
          </w:p>
        </w:tc>
      </w:tr>
    </w:tbl>
    <w:p>
      <w:pPr>
        <w:ind w:firstLine="3480"/>
        <w:jc w:val="left"/>
        <w:spacing w:line="600" w:lineRule="exact"/>
        <w:rPr>
          <w:rFonts w:hint="default" w:ascii="方正小标宋_GBK" w:hAnsi="Times New Roman" w:eastAsia="方正小标宋_GBK" w:cs="Times New Roman"/>
          <w:b/>
          <w:bCs/>
          <w:color w:val="auto"/>
          <w:sz w:val="32"/>
          <w:szCs w:val="32"/>
          <w:highlight w:val="none"/>
        </w:rPr>
      </w:pPr>
      <w:r>
        <w:rPr>
          <w:rFonts w:hint="eastAsia" w:ascii="宋体" w:hAnsi="宋体" w:eastAsia="宋体" w:cs="Times New Roman"/>
          <w:color w:val="auto"/>
          <w:sz w:val="24"/>
          <w:highlight w:val="none"/>
        </w:rPr>
        <w:t xml:space="preserve">单位名称：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w:t>
      </w:r>
      <w:r>
        <w:rPr>
          <w:rFonts w:hint="eastAsia" w:ascii="Times New Roman" w:hAnsi="Times New Roman" w:eastAsia="宋体" w:cs="Times New Roman"/>
          <w:color w:val="auto"/>
          <w:sz w:val="24"/>
          <w:szCs w:val="24"/>
          <w:highlight w:val="none"/>
        </w:rPr>
        <w:t xml:space="preserve">加盖</w:t>
      </w:r>
      <w:r>
        <w:rPr>
          <w:rFonts w:hint="default" w:ascii="Times New Roman" w:hAnsi="Times New Roman" w:eastAsia="宋体" w:cs="Times New Roman"/>
          <w:color w:val="auto"/>
          <w:sz w:val="24"/>
          <w:szCs w:val="24"/>
          <w:highlight w:val="none"/>
        </w:rPr>
        <w:t xml:space="preserve">CA</w:t>
      </w:r>
      <w:r>
        <w:rPr>
          <w:rFonts w:hint="eastAsia" w:ascii="Times New Roman" w:hAnsi="Times New Roman" w:eastAsia="宋体" w:cs="Times New Roman"/>
          <w:color w:val="auto"/>
          <w:sz w:val="24"/>
          <w:szCs w:val="24"/>
          <w:highlight w:val="none"/>
        </w:rPr>
        <w:t xml:space="preserve">电子签章</w:t>
      </w:r>
      <w:r>
        <w:rPr>
          <w:rFonts w:hint="eastAsia" w:ascii="宋体" w:hAnsi="宋体" w:eastAsia="宋体" w:cs="Times New Roman"/>
          <w:color w:val="auto"/>
          <w:sz w:val="24"/>
          <w:highlight w:val="none"/>
        </w:rPr>
        <w:t xml:space="preserve">）</w:t>
      </w:r>
      <w:r/>
    </w:p>
    <w:p>
      <w:pPr>
        <w:ind w:firstLine="482"/>
        <w:jc w:val="both"/>
        <w:widowControl w:val="off"/>
        <w:rPr>
          <w:rFonts w:hint="default" w:ascii="宋体" w:hAnsi="宋体" w:eastAsia="宋体" w:cs="Times New Roman"/>
          <w:b/>
          <w:bCs/>
          <w:color w:val="auto"/>
          <w:sz w:val="24"/>
          <w:szCs w:val="28"/>
          <w:highlight w:val="none"/>
          <w:lang w:val="en-US" w:eastAsia="zh-CN" w:bidi="ar-SA"/>
        </w:rPr>
      </w:pPr>
      <w:r>
        <w:rPr>
          <w:rFonts w:hint="default" w:ascii="宋体" w:hAnsi="宋体" w:eastAsia="宋体" w:cs="Times New Roman"/>
          <w:b/>
          <w:bCs/>
          <w:color w:val="auto"/>
          <w:sz w:val="24"/>
          <w:szCs w:val="28"/>
          <w:highlight w:val="none"/>
          <w:lang w:val="en-US" w:eastAsia="zh-CN" w:bidi="ar-SA"/>
        </w:rPr>
      </w:r>
      <w:r/>
    </w:p>
    <w:p>
      <w:pPr>
        <w:jc w:val="both"/>
        <w:widowControl w:val="off"/>
        <w:rPr>
          <w:rFonts w:hint="default" w:ascii="宋体" w:hAnsi="宋体" w:eastAsia="宋体" w:cs="Times New Roman"/>
          <w:b/>
          <w:bCs/>
          <w:color w:val="auto"/>
          <w:sz w:val="24"/>
          <w:szCs w:val="28"/>
          <w:highlight w:val="none"/>
          <w:lang w:val="en-US" w:eastAsia="zh-CN" w:bidi="ar-SA"/>
        </w:rPr>
      </w:pPr>
      <w:r>
        <w:rPr>
          <w:rFonts w:hint="eastAsia" w:ascii="宋体" w:hAnsi="宋体" w:eastAsia="宋体" w:cs="Times New Roman"/>
          <w:b/>
          <w:bCs/>
          <w:color w:val="auto"/>
          <w:sz w:val="24"/>
          <w:szCs w:val="28"/>
          <w:highlight w:val="none"/>
          <w:lang w:val="en-US" w:eastAsia="zh-CN" w:bidi="ar-SA"/>
        </w:rPr>
        <w:t xml:space="preserve">1、凡投标文件中商务部分</w:t>
      </w:r>
      <w:r>
        <w:rPr>
          <w:rFonts w:hint="eastAsia" w:ascii="宋体" w:hAnsi="宋体" w:eastAsia="宋体" w:cs="Times New Roman"/>
          <w:b/>
          <w:bCs/>
          <w:color w:val="auto"/>
          <w:sz w:val="24"/>
          <w:szCs w:val="28"/>
          <w:highlight w:val="none"/>
          <w:lang w:val="en-US" w:eastAsia="zh-CN" w:bidi="ar-SA"/>
        </w:rPr>
        <w:t xml:space="preserve">与招标文件商务要求</w:t>
      </w:r>
      <w:r>
        <w:rPr>
          <w:rFonts w:hint="eastAsia" w:ascii="宋体" w:hAnsi="宋体" w:eastAsia="宋体" w:cs="Times New Roman"/>
          <w:b/>
          <w:bCs/>
          <w:color w:val="auto"/>
          <w:sz w:val="24"/>
          <w:szCs w:val="28"/>
          <w:highlight w:val="none"/>
          <w:lang w:val="en-US" w:eastAsia="zh-CN" w:bidi="ar-SA"/>
        </w:rPr>
        <w:t xml:space="preserve">有偏离的（包括正偏离，用+号表示和负偏离，用-号表示），均应在此表中详细列出并说明具体偏离情况（内容较多的可以标注见投标文件第几页），未在此表中列出的视同完全满足招标文件要求。</w:t>
      </w:r>
      <w:r/>
    </w:p>
    <w:p>
      <w:pPr>
        <w:jc w:val="both"/>
        <w:widowControl w:val="off"/>
        <w:rPr>
          <w:rFonts w:hint="default" w:ascii="Calibri" w:hAnsi="Calibri" w:eastAsia="宋体" w:cs="Times New Roman"/>
          <w:color w:val="auto"/>
          <w:sz w:val="21"/>
          <w:szCs w:val="22"/>
          <w:highlight w:val="none"/>
          <w:lang w:val="en-US" w:eastAsia="zh-CN" w:bidi="ar-SA"/>
        </w:rPr>
      </w:pPr>
      <w:r>
        <w:rPr>
          <w:rFonts w:hint="eastAsia" w:ascii="宋体" w:hAnsi="宋体" w:cs="Times New Roman"/>
          <w:b/>
          <w:bCs/>
          <w:color w:val="auto"/>
          <w:sz w:val="24"/>
          <w:szCs w:val="28"/>
          <w:highlight w:val="none"/>
          <w:lang w:val="en-US" w:eastAsia="zh-CN" w:bidi="ar-SA"/>
        </w:rPr>
        <w:t xml:space="preserve">2</w:t>
      </w:r>
      <w:r>
        <w:rPr>
          <w:rFonts w:hint="eastAsia" w:ascii="宋体" w:hAnsi="宋体" w:eastAsia="宋体" w:cs="Times New Roman"/>
          <w:b/>
          <w:bCs/>
          <w:color w:val="auto"/>
          <w:sz w:val="24"/>
          <w:szCs w:val="28"/>
          <w:highlight w:val="none"/>
          <w:lang w:val="en-US" w:eastAsia="zh-CN" w:bidi="ar-SA"/>
        </w:rPr>
        <w:t xml:space="preserve">、响应部分可后附详细说明及技术资料，并注明投标文件中对应的页码范围。</w:t>
      </w:r>
      <w:r/>
    </w:p>
    <w:p>
      <w:pPr>
        <w:rPr>
          <w:rFonts w:hint="eastAsia"/>
          <w:b w:val="0"/>
          <w:color w:val="auto"/>
          <w:highlight w:val="none"/>
        </w:rPr>
      </w:pPr>
      <w:r>
        <w:rPr>
          <w:rFonts w:hint="eastAsia"/>
          <w:b w:val="0"/>
          <w:color w:val="auto"/>
          <w:highlight w:val="none"/>
        </w:rPr>
        <w:br w:type="page" w:clear="all"/>
      </w:r>
      <w:r/>
    </w:p>
    <w:p>
      <w:pPr>
        <w:pStyle w:val="922"/>
        <w:spacing w:before="0" w:after="0" w:line="360" w:lineRule="auto"/>
        <w:rPr>
          <w:b w:val="0"/>
          <w:color w:val="auto"/>
          <w:highlight w:val="none"/>
        </w:rPr>
      </w:pPr>
      <w:r/>
      <w:bookmarkStart w:id="147" w:name="_Toc17555"/>
      <w:r>
        <w:rPr>
          <w:rFonts w:hint="eastAsia"/>
          <w:b w:val="0"/>
          <w:color w:val="auto"/>
          <w:highlight w:val="none"/>
          <w:lang w:val="en-US" w:eastAsia="zh-CN"/>
        </w:rPr>
        <w:t xml:space="preserve">九</w:t>
      </w:r>
      <w:r>
        <w:rPr>
          <w:rFonts w:hint="eastAsia"/>
          <w:b w:val="0"/>
          <w:color w:val="auto"/>
          <w:highlight w:val="none"/>
        </w:rPr>
        <w:t xml:space="preserve">、</w:t>
      </w:r>
      <w:r>
        <w:rPr>
          <w:b w:val="0"/>
          <w:color w:val="auto"/>
          <w:highlight w:val="none"/>
        </w:rPr>
        <w:t xml:space="preserve">项目组人员</w:t>
      </w:r>
      <w:bookmarkEnd w:id="147"/>
      <w:r/>
      <w:r/>
    </w:p>
    <w:p>
      <w:pPr>
        <w:pStyle w:val="981"/>
        <w:jc w:val="center"/>
        <w:spacing w:line="600" w:lineRule="exact"/>
        <w:rPr>
          <w:rFonts w:ascii="Times New Roman" w:hAnsi="Times New Roman"/>
          <w:bCs/>
          <w:color w:val="auto"/>
          <w:sz w:val="32"/>
          <w:szCs w:val="32"/>
          <w:highlight w:val="none"/>
        </w:rPr>
      </w:pPr>
      <w:r>
        <w:rPr>
          <w:rFonts w:hint="eastAsia" w:ascii="Times New Roman" w:hAnsi="Times New Roman"/>
          <w:bCs/>
          <w:color w:val="auto"/>
          <w:sz w:val="32"/>
          <w:szCs w:val="32"/>
          <w:highlight w:val="none"/>
        </w:rPr>
        <w:t xml:space="preserve">项目组成员</w:t>
      </w:r>
      <w:r/>
    </w:p>
    <w:tbl>
      <w:tblPr>
        <w:tblStyle w:val="71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3"/>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280"/>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jc w:val="center"/>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spacing w:beforeAutospacing="1"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1"/>
              <w:jc w:val="center"/>
              <w:rPr>
                <w:rFonts w:ascii="Times New Roman" w:hAnsi="Times New Roman" w:eastAsia="仿宋_GB2312"/>
                <w:color w:val="auto"/>
                <w:sz w:val="20"/>
                <w:szCs w:val="20"/>
                <w:highlight w:val="none"/>
              </w:rPr>
            </w:pPr>
            <w:r>
              <w:rPr>
                <w:rFonts w:hint="eastAsia" w:ascii="Times New Roman" w:hAnsi="Times New Roman" w:eastAsia="仿宋_GB2312" w:cs="仿宋_GB2312"/>
                <w:color w:val="auto"/>
                <w:sz w:val="28"/>
                <w:szCs w:val="28"/>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1"/>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1"/>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1"/>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81"/>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43"/>
              <w:ind w:firstLine="560"/>
              <w:jc w:val="center"/>
              <w:spacing w:line="560" w:lineRule="exact"/>
              <w:widowControl/>
              <w:rPr>
                <w:rFonts w:eastAsia="仿宋_GB2312" w:cs="仿宋_GB2312"/>
                <w:color w:val="auto"/>
                <w:sz w:val="28"/>
                <w:szCs w:val="28"/>
                <w:highlight w:val="none"/>
              </w:rPr>
            </w:pPr>
            <w:r>
              <w:rPr>
                <w:rFonts w:eastAsia="仿宋_GB2312" w:cs="仿宋_GB2312"/>
                <w:color w:val="auto"/>
                <w:sz w:val="28"/>
                <w:szCs w:val="28"/>
                <w:highlight w:val="none"/>
              </w:rPr>
            </w:r>
            <w:r/>
          </w:p>
        </w:tc>
      </w:tr>
    </w:tbl>
    <w:p>
      <w:pPr>
        <w:pStyle w:val="981"/>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rPr>
        <w:t xml:space="preserve">注：如供应商中标，项目组成员必须按本表承诺人员操作，不得随意更换。</w:t>
      </w:r>
      <w:r/>
    </w:p>
    <w:p>
      <w:pPr>
        <w:pStyle w:val="981"/>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pStyle w:val="922"/>
        <w:spacing w:before="0" w:after="0" w:line="360" w:lineRule="auto"/>
        <w:rPr>
          <w:b w:val="0"/>
          <w:color w:val="auto"/>
          <w:highlight w:val="none"/>
        </w:rPr>
      </w:pPr>
      <w:r>
        <w:rPr>
          <w:color w:val="auto"/>
          <w:highlight w:val="none"/>
        </w:rPr>
        <w:br w:type="page" w:clear="all"/>
      </w:r>
      <w:bookmarkStart w:id="148" w:name="_Toc2764"/>
      <w:r>
        <w:rPr>
          <w:rFonts w:hint="eastAsia"/>
          <w:b w:val="0"/>
          <w:color w:val="auto"/>
          <w:highlight w:val="none"/>
          <w:lang w:val="en-US" w:eastAsia="zh-CN"/>
        </w:rPr>
        <w:t xml:space="preserve">十</w:t>
      </w:r>
      <w:r>
        <w:rPr>
          <w:rFonts w:hint="eastAsia"/>
          <w:b w:val="0"/>
          <w:color w:val="auto"/>
          <w:highlight w:val="none"/>
        </w:rPr>
        <w:t xml:space="preserve">、企业业绩</w:t>
      </w:r>
      <w:bookmarkEnd w:id="148"/>
      <w:r/>
      <w:r/>
    </w:p>
    <w:p>
      <w:pPr>
        <w:pStyle w:val="1045"/>
        <w:jc w:val="center"/>
        <w:rPr>
          <w:rFonts w:ascii="Times New Roman" w:hAnsi="Times New Roman"/>
          <w:color w:val="auto"/>
          <w:sz w:val="32"/>
          <w:szCs w:val="32"/>
          <w:highlight w:val="none"/>
        </w:rPr>
      </w:pPr>
      <w:r>
        <w:rPr>
          <w:rFonts w:hint="eastAsia" w:ascii="Times New Roman" w:hAnsi="Times New Roman"/>
          <w:color w:val="auto"/>
          <w:sz w:val="32"/>
          <w:szCs w:val="32"/>
          <w:highlight w:val="none"/>
        </w:rPr>
        <w:t xml:space="preserve">投标人承担类似项目业绩一览表</w:t>
      </w:r>
      <w:r/>
    </w:p>
    <w:tbl>
      <w:tblPr>
        <w:tblStyle w:val="71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46"/>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序号</w:t>
            </w:r>
            <w:r/>
          </w:p>
        </w:tc>
        <w:tc>
          <w:tcPr>
            <w:tcW w:w="3827" w:type="dxa"/>
            <w:vAlign w:val="center"/>
            <w:textDirection w:val="lrTb"/>
            <w:noWrap w:val="false"/>
          </w:tcPr>
          <w:p>
            <w:pPr>
              <w:pStyle w:val="1046"/>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项目名称</w:t>
            </w:r>
            <w:r/>
          </w:p>
        </w:tc>
        <w:tc>
          <w:tcPr>
            <w:tcW w:w="2433" w:type="dxa"/>
            <w:vAlign w:val="center"/>
            <w:textDirection w:val="lrTb"/>
            <w:noWrap w:val="false"/>
          </w:tcPr>
          <w:p>
            <w:pPr>
              <w:pStyle w:val="1046"/>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采购单位</w:t>
            </w:r>
            <w:r/>
          </w:p>
        </w:tc>
        <w:tc>
          <w:tcPr>
            <w:tcW w:w="1395" w:type="dxa"/>
            <w:vAlign w:val="center"/>
            <w:textDirection w:val="lrTb"/>
            <w:noWrap w:val="false"/>
          </w:tcPr>
          <w:p>
            <w:pPr>
              <w:pStyle w:val="1046"/>
              <w:jc w:val="center"/>
              <w:spacing w:line="560" w:lineRule="exact"/>
              <w:rPr>
                <w:rFonts w:eastAsia="仿宋_GB2312"/>
                <w:color w:val="auto"/>
                <w:sz w:val="28"/>
                <w:szCs w:val="28"/>
                <w:highlight w:val="none"/>
              </w:rPr>
            </w:pPr>
            <w:r>
              <w:rPr>
                <w:rFonts w:hint="eastAsia"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10"/>
        </w:trPr>
        <w:tc>
          <w:tcPr>
            <w:tcW w:w="1229" w:type="dxa"/>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r>
      <w:tr>
        <w:trPr>
          <w:jc w:val="center"/>
          <w:trHeight w:val="1525"/>
        </w:trPr>
        <w:tc>
          <w:tcPr>
            <w:tcW w:w="1229" w:type="dxa"/>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3827"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2433"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c>
          <w:tcPr>
            <w:tcW w:w="1395" w:type="dxa"/>
            <w:vAlign w:val="center"/>
            <w:textDirection w:val="lrTb"/>
            <w:noWrap w:val="false"/>
          </w:tcPr>
          <w:p>
            <w:pPr>
              <w:pStyle w:val="1046"/>
              <w:jc w:val="center"/>
              <w:spacing w:line="560" w:lineRule="exact"/>
              <w:rPr>
                <w:rFonts w:eastAsia="仿宋_GB2312"/>
                <w:color w:val="auto"/>
                <w:sz w:val="28"/>
                <w:highlight w:val="none"/>
              </w:rPr>
            </w:pPr>
            <w:r>
              <w:rPr>
                <w:rFonts w:eastAsia="仿宋_GB2312"/>
                <w:color w:val="auto"/>
                <w:sz w:val="28"/>
                <w:highlight w:val="none"/>
              </w:rPr>
            </w:r>
            <w:r/>
          </w:p>
        </w:tc>
      </w:tr>
    </w:tbl>
    <w:p>
      <w:pPr>
        <w:pStyle w:val="1045"/>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pStyle w:val="922"/>
        <w:spacing w:before="0" w:after="0" w:line="360" w:lineRule="auto"/>
        <w:rPr>
          <w:b w:val="0"/>
          <w:color w:val="auto"/>
          <w:highlight w:val="none"/>
        </w:rPr>
      </w:pPr>
      <w:r>
        <w:rPr>
          <w:color w:val="auto"/>
          <w:highlight w:val="none"/>
        </w:rPr>
        <w:br w:type="page" w:clear="all"/>
      </w:r>
      <w:bookmarkStart w:id="149" w:name="_Toc18613"/>
      <w:r>
        <w:rPr>
          <w:rFonts w:hint="eastAsia"/>
          <w:b w:val="0"/>
          <w:color w:val="auto"/>
          <w:highlight w:val="none"/>
        </w:rPr>
        <w:t xml:space="preserve">十</w:t>
      </w:r>
      <w:r>
        <w:rPr>
          <w:rFonts w:hint="eastAsia"/>
          <w:b w:val="0"/>
          <w:color w:val="auto"/>
          <w:highlight w:val="none"/>
          <w:lang w:val="en-US" w:eastAsia="zh-CN"/>
        </w:rPr>
        <w:t xml:space="preserve">一</w:t>
      </w:r>
      <w:r>
        <w:rPr>
          <w:b w:val="0"/>
          <w:color w:val="auto"/>
          <w:highlight w:val="none"/>
        </w:rPr>
        <w:t xml:space="preserve">、</w:t>
      </w:r>
      <w:r>
        <w:rPr>
          <w:rFonts w:hint="eastAsia"/>
          <w:b w:val="0"/>
          <w:color w:val="auto"/>
          <w:highlight w:val="none"/>
        </w:rPr>
        <w:t xml:space="preserve">项目实施方案</w:t>
      </w:r>
      <w:bookmarkEnd w:id="149"/>
      <w:r/>
      <w:r/>
    </w:p>
    <w:p>
      <w:pPr>
        <w:pStyle w:val="923"/>
        <w:rPr>
          <w:rFonts w:eastAsia="仿宋_GB2312"/>
          <w:color w:val="auto"/>
          <w:sz w:val="28"/>
          <w:szCs w:val="28"/>
          <w:highlight w:val="none"/>
        </w:rPr>
      </w:pPr>
      <w:r>
        <w:rPr>
          <w:rFonts w:hint="eastAsia" w:eastAsia="仿宋_GB2312"/>
          <w:color w:val="auto"/>
          <w:sz w:val="28"/>
          <w:szCs w:val="28"/>
          <w:highlight w:val="none"/>
        </w:rPr>
        <w:t xml:space="preserve">（按照评分标准相关要求提供方案）</w:t>
      </w:r>
      <w:r/>
    </w:p>
    <w:p>
      <w:pPr>
        <w:pStyle w:val="922"/>
        <w:spacing w:before="0" w:after="0" w:line="360" w:lineRule="auto"/>
        <w:rPr>
          <w:b w:val="0"/>
          <w:color w:val="auto"/>
          <w:highlight w:val="none"/>
        </w:rPr>
      </w:pPr>
      <w:r>
        <w:rPr>
          <w:b w:val="0"/>
          <w:color w:val="auto"/>
          <w:highlight w:val="none"/>
        </w:rPr>
        <w:br w:type="page" w:clear="all"/>
      </w:r>
      <w:bookmarkStart w:id="150" w:name="_Toc30961"/>
      <w:r>
        <w:rPr>
          <w:rFonts w:hint="eastAsia"/>
          <w:b w:val="0"/>
          <w:color w:val="auto"/>
          <w:highlight w:val="none"/>
        </w:rPr>
        <w:t xml:space="preserve">十</w:t>
      </w:r>
      <w:r>
        <w:rPr>
          <w:rFonts w:hint="eastAsia"/>
          <w:b w:val="0"/>
          <w:color w:val="auto"/>
          <w:highlight w:val="none"/>
          <w:lang w:val="en-US" w:eastAsia="zh-CN"/>
        </w:rPr>
        <w:t xml:space="preserve">二</w:t>
      </w:r>
      <w:r>
        <w:rPr>
          <w:b w:val="0"/>
          <w:color w:val="auto"/>
          <w:highlight w:val="none"/>
        </w:rPr>
        <w:t xml:space="preserve">、投标所需其他材料</w:t>
      </w:r>
      <w:bookmarkEnd w:id="150"/>
      <w:r/>
      <w:r/>
    </w:p>
    <w:p>
      <w:pPr>
        <w:pStyle w:val="1048"/>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color w:val="auto"/>
          <w:sz w:val="20"/>
          <w:highlight w:val="none"/>
        </w:rPr>
      </w:pPr>
      <w:r>
        <w:rPr>
          <w:rFonts w:hint="eastAsia"/>
          <w:color w:val="auto"/>
          <w:sz w:val="20"/>
          <w:highlight w:val="none"/>
        </w:rPr>
        <w:t xml:space="preserve"> </w:t>
      </w:r>
      <w:r/>
    </w:p>
    <w:p>
      <w:pPr>
        <w:rPr>
          <w:color w:val="auto"/>
          <w:highlight w:val="none"/>
        </w:rPr>
      </w:pPr>
      <w:r>
        <w:rPr>
          <w:color w:val="auto"/>
          <w:highlight w:val="none"/>
        </w:rPr>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r/>
    </w:p>
    <w:p>
      <w:pPr>
        <w:rPr>
          <w:rFonts w:eastAsia="黑体"/>
          <w:color w:val="auto"/>
          <w:sz w:val="32"/>
          <w:highlight w:val="none"/>
        </w:rPr>
      </w:pPr>
      <w:r>
        <w:rPr>
          <w:rFonts w:eastAsia="黑体"/>
          <w:color w:val="auto"/>
          <w:sz w:val="32"/>
          <w:highlight w:val="none"/>
        </w:rPr>
      </w:r>
      <w:r/>
    </w:p>
    <w:p>
      <w:pPr>
        <w:spacing w:line="480" w:lineRule="auto"/>
        <w:rPr>
          <w:color w:val="auto"/>
          <w:sz w:val="24"/>
          <w:highlight w:val="none"/>
        </w:rPr>
      </w:pPr>
      <w:r>
        <w:rPr>
          <w:color w:val="auto"/>
          <w:sz w:val="24"/>
          <w:highlight w:val="none"/>
        </w:rPr>
      </w:r>
      <w:r/>
    </w:p>
    <w:p>
      <w:pPr>
        <w:spacing w:line="480" w:lineRule="auto"/>
        <w:rPr>
          <w:color w:val="auto"/>
          <w:sz w:val="30"/>
          <w:highlight w:val="none"/>
        </w:rPr>
      </w:pPr>
      <w:r>
        <w:rPr>
          <w:color w:val="auto"/>
          <w:sz w:val="30"/>
          <w:highlight w:val="none"/>
        </w:rPr>
      </w:r>
      <w:r/>
    </w:p>
    <w:p>
      <w:pPr>
        <w:pStyle w:val="923"/>
        <w:ind w:firstLine="0"/>
        <w:rPr>
          <w:color w:val="auto"/>
          <w:sz w:val="24"/>
          <w:highlight w:val="none"/>
        </w:rPr>
      </w:pPr>
      <w:r/>
      <w:bookmarkStart w:id="151" w:name="_Hlt26609389"/>
      <w:r/>
      <w:bookmarkEnd w:id="151"/>
      <w:r/>
      <w:bookmarkStart w:id="152" w:name="_Hlt26955066"/>
      <w:r/>
      <w:bookmarkEnd w:id="152"/>
      <w:r/>
      <w:bookmarkStart w:id="153" w:name="_Hlt26671374"/>
      <w:r/>
      <w:bookmarkEnd w:id="153"/>
      <w:r/>
      <w:r/>
    </w:p>
    <w:p>
      <w:pPr>
        <w:rPr>
          <w:color w:val="auto"/>
          <w:sz w:val="24"/>
          <w:highlight w:val="none"/>
        </w:rPr>
      </w:pPr>
      <w:r>
        <w:rPr>
          <w:color w:val="auto"/>
          <w:sz w:val="24"/>
          <w:highlight w:val="none"/>
        </w:rPr>
      </w:r>
      <w:r/>
    </w:p>
    <w:p>
      <w:pPr>
        <w:pStyle w:val="995"/>
        <w:ind w:firstLine="480"/>
        <w:rPr>
          <w:rFonts w:ascii="Times New Roman" w:hAnsi="Times New Roman"/>
          <w:color w:val="auto"/>
          <w:sz w:val="24"/>
          <w:highlight w:val="none"/>
        </w:rPr>
      </w:pPr>
      <w:r>
        <w:rPr>
          <w:rFonts w:ascii="Times New Roman" w:hAnsi="Times New Roman"/>
          <w:color w:val="auto"/>
          <w:sz w:val="24"/>
          <w:highlight w:val="none"/>
        </w:rPr>
      </w:r>
      <w:r/>
    </w:p>
    <w:p>
      <w:pPr>
        <w:pStyle w:val="995"/>
        <w:ind w:firstLine="480"/>
        <w:rPr>
          <w:rFonts w:ascii="Times New Roman" w:hAnsi="Times New Roman"/>
          <w:color w:val="auto"/>
          <w:sz w:val="24"/>
          <w:highlight w:val="none"/>
        </w:rPr>
      </w:pPr>
      <w:r>
        <w:rPr>
          <w:rFonts w:ascii="Times New Roman" w:hAnsi="Times New Roman"/>
          <w:color w:val="auto"/>
          <w:sz w:val="24"/>
          <w:highlight w:val="none"/>
        </w:rPr>
      </w:r>
      <w:r/>
    </w:p>
    <w:p>
      <w:pPr>
        <w:pStyle w:val="995"/>
        <w:ind w:firstLine="480"/>
        <w:rPr>
          <w:rFonts w:ascii="Times New Roman" w:hAnsi="Times New Roman"/>
          <w:color w:val="auto"/>
          <w:sz w:val="24"/>
          <w:highlight w:val="none"/>
        </w:rPr>
      </w:pPr>
      <w:r>
        <w:rPr>
          <w:rFonts w:ascii="Times New Roman" w:hAnsi="Times New Roman"/>
          <w:color w:val="auto"/>
          <w:sz w:val="24"/>
          <w:highlight w:val="none"/>
        </w:rPr>
      </w:r>
      <w:r/>
    </w:p>
    <w:p>
      <w:pPr>
        <w:pStyle w:val="995"/>
        <w:ind w:firstLine="480"/>
        <w:rPr>
          <w:rFonts w:ascii="Times New Roman" w:hAnsi="Times New Roman"/>
          <w:color w:val="auto"/>
          <w:sz w:val="24"/>
          <w:highlight w:val="none"/>
        </w:rPr>
      </w:pPr>
      <w:r>
        <w:rPr>
          <w:rFonts w:ascii="Times New Roman" w:hAnsi="Times New Roman"/>
          <w:color w:val="auto"/>
          <w:sz w:val="24"/>
          <w:highlight w:val="none"/>
        </w:rPr>
      </w:r>
      <w:r/>
    </w:p>
    <w:p>
      <w:pPr>
        <w:pStyle w:val="995"/>
        <w:ind w:firstLine="480"/>
        <w:rPr>
          <w:rFonts w:ascii="Times New Roman" w:hAnsi="Times New Roman"/>
          <w:color w:val="auto"/>
          <w:sz w:val="24"/>
          <w:highlight w:val="none"/>
        </w:rPr>
      </w:pPr>
      <w:r>
        <w:rPr>
          <w:rFonts w:ascii="Times New Roman" w:hAnsi="Times New Roman"/>
          <w:color w:val="auto"/>
          <w:sz w:val="24"/>
          <w:highlight w:val="none"/>
        </w:rPr>
      </w:r>
      <w:r/>
    </w:p>
    <w:p>
      <w:pPr>
        <w:pStyle w:val="995"/>
        <w:ind w:firstLine="480"/>
        <w:rPr>
          <w:rFonts w:ascii="Times New Roman" w:hAnsi="Times New Roman"/>
          <w:color w:val="auto"/>
          <w:sz w:val="24"/>
          <w:highlight w:val="none"/>
        </w:rPr>
      </w:pPr>
      <w:r>
        <w:rPr>
          <w:rFonts w:ascii="Times New Roman" w:hAnsi="Times New Roman"/>
          <w:color w:val="auto"/>
          <w:sz w:val="24"/>
          <w:highlight w:val="none"/>
        </w:rPr>
      </w:r>
      <w:r/>
    </w:p>
    <w:p>
      <w:pPr>
        <w:jc w:val="center"/>
        <w:rPr>
          <w:rFonts w:eastAsia="黑体"/>
          <w:b/>
          <w:color w:val="auto"/>
          <w:sz w:val="32"/>
          <w:szCs w:val="32"/>
          <w:highlight w:val="none"/>
        </w:rPr>
      </w:pPr>
      <w:r/>
      <w:bookmarkStart w:id="154" w:name="_格式2__法定代表人授权书"/>
      <w:r/>
      <w:bookmarkEnd w:id="154"/>
      <w:r/>
      <w:r/>
    </w:p>
    <w:p>
      <w:pPr>
        <w:jc w:val="center"/>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r>
      <w:r/>
    </w:p>
    <w:p>
      <w:pPr>
        <w:rPr>
          <w:rFonts w:eastAsia="黑体"/>
          <w:b/>
          <w:color w:val="auto"/>
          <w:sz w:val="32"/>
          <w:szCs w:val="32"/>
          <w:highlight w:val="none"/>
        </w:rPr>
      </w:pPr>
      <w:r>
        <w:rPr>
          <w:rFonts w:eastAsia="黑体"/>
          <w:b/>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r>
      <w:r/>
    </w:p>
    <w:p>
      <w:pPr>
        <w:jc w:val="center"/>
        <w:rPr>
          <w:rFonts w:cs="仿宋"/>
          <w:b/>
          <w:bCs/>
          <w:color w:val="auto"/>
          <w:sz w:val="32"/>
          <w:szCs w:val="32"/>
          <w:highlight w:val="none"/>
        </w:rPr>
      </w:pPr>
      <w:r>
        <w:rPr>
          <w:rFonts w:cs="仿宋"/>
          <w:b/>
          <w:bCs/>
          <w:color w:val="auto"/>
          <w:sz w:val="32"/>
          <w:szCs w:val="32"/>
          <w:highlight w:val="none"/>
        </w:rPr>
        <w:br w:type="page" w:clear="all"/>
      </w:r>
      <w:r>
        <w:rPr>
          <w:rFonts w:hint="eastAsia" w:cs="仿宋"/>
          <w:b/>
          <w:bCs/>
          <w:color w:val="auto"/>
          <w:sz w:val="32"/>
          <w:szCs w:val="32"/>
          <w:highlight w:val="none"/>
        </w:rPr>
        <w:t xml:space="preserve">质疑函范本</w:t>
      </w:r>
      <w:r/>
    </w:p>
    <w:p>
      <w:pPr>
        <w:spacing w:before="290" w:line="360" w:lineRule="auto"/>
        <w:rPr>
          <w:rFonts w:cs="仿宋"/>
          <w:bCs/>
          <w:color w:val="auto"/>
          <w:sz w:val="24"/>
          <w:szCs w:val="24"/>
          <w:highlight w:val="none"/>
        </w:rPr>
      </w:pPr>
      <w:r>
        <w:rPr>
          <w:rFonts w:hint="eastAsia" w:cs="仿宋"/>
          <w:bCs/>
          <w:color w:val="auto"/>
          <w:sz w:val="24"/>
          <w:szCs w:val="24"/>
          <w:highlight w:val="none"/>
        </w:rPr>
        <w:t xml:space="preserve">一、质疑投标人基本信息</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质疑投标人：</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联系人：</w:t>
      </w:r>
      <w:r>
        <w:rPr>
          <w:rFonts w:hint="eastAsia" w:cs="仿宋"/>
          <w:color w:val="auto"/>
          <w:sz w:val="24"/>
          <w:szCs w:val="24"/>
          <w:highlight w:val="none"/>
          <w:u w:val="single"/>
        </w:rPr>
        <w:t xml:space="preserve">                      </w:t>
      </w: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授权代表：</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联系电话：</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地址：</w:t>
      </w:r>
      <w:r>
        <w:rPr>
          <w:rFonts w:cs="仿宋"/>
          <w:color w:val="auto"/>
          <w:sz w:val="24"/>
          <w:szCs w:val="24"/>
          <w:highlight w:val="none"/>
        </w:rPr>
        <w:t xml:space="preserve"> </w:t>
      </w:r>
      <w:r>
        <w:rPr>
          <w:rFonts w:hint="eastAsia" w:cs="仿宋"/>
          <w:color w:val="auto"/>
          <w:sz w:val="24"/>
          <w:szCs w:val="24"/>
          <w:highlight w:val="none"/>
          <w:u w:val="single"/>
        </w:rPr>
        <w:t xml:space="preserve">                        </w:t>
      </w:r>
      <w:r>
        <w:rPr>
          <w:rFonts w:hint="eastAsia" w:cs="仿宋"/>
          <w:color w:val="auto"/>
          <w:sz w:val="24"/>
          <w:szCs w:val="24"/>
          <w:highlight w:val="none"/>
        </w:rPr>
        <w:t xml:space="preserve">邮编：</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二、质疑项目基本情况</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质疑项目的编号：</w:t>
      </w:r>
      <w:r>
        <w:rPr>
          <w:rFonts w:hint="eastAsia" w:cs="仿宋"/>
          <w:color w:val="auto"/>
          <w:sz w:val="24"/>
          <w:szCs w:val="24"/>
          <w:highlight w:val="none"/>
          <w:u w:val="single"/>
        </w:rPr>
        <w:t xml:space="preserve">                         </w:t>
      </w:r>
      <w:r>
        <w:rPr>
          <w:rFonts w:hint="eastAsia" w:cs="仿宋"/>
          <w:color w:val="auto"/>
          <w:sz w:val="24"/>
          <w:szCs w:val="24"/>
          <w:highlight w:val="none"/>
        </w:rPr>
        <w:t xml:space="preserve">包号：</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采购人名称：</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rPr>
        <w:t xml:space="preserve">采购文件获取日期：</w:t>
      </w:r>
      <w:r>
        <w:rPr>
          <w:rFonts w:hint="eastAsia" w:cs="仿宋"/>
          <w:color w:val="auto"/>
          <w:sz w:val="24"/>
          <w:szCs w:val="24"/>
          <w:highlight w:val="none"/>
          <w:u w:val="single"/>
        </w:rPr>
        <w:t xml:space="preserve">                                                        </w:t>
      </w:r>
      <w:r/>
    </w:p>
    <w:p>
      <w:pPr>
        <w:spacing w:line="360" w:lineRule="auto"/>
        <w:rPr>
          <w:rFonts w:cs="仿宋"/>
          <w:bCs/>
          <w:color w:val="auto"/>
          <w:sz w:val="24"/>
          <w:szCs w:val="24"/>
          <w:highlight w:val="none"/>
        </w:rPr>
      </w:pPr>
      <w:r>
        <w:rPr>
          <w:rFonts w:hint="eastAsia" w:cs="仿宋"/>
          <w:bCs/>
          <w:color w:val="auto"/>
          <w:sz w:val="24"/>
          <w:szCs w:val="24"/>
          <w:highlight w:val="none"/>
        </w:rPr>
        <w:t xml:space="preserve">三、质疑事项具体内容</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质疑事项1：</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事实依据：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法律依据：</w:t>
      </w: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u w:val="single"/>
        </w:rPr>
        <w:t xml:space="preserve">                                                                           </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质疑事项2</w:t>
      </w:r>
      <w:r/>
    </w:p>
    <w:p>
      <w:pPr>
        <w:spacing w:line="360" w:lineRule="auto"/>
        <w:rPr>
          <w:rFonts w:cs="仿宋"/>
          <w:color w:val="auto"/>
          <w:sz w:val="24"/>
          <w:szCs w:val="24"/>
          <w:highlight w:val="none"/>
        </w:rPr>
      </w:pPr>
      <w:r>
        <w:rPr>
          <w:rFonts w:hint="eastAsia" w:cs="仿宋"/>
          <w:color w:val="auto"/>
          <w:sz w:val="24"/>
          <w:szCs w:val="24"/>
          <w:highlight w:val="none"/>
        </w:rPr>
        <w:t xml:space="preserve">……</w:t>
      </w:r>
      <w:r/>
    </w:p>
    <w:p>
      <w:pPr>
        <w:spacing w:line="360" w:lineRule="auto"/>
        <w:rPr>
          <w:rFonts w:cs="仿宋"/>
          <w:bCs/>
          <w:color w:val="auto"/>
          <w:sz w:val="24"/>
          <w:szCs w:val="24"/>
          <w:highlight w:val="none"/>
        </w:rPr>
      </w:pPr>
      <w:r>
        <w:rPr>
          <w:rFonts w:hint="eastAsia" w:cs="仿宋"/>
          <w:bCs/>
          <w:color w:val="auto"/>
          <w:sz w:val="24"/>
          <w:szCs w:val="24"/>
          <w:highlight w:val="none"/>
        </w:rPr>
        <w:t xml:space="preserve">四、与质疑事项相关的质疑请求</w:t>
      </w:r>
      <w:r/>
    </w:p>
    <w:p>
      <w:pPr>
        <w:spacing w:line="360" w:lineRule="auto"/>
        <w:rPr>
          <w:rFonts w:cs="仿宋"/>
          <w:color w:val="auto"/>
          <w:sz w:val="24"/>
          <w:szCs w:val="24"/>
          <w:highlight w:val="none"/>
          <w:u w:val="single"/>
        </w:rPr>
      </w:pPr>
      <w:r>
        <w:rPr>
          <w:rFonts w:hint="eastAsia" w:cs="仿宋"/>
          <w:color w:val="auto"/>
          <w:sz w:val="24"/>
          <w:szCs w:val="24"/>
          <w:highlight w:val="none"/>
        </w:rPr>
        <w:t xml:space="preserve">请求：</w:t>
      </w:r>
      <w:r>
        <w:rPr>
          <w:rFonts w:hint="eastAsia" w:cs="仿宋"/>
          <w:color w:val="auto"/>
          <w:sz w:val="24"/>
          <w:szCs w:val="24"/>
          <w:highlight w:val="none"/>
          <w:u w:val="single"/>
        </w:rPr>
        <w:t xml:space="preserve">                                                                     </w:t>
      </w:r>
      <w:r/>
    </w:p>
    <w:p>
      <w:pPr>
        <w:rPr>
          <w:color w:val="auto"/>
          <w:sz w:val="24"/>
          <w:szCs w:val="24"/>
          <w:highlight w:val="none"/>
        </w:rPr>
      </w:pPr>
      <w:r>
        <w:rPr>
          <w:rFonts w:hint="eastAsia"/>
          <w:color w:val="auto"/>
          <w:sz w:val="24"/>
          <w:szCs w:val="24"/>
          <w:highlight w:val="none"/>
        </w:rPr>
        <w:t xml:space="preserve">签字(签章)：                   公章：                      </w:t>
      </w:r>
      <w:r/>
    </w:p>
    <w:p>
      <w:pPr>
        <w:rPr>
          <w:color w:val="auto"/>
          <w:sz w:val="24"/>
          <w:szCs w:val="24"/>
          <w:highlight w:val="none"/>
        </w:rPr>
      </w:pPr>
      <w:r>
        <w:rPr>
          <w:rFonts w:hint="eastAsia"/>
          <w:color w:val="auto"/>
          <w:sz w:val="24"/>
          <w:szCs w:val="24"/>
          <w:highlight w:val="none"/>
        </w:rPr>
        <w:t xml:space="preserve">日期：    </w:t>
      </w:r>
      <w:r/>
    </w:p>
    <w:p>
      <w:pPr>
        <w:spacing w:line="400" w:lineRule="exact"/>
        <w:rPr>
          <w:b/>
          <w:color w:val="auto"/>
          <w:sz w:val="24"/>
          <w:szCs w:val="24"/>
          <w:highlight w:val="none"/>
        </w:rPr>
      </w:pPr>
      <w:r>
        <w:rPr>
          <w:rFonts w:hint="eastAsia"/>
          <w:b/>
          <w:color w:val="auto"/>
          <w:sz w:val="24"/>
          <w:szCs w:val="24"/>
          <w:highlight w:val="none"/>
        </w:rPr>
        <w:t xml:space="preserve">质疑函制作说明：</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1.投标人提出质疑时，应提交质疑函和必要的证明材料。</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2.质疑投标人若委托代理人进行质疑的，质疑函应按要求列明“授权代表”的有关内容，并在附件中提交由质疑</w:t>
      </w:r>
      <w:r>
        <w:rPr>
          <w:rFonts w:hint="eastAsia"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3.质疑投标人若对项目的某一分包进行质疑，质疑函中应列明具体分包号。</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4.质疑函的质疑事项应具体、明确，并有必要的事实依据和法律依据。</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5.质疑函的质疑请求应与质疑事项相关。</w:t>
      </w:r>
      <w:r/>
    </w:p>
    <w:p>
      <w:pPr>
        <w:ind w:firstLine="480"/>
        <w:jc w:val="left"/>
        <w:spacing w:line="400" w:lineRule="exact"/>
        <w:widowControl/>
        <w:rPr>
          <w:color w:val="auto"/>
          <w:sz w:val="24"/>
          <w:szCs w:val="24"/>
          <w:highlight w:val="none"/>
        </w:rPr>
      </w:pPr>
      <w:r>
        <w:rPr>
          <w:rFonts w:hint="eastAsia"/>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23"/>
        <w:rPr>
          <w:color w:val="auto"/>
          <w:sz w:val="24"/>
          <w:szCs w:val="24"/>
          <w:highlight w:val="none"/>
        </w:rPr>
      </w:pPr>
      <w:r>
        <w:rPr>
          <w:color w:val="auto"/>
          <w:sz w:val="24"/>
          <w:szCs w:val="24"/>
          <w:highlight w:val="none"/>
        </w:rPr>
      </w:r>
      <w:r/>
    </w:p>
    <w:p>
      <w:pPr>
        <w:pStyle w:val="923"/>
        <w:rPr>
          <w:color w:val="auto"/>
          <w:sz w:val="24"/>
          <w:szCs w:val="24"/>
          <w:highlight w:val="none"/>
        </w:rPr>
      </w:pPr>
      <w:r>
        <w:rPr>
          <w:color w:val="auto"/>
          <w:sz w:val="24"/>
          <w:szCs w:val="24"/>
          <w:highlight w:val="none"/>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黑体_GBK">
    <w:panose1 w:val="020B0503020202020204"/>
  </w:font>
  <w:font w:name="方正仿宋简体">
    <w:panose1 w:val="020B0503020202020204"/>
  </w:font>
  <w:font w:name="Tahoma">
    <w:panose1 w:val="020B0604030504040204"/>
  </w:font>
  <w:font w:name="Calibri Light">
    <w:panose1 w:val="020F0302020204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74" w:lineRule="auto"/>
      <w:widowControl/>
      <w:rPr>
        <w:rFonts w:eastAsia="Times New Roman"/>
        <w:color w:val="000000"/>
        <w:sz w:val="15"/>
        <w:szCs w:val="15"/>
        <w:lang w:eastAsia="en-US"/>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pPr>
                    <w:r>
                      <w:fldChar w:fldCharType="begin"/>
                    </w:r>
                    <w:r>
                      <w:instrText xml:space="preserve"> PAGE  \* MERGEFORMAT </w:instrText>
                    </w:r>
                    <w:r>
                      <w:fldChar w:fldCharType="separate"/>
                    </w:r>
                    <w:r>
                      <w:t xml:space="preserve">44</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6"/>
      <w:isLgl w:val="false"/>
      <w:suff w:val="nothing"/>
      <w:lvlText w:val=""/>
      <w:lvlJc w:val="left"/>
      <w:pPr>
        <w:ind w:left="0" w:firstLine="0"/>
      </w:pPr>
      <w:rPr>
        <w:rFonts w:hint="eastAsia"/>
      </w:rPr>
    </w:lvl>
    <w:lvl w:ilvl="6">
      <w:start w:val="1"/>
      <w:numFmt w:val="decimal"/>
      <w:pStyle w:val="927"/>
      <w:isLgl w:val="false"/>
      <w:suff w:val="nothing"/>
      <w:lvlText w:val=""/>
      <w:lvlJc w:val="left"/>
      <w:pPr>
        <w:ind w:left="0" w:firstLine="0"/>
      </w:pPr>
      <w:rPr>
        <w:rFonts w:hint="eastAsia"/>
      </w:rPr>
    </w:lvl>
    <w:lvl w:ilvl="7">
      <w:start w:val="1"/>
      <w:numFmt w:val="decimal"/>
      <w:pStyle w:val="928"/>
      <w:isLgl w:val="false"/>
      <w:suff w:val="nothing"/>
      <w:lvlText w:val=""/>
      <w:lvlJc w:val="left"/>
      <w:pPr>
        <w:ind w:left="0" w:firstLine="0"/>
      </w:pPr>
      <w:rPr>
        <w:rFonts w:hint="eastAsia"/>
      </w:rPr>
    </w:lvl>
    <w:lvl w:ilvl="8">
      <w:start w:val="1"/>
      <w:numFmt w:val="decimal"/>
      <w:pStyle w:val="929"/>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4"/>
  </w:num>
  <w:num w:numId="4">
    <w:abstractNumId w:val="2"/>
  </w:num>
  <w:num w:numId="5">
    <w:abstractNumId w:val="3"/>
  </w:num>
  <w:num w:numId="6">
    <w:abstractNumId w:val="7"/>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742"/>
    <w:uiPriority w:val="9"/>
    <w:qFormat/>
    <w:pPr>
      <w:keepLines/>
      <w:keepNext/>
      <w:spacing w:before="480" w:after="200"/>
      <w:outlineLvl w:val="0"/>
    </w:pPr>
    <w:rPr>
      <w:rFonts w:ascii="Arial" w:hAnsi="Arial" w:eastAsia="Arial" w:cs="Arial"/>
      <w:sz w:val="40"/>
      <w:szCs w:val="40"/>
    </w:rPr>
  </w:style>
  <w:style w:type="paragraph" w:styleId="14">
    <w:name w:val="Heading 2"/>
    <w:basedOn w:val="715"/>
    <w:next w:val="715"/>
    <w:link w:val="743"/>
    <w:uiPriority w:val="9"/>
    <w:unhideWhenUsed/>
    <w:qFormat/>
    <w:pPr>
      <w:keepLines/>
      <w:keepNext/>
      <w:spacing w:before="360" w:after="200"/>
      <w:outlineLvl w:val="1"/>
    </w:pPr>
    <w:rPr>
      <w:rFonts w:ascii="Arial" w:hAnsi="Arial" w:eastAsia="Arial" w:cs="Arial"/>
      <w:sz w:val="34"/>
    </w:rPr>
  </w:style>
  <w:style w:type="paragraph" w:styleId="16">
    <w:name w:val="Heading 3"/>
    <w:basedOn w:val="715"/>
    <w:next w:val="715"/>
    <w:link w:val="74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15"/>
    <w:next w:val="715"/>
    <w:link w:val="74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15"/>
    <w:next w:val="715"/>
    <w:link w:val="74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15"/>
    <w:next w:val="715"/>
    <w:link w:val="74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15"/>
    <w:next w:val="715"/>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15"/>
    <w:next w:val="715"/>
    <w:link w:val="74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15"/>
    <w:next w:val="715"/>
    <w:link w:val="750"/>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paragraph" w:styleId="189">
    <w:name w:val="TOC Heading"/>
    <w:uiPriority w:val="39"/>
    <w:unhideWhenUsed/>
  </w:style>
  <w:style w:type="paragraph" w:styleId="715"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15"/>
    <w:next w:val="715"/>
    <w:uiPriority w:val="39"/>
    <w:unhideWhenUsed/>
    <w:qFormat/>
    <w:pPr>
      <w:ind w:left="1701"/>
      <w:spacing w:after="57"/>
    </w:pPr>
  </w:style>
  <w:style w:type="paragraph" w:styleId="719">
    <w:name w:val="toc 5"/>
    <w:basedOn w:val="715"/>
    <w:next w:val="715"/>
    <w:uiPriority w:val="39"/>
    <w:unhideWhenUsed/>
    <w:qFormat/>
    <w:pPr>
      <w:ind w:left="1134"/>
      <w:spacing w:after="57"/>
    </w:pPr>
  </w:style>
  <w:style w:type="paragraph" w:styleId="720">
    <w:name w:val="toc 3"/>
    <w:basedOn w:val="715"/>
    <w:next w:val="715"/>
    <w:uiPriority w:val="39"/>
    <w:unhideWhenUsed/>
    <w:qFormat/>
    <w:pPr>
      <w:ind w:left="567"/>
      <w:spacing w:after="57"/>
    </w:pPr>
  </w:style>
  <w:style w:type="paragraph" w:styleId="721">
    <w:name w:val="toc 8"/>
    <w:basedOn w:val="715"/>
    <w:next w:val="715"/>
    <w:uiPriority w:val="39"/>
    <w:unhideWhenUsed/>
    <w:qFormat/>
    <w:pPr>
      <w:ind w:left="1984"/>
      <w:spacing w:after="57"/>
    </w:pPr>
  </w:style>
  <w:style w:type="paragraph" w:styleId="722">
    <w:name w:val="endnote text"/>
    <w:basedOn w:val="715"/>
    <w:link w:val="918"/>
    <w:uiPriority w:val="99"/>
    <w:semiHidden/>
    <w:unhideWhenUsed/>
    <w:qFormat/>
    <w:rPr>
      <w:sz w:val="20"/>
    </w:rPr>
  </w:style>
  <w:style w:type="paragraph" w:styleId="723">
    <w:name w:val="Footer"/>
    <w:basedOn w:val="715"/>
    <w:link w:val="1060"/>
    <w:uiPriority w:val="99"/>
    <w:unhideWhenUsed/>
    <w:qFormat/>
    <w:pPr>
      <w:jc w:val="left"/>
      <w:tabs>
        <w:tab w:val="center" w:pos="4153" w:leader="none"/>
        <w:tab w:val="right" w:pos="8306" w:leader="none"/>
      </w:tabs>
    </w:pPr>
    <w:rPr>
      <w:sz w:val="18"/>
      <w:szCs w:val="18"/>
    </w:rPr>
  </w:style>
  <w:style w:type="paragraph" w:styleId="724">
    <w:name w:val="Header"/>
    <w:basedOn w:val="715"/>
    <w:link w:val="10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5">
    <w:name w:val="toc 1"/>
    <w:basedOn w:val="715"/>
    <w:next w:val="715"/>
    <w:uiPriority w:val="39"/>
    <w:unhideWhenUsed/>
    <w:qFormat/>
    <w:pPr>
      <w:spacing w:after="57"/>
    </w:pPr>
  </w:style>
  <w:style w:type="paragraph" w:styleId="726">
    <w:name w:val="toc 4"/>
    <w:basedOn w:val="715"/>
    <w:next w:val="715"/>
    <w:uiPriority w:val="39"/>
    <w:unhideWhenUsed/>
    <w:qFormat/>
    <w:pPr>
      <w:ind w:left="850"/>
      <w:spacing w:after="57"/>
    </w:pPr>
  </w:style>
  <w:style w:type="paragraph" w:styleId="727">
    <w:name w:val="Subtitle"/>
    <w:basedOn w:val="715"/>
    <w:next w:val="715"/>
    <w:link w:val="784"/>
    <w:uiPriority w:val="11"/>
    <w:qFormat/>
    <w:pPr>
      <w:spacing w:before="200" w:after="200"/>
    </w:pPr>
    <w:rPr>
      <w:sz w:val="24"/>
      <w:szCs w:val="24"/>
    </w:rPr>
  </w:style>
  <w:style w:type="paragraph" w:styleId="728">
    <w:name w:val="footnote text"/>
    <w:basedOn w:val="715"/>
    <w:link w:val="917"/>
    <w:uiPriority w:val="99"/>
    <w:semiHidden/>
    <w:unhideWhenUsed/>
    <w:qFormat/>
    <w:pPr>
      <w:spacing w:after="40"/>
    </w:pPr>
    <w:rPr>
      <w:sz w:val="18"/>
    </w:rPr>
  </w:style>
  <w:style w:type="paragraph" w:styleId="729">
    <w:name w:val="toc 6"/>
    <w:basedOn w:val="715"/>
    <w:next w:val="715"/>
    <w:uiPriority w:val="39"/>
    <w:unhideWhenUsed/>
    <w:qFormat/>
    <w:pPr>
      <w:ind w:left="1417"/>
      <w:spacing w:after="57"/>
    </w:pPr>
  </w:style>
  <w:style w:type="paragraph" w:styleId="730">
    <w:name w:val="table of figures"/>
    <w:basedOn w:val="715"/>
    <w:next w:val="715"/>
    <w:uiPriority w:val="99"/>
    <w:unhideWhenUsed/>
    <w:qFormat/>
  </w:style>
  <w:style w:type="paragraph" w:styleId="731">
    <w:name w:val="toc 2"/>
    <w:basedOn w:val="715"/>
    <w:next w:val="715"/>
    <w:uiPriority w:val="39"/>
    <w:unhideWhenUsed/>
    <w:qFormat/>
    <w:pPr>
      <w:ind w:left="283"/>
      <w:spacing w:after="57"/>
    </w:pPr>
  </w:style>
  <w:style w:type="paragraph" w:styleId="732">
    <w:name w:val="toc 9"/>
    <w:basedOn w:val="715"/>
    <w:next w:val="715"/>
    <w:uiPriority w:val="39"/>
    <w:unhideWhenUsed/>
    <w:qFormat/>
    <w:pPr>
      <w:ind w:left="2268"/>
      <w:spacing w:after="57"/>
    </w:pPr>
  </w:style>
  <w:style w:type="paragraph" w:styleId="733">
    <w:name w:val="Title"/>
    <w:basedOn w:val="715"/>
    <w:next w:val="715"/>
    <w:link w:val="783"/>
    <w:uiPriority w:val="10"/>
    <w:qFormat/>
    <w:pPr>
      <w:contextualSpacing/>
      <w:spacing w:before="300" w:after="200"/>
    </w:pPr>
    <w:rPr>
      <w:sz w:val="48"/>
      <w:szCs w:val="48"/>
    </w:r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paragraph" w:styleId="738" w:customStyle="1">
    <w:name w:val="段"/>
    <w:next w:val="715"/>
    <w:uiPriority w:val="0"/>
    <w:qFormat/>
    <w:pPr>
      <w:ind w:firstLine="200"/>
      <w:jc w:val="both"/>
    </w:pPr>
    <w:rPr>
      <w:rFonts w:ascii="宋体" w:hAnsi="Times New Roman" w:eastAsia="宋体" w:cs="Times New Roman"/>
      <w:sz w:val="21"/>
      <w:szCs w:val="22"/>
      <w:lang w:val="en-US" w:eastAsia="zh-CN" w:bidi="ar-SA"/>
    </w:rPr>
  </w:style>
  <w:style w:type="paragraph" w:styleId="739" w:customStyle="1">
    <w:name w:val="页脚1"/>
    <w:basedOn w:val="715"/>
    <w:uiPriority w:val="99"/>
    <w:semiHidden/>
    <w:unhideWhenUsed/>
    <w:qFormat/>
    <w:pPr>
      <w:jc w:val="left"/>
      <w:tabs>
        <w:tab w:val="center" w:pos="4153" w:leader="none"/>
        <w:tab w:val="right" w:pos="8306" w:leader="none"/>
      </w:tabs>
    </w:pPr>
    <w:rPr>
      <w:sz w:val="18"/>
    </w:rPr>
  </w:style>
  <w:style w:type="paragraph" w:styleId="740" w:customStyle="1">
    <w:name w:val="页眉1"/>
    <w:basedOn w:val="715"/>
    <w:uiPriority w:val="99"/>
    <w:semiHidden/>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1" w:customStyle="1">
    <w:name w:val="文本块1"/>
    <w:uiPriority w:val="0"/>
    <w:qFormat/>
    <w:pPr>
      <w:widowControl w:val="off"/>
    </w:pPr>
    <w:rPr>
      <w:rFonts w:ascii="宋体" w:hAnsi="宋体" w:eastAsia="宋体" w:cs="Times New Roman"/>
      <w:sz w:val="34"/>
      <w:szCs w:val="21"/>
      <w:lang w:val="en-US" w:eastAsia="zh-CN" w:bidi="ar-SA"/>
    </w:rPr>
  </w:style>
  <w:style w:type="character" w:styleId="742" w:customStyle="1">
    <w:name w:val="Heading 1 Char"/>
    <w:basedOn w:val="716"/>
    <w:uiPriority w:val="9"/>
    <w:qFormat/>
    <w:rPr>
      <w:rFonts w:ascii="Arial" w:hAnsi="Arial" w:eastAsia="Arial" w:cs="Arial"/>
      <w:sz w:val="40"/>
      <w:szCs w:val="40"/>
    </w:rPr>
  </w:style>
  <w:style w:type="character" w:styleId="743" w:customStyle="1">
    <w:name w:val="Heading 2 Char"/>
    <w:basedOn w:val="716"/>
    <w:uiPriority w:val="9"/>
    <w:qFormat/>
    <w:rPr>
      <w:rFonts w:ascii="Arial" w:hAnsi="Arial" w:eastAsia="Arial" w:cs="Arial"/>
      <w:sz w:val="34"/>
    </w:rPr>
  </w:style>
  <w:style w:type="character" w:styleId="744" w:customStyle="1">
    <w:name w:val="Heading 3 Char"/>
    <w:basedOn w:val="716"/>
    <w:uiPriority w:val="9"/>
    <w:qFormat/>
    <w:rPr>
      <w:rFonts w:ascii="Arial" w:hAnsi="Arial" w:eastAsia="Arial" w:cs="Arial"/>
      <w:sz w:val="30"/>
      <w:szCs w:val="30"/>
    </w:rPr>
  </w:style>
  <w:style w:type="character" w:styleId="745" w:customStyle="1">
    <w:name w:val="Heading 4 Char"/>
    <w:basedOn w:val="716"/>
    <w:uiPriority w:val="9"/>
    <w:qFormat/>
    <w:rPr>
      <w:rFonts w:ascii="Arial" w:hAnsi="Arial" w:eastAsia="Arial" w:cs="Arial"/>
      <w:b/>
      <w:bCs/>
      <w:sz w:val="26"/>
      <w:szCs w:val="26"/>
    </w:rPr>
  </w:style>
  <w:style w:type="character" w:styleId="746" w:customStyle="1">
    <w:name w:val="Heading 5 Char"/>
    <w:basedOn w:val="716"/>
    <w:uiPriority w:val="9"/>
    <w:qFormat/>
    <w:rPr>
      <w:rFonts w:ascii="Arial" w:hAnsi="Arial" w:eastAsia="Arial" w:cs="Arial"/>
      <w:b/>
      <w:bCs/>
      <w:sz w:val="24"/>
      <w:szCs w:val="24"/>
    </w:rPr>
  </w:style>
  <w:style w:type="character" w:styleId="747" w:customStyle="1">
    <w:name w:val="Heading 6 Char"/>
    <w:basedOn w:val="716"/>
    <w:uiPriority w:val="9"/>
    <w:qFormat/>
    <w:rPr>
      <w:rFonts w:ascii="Arial" w:hAnsi="Arial" w:eastAsia="Arial" w:cs="Arial"/>
      <w:b/>
      <w:bCs/>
      <w:sz w:val="22"/>
      <w:szCs w:val="22"/>
    </w:rPr>
  </w:style>
  <w:style w:type="character" w:styleId="748" w:customStyle="1">
    <w:name w:val="Heading 7 Char"/>
    <w:basedOn w:val="716"/>
    <w:uiPriority w:val="9"/>
    <w:qFormat/>
    <w:rPr>
      <w:rFonts w:ascii="Arial" w:hAnsi="Arial" w:eastAsia="Arial" w:cs="Arial"/>
      <w:b/>
      <w:bCs/>
      <w:i/>
      <w:iCs/>
      <w:sz w:val="22"/>
      <w:szCs w:val="22"/>
    </w:rPr>
  </w:style>
  <w:style w:type="character" w:styleId="749" w:customStyle="1">
    <w:name w:val="Heading 8 Char"/>
    <w:basedOn w:val="716"/>
    <w:uiPriority w:val="9"/>
    <w:qFormat/>
    <w:rPr>
      <w:rFonts w:ascii="Arial" w:hAnsi="Arial" w:eastAsia="Arial" w:cs="Arial"/>
      <w:i/>
      <w:iCs/>
      <w:sz w:val="22"/>
      <w:szCs w:val="22"/>
    </w:rPr>
  </w:style>
  <w:style w:type="character" w:styleId="750" w:customStyle="1">
    <w:name w:val="Heading 9 Char"/>
    <w:basedOn w:val="716"/>
    <w:uiPriority w:val="9"/>
    <w:qFormat/>
    <w:rPr>
      <w:rFonts w:ascii="Arial" w:hAnsi="Arial" w:eastAsia="Arial" w:cs="Arial"/>
      <w:i/>
      <w:iCs/>
      <w:sz w:val="21"/>
      <w:szCs w:val="21"/>
    </w:rPr>
  </w:style>
  <w:style w:type="character" w:styleId="751" w:customStyle="1">
    <w:name w:val="Title Char"/>
    <w:basedOn w:val="716"/>
    <w:uiPriority w:val="10"/>
    <w:qFormat/>
    <w:rPr>
      <w:sz w:val="48"/>
      <w:szCs w:val="48"/>
    </w:rPr>
  </w:style>
  <w:style w:type="character" w:styleId="752" w:customStyle="1">
    <w:name w:val="Subtitle Char"/>
    <w:basedOn w:val="716"/>
    <w:uiPriority w:val="11"/>
    <w:qFormat/>
    <w:rPr>
      <w:sz w:val="24"/>
      <w:szCs w:val="24"/>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716"/>
    <w:uiPriority w:val="99"/>
    <w:qFormat/>
  </w:style>
  <w:style w:type="character" w:styleId="756" w:customStyle="1">
    <w:name w:val="Caption Char"/>
    <w:uiPriority w:val="99"/>
    <w:qFormat/>
  </w:style>
  <w:style w:type="character" w:styleId="757" w:customStyle="1">
    <w:name w:val="Footnote Text Char"/>
    <w:uiPriority w:val="99"/>
    <w:qFormat/>
    <w:rPr>
      <w:sz w:val="18"/>
    </w:rPr>
  </w:style>
  <w:style w:type="character" w:styleId="758" w:customStyle="1">
    <w:name w:val="Endnote Text Char"/>
    <w:uiPriority w:val="99"/>
    <w:qFormat/>
    <w:rPr>
      <w:sz w:val="20"/>
    </w:rPr>
  </w:style>
  <w:style w:type="paragraph" w:styleId="759" w:customStyle="1">
    <w:name w:val="TOC 标题1"/>
    <w:uiPriority w:val="39"/>
    <w:unhideWhenUsed/>
    <w:qFormat/>
    <w:rPr>
      <w:rFonts w:ascii="Times New Roman" w:hAnsi="Times New Roman" w:eastAsia="宋体" w:cs="Times New Roman"/>
      <w:lang w:val="en-US" w:eastAsia="zh-CN" w:bidi="ar-SA"/>
    </w:rPr>
  </w:style>
  <w:style w:type="paragraph" w:styleId="760" w:customStyle="1">
    <w:name w:val="标题 11"/>
    <w:basedOn w:val="715"/>
    <w:next w:val="715"/>
    <w:link w:val="772"/>
    <w:uiPriority w:val="9"/>
    <w:qFormat/>
    <w:pPr>
      <w:keepLines/>
      <w:keepNext/>
      <w:spacing w:before="480" w:after="200"/>
      <w:outlineLvl w:val="0"/>
    </w:pPr>
    <w:rPr>
      <w:rFonts w:ascii="Arial" w:hAnsi="Arial" w:eastAsia="Arial" w:cs="Arial"/>
      <w:sz w:val="40"/>
      <w:szCs w:val="40"/>
    </w:rPr>
  </w:style>
  <w:style w:type="paragraph" w:styleId="761" w:customStyle="1">
    <w:name w:val="标题 21"/>
    <w:basedOn w:val="715"/>
    <w:next w:val="715"/>
    <w:link w:val="773"/>
    <w:uiPriority w:val="9"/>
    <w:unhideWhenUsed/>
    <w:qFormat/>
    <w:pPr>
      <w:keepLines/>
      <w:keepNext/>
      <w:spacing w:before="360" w:after="200"/>
      <w:outlineLvl w:val="1"/>
    </w:pPr>
    <w:rPr>
      <w:rFonts w:ascii="Arial" w:hAnsi="Arial" w:eastAsia="Arial" w:cs="Arial"/>
      <w:sz w:val="34"/>
    </w:rPr>
  </w:style>
  <w:style w:type="paragraph" w:styleId="762" w:customStyle="1">
    <w:name w:val="标题 31"/>
    <w:basedOn w:val="715"/>
    <w:next w:val="715"/>
    <w:link w:val="774"/>
    <w:uiPriority w:val="9"/>
    <w:unhideWhenUsed/>
    <w:qFormat/>
    <w:pPr>
      <w:keepLines/>
      <w:keepNext/>
      <w:spacing w:before="320" w:after="200"/>
      <w:outlineLvl w:val="2"/>
    </w:pPr>
    <w:rPr>
      <w:rFonts w:ascii="Arial" w:hAnsi="Arial" w:eastAsia="Arial" w:cs="Arial"/>
      <w:sz w:val="30"/>
      <w:szCs w:val="30"/>
    </w:rPr>
  </w:style>
  <w:style w:type="paragraph" w:styleId="763" w:customStyle="1">
    <w:name w:val="标题 41"/>
    <w:basedOn w:val="715"/>
    <w:next w:val="715"/>
    <w:link w:val="775"/>
    <w:uiPriority w:val="9"/>
    <w:unhideWhenUsed/>
    <w:qFormat/>
    <w:pPr>
      <w:keepLines/>
      <w:keepNext/>
      <w:spacing w:before="320" w:after="200"/>
      <w:outlineLvl w:val="3"/>
    </w:pPr>
    <w:rPr>
      <w:rFonts w:ascii="Arial" w:hAnsi="Arial" w:eastAsia="Arial" w:cs="Arial"/>
      <w:b/>
      <w:bCs/>
      <w:sz w:val="26"/>
      <w:szCs w:val="26"/>
    </w:rPr>
  </w:style>
  <w:style w:type="paragraph" w:styleId="764" w:customStyle="1">
    <w:name w:val="标题 51"/>
    <w:basedOn w:val="715"/>
    <w:next w:val="715"/>
    <w:link w:val="776"/>
    <w:uiPriority w:val="9"/>
    <w:unhideWhenUsed/>
    <w:qFormat/>
    <w:pPr>
      <w:keepLines/>
      <w:keepNext/>
      <w:spacing w:before="320" w:after="200"/>
      <w:outlineLvl w:val="4"/>
    </w:pPr>
    <w:rPr>
      <w:rFonts w:ascii="Arial" w:hAnsi="Arial" w:eastAsia="Arial" w:cs="Arial"/>
      <w:b/>
      <w:bCs/>
      <w:sz w:val="24"/>
      <w:szCs w:val="24"/>
    </w:rPr>
  </w:style>
  <w:style w:type="paragraph" w:styleId="765" w:customStyle="1">
    <w:name w:val="标题 61"/>
    <w:basedOn w:val="715"/>
    <w:next w:val="715"/>
    <w:link w:val="777"/>
    <w:uiPriority w:val="9"/>
    <w:unhideWhenUsed/>
    <w:qFormat/>
    <w:pPr>
      <w:keepLines/>
      <w:keepNext/>
      <w:spacing w:before="320" w:after="200"/>
      <w:outlineLvl w:val="5"/>
    </w:pPr>
    <w:rPr>
      <w:rFonts w:ascii="Arial" w:hAnsi="Arial" w:eastAsia="Arial" w:cs="Arial"/>
      <w:b/>
      <w:bCs/>
      <w:sz w:val="22"/>
      <w:szCs w:val="22"/>
    </w:rPr>
  </w:style>
  <w:style w:type="paragraph" w:styleId="766" w:customStyle="1">
    <w:name w:val="标题 71"/>
    <w:basedOn w:val="715"/>
    <w:next w:val="715"/>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67" w:customStyle="1">
    <w:name w:val="标题 81"/>
    <w:basedOn w:val="715"/>
    <w:next w:val="715"/>
    <w:link w:val="779"/>
    <w:uiPriority w:val="9"/>
    <w:unhideWhenUsed/>
    <w:qFormat/>
    <w:pPr>
      <w:keepLines/>
      <w:keepNext/>
      <w:spacing w:before="320" w:after="200"/>
      <w:outlineLvl w:val="7"/>
    </w:pPr>
    <w:rPr>
      <w:rFonts w:ascii="Arial" w:hAnsi="Arial" w:eastAsia="Arial" w:cs="Arial"/>
      <w:i/>
      <w:iCs/>
      <w:sz w:val="22"/>
      <w:szCs w:val="22"/>
    </w:rPr>
  </w:style>
  <w:style w:type="paragraph" w:styleId="768" w:customStyle="1">
    <w:name w:val="标题 91"/>
    <w:basedOn w:val="715"/>
    <w:next w:val="715"/>
    <w:link w:val="780"/>
    <w:uiPriority w:val="9"/>
    <w:unhideWhenUsed/>
    <w:qFormat/>
    <w:pPr>
      <w:keepLines/>
      <w:keepNext/>
      <w:spacing w:before="320" w:after="200"/>
      <w:outlineLvl w:val="8"/>
    </w:pPr>
    <w:rPr>
      <w:rFonts w:ascii="Arial" w:hAnsi="Arial" w:eastAsia="Arial" w:cs="Arial"/>
      <w:i/>
      <w:iCs/>
    </w:rPr>
  </w:style>
  <w:style w:type="paragraph" w:styleId="769" w:customStyle="1">
    <w:name w:val="题注1"/>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customStyle="1">
    <w:name w:val="页脚2"/>
    <w:basedOn w:val="715"/>
    <w:link w:val="791"/>
    <w:uiPriority w:val="99"/>
    <w:unhideWhenUsed/>
    <w:qFormat/>
    <w:pPr>
      <w:tabs>
        <w:tab w:val="center" w:pos="7143" w:leader="none"/>
        <w:tab w:val="right" w:pos="14287" w:leader="none"/>
      </w:tabs>
    </w:pPr>
  </w:style>
  <w:style w:type="paragraph" w:styleId="771" w:customStyle="1">
    <w:name w:val="页眉2"/>
    <w:basedOn w:val="715"/>
    <w:link w:val="789"/>
    <w:uiPriority w:val="99"/>
    <w:unhideWhenUsed/>
    <w:qFormat/>
    <w:pPr>
      <w:tabs>
        <w:tab w:val="center" w:pos="7143" w:leader="none"/>
        <w:tab w:val="right" w:pos="14287" w:leader="none"/>
      </w:tabs>
    </w:pPr>
  </w:style>
  <w:style w:type="character" w:styleId="772" w:customStyle="1">
    <w:name w:val="标题 1 Char1"/>
    <w:link w:val="760"/>
    <w:uiPriority w:val="9"/>
    <w:qFormat/>
    <w:rPr>
      <w:rFonts w:ascii="Arial" w:hAnsi="Arial" w:eastAsia="Arial" w:cs="Arial"/>
      <w:sz w:val="40"/>
      <w:szCs w:val="40"/>
    </w:rPr>
  </w:style>
  <w:style w:type="character" w:styleId="773" w:customStyle="1">
    <w:name w:val="标题 2 Char1"/>
    <w:link w:val="761"/>
    <w:uiPriority w:val="9"/>
    <w:qFormat/>
    <w:rPr>
      <w:rFonts w:ascii="Arial" w:hAnsi="Arial" w:eastAsia="Arial" w:cs="Arial"/>
      <w:sz w:val="34"/>
    </w:rPr>
  </w:style>
  <w:style w:type="character" w:styleId="774" w:customStyle="1">
    <w:name w:val="标题 3 Char1"/>
    <w:link w:val="762"/>
    <w:uiPriority w:val="9"/>
    <w:qFormat/>
    <w:rPr>
      <w:rFonts w:ascii="Arial" w:hAnsi="Arial" w:eastAsia="Arial" w:cs="Arial"/>
      <w:sz w:val="30"/>
      <w:szCs w:val="30"/>
    </w:rPr>
  </w:style>
  <w:style w:type="character" w:styleId="775" w:customStyle="1">
    <w:name w:val="标题 4 Char1"/>
    <w:link w:val="763"/>
    <w:uiPriority w:val="9"/>
    <w:qFormat/>
    <w:rPr>
      <w:rFonts w:ascii="Arial" w:hAnsi="Arial" w:eastAsia="Arial" w:cs="Arial"/>
      <w:b/>
      <w:bCs/>
      <w:sz w:val="26"/>
      <w:szCs w:val="26"/>
    </w:rPr>
  </w:style>
  <w:style w:type="character" w:styleId="776" w:customStyle="1">
    <w:name w:val="标题 5 Char1"/>
    <w:link w:val="764"/>
    <w:uiPriority w:val="9"/>
    <w:qFormat/>
    <w:rPr>
      <w:rFonts w:ascii="Arial" w:hAnsi="Arial" w:eastAsia="Arial" w:cs="Arial"/>
      <w:b/>
      <w:bCs/>
      <w:sz w:val="24"/>
      <w:szCs w:val="24"/>
    </w:rPr>
  </w:style>
  <w:style w:type="character" w:styleId="777" w:customStyle="1">
    <w:name w:val="标题 6 Char1"/>
    <w:link w:val="765"/>
    <w:uiPriority w:val="9"/>
    <w:qFormat/>
    <w:rPr>
      <w:rFonts w:ascii="Arial" w:hAnsi="Arial" w:eastAsia="Arial" w:cs="Arial"/>
      <w:b/>
      <w:bCs/>
      <w:sz w:val="22"/>
      <w:szCs w:val="22"/>
    </w:rPr>
  </w:style>
  <w:style w:type="character" w:styleId="778" w:customStyle="1">
    <w:name w:val="标题 7 Char1"/>
    <w:link w:val="766"/>
    <w:uiPriority w:val="9"/>
    <w:qFormat/>
    <w:rPr>
      <w:rFonts w:ascii="Arial" w:hAnsi="Arial" w:eastAsia="Arial" w:cs="Arial"/>
      <w:b/>
      <w:bCs/>
      <w:i/>
      <w:iCs/>
      <w:sz w:val="22"/>
      <w:szCs w:val="22"/>
    </w:rPr>
  </w:style>
  <w:style w:type="character" w:styleId="779" w:customStyle="1">
    <w:name w:val="标题 8 Char1"/>
    <w:link w:val="767"/>
    <w:uiPriority w:val="9"/>
    <w:qFormat/>
    <w:rPr>
      <w:rFonts w:ascii="Arial" w:hAnsi="Arial" w:eastAsia="Arial" w:cs="Arial"/>
      <w:i/>
      <w:iCs/>
      <w:sz w:val="22"/>
      <w:szCs w:val="22"/>
    </w:rPr>
  </w:style>
  <w:style w:type="character" w:styleId="780" w:customStyle="1">
    <w:name w:val="标题 9 Char1"/>
    <w:link w:val="768"/>
    <w:uiPriority w:val="9"/>
    <w:qFormat/>
    <w:rPr>
      <w:rFonts w:ascii="Arial" w:hAnsi="Arial" w:eastAsia="Arial" w:cs="Arial"/>
      <w:i/>
      <w:iCs/>
      <w:sz w:val="21"/>
      <w:szCs w:val="21"/>
    </w:rPr>
  </w:style>
  <w:style w:type="paragraph" w:styleId="781">
    <w:name w:val="List Paragraph"/>
    <w:basedOn w:val="715"/>
    <w:uiPriority w:val="34"/>
    <w:qFormat/>
    <w:pPr>
      <w:contextualSpacing/>
      <w:ind w:left="720"/>
    </w:pPr>
  </w:style>
  <w:style w:type="paragraph" w:styleId="782">
    <w:name w:val="No Spacing"/>
    <w:uiPriority w:val="1"/>
    <w:qFormat/>
    <w:rPr>
      <w:rFonts w:ascii="Times New Roman" w:hAnsi="Times New Roman" w:eastAsia="宋体" w:cs="Times New Roman"/>
      <w:lang w:val="en-US" w:eastAsia="zh-CN" w:bidi="ar-SA"/>
    </w:rPr>
  </w:style>
  <w:style w:type="character" w:styleId="783" w:customStyle="1">
    <w:name w:val="标题 Char"/>
    <w:link w:val="733"/>
    <w:uiPriority w:val="10"/>
    <w:qFormat/>
    <w:rPr>
      <w:sz w:val="48"/>
      <w:szCs w:val="48"/>
    </w:rPr>
  </w:style>
  <w:style w:type="character" w:styleId="784" w:customStyle="1">
    <w:name w:val="副标题 Char"/>
    <w:link w:val="727"/>
    <w:uiPriority w:val="11"/>
    <w:qFormat/>
    <w:rPr>
      <w:sz w:val="24"/>
      <w:szCs w:val="24"/>
    </w:rPr>
  </w:style>
  <w:style w:type="paragraph" w:styleId="785">
    <w:name w:val="Quote"/>
    <w:basedOn w:val="715"/>
    <w:next w:val="715"/>
    <w:link w:val="786"/>
    <w:uiPriority w:val="29"/>
    <w:qFormat/>
    <w:pPr>
      <w:ind w:left="720" w:right="720"/>
    </w:pPr>
    <w:rPr>
      <w:i/>
    </w:rPr>
  </w:style>
  <w:style w:type="character" w:styleId="786" w:customStyle="1">
    <w:name w:val="引用 Char"/>
    <w:link w:val="785"/>
    <w:uiPriority w:val="29"/>
    <w:qFormat/>
    <w:rPr>
      <w:i/>
    </w:rPr>
  </w:style>
  <w:style w:type="paragraph" w:styleId="787">
    <w:name w:val="Intense Quote"/>
    <w:basedOn w:val="715"/>
    <w:next w:val="715"/>
    <w:link w:val="7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明显引用 Char"/>
    <w:link w:val="787"/>
    <w:uiPriority w:val="30"/>
    <w:qFormat/>
    <w:rPr>
      <w:i/>
    </w:rPr>
  </w:style>
  <w:style w:type="character" w:styleId="789" w:customStyle="1">
    <w:name w:val="页眉 Char1"/>
    <w:link w:val="771"/>
    <w:uiPriority w:val="99"/>
    <w:qFormat/>
  </w:style>
  <w:style w:type="character" w:styleId="790" w:customStyle="1">
    <w:name w:val="Footer Char"/>
    <w:uiPriority w:val="99"/>
    <w:qFormat/>
  </w:style>
  <w:style w:type="character" w:styleId="791" w:customStyle="1">
    <w:name w:val="页脚 Char1"/>
    <w:link w:val="770"/>
    <w:uiPriority w:val="99"/>
    <w:qFormat/>
  </w:style>
  <w:style w:type="table" w:styleId="7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Char"/>
    <w:link w:val="728"/>
    <w:uiPriority w:val="99"/>
    <w:qFormat/>
    <w:rPr>
      <w:sz w:val="18"/>
    </w:rPr>
  </w:style>
  <w:style w:type="character" w:styleId="918" w:customStyle="1">
    <w:name w:val="尾注文本 Char"/>
    <w:link w:val="722"/>
    <w:uiPriority w:val="99"/>
    <w:qFormat/>
    <w:rPr>
      <w:sz w:val="20"/>
    </w:rPr>
  </w:style>
  <w:style w:type="paragraph" w:styleId="919" w:customStyle="1">
    <w:name w:val="TOC 标题11"/>
    <w:uiPriority w:val="39"/>
    <w:unhideWhenUsed/>
    <w:qFormat/>
    <w:rPr>
      <w:rFonts w:ascii="Times New Roman" w:hAnsi="Times New Roman" w:eastAsia="宋体" w:cs="Times New Roman"/>
      <w:lang w:val="en-US" w:eastAsia="zh-CN" w:bidi="ar-SA"/>
    </w:rPr>
  </w:style>
  <w:style w:type="paragraph" w:styleId="920" w:customStyle="1">
    <w:name w:val="标题 111"/>
    <w:basedOn w:val="715"/>
    <w:next w:val="715"/>
    <w:link w:val="932"/>
    <w:uiPriority w:val="0"/>
    <w:qFormat/>
    <w:pPr>
      <w:jc w:val="center"/>
      <w:keepNext/>
      <w:outlineLvl w:val="0"/>
    </w:pPr>
    <w:rPr>
      <w:rFonts w:ascii="楷体_GB2312" w:eastAsia="楷体_GB2312"/>
      <w:sz w:val="28"/>
      <w:szCs w:val="28"/>
    </w:rPr>
  </w:style>
  <w:style w:type="paragraph" w:styleId="921" w:customStyle="1">
    <w:name w:val="标题 211"/>
    <w:basedOn w:val="715"/>
    <w:next w:val="715"/>
    <w:link w:val="93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2" w:customStyle="1">
    <w:name w:val="标题 311"/>
    <w:basedOn w:val="715"/>
    <w:next w:val="923"/>
    <w:link w:val="934"/>
    <w:uiPriority w:val="0"/>
    <w:qFormat/>
    <w:pPr>
      <w:keepLines/>
      <w:keepNext/>
      <w:spacing w:before="260" w:after="260" w:line="416" w:lineRule="auto"/>
      <w:outlineLvl w:val="2"/>
    </w:pPr>
    <w:rPr>
      <w:b/>
      <w:bCs/>
      <w:sz w:val="32"/>
      <w:szCs w:val="32"/>
    </w:rPr>
  </w:style>
  <w:style w:type="paragraph" w:styleId="923" w:customStyle="1">
    <w:name w:val="正文缩进1"/>
    <w:basedOn w:val="715"/>
    <w:next w:val="715"/>
    <w:link w:val="935"/>
    <w:uiPriority w:val="0"/>
    <w:qFormat/>
    <w:pPr>
      <w:ind w:firstLine="420"/>
    </w:pPr>
  </w:style>
  <w:style w:type="paragraph" w:styleId="924" w:customStyle="1">
    <w:name w:val="标题 411"/>
    <w:basedOn w:val="715"/>
    <w:next w:val="923"/>
    <w:link w:val="936"/>
    <w:uiPriority w:val="0"/>
    <w:qFormat/>
    <w:pPr>
      <w:keepLines/>
      <w:keepNext/>
      <w:spacing w:before="280" w:after="290" w:line="376" w:lineRule="auto"/>
      <w:outlineLvl w:val="3"/>
    </w:pPr>
    <w:rPr>
      <w:rFonts w:ascii="Arial" w:hAnsi="Arial" w:eastAsia="黑体" w:cs="Arial"/>
      <w:b/>
      <w:bCs/>
      <w:sz w:val="28"/>
      <w:szCs w:val="28"/>
    </w:rPr>
  </w:style>
  <w:style w:type="paragraph" w:styleId="925" w:customStyle="1">
    <w:name w:val="标题 511"/>
    <w:basedOn w:val="715"/>
    <w:next w:val="923"/>
    <w:link w:val="937"/>
    <w:uiPriority w:val="0"/>
    <w:qFormat/>
    <w:pPr>
      <w:keepNext/>
      <w:outlineLvl w:val="4"/>
    </w:pPr>
    <w:rPr>
      <w:rFonts w:ascii="宋体"/>
      <w:color w:val="000000"/>
      <w:sz w:val="28"/>
      <w:szCs w:val="28"/>
    </w:rPr>
  </w:style>
  <w:style w:type="paragraph" w:styleId="926" w:customStyle="1">
    <w:name w:val="标题 611"/>
    <w:basedOn w:val="715"/>
    <w:next w:val="715"/>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7" w:customStyle="1">
    <w:name w:val="标题 711"/>
    <w:basedOn w:val="715"/>
    <w:next w:val="715"/>
    <w:link w:val="939"/>
    <w:uiPriority w:val="0"/>
    <w:qFormat/>
    <w:pPr>
      <w:numPr>
        <w:ilvl w:val="6"/>
        <w:numId w:val="1"/>
      </w:numPr>
      <w:keepLines/>
      <w:keepNext/>
      <w:spacing w:before="240" w:after="64" w:line="320" w:lineRule="auto"/>
      <w:outlineLvl w:val="6"/>
    </w:pPr>
    <w:rPr>
      <w:b/>
      <w:bCs/>
      <w:sz w:val="24"/>
      <w:szCs w:val="24"/>
    </w:rPr>
  </w:style>
  <w:style w:type="paragraph" w:styleId="928" w:customStyle="1">
    <w:name w:val="标题 811"/>
    <w:basedOn w:val="715"/>
    <w:next w:val="715"/>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9" w:customStyle="1">
    <w:name w:val="标题 911"/>
    <w:basedOn w:val="715"/>
    <w:next w:val="715"/>
    <w:link w:val="941"/>
    <w:uiPriority w:val="0"/>
    <w:qFormat/>
    <w:pPr>
      <w:numPr>
        <w:ilvl w:val="8"/>
        <w:numId w:val="1"/>
      </w:numPr>
      <w:keepLines/>
      <w:keepNext/>
      <w:spacing w:before="240" w:after="64" w:line="320" w:lineRule="auto"/>
      <w:outlineLvl w:val="8"/>
    </w:pPr>
    <w:rPr>
      <w:rFonts w:ascii="Arial" w:hAnsi="Arial" w:eastAsia="黑体"/>
    </w:rPr>
  </w:style>
  <w:style w:type="character" w:styleId="930" w:customStyle="1">
    <w:name w:val="默认段落字体1"/>
    <w:uiPriority w:val="1"/>
    <w:unhideWhenUsed/>
    <w:qFormat/>
  </w:style>
  <w:style w:type="table" w:styleId="931" w:customStyle="1">
    <w:name w:val="普通表格1"/>
    <w:uiPriority w:val="99"/>
    <w:unhideWhenUsed/>
    <w:qFormat/>
    <w:tblPr>
      <w:tblCellMar>
        <w:left w:w="0" w:type="dxa"/>
        <w:top w:w="0" w:type="dxa"/>
        <w:right w:w="0" w:type="dxa"/>
        <w:bottom w:w="0" w:type="dxa"/>
      </w:tblCellMar>
    </w:tblPr>
  </w:style>
  <w:style w:type="character" w:styleId="932" w:customStyle="1">
    <w:name w:val="标题 1 Char"/>
    <w:link w:val="920"/>
    <w:uiPriority w:val="0"/>
    <w:qFormat/>
    <w:rPr>
      <w:rFonts w:ascii="楷体_GB2312" w:hAnsi="Times New Roman" w:eastAsia="楷体_GB2312" w:cs="Times New Roman"/>
      <w:sz w:val="28"/>
      <w:szCs w:val="28"/>
    </w:rPr>
  </w:style>
  <w:style w:type="character" w:styleId="933" w:customStyle="1">
    <w:name w:val="标题 2 Char"/>
    <w:link w:val="921"/>
    <w:uiPriority w:val="0"/>
    <w:qFormat/>
    <w:rPr>
      <w:rFonts w:ascii="Arial" w:hAnsi="Arial" w:eastAsia="幼圆" w:cs="Arial"/>
      <w:b/>
      <w:bCs/>
      <w:sz w:val="44"/>
      <w:szCs w:val="44"/>
    </w:rPr>
  </w:style>
  <w:style w:type="character" w:styleId="934" w:customStyle="1">
    <w:name w:val="标题 3 Char"/>
    <w:link w:val="922"/>
    <w:uiPriority w:val="0"/>
    <w:qFormat/>
    <w:rPr>
      <w:rFonts w:ascii="Times New Roman" w:hAnsi="Times New Roman" w:eastAsia="宋体" w:cs="Times New Roman"/>
      <w:b/>
      <w:bCs/>
      <w:sz w:val="32"/>
      <w:szCs w:val="32"/>
    </w:rPr>
  </w:style>
  <w:style w:type="character" w:styleId="935" w:customStyle="1">
    <w:name w:val="正文缩进 Char"/>
    <w:link w:val="923"/>
    <w:uiPriority w:val="0"/>
    <w:qFormat/>
    <w:rPr>
      <w:rFonts w:ascii="Times New Roman" w:hAnsi="Times New Roman" w:eastAsia="宋体" w:cs="Times New Roman"/>
      <w:szCs w:val="21"/>
    </w:rPr>
  </w:style>
  <w:style w:type="character" w:styleId="936" w:customStyle="1">
    <w:name w:val="标题 4 Char"/>
    <w:link w:val="924"/>
    <w:uiPriority w:val="0"/>
    <w:qFormat/>
    <w:rPr>
      <w:rFonts w:ascii="Arial" w:hAnsi="Arial" w:eastAsia="黑体" w:cs="Arial"/>
      <w:b/>
      <w:bCs/>
      <w:sz w:val="28"/>
      <w:szCs w:val="28"/>
    </w:rPr>
  </w:style>
  <w:style w:type="character" w:styleId="937" w:customStyle="1">
    <w:name w:val="标题 5 Char"/>
    <w:link w:val="925"/>
    <w:uiPriority w:val="0"/>
    <w:qFormat/>
    <w:rPr>
      <w:rFonts w:ascii="宋体" w:hAnsi="Times New Roman" w:eastAsia="宋体" w:cs="Times New Roman"/>
      <w:color w:val="000000"/>
      <w:sz w:val="28"/>
      <w:szCs w:val="28"/>
    </w:rPr>
  </w:style>
  <w:style w:type="character" w:styleId="938" w:customStyle="1">
    <w:name w:val="标题 6 Char"/>
    <w:link w:val="926"/>
    <w:uiPriority w:val="0"/>
    <w:qFormat/>
    <w:rPr>
      <w:rFonts w:ascii="Arial" w:hAnsi="Arial" w:eastAsia="黑体" w:cs="Times New Roman"/>
      <w:b/>
      <w:bCs/>
      <w:sz w:val="24"/>
      <w:szCs w:val="24"/>
    </w:rPr>
  </w:style>
  <w:style w:type="character" w:styleId="939" w:customStyle="1">
    <w:name w:val="标题 7 Char"/>
    <w:link w:val="927"/>
    <w:uiPriority w:val="0"/>
    <w:qFormat/>
    <w:rPr>
      <w:rFonts w:ascii="Times New Roman" w:hAnsi="Times New Roman" w:eastAsia="宋体" w:cs="Times New Roman"/>
      <w:b/>
      <w:bCs/>
      <w:sz w:val="24"/>
      <w:szCs w:val="24"/>
    </w:rPr>
  </w:style>
  <w:style w:type="character" w:styleId="940" w:customStyle="1">
    <w:name w:val="标题 8 Char"/>
    <w:link w:val="928"/>
    <w:uiPriority w:val="0"/>
    <w:qFormat/>
    <w:rPr>
      <w:rFonts w:ascii="Arial" w:hAnsi="Arial" w:eastAsia="黑体" w:cs="Times New Roman"/>
      <w:sz w:val="24"/>
      <w:szCs w:val="24"/>
    </w:rPr>
  </w:style>
  <w:style w:type="character" w:styleId="941" w:customStyle="1">
    <w:name w:val="标题 9 Char"/>
    <w:link w:val="929"/>
    <w:uiPriority w:val="0"/>
    <w:qFormat/>
    <w:rPr>
      <w:rFonts w:ascii="Arial" w:hAnsi="Arial" w:eastAsia="黑体" w:cs="Times New Roman"/>
      <w:szCs w:val="21"/>
    </w:rPr>
  </w:style>
  <w:style w:type="paragraph" w:styleId="942" w:customStyle="1">
    <w:name w:val="列表 31"/>
    <w:basedOn w:val="715"/>
    <w:uiPriority w:val="0"/>
    <w:qFormat/>
    <w:pPr>
      <w:ind w:left="100" w:hanging="200"/>
    </w:pPr>
  </w:style>
  <w:style w:type="paragraph" w:styleId="943" w:customStyle="1">
    <w:name w:val="目录 71"/>
    <w:basedOn w:val="715"/>
    <w:next w:val="715"/>
    <w:uiPriority w:val="0"/>
    <w:semiHidden/>
    <w:qFormat/>
    <w:pPr>
      <w:ind w:left="1050"/>
      <w:jc w:val="left"/>
    </w:pPr>
    <w:rPr>
      <w:rFonts w:ascii="Calibri" w:hAnsi="Calibri"/>
      <w:sz w:val="20"/>
      <w:szCs w:val="20"/>
    </w:rPr>
  </w:style>
  <w:style w:type="paragraph" w:styleId="944" w:customStyle="1">
    <w:name w:val="文档结构图1"/>
    <w:basedOn w:val="715"/>
    <w:link w:val="945"/>
    <w:uiPriority w:val="0"/>
    <w:semiHidden/>
    <w:qFormat/>
    <w:pPr>
      <w:shd w:val="clear" w:color="auto" w:fill="000080"/>
    </w:pPr>
  </w:style>
  <w:style w:type="character" w:styleId="945" w:customStyle="1">
    <w:name w:val="文档结构图 Char"/>
    <w:link w:val="944"/>
    <w:uiPriority w:val="0"/>
    <w:semiHidden/>
    <w:qFormat/>
    <w:rPr>
      <w:rFonts w:ascii="Times New Roman" w:hAnsi="Times New Roman" w:eastAsia="宋体" w:cs="Times New Roman"/>
      <w:szCs w:val="21"/>
      <w:shd w:val="clear" w:color="auto" w:fill="000080"/>
    </w:rPr>
  </w:style>
  <w:style w:type="paragraph" w:styleId="946" w:customStyle="1">
    <w:name w:val="批注文字1"/>
    <w:basedOn w:val="715"/>
    <w:link w:val="947"/>
    <w:uiPriority w:val="0"/>
    <w:semiHidden/>
    <w:qFormat/>
    <w:pPr>
      <w:jc w:val="left"/>
    </w:pPr>
  </w:style>
  <w:style w:type="character" w:styleId="947" w:customStyle="1">
    <w:name w:val="批注文字 Char"/>
    <w:link w:val="946"/>
    <w:uiPriority w:val="0"/>
    <w:semiHidden/>
    <w:qFormat/>
    <w:rPr>
      <w:rFonts w:ascii="Times New Roman" w:hAnsi="Times New Roman" w:eastAsia="宋体" w:cs="Times New Roman"/>
      <w:szCs w:val="21"/>
    </w:rPr>
  </w:style>
  <w:style w:type="paragraph" w:styleId="948" w:customStyle="1">
    <w:name w:val="正文文本 31"/>
    <w:basedOn w:val="715"/>
    <w:link w:val="949"/>
    <w:uiPriority w:val="0"/>
    <w:qFormat/>
    <w:rPr>
      <w:rFonts w:ascii="仿宋_GB2312" w:hAnsi="Arial" w:eastAsia="仿宋_GB2312"/>
      <w:sz w:val="32"/>
      <w:szCs w:val="32"/>
    </w:rPr>
  </w:style>
  <w:style w:type="character" w:styleId="949" w:customStyle="1">
    <w:name w:val="正文文本 3 Char"/>
    <w:link w:val="948"/>
    <w:uiPriority w:val="0"/>
    <w:qFormat/>
    <w:rPr>
      <w:rFonts w:ascii="仿宋_GB2312" w:hAnsi="Arial" w:eastAsia="仿宋_GB2312" w:cs="Times New Roman"/>
      <w:sz w:val="32"/>
      <w:szCs w:val="32"/>
    </w:rPr>
  </w:style>
  <w:style w:type="paragraph" w:styleId="950" w:customStyle="1">
    <w:name w:val="正文文本1"/>
    <w:basedOn w:val="715"/>
    <w:link w:val="951"/>
    <w:uiPriority w:val="0"/>
    <w:qFormat/>
    <w:rPr>
      <w:rFonts w:ascii="楷体_GB2312" w:hAnsi="Arial" w:eastAsia="楷体_GB2312"/>
      <w:sz w:val="28"/>
      <w:szCs w:val="28"/>
    </w:rPr>
  </w:style>
  <w:style w:type="character" w:styleId="951" w:customStyle="1">
    <w:name w:val="正文文本 Char"/>
    <w:link w:val="950"/>
    <w:uiPriority w:val="0"/>
    <w:qFormat/>
    <w:rPr>
      <w:rFonts w:ascii="楷体_GB2312" w:hAnsi="Arial" w:eastAsia="楷体_GB2312" w:cs="Times New Roman"/>
      <w:sz w:val="28"/>
      <w:szCs w:val="28"/>
    </w:rPr>
  </w:style>
  <w:style w:type="paragraph" w:styleId="952" w:customStyle="1">
    <w:name w:val="正文文本缩进1"/>
    <w:basedOn w:val="715"/>
    <w:next w:val="715"/>
    <w:link w:val="953"/>
    <w:uiPriority w:val="0"/>
    <w:qFormat/>
    <w:pPr>
      <w:ind w:firstLine="645"/>
    </w:pPr>
    <w:rPr>
      <w:rFonts w:ascii="楷体_GB2312" w:eastAsia="楷体_GB2312"/>
      <w:sz w:val="32"/>
      <w:szCs w:val="32"/>
    </w:rPr>
  </w:style>
  <w:style w:type="character" w:styleId="953" w:customStyle="1">
    <w:name w:val="正文文本缩进 Char"/>
    <w:link w:val="952"/>
    <w:uiPriority w:val="0"/>
    <w:qFormat/>
    <w:rPr>
      <w:rFonts w:ascii="楷体_GB2312" w:hAnsi="Times New Roman" w:eastAsia="楷体_GB2312" w:cs="Times New Roman"/>
      <w:sz w:val="32"/>
      <w:szCs w:val="32"/>
    </w:rPr>
  </w:style>
  <w:style w:type="paragraph" w:styleId="954" w:customStyle="1">
    <w:name w:val="列表 21"/>
    <w:basedOn w:val="715"/>
    <w:uiPriority w:val="0"/>
    <w:qFormat/>
    <w:pPr>
      <w:ind w:left="100" w:hanging="200"/>
    </w:pPr>
  </w:style>
  <w:style w:type="paragraph" w:styleId="955" w:customStyle="1">
    <w:name w:val="目录 51"/>
    <w:basedOn w:val="715"/>
    <w:next w:val="715"/>
    <w:uiPriority w:val="0"/>
    <w:semiHidden/>
    <w:qFormat/>
    <w:pPr>
      <w:ind w:left="630"/>
      <w:jc w:val="left"/>
    </w:pPr>
    <w:rPr>
      <w:rFonts w:ascii="Calibri" w:hAnsi="Calibri"/>
      <w:sz w:val="20"/>
      <w:szCs w:val="20"/>
    </w:rPr>
  </w:style>
  <w:style w:type="paragraph" w:styleId="956" w:customStyle="1">
    <w:name w:val="目录 31"/>
    <w:basedOn w:val="715"/>
    <w:next w:val="715"/>
    <w:uiPriority w:val="39"/>
    <w:qFormat/>
    <w:pPr>
      <w:ind w:left="210"/>
      <w:jc w:val="left"/>
    </w:pPr>
    <w:rPr>
      <w:rFonts w:ascii="Calibri" w:hAnsi="Calibri"/>
      <w:sz w:val="20"/>
      <w:szCs w:val="20"/>
    </w:rPr>
  </w:style>
  <w:style w:type="paragraph" w:styleId="957" w:customStyle="1">
    <w:name w:val="纯文本1"/>
    <w:basedOn w:val="715"/>
    <w:link w:val="958"/>
    <w:uiPriority w:val="0"/>
    <w:qFormat/>
    <w:rPr>
      <w:rFonts w:ascii="宋体" w:hAnsi="Courier New" w:cs="Courier New"/>
    </w:rPr>
  </w:style>
  <w:style w:type="character" w:styleId="958" w:customStyle="1">
    <w:name w:val="纯文本 Char"/>
    <w:link w:val="957"/>
    <w:uiPriority w:val="0"/>
    <w:qFormat/>
    <w:rPr>
      <w:rFonts w:ascii="宋体" w:hAnsi="Courier New" w:eastAsia="宋体" w:cs="Courier New"/>
      <w:szCs w:val="21"/>
    </w:rPr>
  </w:style>
  <w:style w:type="paragraph" w:styleId="959" w:customStyle="1">
    <w:name w:val="目录 81"/>
    <w:basedOn w:val="715"/>
    <w:next w:val="715"/>
    <w:uiPriority w:val="0"/>
    <w:semiHidden/>
    <w:qFormat/>
    <w:pPr>
      <w:ind w:left="1260"/>
      <w:jc w:val="left"/>
    </w:pPr>
    <w:rPr>
      <w:rFonts w:ascii="Calibri" w:hAnsi="Calibri"/>
      <w:sz w:val="20"/>
      <w:szCs w:val="20"/>
    </w:rPr>
  </w:style>
  <w:style w:type="paragraph" w:styleId="960" w:customStyle="1">
    <w:name w:val="日期1"/>
    <w:basedOn w:val="715"/>
    <w:next w:val="715"/>
    <w:link w:val="961"/>
    <w:uiPriority w:val="0"/>
    <w:qFormat/>
    <w:rPr>
      <w:sz w:val="24"/>
      <w:szCs w:val="24"/>
    </w:rPr>
  </w:style>
  <w:style w:type="character" w:styleId="961" w:customStyle="1">
    <w:name w:val="日期 Char"/>
    <w:link w:val="960"/>
    <w:uiPriority w:val="0"/>
    <w:qFormat/>
    <w:rPr>
      <w:rFonts w:ascii="Times New Roman" w:hAnsi="Times New Roman" w:eastAsia="宋体" w:cs="Times New Roman"/>
      <w:sz w:val="24"/>
      <w:szCs w:val="24"/>
    </w:rPr>
  </w:style>
  <w:style w:type="paragraph" w:styleId="962" w:customStyle="1">
    <w:name w:val="正文文本缩进 21"/>
    <w:basedOn w:val="715"/>
    <w:link w:val="963"/>
    <w:uiPriority w:val="0"/>
    <w:qFormat/>
    <w:pPr>
      <w:ind w:left="630" w:firstLine="645"/>
    </w:pPr>
    <w:rPr>
      <w:rFonts w:ascii="Arial" w:hAnsi="Arial" w:eastAsia="仿宋_GB2312" w:cs="Arial"/>
      <w:sz w:val="32"/>
      <w:szCs w:val="32"/>
    </w:rPr>
  </w:style>
  <w:style w:type="character" w:styleId="963" w:customStyle="1">
    <w:name w:val="正文文本缩进 2 Char"/>
    <w:link w:val="962"/>
    <w:uiPriority w:val="0"/>
    <w:qFormat/>
    <w:rPr>
      <w:rFonts w:ascii="Arial" w:hAnsi="Arial" w:eastAsia="仿宋_GB2312" w:cs="Arial"/>
      <w:sz w:val="32"/>
      <w:szCs w:val="32"/>
    </w:rPr>
  </w:style>
  <w:style w:type="paragraph" w:styleId="964" w:customStyle="1">
    <w:name w:val="批注框文本1"/>
    <w:basedOn w:val="715"/>
    <w:link w:val="965"/>
    <w:uiPriority w:val="0"/>
    <w:semiHidden/>
    <w:qFormat/>
    <w:rPr>
      <w:sz w:val="18"/>
      <w:szCs w:val="18"/>
    </w:rPr>
  </w:style>
  <w:style w:type="character" w:styleId="965" w:customStyle="1">
    <w:name w:val="批注框文本 Char"/>
    <w:link w:val="964"/>
    <w:uiPriority w:val="0"/>
    <w:semiHidden/>
    <w:qFormat/>
    <w:rPr>
      <w:rFonts w:ascii="Times New Roman" w:hAnsi="Times New Roman" w:eastAsia="宋体" w:cs="Times New Roman"/>
      <w:sz w:val="18"/>
      <w:szCs w:val="18"/>
    </w:rPr>
  </w:style>
  <w:style w:type="paragraph" w:styleId="966" w:customStyle="1">
    <w:name w:val="页脚11"/>
    <w:basedOn w:val="715"/>
    <w:link w:val="967"/>
    <w:uiPriority w:val="0"/>
    <w:qFormat/>
    <w:pPr>
      <w:jc w:val="left"/>
      <w:tabs>
        <w:tab w:val="center" w:pos="4153" w:leader="none"/>
        <w:tab w:val="right" w:pos="8306" w:leader="none"/>
      </w:tabs>
    </w:pPr>
    <w:rPr>
      <w:sz w:val="18"/>
      <w:szCs w:val="18"/>
    </w:rPr>
  </w:style>
  <w:style w:type="character" w:styleId="967" w:customStyle="1">
    <w:name w:val="页脚 Char"/>
    <w:link w:val="966"/>
    <w:uiPriority w:val="0"/>
    <w:qFormat/>
    <w:rPr>
      <w:rFonts w:ascii="Times New Roman" w:hAnsi="Times New Roman" w:eastAsia="宋体" w:cs="Times New Roman"/>
      <w:sz w:val="18"/>
      <w:szCs w:val="18"/>
    </w:rPr>
  </w:style>
  <w:style w:type="paragraph" w:styleId="968" w:customStyle="1">
    <w:name w:val="页眉11"/>
    <w:basedOn w:val="715"/>
    <w:link w:val="969"/>
    <w:uiPriority w:val="0"/>
    <w:qFormat/>
    <w:pPr>
      <w:jc w:val="center"/>
      <w:tabs>
        <w:tab w:val="center" w:pos="4153" w:leader="none"/>
        <w:tab w:val="right" w:pos="8306" w:leader="none"/>
      </w:tabs>
      <w:pBdr>
        <w:bottom w:val="single" w:color="000000" w:sz="6" w:space="1"/>
      </w:pBdr>
    </w:pPr>
    <w:rPr>
      <w:sz w:val="18"/>
      <w:szCs w:val="18"/>
    </w:rPr>
  </w:style>
  <w:style w:type="character" w:styleId="969" w:customStyle="1">
    <w:name w:val="页眉 Char"/>
    <w:link w:val="968"/>
    <w:uiPriority w:val="0"/>
    <w:qFormat/>
    <w:rPr>
      <w:rFonts w:ascii="Times New Roman" w:hAnsi="Times New Roman" w:eastAsia="宋体" w:cs="Times New Roman"/>
      <w:sz w:val="18"/>
      <w:szCs w:val="18"/>
    </w:rPr>
  </w:style>
  <w:style w:type="paragraph" w:styleId="970" w:customStyle="1">
    <w:name w:val="目录 11"/>
    <w:basedOn w:val="715"/>
    <w:next w:val="715"/>
    <w:uiPriority w:val="39"/>
    <w:qFormat/>
    <w:pPr>
      <w:jc w:val="left"/>
      <w:spacing w:line="440" w:lineRule="exact"/>
    </w:pPr>
    <w:rPr>
      <w:rFonts w:ascii="Calibri Light" w:hAnsi="Calibri Light"/>
      <w:bCs/>
      <w:sz w:val="24"/>
      <w:szCs w:val="24"/>
    </w:rPr>
  </w:style>
  <w:style w:type="paragraph" w:styleId="971" w:customStyle="1">
    <w:name w:val="目录 41"/>
    <w:basedOn w:val="715"/>
    <w:next w:val="715"/>
    <w:uiPriority w:val="0"/>
    <w:semiHidden/>
    <w:qFormat/>
    <w:pPr>
      <w:ind w:left="420"/>
      <w:jc w:val="left"/>
    </w:pPr>
    <w:rPr>
      <w:rFonts w:ascii="Calibri" w:hAnsi="Calibri"/>
      <w:sz w:val="20"/>
      <w:szCs w:val="20"/>
    </w:rPr>
  </w:style>
  <w:style w:type="paragraph" w:styleId="972" w:customStyle="1">
    <w:name w:val="列表1"/>
    <w:basedOn w:val="715"/>
    <w:uiPriority w:val="0"/>
    <w:qFormat/>
    <w:pPr>
      <w:ind w:left="200" w:hanging="200"/>
    </w:pPr>
  </w:style>
  <w:style w:type="paragraph" w:styleId="973" w:customStyle="1">
    <w:name w:val="目录 61"/>
    <w:basedOn w:val="715"/>
    <w:next w:val="715"/>
    <w:uiPriority w:val="0"/>
    <w:semiHidden/>
    <w:qFormat/>
    <w:pPr>
      <w:ind w:left="840"/>
      <w:jc w:val="left"/>
    </w:pPr>
    <w:rPr>
      <w:rFonts w:ascii="Calibri" w:hAnsi="Calibri"/>
      <w:sz w:val="20"/>
      <w:szCs w:val="20"/>
    </w:rPr>
  </w:style>
  <w:style w:type="paragraph" w:styleId="974" w:customStyle="1">
    <w:name w:val="正文文本缩进 31"/>
    <w:basedOn w:val="715"/>
    <w:link w:val="975"/>
    <w:uiPriority w:val="0"/>
    <w:qFormat/>
    <w:pPr>
      <w:ind w:left="645" w:firstLine="645"/>
    </w:pPr>
    <w:rPr>
      <w:rFonts w:ascii="Arial" w:hAnsi="Arial" w:eastAsia="仿宋_GB2312" w:cs="Arial"/>
      <w:color w:val="ffff00"/>
      <w:sz w:val="32"/>
      <w:szCs w:val="32"/>
    </w:rPr>
  </w:style>
  <w:style w:type="character" w:styleId="975" w:customStyle="1">
    <w:name w:val="正文文本缩进 3 Char"/>
    <w:link w:val="974"/>
    <w:uiPriority w:val="0"/>
    <w:qFormat/>
    <w:rPr>
      <w:rFonts w:ascii="Arial" w:hAnsi="Arial" w:eastAsia="仿宋_GB2312" w:cs="Arial"/>
      <w:color w:val="ffff00"/>
      <w:sz w:val="32"/>
      <w:szCs w:val="32"/>
    </w:rPr>
  </w:style>
  <w:style w:type="paragraph" w:styleId="976" w:customStyle="1">
    <w:name w:val="图表目录1"/>
    <w:basedOn w:val="715"/>
    <w:next w:val="715"/>
    <w:uiPriority w:val="0"/>
    <w:semiHidden/>
    <w:qFormat/>
    <w:pPr>
      <w:ind w:left="840" w:hanging="420"/>
    </w:pPr>
  </w:style>
  <w:style w:type="paragraph" w:styleId="977" w:customStyle="1">
    <w:name w:val="目录 21"/>
    <w:basedOn w:val="715"/>
    <w:next w:val="715"/>
    <w:uiPriority w:val="39"/>
    <w:qFormat/>
    <w:pPr>
      <w:jc w:val="left"/>
      <w:spacing w:before="120" w:after="120"/>
    </w:pPr>
    <w:rPr>
      <w:rFonts w:ascii="Calibri" w:hAnsi="Calibri"/>
      <w:b/>
      <w:bCs/>
      <w:sz w:val="20"/>
      <w:szCs w:val="20"/>
    </w:rPr>
  </w:style>
  <w:style w:type="paragraph" w:styleId="978" w:customStyle="1">
    <w:name w:val="目录 91"/>
    <w:basedOn w:val="715"/>
    <w:next w:val="715"/>
    <w:uiPriority w:val="0"/>
    <w:semiHidden/>
    <w:qFormat/>
    <w:pPr>
      <w:ind w:left="1470"/>
      <w:jc w:val="left"/>
    </w:pPr>
    <w:rPr>
      <w:rFonts w:ascii="Calibri" w:hAnsi="Calibri"/>
      <w:sz w:val="20"/>
      <w:szCs w:val="20"/>
    </w:rPr>
  </w:style>
  <w:style w:type="paragraph" w:styleId="979" w:customStyle="1">
    <w:name w:val="正文文本 21"/>
    <w:basedOn w:val="715"/>
    <w:link w:val="980"/>
    <w:uiPriority w:val="0"/>
    <w:qFormat/>
    <w:pPr>
      <w:jc w:val="center"/>
      <w:widowControl/>
    </w:pPr>
    <w:rPr>
      <w:rFonts w:ascii="楷体_GB2312" w:eastAsia="楷体_GB2312"/>
      <w:sz w:val="28"/>
      <w:szCs w:val="28"/>
    </w:rPr>
  </w:style>
  <w:style w:type="character" w:styleId="980" w:customStyle="1">
    <w:name w:val="正文文本 2 Char"/>
    <w:link w:val="979"/>
    <w:uiPriority w:val="0"/>
    <w:qFormat/>
    <w:rPr>
      <w:rFonts w:ascii="楷体_GB2312" w:hAnsi="Times New Roman" w:eastAsia="楷体_GB2312" w:cs="Times New Roman"/>
      <w:sz w:val="28"/>
      <w:szCs w:val="28"/>
    </w:rPr>
  </w:style>
  <w:style w:type="paragraph" w:styleId="981" w:customStyle="1">
    <w:name w:val="普通(网站)1"/>
    <w:basedOn w:val="715"/>
    <w:uiPriority w:val="99"/>
    <w:qFormat/>
    <w:pPr>
      <w:jc w:val="left"/>
      <w:spacing w:before="100" w:beforeAutospacing="1" w:after="100" w:afterAutospacing="1"/>
      <w:widowControl/>
    </w:pPr>
    <w:rPr>
      <w:rFonts w:ascii="宋体" w:hAnsi="宋体" w:cs="宋体"/>
      <w:sz w:val="24"/>
      <w:szCs w:val="24"/>
    </w:rPr>
  </w:style>
  <w:style w:type="paragraph" w:styleId="982" w:customStyle="1">
    <w:name w:val="索引 11"/>
    <w:basedOn w:val="715"/>
    <w:next w:val="715"/>
    <w:uiPriority w:val="0"/>
    <w:semiHidden/>
    <w:qFormat/>
    <w:pPr>
      <w:spacing w:line="240" w:lineRule="atLeast"/>
    </w:pPr>
    <w:rPr>
      <w:b/>
      <w:bCs/>
    </w:rPr>
  </w:style>
  <w:style w:type="paragraph" w:styleId="983" w:customStyle="1">
    <w:name w:val="批注主题1"/>
    <w:basedOn w:val="946"/>
    <w:next w:val="946"/>
    <w:link w:val="984"/>
    <w:uiPriority w:val="0"/>
    <w:semiHidden/>
    <w:qFormat/>
    <w:rPr>
      <w:b/>
      <w:bCs/>
    </w:rPr>
  </w:style>
  <w:style w:type="character" w:styleId="984" w:customStyle="1">
    <w:name w:val="批注主题 Char"/>
    <w:link w:val="983"/>
    <w:uiPriority w:val="0"/>
    <w:semiHidden/>
    <w:qFormat/>
    <w:rPr>
      <w:rFonts w:ascii="Times New Roman" w:hAnsi="Times New Roman" w:eastAsia="宋体" w:cs="Times New Roman"/>
      <w:b/>
      <w:bCs/>
      <w:szCs w:val="21"/>
    </w:rPr>
  </w:style>
  <w:style w:type="paragraph" w:styleId="985" w:customStyle="1">
    <w:name w:val="正文首行缩进1"/>
    <w:basedOn w:val="715"/>
    <w:link w:val="986"/>
    <w:uiPriority w:val="0"/>
    <w:qFormat/>
    <w:pPr>
      <w:ind w:firstLine="200"/>
      <w:spacing w:line="360" w:lineRule="auto"/>
    </w:pPr>
    <w:rPr>
      <w:rFonts w:ascii="仿宋_GB2312" w:eastAsia="仿宋_GB2312"/>
      <w:sz w:val="30"/>
      <w:szCs w:val="30"/>
    </w:rPr>
  </w:style>
  <w:style w:type="character" w:styleId="986" w:customStyle="1">
    <w:name w:val="正文首行缩进 Char"/>
    <w:link w:val="985"/>
    <w:uiPriority w:val="0"/>
    <w:qFormat/>
    <w:rPr>
      <w:rFonts w:ascii="仿宋_GB2312" w:hAnsi="Times New Roman" w:eastAsia="仿宋_GB2312" w:cs="Times New Roman"/>
      <w:sz w:val="30"/>
      <w:szCs w:val="30"/>
    </w:rPr>
  </w:style>
  <w:style w:type="paragraph" w:styleId="987" w:customStyle="1">
    <w:name w:val="正文首行缩进 21"/>
    <w:basedOn w:val="952"/>
    <w:link w:val="988"/>
    <w:uiPriority w:val="0"/>
    <w:qFormat/>
    <w:pPr>
      <w:ind w:firstLine="420"/>
      <w:spacing w:line="360" w:lineRule="auto"/>
    </w:pPr>
    <w:rPr>
      <w:rFonts w:ascii="宋体" w:hAnsi="宋体" w:eastAsia="宋体"/>
      <w:sz w:val="21"/>
      <w:szCs w:val="20"/>
    </w:rPr>
  </w:style>
  <w:style w:type="character" w:styleId="988" w:customStyle="1">
    <w:name w:val="正文首行缩进 2 Char"/>
    <w:link w:val="987"/>
    <w:uiPriority w:val="0"/>
    <w:qFormat/>
    <w:rPr>
      <w:rFonts w:ascii="宋体" w:hAnsi="宋体" w:eastAsia="宋体" w:cs="Times New Roman"/>
      <w:sz w:val="32"/>
      <w:szCs w:val="20"/>
    </w:rPr>
  </w:style>
  <w:style w:type="table" w:styleId="989" w:customStyle="1">
    <w:name w:val="网格型1"/>
    <w:basedOn w:val="931"/>
    <w:uiPriority w:val="0"/>
    <w:qFormat/>
    <w:pPr>
      <w:jc w:val="both"/>
      <w:widowControl w:val="off"/>
    </w:pPr>
    <w:tblPr>
      <w:tblCellMar>
        <w:left w:w="0" w:type="dxa"/>
        <w:top w:w="0" w:type="dxa"/>
        <w:right w:w="0" w:type="dxa"/>
        <w:bottom w:w="0" w:type="dxa"/>
      </w:tblCellMar>
    </w:tblPr>
  </w:style>
  <w:style w:type="character" w:styleId="990" w:customStyle="1">
    <w:name w:val="要点1"/>
    <w:uiPriority w:val="0"/>
    <w:qFormat/>
    <w:rPr>
      <w:b/>
      <w:bCs/>
    </w:rPr>
  </w:style>
  <w:style w:type="character" w:styleId="991" w:customStyle="1">
    <w:name w:val="页码1"/>
    <w:uiPriority w:val="0"/>
    <w:qFormat/>
  </w:style>
  <w:style w:type="character" w:styleId="992" w:customStyle="1">
    <w:name w:val="访问过的超链接1"/>
    <w:uiPriority w:val="0"/>
    <w:qFormat/>
    <w:rPr>
      <w:color w:val="800080"/>
      <w:u w:val="single"/>
    </w:rPr>
  </w:style>
  <w:style w:type="character" w:styleId="993" w:customStyle="1">
    <w:name w:val="超链接1"/>
    <w:uiPriority w:val="99"/>
    <w:qFormat/>
    <w:rPr>
      <w:color w:val="0000ff"/>
      <w:u w:val="single"/>
    </w:rPr>
  </w:style>
  <w:style w:type="character" w:styleId="994" w:customStyle="1">
    <w:name w:val="批注引用1"/>
    <w:uiPriority w:val="0"/>
    <w:semiHidden/>
    <w:qFormat/>
    <w:rPr>
      <w:sz w:val="21"/>
      <w:szCs w:val="21"/>
    </w:rPr>
  </w:style>
  <w:style w:type="paragraph" w:styleId="995" w:customStyle="1">
    <w:name w:val="正文空2字"/>
    <w:basedOn w:val="996"/>
    <w:uiPriority w:val="99"/>
    <w:qFormat/>
    <w:pPr>
      <w:ind w:firstLine="640"/>
      <w:spacing w:line="560" w:lineRule="exact"/>
      <w:widowControl w:val="off"/>
    </w:pPr>
    <w:rPr>
      <w:rFonts w:ascii="仿宋_GB2312" w:hAnsi="仿宋_GB2312" w:cs="仿宋_GB2312"/>
      <w:lang w:val="zh-TW"/>
    </w:rPr>
  </w:style>
  <w:style w:type="paragraph" w:styleId="996" w:customStyle="1">
    <w:name w:val="左对齐正文"/>
    <w:uiPriority w:val="99"/>
    <w:qFormat/>
    <w:rPr>
      <w:rFonts w:ascii="Calibri" w:hAnsi="Calibri" w:eastAsia="仿宋_GB2312" w:cs="Calibri"/>
      <w:sz w:val="32"/>
      <w:szCs w:val="32"/>
      <w:lang w:val="en-US" w:eastAsia="zh-CN" w:bidi="ar-SA"/>
    </w:rPr>
  </w:style>
  <w:style w:type="paragraph" w:styleId="997" w:customStyle="1">
    <w:name w:val="索引 41"/>
    <w:basedOn w:val="715"/>
    <w:next w:val="715"/>
    <w:uiPriority w:val="0"/>
    <w:semiHidden/>
    <w:qFormat/>
    <w:pPr>
      <w:ind w:left="1260"/>
    </w:pPr>
    <w:rPr>
      <w:rFonts w:ascii="Calibri" w:hAnsi="Calibri" w:eastAsia="Calibri" w:cs="宋体"/>
      <w:sz w:val="20"/>
      <w:lang w:val="zh-CN"/>
    </w:rPr>
  </w:style>
  <w:style w:type="character" w:styleId="998" w:customStyle="1">
    <w:name w:val="font5 Char"/>
    <w:uiPriority w:val="0"/>
    <w:qFormat/>
    <w:rPr>
      <w:rFonts w:ascii="宋体" w:hAnsi="宋体" w:eastAsia="宋体"/>
      <w:sz w:val="28"/>
      <w:szCs w:val="28"/>
      <w:lang w:val="en-US" w:eastAsia="zh-CN" w:bidi="ar-SA"/>
    </w:rPr>
  </w:style>
  <w:style w:type="character" w:styleId="999" w:customStyle="1">
    <w:name w:val="二级目录 Char"/>
    <w:link w:val="1000"/>
    <w:uiPriority w:val="0"/>
    <w:qFormat/>
    <w:rPr>
      <w:b/>
      <w:sz w:val="30"/>
      <w:szCs w:val="28"/>
    </w:rPr>
  </w:style>
  <w:style w:type="paragraph" w:styleId="1000" w:customStyle="1">
    <w:name w:val="二级目录"/>
    <w:next w:val="715"/>
    <w:link w:val="99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1" w:customStyle="1">
    <w:name w:val="列出段落 Char"/>
    <w:link w:val="1002"/>
    <w:uiPriority w:val="0"/>
    <w:qFormat/>
    <w:rPr>
      <w:rFonts w:ascii="Calibri" w:hAnsi="Calibri"/>
      <w:sz w:val="24"/>
      <w:szCs w:val="24"/>
      <w:lang w:eastAsia="en-US" w:bidi="en-US"/>
    </w:rPr>
  </w:style>
  <w:style w:type="paragraph" w:styleId="1002" w:customStyle="1">
    <w:name w:val="列出段落1"/>
    <w:basedOn w:val="715"/>
    <w:link w:val="1001"/>
    <w:uiPriority w:val="0"/>
    <w:qFormat/>
    <w:pPr>
      <w:contextualSpacing/>
      <w:ind w:left="720"/>
      <w:jc w:val="left"/>
      <w:widowControl/>
    </w:pPr>
    <w:rPr>
      <w:rFonts w:ascii="Calibri" w:hAnsi="Calibri"/>
      <w:sz w:val="24"/>
      <w:szCs w:val="24"/>
      <w:lang w:eastAsia="en-US" w:bidi="en-US"/>
    </w:rPr>
  </w:style>
  <w:style w:type="paragraph" w:styleId="1003" w:customStyle="1">
    <w:name w:val="Body Text(ch)"/>
    <w:basedOn w:val="715"/>
    <w:next w:val="950"/>
    <w:uiPriority w:val="0"/>
    <w:qFormat/>
    <w:pPr>
      <w:spacing w:after="120"/>
    </w:pPr>
    <w:rPr>
      <w:rFonts w:ascii="宋体" w:hAnsi="Arial"/>
      <w:bCs/>
      <w:iCs/>
      <w:szCs w:val="24"/>
    </w:rPr>
  </w:style>
  <w:style w:type="paragraph" w:styleId="1004" w:customStyle="1">
    <w:name w:val="xl27"/>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customStyle="1">
    <w:name w:val="xl26"/>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customStyle="1">
    <w:name w:val="Char"/>
    <w:basedOn w:val="715"/>
    <w:uiPriority w:val="0"/>
    <w:qFormat/>
    <w:pPr>
      <w:ind w:firstLine="200"/>
      <w:tabs>
        <w:tab w:val="left" w:pos="360" w:leader="none"/>
      </w:tabs>
    </w:pPr>
    <w:rPr>
      <w:sz w:val="28"/>
      <w:szCs w:val="30"/>
    </w:rPr>
  </w:style>
  <w:style w:type="paragraph" w:styleId="1007" w:customStyle="1">
    <w:name w:val="Char1"/>
    <w:basedOn w:val="944"/>
    <w:uiPriority w:val="0"/>
    <w:qFormat/>
    <w:rPr>
      <w:rFonts w:ascii="Tahoma" w:hAnsi="Tahoma"/>
      <w:sz w:val="24"/>
      <w:szCs w:val="24"/>
    </w:rPr>
  </w:style>
  <w:style w:type="paragraph" w:styleId="1008" w:customStyle="1">
    <w:name w:val="普通正文"/>
    <w:basedOn w:val="715"/>
    <w:uiPriority w:val="0"/>
    <w:qFormat/>
    <w:pPr>
      <w:ind w:firstLine="480"/>
      <w:jc w:val="left"/>
      <w:spacing w:before="120" w:after="120" w:line="360" w:lineRule="auto"/>
    </w:pPr>
    <w:rPr>
      <w:rFonts w:ascii="Arial" w:hAnsi="Arial"/>
      <w:sz w:val="24"/>
      <w:szCs w:val="24"/>
    </w:rPr>
  </w:style>
  <w:style w:type="paragraph" w:styleId="1009" w:customStyle="1">
    <w:name w:val="table_lines"/>
    <w:basedOn w:val="715"/>
    <w:uiPriority w:val="0"/>
    <w:qFormat/>
    <w:pPr>
      <w:jc w:val="left"/>
      <w:widowControl/>
    </w:pPr>
    <w:rPr>
      <w:sz w:val="20"/>
      <w:szCs w:val="20"/>
      <w:lang w:val="de-DE" w:eastAsia="de-DE"/>
    </w:rPr>
  </w:style>
  <w:style w:type="paragraph" w:styleId="101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11" w:customStyle="1">
    <w:name w:val="font7"/>
    <w:basedOn w:val="715"/>
    <w:uiPriority w:val="0"/>
    <w:qFormat/>
    <w:pPr>
      <w:jc w:val="left"/>
      <w:spacing w:before="100" w:beforeAutospacing="1" w:after="100" w:afterAutospacing="1"/>
      <w:widowControl/>
    </w:pPr>
    <w:rPr>
      <w:rFonts w:hint="eastAsia" w:ascii="宋体" w:hAnsi="宋体"/>
      <w:sz w:val="18"/>
      <w:szCs w:val="18"/>
    </w:rPr>
  </w:style>
  <w:style w:type="paragraph" w:styleId="1012" w:customStyle="1">
    <w:name w:val="Char Char Char Char"/>
    <w:basedOn w:val="944"/>
    <w:uiPriority w:val="0"/>
    <w:qFormat/>
    <w:pPr>
      <w:spacing w:line="360" w:lineRule="auto"/>
    </w:pPr>
    <w:rPr>
      <w:rFonts w:ascii="Tahoma" w:hAnsi="Tahoma"/>
      <w:sz w:val="24"/>
      <w:szCs w:val="24"/>
    </w:rPr>
  </w:style>
  <w:style w:type="paragraph" w:styleId="1013" w:customStyle="1">
    <w:name w:val="列出段落2"/>
    <w:basedOn w:val="715"/>
    <w:uiPriority w:val="0"/>
    <w:qFormat/>
    <w:pPr>
      <w:contextualSpacing/>
      <w:ind w:left="720"/>
      <w:jc w:val="left"/>
      <w:widowControl/>
    </w:pPr>
    <w:rPr>
      <w:rFonts w:ascii="Calibri" w:hAnsi="Calibri"/>
      <w:sz w:val="24"/>
      <w:szCs w:val="24"/>
      <w:lang w:eastAsia="en-US" w:bidi="en-US"/>
    </w:rPr>
  </w:style>
  <w:style w:type="paragraph" w:styleId="1014" w:customStyle="1">
    <w:name w:val="4"/>
    <w:basedOn w:val="715"/>
    <w:next w:val="974"/>
    <w:uiPriority w:val="0"/>
    <w:qFormat/>
    <w:pPr>
      <w:ind w:firstLine="420"/>
      <w:spacing w:line="360" w:lineRule="auto"/>
    </w:pPr>
    <w:rPr>
      <w:color w:val="ff0000"/>
      <w:sz w:val="24"/>
      <w:szCs w:val="24"/>
    </w:rPr>
  </w:style>
  <w:style w:type="paragraph" w:styleId="1015" w:customStyle="1">
    <w:name w:val="普通 (Web)"/>
    <w:basedOn w:val="715"/>
    <w:uiPriority w:val="0"/>
    <w:qFormat/>
    <w:pPr>
      <w:jc w:val="left"/>
      <w:spacing w:before="100" w:beforeAutospacing="1" w:after="100" w:afterAutospacing="1"/>
      <w:widowControl/>
    </w:pPr>
    <w:rPr>
      <w:rFonts w:ascii="宋体" w:hAnsi="宋体"/>
      <w:sz w:val="24"/>
      <w:szCs w:val="24"/>
    </w:rPr>
  </w:style>
  <w:style w:type="paragraph" w:styleId="1016" w:customStyle="1">
    <w:name w:val="Char Char Char Char Char Char Char Char Char Char"/>
    <w:basedOn w:val="715"/>
    <w:uiPriority w:val="0"/>
    <w:qFormat/>
    <w:pPr>
      <w:spacing w:line="360" w:lineRule="auto"/>
    </w:pPr>
    <w:rPr>
      <w:sz w:val="24"/>
      <w:szCs w:val="20"/>
    </w:rPr>
  </w:style>
  <w:style w:type="paragraph" w:styleId="1017" w:customStyle="1">
    <w:name w:val="样式1"/>
    <w:basedOn w:val="715"/>
    <w:uiPriority w:val="0"/>
    <w:qFormat/>
    <w:pPr>
      <w:numPr>
        <w:ilvl w:val="0"/>
        <w:numId w:val="3"/>
      </w:numPr>
    </w:pPr>
    <w:rPr>
      <w:rFonts w:ascii="宋体" w:hAnsi="宋体"/>
    </w:rPr>
  </w:style>
  <w:style w:type="paragraph" w:styleId="1018" w:customStyle="1">
    <w:name w:val="font6"/>
    <w:basedOn w:val="715"/>
    <w:uiPriority w:val="0"/>
    <w:qFormat/>
    <w:pPr>
      <w:jc w:val="left"/>
      <w:spacing w:before="100" w:beforeAutospacing="1" w:after="100" w:afterAutospacing="1"/>
      <w:widowControl/>
    </w:pPr>
    <w:rPr>
      <w:rFonts w:hint="eastAsia" w:ascii="宋体" w:hAnsi="宋体"/>
      <w:sz w:val="28"/>
      <w:szCs w:val="28"/>
      <w:u w:val="single"/>
    </w:rPr>
  </w:style>
  <w:style w:type="paragraph" w:styleId="1019" w:customStyle="1">
    <w:name w:val="xl25"/>
    <w:basedOn w:val="71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图标"/>
    <w:basedOn w:val="715"/>
    <w:next w:val="71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customStyle="1">
    <w:name w:val="标题3"/>
    <w:basedOn w:val="715"/>
    <w:next w:val="715"/>
    <w:uiPriority w:val="0"/>
    <w:qFormat/>
    <w:pPr>
      <w:ind w:firstLine="624"/>
      <w:spacing w:line="590" w:lineRule="atLeast"/>
    </w:pPr>
    <w:rPr>
      <w:rFonts w:ascii="方正黑体_GBK" w:eastAsia="方正黑体_GBK"/>
      <w:sz w:val="32"/>
      <w:szCs w:val="32"/>
    </w:rPr>
  </w:style>
  <w:style w:type="paragraph" w:styleId="1022" w:customStyle="1">
    <w:name w:val="xl24"/>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xl29"/>
    <w:basedOn w:val="71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customStyle="1">
    <w:name w:val="Char Char Char Char Char Char Char Char"/>
    <w:basedOn w:val="715"/>
    <w:uiPriority w:val="0"/>
    <w:qFormat/>
    <w:pPr>
      <w:jc w:val="left"/>
      <w:spacing w:after="160" w:line="240" w:lineRule="exact"/>
      <w:widowControl/>
    </w:pPr>
    <w:rPr>
      <w:rFonts w:ascii="Verdana" w:hAnsi="Verdana"/>
      <w:sz w:val="20"/>
      <w:szCs w:val="20"/>
      <w:lang w:eastAsia="en-US"/>
    </w:rPr>
  </w:style>
  <w:style w:type="paragraph" w:styleId="1025" w:customStyle="1">
    <w:name w:val="xl28"/>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customStyle="1">
    <w:name w:val="Char Char Char Char Char Char Char Char1"/>
    <w:basedOn w:val="715"/>
    <w:uiPriority w:val="0"/>
    <w:qFormat/>
    <w:pPr>
      <w:jc w:val="left"/>
      <w:spacing w:after="160" w:line="240" w:lineRule="exact"/>
      <w:widowControl/>
    </w:pPr>
    <w:rPr>
      <w:rFonts w:ascii="Verdana" w:hAnsi="Verdana"/>
      <w:sz w:val="20"/>
      <w:szCs w:val="20"/>
      <w:lang w:eastAsia="en-US"/>
    </w:rPr>
  </w:style>
  <w:style w:type="paragraph" w:styleId="1027" w:customStyle="1">
    <w:name w:val="xl30"/>
    <w:basedOn w:val="715"/>
    <w:uiPriority w:val="0"/>
    <w:qFormat/>
    <w:pPr>
      <w:jc w:val="center"/>
      <w:spacing w:before="100" w:beforeAutospacing="1" w:after="100" w:afterAutospacing="1"/>
      <w:widowControl/>
    </w:pPr>
    <w:rPr>
      <w:rFonts w:ascii="宋体" w:hAnsi="宋体"/>
      <w:b/>
      <w:bCs/>
      <w:sz w:val="36"/>
      <w:szCs w:val="36"/>
    </w:rPr>
  </w:style>
  <w:style w:type="paragraph" w:styleId="1028" w:customStyle="1">
    <w:name w:val="Char Char Char Char1"/>
    <w:basedOn w:val="944"/>
    <w:uiPriority w:val="0"/>
    <w:qFormat/>
    <w:pPr>
      <w:spacing w:line="360" w:lineRule="auto"/>
    </w:pPr>
    <w:rPr>
      <w:rFonts w:ascii="Tahoma" w:hAnsi="Tahoma"/>
      <w:sz w:val="24"/>
      <w:szCs w:val="24"/>
    </w:rPr>
  </w:style>
  <w:style w:type="paragraph" w:styleId="1029" w:customStyle="1">
    <w:name w:val="table_1stline"/>
    <w:basedOn w:val="715"/>
    <w:uiPriority w:val="0"/>
    <w:qFormat/>
    <w:pPr>
      <w:jc w:val="left"/>
      <w:spacing w:before="120"/>
      <w:widowControl/>
    </w:pPr>
    <w:rPr>
      <w:bCs/>
      <w:sz w:val="20"/>
      <w:szCs w:val="20"/>
      <w:lang w:val="de-DE" w:eastAsia="de-DE"/>
    </w:rPr>
  </w:style>
  <w:style w:type="paragraph" w:styleId="1030" w:customStyle="1">
    <w:name w:val="font5"/>
    <w:basedOn w:val="715"/>
    <w:uiPriority w:val="0"/>
    <w:qFormat/>
    <w:pPr>
      <w:jc w:val="left"/>
      <w:spacing w:before="100" w:beforeAutospacing="1" w:after="100" w:afterAutospacing="1"/>
      <w:widowControl/>
    </w:pPr>
    <w:rPr>
      <w:rFonts w:hint="eastAsia" w:ascii="宋体" w:hAnsi="宋体"/>
      <w:sz w:val="28"/>
      <w:szCs w:val="28"/>
    </w:rPr>
  </w:style>
  <w:style w:type="paragraph" w:styleId="1031" w:customStyle="1">
    <w:name w:val="标题1"/>
    <w:basedOn w:val="715"/>
    <w:next w:val="71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customStyle="1">
    <w:name w:val="修订1"/>
    <w:uiPriority w:val="99"/>
    <w:semiHidden/>
    <w:qFormat/>
    <w:rPr>
      <w:rFonts w:ascii="Times New Roman" w:hAnsi="Times New Roman" w:eastAsia="宋体" w:cs="Times New Roman"/>
      <w:sz w:val="21"/>
      <w:szCs w:val="21"/>
      <w:lang w:val="en-US" w:eastAsia="zh-CN" w:bidi="ar-SA"/>
    </w:rPr>
  </w:style>
  <w:style w:type="paragraph" w:styleId="1033"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34" w:customStyle="1">
    <w:name w:val="Table Normal"/>
    <w:uiPriority w:val="0"/>
    <w:qFormat/>
    <w:tblPr>
      <w:tblCellMar>
        <w:left w:w="0" w:type="dxa"/>
        <w:top w:w="0" w:type="dxa"/>
        <w:right w:w="0" w:type="dxa"/>
        <w:bottom w:w="0" w:type="dxa"/>
      </w:tblCellMar>
    </w:tblPr>
  </w:style>
  <w:style w:type="paragraph" w:styleId="103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6_0"/>
    <w:uiPriority w:val="0"/>
    <w:qFormat/>
    <w:rPr>
      <w:rFonts w:ascii="黑体" w:hAnsi="黑体" w:eastAsia="黑体" w:cs="黑体"/>
      <w:b/>
      <w:sz w:val="32"/>
      <w:szCs w:val="24"/>
      <w:lang w:val="en-US" w:eastAsia="zh-CN" w:bidi="ar-SA"/>
    </w:rPr>
  </w:style>
  <w:style w:type="paragraph" w:styleId="1037" w:customStyle="1">
    <w:name w:val="Normal_1_2"/>
    <w:uiPriority w:val="0"/>
    <w:qFormat/>
    <w:rPr>
      <w:rFonts w:ascii="Times New Roman" w:hAnsi="Times New Roman" w:eastAsia="Times New Roman" w:cs="Times New Roman"/>
      <w:sz w:val="24"/>
      <w:szCs w:val="24"/>
      <w:lang w:val="en-US" w:eastAsia="zh-CN" w:bidi="ar-SA"/>
    </w:rPr>
  </w:style>
  <w:style w:type="paragraph" w:styleId="103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文本12"/>
    <w:basedOn w:val="715"/>
    <w:uiPriority w:val="1"/>
    <w:qFormat/>
    <w:pPr>
      <w:ind w:left="120"/>
    </w:pPr>
    <w:rPr>
      <w:rFonts w:ascii="宋体" w:hAnsi="宋体" w:cs="宋体"/>
      <w:lang w:val="zh-CN" w:bidi="zh-CN"/>
    </w:rPr>
  </w:style>
  <w:style w:type="paragraph" w:styleId="1040" w:customStyle="1">
    <w:name w:val="正文2"/>
    <w:basedOn w:val="715"/>
    <w:uiPriority w:val="0"/>
    <w:qFormat/>
    <w:pPr>
      <w:ind w:firstLine="510"/>
      <w:spacing w:before="156" w:line="360" w:lineRule="auto"/>
    </w:pPr>
    <w:rPr>
      <w:sz w:val="24"/>
      <w:szCs w:val="20"/>
    </w:rPr>
  </w:style>
  <w:style w:type="paragraph" w:styleId="1041" w:customStyle="1">
    <w:name w:val="首行缩进"/>
    <w:basedOn w:val="715"/>
    <w:uiPriority w:val="0"/>
    <w:qFormat/>
    <w:pPr>
      <w:ind w:firstLine="480"/>
    </w:pPr>
    <w:rPr>
      <w:lang w:val="zh-CN"/>
    </w:rPr>
  </w:style>
  <w:style w:type="paragraph" w:styleId="1042" w:customStyle="1">
    <w:name w:val="Normal_18_0"/>
    <w:uiPriority w:val="0"/>
    <w:qFormat/>
    <w:rPr>
      <w:rFonts w:ascii="黑体" w:hAnsi="黑体" w:eastAsia="黑体" w:cs="黑体"/>
      <w:b/>
      <w:sz w:val="32"/>
      <w:szCs w:val="24"/>
      <w:lang w:val="en-US" w:eastAsia="zh-CN" w:bidi="ar-SA"/>
    </w:rPr>
  </w:style>
  <w:style w:type="paragraph" w:styleId="1043" w:customStyle="1">
    <w:name w:val="正文_12_0_0_0_0"/>
    <w:basedOn w:val="715"/>
    <w:uiPriority w:val="0"/>
    <w:qFormat/>
    <w:rPr>
      <w:szCs w:val="24"/>
    </w:rPr>
  </w:style>
  <w:style w:type="paragraph" w:styleId="104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45"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47" w:customStyle="1">
    <w:name w:val="Normal_20"/>
    <w:uiPriority w:val="0"/>
    <w:qFormat/>
    <w:rPr>
      <w:rFonts w:ascii="黑体" w:hAnsi="黑体" w:eastAsia="黑体" w:cs="黑体"/>
      <w:b/>
      <w:sz w:val="32"/>
      <w:szCs w:val="24"/>
      <w:lang w:val="en-US" w:eastAsia="zh-CN" w:bidi="ar-SA"/>
    </w:rPr>
  </w:style>
  <w:style w:type="paragraph" w:styleId="104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Normal_0"/>
    <w:uiPriority w:val="0"/>
    <w:qFormat/>
    <w:rPr>
      <w:rFonts w:ascii="黑体" w:hAnsi="黑体" w:eastAsia="黑体" w:cs="Times New Roman"/>
      <w:b/>
      <w:sz w:val="32"/>
      <w:szCs w:val="24"/>
      <w:lang w:val="en-US" w:eastAsia="zh-CN" w:bidi="ar-SA"/>
    </w:rPr>
  </w:style>
  <w:style w:type="paragraph" w:styleId="1050" w:customStyle="1">
    <w:name w:val="部分1"/>
    <w:basedOn w:val="715"/>
    <w:uiPriority w:val="0"/>
    <w:qFormat/>
    <w:pPr>
      <w:jc w:val="center"/>
      <w:keepNext/>
      <w:pageBreakBefore/>
      <w:spacing w:line="360" w:lineRule="auto"/>
      <w:tabs>
        <w:tab w:val="left" w:pos="720" w:leader="none"/>
      </w:tabs>
      <w:outlineLvl w:val="0"/>
    </w:pPr>
    <w:rPr>
      <w:rFonts w:eastAsia="黑体"/>
      <w:b/>
      <w:sz w:val="36"/>
      <w:szCs w:val="20"/>
    </w:rPr>
  </w:style>
  <w:style w:type="paragraph" w:styleId="1051" w:customStyle="1">
    <w:name w:val="TOC 标题2"/>
    <w:basedOn w:val="920"/>
    <w:next w:val="715"/>
    <w:uiPriority w:val="39"/>
    <w:unhideWhenUsed/>
    <w:qFormat/>
    <w:pPr>
      <w:jc w:val="left"/>
      <w:keepLines/>
      <w:spacing w:before="240" w:line="259" w:lineRule="auto"/>
      <w:widowControl/>
      <w:outlineLvl w:val="9"/>
    </w:pPr>
    <w:rPr>
      <w:rFonts w:ascii="Calibri Light" w:hAnsi="Calibri Light" w:eastAsia="宋体"/>
      <w:color w:val="2e74b5"/>
      <w:sz w:val="32"/>
      <w:szCs w:val="32"/>
    </w:rPr>
  </w:style>
  <w:style w:type="paragraph" w:styleId="1052"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Normal_0_1"/>
    <w:uiPriority w:val="0"/>
    <w:qFormat/>
    <w:pPr>
      <w:jc w:val="both"/>
      <w:widowControl w:val="off"/>
    </w:pPr>
    <w:rPr>
      <w:rFonts w:ascii="Calibri" w:hAnsi="Calibri" w:eastAsia="宋体" w:cs="Times New Roman"/>
      <w:sz w:val="21"/>
      <w:szCs w:val="22"/>
      <w:lang w:val="en-US" w:eastAsia="zh-CN" w:bidi="ar-SA"/>
    </w:rPr>
  </w:style>
  <w:style w:type="paragraph" w:styleId="105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056" w:customStyle="1">
    <w:name w:val="正文_3_0_0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正文_2_0_0_0"/>
    <w:uiPriority w:val="0"/>
    <w:qFormat/>
    <w:pPr>
      <w:jc w:val="both"/>
      <w:widowControl w:val="off"/>
    </w:pPr>
    <w:rPr>
      <w:rFonts w:ascii="Calibri" w:hAnsi="Calibri" w:eastAsia="宋体" w:cs="Times New Roman"/>
      <w:sz w:val="21"/>
      <w:szCs w:val="22"/>
      <w:lang w:val="en-US" w:eastAsia="zh-CN" w:bidi="ar-SA"/>
    </w:rPr>
  </w:style>
  <w:style w:type="paragraph" w:styleId="1058" w:customStyle="1">
    <w:name w:val="Normal_19"/>
    <w:uiPriority w:val="0"/>
    <w:qFormat/>
    <w:pPr>
      <w:jc w:val="both"/>
      <w:widowControl w:val="off"/>
    </w:pPr>
    <w:rPr>
      <w:rFonts w:ascii="Calibri" w:hAnsi="Calibri" w:eastAsia="Times New Roman" w:cs="Times New Roman"/>
      <w:sz w:val="21"/>
      <w:szCs w:val="24"/>
      <w:lang w:val="en-US" w:eastAsia="zh-CN" w:bidi="ar-SA"/>
    </w:rPr>
  </w:style>
  <w:style w:type="character" w:styleId="1059" w:customStyle="1">
    <w:name w:val="页眉 Char2"/>
    <w:basedOn w:val="716"/>
    <w:link w:val="724"/>
    <w:uiPriority w:val="99"/>
    <w:qFormat/>
    <w:rPr>
      <w:sz w:val="18"/>
      <w:szCs w:val="18"/>
    </w:rPr>
  </w:style>
  <w:style w:type="character" w:styleId="1060" w:customStyle="1">
    <w:name w:val="页脚 Char2"/>
    <w:basedOn w:val="716"/>
    <w:link w:val="723"/>
    <w:uiPriority w:val="99"/>
    <w:qFormat/>
    <w:rPr>
      <w:sz w:val="18"/>
      <w:szCs w:val="18"/>
    </w:rPr>
  </w:style>
  <w:style w:type="character" w:styleId="1061" w:customStyle="1">
    <w:name w:val="font31"/>
    <w:basedOn w:val="716"/>
    <w:uiPriority w:val="0"/>
    <w:qFormat/>
    <w:rPr>
      <w:rFonts w:hint="eastAsia" w:ascii="宋体" w:hAnsi="宋体" w:eastAsia="宋体" w:cs="宋体"/>
      <w:color w:val="000000"/>
      <w:sz w:val="22"/>
      <w:szCs w:val="22"/>
      <w:u w:val="none"/>
    </w:rPr>
  </w:style>
  <w:style w:type="character" w:styleId="1062" w:customStyle="1">
    <w:name w:val="font51"/>
    <w:basedOn w:val="716"/>
    <w:uiPriority w:val="0"/>
    <w:qFormat/>
    <w:rPr>
      <w:rFonts w:hint="eastAsia" w:ascii="宋体" w:hAnsi="宋体" w:eastAsia="宋体" w:cs="宋体"/>
      <w:color w:val="000000"/>
      <w:sz w:val="22"/>
      <w:szCs w:val="22"/>
      <w:u w:val="none"/>
    </w:rPr>
  </w:style>
  <w:style w:type="numbering" w:styleId="13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倪前石</cp:lastModifiedBy>
  <cp:revision>21</cp:revision>
  <dcterms:created xsi:type="dcterms:W3CDTF">2024-03-01T06:35:00Z</dcterms:created>
  <dcterms:modified xsi:type="dcterms:W3CDTF">2026-03-03T03:45:59Z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71C2B69098A44409B0E796BBBD7F048F_13</vt:lpwstr>
  </property>
  <property fmtid="{D5CDD505-2E9C-101B-9397-08002B2CF9AE}" pid="4" name="KSOTemplateDocerSaveRecord">
    <vt:lpwstr>eyJoZGlkIjoiYjIxYTY5MGQ4ZDlkMGYzYzk3ODU2YjVkNzBiMDQwZGUifQ==</vt:lpwstr>
  </property>
</Properties>
</file>